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A52AB5">
      <w:pPr>
        <w:jc w:val="left"/>
        <w:rPr>
          <w:rFonts w:hint="eastAsia" w:ascii="宋体" w:hAnsi="宋体" w:eastAsia="宋体" w:cs="宋体"/>
          <w:b/>
          <w:bCs/>
          <w:color w:val="auto"/>
          <w:sz w:val="32"/>
          <w:szCs w:val="32"/>
          <w:lang w:eastAsia="zh-CN"/>
        </w:rPr>
      </w:pPr>
      <w:bookmarkStart w:id="0" w:name="_Toc29080"/>
      <w:bookmarkStart w:id="1" w:name="_Toc21123"/>
      <w:bookmarkStart w:id="2" w:name="_Toc31341_WPSOffice_Level1"/>
      <w:r>
        <w:rPr>
          <w:rFonts w:hint="eastAsia" w:ascii="宋体" w:hAnsi="宋体" w:eastAsia="宋体" w:cs="宋体"/>
          <w:b/>
          <w:bCs/>
          <w:color w:val="auto"/>
          <w:sz w:val="32"/>
          <w:szCs w:val="32"/>
        </w:rPr>
        <w:t>采购项目编号：</w:t>
      </w:r>
      <w:r>
        <w:rPr>
          <w:rFonts w:hint="eastAsia" w:ascii="宋体" w:hAnsi="宋体" w:cs="宋体"/>
          <w:b/>
          <w:bCs/>
          <w:color w:val="auto"/>
          <w:sz w:val="32"/>
          <w:szCs w:val="32"/>
          <w:lang w:eastAsia="zh-CN"/>
        </w:rPr>
        <w:t>TDJC2026-02</w:t>
      </w:r>
    </w:p>
    <w:p w14:paraId="4F9275F9">
      <w:pPr>
        <w:pStyle w:val="11"/>
        <w:rPr>
          <w:rFonts w:hint="eastAsia" w:ascii="宋体" w:hAnsi="宋体" w:eastAsia="宋体" w:cs="宋体"/>
          <w:b/>
          <w:color w:val="auto"/>
          <w:sz w:val="40"/>
          <w:szCs w:val="40"/>
          <w:lang w:eastAsia="zh-CN"/>
        </w:rPr>
      </w:pPr>
    </w:p>
    <w:p w14:paraId="7D2E284C">
      <w:pPr>
        <w:pStyle w:val="11"/>
        <w:rPr>
          <w:rFonts w:hint="eastAsia" w:ascii="宋体" w:hAnsi="宋体" w:eastAsia="宋体" w:cs="宋体"/>
          <w:b/>
          <w:color w:val="auto"/>
          <w:sz w:val="40"/>
          <w:szCs w:val="40"/>
          <w:lang w:eastAsia="zh-CN"/>
        </w:rPr>
      </w:pPr>
    </w:p>
    <w:p w14:paraId="41766F7F">
      <w:pPr>
        <w:pStyle w:val="11"/>
        <w:jc w:val="center"/>
        <w:rPr>
          <w:rFonts w:hint="eastAsia" w:ascii="宋体" w:hAnsi="宋体" w:eastAsia="宋体" w:cs="宋体"/>
          <w:b/>
          <w:color w:val="auto"/>
          <w:sz w:val="60"/>
          <w:szCs w:val="60"/>
          <w:lang w:eastAsia="zh-CN"/>
        </w:rPr>
      </w:pPr>
    </w:p>
    <w:p w14:paraId="3ACE105B">
      <w:pPr>
        <w:bidi w:val="0"/>
        <w:spacing w:line="360" w:lineRule="auto"/>
        <w:jc w:val="center"/>
        <w:rPr>
          <w:rFonts w:hint="eastAsia"/>
          <w:b/>
          <w:bCs/>
          <w:sz w:val="56"/>
          <w:szCs w:val="44"/>
        </w:rPr>
      </w:pPr>
      <w:r>
        <w:rPr>
          <w:rFonts w:hint="eastAsia"/>
          <w:b/>
          <w:bCs/>
          <w:sz w:val="56"/>
          <w:szCs w:val="44"/>
          <w:lang w:eastAsia="zh-CN"/>
        </w:rPr>
        <w:t>清涧县第三污水处理厂及配套管网工程建设项目(配套管网延伸工程)监理</w:t>
      </w:r>
    </w:p>
    <w:p w14:paraId="70B18C3F">
      <w:pPr>
        <w:bidi w:val="0"/>
        <w:rPr>
          <w:rFonts w:hint="eastAsia"/>
        </w:rPr>
      </w:pPr>
      <w:bookmarkStart w:id="3" w:name="_Toc26384"/>
    </w:p>
    <w:p w14:paraId="47D53F66">
      <w:pPr>
        <w:bidi w:val="0"/>
        <w:rPr>
          <w:rFonts w:hint="eastAsia"/>
        </w:rPr>
      </w:pPr>
    </w:p>
    <w:p w14:paraId="0C1A7766">
      <w:pPr>
        <w:bidi w:val="0"/>
        <w:jc w:val="center"/>
        <w:rPr>
          <w:rFonts w:hint="eastAsia"/>
          <w:b/>
          <w:bCs/>
          <w:sz w:val="72"/>
          <w:szCs w:val="52"/>
        </w:rPr>
      </w:pPr>
    </w:p>
    <w:p w14:paraId="4F28386B">
      <w:pPr>
        <w:bidi w:val="0"/>
        <w:jc w:val="center"/>
        <w:rPr>
          <w:rFonts w:hint="eastAsia"/>
          <w:b/>
          <w:bCs/>
          <w:sz w:val="72"/>
          <w:szCs w:val="52"/>
        </w:rPr>
      </w:pPr>
      <w:r>
        <w:rPr>
          <w:rFonts w:hint="eastAsia"/>
          <w:b/>
          <w:bCs/>
          <w:sz w:val="72"/>
          <w:szCs w:val="52"/>
        </w:rPr>
        <w:t>竞争性</w:t>
      </w:r>
      <w:r>
        <w:rPr>
          <w:rFonts w:hint="eastAsia"/>
          <w:b/>
          <w:bCs/>
          <w:sz w:val="72"/>
          <w:szCs w:val="52"/>
          <w:lang w:val="en-US" w:eastAsia="zh-CN"/>
        </w:rPr>
        <w:t>磋商</w:t>
      </w:r>
      <w:r>
        <w:rPr>
          <w:rFonts w:hint="eastAsia"/>
          <w:b/>
          <w:bCs/>
          <w:sz w:val="72"/>
          <w:szCs w:val="52"/>
        </w:rPr>
        <w:t>文件</w:t>
      </w:r>
      <w:bookmarkEnd w:id="3"/>
    </w:p>
    <w:p w14:paraId="0FF2BDF7">
      <w:pPr>
        <w:pStyle w:val="14"/>
        <w:ind w:left="0" w:leftChars="0" w:firstLine="0" w:firstLineChars="0"/>
        <w:rPr>
          <w:rFonts w:hint="eastAsia" w:ascii="宋体" w:hAnsi="宋体" w:eastAsia="宋体" w:cs="宋体"/>
          <w:color w:val="auto"/>
        </w:rPr>
      </w:pPr>
    </w:p>
    <w:p w14:paraId="2B69EBEE">
      <w:pPr>
        <w:pStyle w:val="14"/>
        <w:rPr>
          <w:rFonts w:hint="eastAsia" w:ascii="宋体" w:hAnsi="宋体" w:eastAsia="宋体" w:cs="宋体"/>
          <w:color w:val="auto"/>
        </w:rPr>
      </w:pPr>
    </w:p>
    <w:p w14:paraId="3BBC0C21">
      <w:pPr>
        <w:rPr>
          <w:rFonts w:hint="eastAsia"/>
        </w:rPr>
      </w:pPr>
    </w:p>
    <w:p w14:paraId="5BEB3EA0">
      <w:pPr>
        <w:pStyle w:val="14"/>
        <w:rPr>
          <w:rFonts w:hint="eastAsia" w:ascii="宋体" w:hAnsi="宋体" w:eastAsia="宋体" w:cs="宋体"/>
          <w:color w:val="auto"/>
        </w:rPr>
      </w:pPr>
    </w:p>
    <w:p w14:paraId="39CAD013">
      <w:pPr>
        <w:snapToGrid w:val="0"/>
        <w:spacing w:line="360" w:lineRule="auto"/>
        <w:ind w:left="480" w:leftChars="200" w:firstLine="0" w:firstLineChars="0"/>
        <w:rPr>
          <w:rFonts w:hint="eastAsia" w:ascii="宋体" w:hAnsi="宋体" w:cs="宋体"/>
          <w:b/>
          <w:sz w:val="36"/>
          <w:szCs w:val="36"/>
        </w:rPr>
      </w:pPr>
    </w:p>
    <w:p w14:paraId="05E31866">
      <w:pPr>
        <w:snapToGrid w:val="0"/>
        <w:spacing w:line="360" w:lineRule="auto"/>
        <w:ind w:left="480" w:leftChars="200" w:firstLine="0" w:firstLineChars="0"/>
        <w:rPr>
          <w:rFonts w:hint="eastAsia" w:ascii="宋体" w:hAnsi="宋体" w:cs="宋体"/>
          <w:b/>
          <w:sz w:val="36"/>
          <w:szCs w:val="36"/>
        </w:rPr>
      </w:pPr>
    </w:p>
    <w:p w14:paraId="263F0147">
      <w:pPr>
        <w:snapToGrid w:val="0"/>
        <w:spacing w:line="360" w:lineRule="auto"/>
        <w:ind w:left="480" w:leftChars="200" w:firstLine="0" w:firstLineChars="0"/>
        <w:rPr>
          <w:rFonts w:hint="eastAsia" w:ascii="宋体" w:hAnsi="宋体" w:cs="宋体"/>
          <w:b/>
          <w:sz w:val="36"/>
          <w:szCs w:val="36"/>
        </w:rPr>
      </w:pPr>
    </w:p>
    <w:p w14:paraId="1C738B2E">
      <w:pPr>
        <w:snapToGrid w:val="0"/>
        <w:spacing w:line="360" w:lineRule="auto"/>
        <w:ind w:left="480" w:leftChars="200" w:firstLine="0" w:firstLineChars="0"/>
        <w:rPr>
          <w:rFonts w:hint="eastAsia" w:eastAsia="宋体"/>
          <w:sz w:val="28"/>
          <w:szCs w:val="21"/>
          <w:lang w:eastAsia="zh-CN"/>
        </w:rPr>
      </w:pPr>
      <w:r>
        <w:rPr>
          <w:rFonts w:hint="eastAsia" w:ascii="宋体" w:hAnsi="宋体" w:cs="宋体"/>
          <w:b/>
          <w:sz w:val="36"/>
          <w:szCs w:val="36"/>
        </w:rPr>
        <w:t>采   购   人：清涧县住房和城乡建设局</w:t>
      </w:r>
    </w:p>
    <w:p w14:paraId="2676948E">
      <w:pPr>
        <w:snapToGrid w:val="0"/>
        <w:spacing w:line="360" w:lineRule="auto"/>
        <w:ind w:left="480" w:leftChars="200" w:firstLine="0" w:firstLineChars="0"/>
        <w:rPr>
          <w:rFonts w:hint="eastAsia" w:ascii="宋体" w:hAnsi="宋体" w:cs="宋体"/>
          <w:b/>
          <w:sz w:val="36"/>
          <w:szCs w:val="36"/>
        </w:rPr>
      </w:pPr>
    </w:p>
    <w:p w14:paraId="72E32914">
      <w:pPr>
        <w:snapToGrid w:val="0"/>
        <w:spacing w:line="360" w:lineRule="auto"/>
        <w:ind w:left="480" w:leftChars="200" w:firstLine="0" w:firstLineChars="0"/>
        <w:rPr>
          <w:rFonts w:hint="eastAsia" w:ascii="宋体" w:hAnsi="宋体" w:eastAsia="宋体" w:cs="宋体"/>
          <w:b/>
          <w:sz w:val="36"/>
          <w:szCs w:val="36"/>
          <w:lang w:eastAsia="zh-CN"/>
        </w:rPr>
      </w:pPr>
      <w:r>
        <w:rPr>
          <w:rFonts w:hint="eastAsia" w:ascii="宋体" w:hAnsi="宋体" w:cs="宋体"/>
          <w:b/>
          <w:sz w:val="36"/>
          <w:szCs w:val="36"/>
        </w:rPr>
        <w:t>采购代理机构：</w:t>
      </w:r>
      <w:r>
        <w:rPr>
          <w:rFonts w:hint="eastAsia" w:ascii="宋体" w:hAnsi="宋体" w:cs="宋体"/>
          <w:b/>
          <w:sz w:val="36"/>
          <w:szCs w:val="36"/>
          <w:lang w:eastAsia="zh-CN"/>
        </w:rPr>
        <w:t>榆林腾达建诚信息咨询有限公司</w:t>
      </w:r>
    </w:p>
    <w:p w14:paraId="0539D039">
      <w:pPr>
        <w:snapToGrid w:val="0"/>
        <w:spacing w:line="360" w:lineRule="auto"/>
        <w:ind w:left="480" w:leftChars="200" w:firstLine="0" w:firstLineChars="0"/>
        <w:rPr>
          <w:rFonts w:hint="eastAsia" w:ascii="宋体" w:hAnsi="宋体" w:cs="宋体"/>
          <w:b/>
          <w:sz w:val="36"/>
          <w:szCs w:val="36"/>
        </w:rPr>
      </w:pPr>
    </w:p>
    <w:p w14:paraId="6739E58A">
      <w:pPr>
        <w:ind w:left="480" w:leftChars="200" w:firstLine="0" w:firstLineChars="0"/>
        <w:rPr>
          <w:rFonts w:hint="eastAsia" w:ascii="宋体" w:hAnsi="宋体" w:cs="宋体"/>
          <w:b/>
          <w:sz w:val="36"/>
          <w:szCs w:val="36"/>
        </w:rPr>
      </w:pPr>
      <w:r>
        <w:rPr>
          <w:rFonts w:hint="eastAsia" w:ascii="宋体" w:hAnsi="宋体" w:cs="宋体"/>
          <w:b/>
          <w:sz w:val="36"/>
          <w:szCs w:val="36"/>
        </w:rPr>
        <w:t xml:space="preserve"> 时        间：二零二</w:t>
      </w:r>
      <w:r>
        <w:rPr>
          <w:rFonts w:hint="eastAsia" w:ascii="宋体" w:hAnsi="宋体" w:cs="宋体"/>
          <w:b/>
          <w:sz w:val="36"/>
          <w:szCs w:val="36"/>
          <w:lang w:val="en-US" w:eastAsia="zh-CN"/>
        </w:rPr>
        <w:t>六</w:t>
      </w:r>
      <w:r>
        <w:rPr>
          <w:rFonts w:hint="eastAsia" w:ascii="宋体" w:hAnsi="宋体" w:cs="宋体"/>
          <w:b/>
          <w:sz w:val="36"/>
          <w:szCs w:val="36"/>
        </w:rPr>
        <w:t>年</w:t>
      </w:r>
      <w:r>
        <w:rPr>
          <w:rFonts w:hint="eastAsia" w:ascii="宋体" w:hAnsi="宋体" w:cs="宋体"/>
          <w:b/>
          <w:sz w:val="36"/>
          <w:szCs w:val="36"/>
          <w:lang w:val="en-US" w:eastAsia="zh-CN"/>
        </w:rPr>
        <w:t>四</w:t>
      </w:r>
      <w:r>
        <w:rPr>
          <w:rFonts w:hint="eastAsia" w:ascii="宋体" w:hAnsi="宋体" w:cs="宋体"/>
          <w:b/>
          <w:sz w:val="36"/>
          <w:szCs w:val="36"/>
        </w:rPr>
        <w:t>月</w:t>
      </w:r>
    </w:p>
    <w:p w14:paraId="2C67DFF7">
      <w:pPr>
        <w:pageBreakBefore w:val="0"/>
        <w:topLinePunct w:val="0"/>
        <w:bidi w:val="0"/>
        <w:spacing w:line="500" w:lineRule="exact"/>
        <w:ind w:right="0"/>
        <w:rPr>
          <w:rFonts w:hint="eastAsia" w:ascii="宋体" w:hAnsi="宋体" w:eastAsia="宋体" w:cs="宋体"/>
          <w:color w:val="auto"/>
          <w:highlight w:val="none"/>
        </w:rPr>
      </w:pPr>
      <w:r>
        <w:rPr>
          <w:rFonts w:hint="eastAsia" w:ascii="宋体" w:hAnsi="宋体" w:eastAsia="宋体" w:cs="宋体"/>
          <w:b/>
          <w:bCs/>
          <w:color w:val="auto"/>
          <w:sz w:val="40"/>
          <w:szCs w:val="28"/>
          <w:highlight w:val="none"/>
        </w:rPr>
        <w:br w:type="page"/>
      </w:r>
    </w:p>
    <w:p w14:paraId="6FFA3462">
      <w:pPr>
        <w:keepNext/>
        <w:keepLines/>
        <w:pageBreakBefore w:val="0"/>
        <w:topLinePunct w:val="0"/>
        <w:bidi w:val="0"/>
        <w:spacing w:line="500" w:lineRule="exact"/>
        <w:ind w:left="0" w:leftChars="0" w:right="0"/>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目</w:t>
      </w:r>
      <w:r>
        <w:rPr>
          <w:rFonts w:hint="eastAsia" w:ascii="宋体" w:hAnsi="宋体" w:eastAsia="宋体" w:cs="宋体"/>
          <w:b/>
          <w:bCs/>
          <w:color w:val="auto"/>
          <w:sz w:val="32"/>
          <w:szCs w:val="32"/>
          <w:highlight w:val="none"/>
          <w:lang w:val="en-US" w:eastAsia="zh-CN"/>
        </w:rPr>
        <w:t xml:space="preserve">  </w:t>
      </w:r>
      <w:r>
        <w:rPr>
          <w:rFonts w:hint="eastAsia" w:ascii="宋体" w:hAnsi="宋体" w:eastAsia="宋体" w:cs="宋体"/>
          <w:b/>
          <w:bCs/>
          <w:color w:val="auto"/>
          <w:sz w:val="32"/>
          <w:szCs w:val="32"/>
          <w:highlight w:val="none"/>
        </w:rPr>
        <w:t>录</w:t>
      </w:r>
    </w:p>
    <w:sdt>
      <w:sdtPr>
        <w:rPr>
          <w:rFonts w:hint="eastAsia" w:ascii="宋体" w:hAnsi="宋体" w:eastAsia="宋体" w:cs="宋体"/>
          <w:color w:val="auto"/>
          <w:kern w:val="2"/>
          <w:sz w:val="24"/>
          <w:szCs w:val="24"/>
          <w:lang w:val="en-US" w:eastAsia="zh-CN" w:bidi="ar-SA"/>
        </w:rPr>
        <w:id w:val="147458329"/>
        <w15:color w:val="DBDBDB"/>
        <w:docPartObj>
          <w:docPartGallery w:val="Table of Contents"/>
          <w:docPartUnique/>
        </w:docPartObj>
      </w:sdtPr>
      <w:sdtEndPr>
        <w:rPr>
          <w:rFonts w:hint="eastAsia" w:ascii="宋体" w:hAnsi="宋体" w:eastAsia="宋体" w:cs="宋体"/>
          <w:color w:val="auto"/>
          <w:kern w:val="2"/>
          <w:sz w:val="21"/>
          <w:szCs w:val="24"/>
          <w:lang w:val="en-US" w:eastAsia="zh-CN" w:bidi="ar-SA"/>
        </w:rPr>
      </w:sdtEndPr>
      <w:sdtContent>
        <w:p w14:paraId="34F28977">
          <w:pPr>
            <w:pageBreakBefore w:val="0"/>
            <w:topLinePunct w:val="0"/>
            <w:bidi w:val="0"/>
            <w:spacing w:line="500" w:lineRule="exact"/>
            <w:ind w:left="0" w:leftChars="0" w:right="0" w:rightChars="0" w:firstLine="0" w:firstLineChars="0"/>
            <w:jc w:val="center"/>
            <w:rPr>
              <w:rFonts w:hint="eastAsia" w:ascii="宋体" w:hAnsi="宋体" w:eastAsia="宋体" w:cs="宋体"/>
              <w:color w:val="auto"/>
              <w:sz w:val="24"/>
              <w:szCs w:val="24"/>
            </w:rPr>
          </w:pPr>
          <w:bookmarkStart w:id="4" w:name="_Toc8306"/>
          <w:bookmarkStart w:id="5" w:name="_Toc13919"/>
          <w:bookmarkStart w:id="6" w:name="_Toc6600"/>
        </w:p>
        <w:p w14:paraId="2F195D95">
          <w:pPr>
            <w:pStyle w:val="45"/>
            <w:pageBreakBefore w:val="0"/>
            <w:tabs>
              <w:tab w:val="right" w:leader="dot" w:pos="8866"/>
            </w:tabs>
            <w:topLinePunct w:val="0"/>
            <w:bidi w:val="0"/>
            <w:spacing w:line="500" w:lineRule="exact"/>
            <w:ind w:left="0" w:leftChars="0" w:right="0"/>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TOC \o "1-1" \h \u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_Toc13934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highlight w:val="none"/>
              <w:lang w:val="en-US" w:eastAsia="zh-CN"/>
            </w:rPr>
            <w:t>第一章 竞争性磋商公告</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_Toc13934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3</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3A9F3735">
          <w:pPr>
            <w:pStyle w:val="45"/>
            <w:pageBreakBefore w:val="0"/>
            <w:tabs>
              <w:tab w:val="right" w:leader="dot" w:pos="8866"/>
            </w:tabs>
            <w:topLinePunct w:val="0"/>
            <w:bidi w:val="0"/>
            <w:spacing w:line="500" w:lineRule="exact"/>
            <w:ind w:left="0" w:leftChars="0" w:right="0"/>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_Toc25159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highlight w:val="none"/>
              <w:lang w:val="en-US" w:eastAsia="zh-CN"/>
            </w:rPr>
            <w:t>第二章 供应商须知</w:t>
          </w:r>
          <w:r>
            <w:rPr>
              <w:rFonts w:hint="eastAsia" w:ascii="宋体" w:hAnsi="宋体" w:eastAsia="宋体" w:cs="宋体"/>
              <w:color w:val="auto"/>
              <w:sz w:val="24"/>
              <w:szCs w:val="24"/>
            </w:rPr>
            <w:tab/>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fldChar w:fldCharType="end"/>
          </w:r>
        </w:p>
        <w:p w14:paraId="039FA9DD">
          <w:pPr>
            <w:pStyle w:val="45"/>
            <w:pageBreakBefore w:val="0"/>
            <w:tabs>
              <w:tab w:val="right" w:leader="dot" w:pos="8866"/>
            </w:tabs>
            <w:topLinePunct w:val="0"/>
            <w:bidi w:val="0"/>
            <w:spacing w:line="500" w:lineRule="exact"/>
            <w:ind w:left="0" w:leftChars="0" w:right="0"/>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_Toc5331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highlight w:val="none"/>
            </w:rPr>
            <w:t xml:space="preserve">第三章 </w:t>
          </w:r>
          <w:r>
            <w:rPr>
              <w:rFonts w:hint="eastAsia" w:ascii="宋体" w:hAnsi="宋体" w:eastAsia="宋体" w:cs="宋体"/>
              <w:color w:val="auto"/>
              <w:sz w:val="24"/>
              <w:szCs w:val="24"/>
              <w:highlight w:val="none"/>
              <w:lang w:eastAsia="zh-CN"/>
            </w:rPr>
            <w:t>商务要求</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_Toc5331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29</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1A970CF6">
          <w:pPr>
            <w:pStyle w:val="45"/>
            <w:pageBreakBefore w:val="0"/>
            <w:tabs>
              <w:tab w:val="right" w:leader="dot" w:pos="8866"/>
            </w:tabs>
            <w:topLinePunct w:val="0"/>
            <w:bidi w:val="0"/>
            <w:spacing w:line="500" w:lineRule="exact"/>
            <w:ind w:left="0" w:leftChars="0" w:right="0"/>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_Toc20436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highlight w:val="none"/>
              <w:lang w:val="en-US" w:eastAsia="zh-CN"/>
            </w:rPr>
            <w:t>第四章 合同条款及格式</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_Toc20436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31</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13DC04E2">
          <w:pPr>
            <w:pStyle w:val="45"/>
            <w:pageBreakBefore w:val="0"/>
            <w:tabs>
              <w:tab w:val="right" w:leader="dot" w:pos="8866"/>
            </w:tabs>
            <w:topLinePunct w:val="0"/>
            <w:bidi w:val="0"/>
            <w:spacing w:line="500" w:lineRule="exact"/>
            <w:ind w:left="0" w:leftChars="0" w:right="0"/>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_Toc16413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highlight w:val="none"/>
              <w:lang w:val="en-US" w:eastAsia="zh-CN"/>
            </w:rPr>
            <w:t>第五章 采购内容及要求</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_Toc16413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52</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46F7E51E">
          <w:pPr>
            <w:pStyle w:val="45"/>
            <w:pageBreakBefore w:val="0"/>
            <w:tabs>
              <w:tab w:val="right" w:leader="dot" w:pos="8866"/>
            </w:tabs>
            <w:topLinePunct w:val="0"/>
            <w:bidi w:val="0"/>
            <w:spacing w:line="500" w:lineRule="exact"/>
            <w:ind w:left="0" w:leftChars="0" w:right="0"/>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_Toc24686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highlight w:val="none"/>
              <w:lang w:val="en-US" w:eastAsia="zh-CN"/>
            </w:rPr>
            <w:t>第六章 评标办法</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_Toc24686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52</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7D116F02">
          <w:pPr>
            <w:pStyle w:val="45"/>
            <w:pageBreakBefore w:val="0"/>
            <w:tabs>
              <w:tab w:val="right" w:leader="dot" w:pos="8866"/>
            </w:tabs>
            <w:topLinePunct w:val="0"/>
            <w:bidi w:val="0"/>
            <w:spacing w:line="500" w:lineRule="exact"/>
            <w:ind w:left="0" w:leftChars="0" w:right="0"/>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_Toc9708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highlight w:val="none"/>
              <w:lang w:val="en-US" w:eastAsia="zh-CN"/>
            </w:rPr>
            <w:t>第七章 响应文件格式</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_Toc9708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62</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3ADD92C6">
          <w:pPr>
            <w:pageBreakBefore w:val="0"/>
            <w:topLinePunct w:val="0"/>
            <w:bidi w:val="0"/>
            <w:spacing w:line="500" w:lineRule="exact"/>
            <w:ind w:left="0" w:leftChars="0" w:right="0"/>
            <w:rPr>
              <w:rFonts w:hint="eastAsia" w:ascii="宋体" w:hAnsi="宋体" w:eastAsia="宋体" w:cs="宋体"/>
              <w:color w:val="auto"/>
            </w:rPr>
          </w:pPr>
          <w:r>
            <w:rPr>
              <w:rFonts w:hint="eastAsia" w:ascii="宋体" w:hAnsi="宋体" w:eastAsia="宋体" w:cs="宋体"/>
              <w:color w:val="auto"/>
              <w:sz w:val="24"/>
              <w:szCs w:val="24"/>
            </w:rPr>
            <w:fldChar w:fldCharType="end"/>
          </w:r>
        </w:p>
      </w:sdtContent>
    </w:sdt>
    <w:p w14:paraId="4D732EFA">
      <w:pPr>
        <w:pStyle w:val="2"/>
        <w:pageBreakBefore w:val="0"/>
        <w:topLinePunct w:val="0"/>
        <w:bidi w:val="0"/>
        <w:spacing w:before="0" w:after="0" w:line="500" w:lineRule="exact"/>
        <w:ind w:left="0" w:leftChars="0" w:right="0"/>
        <w:rPr>
          <w:rFonts w:hint="eastAsia" w:ascii="宋体" w:hAnsi="宋体" w:eastAsia="宋体" w:cs="宋体"/>
          <w:color w:val="auto"/>
          <w:highlight w:val="none"/>
          <w:lang w:val="en-US" w:eastAsia="zh-CN"/>
        </w:rPr>
        <w:sectPr>
          <w:footerReference r:id="rId4" w:type="first"/>
          <w:footerReference r:id="rId3" w:type="default"/>
          <w:pgSz w:w="11905" w:h="16838"/>
          <w:pgMar w:top="1440" w:right="1080" w:bottom="1440" w:left="1080" w:header="1134" w:footer="1134" w:gutter="0"/>
          <w:pgBorders>
            <w:top w:val="none" w:sz="0" w:space="0"/>
            <w:left w:val="none" w:sz="0" w:space="0"/>
            <w:bottom w:val="none" w:sz="0" w:space="0"/>
            <w:right w:val="none" w:sz="0" w:space="0"/>
          </w:pgBorders>
          <w:pgNumType w:fmt="decimal" w:start="1"/>
          <w:cols w:space="0" w:num="1"/>
          <w:titlePg/>
          <w:docGrid w:linePitch="312" w:charSpace="0"/>
        </w:sectPr>
      </w:pPr>
      <w:bookmarkStart w:id="551" w:name="_GoBack"/>
      <w:bookmarkEnd w:id="551"/>
      <w:bookmarkStart w:id="7" w:name="_Toc13934"/>
      <w:bookmarkStart w:id="8" w:name="_Toc28254"/>
      <w:bookmarkStart w:id="9" w:name="_Toc14494"/>
    </w:p>
    <w:p w14:paraId="7BCA1F64">
      <w:pPr>
        <w:pStyle w:val="2"/>
        <w:pageBreakBefore w:val="0"/>
        <w:kinsoku/>
        <w:overflowPunct/>
        <w:topLinePunct w:val="0"/>
        <w:autoSpaceDE/>
        <w:autoSpaceDN/>
        <w:bidi w:val="0"/>
        <w:adjustRightInd/>
        <w:snapToGrid/>
        <w:spacing w:before="0" w:after="0" w:line="360" w:lineRule="auto"/>
        <w:ind w:left="0" w:leftChars="0" w:right="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第一章 竞争性磋商公告</w:t>
      </w:r>
      <w:bookmarkEnd w:id="0"/>
      <w:bookmarkEnd w:id="1"/>
      <w:bookmarkEnd w:id="2"/>
      <w:bookmarkEnd w:id="4"/>
      <w:bookmarkEnd w:id="5"/>
      <w:bookmarkEnd w:id="6"/>
      <w:bookmarkEnd w:id="7"/>
      <w:bookmarkEnd w:id="8"/>
      <w:bookmarkEnd w:id="9"/>
    </w:p>
    <w:p w14:paraId="07DF7C4D">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auto"/>
        <w:rPr>
          <w:b w:val="0"/>
          <w:bCs w:val="0"/>
          <w:sz w:val="24"/>
          <w:szCs w:val="24"/>
        </w:rPr>
      </w:pPr>
      <w:bookmarkStart w:id="10" w:name="_Toc18438"/>
      <w:bookmarkStart w:id="11" w:name="_Toc24110"/>
      <w:bookmarkStart w:id="12" w:name="_Toc4051"/>
      <w:bookmarkStart w:id="13" w:name="_Toc15262"/>
      <w:bookmarkStart w:id="14" w:name="_Toc25159"/>
      <w:r>
        <w:rPr>
          <w:rStyle w:val="29"/>
          <w:b/>
          <w:bCs/>
          <w:i w:val="0"/>
          <w:iCs w:val="0"/>
          <w:caps w:val="0"/>
          <w:color w:val="333333"/>
          <w:spacing w:val="0"/>
          <w:sz w:val="24"/>
          <w:szCs w:val="24"/>
          <w:shd w:val="clear" w:fill="FFFFFF"/>
        </w:rPr>
        <w:t>项目概况</w:t>
      </w:r>
    </w:p>
    <w:p w14:paraId="652F48B0">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清涧县第三污水处理厂及配套管网工程建设项目(配套管网延伸工程)监理采购项目的潜在供应商应在CA锁登录全国公共资源交易中心平台（陕西省）进行投标确认后持报名资料到陕西省榆林市榆阳区东环路绿园小区四排五号获取采购文件，并于 2026年04月17日 09时30分 （北京时间）前提交响应文件。</w:t>
      </w:r>
    </w:p>
    <w:p w14:paraId="0D76338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4"/>
          <w:szCs w:val="24"/>
        </w:rPr>
      </w:pPr>
      <w:r>
        <w:rPr>
          <w:rStyle w:val="29"/>
          <w:rFonts w:hint="eastAsia" w:ascii="宋体" w:hAnsi="宋体" w:eastAsia="宋体" w:cs="宋体"/>
          <w:b/>
          <w:bCs/>
          <w:i w:val="0"/>
          <w:iCs w:val="0"/>
          <w:caps w:val="0"/>
          <w:color w:val="auto"/>
          <w:spacing w:val="0"/>
          <w:sz w:val="24"/>
          <w:szCs w:val="24"/>
          <w:shd w:val="clear" w:fill="FFFFFF"/>
        </w:rPr>
        <w:t>一、项目基本情况</w:t>
      </w:r>
    </w:p>
    <w:p w14:paraId="322D75CB">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项目编号：TDJC2026-02</w:t>
      </w:r>
    </w:p>
    <w:p w14:paraId="2E517124">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项目名称：清涧县第三污水处理厂及配套管网工程建设项目(配套管网延伸工程)监理</w:t>
      </w:r>
    </w:p>
    <w:p w14:paraId="385CDD32">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采购方式：竞争性磋商</w:t>
      </w:r>
    </w:p>
    <w:p w14:paraId="4533D833">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预算金额：420,000.00元</w:t>
      </w:r>
    </w:p>
    <w:p w14:paraId="64173370">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采购需求：</w:t>
      </w:r>
    </w:p>
    <w:p w14:paraId="4AE81AA3">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合同包1(清涧县第三污水处理厂及配套管网工程建设项目(配套管网延伸工程)监理):</w:t>
      </w:r>
    </w:p>
    <w:p w14:paraId="77DC0D48">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360" w:lineRule="auto"/>
        <w:ind w:left="0" w:right="0" w:firstLine="63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合同包预算金额：420,000.00元</w:t>
      </w:r>
    </w:p>
    <w:p w14:paraId="02A9ABAF">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360" w:lineRule="auto"/>
        <w:ind w:left="0" w:right="0" w:firstLine="63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合同包最高限价：420,000.00元</w:t>
      </w:r>
    </w:p>
    <w:tbl>
      <w:tblPr>
        <w:tblStyle w:val="26"/>
        <w:tblW w:w="1023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584"/>
        <w:gridCol w:w="1443"/>
        <w:gridCol w:w="4711"/>
        <w:gridCol w:w="798"/>
        <w:gridCol w:w="1260"/>
        <w:gridCol w:w="1441"/>
      </w:tblGrid>
      <w:tr w14:paraId="17B4401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25" w:hRule="atLeast"/>
          <w:tblHeader/>
        </w:trPr>
        <w:tc>
          <w:tcPr>
            <w:tcW w:w="66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F450282">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品目号</w:t>
            </w:r>
          </w:p>
        </w:tc>
        <w:tc>
          <w:tcPr>
            <w:tcW w:w="219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AD6C94B">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品目名称</w:t>
            </w:r>
          </w:p>
        </w:tc>
        <w:tc>
          <w:tcPr>
            <w:tcW w:w="380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C5AACB0">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采购标的</w:t>
            </w:r>
          </w:p>
        </w:tc>
        <w:tc>
          <w:tcPr>
            <w:tcW w:w="85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2266CF0">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数量（单位）</w:t>
            </w:r>
          </w:p>
        </w:tc>
        <w:tc>
          <w:tcPr>
            <w:tcW w:w="155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113DE38">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技术规格、参数及要求</w:t>
            </w:r>
          </w:p>
        </w:tc>
        <w:tc>
          <w:tcPr>
            <w:tcW w:w="116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8109DB8">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品目预算(元)</w:t>
            </w:r>
          </w:p>
        </w:tc>
      </w:tr>
      <w:tr w14:paraId="5891018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37"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6CEDB66">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B6F6A39">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工程监理服务</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81C5D2C">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清涧县第三污水处理厂及配套管网工程建设项目(配套管网延伸工程)监理</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9E5BE9A">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EE9992B">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B7BF850">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jc w:val="right"/>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420,000.00</w:t>
            </w:r>
          </w:p>
        </w:tc>
      </w:tr>
    </w:tbl>
    <w:p w14:paraId="4DEAA74F">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360" w:lineRule="auto"/>
        <w:ind w:left="0" w:right="0" w:firstLine="63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本合同包不接受联合体投标</w:t>
      </w:r>
    </w:p>
    <w:p w14:paraId="2ECC311B">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360" w:lineRule="auto"/>
        <w:ind w:left="0" w:right="0" w:firstLine="63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合同履行期限：合同签订之日起120日历天</w:t>
      </w:r>
    </w:p>
    <w:p w14:paraId="20C43B5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4"/>
          <w:szCs w:val="24"/>
        </w:rPr>
      </w:pPr>
      <w:r>
        <w:rPr>
          <w:rStyle w:val="29"/>
          <w:rFonts w:hint="eastAsia" w:ascii="宋体" w:hAnsi="宋体" w:eastAsia="宋体" w:cs="宋体"/>
          <w:b/>
          <w:bCs/>
          <w:i w:val="0"/>
          <w:iCs w:val="0"/>
          <w:caps w:val="0"/>
          <w:color w:val="auto"/>
          <w:spacing w:val="0"/>
          <w:sz w:val="24"/>
          <w:szCs w:val="24"/>
          <w:shd w:val="clear" w:fill="FFFFFF"/>
        </w:rPr>
        <w:t>二、申请人的资格要求：</w:t>
      </w:r>
    </w:p>
    <w:p w14:paraId="4010A9E3">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1.满足《中华人民共和国政府采购法》第二十二条规定;</w:t>
      </w:r>
    </w:p>
    <w:p w14:paraId="2AF5F660">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2.落实政府采购政策需满足的资格要求：</w:t>
      </w:r>
    </w:p>
    <w:p w14:paraId="7D62F7E3">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合同包1(清涧县第三污水处理厂及配套管网工程建设项目(配套管网延伸工程)监理)落实政府采购政策需满足的资格要求如下:</w:t>
      </w:r>
    </w:p>
    <w:p w14:paraId="12DD8171">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360" w:lineRule="auto"/>
        <w:ind w:left="0" w:right="0" w:firstLine="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（1）《政府采购促进中小企业发展管理办法》（财库〔2020〕46号）；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（2）《财政部司法部关于政府采购支持监狱企业发展有关问题的通知》（财库〔2014〕68号）；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（3）《国务院办公厅关于建立政府强制采购节能产品制度的通知》（国办发〔2007〕51号）；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（4）《节能产品政府采购实施意见》（财库[2004]185号）；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（5）《环境标志产品政府采购实施的意见》（财库[2006]90号）；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（6）《财政部、民政部、中国残疾人联合会关于促进残疾人就业政府采购政策的通知》（财库[2017]141号）；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（7）《陕西省财政厅关于加快推进我省中小企业政府采购信用融资工作的通知》（陕财办采〔2020〕15 号）和陕西省财政厅关于印发《陕西省中小企业政府采购信用融资办法》（陕财办采〔2018〕23号）；相关政策、业务流程、办理平台(http://www.ccgpshaanxi.gov.cn/zcdservice/zcd/shanxi/)；</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（8）《关于在政府采购活动中查询及使用信用记录有关问题的通知》（财库〔2016〕125号）；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（9）《榆林市财政局关于进一步加大政府采购支持中小企业力度的通知》（榆政财采发〔2022〕10号)；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（10）《陕西省财政厅关于进一步加大政府采购支持中小企业力度的通知》(陕财采发〔2022〕5号)；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（11）《陕西省财政厅中国人民银行西安分行关于深入推进政府采购信用融资业务的通知》（陕财办采〔2023]5号）；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（12）如有最新颁布的政府采购政策，按最新的文件执行。</w:t>
      </w:r>
    </w:p>
    <w:p w14:paraId="5503FF09">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3.本项目的特定资格要求：</w:t>
      </w:r>
    </w:p>
    <w:p w14:paraId="435E19CD">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合同包1(清涧县第三污水处理厂及配套管网工程建设项目(配套管网延伸工程)监理)特定资格要求如下:</w:t>
      </w:r>
    </w:p>
    <w:p w14:paraId="2F87DB01">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360" w:lineRule="auto"/>
        <w:ind w:left="0" w:right="0" w:firstLine="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供应商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2）供应商须具备市政公用工程监理乙级及以上资质，并在人员、设备、资金等方面具备相应的监理能力。其中，拟派往本项目的总监理工程师必须为本单位的注册人员，且具备市政公用工程注册监理工程师及以上执业资格，一名注册监理工程师可担任一项建设工程监理合同的总监理工程师，当需要同时担任多项建设工程监理合同的总监理工程师时，应经建设单位书面同意，且最多不得超过三项。</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3）财务状况报告：供应商须提供经会计事务所或审计机构出具的2024年或2025年度赋码财务审计报告；财务审计报告须有注册会计师签字盖章和公司盖章，并附通过注册会计师行业统一监管平台（http://acc.mof.gov.cn）报备并相应取得全国统一的验证码提供查询截图；成立时间至提交响应文件递交截止时间不足一年的，须提供其基本存款账户开户银行近三个月内出具的银行资信证明或自成立以来的财务报表；其他组织或自然人提供银行出具的资信证明或财务报表；</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（4）社会保障资金缴纳证明：提供2025年06月01日至今已缴纳的至少一个月的社会保障资金银行缴费单据或社保机构开具的社会保险参保缴费情况证明，依法不需要缴纳社会保障资金的单位应提供相关证明材料；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（5）税收缴纳证明：提供2025年06月01日至今已缴纳的至少一个月的纳税证明或完税证明，依法免税的单位应提供相关证明材料；</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（6）参加政府采购活动前3年内，在经营活动中没有重大违法记录的书面声明； </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7）对列入“信用中国网站（www.creditchina.gov.cn）记录失信被执行人、重大税收违法失信主体、经营（活动）异常名录信息查询、政府采购严重违法失信行为记录名单、中国政府采购网（www.ccgp.gov.cn）政府采购严重违法失信行为信息记录”的单位拒绝参与政府采购活动（提供信用截图）；</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8）供应商应在“信用中国（陕西榆林）”网站进行注册、登录，自主上报信用承诺书（网址：https://www.ylcredit.gov.cn/）；（注：需提供投标人信用承诺、投标信用(保证金）承诺书、榆林市政府采购服务类项目供应商信用承诺书及投标人委托代理人员信用承诺书公示网页截图）；</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（9）本项目专门面向中小企业采购项目，供应商须填写《中小企业声明函》。</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备注：本项目不接受联合体投标、不允许分包、转包，单位负责人为同一人或者存在直接控股、管理关系的不同供应商，不得参加同一合同项下的政府采购活动。</w:t>
      </w:r>
    </w:p>
    <w:p w14:paraId="2E223FC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4"/>
          <w:szCs w:val="24"/>
        </w:rPr>
      </w:pPr>
      <w:r>
        <w:rPr>
          <w:rStyle w:val="29"/>
          <w:rFonts w:hint="eastAsia" w:ascii="宋体" w:hAnsi="宋体" w:eastAsia="宋体" w:cs="宋体"/>
          <w:b/>
          <w:bCs/>
          <w:i w:val="0"/>
          <w:iCs w:val="0"/>
          <w:caps w:val="0"/>
          <w:color w:val="auto"/>
          <w:spacing w:val="0"/>
          <w:sz w:val="24"/>
          <w:szCs w:val="24"/>
          <w:shd w:val="clear" w:fill="FFFFFF"/>
        </w:rPr>
        <w:t>三、获取采购文件</w:t>
      </w:r>
    </w:p>
    <w:p w14:paraId="6096033A">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时间： 2026年04月03日 至 2026年04月10日 ，每天上午 09:00:00 至 12:00:00 ，下午 14:30:00 至 17:30:00 （北京时间）</w:t>
      </w:r>
    </w:p>
    <w:p w14:paraId="6ECDBFB6">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途径：CA锁登录全国公共资源交易中心平台（陕西省）进行投标确认后持报名资料到陕西省榆林市榆阳区东环路绿园小区四排五号</w:t>
      </w:r>
    </w:p>
    <w:p w14:paraId="118E972D">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方式：现场获取</w:t>
      </w:r>
    </w:p>
    <w:p w14:paraId="6E79F05B">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售价： 0元</w:t>
      </w:r>
    </w:p>
    <w:p w14:paraId="2FBC7B7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4"/>
          <w:szCs w:val="24"/>
        </w:rPr>
      </w:pPr>
      <w:r>
        <w:rPr>
          <w:rStyle w:val="29"/>
          <w:rFonts w:hint="eastAsia" w:ascii="宋体" w:hAnsi="宋体" w:eastAsia="宋体" w:cs="宋体"/>
          <w:b/>
          <w:bCs/>
          <w:i w:val="0"/>
          <w:iCs w:val="0"/>
          <w:caps w:val="0"/>
          <w:color w:val="auto"/>
          <w:spacing w:val="0"/>
          <w:sz w:val="24"/>
          <w:szCs w:val="24"/>
          <w:shd w:val="clear" w:fill="FFFFFF"/>
        </w:rPr>
        <w:t>四、响应文件提交</w:t>
      </w:r>
    </w:p>
    <w:p w14:paraId="4F472C15">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截止时间： 2026年04月17日 09时30分00秒 （北京时间）</w:t>
      </w:r>
    </w:p>
    <w:p w14:paraId="28EBB136">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地点：陕西省榆林市榆阳区东环路绿园小区四排五号</w:t>
      </w:r>
    </w:p>
    <w:p w14:paraId="4690121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4"/>
          <w:szCs w:val="24"/>
        </w:rPr>
      </w:pPr>
      <w:r>
        <w:rPr>
          <w:rStyle w:val="29"/>
          <w:rFonts w:hint="eastAsia" w:ascii="宋体" w:hAnsi="宋体" w:eastAsia="宋体" w:cs="宋体"/>
          <w:b/>
          <w:bCs/>
          <w:i w:val="0"/>
          <w:iCs w:val="0"/>
          <w:caps w:val="0"/>
          <w:color w:val="auto"/>
          <w:spacing w:val="0"/>
          <w:sz w:val="24"/>
          <w:szCs w:val="24"/>
          <w:shd w:val="clear" w:fill="FFFFFF"/>
        </w:rPr>
        <w:t>五、开启</w:t>
      </w:r>
    </w:p>
    <w:p w14:paraId="2DE70BE5">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时间： 2026年04月17日 09时30分00秒 （北京时间）</w:t>
      </w:r>
    </w:p>
    <w:p w14:paraId="30F5815A">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地点：陕西省榆林市榆阳区东环路绿园小区四排五号</w:t>
      </w:r>
    </w:p>
    <w:p w14:paraId="00B4A6B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4"/>
          <w:szCs w:val="24"/>
        </w:rPr>
      </w:pPr>
      <w:r>
        <w:rPr>
          <w:rStyle w:val="29"/>
          <w:rFonts w:hint="eastAsia" w:ascii="宋体" w:hAnsi="宋体" w:eastAsia="宋体" w:cs="宋体"/>
          <w:b/>
          <w:bCs/>
          <w:i w:val="0"/>
          <w:iCs w:val="0"/>
          <w:caps w:val="0"/>
          <w:color w:val="auto"/>
          <w:spacing w:val="0"/>
          <w:sz w:val="24"/>
          <w:szCs w:val="24"/>
          <w:shd w:val="clear" w:fill="FFFFFF"/>
        </w:rPr>
        <w:t>六、公告期限</w:t>
      </w:r>
    </w:p>
    <w:p w14:paraId="6155039D">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自本公告发布之日起3个工作日。</w:t>
      </w:r>
    </w:p>
    <w:p w14:paraId="5BD4C8F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4"/>
          <w:szCs w:val="24"/>
        </w:rPr>
      </w:pPr>
      <w:r>
        <w:rPr>
          <w:rStyle w:val="29"/>
          <w:rFonts w:hint="eastAsia" w:ascii="宋体" w:hAnsi="宋体" w:eastAsia="宋体" w:cs="宋体"/>
          <w:b/>
          <w:bCs/>
          <w:i w:val="0"/>
          <w:iCs w:val="0"/>
          <w:caps w:val="0"/>
          <w:color w:val="auto"/>
          <w:spacing w:val="0"/>
          <w:sz w:val="24"/>
          <w:szCs w:val="24"/>
          <w:shd w:val="clear" w:fill="FFFFFF"/>
        </w:rPr>
        <w:t>七、其他补充事宜</w:t>
      </w:r>
    </w:p>
    <w:p w14:paraId="4B571A41">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4"/>
          <w:szCs w:val="24"/>
        </w:rPr>
      </w:pPr>
      <w:r>
        <w:rPr>
          <w:rStyle w:val="29"/>
          <w:rFonts w:hint="eastAsia" w:ascii="宋体" w:hAnsi="宋体" w:eastAsia="宋体" w:cs="宋体"/>
          <w:b w:val="0"/>
          <w:bCs w:val="0"/>
          <w:i w:val="0"/>
          <w:iCs w:val="0"/>
          <w:caps w:val="0"/>
          <w:color w:val="auto"/>
          <w:spacing w:val="0"/>
          <w:sz w:val="24"/>
          <w:szCs w:val="24"/>
          <w:shd w:val="clear" w:fill="FFFFFF"/>
        </w:rPr>
        <w:t>（1）供应商可登录全国公共资源交易中心平台（陕西省） （http://www.sxggzyjy.cn/）,选择“电子交易平台-陕西政府采购交易系统-陕西省公共资源交易平台-供应商”进行登录，登录后选择“交易乙方”身份进入供应商界面进行报名。</w:t>
      </w:r>
    </w:p>
    <w:p w14:paraId="4199871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4"/>
          <w:szCs w:val="24"/>
        </w:rPr>
      </w:pPr>
      <w:r>
        <w:rPr>
          <w:rStyle w:val="29"/>
          <w:rFonts w:hint="eastAsia" w:ascii="宋体" w:hAnsi="宋体" w:eastAsia="宋体" w:cs="宋体"/>
          <w:b w:val="0"/>
          <w:bCs w:val="0"/>
          <w:i w:val="0"/>
          <w:iCs w:val="0"/>
          <w:caps w:val="0"/>
          <w:color w:val="auto"/>
          <w:spacing w:val="0"/>
          <w:sz w:val="24"/>
          <w:szCs w:val="24"/>
          <w:shd w:val="clear" w:fill="FFFFFF"/>
        </w:rPr>
        <w:t>（2）线上与线下投标确认需同时进行，线上投标确认成功后请携带网上投标确认回执单、单位介绍信原件、经办人身份证原件、复印件加盖公章到榆林腾达建诚信息咨询有限公司（陕西省榆林市榆阳区东环路绿园小区四排五号）进行线下确认，线上与线下投标确认信息须一致，否则视为无效。</w:t>
      </w:r>
    </w:p>
    <w:p w14:paraId="5A51CE2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4"/>
          <w:szCs w:val="24"/>
        </w:rPr>
      </w:pPr>
      <w:r>
        <w:rPr>
          <w:rStyle w:val="29"/>
          <w:rFonts w:hint="eastAsia" w:ascii="宋体" w:hAnsi="宋体" w:eastAsia="宋体" w:cs="宋体"/>
          <w:b w:val="0"/>
          <w:bCs w:val="0"/>
          <w:i w:val="0"/>
          <w:iCs w:val="0"/>
          <w:caps w:val="0"/>
          <w:color w:val="auto"/>
          <w:spacing w:val="0"/>
          <w:sz w:val="24"/>
          <w:szCs w:val="24"/>
          <w:shd w:val="clear" w:fill="FFFFFF"/>
        </w:rPr>
        <w:t>（3）请各供应商获取磋商文件后，按照陕西省财政厅《关于政府采购投标供应商注册登记有关事项的通知》要求，通过陕西省政府采购（http://www.ccgp-shaanxi.gov.cn/）注册登记加入陕西省政府采购投标供应商库。</w:t>
      </w:r>
    </w:p>
    <w:p w14:paraId="6E023AE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4"/>
          <w:szCs w:val="24"/>
        </w:rPr>
      </w:pPr>
      <w:r>
        <w:rPr>
          <w:rStyle w:val="29"/>
          <w:rFonts w:hint="eastAsia" w:ascii="宋体" w:hAnsi="宋体" w:eastAsia="宋体" w:cs="宋体"/>
          <w:b w:val="0"/>
          <w:bCs w:val="0"/>
          <w:i w:val="0"/>
          <w:iCs w:val="0"/>
          <w:caps w:val="0"/>
          <w:color w:val="auto"/>
          <w:spacing w:val="0"/>
          <w:sz w:val="24"/>
          <w:szCs w:val="24"/>
          <w:shd w:val="clear" w:fill="FFFFFF"/>
        </w:rPr>
        <w:t>（4）CA锁购买：榆林市市民大厦三楼E18、E19窗口办理，咨询电话0912-3452148、029-88661298或4006-369-888（陕西CA联系电话）。</w:t>
      </w:r>
    </w:p>
    <w:p w14:paraId="6033759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4"/>
          <w:szCs w:val="24"/>
        </w:rPr>
      </w:pPr>
      <w:r>
        <w:rPr>
          <w:rStyle w:val="29"/>
          <w:rFonts w:hint="eastAsia" w:ascii="宋体" w:hAnsi="宋体" w:eastAsia="宋体" w:cs="宋体"/>
          <w:b/>
          <w:bCs/>
          <w:i w:val="0"/>
          <w:iCs w:val="0"/>
          <w:caps w:val="0"/>
          <w:color w:val="auto"/>
          <w:spacing w:val="0"/>
          <w:sz w:val="24"/>
          <w:szCs w:val="24"/>
          <w:shd w:val="clear" w:fill="FFFFFF"/>
        </w:rPr>
        <w:t>八、对本次招标提出询问，请按以下方式联系。</w:t>
      </w:r>
    </w:p>
    <w:p w14:paraId="7BAD10C7">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rPr>
        <w:t>1.采购人信息</w:t>
      </w:r>
    </w:p>
    <w:p w14:paraId="42D37759">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名称：清涧县住房和城乡建设局</w:t>
      </w:r>
    </w:p>
    <w:p w14:paraId="4D0ADB4C">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地址：陕西省榆林市清涧县西城区</w:t>
      </w:r>
    </w:p>
    <w:p w14:paraId="28B0C4F3">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联系方式：15332595522</w:t>
      </w:r>
    </w:p>
    <w:p w14:paraId="08094EED">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rPr>
        <w:t>2.采购代理机构信息</w:t>
      </w:r>
    </w:p>
    <w:p w14:paraId="6B7B5376">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名称：榆林腾达建诚信息咨询有限公司</w:t>
      </w:r>
    </w:p>
    <w:p w14:paraId="22BFF65B">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地址：陕西省榆林市榆阳区东环路绿园小区四排五号</w:t>
      </w:r>
    </w:p>
    <w:p w14:paraId="72E98178">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联系方式：18109129286</w:t>
      </w:r>
    </w:p>
    <w:p w14:paraId="183FB034">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rPr>
        <w:t>3.项目联系方式</w:t>
      </w:r>
    </w:p>
    <w:p w14:paraId="3CBE0C6F">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项目联系人：白琳</w:t>
      </w:r>
    </w:p>
    <w:p w14:paraId="02FDC802">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电话：18109129286</w:t>
      </w:r>
    </w:p>
    <w:p w14:paraId="43822B59">
      <w:pPr>
        <w:keepNext w:val="0"/>
        <w:keepLines w:val="0"/>
        <w:pageBreakBefore w:val="0"/>
        <w:kinsoku/>
        <w:overflowPunct/>
        <w:topLinePunct w:val="0"/>
        <w:autoSpaceDE/>
        <w:autoSpaceDN/>
        <w:bidi w:val="0"/>
        <w:adjustRightInd/>
        <w:snapToGrid/>
        <w:spacing w:line="360" w:lineRule="auto"/>
        <w:ind w:left="0"/>
        <w:textAlignment w:val="auto"/>
        <w:rPr>
          <w:rFonts w:hint="eastAsia" w:ascii="宋体" w:hAnsi="宋体" w:eastAsia="宋体" w:cs="宋体"/>
          <w:color w:val="000000" w:themeColor="text1"/>
          <w:sz w:val="24"/>
          <w:szCs w:val="24"/>
          <w14:textFill>
            <w14:solidFill>
              <w14:schemeClr w14:val="tx1"/>
            </w14:solidFill>
          </w14:textFill>
        </w:rPr>
      </w:pPr>
    </w:p>
    <w:p w14:paraId="37843CB2">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360" w:lineRule="auto"/>
        <w:ind w:left="0" w:right="0" w:firstLine="480"/>
        <w:jc w:val="both"/>
        <w:textAlignment w:val="auto"/>
        <w:rPr>
          <w:rFonts w:hint="eastAsia" w:ascii="宋体" w:hAnsi="宋体" w:eastAsia="宋体" w:cs="宋体"/>
          <w:color w:val="000000" w:themeColor="text1"/>
          <w:sz w:val="24"/>
          <w:szCs w:val="24"/>
          <w:lang w:eastAsia="zh-CN"/>
          <w14:textFill>
            <w14:solidFill>
              <w14:schemeClr w14:val="tx1"/>
            </w14:solidFill>
          </w14:textFill>
        </w:rPr>
      </w:pPr>
    </w:p>
    <w:p w14:paraId="67AD0BD6">
      <w:pPr>
        <w:keepNext w:val="0"/>
        <w:keepLines w:val="0"/>
        <w:pageBreakBefore w:val="0"/>
        <w:kinsoku/>
        <w:overflowPunct/>
        <w:topLinePunct w:val="0"/>
        <w:autoSpaceDE/>
        <w:autoSpaceDN/>
        <w:bidi w:val="0"/>
        <w:adjustRightInd/>
        <w:snapToGrid/>
        <w:spacing w:line="360" w:lineRule="auto"/>
        <w:ind w:left="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br w:type="page"/>
      </w:r>
    </w:p>
    <w:p w14:paraId="2946354A">
      <w:pPr>
        <w:pStyle w:val="2"/>
        <w:pageBreakBefore w:val="0"/>
        <w:topLinePunct w:val="0"/>
        <w:bidi w:val="0"/>
        <w:spacing w:before="0" w:after="0" w:line="500" w:lineRule="exact"/>
        <w:ind w:left="0" w:leftChars="0" w:righ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第二章 供应商须知</w:t>
      </w:r>
      <w:bookmarkEnd w:id="10"/>
      <w:bookmarkEnd w:id="11"/>
      <w:bookmarkEnd w:id="12"/>
      <w:bookmarkEnd w:id="13"/>
      <w:bookmarkEnd w:id="14"/>
    </w:p>
    <w:p w14:paraId="2031626C">
      <w:pPr>
        <w:pStyle w:val="3"/>
        <w:keepNext/>
        <w:keepLines/>
        <w:pageBreakBefore w:val="0"/>
        <w:widowControl w:val="0"/>
        <w:kinsoku/>
        <w:wordWrap/>
        <w:overflowPunct/>
        <w:topLinePunct w:val="0"/>
        <w:autoSpaceDE/>
        <w:autoSpaceDN/>
        <w:bidi w:val="0"/>
        <w:adjustRightInd/>
        <w:snapToGrid/>
        <w:spacing w:before="0" w:after="0" w:line="500" w:lineRule="exact"/>
        <w:ind w:left="0" w:leftChars="0" w:right="0"/>
        <w:jc w:val="center"/>
        <w:textAlignment w:val="auto"/>
        <w:rPr>
          <w:rFonts w:hint="eastAsia" w:ascii="宋体" w:hAnsi="宋体" w:eastAsia="宋体" w:cs="宋体"/>
          <w:color w:val="auto"/>
          <w:sz w:val="15"/>
          <w:szCs w:val="15"/>
          <w:highlight w:val="none"/>
        </w:rPr>
      </w:pPr>
      <w:bookmarkStart w:id="15" w:name="_Toc28918"/>
      <w:bookmarkStart w:id="16" w:name="_Toc32309"/>
      <w:bookmarkStart w:id="17" w:name="_Toc30624"/>
      <w:bookmarkStart w:id="18" w:name="_Toc25795"/>
      <w:bookmarkStart w:id="19" w:name="_Toc13869"/>
      <w:bookmarkStart w:id="20" w:name="_Toc7032"/>
      <w:bookmarkStart w:id="21" w:name="_Toc909"/>
      <w:bookmarkStart w:id="22" w:name="_Toc23304"/>
      <w:bookmarkStart w:id="23" w:name="_Toc18614"/>
      <w:bookmarkStart w:id="24" w:name="_Toc6319"/>
      <w:bookmarkStart w:id="25" w:name="_Toc21011"/>
      <w:bookmarkStart w:id="26" w:name="_Toc12137"/>
      <w:bookmarkStart w:id="27" w:name="_Toc7448"/>
      <w:bookmarkStart w:id="28" w:name="_Toc26603"/>
      <w:r>
        <w:rPr>
          <w:rFonts w:hint="eastAsia" w:ascii="宋体" w:hAnsi="宋体" w:eastAsia="宋体" w:cs="宋体"/>
          <w:color w:val="auto"/>
          <w:sz w:val="28"/>
          <w:szCs w:val="28"/>
          <w:highlight w:val="none"/>
        </w:rPr>
        <w:t>供应商须知前附表</w:t>
      </w:r>
      <w:bookmarkEnd w:id="15"/>
      <w:bookmarkEnd w:id="16"/>
      <w:bookmarkEnd w:id="17"/>
      <w:bookmarkEnd w:id="18"/>
      <w:bookmarkEnd w:id="19"/>
      <w:bookmarkEnd w:id="20"/>
      <w:bookmarkEnd w:id="21"/>
      <w:bookmarkEnd w:id="22"/>
      <w:bookmarkEnd w:id="23"/>
      <w:bookmarkEnd w:id="24"/>
      <w:bookmarkEnd w:id="25"/>
      <w:bookmarkEnd w:id="26"/>
      <w:bookmarkEnd w:id="27"/>
      <w:bookmarkEnd w:id="28"/>
    </w:p>
    <w:tbl>
      <w:tblPr>
        <w:tblStyle w:val="26"/>
        <w:tblW w:w="9093" w:type="dxa"/>
        <w:tblInd w:w="-1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1330"/>
        <w:gridCol w:w="7107"/>
      </w:tblGrid>
      <w:tr w14:paraId="50D71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6" w:type="dxa"/>
            <w:vAlign w:val="center"/>
          </w:tcPr>
          <w:p w14:paraId="54032F30">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1330" w:type="dxa"/>
            <w:vAlign w:val="center"/>
          </w:tcPr>
          <w:p w14:paraId="7D1E7460">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条款名称</w:t>
            </w:r>
          </w:p>
        </w:tc>
        <w:tc>
          <w:tcPr>
            <w:tcW w:w="7107" w:type="dxa"/>
            <w:vAlign w:val="center"/>
          </w:tcPr>
          <w:p w14:paraId="0AD680EC">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说明和要求</w:t>
            </w:r>
          </w:p>
        </w:tc>
      </w:tr>
      <w:tr w14:paraId="222FD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6" w:type="dxa"/>
            <w:vAlign w:val="center"/>
          </w:tcPr>
          <w:p w14:paraId="7E2039EC">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330" w:type="dxa"/>
            <w:vAlign w:val="center"/>
          </w:tcPr>
          <w:p w14:paraId="68CBC45F">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采购人</w:t>
            </w:r>
          </w:p>
        </w:tc>
        <w:tc>
          <w:tcPr>
            <w:tcW w:w="7107" w:type="dxa"/>
          </w:tcPr>
          <w:p w14:paraId="2F3FD6A4">
            <w:pPr>
              <w:keepNext w:val="0"/>
              <w:keepLines w:val="0"/>
              <w:pageBreakBefore w:val="0"/>
              <w:kinsoku/>
              <w:wordWrap/>
              <w:overflowPunct/>
              <w:topLinePunct w:val="0"/>
              <w:autoSpaceDE/>
              <w:autoSpaceDN/>
              <w:bidi w:val="0"/>
              <w:adjustRightInd/>
              <w:spacing w:line="360" w:lineRule="auto"/>
              <w:ind w:left="0" w:leftChars="0" w:right="0"/>
              <w:rPr>
                <w:rFonts w:hint="eastAsia" w:ascii="宋体" w:hAnsi="宋体" w:eastAsia="宋体" w:cs="宋体"/>
                <w:i w:val="0"/>
                <w:iCs w:val="0"/>
                <w:caps w:val="0"/>
                <w:color w:val="auto"/>
                <w:spacing w:val="0"/>
                <w:kern w:val="0"/>
                <w:sz w:val="24"/>
                <w:szCs w:val="24"/>
                <w:highlight w:val="none"/>
                <w:shd w:val="clear" w:fill="FFFFFF"/>
                <w:vertAlign w:val="baseline"/>
                <w:lang w:val="en-US" w:eastAsia="zh-CN" w:bidi="ar"/>
              </w:rPr>
            </w:pPr>
            <w:r>
              <w:rPr>
                <w:rFonts w:hint="eastAsia" w:ascii="宋体" w:hAnsi="宋体" w:eastAsia="宋体" w:cs="宋体"/>
                <w:i w:val="0"/>
                <w:iCs w:val="0"/>
                <w:caps w:val="0"/>
                <w:color w:val="auto"/>
                <w:spacing w:val="0"/>
                <w:kern w:val="0"/>
                <w:sz w:val="24"/>
                <w:szCs w:val="24"/>
                <w:highlight w:val="none"/>
                <w:shd w:val="clear" w:fill="FFFFFF"/>
                <w:vertAlign w:val="baseline"/>
                <w:lang w:val="en-US" w:eastAsia="zh-CN" w:bidi="ar"/>
              </w:rPr>
              <w:t>名称：</w:t>
            </w:r>
            <w:r>
              <w:rPr>
                <w:rFonts w:hint="eastAsia" w:ascii="宋体" w:hAnsi="宋体" w:cs="宋体"/>
                <w:i w:val="0"/>
                <w:iCs w:val="0"/>
                <w:caps w:val="0"/>
                <w:color w:val="auto"/>
                <w:spacing w:val="0"/>
                <w:kern w:val="0"/>
                <w:sz w:val="24"/>
                <w:szCs w:val="24"/>
                <w:highlight w:val="none"/>
                <w:shd w:val="clear" w:fill="FFFFFF"/>
                <w:vertAlign w:val="baseline"/>
                <w:lang w:val="en-US" w:eastAsia="zh-CN" w:bidi="ar"/>
              </w:rPr>
              <w:t>清涧县住房和城乡建设局</w:t>
            </w:r>
          </w:p>
          <w:p w14:paraId="691CD432">
            <w:pPr>
              <w:keepNext w:val="0"/>
              <w:keepLines w:val="0"/>
              <w:pageBreakBefore w:val="0"/>
              <w:kinsoku/>
              <w:wordWrap/>
              <w:overflowPunct/>
              <w:topLinePunct w:val="0"/>
              <w:autoSpaceDE/>
              <w:autoSpaceDN/>
              <w:bidi w:val="0"/>
              <w:adjustRightInd/>
              <w:spacing w:line="360" w:lineRule="auto"/>
              <w:ind w:left="0" w:leftChars="0" w:right="0"/>
              <w:rPr>
                <w:rFonts w:hint="eastAsia" w:ascii="宋体" w:hAnsi="宋体" w:eastAsia="宋体" w:cs="宋体"/>
                <w:i w:val="0"/>
                <w:iCs w:val="0"/>
                <w:caps w:val="0"/>
                <w:color w:val="auto"/>
                <w:spacing w:val="0"/>
                <w:kern w:val="0"/>
                <w:sz w:val="24"/>
                <w:szCs w:val="24"/>
                <w:highlight w:val="none"/>
                <w:shd w:val="clear" w:fill="FFFFFF"/>
                <w:vertAlign w:val="baseline"/>
                <w:lang w:val="en-US" w:eastAsia="zh-CN" w:bidi="ar"/>
              </w:rPr>
            </w:pPr>
            <w:r>
              <w:rPr>
                <w:rFonts w:hint="eastAsia" w:ascii="宋体" w:hAnsi="宋体" w:eastAsia="宋体" w:cs="宋体"/>
                <w:i w:val="0"/>
                <w:iCs w:val="0"/>
                <w:caps w:val="0"/>
                <w:color w:val="auto"/>
                <w:spacing w:val="0"/>
                <w:kern w:val="0"/>
                <w:sz w:val="24"/>
                <w:szCs w:val="24"/>
                <w:highlight w:val="none"/>
                <w:shd w:val="clear" w:fill="FFFFFF"/>
                <w:vertAlign w:val="baseline"/>
                <w:lang w:val="en-US" w:eastAsia="zh-CN" w:bidi="ar"/>
              </w:rPr>
              <w:t>地址：</w:t>
            </w:r>
            <w:r>
              <w:rPr>
                <w:rFonts w:hint="eastAsia" w:ascii="宋体" w:hAnsi="宋体" w:cs="宋体"/>
                <w:i w:val="0"/>
                <w:iCs w:val="0"/>
                <w:caps w:val="0"/>
                <w:color w:val="auto"/>
                <w:spacing w:val="0"/>
                <w:kern w:val="0"/>
                <w:sz w:val="24"/>
                <w:szCs w:val="24"/>
                <w:highlight w:val="none"/>
                <w:shd w:val="clear" w:fill="FFFFFF"/>
                <w:vertAlign w:val="baseline"/>
                <w:lang w:val="en-US" w:eastAsia="zh-CN" w:bidi="ar"/>
              </w:rPr>
              <w:t>陕西省榆林市清涧县西城区</w:t>
            </w:r>
          </w:p>
          <w:p w14:paraId="3671AD66">
            <w:pPr>
              <w:keepNext w:val="0"/>
              <w:keepLines w:val="0"/>
              <w:pageBreakBefore w:val="0"/>
              <w:kinsoku/>
              <w:wordWrap/>
              <w:overflowPunct/>
              <w:topLinePunct w:val="0"/>
              <w:autoSpaceDE/>
              <w:autoSpaceDN/>
              <w:bidi w:val="0"/>
              <w:adjustRightInd/>
              <w:spacing w:line="360" w:lineRule="auto"/>
              <w:ind w:left="0" w:leftChars="0" w:right="0"/>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aps w:val="0"/>
                <w:color w:val="auto"/>
                <w:spacing w:val="0"/>
                <w:kern w:val="0"/>
                <w:sz w:val="24"/>
                <w:szCs w:val="24"/>
                <w:highlight w:val="none"/>
                <w:shd w:val="clear" w:fill="FFFFFF"/>
                <w:vertAlign w:val="baseline"/>
                <w:lang w:val="en-US" w:eastAsia="zh-CN" w:bidi="ar"/>
              </w:rPr>
              <w:t>联系方式：</w:t>
            </w:r>
            <w:r>
              <w:rPr>
                <w:rFonts w:hint="eastAsia" w:ascii="宋体" w:hAnsi="宋体" w:cs="宋体"/>
                <w:i w:val="0"/>
                <w:iCs w:val="0"/>
                <w:caps w:val="0"/>
                <w:color w:val="auto"/>
                <w:spacing w:val="0"/>
                <w:kern w:val="0"/>
                <w:sz w:val="24"/>
                <w:szCs w:val="24"/>
                <w:highlight w:val="none"/>
                <w:shd w:val="clear" w:fill="FFFFFF"/>
                <w:vertAlign w:val="baseline"/>
                <w:lang w:val="en-US" w:eastAsia="zh-CN" w:bidi="ar"/>
              </w:rPr>
              <w:t>15332595522</w:t>
            </w:r>
          </w:p>
        </w:tc>
      </w:tr>
      <w:tr w14:paraId="50EB2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6" w:type="dxa"/>
            <w:vAlign w:val="center"/>
          </w:tcPr>
          <w:p w14:paraId="32054840">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330" w:type="dxa"/>
            <w:vAlign w:val="center"/>
          </w:tcPr>
          <w:p w14:paraId="487A3AC5">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采购代理机构</w:t>
            </w:r>
          </w:p>
        </w:tc>
        <w:tc>
          <w:tcPr>
            <w:tcW w:w="7107" w:type="dxa"/>
          </w:tcPr>
          <w:p w14:paraId="5BAEF461">
            <w:pPr>
              <w:keepNext w:val="0"/>
              <w:keepLines w:val="0"/>
              <w:pageBreakBefore w:val="0"/>
              <w:kinsoku/>
              <w:wordWrap/>
              <w:overflowPunct/>
              <w:topLinePunct w:val="0"/>
              <w:autoSpaceDE/>
              <w:autoSpaceDN/>
              <w:bidi w:val="0"/>
              <w:adjustRightInd/>
              <w:spacing w:line="360" w:lineRule="auto"/>
              <w:ind w:left="0" w:leftChars="0" w:right="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采购代理机构名称：</w:t>
            </w:r>
            <w:r>
              <w:rPr>
                <w:rFonts w:hint="eastAsia" w:ascii="宋体" w:hAnsi="宋体" w:cs="宋体"/>
                <w:color w:val="auto"/>
                <w:sz w:val="24"/>
                <w:szCs w:val="24"/>
                <w:highlight w:val="none"/>
                <w:lang w:val="zh-CN"/>
              </w:rPr>
              <w:t>榆林腾达建诚信息咨询有限公司</w:t>
            </w:r>
          </w:p>
          <w:p w14:paraId="62E94220">
            <w:pPr>
              <w:keepNext w:val="0"/>
              <w:keepLines w:val="0"/>
              <w:pageBreakBefore w:val="0"/>
              <w:kinsoku/>
              <w:wordWrap/>
              <w:overflowPunct/>
              <w:topLinePunct w:val="0"/>
              <w:autoSpaceDE/>
              <w:autoSpaceDN/>
              <w:bidi w:val="0"/>
              <w:adjustRightInd/>
              <w:spacing w:line="360" w:lineRule="auto"/>
              <w:ind w:left="0" w:leftChars="0" w:right="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地址：</w:t>
            </w:r>
            <w:r>
              <w:rPr>
                <w:rFonts w:hint="eastAsia" w:ascii="宋体" w:hAnsi="宋体" w:eastAsia="宋体" w:cs="宋体"/>
                <w:i w:val="0"/>
                <w:iCs w:val="0"/>
                <w:caps w:val="0"/>
                <w:color w:val="auto"/>
                <w:spacing w:val="0"/>
                <w:kern w:val="0"/>
                <w:sz w:val="24"/>
                <w:szCs w:val="24"/>
                <w:highlight w:val="none"/>
                <w:shd w:val="clear" w:fill="FFFFFF"/>
                <w:vertAlign w:val="baseline"/>
                <w:lang w:val="en-US" w:eastAsia="zh-CN" w:bidi="ar"/>
              </w:rPr>
              <w:t>陕西省榆林市榆阳区东环路绿园小区四排五号</w:t>
            </w:r>
          </w:p>
          <w:p w14:paraId="4588076A">
            <w:pPr>
              <w:keepNext w:val="0"/>
              <w:keepLines w:val="0"/>
              <w:pageBreakBefore w:val="0"/>
              <w:kinsoku/>
              <w:wordWrap/>
              <w:overflowPunct/>
              <w:topLinePunct w:val="0"/>
              <w:autoSpaceDE/>
              <w:autoSpaceDN/>
              <w:bidi w:val="0"/>
              <w:adjustRightInd/>
              <w:spacing w:line="360" w:lineRule="auto"/>
              <w:ind w:left="0" w:leftChars="0" w:right="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联系人：</w:t>
            </w:r>
            <w:r>
              <w:rPr>
                <w:rFonts w:hint="eastAsia" w:ascii="宋体" w:hAnsi="宋体" w:cs="宋体"/>
                <w:i w:val="0"/>
                <w:iCs w:val="0"/>
                <w:caps w:val="0"/>
                <w:color w:val="auto"/>
                <w:spacing w:val="0"/>
                <w:kern w:val="0"/>
                <w:sz w:val="24"/>
                <w:szCs w:val="24"/>
                <w:highlight w:val="none"/>
                <w:shd w:val="clear" w:fill="FFFFFF"/>
                <w:vertAlign w:val="baseline"/>
                <w:lang w:val="en-US" w:eastAsia="zh-CN" w:bidi="ar"/>
              </w:rPr>
              <w:t>白琳</w:t>
            </w:r>
          </w:p>
          <w:p w14:paraId="6A786764">
            <w:pPr>
              <w:keepNext w:val="0"/>
              <w:keepLines w:val="0"/>
              <w:pageBreakBefore w:val="0"/>
              <w:kinsoku/>
              <w:wordWrap/>
              <w:overflowPunct/>
              <w:topLinePunct w:val="0"/>
              <w:autoSpaceDE/>
              <w:autoSpaceDN/>
              <w:bidi w:val="0"/>
              <w:adjustRightInd/>
              <w:spacing w:line="360" w:lineRule="auto"/>
              <w:ind w:left="0" w:leftChars="0" w:right="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zh-CN"/>
              </w:rPr>
              <w:t>电话：</w:t>
            </w:r>
            <w:r>
              <w:rPr>
                <w:rFonts w:hint="eastAsia" w:ascii="宋体" w:hAnsi="宋体" w:cs="宋体"/>
                <w:i w:val="0"/>
                <w:iCs w:val="0"/>
                <w:caps w:val="0"/>
                <w:color w:val="auto"/>
                <w:spacing w:val="0"/>
                <w:kern w:val="0"/>
                <w:sz w:val="24"/>
                <w:szCs w:val="24"/>
                <w:highlight w:val="none"/>
                <w:shd w:val="clear" w:fill="FFFFFF"/>
                <w:vertAlign w:val="baseline"/>
                <w:lang w:val="en-US" w:eastAsia="zh-CN" w:bidi="ar"/>
              </w:rPr>
              <w:t>18109129286</w:t>
            </w:r>
          </w:p>
        </w:tc>
      </w:tr>
      <w:tr w14:paraId="26BFE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6" w:type="dxa"/>
            <w:vAlign w:val="center"/>
          </w:tcPr>
          <w:p w14:paraId="11BE0B05">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330" w:type="dxa"/>
            <w:vAlign w:val="center"/>
          </w:tcPr>
          <w:p w14:paraId="24C319CD">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i w:val="0"/>
                <w:iCs w:val="0"/>
                <w:caps w:val="0"/>
                <w:color w:val="auto"/>
                <w:spacing w:val="0"/>
                <w:kern w:val="0"/>
                <w:sz w:val="24"/>
                <w:szCs w:val="24"/>
                <w:highlight w:val="none"/>
                <w:shd w:val="clear" w:fill="FFFFFF"/>
                <w:vertAlign w:val="baseline"/>
                <w:lang w:val="zh-CN" w:eastAsia="zh-CN" w:bidi="ar"/>
              </w:rPr>
            </w:pPr>
            <w:r>
              <w:rPr>
                <w:rFonts w:hint="eastAsia" w:ascii="宋体" w:hAnsi="宋体" w:eastAsia="宋体" w:cs="宋体"/>
                <w:i w:val="0"/>
                <w:iCs w:val="0"/>
                <w:caps w:val="0"/>
                <w:color w:val="auto"/>
                <w:spacing w:val="0"/>
                <w:kern w:val="0"/>
                <w:sz w:val="24"/>
                <w:szCs w:val="24"/>
                <w:highlight w:val="none"/>
                <w:shd w:val="clear" w:fill="FFFFFF"/>
                <w:vertAlign w:val="baseline"/>
                <w:lang w:val="zh-CN" w:eastAsia="zh-CN" w:bidi="ar"/>
              </w:rPr>
              <w:t>监督管理机构</w:t>
            </w:r>
          </w:p>
        </w:tc>
        <w:tc>
          <w:tcPr>
            <w:tcW w:w="7107" w:type="dxa"/>
            <w:vAlign w:val="center"/>
          </w:tcPr>
          <w:p w14:paraId="6967A761">
            <w:pPr>
              <w:keepNext w:val="0"/>
              <w:keepLines w:val="0"/>
              <w:pageBreakBefore w:val="0"/>
              <w:kinsoku/>
              <w:wordWrap/>
              <w:overflowPunct/>
              <w:topLinePunct w:val="0"/>
              <w:autoSpaceDE/>
              <w:autoSpaceDN/>
              <w:bidi w:val="0"/>
              <w:adjustRightInd/>
              <w:spacing w:line="360" w:lineRule="auto"/>
              <w:ind w:left="0" w:leftChars="0" w:right="0"/>
              <w:jc w:val="both"/>
              <w:rPr>
                <w:rFonts w:hint="eastAsia" w:ascii="宋体" w:hAnsi="宋体" w:eastAsia="宋体" w:cs="宋体"/>
                <w:i w:val="0"/>
                <w:iCs w:val="0"/>
                <w:caps w:val="0"/>
                <w:color w:val="auto"/>
                <w:spacing w:val="0"/>
                <w:kern w:val="0"/>
                <w:sz w:val="24"/>
                <w:szCs w:val="24"/>
                <w:highlight w:val="none"/>
                <w:shd w:val="clear" w:fill="FFFFFF"/>
                <w:vertAlign w:val="baseline"/>
                <w:lang w:val="zh-CN" w:eastAsia="zh-CN" w:bidi="ar"/>
              </w:rPr>
            </w:pPr>
            <w:r>
              <w:rPr>
                <w:rFonts w:hint="eastAsia" w:ascii="宋体" w:hAnsi="宋体" w:cs="宋体"/>
                <w:i w:val="0"/>
                <w:iCs w:val="0"/>
                <w:caps w:val="0"/>
                <w:color w:val="auto"/>
                <w:spacing w:val="0"/>
                <w:kern w:val="0"/>
                <w:sz w:val="24"/>
                <w:szCs w:val="24"/>
                <w:highlight w:val="none"/>
                <w:shd w:val="clear" w:fill="FFFFFF"/>
                <w:vertAlign w:val="baseline"/>
                <w:lang w:val="en-US" w:eastAsia="zh-CN" w:bidi="ar"/>
              </w:rPr>
              <w:t>清涧</w:t>
            </w:r>
            <w:r>
              <w:rPr>
                <w:rFonts w:hint="eastAsia" w:ascii="宋体" w:hAnsi="宋体" w:eastAsia="宋体" w:cs="宋体"/>
                <w:i w:val="0"/>
                <w:iCs w:val="0"/>
                <w:caps w:val="0"/>
                <w:color w:val="auto"/>
                <w:spacing w:val="0"/>
                <w:kern w:val="0"/>
                <w:sz w:val="24"/>
                <w:szCs w:val="24"/>
                <w:highlight w:val="none"/>
                <w:shd w:val="clear" w:fill="FFFFFF"/>
                <w:vertAlign w:val="baseline"/>
                <w:lang w:val="zh-CN" w:eastAsia="zh-CN" w:bidi="ar"/>
              </w:rPr>
              <w:t>县财政局</w:t>
            </w:r>
          </w:p>
        </w:tc>
      </w:tr>
      <w:tr w14:paraId="42502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6" w:type="dxa"/>
            <w:vAlign w:val="center"/>
          </w:tcPr>
          <w:p w14:paraId="3ACF7E82">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1330" w:type="dxa"/>
            <w:vAlign w:val="center"/>
          </w:tcPr>
          <w:p w14:paraId="3D351C9A">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项目名称</w:t>
            </w:r>
          </w:p>
        </w:tc>
        <w:tc>
          <w:tcPr>
            <w:tcW w:w="7107" w:type="dxa"/>
            <w:vAlign w:val="center"/>
          </w:tcPr>
          <w:p w14:paraId="7753DADD">
            <w:pPr>
              <w:keepNext w:val="0"/>
              <w:keepLines w:val="0"/>
              <w:pageBreakBefore w:val="0"/>
              <w:kinsoku/>
              <w:wordWrap/>
              <w:overflowPunct/>
              <w:topLinePunct w:val="0"/>
              <w:autoSpaceDE/>
              <w:autoSpaceDN/>
              <w:bidi w:val="0"/>
              <w:adjustRightInd/>
              <w:spacing w:line="360" w:lineRule="auto"/>
              <w:ind w:left="0" w:leftChars="0" w:right="0"/>
              <w:rPr>
                <w:rFonts w:hint="eastAsia" w:ascii="宋体" w:hAnsi="宋体" w:eastAsia="宋体" w:cs="宋体"/>
                <w:color w:val="auto"/>
                <w:sz w:val="24"/>
                <w:szCs w:val="24"/>
                <w:highlight w:val="none"/>
                <w:lang w:val="zh-CN" w:eastAsia="zh-CN"/>
              </w:rPr>
            </w:pPr>
            <w:r>
              <w:rPr>
                <w:rFonts w:hint="eastAsia" w:ascii="宋体" w:hAnsi="宋体" w:cs="宋体"/>
                <w:color w:val="auto"/>
                <w:sz w:val="24"/>
                <w:szCs w:val="24"/>
                <w:highlight w:val="none"/>
                <w:lang w:val="zh-CN" w:eastAsia="zh-CN"/>
              </w:rPr>
              <w:t>清涧县第三污水处理厂及配套管网工程建设项目(配套管网延伸工程)监理</w:t>
            </w:r>
          </w:p>
        </w:tc>
      </w:tr>
      <w:tr w14:paraId="60839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6" w:type="dxa"/>
            <w:vAlign w:val="center"/>
          </w:tcPr>
          <w:p w14:paraId="69CFCEE3">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330" w:type="dxa"/>
            <w:vAlign w:val="center"/>
          </w:tcPr>
          <w:p w14:paraId="06CDA043">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项目编号</w:t>
            </w:r>
          </w:p>
        </w:tc>
        <w:tc>
          <w:tcPr>
            <w:tcW w:w="7107" w:type="dxa"/>
          </w:tcPr>
          <w:p w14:paraId="513F4866">
            <w:pPr>
              <w:keepNext w:val="0"/>
              <w:keepLines w:val="0"/>
              <w:pageBreakBefore w:val="0"/>
              <w:kinsoku/>
              <w:wordWrap/>
              <w:overflowPunct/>
              <w:topLinePunct w:val="0"/>
              <w:autoSpaceDE/>
              <w:autoSpaceDN/>
              <w:bidi w:val="0"/>
              <w:adjustRightInd/>
              <w:spacing w:line="360" w:lineRule="auto"/>
              <w:ind w:left="0" w:leftChars="0" w:right="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eastAsia="zh-CN"/>
              </w:rPr>
              <w:t>TDJC2026-02</w:t>
            </w:r>
          </w:p>
        </w:tc>
      </w:tr>
      <w:tr w14:paraId="55244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6" w:type="dxa"/>
            <w:vAlign w:val="center"/>
          </w:tcPr>
          <w:p w14:paraId="1C30A057">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1330" w:type="dxa"/>
            <w:vAlign w:val="center"/>
          </w:tcPr>
          <w:p w14:paraId="024212A6">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资金性质</w:t>
            </w:r>
          </w:p>
        </w:tc>
        <w:tc>
          <w:tcPr>
            <w:tcW w:w="7107" w:type="dxa"/>
          </w:tcPr>
          <w:p w14:paraId="17769F0D">
            <w:pPr>
              <w:keepNext w:val="0"/>
              <w:keepLines w:val="0"/>
              <w:pageBreakBefore w:val="0"/>
              <w:kinsoku/>
              <w:wordWrap/>
              <w:overflowPunct/>
              <w:topLinePunct w:val="0"/>
              <w:autoSpaceDE/>
              <w:autoSpaceDN/>
              <w:bidi w:val="0"/>
              <w:adjustRightInd/>
              <w:spacing w:line="360" w:lineRule="auto"/>
              <w:ind w:left="0" w:leftChars="0" w:right="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财政资金</w:t>
            </w:r>
          </w:p>
        </w:tc>
      </w:tr>
      <w:tr w14:paraId="27318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6" w:type="dxa"/>
            <w:vAlign w:val="center"/>
          </w:tcPr>
          <w:p w14:paraId="2744B035">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1330" w:type="dxa"/>
            <w:vAlign w:val="center"/>
          </w:tcPr>
          <w:p w14:paraId="4561F0A3">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项目预算</w:t>
            </w:r>
          </w:p>
        </w:tc>
        <w:tc>
          <w:tcPr>
            <w:tcW w:w="7107" w:type="dxa"/>
          </w:tcPr>
          <w:p w14:paraId="123CE72E">
            <w:pPr>
              <w:keepNext w:val="0"/>
              <w:keepLines w:val="0"/>
              <w:pageBreakBefore w:val="0"/>
              <w:kinsoku/>
              <w:wordWrap/>
              <w:overflowPunct/>
              <w:topLinePunct w:val="0"/>
              <w:autoSpaceDE/>
              <w:autoSpaceDN/>
              <w:bidi w:val="0"/>
              <w:adjustRightInd/>
              <w:spacing w:line="360" w:lineRule="auto"/>
              <w:ind w:left="0" w:leftChars="0" w:right="0"/>
              <w:rPr>
                <w:rFonts w:hint="eastAsia" w:ascii="宋体" w:hAnsi="宋体" w:eastAsia="宋体" w:cs="宋体"/>
                <w:color w:val="auto"/>
                <w:sz w:val="24"/>
                <w:szCs w:val="24"/>
                <w:highlight w:val="none"/>
                <w:lang w:val="zh-CN"/>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预算金额：</w:t>
            </w:r>
            <w:r>
              <w:rPr>
                <w:rFonts w:hint="eastAsia" w:ascii="宋体" w:hAnsi="宋体" w:cs="宋体"/>
                <w:color w:val="000000" w:themeColor="text1"/>
                <w:sz w:val="24"/>
                <w:szCs w:val="24"/>
                <w:highlight w:val="none"/>
                <w:lang w:val="en-US" w:eastAsia="zh-CN"/>
                <w14:textFill>
                  <w14:solidFill>
                    <w14:schemeClr w14:val="tx1"/>
                  </w14:solidFill>
                </w14:textFill>
              </w:rPr>
              <w:t>42</w:t>
            </w:r>
            <w:r>
              <w:rPr>
                <w:rFonts w:hint="eastAsia" w:ascii="宋体" w:hAnsi="宋体" w:eastAsia="宋体" w:cs="宋体"/>
                <w:color w:val="000000" w:themeColor="text1"/>
                <w:sz w:val="24"/>
                <w:szCs w:val="24"/>
                <w:highlight w:val="none"/>
                <w:lang w:val="en-US" w:eastAsia="zh-CN"/>
                <w14:textFill>
                  <w14:solidFill>
                    <w14:schemeClr w14:val="tx1"/>
                  </w14:solidFill>
                </w14:textFill>
              </w:rPr>
              <w:t>0000.00元</w:t>
            </w:r>
            <w:r>
              <w:rPr>
                <w:rFonts w:hint="eastAsia" w:ascii="宋体" w:hAnsi="宋体" w:eastAsia="宋体" w:cs="宋体"/>
                <w:color w:val="000000" w:themeColor="text1"/>
                <w:sz w:val="24"/>
                <w:szCs w:val="24"/>
                <w:highlight w:val="none"/>
                <w:lang w:val="zh-CN"/>
                <w14:textFill>
                  <w14:solidFill>
                    <w14:schemeClr w14:val="tx1"/>
                  </w14:solidFill>
                </w14:textFill>
              </w:rPr>
              <w:t>（报价大于或等于预算价时，按无效报价处理，且不进第二轮报价）。</w:t>
            </w:r>
          </w:p>
        </w:tc>
      </w:tr>
      <w:tr w14:paraId="24CB3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6" w:type="dxa"/>
            <w:vAlign w:val="center"/>
          </w:tcPr>
          <w:p w14:paraId="17CF7108">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8</w:t>
            </w:r>
          </w:p>
        </w:tc>
        <w:tc>
          <w:tcPr>
            <w:tcW w:w="1330" w:type="dxa"/>
            <w:vAlign w:val="center"/>
          </w:tcPr>
          <w:p w14:paraId="17282B1A">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采购内容和要求</w:t>
            </w:r>
          </w:p>
        </w:tc>
        <w:tc>
          <w:tcPr>
            <w:tcW w:w="7107" w:type="dxa"/>
            <w:vAlign w:val="center"/>
          </w:tcPr>
          <w:p w14:paraId="135BD0A6">
            <w:pPr>
              <w:keepNext w:val="0"/>
              <w:keepLines w:val="0"/>
              <w:pageBreakBefore w:val="0"/>
              <w:kinsoku/>
              <w:wordWrap/>
              <w:overflowPunct/>
              <w:topLinePunct w:val="0"/>
              <w:autoSpaceDE/>
              <w:autoSpaceDN/>
              <w:bidi w:val="0"/>
              <w:adjustRightInd/>
              <w:spacing w:line="360" w:lineRule="auto"/>
              <w:ind w:left="0" w:leftChars="0" w:right="0"/>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rPr>
              <w:t>详见竞争性磋商文件第</w:t>
            </w:r>
            <w:r>
              <w:rPr>
                <w:rFonts w:hint="eastAsia" w:ascii="宋体" w:hAnsi="宋体" w:eastAsia="宋体" w:cs="宋体"/>
                <w:color w:val="auto"/>
                <w:sz w:val="24"/>
                <w:szCs w:val="24"/>
                <w:highlight w:val="none"/>
                <w:lang w:val="en-US" w:eastAsia="zh-CN"/>
              </w:rPr>
              <w:t>五</w:t>
            </w:r>
            <w:r>
              <w:rPr>
                <w:rFonts w:hint="eastAsia" w:ascii="宋体" w:hAnsi="宋体" w:eastAsia="宋体" w:cs="宋体"/>
                <w:color w:val="auto"/>
                <w:sz w:val="24"/>
                <w:szCs w:val="24"/>
                <w:highlight w:val="none"/>
                <w:lang w:val="zh-CN"/>
              </w:rPr>
              <w:t>章</w:t>
            </w:r>
            <w:r>
              <w:rPr>
                <w:rFonts w:hint="eastAsia" w:ascii="宋体" w:hAnsi="宋体" w:eastAsia="宋体" w:cs="宋体"/>
                <w:color w:val="auto"/>
                <w:sz w:val="24"/>
                <w:szCs w:val="24"/>
                <w:highlight w:val="none"/>
                <w:lang w:val="en-US" w:eastAsia="zh-CN"/>
              </w:rPr>
              <w:t>技术要求</w:t>
            </w:r>
            <w:r>
              <w:rPr>
                <w:rFonts w:hint="eastAsia" w:ascii="宋体" w:hAnsi="宋体" w:eastAsia="宋体" w:cs="宋体"/>
                <w:color w:val="auto"/>
                <w:sz w:val="24"/>
                <w:szCs w:val="24"/>
                <w:highlight w:val="none"/>
                <w:lang w:eastAsia="zh-CN"/>
              </w:rPr>
              <w:t>。</w:t>
            </w:r>
          </w:p>
        </w:tc>
      </w:tr>
      <w:tr w14:paraId="40D8B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6" w:type="dxa"/>
            <w:vAlign w:val="center"/>
          </w:tcPr>
          <w:p w14:paraId="138F3CF0">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9</w:t>
            </w:r>
          </w:p>
        </w:tc>
        <w:tc>
          <w:tcPr>
            <w:tcW w:w="1330" w:type="dxa"/>
            <w:vAlign w:val="center"/>
          </w:tcPr>
          <w:p w14:paraId="6E2088E4">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供应商</w:t>
            </w:r>
          </w:p>
        </w:tc>
        <w:tc>
          <w:tcPr>
            <w:tcW w:w="7107" w:type="dxa"/>
          </w:tcPr>
          <w:p w14:paraId="1DD7E21B">
            <w:pPr>
              <w:keepNext w:val="0"/>
              <w:keepLines w:val="0"/>
              <w:pageBreakBefore w:val="0"/>
              <w:kinsoku/>
              <w:wordWrap/>
              <w:overflowPunct/>
              <w:topLinePunct w:val="0"/>
              <w:autoSpaceDE/>
              <w:autoSpaceDN/>
              <w:bidi w:val="0"/>
              <w:adjustRightInd/>
              <w:spacing w:line="360" w:lineRule="auto"/>
              <w:ind w:left="0" w:leftChars="0" w:right="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响应</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"http://baike.baidu.com/view/8707.htm" \t "_blank"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zh-CN"/>
              </w:rPr>
              <w:t>招标</w:t>
            </w:r>
            <w:r>
              <w:rPr>
                <w:rFonts w:hint="eastAsia" w:ascii="宋体" w:hAnsi="宋体" w:eastAsia="宋体" w:cs="宋体"/>
                <w:color w:val="auto"/>
                <w:sz w:val="24"/>
                <w:szCs w:val="24"/>
                <w:highlight w:val="none"/>
                <w:lang w:val="zh-CN"/>
              </w:rPr>
              <w:fldChar w:fldCharType="end"/>
            </w:r>
            <w:r>
              <w:rPr>
                <w:rFonts w:hint="eastAsia" w:ascii="宋体" w:hAnsi="宋体" w:eastAsia="宋体" w:cs="宋体"/>
                <w:color w:val="auto"/>
                <w:sz w:val="24"/>
                <w:szCs w:val="24"/>
                <w:highlight w:val="none"/>
                <w:lang w:val="zh-CN"/>
              </w:rPr>
              <w:t>并且符合竞争性磋商文件规定资格条件和参加投标竞争的法人或其他组织。</w:t>
            </w:r>
          </w:p>
        </w:tc>
      </w:tr>
      <w:tr w14:paraId="5273B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6" w:type="dxa"/>
            <w:vAlign w:val="center"/>
          </w:tcPr>
          <w:p w14:paraId="73F6DA75">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1330" w:type="dxa"/>
            <w:vAlign w:val="center"/>
          </w:tcPr>
          <w:p w14:paraId="1589D613">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供应商资格要求</w:t>
            </w:r>
          </w:p>
        </w:tc>
        <w:tc>
          <w:tcPr>
            <w:tcW w:w="7107" w:type="dxa"/>
          </w:tcPr>
          <w:p w14:paraId="019C080E">
            <w:pPr>
              <w:keepNext w:val="0"/>
              <w:keepLines w:val="0"/>
              <w:pageBreakBefore w:val="0"/>
              <w:kinsoku/>
              <w:wordWrap/>
              <w:overflowPunct/>
              <w:topLinePunct w:val="0"/>
              <w:autoSpaceDE/>
              <w:autoSpaceDN/>
              <w:bidi w:val="0"/>
              <w:adjustRightInd/>
              <w:spacing w:line="360" w:lineRule="auto"/>
              <w:ind w:left="0" w:leftChars="0" w:right="0" w:firstLine="240" w:firstLineChars="1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供应商应具备《中华人民共和国政府采购法》第二十二条规定的条件；并提供以下资格证明文件：</w:t>
            </w:r>
          </w:p>
          <w:p w14:paraId="183D4F11">
            <w:pPr>
              <w:keepNext w:val="0"/>
              <w:keepLines w:val="0"/>
              <w:pageBreakBefore w:val="0"/>
              <w:numPr>
                <w:ilvl w:val="0"/>
                <w:numId w:val="0"/>
              </w:numPr>
              <w:kinsoku/>
              <w:wordWrap/>
              <w:overflowPunct/>
              <w:topLinePunct w:val="0"/>
              <w:autoSpaceDE/>
              <w:autoSpaceDN/>
              <w:bidi w:val="0"/>
              <w:adjustRightInd/>
              <w:spacing w:line="360" w:lineRule="auto"/>
              <w:ind w:left="0" w:leftChars="0" w:right="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供应商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14:paraId="2A2DE331">
            <w:pPr>
              <w:keepNext w:val="0"/>
              <w:keepLines w:val="0"/>
              <w:pageBreakBefore w:val="0"/>
              <w:numPr>
                <w:ilvl w:val="0"/>
                <w:numId w:val="0"/>
              </w:numPr>
              <w:kinsoku/>
              <w:wordWrap/>
              <w:overflowPunct/>
              <w:topLinePunct w:val="0"/>
              <w:autoSpaceDE/>
              <w:autoSpaceDN/>
              <w:bidi w:val="0"/>
              <w:adjustRightInd/>
              <w:spacing w:line="360" w:lineRule="auto"/>
              <w:ind w:left="0" w:leftChars="0" w:right="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供应商须具备市政公用工程监理乙级及以上资质，并在人员、设备、资金等方面具备相应的监理能力。其中，拟派往本项目的总监理工程师必须为本单位的注册人员，且具备市政公用工程注册监理工程师及以上执业资格，一名注册监理工程师可担任一项建设工程监理合同的总监理工程师，当需要同时担任多项建设工程监理合同的总监理工程师时，应经建设单位书面同意，且最多不得超过三项。</w:t>
            </w:r>
          </w:p>
          <w:p w14:paraId="17F33993">
            <w:pPr>
              <w:keepNext w:val="0"/>
              <w:keepLines w:val="0"/>
              <w:pageBreakBefore w:val="0"/>
              <w:numPr>
                <w:ilvl w:val="0"/>
                <w:numId w:val="0"/>
              </w:numPr>
              <w:kinsoku/>
              <w:wordWrap/>
              <w:overflowPunct/>
              <w:topLinePunct w:val="0"/>
              <w:autoSpaceDE/>
              <w:autoSpaceDN/>
              <w:bidi w:val="0"/>
              <w:adjustRightInd/>
              <w:spacing w:line="360" w:lineRule="auto"/>
              <w:ind w:left="0" w:leftChars="0" w:right="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财务状况报告：供应商须提供经会计事务所或审计机构出具的2024年或2025年度赋码财务审计报告；财务审计报告须有注册会计师签字盖章和公司盖章，并附通过注册会计师行业统一监管平台（http://acc.mof.gov.cn）报备并相应取得全国统一的验证码提供查询截图；成立时间至提交响应文件递交截止时间不足一年的，须提供其基本存款账户开户银行近三个月内出具的银行资信证明或自成立以来的财务报表；其他组织或自然人提供银行出具的资信证明或财务报表；</w:t>
            </w:r>
          </w:p>
          <w:p w14:paraId="1BF0982B">
            <w:pPr>
              <w:keepNext w:val="0"/>
              <w:keepLines w:val="0"/>
              <w:pageBreakBefore w:val="0"/>
              <w:numPr>
                <w:ilvl w:val="0"/>
                <w:numId w:val="0"/>
              </w:numPr>
              <w:kinsoku/>
              <w:wordWrap/>
              <w:overflowPunct/>
              <w:topLinePunct w:val="0"/>
              <w:autoSpaceDE/>
              <w:autoSpaceDN/>
              <w:bidi w:val="0"/>
              <w:adjustRightInd/>
              <w:spacing w:line="360" w:lineRule="auto"/>
              <w:ind w:left="0" w:leftChars="0" w:right="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（4）社会保障资金缴纳证明：提供2025年06月01日至今已缴纳的至少一个月的社会保障资金银行缴费单据或社保机构开具的社会保险参保缴费情况证明，依法不需要缴纳社会保障资金的单位应提供相关证明材料；</w:t>
            </w:r>
          </w:p>
          <w:p w14:paraId="08E93D76">
            <w:pPr>
              <w:keepNext w:val="0"/>
              <w:keepLines w:val="0"/>
              <w:pageBreakBefore w:val="0"/>
              <w:numPr>
                <w:ilvl w:val="0"/>
                <w:numId w:val="0"/>
              </w:numPr>
              <w:kinsoku/>
              <w:wordWrap/>
              <w:overflowPunct/>
              <w:topLinePunct w:val="0"/>
              <w:autoSpaceDE/>
              <w:autoSpaceDN/>
              <w:bidi w:val="0"/>
              <w:adjustRightInd/>
              <w:spacing w:line="360" w:lineRule="auto"/>
              <w:ind w:left="0" w:leftChars="0" w:right="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（5）税收缴纳证明：提供2025年06月01日至今已缴纳的至少一个月的纳税证明或完税证明，依法免税的单位应提供相关证明材料；</w:t>
            </w:r>
          </w:p>
          <w:p w14:paraId="506556D0">
            <w:pPr>
              <w:keepNext w:val="0"/>
              <w:keepLines w:val="0"/>
              <w:pageBreakBefore w:val="0"/>
              <w:numPr>
                <w:ilvl w:val="0"/>
                <w:numId w:val="0"/>
              </w:numPr>
              <w:kinsoku/>
              <w:wordWrap/>
              <w:overflowPunct/>
              <w:topLinePunct w:val="0"/>
              <w:autoSpaceDE/>
              <w:autoSpaceDN/>
              <w:bidi w:val="0"/>
              <w:adjustRightInd/>
              <w:spacing w:line="360" w:lineRule="auto"/>
              <w:ind w:left="0" w:leftChars="0" w:right="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（6）参加政府采购活动前3年内，在经营活动中没有重大违法记录的书面声明； </w:t>
            </w:r>
          </w:p>
          <w:p w14:paraId="2EFC3C98">
            <w:pPr>
              <w:keepNext w:val="0"/>
              <w:keepLines w:val="0"/>
              <w:pageBreakBefore w:val="0"/>
              <w:numPr>
                <w:ilvl w:val="0"/>
                <w:numId w:val="0"/>
              </w:numPr>
              <w:kinsoku/>
              <w:wordWrap/>
              <w:overflowPunct/>
              <w:topLinePunct w:val="0"/>
              <w:autoSpaceDE/>
              <w:autoSpaceDN/>
              <w:bidi w:val="0"/>
              <w:adjustRightInd/>
              <w:spacing w:line="360" w:lineRule="auto"/>
              <w:ind w:left="0" w:leftChars="0" w:right="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7）对列入“信用中国网站（www.creditchina.gov.cn）记录失信被执行人、重大税收违法失信主体、经营（活动）异常名录信息查询、政府采购严重违法失信行为记录名单、中国政府采购网（www.ccgp.gov.cn）政府采购严重违法失信行为信息记录”的单位拒绝参与政府采购活动（提供信用截图）；</w:t>
            </w:r>
          </w:p>
          <w:p w14:paraId="3B19DFAB">
            <w:pPr>
              <w:keepNext w:val="0"/>
              <w:keepLines w:val="0"/>
              <w:pageBreakBefore w:val="0"/>
              <w:numPr>
                <w:ilvl w:val="0"/>
                <w:numId w:val="0"/>
              </w:numPr>
              <w:kinsoku/>
              <w:wordWrap/>
              <w:overflowPunct/>
              <w:topLinePunct w:val="0"/>
              <w:autoSpaceDE/>
              <w:autoSpaceDN/>
              <w:bidi w:val="0"/>
              <w:adjustRightInd/>
              <w:spacing w:line="360" w:lineRule="auto"/>
              <w:ind w:left="0" w:leftChars="0" w:right="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8）供应商应在“信用中国（陕西榆林）”网站进行注册、登录，自主上报信用承诺书（网址：https://www.ylcredit.gov.cn/）；（注：需提供投标人信用承诺、投标信用(保证金）承诺书、榆林市政府采购服务类项目供应商信用承诺书及投标人委托代理人员信用承诺书公示网页截图）；</w:t>
            </w:r>
          </w:p>
          <w:p w14:paraId="54F4C1D0">
            <w:pPr>
              <w:keepNext w:val="0"/>
              <w:keepLines w:val="0"/>
              <w:pageBreakBefore w:val="0"/>
              <w:numPr>
                <w:ilvl w:val="0"/>
                <w:numId w:val="0"/>
              </w:numPr>
              <w:kinsoku/>
              <w:wordWrap/>
              <w:overflowPunct/>
              <w:topLinePunct w:val="0"/>
              <w:autoSpaceDE/>
              <w:autoSpaceDN/>
              <w:bidi w:val="0"/>
              <w:adjustRightInd/>
              <w:spacing w:line="360" w:lineRule="auto"/>
              <w:ind w:left="0" w:leftChars="0" w:right="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（9）本项目专门面向中小企业采购项目，供应商须填写《中小企业声明函》。</w:t>
            </w:r>
          </w:p>
          <w:p w14:paraId="1984B9B6">
            <w:pPr>
              <w:keepNext w:val="0"/>
              <w:keepLines w:val="0"/>
              <w:pageBreakBefore w:val="0"/>
              <w:numPr>
                <w:ilvl w:val="0"/>
                <w:numId w:val="0"/>
              </w:numPr>
              <w:kinsoku/>
              <w:wordWrap/>
              <w:overflowPunct/>
              <w:topLinePunct w:val="0"/>
              <w:autoSpaceDE/>
              <w:autoSpaceDN/>
              <w:bidi w:val="0"/>
              <w:adjustRightInd/>
              <w:spacing w:line="360" w:lineRule="auto"/>
              <w:ind w:left="0" w:leftChars="0" w:right="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备注：本项目不接受联合体投标、不允许分包、转包，单位负责人为同一人或者存在直接控股、管理关系的不同供应商，不得参加同一合同项下的政府采购活动。</w:t>
            </w:r>
          </w:p>
          <w:p w14:paraId="563BA38B">
            <w:pPr>
              <w:keepNext w:val="0"/>
              <w:keepLines w:val="0"/>
              <w:pageBreakBefore w:val="0"/>
              <w:numPr>
                <w:ilvl w:val="0"/>
                <w:numId w:val="0"/>
              </w:numPr>
              <w:kinsoku/>
              <w:wordWrap/>
              <w:overflowPunct/>
              <w:topLinePunct w:val="0"/>
              <w:autoSpaceDE/>
              <w:autoSpaceDN/>
              <w:bidi w:val="0"/>
              <w:adjustRightInd/>
              <w:spacing w:line="360" w:lineRule="auto"/>
              <w:ind w:left="0" w:leftChars="0" w:right="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注：1、供应商的法定代表人或其授权代表应当参加磋商，须在响应文件提交截止时间之前提交以上资质原件或资质复印件并加盖企业原色印章及竞争性磋商文件要求的其他证明材料，单独密封（密封同竞争性磋商响应文件）且与竞争性磋商响应文件同时递交。</w:t>
            </w:r>
          </w:p>
          <w:p w14:paraId="15D08CE5">
            <w:pPr>
              <w:keepNext w:val="0"/>
              <w:keepLines w:val="0"/>
              <w:pageBreakBefore w:val="0"/>
              <w:kinsoku/>
              <w:wordWrap/>
              <w:overflowPunct/>
              <w:topLinePunct w:val="0"/>
              <w:autoSpaceDE/>
              <w:autoSpaceDN/>
              <w:bidi w:val="0"/>
              <w:adjustRightInd/>
              <w:spacing w:line="360" w:lineRule="auto"/>
              <w:ind w:left="0" w:leftChars="0" w:right="0" w:firstLine="241" w:firstLineChars="100"/>
              <w:rPr>
                <w:rFonts w:hint="eastAsia" w:ascii="宋体" w:hAnsi="宋体" w:eastAsia="宋体" w:cs="宋体"/>
                <w:color w:val="auto"/>
                <w:sz w:val="24"/>
                <w:szCs w:val="24"/>
                <w:highlight w:val="none"/>
                <w:lang w:val="zh-CN"/>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val="zh-CN"/>
              </w:rPr>
              <w:t>以上资质为必备资质，缺一项或某项达不到要求，按无效投标处理。</w:t>
            </w:r>
          </w:p>
        </w:tc>
      </w:tr>
      <w:tr w14:paraId="31B50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6" w:type="dxa"/>
            <w:vAlign w:val="center"/>
          </w:tcPr>
          <w:p w14:paraId="2B39A4C5">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p>
        </w:tc>
        <w:tc>
          <w:tcPr>
            <w:tcW w:w="1330" w:type="dxa"/>
            <w:shd w:val="clear" w:color="auto" w:fill="auto"/>
            <w:vAlign w:val="center"/>
          </w:tcPr>
          <w:p w14:paraId="3893303E">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服务</w:t>
            </w:r>
            <w:r>
              <w:rPr>
                <w:rFonts w:hint="eastAsia" w:ascii="宋体" w:hAnsi="宋体" w:eastAsia="宋体" w:cs="宋体"/>
                <w:color w:val="auto"/>
                <w:sz w:val="24"/>
                <w:szCs w:val="24"/>
                <w:highlight w:val="none"/>
                <w:lang w:val="zh-CN"/>
              </w:rPr>
              <w:t>期</w:t>
            </w:r>
          </w:p>
        </w:tc>
        <w:tc>
          <w:tcPr>
            <w:tcW w:w="7107" w:type="dxa"/>
            <w:shd w:val="clear" w:color="auto" w:fill="auto"/>
          </w:tcPr>
          <w:p w14:paraId="6FD4C443">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合同签订之日起120日历天</w:t>
            </w:r>
          </w:p>
        </w:tc>
      </w:tr>
      <w:tr w14:paraId="61CAE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656" w:type="dxa"/>
            <w:vAlign w:val="center"/>
          </w:tcPr>
          <w:p w14:paraId="09A24218">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p>
        </w:tc>
        <w:tc>
          <w:tcPr>
            <w:tcW w:w="1330" w:type="dxa"/>
            <w:vAlign w:val="center"/>
          </w:tcPr>
          <w:p w14:paraId="3557AF7E">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付款方式</w:t>
            </w:r>
          </w:p>
        </w:tc>
        <w:tc>
          <w:tcPr>
            <w:tcW w:w="7107" w:type="dxa"/>
            <w:vAlign w:val="center"/>
          </w:tcPr>
          <w:p w14:paraId="128EE88A">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 xml:space="preserve">支付方式：合同签订后支付合同总额的30%作为预付款； </w:t>
            </w:r>
          </w:p>
          <w:p w14:paraId="129F4458">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 xml:space="preserve">进度款：工程量完成至70%时，再支付合同金额的50%； </w:t>
            </w:r>
          </w:p>
          <w:p w14:paraId="04753B8C">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结算款：工程竣工验收后支付合同金额的20%。</w:t>
            </w:r>
          </w:p>
        </w:tc>
      </w:tr>
      <w:tr w14:paraId="7F6B1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6" w:type="dxa"/>
            <w:vAlign w:val="center"/>
          </w:tcPr>
          <w:p w14:paraId="51B7F7EA">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13</w:t>
            </w:r>
          </w:p>
        </w:tc>
        <w:tc>
          <w:tcPr>
            <w:tcW w:w="1330" w:type="dxa"/>
            <w:vAlign w:val="center"/>
          </w:tcPr>
          <w:p w14:paraId="7FB7EAD8">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竞争性磋商文件获取</w:t>
            </w:r>
          </w:p>
        </w:tc>
        <w:tc>
          <w:tcPr>
            <w:tcW w:w="7107" w:type="dxa"/>
          </w:tcPr>
          <w:p w14:paraId="73E86696">
            <w:pPr>
              <w:pStyle w:val="8"/>
              <w:keepNext w:val="0"/>
              <w:keepLines w:val="0"/>
              <w:pageBreakBefore w:val="0"/>
              <w:widowControl/>
              <w:kinsoku/>
              <w:wordWrap/>
              <w:overflowPunct/>
              <w:topLinePunct w:val="0"/>
              <w:autoSpaceDE/>
              <w:autoSpaceDN/>
              <w:bidi w:val="0"/>
              <w:adjustRightInd/>
              <w:spacing w:line="360" w:lineRule="auto"/>
              <w:ind w:left="0" w:leftChars="0" w:right="0"/>
              <w:rPr>
                <w:rFonts w:hint="eastAsia" w:ascii="宋体" w:hAnsi="宋体" w:eastAsia="宋体" w:cs="宋体"/>
                <w:color w:val="000000" w:themeColor="text1"/>
                <w:sz w:val="24"/>
                <w:szCs w:val="24"/>
                <w:highlight w:val="none"/>
                <w:shd w:val="clear" w:fill="FFFF00"/>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获取时间：202</w:t>
            </w:r>
            <w:r>
              <w:rPr>
                <w:rFonts w:hint="eastAsia" w:ascii="宋体" w:hAnsi="宋体" w:cs="宋体"/>
                <w:color w:val="000000" w:themeColor="text1"/>
                <w:sz w:val="24"/>
                <w:szCs w:val="24"/>
                <w:highlight w:val="non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lang w:val="zh-CN"/>
                <w14:textFill>
                  <w14:solidFill>
                    <w14:schemeClr w14:val="tx1"/>
                  </w14:solidFill>
                </w14:textFill>
              </w:rPr>
              <w:t>年</w:t>
            </w:r>
            <w:r>
              <w:rPr>
                <w:rFonts w:hint="eastAsia" w:ascii="宋体" w:hAnsi="宋体" w:eastAsia="宋体" w:cs="宋体"/>
                <w:color w:val="000000" w:themeColor="text1"/>
                <w:sz w:val="24"/>
                <w:szCs w:val="24"/>
                <w:highlight w:val="none"/>
                <w:lang w:val="en-US" w:eastAsia="zh-CN"/>
                <w14:textFill>
                  <w14:solidFill>
                    <w14:schemeClr w14:val="tx1"/>
                  </w14:solidFill>
                </w14:textFill>
              </w:rPr>
              <w:t>0</w:t>
            </w:r>
            <w:r>
              <w:rPr>
                <w:rFonts w:hint="eastAsia" w:ascii="宋体" w:hAnsi="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lang w:val="zh-CN"/>
                <w14:textFill>
                  <w14:solidFill>
                    <w14:schemeClr w14:val="tx1"/>
                  </w14:solidFill>
                </w14:textFill>
              </w:rPr>
              <w:t>月</w:t>
            </w:r>
            <w:r>
              <w:rPr>
                <w:rFonts w:hint="eastAsia" w:ascii="宋体" w:hAnsi="宋体" w:eastAsia="宋体" w:cs="宋体"/>
                <w:color w:val="000000" w:themeColor="text1"/>
                <w:sz w:val="24"/>
                <w:szCs w:val="24"/>
                <w:highlight w:val="none"/>
                <w:lang w:val="en-US" w:eastAsia="zh-CN"/>
                <w14:textFill>
                  <w14:solidFill>
                    <w14:schemeClr w14:val="tx1"/>
                  </w14:solidFill>
                </w14:textFill>
              </w:rPr>
              <w:t>0</w:t>
            </w: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lang w:val="zh-CN"/>
                <w14:textFill>
                  <w14:solidFill>
                    <w14:schemeClr w14:val="tx1"/>
                  </w14:solidFill>
                </w14:textFill>
              </w:rPr>
              <w:t>日至202</w:t>
            </w: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lang w:val="zh-CN"/>
                <w14:textFill>
                  <w14:solidFill>
                    <w14:schemeClr w14:val="tx1"/>
                  </w14:solidFill>
                </w14:textFill>
              </w:rPr>
              <w:t>年</w:t>
            </w:r>
            <w:r>
              <w:rPr>
                <w:rFonts w:hint="eastAsia" w:ascii="宋体" w:hAnsi="宋体" w:eastAsia="宋体" w:cs="宋体"/>
                <w:color w:val="000000" w:themeColor="text1"/>
                <w:sz w:val="24"/>
                <w:szCs w:val="24"/>
                <w:highlight w:val="none"/>
                <w:lang w:val="en-US" w:eastAsia="zh-CN"/>
                <w14:textFill>
                  <w14:solidFill>
                    <w14:schemeClr w14:val="tx1"/>
                  </w14:solidFill>
                </w14:textFill>
              </w:rPr>
              <w:t>0</w:t>
            </w:r>
            <w:r>
              <w:rPr>
                <w:rFonts w:hint="eastAsia" w:ascii="宋体" w:hAnsi="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lang w:val="zh-CN"/>
                <w14:textFill>
                  <w14:solidFill>
                    <w14:schemeClr w14:val="tx1"/>
                  </w14:solidFill>
                </w14:textFill>
              </w:rPr>
              <w:t>月</w:t>
            </w:r>
            <w:r>
              <w:rPr>
                <w:rFonts w:hint="eastAsia" w:ascii="宋体" w:hAnsi="宋体" w:cs="宋体"/>
                <w:color w:val="000000" w:themeColor="text1"/>
                <w:sz w:val="24"/>
                <w:szCs w:val="24"/>
                <w:highlight w:val="none"/>
                <w:lang w:val="en-US" w:eastAsia="zh-CN"/>
                <w14:textFill>
                  <w14:solidFill>
                    <w14:schemeClr w14:val="tx1"/>
                  </w14:solidFill>
                </w14:textFill>
              </w:rPr>
              <w:t>10</w:t>
            </w:r>
            <w:r>
              <w:rPr>
                <w:rFonts w:hint="eastAsia" w:ascii="宋体" w:hAnsi="宋体" w:eastAsia="宋体" w:cs="宋体"/>
                <w:color w:val="000000" w:themeColor="text1"/>
                <w:sz w:val="24"/>
                <w:szCs w:val="24"/>
                <w:highlight w:val="none"/>
                <w:lang w:val="zh-CN"/>
                <w14:textFill>
                  <w14:solidFill>
                    <w14:schemeClr w14:val="tx1"/>
                  </w14:solidFill>
                </w14:textFill>
              </w:rPr>
              <w:t>日，每天上午</w:t>
            </w:r>
            <w:r>
              <w:rPr>
                <w:rFonts w:hint="eastAsia" w:ascii="宋体" w:hAnsi="宋体" w:cs="宋体"/>
                <w:color w:val="000000" w:themeColor="text1"/>
                <w:sz w:val="24"/>
                <w:szCs w:val="24"/>
                <w:highlight w:val="none"/>
                <w:lang w:val="en-US" w:eastAsia="zh-CN"/>
                <w14:textFill>
                  <w14:solidFill>
                    <w14:schemeClr w14:val="tx1"/>
                  </w14:solidFill>
                </w14:textFill>
              </w:rPr>
              <w:t>9</w:t>
            </w:r>
            <w:r>
              <w:rPr>
                <w:rFonts w:hint="eastAsia" w:ascii="宋体" w:hAnsi="宋体" w:eastAsia="宋体" w:cs="宋体"/>
                <w:color w:val="000000" w:themeColor="text1"/>
                <w:sz w:val="24"/>
                <w:szCs w:val="24"/>
                <w:highlight w:val="none"/>
                <w:lang w:val="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00</w:t>
            </w:r>
            <w:r>
              <w:rPr>
                <w:rFonts w:hint="eastAsia" w:ascii="宋体" w:hAnsi="宋体" w:eastAsia="宋体" w:cs="宋体"/>
                <w:color w:val="000000" w:themeColor="text1"/>
                <w:sz w:val="24"/>
                <w:szCs w:val="24"/>
                <w:highlight w:val="none"/>
                <w:lang w:val="zh-CN"/>
                <w14:textFill>
                  <w14:solidFill>
                    <w14:schemeClr w14:val="tx1"/>
                  </w14:solidFill>
                </w14:textFill>
              </w:rPr>
              <w:t>至</w:t>
            </w:r>
            <w:r>
              <w:rPr>
                <w:rFonts w:hint="eastAsia" w:ascii="宋体" w:hAnsi="宋体" w:eastAsia="宋体" w:cs="宋体"/>
                <w:color w:val="000000" w:themeColor="text1"/>
                <w:sz w:val="24"/>
                <w:szCs w:val="24"/>
                <w:highlight w:val="none"/>
                <w:lang w:val="en-US" w:eastAsia="zh-CN"/>
                <w14:textFill>
                  <w14:solidFill>
                    <w14:schemeClr w14:val="tx1"/>
                  </w14:solidFill>
                </w14:textFill>
              </w:rPr>
              <w:t>12</w:t>
            </w:r>
            <w:r>
              <w:rPr>
                <w:rFonts w:hint="eastAsia" w:ascii="宋体" w:hAnsi="宋体" w:eastAsia="宋体" w:cs="宋体"/>
                <w:color w:val="000000" w:themeColor="text1"/>
                <w:sz w:val="24"/>
                <w:szCs w:val="24"/>
                <w:highlight w:val="none"/>
                <w:lang w:val="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00</w:t>
            </w:r>
            <w:r>
              <w:rPr>
                <w:rFonts w:hint="eastAsia" w:ascii="宋体" w:hAnsi="宋体" w:eastAsia="宋体" w:cs="宋体"/>
                <w:color w:val="000000" w:themeColor="text1"/>
                <w:sz w:val="24"/>
                <w:szCs w:val="24"/>
                <w:highlight w:val="none"/>
                <w:lang w:val="zh-CN"/>
                <w14:textFill>
                  <w14:solidFill>
                    <w14:schemeClr w14:val="tx1"/>
                  </w14:solidFill>
                </w14:textFill>
              </w:rPr>
              <w:t>，下午1</w:t>
            </w:r>
            <w:r>
              <w:rPr>
                <w:rFonts w:hint="eastAsia" w:ascii="宋体" w:hAnsi="宋体" w:eastAsia="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lang w:val="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lang w:val="en-US" w:eastAsia="zh-CN"/>
                <w14:textFill>
                  <w14:solidFill>
                    <w14:schemeClr w14:val="tx1"/>
                  </w14:solidFill>
                </w14:textFill>
              </w:rPr>
              <w:t>0</w:t>
            </w:r>
            <w:r>
              <w:rPr>
                <w:rFonts w:hint="eastAsia" w:ascii="宋体" w:hAnsi="宋体" w:eastAsia="宋体" w:cs="宋体"/>
                <w:color w:val="000000" w:themeColor="text1"/>
                <w:sz w:val="24"/>
                <w:szCs w:val="24"/>
                <w:highlight w:val="none"/>
                <w:lang w:val="zh-CN"/>
                <w14:textFill>
                  <w14:solidFill>
                    <w14:schemeClr w14:val="tx1"/>
                  </w14:solidFill>
                </w14:textFill>
              </w:rPr>
              <w:t>至1</w:t>
            </w:r>
            <w:r>
              <w:rPr>
                <w:rFonts w:hint="eastAsia" w:ascii="宋体" w:hAnsi="宋体" w:cs="宋体"/>
                <w:color w:val="000000" w:themeColor="text1"/>
                <w:sz w:val="24"/>
                <w:szCs w:val="24"/>
                <w:highlight w:val="none"/>
                <w:lang w:val="en-US" w:eastAsia="zh-CN"/>
                <w14:textFill>
                  <w14:solidFill>
                    <w14:schemeClr w14:val="tx1"/>
                  </w14:solidFill>
                </w14:textFill>
              </w:rPr>
              <w:t>7</w:t>
            </w:r>
            <w:r>
              <w:rPr>
                <w:rFonts w:hint="eastAsia" w:ascii="宋体" w:hAnsi="宋体" w:eastAsia="宋体" w:cs="宋体"/>
                <w:color w:val="000000" w:themeColor="text1"/>
                <w:sz w:val="24"/>
                <w:szCs w:val="24"/>
                <w:highlight w:val="none"/>
                <w:lang w:val="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lang w:val="en-US" w:eastAsia="zh-CN"/>
                <w14:textFill>
                  <w14:solidFill>
                    <w14:schemeClr w14:val="tx1"/>
                  </w14:solidFill>
                </w14:textFill>
              </w:rPr>
              <w:t>0</w:t>
            </w:r>
            <w:r>
              <w:rPr>
                <w:rFonts w:hint="eastAsia" w:ascii="宋体" w:hAnsi="宋体" w:eastAsia="宋体" w:cs="宋体"/>
                <w:color w:val="000000" w:themeColor="text1"/>
                <w:sz w:val="24"/>
                <w:szCs w:val="24"/>
                <w:highlight w:val="none"/>
                <w:shd w:val="clear"/>
                <w:lang w:val="en-US" w:eastAsia="zh-CN"/>
                <w14:textFill>
                  <w14:solidFill>
                    <w14:schemeClr w14:val="tx1"/>
                  </w14:solidFill>
                </w14:textFill>
              </w:rPr>
              <w:t>（北京时间、下同；节假日除外）</w:t>
            </w:r>
          </w:p>
          <w:p w14:paraId="09967886">
            <w:pPr>
              <w:pStyle w:val="8"/>
              <w:keepNext w:val="0"/>
              <w:keepLines w:val="0"/>
              <w:pageBreakBefore w:val="0"/>
              <w:widowControl/>
              <w:kinsoku/>
              <w:wordWrap/>
              <w:overflowPunct/>
              <w:topLinePunct w:val="0"/>
              <w:autoSpaceDE/>
              <w:autoSpaceDN/>
              <w:bidi w:val="0"/>
              <w:adjustRightInd/>
              <w:spacing w:line="360" w:lineRule="auto"/>
              <w:ind w:left="0" w:leftChars="0" w:right="0"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000000" w:themeColor="text1"/>
                <w:sz w:val="24"/>
                <w:szCs w:val="24"/>
                <w:highlight w:val="none"/>
                <w:lang w:eastAsia="zh-CN"/>
                <w14:textFill>
                  <w14:solidFill>
                    <w14:schemeClr w14:val="tx1"/>
                  </w14:solidFill>
                </w14:textFill>
              </w:rPr>
              <w:t>获取方式：</w:t>
            </w:r>
            <w:r>
              <w:rPr>
                <w:rFonts w:hint="eastAsia" w:ascii="宋体" w:hAnsi="宋体" w:eastAsia="宋体" w:cs="宋体"/>
                <w:i w:val="0"/>
                <w:iCs w:val="0"/>
                <w:caps w:val="0"/>
                <w:color w:val="000000" w:themeColor="text1"/>
                <w:spacing w:val="0"/>
                <w:sz w:val="24"/>
                <w:szCs w:val="24"/>
                <w:shd w:val="clear" w:fill="FFFFFF"/>
                <w:lang w:eastAsia="zh-CN"/>
                <w14:textFill>
                  <w14:solidFill>
                    <w14:schemeClr w14:val="tx1"/>
                  </w14:solidFill>
                </w14:textFill>
              </w:rPr>
              <w:t>陕西省榆林市榆阳区东环路绿园小区四排五号</w:t>
            </w:r>
          </w:p>
        </w:tc>
      </w:tr>
      <w:tr w14:paraId="160DF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6" w:type="dxa"/>
            <w:vAlign w:val="center"/>
          </w:tcPr>
          <w:p w14:paraId="0B2E1578">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14</w:t>
            </w:r>
          </w:p>
        </w:tc>
        <w:tc>
          <w:tcPr>
            <w:tcW w:w="1330" w:type="dxa"/>
            <w:vAlign w:val="center"/>
          </w:tcPr>
          <w:p w14:paraId="7343515B">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构成竞争性磋商文件的其他文件</w:t>
            </w:r>
          </w:p>
        </w:tc>
        <w:tc>
          <w:tcPr>
            <w:tcW w:w="7107" w:type="dxa"/>
            <w:vAlign w:val="center"/>
          </w:tcPr>
          <w:p w14:paraId="2CCCD912">
            <w:pPr>
              <w:keepNext w:val="0"/>
              <w:keepLines w:val="0"/>
              <w:pageBreakBefore w:val="0"/>
              <w:kinsoku/>
              <w:wordWrap/>
              <w:overflowPunct/>
              <w:topLinePunct w:val="0"/>
              <w:autoSpaceDE/>
              <w:autoSpaceDN/>
              <w:bidi w:val="0"/>
              <w:adjustRightInd/>
              <w:spacing w:line="360" w:lineRule="auto"/>
              <w:ind w:left="0" w:leftChars="0" w:right="0"/>
              <w:jc w:val="both"/>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竞争性磋商文件的澄清、修改书及有关补充通知为竞争性磋商文件的有效组成部分。</w:t>
            </w:r>
          </w:p>
        </w:tc>
      </w:tr>
      <w:tr w14:paraId="46397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6" w:type="dxa"/>
            <w:vAlign w:val="center"/>
          </w:tcPr>
          <w:p w14:paraId="0BD5C948">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15</w:t>
            </w:r>
          </w:p>
        </w:tc>
        <w:tc>
          <w:tcPr>
            <w:tcW w:w="1330" w:type="dxa"/>
            <w:vAlign w:val="center"/>
          </w:tcPr>
          <w:p w14:paraId="7D8022E9">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响应文件提交截止时间、开标时间和地点</w:t>
            </w:r>
          </w:p>
        </w:tc>
        <w:tc>
          <w:tcPr>
            <w:tcW w:w="7107" w:type="dxa"/>
            <w:vAlign w:val="center"/>
          </w:tcPr>
          <w:p w14:paraId="52E2C1B7">
            <w:pPr>
              <w:keepNext w:val="0"/>
              <w:keepLines w:val="0"/>
              <w:pageBreakBefore w:val="0"/>
              <w:kinsoku/>
              <w:wordWrap/>
              <w:overflowPunct/>
              <w:topLinePunct w:val="0"/>
              <w:autoSpaceDE/>
              <w:autoSpaceDN/>
              <w:bidi w:val="0"/>
              <w:adjustRightInd/>
              <w:spacing w:line="360" w:lineRule="auto"/>
              <w:ind w:left="0" w:leftChars="0" w:right="0"/>
              <w:jc w:val="both"/>
              <w:rPr>
                <w:rFonts w:hint="eastAsia" w:ascii="宋体" w:hAnsi="宋体" w:eastAsia="宋体" w:cs="宋体"/>
                <w:color w:val="000000" w:themeColor="text1"/>
                <w:sz w:val="24"/>
                <w:szCs w:val="24"/>
                <w:highlight w:val="none"/>
                <w:shd w:val="clear" w:fill="FFFF00"/>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响应文件提交截止时间：</w:t>
            </w:r>
            <w:r>
              <w:rPr>
                <w:rFonts w:hint="eastAsia" w:ascii="宋体" w:hAnsi="宋体" w:cs="宋体"/>
                <w:color w:val="000000" w:themeColor="text1"/>
                <w:sz w:val="24"/>
                <w:szCs w:val="24"/>
                <w:highlight w:val="none"/>
                <w:shd w:val="clear"/>
                <w:lang w:eastAsia="zh-CN"/>
                <w14:textFill>
                  <w14:solidFill>
                    <w14:schemeClr w14:val="tx1"/>
                  </w14:solidFill>
                </w14:textFill>
              </w:rPr>
              <w:t>2026年04月1</w:t>
            </w:r>
            <w:r>
              <w:rPr>
                <w:rFonts w:hint="eastAsia" w:ascii="宋体" w:hAnsi="宋体" w:cs="宋体"/>
                <w:color w:val="000000" w:themeColor="text1"/>
                <w:sz w:val="24"/>
                <w:szCs w:val="24"/>
                <w:highlight w:val="none"/>
                <w:shd w:val="clear"/>
                <w:lang w:val="en-US" w:eastAsia="zh-CN"/>
                <w14:textFill>
                  <w14:solidFill>
                    <w14:schemeClr w14:val="tx1"/>
                  </w14:solidFill>
                </w14:textFill>
              </w:rPr>
              <w:t>7</w:t>
            </w:r>
            <w:r>
              <w:rPr>
                <w:rFonts w:hint="eastAsia" w:ascii="宋体" w:hAnsi="宋体" w:cs="宋体"/>
                <w:color w:val="000000" w:themeColor="text1"/>
                <w:sz w:val="24"/>
                <w:szCs w:val="24"/>
                <w:highlight w:val="none"/>
                <w:shd w:val="clear"/>
                <w:lang w:eastAsia="zh-CN"/>
                <w14:textFill>
                  <w14:solidFill>
                    <w14:schemeClr w14:val="tx1"/>
                  </w14:solidFill>
                </w14:textFill>
              </w:rPr>
              <w:t>日</w:t>
            </w:r>
            <w:r>
              <w:rPr>
                <w:rFonts w:hint="eastAsia" w:ascii="宋体" w:hAnsi="宋体" w:cs="宋体"/>
                <w:color w:val="000000" w:themeColor="text1"/>
                <w:sz w:val="24"/>
                <w:szCs w:val="24"/>
                <w:highlight w:val="none"/>
                <w:shd w:val="clear"/>
                <w:lang w:val="en-US" w:eastAsia="zh-CN"/>
                <w14:textFill>
                  <w14:solidFill>
                    <w14:schemeClr w14:val="tx1"/>
                  </w14:solidFill>
                </w14:textFill>
              </w:rPr>
              <w:t>9</w:t>
            </w:r>
            <w:r>
              <w:rPr>
                <w:rFonts w:hint="eastAsia" w:ascii="宋体" w:hAnsi="宋体" w:eastAsia="宋体" w:cs="宋体"/>
                <w:color w:val="000000" w:themeColor="text1"/>
                <w:sz w:val="24"/>
                <w:szCs w:val="24"/>
                <w:highlight w:val="none"/>
                <w:shd w:val="clear"/>
                <w:lang w:eastAsia="zh-CN"/>
                <w14:textFill>
                  <w14:solidFill>
                    <w14:schemeClr w14:val="tx1"/>
                  </w14:solidFill>
                </w14:textFill>
              </w:rPr>
              <w:t>时30</w:t>
            </w:r>
            <w:r>
              <w:rPr>
                <w:rFonts w:hint="eastAsia" w:ascii="宋体" w:hAnsi="宋体" w:eastAsia="宋体" w:cs="宋体"/>
                <w:color w:val="000000" w:themeColor="text1"/>
                <w:sz w:val="24"/>
                <w:szCs w:val="24"/>
                <w:highlight w:val="none"/>
                <w:shd w:val="clear"/>
                <w:lang w:val="en-US" w:eastAsia="zh-CN"/>
                <w14:textFill>
                  <w14:solidFill>
                    <w14:schemeClr w14:val="tx1"/>
                  </w14:solidFill>
                </w14:textFill>
              </w:rPr>
              <w:t>分</w:t>
            </w:r>
            <w:r>
              <w:rPr>
                <w:rFonts w:hint="eastAsia" w:ascii="宋体" w:hAnsi="宋体" w:eastAsia="宋体" w:cs="宋体"/>
                <w:color w:val="000000" w:themeColor="text1"/>
                <w:sz w:val="24"/>
                <w:szCs w:val="24"/>
                <w:highlight w:val="none"/>
                <w:shd w:val="clear"/>
                <w:lang w:eastAsia="zh-CN"/>
                <w14:textFill>
                  <w14:solidFill>
                    <w14:schemeClr w14:val="tx1"/>
                  </w14:solidFill>
                </w14:textFill>
              </w:rPr>
              <w:t>（北京时间）</w:t>
            </w:r>
          </w:p>
          <w:p w14:paraId="5AE87CC1">
            <w:pPr>
              <w:keepNext w:val="0"/>
              <w:keepLines w:val="0"/>
              <w:pageBreakBefore w:val="0"/>
              <w:kinsoku/>
              <w:wordWrap/>
              <w:overflowPunct/>
              <w:topLinePunct w:val="0"/>
              <w:autoSpaceDE/>
              <w:autoSpaceDN/>
              <w:bidi w:val="0"/>
              <w:adjustRightInd/>
              <w:spacing w:line="360" w:lineRule="auto"/>
              <w:ind w:left="0" w:leftChars="0" w:right="0"/>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开标时间：</w:t>
            </w:r>
            <w:r>
              <w:rPr>
                <w:rFonts w:hint="eastAsia" w:ascii="宋体" w:hAnsi="宋体" w:cs="宋体"/>
                <w:color w:val="000000" w:themeColor="text1"/>
                <w:sz w:val="24"/>
                <w:szCs w:val="24"/>
                <w:highlight w:val="none"/>
                <w:shd w:val="clear"/>
                <w:lang w:eastAsia="zh-CN"/>
                <w14:textFill>
                  <w14:solidFill>
                    <w14:schemeClr w14:val="tx1"/>
                  </w14:solidFill>
                </w14:textFill>
              </w:rPr>
              <w:t>2026年04月1</w:t>
            </w:r>
            <w:r>
              <w:rPr>
                <w:rFonts w:hint="eastAsia" w:ascii="宋体" w:hAnsi="宋体" w:cs="宋体"/>
                <w:color w:val="000000" w:themeColor="text1"/>
                <w:sz w:val="24"/>
                <w:szCs w:val="24"/>
                <w:highlight w:val="none"/>
                <w:shd w:val="clear"/>
                <w:lang w:val="en-US" w:eastAsia="zh-CN"/>
                <w14:textFill>
                  <w14:solidFill>
                    <w14:schemeClr w14:val="tx1"/>
                  </w14:solidFill>
                </w14:textFill>
              </w:rPr>
              <w:t>7</w:t>
            </w:r>
            <w:r>
              <w:rPr>
                <w:rFonts w:hint="eastAsia" w:ascii="宋体" w:hAnsi="宋体" w:cs="宋体"/>
                <w:color w:val="000000" w:themeColor="text1"/>
                <w:sz w:val="24"/>
                <w:szCs w:val="24"/>
                <w:highlight w:val="none"/>
                <w:shd w:val="clear"/>
                <w:lang w:eastAsia="zh-CN"/>
                <w14:textFill>
                  <w14:solidFill>
                    <w14:schemeClr w14:val="tx1"/>
                  </w14:solidFill>
                </w14:textFill>
              </w:rPr>
              <w:t>日</w:t>
            </w:r>
            <w:r>
              <w:rPr>
                <w:rFonts w:hint="eastAsia" w:ascii="宋体" w:hAnsi="宋体" w:cs="宋体"/>
                <w:color w:val="000000" w:themeColor="text1"/>
                <w:sz w:val="24"/>
                <w:szCs w:val="24"/>
                <w:highlight w:val="none"/>
                <w:shd w:val="clear"/>
                <w:lang w:val="en-US" w:eastAsia="zh-CN"/>
                <w14:textFill>
                  <w14:solidFill>
                    <w14:schemeClr w14:val="tx1"/>
                  </w14:solidFill>
                </w14:textFill>
              </w:rPr>
              <w:t>9</w:t>
            </w:r>
            <w:r>
              <w:rPr>
                <w:rFonts w:hint="eastAsia" w:ascii="宋体" w:hAnsi="宋体" w:eastAsia="宋体" w:cs="宋体"/>
                <w:color w:val="000000" w:themeColor="text1"/>
                <w:sz w:val="24"/>
                <w:szCs w:val="24"/>
                <w:highlight w:val="none"/>
                <w:shd w:val="clear"/>
                <w:lang w:eastAsia="zh-CN"/>
                <w14:textFill>
                  <w14:solidFill>
                    <w14:schemeClr w14:val="tx1"/>
                  </w14:solidFill>
                </w14:textFill>
              </w:rPr>
              <w:t>时30分（北京时间）</w:t>
            </w:r>
          </w:p>
          <w:p w14:paraId="663AD798">
            <w:pPr>
              <w:keepNext w:val="0"/>
              <w:keepLines w:val="0"/>
              <w:pageBreakBefore w:val="0"/>
              <w:kinsoku/>
              <w:wordWrap/>
              <w:overflowPunct/>
              <w:topLinePunct w:val="0"/>
              <w:autoSpaceDE/>
              <w:autoSpaceDN/>
              <w:bidi w:val="0"/>
              <w:adjustRightInd/>
              <w:spacing w:line="360" w:lineRule="auto"/>
              <w:ind w:left="0" w:leftChars="0" w:right="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000000" w:themeColor="text1"/>
                <w:sz w:val="24"/>
                <w:szCs w:val="24"/>
                <w:highlight w:val="none"/>
                <w:lang w:val="zh-CN"/>
                <w14:textFill>
                  <w14:solidFill>
                    <w14:schemeClr w14:val="tx1"/>
                  </w14:solidFill>
                </w14:textFill>
              </w:rPr>
              <w:t>开标地点：</w:t>
            </w:r>
            <w:r>
              <w:rPr>
                <w:rFonts w:hint="eastAsia" w:ascii="宋体" w:hAnsi="宋体" w:eastAsia="宋体" w:cs="宋体"/>
                <w:i w:val="0"/>
                <w:iCs w:val="0"/>
                <w:caps w:val="0"/>
                <w:color w:val="000000" w:themeColor="text1"/>
                <w:spacing w:val="0"/>
                <w:sz w:val="24"/>
                <w:szCs w:val="24"/>
                <w:shd w:val="clear" w:color="auto" w:fill="FFFFFF"/>
                <w14:textFill>
                  <w14:solidFill>
                    <w14:schemeClr w14:val="tx1"/>
                  </w14:solidFill>
                </w14:textFill>
              </w:rPr>
              <w:t>陕西省榆林市榆阳区东环路绿园小区四排五号</w:t>
            </w:r>
          </w:p>
        </w:tc>
      </w:tr>
      <w:tr w14:paraId="49B9E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6" w:type="dxa"/>
            <w:vAlign w:val="center"/>
          </w:tcPr>
          <w:p w14:paraId="4F6A87FE">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16</w:t>
            </w:r>
          </w:p>
        </w:tc>
        <w:tc>
          <w:tcPr>
            <w:tcW w:w="1330" w:type="dxa"/>
            <w:vAlign w:val="center"/>
          </w:tcPr>
          <w:p w14:paraId="7415A04F">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投标有效期</w:t>
            </w:r>
          </w:p>
        </w:tc>
        <w:tc>
          <w:tcPr>
            <w:tcW w:w="7107" w:type="dxa"/>
            <w:vAlign w:val="center"/>
          </w:tcPr>
          <w:p w14:paraId="7C52F94E">
            <w:pPr>
              <w:keepNext w:val="0"/>
              <w:keepLines w:val="0"/>
              <w:pageBreakBefore w:val="0"/>
              <w:kinsoku/>
              <w:wordWrap/>
              <w:overflowPunct/>
              <w:topLinePunct w:val="0"/>
              <w:autoSpaceDE/>
              <w:autoSpaceDN/>
              <w:bidi w:val="0"/>
              <w:adjustRightInd/>
              <w:spacing w:line="360" w:lineRule="auto"/>
              <w:ind w:left="0" w:leftChars="0" w:right="0"/>
              <w:jc w:val="both"/>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自提交竞争性磋商响应文件的截止之日起</w:t>
            </w:r>
            <w:r>
              <w:rPr>
                <w:rFonts w:hint="eastAsia" w:ascii="宋体" w:hAnsi="宋体" w:eastAsia="宋体" w:cs="宋体"/>
                <w:color w:val="auto"/>
                <w:sz w:val="24"/>
                <w:szCs w:val="24"/>
                <w:highlight w:val="none"/>
                <w:lang w:val="en-US" w:eastAsia="zh-CN"/>
              </w:rPr>
              <w:t>90</w:t>
            </w:r>
            <w:r>
              <w:rPr>
                <w:rFonts w:hint="eastAsia" w:ascii="宋体" w:hAnsi="宋体" w:eastAsia="宋体" w:cs="宋体"/>
                <w:color w:val="auto"/>
                <w:sz w:val="24"/>
                <w:szCs w:val="24"/>
                <w:highlight w:val="none"/>
                <w:lang w:val="zh-CN"/>
              </w:rPr>
              <w:t>个日历日。</w:t>
            </w:r>
          </w:p>
        </w:tc>
      </w:tr>
      <w:tr w14:paraId="61E5A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6" w:type="dxa"/>
            <w:vAlign w:val="center"/>
          </w:tcPr>
          <w:p w14:paraId="02CEF99D">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17</w:t>
            </w:r>
          </w:p>
        </w:tc>
        <w:tc>
          <w:tcPr>
            <w:tcW w:w="1330" w:type="dxa"/>
            <w:vAlign w:val="center"/>
          </w:tcPr>
          <w:p w14:paraId="6DC287B6">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投标</w:t>
            </w:r>
            <w:r>
              <w:rPr>
                <w:rFonts w:hint="eastAsia" w:ascii="宋体" w:hAnsi="宋体" w:eastAsia="宋体" w:cs="宋体"/>
                <w:color w:val="auto"/>
                <w:sz w:val="24"/>
                <w:szCs w:val="24"/>
                <w:highlight w:val="none"/>
                <w:lang w:val="en-US" w:eastAsia="zh-CN"/>
              </w:rPr>
              <w:t>保证金</w:t>
            </w:r>
          </w:p>
        </w:tc>
        <w:tc>
          <w:tcPr>
            <w:tcW w:w="7107" w:type="dxa"/>
            <w:vAlign w:val="top"/>
          </w:tcPr>
          <w:p w14:paraId="468F395B">
            <w:pPr>
              <w:keepNext w:val="0"/>
              <w:keepLines w:val="0"/>
              <w:pageBreakBefore w:val="0"/>
              <w:kinsoku/>
              <w:wordWrap/>
              <w:overflowPunct/>
              <w:topLinePunct w:val="0"/>
              <w:autoSpaceDE/>
              <w:autoSpaceDN/>
              <w:bidi w:val="0"/>
              <w:adjustRightInd/>
              <w:spacing w:line="360" w:lineRule="auto"/>
              <w:ind w:left="0" w:leftChars="0" w:right="0"/>
              <w:rPr>
                <w:rFonts w:hint="eastAsia" w:ascii="宋体" w:hAnsi="宋体" w:eastAsia="宋体" w:cs="宋体"/>
                <w:color w:val="auto"/>
                <w:sz w:val="24"/>
                <w:szCs w:val="24"/>
                <w:highlight w:val="none"/>
                <w:lang w:val="zh-CN"/>
              </w:rPr>
            </w:pPr>
            <w:r>
              <w:rPr>
                <w:rFonts w:hint="eastAsia" w:ascii="宋体" w:hAnsi="宋体" w:eastAsia="宋体" w:cs="宋体"/>
                <w:b w:val="0"/>
                <w:bCs w:val="0"/>
                <w:color w:val="auto"/>
                <w:sz w:val="24"/>
                <w:szCs w:val="24"/>
                <w:highlight w:val="none"/>
                <w:lang w:val="en-US" w:eastAsia="zh-CN"/>
              </w:rPr>
              <w:t>本项目</w:t>
            </w:r>
            <w:r>
              <w:rPr>
                <w:rFonts w:hint="eastAsia" w:ascii="宋体" w:hAnsi="宋体" w:eastAsia="宋体" w:cs="宋体"/>
                <w:b w:val="0"/>
                <w:bCs w:val="0"/>
                <w:color w:val="auto"/>
                <w:sz w:val="24"/>
                <w:szCs w:val="24"/>
                <w:highlight w:val="none"/>
                <w:lang w:val="zh-CN"/>
              </w:rPr>
              <w:t>磋商保证金由</w:t>
            </w:r>
            <w:r>
              <w:rPr>
                <w:rFonts w:hint="eastAsia" w:ascii="宋体" w:hAnsi="宋体" w:eastAsia="宋体" w:cs="宋体"/>
                <w:b w:val="0"/>
                <w:bCs w:val="0"/>
                <w:color w:val="auto"/>
                <w:sz w:val="24"/>
                <w:szCs w:val="24"/>
                <w:highlight w:val="none"/>
              </w:rPr>
              <w:t>投标信用承诺书（保证金）</w:t>
            </w:r>
            <w:r>
              <w:rPr>
                <w:rFonts w:hint="eastAsia" w:ascii="宋体" w:hAnsi="宋体" w:eastAsia="宋体" w:cs="宋体"/>
                <w:b w:val="0"/>
                <w:bCs w:val="0"/>
                <w:color w:val="auto"/>
                <w:sz w:val="24"/>
                <w:szCs w:val="24"/>
                <w:highlight w:val="none"/>
                <w:lang w:val="en-US" w:eastAsia="zh-CN"/>
              </w:rPr>
              <w:t>替代</w:t>
            </w:r>
            <w:r>
              <w:rPr>
                <w:rFonts w:hint="eastAsia" w:ascii="宋体" w:hAnsi="宋体" w:eastAsia="宋体" w:cs="宋体"/>
                <w:b w:val="0"/>
                <w:bCs w:val="0"/>
                <w:color w:val="auto"/>
                <w:sz w:val="24"/>
                <w:szCs w:val="24"/>
                <w:highlight w:val="none"/>
              </w:rPr>
              <w:t>（承诺书效力和作用等同投标保证金）</w:t>
            </w:r>
            <w:r>
              <w:rPr>
                <w:rFonts w:hint="eastAsia" w:ascii="宋体" w:hAnsi="宋体" w:eastAsia="宋体" w:cs="宋体"/>
                <w:b w:val="0"/>
                <w:bCs w:val="0"/>
                <w:color w:val="auto"/>
                <w:sz w:val="24"/>
                <w:szCs w:val="24"/>
                <w:highlight w:val="none"/>
                <w:lang w:eastAsia="zh-CN"/>
              </w:rPr>
              <w:t>。</w:t>
            </w:r>
          </w:p>
        </w:tc>
      </w:tr>
      <w:tr w14:paraId="59F59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6" w:type="dxa"/>
            <w:vAlign w:val="center"/>
          </w:tcPr>
          <w:p w14:paraId="4B4600CF">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18</w:t>
            </w:r>
          </w:p>
        </w:tc>
        <w:tc>
          <w:tcPr>
            <w:tcW w:w="1330" w:type="dxa"/>
            <w:vAlign w:val="center"/>
          </w:tcPr>
          <w:p w14:paraId="073CC3FB">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lang w:val="zh-CN"/>
              </w:rPr>
              <w:t>身份核验</w:t>
            </w:r>
          </w:p>
        </w:tc>
        <w:tc>
          <w:tcPr>
            <w:tcW w:w="7107" w:type="dxa"/>
            <w:vAlign w:val="top"/>
          </w:tcPr>
          <w:p w14:paraId="710B79B1">
            <w:pPr>
              <w:keepNext w:val="0"/>
              <w:keepLines w:val="0"/>
              <w:pageBreakBefore w:val="0"/>
              <w:kinsoku/>
              <w:wordWrap/>
              <w:overflowPunct/>
              <w:topLinePunct w:val="0"/>
              <w:autoSpaceDE/>
              <w:autoSpaceDN/>
              <w:bidi w:val="0"/>
              <w:adjustRightInd/>
              <w:spacing w:line="360" w:lineRule="auto"/>
              <w:ind w:left="0" w:leftChars="0" w:right="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磋商会议现场，由采购人对供应商代表进行身份核验。</w:t>
            </w:r>
          </w:p>
          <w:p w14:paraId="2E30743B">
            <w:pPr>
              <w:keepNext w:val="0"/>
              <w:keepLines w:val="0"/>
              <w:pageBreakBefore w:val="0"/>
              <w:kinsoku/>
              <w:wordWrap/>
              <w:overflowPunct/>
              <w:topLinePunct w:val="0"/>
              <w:autoSpaceDE/>
              <w:autoSpaceDN/>
              <w:bidi w:val="0"/>
              <w:adjustRightInd/>
              <w:spacing w:line="360" w:lineRule="auto"/>
              <w:ind w:left="0" w:leftChars="0" w:right="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（1）法定代表人到场的须手持法定代表人身份证明及法定代表身份证原件；</w:t>
            </w:r>
          </w:p>
          <w:p w14:paraId="5C765136">
            <w:pPr>
              <w:keepNext w:val="0"/>
              <w:keepLines w:val="0"/>
              <w:pageBreakBefore w:val="0"/>
              <w:kinsoku/>
              <w:wordWrap/>
              <w:overflowPunct/>
              <w:topLinePunct w:val="0"/>
              <w:autoSpaceDE/>
              <w:autoSpaceDN/>
              <w:bidi w:val="0"/>
              <w:adjustRightInd/>
              <w:spacing w:line="360" w:lineRule="auto"/>
              <w:ind w:left="0" w:leftChars="0" w:right="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（2）授权代表到场的须手持法定代表人授权书及其身份证原件；</w:t>
            </w:r>
          </w:p>
          <w:p w14:paraId="1CE998E8">
            <w:pPr>
              <w:keepNext w:val="0"/>
              <w:keepLines w:val="0"/>
              <w:pageBreakBefore w:val="0"/>
              <w:kinsoku/>
              <w:wordWrap/>
              <w:overflowPunct/>
              <w:topLinePunct w:val="0"/>
              <w:autoSpaceDE/>
              <w:autoSpaceDN/>
              <w:bidi w:val="0"/>
              <w:adjustRightInd/>
              <w:spacing w:line="360" w:lineRule="auto"/>
              <w:ind w:left="0" w:leftChars="0" w:right="0"/>
              <w:jc w:val="both"/>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未按照以上要求提供有效资料的，身份查验不合格按无效投标处理。</w:t>
            </w:r>
          </w:p>
        </w:tc>
      </w:tr>
      <w:tr w14:paraId="01B4D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6" w:type="dxa"/>
            <w:vAlign w:val="center"/>
          </w:tcPr>
          <w:p w14:paraId="484D6CCF">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19</w:t>
            </w:r>
          </w:p>
        </w:tc>
        <w:tc>
          <w:tcPr>
            <w:tcW w:w="1330" w:type="dxa"/>
            <w:vAlign w:val="center"/>
          </w:tcPr>
          <w:p w14:paraId="514EAA94">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代理费汇款账户</w:t>
            </w:r>
          </w:p>
        </w:tc>
        <w:tc>
          <w:tcPr>
            <w:tcW w:w="7107" w:type="dxa"/>
          </w:tcPr>
          <w:p w14:paraId="0A889D56">
            <w:pPr>
              <w:keepNext w:val="0"/>
              <w:keepLines w:val="0"/>
              <w:pageBreakBefore w:val="0"/>
              <w:widowControl/>
              <w:tabs>
                <w:tab w:val="left" w:pos="180"/>
              </w:tabs>
              <w:kinsoku/>
              <w:wordWrap/>
              <w:overflowPunct/>
              <w:topLinePunct w:val="0"/>
              <w:autoSpaceDE/>
              <w:autoSpaceDN/>
              <w:bidi w:val="0"/>
              <w:spacing w:line="360" w:lineRule="auto"/>
              <w:ind w:left="0" w:leftChars="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招标代理服务费：</w:t>
            </w:r>
          </w:p>
          <w:p w14:paraId="7385EC1B">
            <w:pPr>
              <w:keepNext w:val="0"/>
              <w:keepLines w:val="0"/>
              <w:pageBreakBefore w:val="0"/>
              <w:widowControl/>
              <w:tabs>
                <w:tab w:val="left" w:pos="180"/>
              </w:tabs>
              <w:kinsoku/>
              <w:wordWrap/>
              <w:overflowPunct/>
              <w:topLinePunct w:val="0"/>
              <w:autoSpaceDE/>
              <w:autoSpaceDN/>
              <w:bidi w:val="0"/>
              <w:spacing w:line="360" w:lineRule="auto"/>
              <w:ind w:left="0" w:leftChars="0" w:right="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成交供应商</w:t>
            </w:r>
            <w:r>
              <w:rPr>
                <w:rFonts w:hint="eastAsia" w:ascii="宋体" w:hAnsi="宋体" w:eastAsia="宋体" w:cs="宋体"/>
                <w:color w:val="auto"/>
                <w:sz w:val="24"/>
                <w:szCs w:val="24"/>
                <w:highlight w:val="none"/>
              </w:rPr>
              <w:t>向采购代理机构一次性支付招标代理服务费</w:t>
            </w:r>
            <w:r>
              <w:rPr>
                <w:rFonts w:hint="eastAsia" w:ascii="宋体" w:hAnsi="宋体" w:eastAsia="宋体" w:cs="宋体"/>
                <w:color w:val="auto"/>
                <w:sz w:val="24"/>
                <w:szCs w:val="24"/>
                <w:highlight w:val="none"/>
                <w:lang w:eastAsia="zh-CN"/>
              </w:rPr>
              <w:t>。</w:t>
            </w:r>
          </w:p>
          <w:p w14:paraId="1850FFB8">
            <w:pPr>
              <w:keepNext w:val="0"/>
              <w:keepLines w:val="0"/>
              <w:pageBreakBefore w:val="0"/>
              <w:widowControl/>
              <w:tabs>
                <w:tab w:val="left" w:pos="180"/>
              </w:tabs>
              <w:kinsoku/>
              <w:wordWrap/>
              <w:overflowPunct/>
              <w:topLinePunct w:val="0"/>
              <w:autoSpaceDE/>
              <w:autoSpaceDN/>
              <w:bidi w:val="0"/>
              <w:spacing w:line="360" w:lineRule="auto"/>
              <w:ind w:left="0" w:leftChars="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招标代理服务费：招标代理费参考原《国家计委关于印发招标代理服务收费管理暂行办法的通知》 （计价格〔2002〕1980 号）和《国家发展改革委关于进一步放开建设项目专业服务价格的通知》（发改价格〔2015〕299号）规定标准计取。</w:t>
            </w:r>
          </w:p>
          <w:p w14:paraId="1F368935">
            <w:pPr>
              <w:keepNext w:val="0"/>
              <w:keepLines w:val="0"/>
              <w:pageBreakBefore w:val="0"/>
              <w:kinsoku/>
              <w:wordWrap/>
              <w:overflowPunct/>
              <w:topLinePunct w:val="0"/>
              <w:autoSpaceDE/>
              <w:autoSpaceDN/>
              <w:bidi w:val="0"/>
              <w:spacing w:line="360" w:lineRule="auto"/>
              <w:ind w:left="0" w:leftChars="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招标代理服务收费标准(费率)</w:t>
            </w:r>
          </w:p>
          <w:tbl>
            <w:tblPr>
              <w:tblStyle w:val="26"/>
              <w:tblW w:w="6898" w:type="dxa"/>
              <w:jc w:val="center"/>
              <w:tblCellSpacing w:w="0" w:type="dxa"/>
              <w:tblLayout w:type="fixed"/>
              <w:tblCellMar>
                <w:top w:w="0" w:type="dxa"/>
                <w:left w:w="0" w:type="dxa"/>
                <w:bottom w:w="0" w:type="dxa"/>
                <w:right w:w="0" w:type="dxa"/>
              </w:tblCellMar>
            </w:tblPr>
            <w:tblGrid>
              <w:gridCol w:w="1897"/>
              <w:gridCol w:w="1857"/>
              <w:gridCol w:w="1576"/>
              <w:gridCol w:w="1568"/>
            </w:tblGrid>
            <w:tr w14:paraId="0839551E">
              <w:tblPrEx>
                <w:tblCellMar>
                  <w:top w:w="0" w:type="dxa"/>
                  <w:left w:w="0" w:type="dxa"/>
                  <w:bottom w:w="0" w:type="dxa"/>
                  <w:right w:w="0" w:type="dxa"/>
                </w:tblCellMar>
              </w:tblPrEx>
              <w:trPr>
                <w:trHeight w:val="496" w:hRule="atLeast"/>
                <w:tblCellSpacing w:w="0" w:type="dxa"/>
                <w:jc w:val="center"/>
              </w:trPr>
              <w:tc>
                <w:tcPr>
                  <w:tcW w:w="1897" w:type="dxa"/>
                  <w:tcBorders>
                    <w:top w:val="single" w:color="auto" w:sz="4" w:space="0"/>
                    <w:left w:val="single" w:color="auto" w:sz="0" w:space="0"/>
                    <w:bottom w:val="single" w:color="auto" w:sz="4" w:space="0"/>
                    <w:right w:val="single" w:color="auto" w:sz="4" w:space="0"/>
                  </w:tcBorders>
                  <w:vAlign w:val="center"/>
                </w:tcPr>
                <w:p w14:paraId="33F33C20">
                  <w:pPr>
                    <w:keepNext w:val="0"/>
                    <w:keepLines w:val="0"/>
                    <w:pageBreakBefore w:val="0"/>
                    <w:kinsoku/>
                    <w:wordWrap/>
                    <w:overflowPunct/>
                    <w:topLinePunct w:val="0"/>
                    <w:autoSpaceDE/>
                    <w:autoSpaceDN/>
                    <w:bidi w:val="0"/>
                    <w:spacing w:line="360" w:lineRule="auto"/>
                    <w:ind w:left="0" w:leftChars="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中标金额（万元）</w:t>
                  </w:r>
                </w:p>
              </w:tc>
              <w:tc>
                <w:tcPr>
                  <w:tcW w:w="1857" w:type="dxa"/>
                  <w:tcBorders>
                    <w:top w:val="single" w:color="auto" w:sz="4" w:space="0"/>
                    <w:left w:val="single" w:color="auto" w:sz="4" w:space="0"/>
                    <w:bottom w:val="single" w:color="auto" w:sz="4" w:space="0"/>
                    <w:right w:val="single" w:color="auto" w:sz="4" w:space="0"/>
                  </w:tcBorders>
                  <w:vAlign w:val="center"/>
                </w:tcPr>
                <w:p w14:paraId="09855708">
                  <w:pPr>
                    <w:keepNext w:val="0"/>
                    <w:keepLines w:val="0"/>
                    <w:pageBreakBefore w:val="0"/>
                    <w:kinsoku/>
                    <w:wordWrap/>
                    <w:overflowPunct/>
                    <w:topLinePunct w:val="0"/>
                    <w:autoSpaceDE/>
                    <w:autoSpaceDN/>
                    <w:bidi w:val="0"/>
                    <w:spacing w:line="360" w:lineRule="auto"/>
                    <w:ind w:left="0" w:leftChars="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货物招标</w:t>
                  </w:r>
                </w:p>
              </w:tc>
              <w:tc>
                <w:tcPr>
                  <w:tcW w:w="1576" w:type="dxa"/>
                  <w:tcBorders>
                    <w:top w:val="single" w:color="auto" w:sz="4" w:space="0"/>
                    <w:left w:val="single" w:color="auto" w:sz="4" w:space="0"/>
                    <w:bottom w:val="single" w:color="auto" w:sz="4" w:space="0"/>
                    <w:right w:val="single" w:color="auto" w:sz="4" w:space="0"/>
                  </w:tcBorders>
                  <w:vAlign w:val="center"/>
                </w:tcPr>
                <w:p w14:paraId="2052E65D">
                  <w:pPr>
                    <w:keepNext w:val="0"/>
                    <w:keepLines w:val="0"/>
                    <w:pageBreakBefore w:val="0"/>
                    <w:kinsoku/>
                    <w:wordWrap/>
                    <w:overflowPunct/>
                    <w:topLinePunct w:val="0"/>
                    <w:autoSpaceDE/>
                    <w:autoSpaceDN/>
                    <w:bidi w:val="0"/>
                    <w:spacing w:line="360" w:lineRule="auto"/>
                    <w:ind w:left="0" w:leftChars="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服务招标</w:t>
                  </w:r>
                </w:p>
              </w:tc>
              <w:tc>
                <w:tcPr>
                  <w:tcW w:w="1568" w:type="dxa"/>
                  <w:tcBorders>
                    <w:top w:val="single" w:color="auto" w:sz="4" w:space="0"/>
                    <w:left w:val="single" w:color="auto" w:sz="4" w:space="0"/>
                    <w:bottom w:val="single" w:color="auto" w:sz="4" w:space="0"/>
                    <w:right w:val="single" w:color="auto" w:sz="4" w:space="0"/>
                  </w:tcBorders>
                  <w:vAlign w:val="center"/>
                </w:tcPr>
                <w:p w14:paraId="567F6C50">
                  <w:pPr>
                    <w:keepNext w:val="0"/>
                    <w:keepLines w:val="0"/>
                    <w:pageBreakBefore w:val="0"/>
                    <w:kinsoku/>
                    <w:wordWrap/>
                    <w:overflowPunct/>
                    <w:topLinePunct w:val="0"/>
                    <w:autoSpaceDE/>
                    <w:autoSpaceDN/>
                    <w:bidi w:val="0"/>
                    <w:spacing w:line="360" w:lineRule="auto"/>
                    <w:ind w:left="0" w:leftChars="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工程招标</w:t>
                  </w:r>
                </w:p>
              </w:tc>
            </w:tr>
            <w:tr w14:paraId="4F630CBC">
              <w:tblPrEx>
                <w:tblCellMar>
                  <w:top w:w="0" w:type="dxa"/>
                  <w:left w:w="0" w:type="dxa"/>
                  <w:bottom w:w="0" w:type="dxa"/>
                  <w:right w:w="0" w:type="dxa"/>
                </w:tblCellMar>
              </w:tblPrEx>
              <w:trPr>
                <w:trHeight w:val="496" w:hRule="atLeast"/>
                <w:tblCellSpacing w:w="0" w:type="dxa"/>
                <w:jc w:val="center"/>
              </w:trPr>
              <w:tc>
                <w:tcPr>
                  <w:tcW w:w="1897" w:type="dxa"/>
                  <w:tcBorders>
                    <w:top w:val="single" w:color="auto" w:sz="4" w:space="0"/>
                    <w:left w:val="single" w:color="auto" w:sz="4" w:space="0"/>
                    <w:bottom w:val="single" w:color="auto" w:sz="4" w:space="0"/>
                    <w:right w:val="single" w:color="auto" w:sz="4" w:space="0"/>
                  </w:tcBorders>
                  <w:vAlign w:val="center"/>
                </w:tcPr>
                <w:p w14:paraId="71A3EC7F">
                  <w:pPr>
                    <w:keepNext w:val="0"/>
                    <w:keepLines w:val="0"/>
                    <w:pageBreakBefore w:val="0"/>
                    <w:kinsoku/>
                    <w:wordWrap/>
                    <w:overflowPunct/>
                    <w:topLinePunct w:val="0"/>
                    <w:autoSpaceDE/>
                    <w:autoSpaceDN/>
                    <w:bidi w:val="0"/>
                    <w:spacing w:line="360" w:lineRule="auto"/>
                    <w:ind w:left="0" w:leftChars="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100以下</w:t>
                  </w:r>
                </w:p>
              </w:tc>
              <w:tc>
                <w:tcPr>
                  <w:tcW w:w="1857" w:type="dxa"/>
                  <w:tcBorders>
                    <w:top w:val="single" w:color="auto" w:sz="4" w:space="0"/>
                    <w:left w:val="single" w:color="auto" w:sz="4" w:space="0"/>
                    <w:bottom w:val="single" w:color="auto" w:sz="4" w:space="0"/>
                    <w:right w:val="single" w:color="auto" w:sz="4" w:space="0"/>
                  </w:tcBorders>
                  <w:vAlign w:val="center"/>
                </w:tcPr>
                <w:p w14:paraId="7C1F6711">
                  <w:pPr>
                    <w:keepNext w:val="0"/>
                    <w:keepLines w:val="0"/>
                    <w:pageBreakBefore w:val="0"/>
                    <w:kinsoku/>
                    <w:wordWrap/>
                    <w:overflowPunct/>
                    <w:topLinePunct w:val="0"/>
                    <w:autoSpaceDE/>
                    <w:autoSpaceDN/>
                    <w:bidi w:val="0"/>
                    <w:spacing w:line="360" w:lineRule="auto"/>
                    <w:ind w:left="0" w:leftChars="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w:t>
                  </w:r>
                </w:p>
              </w:tc>
              <w:tc>
                <w:tcPr>
                  <w:tcW w:w="1576" w:type="dxa"/>
                  <w:tcBorders>
                    <w:top w:val="single" w:color="auto" w:sz="4" w:space="0"/>
                    <w:left w:val="single" w:color="auto" w:sz="4" w:space="0"/>
                    <w:bottom w:val="single" w:color="auto" w:sz="4" w:space="0"/>
                    <w:right w:val="single" w:color="auto" w:sz="4" w:space="0"/>
                  </w:tcBorders>
                  <w:vAlign w:val="center"/>
                </w:tcPr>
                <w:p w14:paraId="45D5BEA6">
                  <w:pPr>
                    <w:keepNext w:val="0"/>
                    <w:keepLines w:val="0"/>
                    <w:pageBreakBefore w:val="0"/>
                    <w:kinsoku/>
                    <w:wordWrap/>
                    <w:overflowPunct/>
                    <w:topLinePunct w:val="0"/>
                    <w:autoSpaceDE/>
                    <w:autoSpaceDN/>
                    <w:bidi w:val="0"/>
                    <w:spacing w:line="360" w:lineRule="auto"/>
                    <w:ind w:left="0" w:leftChars="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w:t>
                  </w:r>
                </w:p>
              </w:tc>
              <w:tc>
                <w:tcPr>
                  <w:tcW w:w="1568" w:type="dxa"/>
                  <w:tcBorders>
                    <w:top w:val="single" w:color="auto" w:sz="4" w:space="0"/>
                    <w:left w:val="single" w:color="auto" w:sz="4" w:space="0"/>
                    <w:bottom w:val="single" w:color="auto" w:sz="4" w:space="0"/>
                    <w:right w:val="single" w:color="auto" w:sz="4" w:space="0"/>
                  </w:tcBorders>
                  <w:vAlign w:val="center"/>
                </w:tcPr>
                <w:p w14:paraId="51E32C96">
                  <w:pPr>
                    <w:keepNext w:val="0"/>
                    <w:keepLines w:val="0"/>
                    <w:pageBreakBefore w:val="0"/>
                    <w:kinsoku/>
                    <w:wordWrap/>
                    <w:overflowPunct/>
                    <w:topLinePunct w:val="0"/>
                    <w:autoSpaceDE/>
                    <w:autoSpaceDN/>
                    <w:bidi w:val="0"/>
                    <w:spacing w:line="360" w:lineRule="auto"/>
                    <w:ind w:left="0" w:leftChars="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r>
            <w:tr w14:paraId="6058C41B">
              <w:tblPrEx>
                <w:tblCellMar>
                  <w:top w:w="0" w:type="dxa"/>
                  <w:left w:w="0" w:type="dxa"/>
                  <w:bottom w:w="0" w:type="dxa"/>
                  <w:right w:w="0" w:type="dxa"/>
                </w:tblCellMar>
              </w:tblPrEx>
              <w:trPr>
                <w:trHeight w:val="496" w:hRule="atLeast"/>
                <w:tblCellSpacing w:w="0" w:type="dxa"/>
                <w:jc w:val="center"/>
              </w:trPr>
              <w:tc>
                <w:tcPr>
                  <w:tcW w:w="1897" w:type="dxa"/>
                  <w:tcBorders>
                    <w:top w:val="single" w:color="auto" w:sz="4" w:space="0"/>
                    <w:left w:val="single" w:color="auto" w:sz="4" w:space="0"/>
                    <w:bottom w:val="single" w:color="auto" w:sz="4" w:space="0"/>
                    <w:right w:val="single" w:color="auto" w:sz="4" w:space="0"/>
                  </w:tcBorders>
                  <w:vAlign w:val="center"/>
                </w:tcPr>
                <w:p w14:paraId="79427A4B">
                  <w:pPr>
                    <w:keepNext w:val="0"/>
                    <w:keepLines w:val="0"/>
                    <w:pageBreakBefore w:val="0"/>
                    <w:kinsoku/>
                    <w:wordWrap/>
                    <w:overflowPunct/>
                    <w:topLinePunct w:val="0"/>
                    <w:autoSpaceDE/>
                    <w:autoSpaceDN/>
                    <w:bidi w:val="0"/>
                    <w:spacing w:line="360" w:lineRule="auto"/>
                    <w:ind w:left="0" w:leftChars="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100—500</w:t>
                  </w:r>
                </w:p>
              </w:tc>
              <w:tc>
                <w:tcPr>
                  <w:tcW w:w="1857" w:type="dxa"/>
                  <w:tcBorders>
                    <w:top w:val="single" w:color="auto" w:sz="4" w:space="0"/>
                    <w:left w:val="single" w:color="auto" w:sz="4" w:space="0"/>
                    <w:bottom w:val="single" w:color="auto" w:sz="4" w:space="0"/>
                    <w:right w:val="single" w:color="auto" w:sz="4" w:space="0"/>
                  </w:tcBorders>
                  <w:vAlign w:val="center"/>
                </w:tcPr>
                <w:p w14:paraId="043EC65E">
                  <w:pPr>
                    <w:keepNext w:val="0"/>
                    <w:keepLines w:val="0"/>
                    <w:pageBreakBefore w:val="0"/>
                    <w:kinsoku/>
                    <w:wordWrap/>
                    <w:overflowPunct/>
                    <w:topLinePunct w:val="0"/>
                    <w:autoSpaceDE/>
                    <w:autoSpaceDN/>
                    <w:bidi w:val="0"/>
                    <w:spacing w:line="360" w:lineRule="auto"/>
                    <w:ind w:left="0" w:leftChars="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p>
              </w:tc>
              <w:tc>
                <w:tcPr>
                  <w:tcW w:w="1576" w:type="dxa"/>
                  <w:tcBorders>
                    <w:top w:val="single" w:color="auto" w:sz="4" w:space="0"/>
                    <w:left w:val="single" w:color="auto" w:sz="4" w:space="0"/>
                    <w:bottom w:val="single" w:color="auto" w:sz="4" w:space="0"/>
                    <w:right w:val="single" w:color="auto" w:sz="4" w:space="0"/>
                  </w:tcBorders>
                  <w:vAlign w:val="center"/>
                </w:tcPr>
                <w:p w14:paraId="3E01191D">
                  <w:pPr>
                    <w:keepNext w:val="0"/>
                    <w:keepLines w:val="0"/>
                    <w:pageBreakBefore w:val="0"/>
                    <w:kinsoku/>
                    <w:wordWrap/>
                    <w:overflowPunct/>
                    <w:topLinePunct w:val="0"/>
                    <w:autoSpaceDE/>
                    <w:autoSpaceDN/>
                    <w:bidi w:val="0"/>
                    <w:spacing w:line="360" w:lineRule="auto"/>
                    <w:ind w:left="0" w:leftChars="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0.8％</w:t>
                  </w:r>
                </w:p>
              </w:tc>
              <w:tc>
                <w:tcPr>
                  <w:tcW w:w="1568" w:type="dxa"/>
                  <w:tcBorders>
                    <w:top w:val="single" w:color="auto" w:sz="4" w:space="0"/>
                    <w:left w:val="single" w:color="auto" w:sz="4" w:space="0"/>
                    <w:bottom w:val="single" w:color="auto" w:sz="4" w:space="0"/>
                    <w:right w:val="single" w:color="auto" w:sz="4" w:space="0"/>
                  </w:tcBorders>
                  <w:vAlign w:val="center"/>
                </w:tcPr>
                <w:p w14:paraId="40BEE57C">
                  <w:pPr>
                    <w:keepNext w:val="0"/>
                    <w:keepLines w:val="0"/>
                    <w:pageBreakBefore w:val="0"/>
                    <w:kinsoku/>
                    <w:wordWrap/>
                    <w:overflowPunct/>
                    <w:topLinePunct w:val="0"/>
                    <w:autoSpaceDE/>
                    <w:autoSpaceDN/>
                    <w:bidi w:val="0"/>
                    <w:spacing w:line="360" w:lineRule="auto"/>
                    <w:ind w:left="0" w:leftChars="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w:t>
                  </w:r>
                </w:p>
              </w:tc>
            </w:tr>
            <w:tr w14:paraId="0674A7D6">
              <w:tblPrEx>
                <w:tblCellMar>
                  <w:top w:w="0" w:type="dxa"/>
                  <w:left w:w="0" w:type="dxa"/>
                  <w:bottom w:w="0" w:type="dxa"/>
                  <w:right w:w="0" w:type="dxa"/>
                </w:tblCellMar>
              </w:tblPrEx>
              <w:trPr>
                <w:trHeight w:val="496" w:hRule="atLeast"/>
                <w:tblCellSpacing w:w="0" w:type="dxa"/>
                <w:jc w:val="center"/>
              </w:trPr>
              <w:tc>
                <w:tcPr>
                  <w:tcW w:w="1897" w:type="dxa"/>
                  <w:tcBorders>
                    <w:top w:val="single" w:color="auto" w:sz="4" w:space="0"/>
                    <w:left w:val="single" w:color="auto" w:sz="4" w:space="0"/>
                    <w:bottom w:val="single" w:color="auto" w:sz="4" w:space="0"/>
                    <w:right w:val="single" w:color="auto" w:sz="4" w:space="0"/>
                  </w:tcBorders>
                  <w:vAlign w:val="center"/>
                </w:tcPr>
                <w:p w14:paraId="044FCCDA">
                  <w:pPr>
                    <w:keepNext w:val="0"/>
                    <w:keepLines w:val="0"/>
                    <w:pageBreakBefore w:val="0"/>
                    <w:kinsoku/>
                    <w:wordWrap/>
                    <w:overflowPunct/>
                    <w:topLinePunct w:val="0"/>
                    <w:autoSpaceDE/>
                    <w:autoSpaceDN/>
                    <w:bidi w:val="0"/>
                    <w:spacing w:line="360" w:lineRule="auto"/>
                    <w:ind w:left="0" w:leftChars="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500—1000</w:t>
                  </w:r>
                </w:p>
              </w:tc>
              <w:tc>
                <w:tcPr>
                  <w:tcW w:w="1857" w:type="dxa"/>
                  <w:tcBorders>
                    <w:top w:val="single" w:color="auto" w:sz="4" w:space="0"/>
                    <w:left w:val="single" w:color="auto" w:sz="4" w:space="0"/>
                    <w:bottom w:val="single" w:color="auto" w:sz="4" w:space="0"/>
                    <w:right w:val="single" w:color="auto" w:sz="4" w:space="0"/>
                  </w:tcBorders>
                  <w:vAlign w:val="center"/>
                </w:tcPr>
                <w:p w14:paraId="7EBBEA28">
                  <w:pPr>
                    <w:keepNext w:val="0"/>
                    <w:keepLines w:val="0"/>
                    <w:pageBreakBefore w:val="0"/>
                    <w:kinsoku/>
                    <w:wordWrap/>
                    <w:overflowPunct/>
                    <w:topLinePunct w:val="0"/>
                    <w:autoSpaceDE/>
                    <w:autoSpaceDN/>
                    <w:bidi w:val="0"/>
                    <w:spacing w:line="360" w:lineRule="auto"/>
                    <w:ind w:left="0" w:leftChars="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0.8％</w:t>
                  </w:r>
                </w:p>
              </w:tc>
              <w:tc>
                <w:tcPr>
                  <w:tcW w:w="1576" w:type="dxa"/>
                  <w:tcBorders>
                    <w:top w:val="single" w:color="auto" w:sz="4" w:space="0"/>
                    <w:left w:val="single" w:color="auto" w:sz="4" w:space="0"/>
                    <w:bottom w:val="single" w:color="auto" w:sz="4" w:space="0"/>
                    <w:right w:val="single" w:color="auto" w:sz="4" w:space="0"/>
                  </w:tcBorders>
                  <w:vAlign w:val="center"/>
                </w:tcPr>
                <w:p w14:paraId="6087F2A2">
                  <w:pPr>
                    <w:keepNext w:val="0"/>
                    <w:keepLines w:val="0"/>
                    <w:pageBreakBefore w:val="0"/>
                    <w:kinsoku/>
                    <w:wordWrap/>
                    <w:overflowPunct/>
                    <w:topLinePunct w:val="0"/>
                    <w:autoSpaceDE/>
                    <w:autoSpaceDN/>
                    <w:bidi w:val="0"/>
                    <w:spacing w:line="360" w:lineRule="auto"/>
                    <w:ind w:left="0" w:leftChars="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0.45％</w:t>
                  </w:r>
                </w:p>
              </w:tc>
              <w:tc>
                <w:tcPr>
                  <w:tcW w:w="1568" w:type="dxa"/>
                  <w:tcBorders>
                    <w:top w:val="single" w:color="auto" w:sz="4" w:space="0"/>
                    <w:left w:val="single" w:color="auto" w:sz="4" w:space="0"/>
                    <w:bottom w:val="single" w:color="auto" w:sz="4" w:space="0"/>
                    <w:right w:val="single" w:color="auto" w:sz="4" w:space="0"/>
                  </w:tcBorders>
                  <w:vAlign w:val="center"/>
                </w:tcPr>
                <w:p w14:paraId="2B3DE1CD">
                  <w:pPr>
                    <w:keepNext w:val="0"/>
                    <w:keepLines w:val="0"/>
                    <w:pageBreakBefore w:val="0"/>
                    <w:kinsoku/>
                    <w:wordWrap/>
                    <w:overflowPunct/>
                    <w:topLinePunct w:val="0"/>
                    <w:autoSpaceDE/>
                    <w:autoSpaceDN/>
                    <w:bidi w:val="0"/>
                    <w:spacing w:line="360" w:lineRule="auto"/>
                    <w:ind w:left="0" w:leftChars="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0.55%</w:t>
                  </w:r>
                </w:p>
              </w:tc>
            </w:tr>
            <w:tr w14:paraId="63568E7D">
              <w:tblPrEx>
                <w:tblCellMar>
                  <w:top w:w="0" w:type="dxa"/>
                  <w:left w:w="0" w:type="dxa"/>
                  <w:bottom w:w="0" w:type="dxa"/>
                  <w:right w:w="0" w:type="dxa"/>
                </w:tblCellMar>
              </w:tblPrEx>
              <w:trPr>
                <w:trHeight w:val="496" w:hRule="atLeast"/>
                <w:tblCellSpacing w:w="0" w:type="dxa"/>
                <w:jc w:val="center"/>
              </w:trPr>
              <w:tc>
                <w:tcPr>
                  <w:tcW w:w="1897" w:type="dxa"/>
                  <w:tcBorders>
                    <w:top w:val="single" w:color="auto" w:sz="4" w:space="0"/>
                    <w:left w:val="single" w:color="auto" w:sz="4" w:space="0"/>
                    <w:bottom w:val="single" w:color="auto" w:sz="4" w:space="0"/>
                    <w:right w:val="single" w:color="auto" w:sz="4" w:space="0"/>
                  </w:tcBorders>
                  <w:vAlign w:val="center"/>
                </w:tcPr>
                <w:p w14:paraId="5316D4EC">
                  <w:pPr>
                    <w:keepNext w:val="0"/>
                    <w:keepLines w:val="0"/>
                    <w:pageBreakBefore w:val="0"/>
                    <w:kinsoku/>
                    <w:wordWrap/>
                    <w:overflowPunct/>
                    <w:topLinePunct w:val="0"/>
                    <w:autoSpaceDE/>
                    <w:autoSpaceDN/>
                    <w:bidi w:val="0"/>
                    <w:spacing w:line="360" w:lineRule="auto"/>
                    <w:ind w:left="0" w:leftChars="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1000—5000</w:t>
                  </w:r>
                </w:p>
              </w:tc>
              <w:tc>
                <w:tcPr>
                  <w:tcW w:w="1857" w:type="dxa"/>
                  <w:tcBorders>
                    <w:top w:val="single" w:color="auto" w:sz="4" w:space="0"/>
                    <w:left w:val="single" w:color="auto" w:sz="4" w:space="0"/>
                    <w:bottom w:val="single" w:color="auto" w:sz="4" w:space="0"/>
                    <w:right w:val="single" w:color="auto" w:sz="4" w:space="0"/>
                  </w:tcBorders>
                  <w:vAlign w:val="center"/>
                </w:tcPr>
                <w:p w14:paraId="797BE2E6">
                  <w:pPr>
                    <w:keepNext w:val="0"/>
                    <w:keepLines w:val="0"/>
                    <w:pageBreakBefore w:val="0"/>
                    <w:kinsoku/>
                    <w:wordWrap/>
                    <w:overflowPunct/>
                    <w:topLinePunct w:val="0"/>
                    <w:autoSpaceDE/>
                    <w:autoSpaceDN/>
                    <w:bidi w:val="0"/>
                    <w:spacing w:line="360" w:lineRule="auto"/>
                    <w:ind w:left="0" w:leftChars="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0.5％</w:t>
                  </w:r>
                </w:p>
              </w:tc>
              <w:tc>
                <w:tcPr>
                  <w:tcW w:w="1576" w:type="dxa"/>
                  <w:tcBorders>
                    <w:top w:val="single" w:color="auto" w:sz="4" w:space="0"/>
                    <w:left w:val="single" w:color="auto" w:sz="4" w:space="0"/>
                    <w:bottom w:val="single" w:color="auto" w:sz="4" w:space="0"/>
                    <w:right w:val="single" w:color="auto" w:sz="4" w:space="0"/>
                  </w:tcBorders>
                  <w:vAlign w:val="center"/>
                </w:tcPr>
                <w:p w14:paraId="7E308DC9">
                  <w:pPr>
                    <w:keepNext w:val="0"/>
                    <w:keepLines w:val="0"/>
                    <w:pageBreakBefore w:val="0"/>
                    <w:kinsoku/>
                    <w:wordWrap/>
                    <w:overflowPunct/>
                    <w:topLinePunct w:val="0"/>
                    <w:autoSpaceDE/>
                    <w:autoSpaceDN/>
                    <w:bidi w:val="0"/>
                    <w:spacing w:line="360" w:lineRule="auto"/>
                    <w:ind w:left="0" w:leftChars="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0.25％</w:t>
                  </w:r>
                </w:p>
              </w:tc>
              <w:tc>
                <w:tcPr>
                  <w:tcW w:w="1568" w:type="dxa"/>
                  <w:tcBorders>
                    <w:top w:val="single" w:color="auto" w:sz="4" w:space="0"/>
                    <w:left w:val="single" w:color="auto" w:sz="4" w:space="0"/>
                    <w:bottom w:val="single" w:color="auto" w:sz="4" w:space="0"/>
                    <w:right w:val="single" w:color="auto" w:sz="4" w:space="0"/>
                  </w:tcBorders>
                  <w:vAlign w:val="center"/>
                </w:tcPr>
                <w:p w14:paraId="372199E2">
                  <w:pPr>
                    <w:keepNext w:val="0"/>
                    <w:keepLines w:val="0"/>
                    <w:pageBreakBefore w:val="0"/>
                    <w:kinsoku/>
                    <w:wordWrap/>
                    <w:overflowPunct/>
                    <w:topLinePunct w:val="0"/>
                    <w:autoSpaceDE/>
                    <w:autoSpaceDN/>
                    <w:bidi w:val="0"/>
                    <w:spacing w:line="360" w:lineRule="auto"/>
                    <w:ind w:left="0" w:leftChars="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0.35%</w:t>
                  </w:r>
                </w:p>
              </w:tc>
            </w:tr>
          </w:tbl>
          <w:p w14:paraId="6127B804">
            <w:pPr>
              <w:keepNext w:val="0"/>
              <w:keepLines w:val="0"/>
              <w:pageBreakBefore w:val="0"/>
              <w:kinsoku/>
              <w:wordWrap/>
              <w:overflowPunct/>
              <w:topLinePunct w:val="0"/>
              <w:autoSpaceDE/>
              <w:autoSpaceDN/>
              <w:bidi w:val="0"/>
              <w:adjustRightInd/>
              <w:spacing w:line="360" w:lineRule="auto"/>
              <w:ind w:left="0" w:leftChars="0" w:right="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账户名称：</w:t>
            </w:r>
            <w:r>
              <w:rPr>
                <w:rFonts w:hint="eastAsia" w:ascii="宋体" w:hAnsi="宋体" w:cs="宋体"/>
                <w:color w:val="auto"/>
                <w:sz w:val="24"/>
                <w:szCs w:val="24"/>
                <w:highlight w:val="none"/>
                <w:lang w:val="zh-CN"/>
              </w:rPr>
              <w:t>榆林腾达建诚信息咨询有限公司</w:t>
            </w:r>
          </w:p>
          <w:p w14:paraId="17D92E36">
            <w:pPr>
              <w:keepNext w:val="0"/>
              <w:keepLines w:val="0"/>
              <w:pageBreakBefore w:val="0"/>
              <w:kinsoku/>
              <w:wordWrap/>
              <w:overflowPunct/>
              <w:topLinePunct w:val="0"/>
              <w:autoSpaceDE/>
              <w:autoSpaceDN/>
              <w:bidi w:val="0"/>
              <w:adjustRightInd/>
              <w:spacing w:line="360" w:lineRule="auto"/>
              <w:ind w:left="0" w:leftChars="0" w:right="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开 户 行：</w:t>
            </w:r>
            <w:r>
              <w:rPr>
                <w:rFonts w:hint="eastAsia" w:ascii="宋体" w:hAnsi="宋体" w:cs="宋体"/>
                <w:color w:val="auto"/>
                <w:sz w:val="24"/>
                <w:szCs w:val="24"/>
                <w:highlight w:val="none"/>
                <w:lang w:val="zh-CN"/>
              </w:rPr>
              <w:t>中国银行股份有限公司榆林肤施路支行</w:t>
            </w:r>
          </w:p>
          <w:p w14:paraId="550425FB">
            <w:pPr>
              <w:keepNext w:val="0"/>
              <w:keepLines w:val="0"/>
              <w:pageBreakBefore w:val="0"/>
              <w:kinsoku/>
              <w:wordWrap/>
              <w:overflowPunct/>
              <w:topLinePunct w:val="0"/>
              <w:autoSpaceDE/>
              <w:autoSpaceDN/>
              <w:bidi w:val="0"/>
              <w:adjustRightInd/>
              <w:spacing w:line="360" w:lineRule="auto"/>
              <w:ind w:left="0" w:leftChars="0" w:right="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 xml:space="preserve">帐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zh-CN"/>
              </w:rPr>
              <w:t>号：</w:t>
            </w:r>
            <w:r>
              <w:rPr>
                <w:rFonts w:hint="eastAsia" w:ascii="宋体" w:hAnsi="宋体" w:cs="宋体"/>
                <w:color w:val="auto"/>
                <w:sz w:val="24"/>
                <w:szCs w:val="24"/>
                <w:highlight w:val="none"/>
                <w:lang w:val="zh-CN"/>
              </w:rPr>
              <w:t>103722080667</w:t>
            </w:r>
          </w:p>
        </w:tc>
      </w:tr>
      <w:tr w14:paraId="7B956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6" w:type="dxa"/>
            <w:vAlign w:val="center"/>
          </w:tcPr>
          <w:p w14:paraId="410DB917">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20</w:t>
            </w:r>
          </w:p>
        </w:tc>
        <w:tc>
          <w:tcPr>
            <w:tcW w:w="1330" w:type="dxa"/>
            <w:vAlign w:val="center"/>
          </w:tcPr>
          <w:p w14:paraId="57BAD530">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备选投标方案</w:t>
            </w:r>
          </w:p>
        </w:tc>
        <w:tc>
          <w:tcPr>
            <w:tcW w:w="7107" w:type="dxa"/>
            <w:vAlign w:val="center"/>
          </w:tcPr>
          <w:p w14:paraId="0372F34B">
            <w:pPr>
              <w:keepNext w:val="0"/>
              <w:keepLines w:val="0"/>
              <w:pageBreakBefore w:val="0"/>
              <w:kinsoku/>
              <w:wordWrap/>
              <w:overflowPunct/>
              <w:topLinePunct w:val="0"/>
              <w:autoSpaceDE/>
              <w:autoSpaceDN/>
              <w:bidi w:val="0"/>
              <w:adjustRightInd/>
              <w:spacing w:line="360" w:lineRule="auto"/>
              <w:ind w:left="0" w:leftChars="0" w:right="0"/>
              <w:jc w:val="both"/>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不接受备选投标方案。</w:t>
            </w:r>
          </w:p>
        </w:tc>
      </w:tr>
      <w:tr w14:paraId="074BD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6" w:type="dxa"/>
            <w:vAlign w:val="center"/>
          </w:tcPr>
          <w:p w14:paraId="589BDAE0">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21</w:t>
            </w:r>
          </w:p>
        </w:tc>
        <w:tc>
          <w:tcPr>
            <w:tcW w:w="1330" w:type="dxa"/>
            <w:vAlign w:val="center"/>
          </w:tcPr>
          <w:p w14:paraId="464BC4F2">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盖章签字</w:t>
            </w:r>
          </w:p>
        </w:tc>
        <w:tc>
          <w:tcPr>
            <w:tcW w:w="7107" w:type="dxa"/>
            <w:vAlign w:val="center"/>
          </w:tcPr>
          <w:p w14:paraId="420C7D08">
            <w:pPr>
              <w:keepNext w:val="0"/>
              <w:keepLines w:val="0"/>
              <w:pageBreakBefore w:val="0"/>
              <w:kinsoku/>
              <w:wordWrap/>
              <w:overflowPunct/>
              <w:topLinePunct w:val="0"/>
              <w:autoSpaceDE/>
              <w:autoSpaceDN/>
              <w:bidi w:val="0"/>
              <w:adjustRightInd/>
              <w:spacing w:line="360" w:lineRule="auto"/>
              <w:ind w:left="0" w:leftChars="0" w:right="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供应商必须按照竞争性磋商文件的规定和要求</w:t>
            </w:r>
            <w:bookmarkStart w:id="29" w:name="OLE_LINK5"/>
            <w:r>
              <w:rPr>
                <w:rFonts w:hint="eastAsia" w:ascii="宋体" w:hAnsi="宋体" w:eastAsia="宋体" w:cs="宋体"/>
                <w:color w:val="auto"/>
                <w:sz w:val="24"/>
                <w:szCs w:val="24"/>
                <w:highlight w:val="none"/>
                <w:lang w:val="zh-CN"/>
              </w:rPr>
              <w:t>由法定代表人</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lang w:val="zh-CN"/>
              </w:rPr>
              <w:t>被授权人签字（或盖章）。</w:t>
            </w:r>
            <w:bookmarkEnd w:id="29"/>
          </w:p>
        </w:tc>
      </w:tr>
      <w:tr w14:paraId="19F64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6" w:type="dxa"/>
            <w:vAlign w:val="center"/>
          </w:tcPr>
          <w:p w14:paraId="03A494E8">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22</w:t>
            </w:r>
          </w:p>
        </w:tc>
        <w:tc>
          <w:tcPr>
            <w:tcW w:w="1330" w:type="dxa"/>
            <w:vAlign w:val="center"/>
          </w:tcPr>
          <w:p w14:paraId="72CFE76E">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响应文件数量、装订</w:t>
            </w:r>
          </w:p>
        </w:tc>
        <w:tc>
          <w:tcPr>
            <w:tcW w:w="7107" w:type="dxa"/>
            <w:vAlign w:val="center"/>
          </w:tcPr>
          <w:p w14:paraId="390C096D">
            <w:pPr>
              <w:keepNext w:val="0"/>
              <w:keepLines w:val="0"/>
              <w:pageBreakBefore w:val="0"/>
              <w:kinsoku/>
              <w:wordWrap/>
              <w:overflowPunct/>
              <w:topLinePunct w:val="0"/>
              <w:autoSpaceDE/>
              <w:autoSpaceDN/>
              <w:bidi w:val="0"/>
              <w:spacing w:line="360" w:lineRule="auto"/>
              <w:ind w:left="0" w:leftChars="0" w:right="0"/>
              <w:jc w:val="left"/>
              <w:rPr>
                <w:rFonts w:hint="eastAsia" w:ascii="宋体" w:hAnsi="宋体" w:eastAsia="宋体" w:cs="宋体"/>
                <w:b/>
                <w:bCs/>
                <w:color w:val="auto"/>
                <w:spacing w:val="4"/>
                <w:sz w:val="24"/>
                <w:szCs w:val="24"/>
                <w:highlight w:val="none"/>
                <w:lang w:val="zh-CN"/>
              </w:rPr>
            </w:pPr>
            <w:r>
              <w:rPr>
                <w:rFonts w:hint="eastAsia" w:ascii="宋体" w:hAnsi="宋体" w:eastAsia="宋体" w:cs="宋体"/>
                <w:b/>
                <w:bCs/>
                <w:color w:val="auto"/>
                <w:spacing w:val="4"/>
                <w:sz w:val="24"/>
                <w:szCs w:val="24"/>
                <w:highlight w:val="none"/>
                <w:lang w:val="en-US" w:eastAsia="zh-CN"/>
              </w:rPr>
              <w:t>投标</w:t>
            </w:r>
            <w:r>
              <w:rPr>
                <w:rFonts w:hint="eastAsia" w:ascii="宋体" w:hAnsi="宋体" w:eastAsia="宋体" w:cs="宋体"/>
                <w:b/>
                <w:bCs/>
                <w:color w:val="auto"/>
                <w:spacing w:val="4"/>
                <w:sz w:val="24"/>
                <w:szCs w:val="24"/>
                <w:highlight w:val="none"/>
                <w:lang w:val="zh-CN"/>
              </w:rPr>
              <w:t>文件</w:t>
            </w:r>
            <w:r>
              <w:rPr>
                <w:rFonts w:hint="eastAsia" w:ascii="宋体" w:hAnsi="宋体" w:eastAsia="宋体" w:cs="宋体"/>
                <w:b/>
                <w:bCs/>
                <w:color w:val="auto"/>
                <w:spacing w:val="4"/>
                <w:sz w:val="24"/>
                <w:szCs w:val="24"/>
                <w:highlight w:val="none"/>
                <w:lang w:val="en-US" w:eastAsia="zh-CN"/>
              </w:rPr>
              <w:t>纸质版</w:t>
            </w:r>
            <w:r>
              <w:rPr>
                <w:rFonts w:hint="eastAsia" w:ascii="宋体" w:hAnsi="宋体" w:eastAsia="宋体" w:cs="宋体"/>
                <w:b/>
                <w:bCs/>
                <w:color w:val="auto"/>
                <w:spacing w:val="4"/>
                <w:sz w:val="24"/>
                <w:szCs w:val="24"/>
                <w:highlight w:val="none"/>
                <w:lang w:val="zh-CN"/>
              </w:rPr>
              <w:t>：</w:t>
            </w:r>
          </w:p>
          <w:p w14:paraId="45D160DA">
            <w:pPr>
              <w:keepNext w:val="0"/>
              <w:keepLines w:val="0"/>
              <w:pageBreakBefore w:val="0"/>
              <w:kinsoku/>
              <w:wordWrap/>
              <w:overflowPunct/>
              <w:topLinePunct w:val="0"/>
              <w:autoSpaceDE/>
              <w:autoSpaceDN/>
              <w:bidi w:val="0"/>
              <w:spacing w:line="360" w:lineRule="auto"/>
              <w:ind w:left="0" w:leftChars="0" w:right="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正本壹份、副本贰份、电子版壹份。竞争性磋商响应文件正、副本须各自装订成册，统一编码（要求胶装、不得出现活页）。</w:t>
            </w:r>
          </w:p>
        </w:tc>
      </w:tr>
      <w:tr w14:paraId="5D6ED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6" w:type="dxa"/>
            <w:vAlign w:val="center"/>
          </w:tcPr>
          <w:p w14:paraId="124230BE">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23</w:t>
            </w:r>
          </w:p>
        </w:tc>
        <w:tc>
          <w:tcPr>
            <w:tcW w:w="1330" w:type="dxa"/>
            <w:vAlign w:val="center"/>
          </w:tcPr>
          <w:p w14:paraId="25ACCC3E">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投标报价</w:t>
            </w:r>
          </w:p>
        </w:tc>
        <w:tc>
          <w:tcPr>
            <w:tcW w:w="7107" w:type="dxa"/>
            <w:vAlign w:val="center"/>
          </w:tcPr>
          <w:p w14:paraId="1F7E07F6">
            <w:pPr>
              <w:keepNext w:val="0"/>
              <w:keepLines w:val="0"/>
              <w:pageBreakBefore w:val="0"/>
              <w:kinsoku/>
              <w:wordWrap/>
              <w:overflowPunct/>
              <w:topLinePunct w:val="0"/>
              <w:autoSpaceDE/>
              <w:autoSpaceDN/>
              <w:bidi w:val="0"/>
              <w:adjustRightInd/>
              <w:spacing w:line="360" w:lineRule="auto"/>
              <w:ind w:left="0" w:leftChars="0" w:right="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合同价即</w:t>
            </w:r>
            <w:r>
              <w:rPr>
                <w:rFonts w:hint="eastAsia" w:ascii="宋体" w:hAnsi="宋体" w:eastAsia="宋体" w:cs="宋体"/>
                <w:color w:val="auto"/>
                <w:sz w:val="24"/>
                <w:szCs w:val="24"/>
                <w:highlight w:val="none"/>
                <w:lang w:val="en-US" w:eastAsia="zh-CN"/>
              </w:rPr>
              <w:t>成交</w:t>
            </w:r>
            <w:r>
              <w:rPr>
                <w:rFonts w:hint="eastAsia" w:ascii="宋体" w:hAnsi="宋体" w:eastAsia="宋体" w:cs="宋体"/>
                <w:color w:val="auto"/>
                <w:sz w:val="24"/>
                <w:szCs w:val="24"/>
                <w:highlight w:val="none"/>
                <w:lang w:val="zh-CN"/>
              </w:rPr>
              <w:t>价，</w:t>
            </w:r>
            <w:r>
              <w:rPr>
                <w:rFonts w:hint="eastAsia" w:ascii="宋体" w:hAnsi="宋体" w:eastAsia="宋体" w:cs="宋体"/>
                <w:color w:val="auto"/>
                <w:sz w:val="24"/>
                <w:szCs w:val="24"/>
                <w:highlight w:val="none"/>
                <w:lang w:val="zh-CN" w:eastAsia="zh-CN"/>
              </w:rPr>
              <w:t>供应商</w:t>
            </w:r>
            <w:r>
              <w:rPr>
                <w:rFonts w:hint="eastAsia" w:ascii="宋体" w:hAnsi="宋体" w:eastAsia="宋体" w:cs="宋体"/>
                <w:color w:val="auto"/>
                <w:sz w:val="24"/>
                <w:szCs w:val="24"/>
                <w:highlight w:val="none"/>
                <w:lang w:val="zh-CN"/>
              </w:rPr>
              <w:t>应在投标报价表中标明完成本次招标所要求的服务、验收合格的所有费用，包括</w:t>
            </w:r>
            <w:r>
              <w:rPr>
                <w:rFonts w:hint="eastAsia" w:ascii="宋体" w:hAnsi="宋体" w:eastAsia="宋体" w:cs="宋体"/>
                <w:color w:val="auto"/>
                <w:sz w:val="24"/>
                <w:szCs w:val="24"/>
                <w:highlight w:val="none"/>
                <w:lang w:val="en-US" w:eastAsia="zh-CN"/>
              </w:rPr>
              <w:t>服务</w:t>
            </w:r>
            <w:r>
              <w:rPr>
                <w:rFonts w:hint="eastAsia" w:ascii="宋体" w:hAnsi="宋体" w:eastAsia="宋体" w:cs="宋体"/>
                <w:color w:val="auto"/>
                <w:sz w:val="24"/>
                <w:szCs w:val="24"/>
                <w:highlight w:val="none"/>
                <w:lang w:val="zh-CN" w:eastAsia="zh-CN"/>
              </w:rPr>
              <w:t>费、</w:t>
            </w:r>
            <w:r>
              <w:rPr>
                <w:rFonts w:hint="eastAsia" w:ascii="宋体" w:hAnsi="宋体" w:eastAsia="宋体" w:cs="宋体"/>
                <w:color w:val="auto"/>
                <w:sz w:val="24"/>
                <w:szCs w:val="24"/>
                <w:highlight w:val="none"/>
                <w:lang w:val="en-US" w:eastAsia="zh-CN"/>
              </w:rPr>
              <w:t>税费</w:t>
            </w:r>
            <w:r>
              <w:rPr>
                <w:rFonts w:hint="eastAsia" w:ascii="宋体" w:hAnsi="宋体" w:eastAsia="宋体" w:cs="宋体"/>
                <w:color w:val="auto"/>
                <w:sz w:val="24"/>
                <w:szCs w:val="24"/>
                <w:highlight w:val="none"/>
                <w:lang w:val="zh-CN"/>
              </w:rPr>
              <w:t>等其他一切相关费用。投标报价表中标明本次服务的所有单项价格和总价，任何有选择的报价将不予接受，按无效投标处理。</w:t>
            </w:r>
          </w:p>
        </w:tc>
      </w:tr>
      <w:tr w14:paraId="39601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6" w:type="dxa"/>
            <w:vAlign w:val="center"/>
          </w:tcPr>
          <w:p w14:paraId="0CD6C735">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24</w:t>
            </w:r>
          </w:p>
        </w:tc>
        <w:tc>
          <w:tcPr>
            <w:tcW w:w="1330" w:type="dxa"/>
            <w:vAlign w:val="center"/>
          </w:tcPr>
          <w:p w14:paraId="56493953">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评标办法及标准</w:t>
            </w:r>
          </w:p>
        </w:tc>
        <w:tc>
          <w:tcPr>
            <w:tcW w:w="7107" w:type="dxa"/>
            <w:vAlign w:val="center"/>
          </w:tcPr>
          <w:p w14:paraId="033EC45C">
            <w:pPr>
              <w:pStyle w:val="33"/>
              <w:keepNext w:val="0"/>
              <w:keepLines w:val="0"/>
              <w:pageBreakBefore w:val="0"/>
              <w:kinsoku/>
              <w:wordWrap/>
              <w:overflowPunct/>
              <w:topLinePunct w:val="0"/>
              <w:autoSpaceDE/>
              <w:autoSpaceDN/>
              <w:bidi w:val="0"/>
              <w:adjustRightInd/>
              <w:spacing w:line="360" w:lineRule="auto"/>
              <w:ind w:left="0" w:leftChars="0" w:right="0"/>
              <w:rPr>
                <w:rFonts w:hint="eastAsia" w:ascii="宋体" w:hAnsi="宋体" w:eastAsia="宋体" w:cs="宋体"/>
                <w:color w:val="auto"/>
                <w:kern w:val="2"/>
                <w:sz w:val="24"/>
                <w:szCs w:val="24"/>
                <w:highlight w:val="none"/>
                <w:lang w:val="zh-CN"/>
              </w:rPr>
            </w:pPr>
            <w:r>
              <w:rPr>
                <w:rFonts w:hint="eastAsia" w:ascii="宋体" w:hAnsi="宋体" w:eastAsia="宋体" w:cs="宋体"/>
                <w:color w:val="auto"/>
                <w:kern w:val="2"/>
                <w:sz w:val="24"/>
                <w:szCs w:val="24"/>
                <w:highlight w:val="none"/>
                <w:lang w:val="zh-CN"/>
              </w:rPr>
              <w:t>详见第（</w:t>
            </w:r>
            <w:r>
              <w:rPr>
                <w:rFonts w:hint="eastAsia" w:ascii="宋体" w:hAnsi="宋体" w:eastAsia="宋体" w:cs="宋体"/>
                <w:color w:val="auto"/>
                <w:kern w:val="2"/>
                <w:sz w:val="24"/>
                <w:szCs w:val="24"/>
                <w:highlight w:val="none"/>
                <w:lang w:val="en-US" w:eastAsia="zh-CN"/>
              </w:rPr>
              <w:t>六</w:t>
            </w:r>
            <w:r>
              <w:rPr>
                <w:rFonts w:hint="eastAsia" w:ascii="宋体" w:hAnsi="宋体" w:eastAsia="宋体" w:cs="宋体"/>
                <w:color w:val="auto"/>
                <w:kern w:val="2"/>
                <w:sz w:val="24"/>
                <w:szCs w:val="24"/>
                <w:highlight w:val="none"/>
                <w:lang w:val="zh-CN"/>
              </w:rPr>
              <w:t>）</w:t>
            </w:r>
            <w:r>
              <w:rPr>
                <w:rFonts w:hint="eastAsia" w:ascii="宋体" w:hAnsi="宋体" w:eastAsia="宋体" w:cs="宋体"/>
                <w:color w:val="auto"/>
                <w:kern w:val="2"/>
                <w:sz w:val="24"/>
                <w:szCs w:val="24"/>
                <w:highlight w:val="none"/>
                <w:lang w:val="en-US" w:eastAsia="zh-CN"/>
              </w:rPr>
              <w:t>章</w:t>
            </w:r>
            <w:r>
              <w:rPr>
                <w:rFonts w:hint="eastAsia" w:ascii="宋体" w:hAnsi="宋体" w:eastAsia="宋体" w:cs="宋体"/>
                <w:color w:val="auto"/>
                <w:kern w:val="2"/>
                <w:sz w:val="24"/>
                <w:szCs w:val="24"/>
                <w:highlight w:val="none"/>
                <w:lang w:val="zh-CN"/>
              </w:rPr>
              <w:t>评分内容和评分方式。</w:t>
            </w:r>
          </w:p>
        </w:tc>
      </w:tr>
      <w:tr w14:paraId="69A0F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6" w:type="dxa"/>
            <w:vAlign w:val="center"/>
          </w:tcPr>
          <w:p w14:paraId="24A05B46">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25</w:t>
            </w:r>
          </w:p>
        </w:tc>
        <w:tc>
          <w:tcPr>
            <w:tcW w:w="1330" w:type="dxa"/>
            <w:vAlign w:val="center"/>
          </w:tcPr>
          <w:p w14:paraId="7E73A2BA">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其它事项</w:t>
            </w:r>
          </w:p>
        </w:tc>
        <w:tc>
          <w:tcPr>
            <w:tcW w:w="7107" w:type="dxa"/>
            <w:vAlign w:val="center"/>
          </w:tcPr>
          <w:p w14:paraId="04E27A76">
            <w:pPr>
              <w:pStyle w:val="33"/>
              <w:keepNext w:val="0"/>
              <w:keepLines w:val="0"/>
              <w:pageBreakBefore w:val="0"/>
              <w:kinsoku/>
              <w:wordWrap/>
              <w:overflowPunct/>
              <w:topLinePunct w:val="0"/>
              <w:autoSpaceDE/>
              <w:autoSpaceDN/>
              <w:bidi w:val="0"/>
              <w:adjustRightInd/>
              <w:spacing w:line="360" w:lineRule="auto"/>
              <w:ind w:left="0" w:leftChars="0" w:right="0"/>
              <w:rPr>
                <w:rFonts w:hint="eastAsia" w:ascii="宋体" w:hAnsi="宋体" w:eastAsia="宋体" w:cs="宋体"/>
                <w:color w:val="auto"/>
                <w:kern w:val="2"/>
                <w:sz w:val="24"/>
                <w:szCs w:val="24"/>
                <w:highlight w:val="none"/>
                <w:lang w:val="zh-CN"/>
              </w:rPr>
            </w:pPr>
            <w:r>
              <w:rPr>
                <w:rFonts w:hint="eastAsia" w:ascii="宋体" w:hAnsi="宋体" w:eastAsia="宋体" w:cs="宋体"/>
                <w:color w:val="auto"/>
                <w:kern w:val="2"/>
                <w:sz w:val="24"/>
                <w:szCs w:val="24"/>
                <w:highlight w:val="none"/>
                <w:lang w:val="zh-CN"/>
              </w:rPr>
              <w:t>本次采购、投标报价、评审和合同授予均以项目为单位，投标供应商必须就一个完整项目进行响应。</w:t>
            </w:r>
            <w:r>
              <w:rPr>
                <w:rFonts w:hint="eastAsia" w:ascii="宋体" w:hAnsi="宋体" w:eastAsia="宋体" w:cs="宋体"/>
                <w:b/>
                <w:bCs/>
                <w:color w:val="auto"/>
                <w:kern w:val="2"/>
                <w:sz w:val="24"/>
                <w:szCs w:val="24"/>
                <w:highlight w:val="none"/>
                <w:lang w:val="zh-CN"/>
              </w:rPr>
              <w:t>成交供应商与采购人在成交通知书发出</w:t>
            </w:r>
            <w:r>
              <w:rPr>
                <w:rFonts w:hint="eastAsia" w:ascii="宋体" w:hAnsi="宋体" w:eastAsia="宋体" w:cs="宋体"/>
                <w:b/>
                <w:bCs/>
                <w:color w:val="auto"/>
                <w:kern w:val="2"/>
                <w:sz w:val="24"/>
                <w:szCs w:val="24"/>
                <w:highlight w:val="none"/>
                <w:lang w:val="en-US" w:eastAsia="zh-CN"/>
              </w:rPr>
              <w:t>10日</w:t>
            </w:r>
            <w:r>
              <w:rPr>
                <w:rFonts w:hint="eastAsia" w:ascii="宋体" w:hAnsi="宋体" w:eastAsia="宋体" w:cs="宋体"/>
                <w:b/>
                <w:bCs/>
                <w:color w:val="auto"/>
                <w:kern w:val="2"/>
                <w:sz w:val="24"/>
                <w:szCs w:val="24"/>
                <w:highlight w:val="none"/>
                <w:lang w:val="zh-CN"/>
              </w:rPr>
              <w:t>内签订合同</w:t>
            </w:r>
            <w:r>
              <w:rPr>
                <w:rFonts w:hint="eastAsia" w:ascii="宋体" w:hAnsi="宋体" w:eastAsia="宋体" w:cs="宋体"/>
                <w:color w:val="auto"/>
                <w:kern w:val="2"/>
                <w:sz w:val="24"/>
                <w:szCs w:val="24"/>
                <w:highlight w:val="none"/>
                <w:lang w:val="zh-CN"/>
              </w:rPr>
              <w:t>，不及时签订视为自动放弃。非经采购人同意，本项目不允许成交后另行转包或者分包。成交人无正当理由不得放弃成交。因自身原因拒绝签订政府采购合同的或者未按合同约定进行履约的，成交人不得参加对该项目重新开展的招标活动。</w:t>
            </w:r>
          </w:p>
        </w:tc>
      </w:tr>
      <w:tr w14:paraId="2551D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6" w:type="dxa"/>
            <w:vAlign w:val="center"/>
          </w:tcPr>
          <w:p w14:paraId="48E705C4">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26</w:t>
            </w:r>
          </w:p>
        </w:tc>
        <w:tc>
          <w:tcPr>
            <w:tcW w:w="1330" w:type="dxa"/>
            <w:vAlign w:val="center"/>
          </w:tcPr>
          <w:p w14:paraId="101E52BD">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同义</w:t>
            </w:r>
          </w:p>
          <w:p w14:paraId="620846C4">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词语</w:t>
            </w:r>
          </w:p>
        </w:tc>
        <w:tc>
          <w:tcPr>
            <w:tcW w:w="7107" w:type="dxa"/>
            <w:vAlign w:val="center"/>
          </w:tcPr>
          <w:p w14:paraId="1C7A0A29">
            <w:pPr>
              <w:keepNext w:val="0"/>
              <w:keepLines w:val="0"/>
              <w:pageBreakBefore w:val="0"/>
              <w:kinsoku/>
              <w:wordWrap/>
              <w:overflowPunct/>
              <w:topLinePunct w:val="0"/>
              <w:autoSpaceDE/>
              <w:autoSpaceDN/>
              <w:bidi w:val="0"/>
              <w:adjustRightInd/>
              <w:spacing w:line="360" w:lineRule="auto"/>
              <w:ind w:left="0" w:leftChars="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构成竞争性磋商文件组成部分的各章节中出现的措辞“委托人”、“发包人“和“供应商”、“承包人”，在招标投标阶段应当分别按“采购人”和“供应商”进行理解。</w:t>
            </w:r>
          </w:p>
        </w:tc>
      </w:tr>
      <w:tr w14:paraId="60841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6" w:type="dxa"/>
            <w:vAlign w:val="center"/>
          </w:tcPr>
          <w:p w14:paraId="4E308725">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27</w:t>
            </w:r>
          </w:p>
        </w:tc>
        <w:tc>
          <w:tcPr>
            <w:tcW w:w="1330" w:type="dxa"/>
            <w:vAlign w:val="center"/>
          </w:tcPr>
          <w:p w14:paraId="5770321E">
            <w:pPr>
              <w:keepNext w:val="0"/>
              <w:keepLines w:val="0"/>
              <w:pageBreakBefore w:val="0"/>
              <w:kinsoku/>
              <w:wordWrap/>
              <w:overflowPunct/>
              <w:topLinePunct w:val="0"/>
              <w:autoSpaceDE/>
              <w:autoSpaceDN/>
              <w:bidi w:val="0"/>
              <w:spacing w:line="360" w:lineRule="auto"/>
              <w:ind w:left="0" w:leftChars="0" w:right="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政采贷政策要求</w:t>
            </w:r>
          </w:p>
        </w:tc>
        <w:tc>
          <w:tcPr>
            <w:tcW w:w="7107" w:type="dxa"/>
            <w:vAlign w:val="center"/>
          </w:tcPr>
          <w:p w14:paraId="0AEE473B">
            <w:pPr>
              <w:keepNext w:val="0"/>
              <w:keepLines w:val="0"/>
              <w:pageBreakBefore w:val="0"/>
              <w:kinsoku/>
              <w:wordWrap/>
              <w:overflowPunct/>
              <w:topLinePunct w:val="0"/>
              <w:autoSpaceDE/>
              <w:autoSpaceDN/>
              <w:bidi w:val="0"/>
              <w:adjustRightInd/>
              <w:spacing w:line="360" w:lineRule="auto"/>
              <w:ind w:left="0" w:leftChars="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国办《关于促进中小企业健康发展的指导意见》、财政部</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工信部《政府采购促进中小企业发展</w:t>
            </w:r>
            <w:r>
              <w:rPr>
                <w:rFonts w:hint="eastAsia" w:ascii="宋体" w:hAnsi="宋体" w:eastAsia="宋体" w:cs="宋体"/>
                <w:color w:val="auto"/>
                <w:sz w:val="24"/>
                <w:szCs w:val="24"/>
                <w:highlight w:val="none"/>
                <w:lang w:val="en-US" w:eastAsia="zh-CN"/>
              </w:rPr>
              <w:t>管理</w:t>
            </w:r>
            <w:r>
              <w:rPr>
                <w:rFonts w:hint="eastAsia" w:ascii="宋体" w:hAnsi="宋体" w:eastAsia="宋体" w:cs="宋体"/>
                <w:color w:val="auto"/>
                <w:sz w:val="24"/>
                <w:szCs w:val="24"/>
                <w:highlight w:val="none"/>
              </w:rPr>
              <w:t>办法》（财库〔20</w:t>
            </w: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46</w:t>
            </w:r>
            <w:r>
              <w:rPr>
                <w:rFonts w:hint="eastAsia" w:ascii="宋体" w:hAnsi="宋体" w:eastAsia="宋体" w:cs="宋体"/>
                <w:color w:val="auto"/>
                <w:sz w:val="24"/>
                <w:szCs w:val="24"/>
                <w:highlight w:val="none"/>
              </w:rPr>
              <w:t>号）、《陕西省中小企业政府采购信用融资办法》（陕财办采〔2018〕23号）、《陕西省财政厅关于加快推进我省中小企业政府采购信用融资工作的通知》（陕财办采〔2020〕15号）</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《陕西省财政厅中国人民银行西安分行关于深入推进政府采购信用融资业务的通知》</w:t>
            </w:r>
            <w:r>
              <w:rPr>
                <w:rFonts w:hint="eastAsia" w:ascii="宋体" w:hAnsi="宋体" w:eastAsia="宋体" w:cs="宋体"/>
                <w:color w:val="auto"/>
                <w:sz w:val="24"/>
                <w:szCs w:val="24"/>
                <w:highlight w:val="none"/>
              </w:rPr>
              <w:t>（陕财办采〔202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〕5号）等有关规定，按照</w:t>
            </w:r>
            <w:r>
              <w:rPr>
                <w:rFonts w:hint="eastAsia" w:ascii="宋体" w:hAnsi="宋体" w:eastAsia="宋体" w:cs="宋体"/>
                <w:color w:val="auto"/>
                <w:sz w:val="24"/>
                <w:szCs w:val="24"/>
                <w:highlight w:val="none"/>
                <w:lang w:val="en-US" w:eastAsia="zh-CN"/>
              </w:rPr>
              <w:t>政府</w:t>
            </w:r>
            <w:r>
              <w:rPr>
                <w:rFonts w:hint="eastAsia" w:ascii="宋体" w:hAnsi="宋体" w:eastAsia="宋体" w:cs="宋体"/>
                <w:color w:val="auto"/>
                <w:sz w:val="24"/>
                <w:szCs w:val="24"/>
                <w:highlight w:val="none"/>
              </w:rPr>
              <w:t>引导、</w:t>
            </w:r>
            <w:r>
              <w:rPr>
                <w:rFonts w:hint="eastAsia" w:ascii="宋体" w:hAnsi="宋体" w:eastAsia="宋体" w:cs="宋体"/>
                <w:color w:val="auto"/>
                <w:sz w:val="24"/>
                <w:szCs w:val="24"/>
                <w:highlight w:val="none"/>
                <w:lang w:val="en-US" w:eastAsia="zh-CN"/>
              </w:rPr>
              <w:t>市场运作、银企</w:t>
            </w:r>
            <w:r>
              <w:rPr>
                <w:rFonts w:hint="eastAsia" w:ascii="宋体" w:hAnsi="宋体" w:eastAsia="宋体" w:cs="宋体"/>
                <w:color w:val="auto"/>
                <w:sz w:val="24"/>
                <w:szCs w:val="24"/>
                <w:highlight w:val="none"/>
              </w:rPr>
              <w:t>自愿、风险自担的原则，中标（成交）供应商可根据自身资金需求，登录陕西省政府采购信用融资平台</w:t>
            </w:r>
          </w:p>
          <w:p w14:paraId="667CE1DA">
            <w:pPr>
              <w:keepNext w:val="0"/>
              <w:keepLines w:val="0"/>
              <w:pageBreakBefore w:val="0"/>
              <w:kinsoku/>
              <w:wordWrap/>
              <w:overflowPunct/>
              <w:topLinePunct w:val="0"/>
              <w:autoSpaceDE/>
              <w:autoSpaceDN/>
              <w:bidi w:val="0"/>
              <w:adjustRightInd/>
              <w:spacing w:line="360" w:lineRule="auto"/>
              <w:ind w:left="0" w:leftChars="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（http://www.ccgp-shaanxi.gov.cn/zcdservice/zcd/shanxi/）</w:t>
            </w:r>
            <w:r>
              <w:rPr>
                <w:rFonts w:hint="eastAsia" w:ascii="宋体" w:hAnsi="宋体" w:eastAsia="宋体" w:cs="宋体"/>
                <w:color w:val="auto"/>
                <w:sz w:val="24"/>
                <w:szCs w:val="24"/>
                <w:highlight w:val="none"/>
                <w:lang w:val="en-US" w:eastAsia="zh-CN"/>
              </w:rPr>
              <w:t>或中征平台（https://www.crcrfsp.com）</w:t>
            </w:r>
            <w:r>
              <w:rPr>
                <w:rFonts w:hint="eastAsia" w:ascii="宋体" w:hAnsi="宋体" w:eastAsia="宋体" w:cs="宋体"/>
                <w:color w:val="auto"/>
                <w:sz w:val="24"/>
                <w:szCs w:val="24"/>
                <w:highlight w:val="none"/>
              </w:rPr>
              <w:t>在线申请，依法参加政府采购信用融资活动。</w:t>
            </w:r>
          </w:p>
          <w:tbl>
            <w:tblPr>
              <w:tblStyle w:val="26"/>
              <w:tblW w:w="64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70"/>
              <w:gridCol w:w="713"/>
              <w:gridCol w:w="721"/>
              <w:gridCol w:w="745"/>
              <w:gridCol w:w="753"/>
              <w:gridCol w:w="940"/>
              <w:gridCol w:w="745"/>
              <w:gridCol w:w="1392"/>
            </w:tblGrid>
            <w:tr w14:paraId="74D36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70" w:type="dxa"/>
                  <w:tcBorders>
                    <w:top w:val="nil"/>
                    <w:left w:val="nil"/>
                    <w:bottom w:val="nil"/>
                    <w:right w:val="nil"/>
                  </w:tcBorders>
                  <w:noWrap/>
                  <w:vAlign w:val="center"/>
                </w:tcPr>
                <w:p w14:paraId="41AAA0CA">
                  <w:pPr>
                    <w:keepNext w:val="0"/>
                    <w:keepLines w:val="0"/>
                    <w:widowControl/>
                    <w:suppressLineNumbers w:val="0"/>
                    <w:jc w:val="both"/>
                    <w:textAlignment w:val="center"/>
                    <w:rPr>
                      <w:rFonts w:hint="eastAsia" w:ascii="楷体" w:hAnsi="楷体" w:eastAsia="楷体" w:cs="楷体"/>
                      <w:i w:val="0"/>
                      <w:iCs w:val="0"/>
                      <w:color w:val="auto"/>
                      <w:kern w:val="0"/>
                      <w:sz w:val="32"/>
                      <w:szCs w:val="32"/>
                      <w:u w:val="none"/>
                      <w:lang w:val="en-US" w:eastAsia="zh-CN" w:bidi="ar"/>
                    </w:rPr>
                  </w:pPr>
                </w:p>
              </w:tc>
              <w:tc>
                <w:tcPr>
                  <w:tcW w:w="6009" w:type="dxa"/>
                  <w:gridSpan w:val="7"/>
                  <w:tcBorders>
                    <w:top w:val="nil"/>
                    <w:left w:val="nil"/>
                    <w:bottom w:val="nil"/>
                    <w:right w:val="nil"/>
                  </w:tcBorders>
                  <w:noWrap/>
                  <w:vAlign w:val="center"/>
                </w:tcPr>
                <w:p w14:paraId="6AF12313">
                  <w:pPr>
                    <w:keepNext w:val="0"/>
                    <w:keepLines w:val="0"/>
                    <w:widowControl/>
                    <w:suppressLineNumbers w:val="0"/>
                    <w:jc w:val="center"/>
                    <w:textAlignment w:val="center"/>
                    <w:rPr>
                      <w:rFonts w:ascii="楷体" w:hAnsi="楷体" w:eastAsia="楷体" w:cs="楷体"/>
                      <w:i w:val="0"/>
                      <w:iCs w:val="0"/>
                      <w:color w:val="auto"/>
                      <w:sz w:val="52"/>
                      <w:szCs w:val="52"/>
                      <w:u w:val="none"/>
                    </w:rPr>
                  </w:pPr>
                  <w:r>
                    <w:rPr>
                      <w:rFonts w:hint="eastAsia" w:ascii="楷体" w:hAnsi="楷体" w:eastAsia="楷体" w:cs="楷体"/>
                      <w:i w:val="0"/>
                      <w:iCs w:val="0"/>
                      <w:color w:val="auto"/>
                      <w:kern w:val="0"/>
                      <w:sz w:val="32"/>
                      <w:szCs w:val="32"/>
                      <w:u w:val="none"/>
                      <w:lang w:val="en-US" w:eastAsia="zh-CN" w:bidi="ar"/>
                    </w:rPr>
                    <w:t>榆林市“政采贷”业务办理银行联系表</w:t>
                  </w:r>
                </w:p>
              </w:tc>
            </w:tr>
            <w:tr w14:paraId="65513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jc w:val="center"/>
              </w:trPr>
              <w:tc>
                <w:tcPr>
                  <w:tcW w:w="470" w:type="dxa"/>
                  <w:tcBorders>
                    <w:top w:val="single" w:color="000000" w:sz="4" w:space="0"/>
                    <w:left w:val="single" w:color="000000" w:sz="4" w:space="0"/>
                    <w:bottom w:val="single" w:color="000000" w:sz="4" w:space="0"/>
                    <w:right w:val="single" w:color="000000" w:sz="4" w:space="0"/>
                  </w:tcBorders>
                  <w:noWrap/>
                  <w:vAlign w:val="center"/>
                </w:tcPr>
                <w:p w14:paraId="4A699D82">
                  <w:pPr>
                    <w:keepNext w:val="0"/>
                    <w:keepLines w:val="0"/>
                    <w:widowControl/>
                    <w:suppressLineNumbers w:val="0"/>
                    <w:jc w:val="center"/>
                    <w:textAlignment w:val="center"/>
                    <w:rPr>
                      <w:rFonts w:hint="default" w:ascii="楷体" w:hAnsi="楷体" w:eastAsia="楷体" w:cs="楷体"/>
                      <w:i w:val="0"/>
                      <w:iCs w:val="0"/>
                      <w:color w:val="auto"/>
                      <w:kern w:val="0"/>
                      <w:sz w:val="21"/>
                      <w:szCs w:val="21"/>
                      <w:u w:val="none"/>
                      <w:lang w:val="en-US" w:eastAsia="zh-CN" w:bidi="ar"/>
                    </w:rPr>
                  </w:pPr>
                  <w:r>
                    <w:rPr>
                      <w:rFonts w:hint="eastAsia" w:ascii="楷体" w:hAnsi="楷体" w:eastAsia="楷体" w:cs="楷体"/>
                      <w:i w:val="0"/>
                      <w:iCs w:val="0"/>
                      <w:color w:val="auto"/>
                      <w:kern w:val="0"/>
                      <w:sz w:val="21"/>
                      <w:szCs w:val="21"/>
                      <w:u w:val="none"/>
                      <w:lang w:val="en-US" w:eastAsia="zh-CN" w:bidi="ar"/>
                    </w:rPr>
                    <w:t>序号</w:t>
                  </w:r>
                </w:p>
              </w:tc>
              <w:tc>
                <w:tcPr>
                  <w:tcW w:w="713" w:type="dxa"/>
                  <w:tcBorders>
                    <w:top w:val="single" w:color="000000" w:sz="4" w:space="0"/>
                    <w:left w:val="single" w:color="000000" w:sz="4" w:space="0"/>
                    <w:bottom w:val="single" w:color="000000" w:sz="4" w:space="0"/>
                    <w:right w:val="single" w:color="000000" w:sz="4" w:space="0"/>
                  </w:tcBorders>
                  <w:noWrap/>
                  <w:vAlign w:val="center"/>
                </w:tcPr>
                <w:p w14:paraId="080C045A">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银行名称</w:t>
                  </w:r>
                </w:p>
              </w:tc>
              <w:tc>
                <w:tcPr>
                  <w:tcW w:w="721" w:type="dxa"/>
                  <w:tcBorders>
                    <w:top w:val="single" w:color="000000" w:sz="4" w:space="0"/>
                    <w:left w:val="single" w:color="000000" w:sz="4" w:space="0"/>
                    <w:bottom w:val="single" w:color="000000" w:sz="4" w:space="0"/>
                    <w:right w:val="single" w:color="000000" w:sz="4" w:space="0"/>
                  </w:tcBorders>
                  <w:noWrap/>
                  <w:vAlign w:val="center"/>
                </w:tcPr>
                <w:p w14:paraId="5EDD129C">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产品名称</w:t>
                  </w:r>
                </w:p>
              </w:tc>
              <w:tc>
                <w:tcPr>
                  <w:tcW w:w="745" w:type="dxa"/>
                  <w:tcBorders>
                    <w:top w:val="single" w:color="000000" w:sz="4" w:space="0"/>
                    <w:left w:val="single" w:color="000000" w:sz="4" w:space="0"/>
                    <w:bottom w:val="single" w:color="000000" w:sz="4" w:space="0"/>
                    <w:right w:val="single" w:color="000000" w:sz="4" w:space="0"/>
                  </w:tcBorders>
                  <w:noWrap/>
                  <w:vAlign w:val="center"/>
                </w:tcPr>
                <w:p w14:paraId="11F517E3">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贷款额度</w:t>
                  </w:r>
                </w:p>
              </w:tc>
              <w:tc>
                <w:tcPr>
                  <w:tcW w:w="753" w:type="dxa"/>
                  <w:tcBorders>
                    <w:top w:val="single" w:color="000000" w:sz="4" w:space="0"/>
                    <w:left w:val="single" w:color="000000" w:sz="4" w:space="0"/>
                    <w:bottom w:val="single" w:color="000000" w:sz="4" w:space="0"/>
                    <w:right w:val="single" w:color="000000" w:sz="4" w:space="0"/>
                  </w:tcBorders>
                  <w:noWrap/>
                  <w:vAlign w:val="center"/>
                </w:tcPr>
                <w:p w14:paraId="4E99AB6D">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贷款期限</w:t>
                  </w: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229D7841">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贷款利率</w:t>
                  </w:r>
                </w:p>
              </w:tc>
              <w:tc>
                <w:tcPr>
                  <w:tcW w:w="745" w:type="dxa"/>
                  <w:tcBorders>
                    <w:top w:val="single" w:color="000000" w:sz="4" w:space="0"/>
                    <w:left w:val="single" w:color="000000" w:sz="4" w:space="0"/>
                    <w:bottom w:val="single" w:color="000000" w:sz="4" w:space="0"/>
                    <w:right w:val="single" w:color="000000" w:sz="4" w:space="0"/>
                  </w:tcBorders>
                  <w:noWrap/>
                  <w:vAlign w:val="center"/>
                </w:tcPr>
                <w:p w14:paraId="2B7D3C96">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办理时效</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57C8B30">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联系人</w:t>
                  </w:r>
                </w:p>
              </w:tc>
            </w:tr>
            <w:tr w14:paraId="5D8F4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470" w:type="dxa"/>
                  <w:tcBorders>
                    <w:top w:val="single" w:color="000000" w:sz="4" w:space="0"/>
                    <w:left w:val="single" w:color="000000" w:sz="4" w:space="0"/>
                    <w:bottom w:val="single" w:color="000000" w:sz="4" w:space="0"/>
                    <w:right w:val="single" w:color="000000" w:sz="4" w:space="0"/>
                  </w:tcBorders>
                  <w:noWrap/>
                  <w:vAlign w:val="center"/>
                </w:tcPr>
                <w:p w14:paraId="534832FD">
                  <w:pPr>
                    <w:keepNext w:val="0"/>
                    <w:keepLines w:val="0"/>
                    <w:widowControl/>
                    <w:suppressLineNumbers w:val="0"/>
                    <w:jc w:val="center"/>
                    <w:textAlignment w:val="center"/>
                    <w:rPr>
                      <w:rFonts w:hint="default" w:ascii="楷体" w:hAnsi="楷体" w:eastAsia="楷体" w:cs="楷体"/>
                      <w:i w:val="0"/>
                      <w:iCs w:val="0"/>
                      <w:color w:val="auto"/>
                      <w:kern w:val="0"/>
                      <w:sz w:val="21"/>
                      <w:szCs w:val="21"/>
                      <w:u w:val="none"/>
                      <w:lang w:val="en-US" w:eastAsia="zh-CN" w:bidi="ar"/>
                    </w:rPr>
                  </w:pPr>
                  <w:r>
                    <w:rPr>
                      <w:rFonts w:hint="eastAsia" w:ascii="楷体" w:hAnsi="楷体" w:eastAsia="楷体" w:cs="楷体"/>
                      <w:i w:val="0"/>
                      <w:iCs w:val="0"/>
                      <w:color w:val="auto"/>
                      <w:kern w:val="0"/>
                      <w:sz w:val="21"/>
                      <w:szCs w:val="21"/>
                      <w:u w:val="none"/>
                      <w:lang w:val="en-US" w:eastAsia="zh-CN" w:bidi="ar"/>
                    </w:rPr>
                    <w:t>1</w:t>
                  </w:r>
                </w:p>
              </w:tc>
              <w:tc>
                <w:tcPr>
                  <w:tcW w:w="713" w:type="dxa"/>
                  <w:tcBorders>
                    <w:top w:val="single" w:color="000000" w:sz="4" w:space="0"/>
                    <w:left w:val="single" w:color="000000" w:sz="4" w:space="0"/>
                    <w:bottom w:val="single" w:color="000000" w:sz="4" w:space="0"/>
                    <w:right w:val="single" w:color="000000" w:sz="4" w:space="0"/>
                  </w:tcBorders>
                  <w:noWrap/>
                  <w:vAlign w:val="center"/>
                </w:tcPr>
                <w:p w14:paraId="7CD12CFD">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长安银行</w:t>
                  </w:r>
                </w:p>
              </w:tc>
              <w:tc>
                <w:tcPr>
                  <w:tcW w:w="721" w:type="dxa"/>
                  <w:tcBorders>
                    <w:top w:val="single" w:color="000000" w:sz="4" w:space="0"/>
                    <w:left w:val="single" w:color="000000" w:sz="4" w:space="0"/>
                    <w:bottom w:val="single" w:color="000000" w:sz="4" w:space="0"/>
                    <w:right w:val="single" w:color="000000" w:sz="4" w:space="0"/>
                  </w:tcBorders>
                  <w:noWrap/>
                  <w:vAlign w:val="center"/>
                </w:tcPr>
                <w:p w14:paraId="3D25C82E">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政采贷</w:t>
                  </w:r>
                </w:p>
              </w:tc>
              <w:tc>
                <w:tcPr>
                  <w:tcW w:w="745" w:type="dxa"/>
                  <w:tcBorders>
                    <w:top w:val="single" w:color="000000" w:sz="4" w:space="0"/>
                    <w:left w:val="single" w:color="000000" w:sz="4" w:space="0"/>
                    <w:bottom w:val="single" w:color="000000" w:sz="4" w:space="0"/>
                    <w:right w:val="single" w:color="000000" w:sz="4" w:space="0"/>
                  </w:tcBorders>
                  <w:noWrap/>
                  <w:vAlign w:val="center"/>
                </w:tcPr>
                <w:p w14:paraId="13EF144A">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1000万元</w:t>
                  </w:r>
                </w:p>
              </w:tc>
              <w:tc>
                <w:tcPr>
                  <w:tcW w:w="753" w:type="dxa"/>
                  <w:tcBorders>
                    <w:top w:val="single" w:color="000000" w:sz="4" w:space="0"/>
                    <w:left w:val="single" w:color="000000" w:sz="4" w:space="0"/>
                    <w:bottom w:val="single" w:color="000000" w:sz="4" w:space="0"/>
                    <w:right w:val="single" w:color="000000" w:sz="4" w:space="0"/>
                  </w:tcBorders>
                  <w:noWrap/>
                  <w:vAlign w:val="center"/>
                </w:tcPr>
                <w:p w14:paraId="61606B7B">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1-3年</w:t>
                  </w: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68378B5A">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3%</w:t>
                  </w:r>
                </w:p>
              </w:tc>
              <w:tc>
                <w:tcPr>
                  <w:tcW w:w="745" w:type="dxa"/>
                  <w:tcBorders>
                    <w:top w:val="single" w:color="000000" w:sz="4" w:space="0"/>
                    <w:left w:val="single" w:color="000000" w:sz="4" w:space="0"/>
                    <w:bottom w:val="single" w:color="000000" w:sz="4" w:space="0"/>
                    <w:right w:val="single" w:color="000000" w:sz="4" w:space="0"/>
                  </w:tcBorders>
                  <w:noWrap/>
                  <w:vAlign w:val="center"/>
                </w:tcPr>
                <w:p w14:paraId="401AD8B3">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72小时</w:t>
                  </w:r>
                </w:p>
              </w:tc>
              <w:tc>
                <w:tcPr>
                  <w:tcW w:w="1392" w:type="dxa"/>
                  <w:tcBorders>
                    <w:top w:val="single" w:color="000000" w:sz="4" w:space="0"/>
                    <w:left w:val="single" w:color="000000" w:sz="4" w:space="0"/>
                    <w:bottom w:val="single" w:color="000000" w:sz="4" w:space="0"/>
                    <w:right w:val="single" w:color="000000" w:sz="4" w:space="0"/>
                  </w:tcBorders>
                  <w:noWrap w:val="0"/>
                  <w:vAlign w:val="center"/>
                </w:tcPr>
                <w:p w14:paraId="175A1EEE">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魏  众15109123951</w:t>
                  </w:r>
                </w:p>
              </w:tc>
            </w:tr>
            <w:tr w14:paraId="54432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470" w:type="dxa"/>
                  <w:tcBorders>
                    <w:top w:val="single" w:color="000000" w:sz="4" w:space="0"/>
                    <w:left w:val="single" w:color="000000" w:sz="4" w:space="0"/>
                    <w:bottom w:val="single" w:color="000000" w:sz="4" w:space="0"/>
                    <w:right w:val="single" w:color="000000" w:sz="4" w:space="0"/>
                  </w:tcBorders>
                  <w:noWrap/>
                  <w:vAlign w:val="center"/>
                </w:tcPr>
                <w:p w14:paraId="2C4B1EFE">
                  <w:pPr>
                    <w:keepNext w:val="0"/>
                    <w:keepLines w:val="0"/>
                    <w:widowControl/>
                    <w:suppressLineNumbers w:val="0"/>
                    <w:jc w:val="center"/>
                    <w:textAlignment w:val="center"/>
                    <w:rPr>
                      <w:rFonts w:hint="default" w:ascii="楷体" w:hAnsi="楷体" w:eastAsia="楷体" w:cs="楷体"/>
                      <w:i w:val="0"/>
                      <w:iCs w:val="0"/>
                      <w:color w:val="auto"/>
                      <w:kern w:val="0"/>
                      <w:sz w:val="21"/>
                      <w:szCs w:val="21"/>
                      <w:u w:val="none"/>
                      <w:lang w:val="en-US" w:eastAsia="zh-CN" w:bidi="ar"/>
                    </w:rPr>
                  </w:pPr>
                  <w:r>
                    <w:rPr>
                      <w:rFonts w:hint="eastAsia" w:ascii="楷体" w:hAnsi="楷体" w:eastAsia="楷体" w:cs="楷体"/>
                      <w:i w:val="0"/>
                      <w:iCs w:val="0"/>
                      <w:color w:val="auto"/>
                      <w:kern w:val="0"/>
                      <w:sz w:val="21"/>
                      <w:szCs w:val="21"/>
                      <w:u w:val="none"/>
                      <w:lang w:val="en-US" w:eastAsia="zh-CN" w:bidi="ar"/>
                    </w:rPr>
                    <w:t>2</w:t>
                  </w:r>
                </w:p>
              </w:tc>
              <w:tc>
                <w:tcPr>
                  <w:tcW w:w="713" w:type="dxa"/>
                  <w:tcBorders>
                    <w:top w:val="single" w:color="000000" w:sz="4" w:space="0"/>
                    <w:left w:val="single" w:color="000000" w:sz="4" w:space="0"/>
                    <w:bottom w:val="single" w:color="000000" w:sz="4" w:space="0"/>
                    <w:right w:val="single" w:color="000000" w:sz="4" w:space="0"/>
                  </w:tcBorders>
                  <w:noWrap/>
                  <w:vAlign w:val="center"/>
                </w:tcPr>
                <w:p w14:paraId="2DEAF705">
                  <w:pPr>
                    <w:keepNext w:val="0"/>
                    <w:keepLines w:val="0"/>
                    <w:widowControl/>
                    <w:suppressLineNumbers w:val="0"/>
                    <w:jc w:val="center"/>
                    <w:textAlignment w:val="center"/>
                    <w:rPr>
                      <w:rFonts w:hint="default" w:ascii="楷体" w:hAnsi="楷体" w:eastAsia="楷体" w:cs="楷体"/>
                      <w:i w:val="0"/>
                      <w:iCs w:val="0"/>
                      <w:color w:val="auto"/>
                      <w:kern w:val="0"/>
                      <w:sz w:val="21"/>
                      <w:szCs w:val="21"/>
                      <w:u w:val="none"/>
                      <w:lang w:val="en-US" w:eastAsia="zh-CN" w:bidi="ar"/>
                    </w:rPr>
                  </w:pPr>
                  <w:r>
                    <w:rPr>
                      <w:rFonts w:hint="eastAsia" w:ascii="楷体" w:hAnsi="楷体" w:eastAsia="楷体" w:cs="楷体"/>
                      <w:i w:val="0"/>
                      <w:iCs w:val="0"/>
                      <w:color w:val="auto"/>
                      <w:kern w:val="0"/>
                      <w:sz w:val="21"/>
                      <w:szCs w:val="21"/>
                      <w:u w:val="none"/>
                      <w:lang w:val="en-US" w:eastAsia="zh-CN" w:bidi="ar"/>
                    </w:rPr>
                    <w:t>中信银行</w:t>
                  </w:r>
                </w:p>
              </w:tc>
              <w:tc>
                <w:tcPr>
                  <w:tcW w:w="721" w:type="dxa"/>
                  <w:tcBorders>
                    <w:top w:val="single" w:color="000000" w:sz="4" w:space="0"/>
                    <w:left w:val="single" w:color="000000" w:sz="4" w:space="0"/>
                    <w:bottom w:val="single" w:color="000000" w:sz="4" w:space="0"/>
                    <w:right w:val="single" w:color="000000" w:sz="4" w:space="0"/>
                  </w:tcBorders>
                  <w:noWrap/>
                  <w:vAlign w:val="center"/>
                </w:tcPr>
                <w:p w14:paraId="0CD393F5">
                  <w:pPr>
                    <w:keepNext w:val="0"/>
                    <w:keepLines w:val="0"/>
                    <w:widowControl/>
                    <w:suppressLineNumbers w:val="0"/>
                    <w:jc w:val="center"/>
                    <w:textAlignment w:val="center"/>
                    <w:rPr>
                      <w:rFonts w:hint="eastAsia" w:ascii="楷体" w:hAnsi="楷体" w:eastAsia="楷体" w:cs="楷体"/>
                      <w:i w:val="0"/>
                      <w:iCs w:val="0"/>
                      <w:color w:val="auto"/>
                      <w:kern w:val="0"/>
                      <w:sz w:val="21"/>
                      <w:szCs w:val="21"/>
                      <w:u w:val="none"/>
                      <w:lang w:val="en-US" w:eastAsia="zh-CN" w:bidi="ar"/>
                    </w:rPr>
                  </w:pPr>
                  <w:r>
                    <w:rPr>
                      <w:rFonts w:hint="eastAsia" w:ascii="楷体" w:hAnsi="楷体" w:eastAsia="楷体" w:cs="楷体"/>
                      <w:i w:val="0"/>
                      <w:iCs w:val="0"/>
                      <w:color w:val="auto"/>
                      <w:kern w:val="0"/>
                      <w:sz w:val="21"/>
                      <w:szCs w:val="21"/>
                      <w:u w:val="none"/>
                      <w:lang w:val="en-US" w:eastAsia="zh-CN" w:bidi="ar"/>
                    </w:rPr>
                    <w:t>政采E贷</w:t>
                  </w:r>
                </w:p>
              </w:tc>
              <w:tc>
                <w:tcPr>
                  <w:tcW w:w="745" w:type="dxa"/>
                  <w:tcBorders>
                    <w:top w:val="single" w:color="000000" w:sz="4" w:space="0"/>
                    <w:left w:val="single" w:color="000000" w:sz="4" w:space="0"/>
                    <w:bottom w:val="single" w:color="000000" w:sz="4" w:space="0"/>
                    <w:right w:val="single" w:color="000000" w:sz="4" w:space="0"/>
                  </w:tcBorders>
                  <w:noWrap/>
                  <w:vAlign w:val="center"/>
                </w:tcPr>
                <w:p w14:paraId="2E930AD0">
                  <w:pPr>
                    <w:keepNext w:val="0"/>
                    <w:keepLines w:val="0"/>
                    <w:widowControl/>
                    <w:suppressLineNumbers w:val="0"/>
                    <w:jc w:val="center"/>
                    <w:textAlignment w:val="center"/>
                    <w:rPr>
                      <w:rFonts w:hint="eastAsia" w:ascii="楷体" w:hAnsi="楷体" w:eastAsia="楷体" w:cs="楷体"/>
                      <w:i w:val="0"/>
                      <w:iCs w:val="0"/>
                      <w:color w:val="auto"/>
                      <w:kern w:val="0"/>
                      <w:sz w:val="21"/>
                      <w:szCs w:val="21"/>
                      <w:u w:val="none"/>
                      <w:lang w:val="en-US" w:eastAsia="zh-CN" w:bidi="ar"/>
                    </w:rPr>
                  </w:pPr>
                  <w:r>
                    <w:rPr>
                      <w:rFonts w:hint="eastAsia" w:ascii="楷体" w:hAnsi="楷体" w:eastAsia="楷体" w:cs="楷体"/>
                      <w:i w:val="0"/>
                      <w:iCs w:val="0"/>
                      <w:color w:val="auto"/>
                      <w:kern w:val="0"/>
                      <w:sz w:val="21"/>
                      <w:szCs w:val="21"/>
                      <w:u w:val="none"/>
                      <w:lang w:val="en-US" w:eastAsia="zh-CN" w:bidi="ar"/>
                    </w:rPr>
                    <w:t>1000万元</w:t>
                  </w:r>
                </w:p>
              </w:tc>
              <w:tc>
                <w:tcPr>
                  <w:tcW w:w="753" w:type="dxa"/>
                  <w:tcBorders>
                    <w:top w:val="single" w:color="000000" w:sz="4" w:space="0"/>
                    <w:left w:val="single" w:color="000000" w:sz="4" w:space="0"/>
                    <w:bottom w:val="single" w:color="000000" w:sz="4" w:space="0"/>
                    <w:right w:val="single" w:color="000000" w:sz="4" w:space="0"/>
                  </w:tcBorders>
                  <w:noWrap/>
                  <w:vAlign w:val="center"/>
                </w:tcPr>
                <w:p w14:paraId="20FD6B5C">
                  <w:pPr>
                    <w:keepNext w:val="0"/>
                    <w:keepLines w:val="0"/>
                    <w:widowControl/>
                    <w:suppressLineNumbers w:val="0"/>
                    <w:jc w:val="center"/>
                    <w:textAlignment w:val="center"/>
                    <w:rPr>
                      <w:rFonts w:hint="eastAsia" w:ascii="楷体" w:hAnsi="楷体" w:eastAsia="楷体" w:cs="楷体"/>
                      <w:i w:val="0"/>
                      <w:iCs w:val="0"/>
                      <w:color w:val="auto"/>
                      <w:kern w:val="0"/>
                      <w:sz w:val="21"/>
                      <w:szCs w:val="21"/>
                      <w:u w:val="none"/>
                      <w:lang w:val="en-US" w:eastAsia="zh-CN" w:bidi="ar"/>
                    </w:rPr>
                  </w:pPr>
                  <w:r>
                    <w:rPr>
                      <w:rFonts w:hint="eastAsia" w:ascii="楷体" w:hAnsi="楷体" w:eastAsia="楷体" w:cs="楷体"/>
                      <w:i w:val="0"/>
                      <w:iCs w:val="0"/>
                      <w:color w:val="auto"/>
                      <w:kern w:val="0"/>
                      <w:sz w:val="21"/>
                      <w:szCs w:val="21"/>
                      <w:u w:val="none"/>
                      <w:lang w:val="en-US" w:eastAsia="zh-CN" w:bidi="ar"/>
                    </w:rPr>
                    <w:t>1-3年</w:t>
                  </w: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1F44FFEE">
                  <w:pPr>
                    <w:keepNext w:val="0"/>
                    <w:keepLines w:val="0"/>
                    <w:widowControl/>
                    <w:suppressLineNumbers w:val="0"/>
                    <w:jc w:val="center"/>
                    <w:textAlignment w:val="center"/>
                    <w:rPr>
                      <w:rFonts w:hint="eastAsia" w:ascii="楷体" w:hAnsi="楷体" w:eastAsia="楷体" w:cs="楷体"/>
                      <w:i w:val="0"/>
                      <w:iCs w:val="0"/>
                      <w:color w:val="auto"/>
                      <w:kern w:val="0"/>
                      <w:sz w:val="21"/>
                      <w:szCs w:val="21"/>
                      <w:u w:val="none"/>
                      <w:lang w:val="en-US" w:eastAsia="zh-CN" w:bidi="ar"/>
                    </w:rPr>
                  </w:pPr>
                  <w:r>
                    <w:rPr>
                      <w:rFonts w:hint="eastAsia" w:ascii="楷体" w:hAnsi="楷体" w:eastAsia="楷体" w:cs="楷体"/>
                      <w:i w:val="0"/>
                      <w:iCs w:val="0"/>
                      <w:color w:val="auto"/>
                      <w:kern w:val="0"/>
                      <w:sz w:val="21"/>
                      <w:szCs w:val="21"/>
                      <w:u w:val="none"/>
                      <w:lang w:val="en-US" w:eastAsia="zh-CN" w:bidi="ar"/>
                    </w:rPr>
                    <w:t>3.45%起</w:t>
                  </w:r>
                </w:p>
              </w:tc>
              <w:tc>
                <w:tcPr>
                  <w:tcW w:w="745" w:type="dxa"/>
                  <w:tcBorders>
                    <w:top w:val="single" w:color="000000" w:sz="4" w:space="0"/>
                    <w:left w:val="single" w:color="000000" w:sz="4" w:space="0"/>
                    <w:bottom w:val="single" w:color="000000" w:sz="4" w:space="0"/>
                    <w:right w:val="single" w:color="000000" w:sz="4" w:space="0"/>
                  </w:tcBorders>
                  <w:noWrap/>
                  <w:vAlign w:val="center"/>
                </w:tcPr>
                <w:p w14:paraId="700DFB3F">
                  <w:pPr>
                    <w:keepNext w:val="0"/>
                    <w:keepLines w:val="0"/>
                    <w:widowControl/>
                    <w:suppressLineNumbers w:val="0"/>
                    <w:jc w:val="center"/>
                    <w:textAlignment w:val="center"/>
                    <w:rPr>
                      <w:rFonts w:hint="eastAsia" w:ascii="楷体" w:hAnsi="楷体" w:eastAsia="楷体" w:cs="楷体"/>
                      <w:i w:val="0"/>
                      <w:iCs w:val="0"/>
                      <w:color w:val="auto"/>
                      <w:kern w:val="0"/>
                      <w:sz w:val="21"/>
                      <w:szCs w:val="21"/>
                      <w:u w:val="none"/>
                      <w:lang w:val="en-US" w:eastAsia="zh-CN" w:bidi="ar"/>
                    </w:rPr>
                  </w:pPr>
                  <w:r>
                    <w:rPr>
                      <w:rFonts w:hint="eastAsia" w:ascii="楷体" w:hAnsi="楷体" w:eastAsia="楷体" w:cs="楷体"/>
                      <w:i w:val="0"/>
                      <w:iCs w:val="0"/>
                      <w:color w:val="auto"/>
                      <w:kern w:val="0"/>
                      <w:sz w:val="21"/>
                      <w:szCs w:val="21"/>
                      <w:u w:val="none"/>
                      <w:lang w:val="en-US" w:eastAsia="zh-CN" w:bidi="ar"/>
                    </w:rPr>
                    <w:t>24小时</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BEA67FC">
                  <w:pPr>
                    <w:keepNext w:val="0"/>
                    <w:keepLines w:val="0"/>
                    <w:widowControl/>
                    <w:suppressLineNumbers w:val="0"/>
                    <w:jc w:val="center"/>
                    <w:textAlignment w:val="center"/>
                    <w:rPr>
                      <w:rFonts w:hint="eastAsia" w:ascii="楷体" w:hAnsi="楷体" w:eastAsia="楷体" w:cs="楷体"/>
                      <w:i w:val="0"/>
                      <w:iCs w:val="0"/>
                      <w:color w:val="auto"/>
                      <w:kern w:val="0"/>
                      <w:sz w:val="21"/>
                      <w:szCs w:val="21"/>
                      <w:u w:val="none"/>
                      <w:lang w:val="en-US" w:eastAsia="zh-CN" w:bidi="ar"/>
                    </w:rPr>
                  </w:pPr>
                  <w:r>
                    <w:rPr>
                      <w:rFonts w:hint="eastAsia" w:ascii="楷体" w:hAnsi="楷体" w:eastAsia="楷体" w:cs="楷体"/>
                      <w:i w:val="0"/>
                      <w:iCs w:val="0"/>
                      <w:color w:val="auto"/>
                      <w:kern w:val="0"/>
                      <w:sz w:val="21"/>
                      <w:szCs w:val="21"/>
                      <w:u w:val="none"/>
                      <w:lang w:val="en-US" w:eastAsia="zh-CN" w:bidi="ar"/>
                    </w:rPr>
                    <w:t>高  明18992218795</w:t>
                  </w:r>
                </w:p>
              </w:tc>
            </w:tr>
            <w:tr w14:paraId="54F12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470" w:type="dxa"/>
                  <w:tcBorders>
                    <w:top w:val="single" w:color="000000" w:sz="4" w:space="0"/>
                    <w:left w:val="single" w:color="000000" w:sz="4" w:space="0"/>
                    <w:bottom w:val="single" w:color="000000" w:sz="4" w:space="0"/>
                    <w:right w:val="single" w:color="000000" w:sz="4" w:space="0"/>
                  </w:tcBorders>
                  <w:noWrap/>
                  <w:vAlign w:val="center"/>
                </w:tcPr>
                <w:p w14:paraId="4E9B9A09">
                  <w:pPr>
                    <w:keepNext w:val="0"/>
                    <w:keepLines w:val="0"/>
                    <w:widowControl/>
                    <w:suppressLineNumbers w:val="0"/>
                    <w:jc w:val="center"/>
                    <w:textAlignment w:val="center"/>
                    <w:rPr>
                      <w:rFonts w:hint="default" w:ascii="楷体" w:hAnsi="楷体" w:eastAsia="楷体" w:cs="楷体"/>
                      <w:i w:val="0"/>
                      <w:iCs w:val="0"/>
                      <w:color w:val="auto"/>
                      <w:kern w:val="0"/>
                      <w:sz w:val="21"/>
                      <w:szCs w:val="21"/>
                      <w:u w:val="none"/>
                      <w:lang w:val="en-US" w:eastAsia="zh-CN" w:bidi="ar"/>
                    </w:rPr>
                  </w:pPr>
                  <w:r>
                    <w:rPr>
                      <w:rFonts w:hint="eastAsia" w:ascii="楷体" w:hAnsi="楷体" w:eastAsia="楷体" w:cs="楷体"/>
                      <w:i w:val="0"/>
                      <w:iCs w:val="0"/>
                      <w:color w:val="auto"/>
                      <w:kern w:val="0"/>
                      <w:sz w:val="21"/>
                      <w:szCs w:val="21"/>
                      <w:u w:val="none"/>
                      <w:lang w:val="en-US" w:eastAsia="zh-CN" w:bidi="ar"/>
                    </w:rPr>
                    <w:t>3</w:t>
                  </w:r>
                </w:p>
              </w:tc>
              <w:tc>
                <w:tcPr>
                  <w:tcW w:w="713" w:type="dxa"/>
                  <w:tcBorders>
                    <w:top w:val="single" w:color="000000" w:sz="4" w:space="0"/>
                    <w:left w:val="single" w:color="000000" w:sz="4" w:space="0"/>
                    <w:bottom w:val="single" w:color="000000" w:sz="4" w:space="0"/>
                    <w:right w:val="single" w:color="000000" w:sz="4" w:space="0"/>
                  </w:tcBorders>
                  <w:noWrap/>
                  <w:vAlign w:val="center"/>
                </w:tcPr>
                <w:p w14:paraId="6CFF8656">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光大银行</w:t>
                  </w:r>
                </w:p>
              </w:tc>
              <w:tc>
                <w:tcPr>
                  <w:tcW w:w="721" w:type="dxa"/>
                  <w:tcBorders>
                    <w:top w:val="single" w:color="000000" w:sz="4" w:space="0"/>
                    <w:left w:val="single" w:color="000000" w:sz="4" w:space="0"/>
                    <w:bottom w:val="single" w:color="000000" w:sz="4" w:space="0"/>
                    <w:right w:val="single" w:color="000000" w:sz="4" w:space="0"/>
                  </w:tcBorders>
                  <w:noWrap/>
                  <w:vAlign w:val="center"/>
                </w:tcPr>
                <w:p w14:paraId="4F2D2AB7">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政采贷</w:t>
                  </w:r>
                </w:p>
              </w:tc>
              <w:tc>
                <w:tcPr>
                  <w:tcW w:w="745" w:type="dxa"/>
                  <w:tcBorders>
                    <w:top w:val="single" w:color="000000" w:sz="4" w:space="0"/>
                    <w:left w:val="single" w:color="000000" w:sz="4" w:space="0"/>
                    <w:bottom w:val="single" w:color="000000" w:sz="4" w:space="0"/>
                    <w:right w:val="single" w:color="000000" w:sz="4" w:space="0"/>
                  </w:tcBorders>
                  <w:noWrap/>
                  <w:vAlign w:val="center"/>
                </w:tcPr>
                <w:p w14:paraId="15F9D15A">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1000万元</w:t>
                  </w:r>
                </w:p>
              </w:tc>
              <w:tc>
                <w:tcPr>
                  <w:tcW w:w="753" w:type="dxa"/>
                  <w:tcBorders>
                    <w:top w:val="single" w:color="000000" w:sz="4" w:space="0"/>
                    <w:left w:val="single" w:color="000000" w:sz="4" w:space="0"/>
                    <w:bottom w:val="single" w:color="000000" w:sz="4" w:space="0"/>
                    <w:right w:val="single" w:color="000000" w:sz="4" w:space="0"/>
                  </w:tcBorders>
                  <w:noWrap/>
                  <w:vAlign w:val="center"/>
                </w:tcPr>
                <w:p w14:paraId="1910BDD8">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1-3年</w:t>
                  </w: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049378D7">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3.3%</w:t>
                  </w:r>
                </w:p>
              </w:tc>
              <w:tc>
                <w:tcPr>
                  <w:tcW w:w="745" w:type="dxa"/>
                  <w:tcBorders>
                    <w:top w:val="single" w:color="000000" w:sz="4" w:space="0"/>
                    <w:left w:val="single" w:color="000000" w:sz="4" w:space="0"/>
                    <w:bottom w:val="single" w:color="000000" w:sz="4" w:space="0"/>
                    <w:right w:val="single" w:color="000000" w:sz="4" w:space="0"/>
                  </w:tcBorders>
                  <w:noWrap/>
                  <w:vAlign w:val="center"/>
                </w:tcPr>
                <w:p w14:paraId="5AC7D434">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72小时</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0FCDB226">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尹皓永18791214448</w:t>
                  </w:r>
                </w:p>
              </w:tc>
            </w:tr>
            <w:tr w14:paraId="334BF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470" w:type="dxa"/>
                  <w:tcBorders>
                    <w:top w:val="single" w:color="000000" w:sz="4" w:space="0"/>
                    <w:left w:val="single" w:color="000000" w:sz="4" w:space="0"/>
                    <w:bottom w:val="single" w:color="000000" w:sz="4" w:space="0"/>
                    <w:right w:val="single" w:color="000000" w:sz="4" w:space="0"/>
                  </w:tcBorders>
                  <w:noWrap/>
                  <w:vAlign w:val="center"/>
                </w:tcPr>
                <w:p w14:paraId="6579EEA6">
                  <w:pPr>
                    <w:keepNext w:val="0"/>
                    <w:keepLines w:val="0"/>
                    <w:widowControl/>
                    <w:suppressLineNumbers w:val="0"/>
                    <w:jc w:val="center"/>
                    <w:textAlignment w:val="center"/>
                    <w:rPr>
                      <w:rFonts w:hint="default" w:ascii="楷体" w:hAnsi="楷体" w:eastAsia="楷体" w:cs="楷体"/>
                      <w:i w:val="0"/>
                      <w:iCs w:val="0"/>
                      <w:color w:val="auto"/>
                      <w:kern w:val="0"/>
                      <w:sz w:val="21"/>
                      <w:szCs w:val="21"/>
                      <w:u w:val="none"/>
                      <w:lang w:val="en-US" w:eastAsia="zh-CN" w:bidi="ar"/>
                    </w:rPr>
                  </w:pPr>
                  <w:r>
                    <w:rPr>
                      <w:rFonts w:hint="eastAsia" w:ascii="楷体" w:hAnsi="楷体" w:eastAsia="楷体" w:cs="楷体"/>
                      <w:i w:val="0"/>
                      <w:iCs w:val="0"/>
                      <w:color w:val="auto"/>
                      <w:kern w:val="0"/>
                      <w:sz w:val="21"/>
                      <w:szCs w:val="21"/>
                      <w:u w:val="none"/>
                      <w:lang w:val="en-US" w:eastAsia="zh-CN" w:bidi="ar"/>
                    </w:rPr>
                    <w:t>4</w:t>
                  </w:r>
                </w:p>
              </w:tc>
              <w:tc>
                <w:tcPr>
                  <w:tcW w:w="713" w:type="dxa"/>
                  <w:tcBorders>
                    <w:top w:val="single" w:color="000000" w:sz="4" w:space="0"/>
                    <w:left w:val="single" w:color="000000" w:sz="4" w:space="0"/>
                    <w:bottom w:val="single" w:color="000000" w:sz="4" w:space="0"/>
                    <w:right w:val="single" w:color="000000" w:sz="4" w:space="0"/>
                  </w:tcBorders>
                  <w:noWrap/>
                  <w:vAlign w:val="center"/>
                </w:tcPr>
                <w:p w14:paraId="4E1708DB">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中国银行</w:t>
                  </w:r>
                </w:p>
              </w:tc>
              <w:tc>
                <w:tcPr>
                  <w:tcW w:w="721" w:type="dxa"/>
                  <w:tcBorders>
                    <w:top w:val="single" w:color="000000" w:sz="4" w:space="0"/>
                    <w:left w:val="single" w:color="000000" w:sz="4" w:space="0"/>
                    <w:bottom w:val="single" w:color="000000" w:sz="4" w:space="0"/>
                    <w:right w:val="single" w:color="000000" w:sz="4" w:space="0"/>
                  </w:tcBorders>
                  <w:noWrap/>
                  <w:vAlign w:val="center"/>
                </w:tcPr>
                <w:p w14:paraId="6A3DBA18">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政采贷</w:t>
                  </w:r>
                </w:p>
              </w:tc>
              <w:tc>
                <w:tcPr>
                  <w:tcW w:w="745" w:type="dxa"/>
                  <w:tcBorders>
                    <w:top w:val="single" w:color="000000" w:sz="4" w:space="0"/>
                    <w:left w:val="single" w:color="000000" w:sz="4" w:space="0"/>
                    <w:bottom w:val="single" w:color="000000" w:sz="4" w:space="0"/>
                    <w:right w:val="single" w:color="000000" w:sz="4" w:space="0"/>
                  </w:tcBorders>
                  <w:noWrap/>
                  <w:vAlign w:val="center"/>
                </w:tcPr>
                <w:p w14:paraId="1ECBB480">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1000万元</w:t>
                  </w:r>
                </w:p>
              </w:tc>
              <w:tc>
                <w:tcPr>
                  <w:tcW w:w="753" w:type="dxa"/>
                  <w:tcBorders>
                    <w:top w:val="single" w:color="000000" w:sz="4" w:space="0"/>
                    <w:left w:val="single" w:color="000000" w:sz="4" w:space="0"/>
                    <w:bottom w:val="single" w:color="000000" w:sz="4" w:space="0"/>
                    <w:right w:val="single" w:color="000000" w:sz="4" w:space="0"/>
                  </w:tcBorders>
                  <w:noWrap/>
                  <w:vAlign w:val="center"/>
                </w:tcPr>
                <w:p w14:paraId="02304174">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1-3年</w:t>
                  </w: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2EB93164">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3.45%</w:t>
                  </w:r>
                </w:p>
              </w:tc>
              <w:tc>
                <w:tcPr>
                  <w:tcW w:w="745" w:type="dxa"/>
                  <w:tcBorders>
                    <w:top w:val="single" w:color="000000" w:sz="4" w:space="0"/>
                    <w:left w:val="single" w:color="000000" w:sz="4" w:space="0"/>
                    <w:bottom w:val="single" w:color="000000" w:sz="4" w:space="0"/>
                    <w:right w:val="single" w:color="000000" w:sz="4" w:space="0"/>
                  </w:tcBorders>
                  <w:noWrap/>
                  <w:vAlign w:val="center"/>
                </w:tcPr>
                <w:p w14:paraId="5D270F29">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72小时</w:t>
                  </w:r>
                </w:p>
              </w:tc>
              <w:tc>
                <w:tcPr>
                  <w:tcW w:w="1392" w:type="dxa"/>
                  <w:tcBorders>
                    <w:top w:val="single" w:color="000000" w:sz="4" w:space="0"/>
                    <w:left w:val="single" w:color="000000" w:sz="4" w:space="0"/>
                    <w:bottom w:val="single" w:color="000000" w:sz="4" w:space="0"/>
                    <w:right w:val="single" w:color="000000" w:sz="4" w:space="0"/>
                  </w:tcBorders>
                  <w:noWrap w:val="0"/>
                  <w:vAlign w:val="center"/>
                </w:tcPr>
                <w:p w14:paraId="1C0BF579">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李  浩18691230007</w:t>
                  </w:r>
                </w:p>
              </w:tc>
            </w:tr>
            <w:tr w14:paraId="7D741F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470" w:type="dxa"/>
                  <w:tcBorders>
                    <w:top w:val="single" w:color="000000" w:sz="4" w:space="0"/>
                    <w:left w:val="single" w:color="000000" w:sz="4" w:space="0"/>
                    <w:bottom w:val="single" w:color="000000" w:sz="4" w:space="0"/>
                    <w:right w:val="single" w:color="000000" w:sz="4" w:space="0"/>
                  </w:tcBorders>
                  <w:noWrap/>
                  <w:vAlign w:val="center"/>
                </w:tcPr>
                <w:p w14:paraId="1514AAA6">
                  <w:pPr>
                    <w:keepNext w:val="0"/>
                    <w:keepLines w:val="0"/>
                    <w:widowControl/>
                    <w:suppressLineNumbers w:val="0"/>
                    <w:jc w:val="center"/>
                    <w:textAlignment w:val="center"/>
                    <w:rPr>
                      <w:rFonts w:hint="default" w:ascii="楷体" w:hAnsi="楷体" w:eastAsia="楷体" w:cs="楷体"/>
                      <w:i w:val="0"/>
                      <w:iCs w:val="0"/>
                      <w:color w:val="auto"/>
                      <w:kern w:val="0"/>
                      <w:sz w:val="21"/>
                      <w:szCs w:val="21"/>
                      <w:u w:val="none"/>
                      <w:lang w:val="en-US" w:eastAsia="zh-CN" w:bidi="ar"/>
                    </w:rPr>
                  </w:pPr>
                  <w:r>
                    <w:rPr>
                      <w:rFonts w:hint="eastAsia" w:ascii="楷体" w:hAnsi="楷体" w:eastAsia="楷体" w:cs="楷体"/>
                      <w:i w:val="0"/>
                      <w:iCs w:val="0"/>
                      <w:color w:val="auto"/>
                      <w:kern w:val="0"/>
                      <w:sz w:val="21"/>
                      <w:szCs w:val="21"/>
                      <w:u w:val="none"/>
                      <w:lang w:val="en-US" w:eastAsia="zh-CN" w:bidi="ar"/>
                    </w:rPr>
                    <w:t>5</w:t>
                  </w:r>
                </w:p>
              </w:tc>
              <w:tc>
                <w:tcPr>
                  <w:tcW w:w="713" w:type="dxa"/>
                  <w:tcBorders>
                    <w:top w:val="single" w:color="000000" w:sz="4" w:space="0"/>
                    <w:left w:val="single" w:color="000000" w:sz="4" w:space="0"/>
                    <w:bottom w:val="single" w:color="000000" w:sz="4" w:space="0"/>
                    <w:right w:val="single" w:color="000000" w:sz="4" w:space="0"/>
                  </w:tcBorders>
                  <w:noWrap/>
                  <w:vAlign w:val="center"/>
                </w:tcPr>
                <w:p w14:paraId="505DD2B6">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招商银行</w:t>
                  </w:r>
                </w:p>
              </w:tc>
              <w:tc>
                <w:tcPr>
                  <w:tcW w:w="721" w:type="dxa"/>
                  <w:tcBorders>
                    <w:top w:val="single" w:color="000000" w:sz="4" w:space="0"/>
                    <w:left w:val="single" w:color="000000" w:sz="4" w:space="0"/>
                    <w:bottom w:val="single" w:color="000000" w:sz="4" w:space="0"/>
                    <w:right w:val="single" w:color="000000" w:sz="4" w:space="0"/>
                  </w:tcBorders>
                  <w:noWrap/>
                  <w:vAlign w:val="center"/>
                </w:tcPr>
                <w:p w14:paraId="535CA950">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政采贷</w:t>
                  </w:r>
                </w:p>
              </w:tc>
              <w:tc>
                <w:tcPr>
                  <w:tcW w:w="745" w:type="dxa"/>
                  <w:tcBorders>
                    <w:top w:val="single" w:color="000000" w:sz="4" w:space="0"/>
                    <w:left w:val="single" w:color="000000" w:sz="4" w:space="0"/>
                    <w:bottom w:val="single" w:color="000000" w:sz="4" w:space="0"/>
                    <w:right w:val="single" w:color="000000" w:sz="4" w:space="0"/>
                  </w:tcBorders>
                  <w:noWrap/>
                  <w:vAlign w:val="center"/>
                </w:tcPr>
                <w:p w14:paraId="25F6A7C6">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3000万元</w:t>
                  </w:r>
                </w:p>
              </w:tc>
              <w:tc>
                <w:tcPr>
                  <w:tcW w:w="753" w:type="dxa"/>
                  <w:tcBorders>
                    <w:top w:val="single" w:color="000000" w:sz="4" w:space="0"/>
                    <w:left w:val="single" w:color="000000" w:sz="4" w:space="0"/>
                    <w:bottom w:val="single" w:color="000000" w:sz="4" w:space="0"/>
                    <w:right w:val="single" w:color="000000" w:sz="4" w:space="0"/>
                  </w:tcBorders>
                  <w:noWrap/>
                  <w:vAlign w:val="center"/>
                </w:tcPr>
                <w:p w14:paraId="6C0AFC7D">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1-3年</w:t>
                  </w: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14E081FB">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3.45%起</w:t>
                  </w:r>
                </w:p>
              </w:tc>
              <w:tc>
                <w:tcPr>
                  <w:tcW w:w="745" w:type="dxa"/>
                  <w:tcBorders>
                    <w:top w:val="single" w:color="000000" w:sz="4" w:space="0"/>
                    <w:left w:val="single" w:color="000000" w:sz="4" w:space="0"/>
                    <w:bottom w:val="single" w:color="000000" w:sz="4" w:space="0"/>
                    <w:right w:val="single" w:color="000000" w:sz="4" w:space="0"/>
                  </w:tcBorders>
                  <w:noWrap/>
                  <w:vAlign w:val="center"/>
                </w:tcPr>
                <w:p w14:paraId="6782A8F2">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24小时</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0B95C6B">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马  烨15596100007</w:t>
                  </w:r>
                </w:p>
              </w:tc>
            </w:tr>
            <w:tr w14:paraId="270E2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470" w:type="dxa"/>
                  <w:tcBorders>
                    <w:top w:val="single" w:color="000000" w:sz="4" w:space="0"/>
                    <w:left w:val="single" w:color="000000" w:sz="4" w:space="0"/>
                    <w:bottom w:val="single" w:color="000000" w:sz="4" w:space="0"/>
                    <w:right w:val="single" w:color="000000" w:sz="4" w:space="0"/>
                  </w:tcBorders>
                  <w:noWrap/>
                  <w:vAlign w:val="center"/>
                </w:tcPr>
                <w:p w14:paraId="6CA52642">
                  <w:pPr>
                    <w:keepNext w:val="0"/>
                    <w:keepLines w:val="0"/>
                    <w:widowControl/>
                    <w:suppressLineNumbers w:val="0"/>
                    <w:jc w:val="center"/>
                    <w:textAlignment w:val="center"/>
                    <w:rPr>
                      <w:rFonts w:hint="default" w:ascii="楷体" w:hAnsi="楷体" w:eastAsia="楷体" w:cs="楷体"/>
                      <w:i w:val="0"/>
                      <w:iCs w:val="0"/>
                      <w:color w:val="auto"/>
                      <w:kern w:val="0"/>
                      <w:sz w:val="21"/>
                      <w:szCs w:val="21"/>
                      <w:u w:val="none"/>
                      <w:lang w:val="en-US" w:eastAsia="zh-CN" w:bidi="ar"/>
                    </w:rPr>
                  </w:pPr>
                  <w:r>
                    <w:rPr>
                      <w:rFonts w:hint="eastAsia" w:ascii="楷体" w:hAnsi="楷体" w:eastAsia="楷体" w:cs="楷体"/>
                      <w:i w:val="0"/>
                      <w:iCs w:val="0"/>
                      <w:color w:val="auto"/>
                      <w:kern w:val="0"/>
                      <w:sz w:val="21"/>
                      <w:szCs w:val="21"/>
                      <w:u w:val="none"/>
                      <w:lang w:val="en-US" w:eastAsia="zh-CN" w:bidi="ar"/>
                    </w:rPr>
                    <w:t>6</w:t>
                  </w:r>
                </w:p>
              </w:tc>
              <w:tc>
                <w:tcPr>
                  <w:tcW w:w="713" w:type="dxa"/>
                  <w:tcBorders>
                    <w:top w:val="single" w:color="000000" w:sz="4" w:space="0"/>
                    <w:left w:val="single" w:color="000000" w:sz="4" w:space="0"/>
                    <w:bottom w:val="single" w:color="000000" w:sz="4" w:space="0"/>
                    <w:right w:val="single" w:color="000000" w:sz="4" w:space="0"/>
                  </w:tcBorders>
                  <w:noWrap/>
                  <w:vAlign w:val="center"/>
                </w:tcPr>
                <w:p w14:paraId="603D2252">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浦发银行</w:t>
                  </w:r>
                </w:p>
              </w:tc>
              <w:tc>
                <w:tcPr>
                  <w:tcW w:w="721" w:type="dxa"/>
                  <w:tcBorders>
                    <w:top w:val="single" w:color="000000" w:sz="4" w:space="0"/>
                    <w:left w:val="single" w:color="000000" w:sz="4" w:space="0"/>
                    <w:bottom w:val="single" w:color="000000" w:sz="4" w:space="0"/>
                    <w:right w:val="single" w:color="000000" w:sz="4" w:space="0"/>
                  </w:tcBorders>
                  <w:noWrap/>
                  <w:vAlign w:val="center"/>
                </w:tcPr>
                <w:p w14:paraId="61CF4B11">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政采E贷</w:t>
                  </w:r>
                </w:p>
              </w:tc>
              <w:tc>
                <w:tcPr>
                  <w:tcW w:w="745" w:type="dxa"/>
                  <w:tcBorders>
                    <w:top w:val="single" w:color="000000" w:sz="4" w:space="0"/>
                    <w:left w:val="single" w:color="000000" w:sz="4" w:space="0"/>
                    <w:bottom w:val="single" w:color="000000" w:sz="4" w:space="0"/>
                    <w:right w:val="single" w:color="000000" w:sz="4" w:space="0"/>
                  </w:tcBorders>
                  <w:noWrap/>
                  <w:vAlign w:val="center"/>
                </w:tcPr>
                <w:p w14:paraId="791CDF04">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1000万元</w:t>
                  </w:r>
                </w:p>
              </w:tc>
              <w:tc>
                <w:tcPr>
                  <w:tcW w:w="753" w:type="dxa"/>
                  <w:tcBorders>
                    <w:top w:val="single" w:color="000000" w:sz="4" w:space="0"/>
                    <w:left w:val="single" w:color="000000" w:sz="4" w:space="0"/>
                    <w:bottom w:val="single" w:color="000000" w:sz="4" w:space="0"/>
                    <w:right w:val="single" w:color="000000" w:sz="4" w:space="0"/>
                  </w:tcBorders>
                  <w:noWrap/>
                  <w:vAlign w:val="center"/>
                </w:tcPr>
                <w:p w14:paraId="7FBE2E6A">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1年</w:t>
                  </w: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B6B9143">
                  <w:pPr>
                    <w:keepNext w:val="0"/>
                    <w:keepLines w:val="0"/>
                    <w:widowControl/>
                    <w:suppressLineNumbers w:val="0"/>
                    <w:jc w:val="center"/>
                    <w:textAlignment w:val="center"/>
                    <w:rPr>
                      <w:rFonts w:hint="default" w:ascii="楷体" w:hAnsi="楷体" w:eastAsia="楷体" w:cs="楷体"/>
                      <w:i w:val="0"/>
                      <w:iCs w:val="0"/>
                      <w:color w:val="auto"/>
                      <w:sz w:val="21"/>
                      <w:szCs w:val="21"/>
                      <w:u w:val="none"/>
                      <w:lang w:val="en-US"/>
                    </w:rPr>
                  </w:pPr>
                  <w:r>
                    <w:rPr>
                      <w:rFonts w:hint="eastAsia" w:ascii="楷体" w:hAnsi="楷体" w:eastAsia="楷体" w:cs="楷体"/>
                      <w:i w:val="0"/>
                      <w:iCs w:val="0"/>
                      <w:color w:val="auto"/>
                      <w:kern w:val="0"/>
                      <w:sz w:val="21"/>
                      <w:szCs w:val="21"/>
                      <w:u w:val="none"/>
                      <w:lang w:val="en-US" w:eastAsia="zh-CN" w:bidi="ar"/>
                    </w:rPr>
                    <w:t>3.45%起</w:t>
                  </w:r>
                </w:p>
              </w:tc>
              <w:tc>
                <w:tcPr>
                  <w:tcW w:w="745" w:type="dxa"/>
                  <w:tcBorders>
                    <w:top w:val="single" w:color="000000" w:sz="4" w:space="0"/>
                    <w:left w:val="single" w:color="000000" w:sz="4" w:space="0"/>
                    <w:bottom w:val="single" w:color="000000" w:sz="4" w:space="0"/>
                    <w:right w:val="single" w:color="000000" w:sz="4" w:space="0"/>
                  </w:tcBorders>
                  <w:noWrap/>
                  <w:vAlign w:val="center"/>
                </w:tcPr>
                <w:p w14:paraId="006FC7AD">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72小时</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1BA90AFD">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朱  君15629169158</w:t>
                  </w:r>
                </w:p>
              </w:tc>
            </w:tr>
            <w:tr w14:paraId="30F92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470" w:type="dxa"/>
                  <w:tcBorders>
                    <w:top w:val="single" w:color="000000" w:sz="4" w:space="0"/>
                    <w:left w:val="single" w:color="000000" w:sz="4" w:space="0"/>
                    <w:bottom w:val="single" w:color="000000" w:sz="4" w:space="0"/>
                    <w:right w:val="single" w:color="000000" w:sz="4" w:space="0"/>
                  </w:tcBorders>
                  <w:noWrap/>
                  <w:vAlign w:val="center"/>
                </w:tcPr>
                <w:p w14:paraId="09497C6C">
                  <w:pPr>
                    <w:keepNext w:val="0"/>
                    <w:keepLines w:val="0"/>
                    <w:widowControl/>
                    <w:suppressLineNumbers w:val="0"/>
                    <w:jc w:val="center"/>
                    <w:textAlignment w:val="center"/>
                    <w:rPr>
                      <w:rFonts w:hint="default" w:ascii="楷体" w:hAnsi="楷体" w:eastAsia="楷体" w:cs="楷体"/>
                      <w:i w:val="0"/>
                      <w:iCs w:val="0"/>
                      <w:color w:val="auto"/>
                      <w:kern w:val="0"/>
                      <w:sz w:val="21"/>
                      <w:szCs w:val="21"/>
                      <w:u w:val="none"/>
                      <w:lang w:val="en-US" w:eastAsia="zh-CN" w:bidi="ar"/>
                    </w:rPr>
                  </w:pPr>
                  <w:r>
                    <w:rPr>
                      <w:rFonts w:hint="eastAsia" w:ascii="楷体" w:hAnsi="楷体" w:eastAsia="楷体" w:cs="楷体"/>
                      <w:i w:val="0"/>
                      <w:iCs w:val="0"/>
                      <w:color w:val="auto"/>
                      <w:kern w:val="0"/>
                      <w:sz w:val="21"/>
                      <w:szCs w:val="21"/>
                      <w:u w:val="none"/>
                      <w:lang w:val="en-US" w:eastAsia="zh-CN" w:bidi="ar"/>
                    </w:rPr>
                    <w:t>7</w:t>
                  </w:r>
                </w:p>
              </w:tc>
              <w:tc>
                <w:tcPr>
                  <w:tcW w:w="713" w:type="dxa"/>
                  <w:tcBorders>
                    <w:top w:val="single" w:color="000000" w:sz="4" w:space="0"/>
                    <w:left w:val="single" w:color="000000" w:sz="4" w:space="0"/>
                    <w:bottom w:val="single" w:color="000000" w:sz="4" w:space="0"/>
                    <w:right w:val="single" w:color="000000" w:sz="4" w:space="0"/>
                  </w:tcBorders>
                  <w:noWrap/>
                  <w:vAlign w:val="center"/>
                </w:tcPr>
                <w:p w14:paraId="44E76657">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农商银行</w:t>
                  </w:r>
                </w:p>
              </w:tc>
              <w:tc>
                <w:tcPr>
                  <w:tcW w:w="721" w:type="dxa"/>
                  <w:tcBorders>
                    <w:top w:val="single" w:color="000000" w:sz="4" w:space="0"/>
                    <w:left w:val="single" w:color="000000" w:sz="4" w:space="0"/>
                    <w:bottom w:val="single" w:color="000000" w:sz="4" w:space="0"/>
                    <w:right w:val="single" w:color="000000" w:sz="4" w:space="0"/>
                  </w:tcBorders>
                  <w:noWrap/>
                  <w:vAlign w:val="center"/>
                </w:tcPr>
                <w:p w14:paraId="299DD399">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政采贷</w:t>
                  </w:r>
                </w:p>
              </w:tc>
              <w:tc>
                <w:tcPr>
                  <w:tcW w:w="745" w:type="dxa"/>
                  <w:tcBorders>
                    <w:top w:val="single" w:color="000000" w:sz="4" w:space="0"/>
                    <w:left w:val="single" w:color="000000" w:sz="4" w:space="0"/>
                    <w:bottom w:val="single" w:color="000000" w:sz="4" w:space="0"/>
                    <w:right w:val="single" w:color="000000" w:sz="4" w:space="0"/>
                  </w:tcBorders>
                  <w:noWrap/>
                  <w:vAlign w:val="center"/>
                </w:tcPr>
                <w:p w14:paraId="3C6E32EF">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1000万元</w:t>
                  </w:r>
                </w:p>
              </w:tc>
              <w:tc>
                <w:tcPr>
                  <w:tcW w:w="753" w:type="dxa"/>
                  <w:tcBorders>
                    <w:top w:val="single" w:color="000000" w:sz="4" w:space="0"/>
                    <w:left w:val="single" w:color="000000" w:sz="4" w:space="0"/>
                    <w:bottom w:val="single" w:color="000000" w:sz="4" w:space="0"/>
                    <w:right w:val="single" w:color="000000" w:sz="4" w:space="0"/>
                  </w:tcBorders>
                  <w:noWrap/>
                  <w:vAlign w:val="center"/>
                </w:tcPr>
                <w:p w14:paraId="6A4FB13A">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1-2年</w:t>
                  </w: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0ED63A88">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3.45%-5.8%</w:t>
                  </w:r>
                </w:p>
              </w:tc>
              <w:tc>
                <w:tcPr>
                  <w:tcW w:w="745" w:type="dxa"/>
                  <w:tcBorders>
                    <w:top w:val="single" w:color="000000" w:sz="4" w:space="0"/>
                    <w:left w:val="single" w:color="000000" w:sz="4" w:space="0"/>
                    <w:bottom w:val="single" w:color="000000" w:sz="4" w:space="0"/>
                    <w:right w:val="single" w:color="000000" w:sz="4" w:space="0"/>
                  </w:tcBorders>
                  <w:noWrap/>
                  <w:vAlign w:val="center"/>
                </w:tcPr>
                <w:p w14:paraId="023089DF">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24小时</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B151596">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王  璐15529875056</w:t>
                  </w:r>
                </w:p>
              </w:tc>
            </w:tr>
            <w:tr w14:paraId="42899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470" w:type="dxa"/>
                  <w:tcBorders>
                    <w:top w:val="single" w:color="000000" w:sz="4" w:space="0"/>
                    <w:left w:val="single" w:color="000000" w:sz="4" w:space="0"/>
                    <w:bottom w:val="single" w:color="000000" w:sz="4" w:space="0"/>
                    <w:right w:val="single" w:color="000000" w:sz="4" w:space="0"/>
                  </w:tcBorders>
                  <w:noWrap/>
                  <w:vAlign w:val="center"/>
                </w:tcPr>
                <w:p w14:paraId="2698AECB">
                  <w:pPr>
                    <w:keepNext w:val="0"/>
                    <w:keepLines w:val="0"/>
                    <w:widowControl/>
                    <w:suppressLineNumbers w:val="0"/>
                    <w:jc w:val="center"/>
                    <w:textAlignment w:val="center"/>
                    <w:rPr>
                      <w:rFonts w:hint="default" w:ascii="楷体" w:hAnsi="楷体" w:eastAsia="楷体" w:cs="楷体"/>
                      <w:i w:val="0"/>
                      <w:iCs w:val="0"/>
                      <w:color w:val="auto"/>
                      <w:kern w:val="0"/>
                      <w:sz w:val="21"/>
                      <w:szCs w:val="21"/>
                      <w:u w:val="none"/>
                      <w:lang w:val="en-US" w:eastAsia="zh-CN" w:bidi="ar"/>
                    </w:rPr>
                  </w:pPr>
                  <w:r>
                    <w:rPr>
                      <w:rFonts w:hint="eastAsia" w:ascii="楷体" w:hAnsi="楷体" w:eastAsia="楷体" w:cs="楷体"/>
                      <w:i w:val="0"/>
                      <w:iCs w:val="0"/>
                      <w:color w:val="auto"/>
                      <w:kern w:val="0"/>
                      <w:sz w:val="21"/>
                      <w:szCs w:val="21"/>
                      <w:u w:val="none"/>
                      <w:lang w:val="en-US" w:eastAsia="zh-CN" w:bidi="ar"/>
                    </w:rPr>
                    <w:t>8</w:t>
                  </w:r>
                </w:p>
              </w:tc>
              <w:tc>
                <w:tcPr>
                  <w:tcW w:w="713" w:type="dxa"/>
                  <w:tcBorders>
                    <w:top w:val="single" w:color="000000" w:sz="4" w:space="0"/>
                    <w:left w:val="single" w:color="000000" w:sz="4" w:space="0"/>
                    <w:bottom w:val="single" w:color="000000" w:sz="4" w:space="0"/>
                    <w:right w:val="single" w:color="000000" w:sz="4" w:space="0"/>
                  </w:tcBorders>
                  <w:noWrap/>
                  <w:vAlign w:val="center"/>
                </w:tcPr>
                <w:p w14:paraId="49BD1C4C">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农业银行</w:t>
                  </w:r>
                </w:p>
              </w:tc>
              <w:tc>
                <w:tcPr>
                  <w:tcW w:w="721" w:type="dxa"/>
                  <w:tcBorders>
                    <w:top w:val="single" w:color="000000" w:sz="4" w:space="0"/>
                    <w:left w:val="single" w:color="000000" w:sz="4" w:space="0"/>
                    <w:bottom w:val="single" w:color="000000" w:sz="4" w:space="0"/>
                    <w:right w:val="single" w:color="000000" w:sz="4" w:space="0"/>
                  </w:tcBorders>
                  <w:noWrap/>
                  <w:vAlign w:val="center"/>
                </w:tcPr>
                <w:p w14:paraId="69E1104F">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政采贷</w:t>
                  </w:r>
                </w:p>
              </w:tc>
              <w:tc>
                <w:tcPr>
                  <w:tcW w:w="745" w:type="dxa"/>
                  <w:tcBorders>
                    <w:top w:val="single" w:color="000000" w:sz="4" w:space="0"/>
                    <w:left w:val="single" w:color="000000" w:sz="4" w:space="0"/>
                    <w:bottom w:val="single" w:color="000000" w:sz="4" w:space="0"/>
                    <w:right w:val="single" w:color="000000" w:sz="4" w:space="0"/>
                  </w:tcBorders>
                  <w:noWrap/>
                  <w:vAlign w:val="center"/>
                </w:tcPr>
                <w:p w14:paraId="28E16626">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1000万元</w:t>
                  </w:r>
                </w:p>
              </w:tc>
              <w:tc>
                <w:tcPr>
                  <w:tcW w:w="753" w:type="dxa"/>
                  <w:tcBorders>
                    <w:top w:val="single" w:color="000000" w:sz="4" w:space="0"/>
                    <w:left w:val="single" w:color="000000" w:sz="4" w:space="0"/>
                    <w:bottom w:val="single" w:color="000000" w:sz="4" w:space="0"/>
                    <w:right w:val="single" w:color="000000" w:sz="4" w:space="0"/>
                  </w:tcBorders>
                  <w:noWrap/>
                  <w:vAlign w:val="center"/>
                </w:tcPr>
                <w:p w14:paraId="5DB925E7">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1年</w:t>
                  </w: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06A8A0C2">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3.1%</w:t>
                  </w:r>
                </w:p>
              </w:tc>
              <w:tc>
                <w:tcPr>
                  <w:tcW w:w="745" w:type="dxa"/>
                  <w:tcBorders>
                    <w:top w:val="single" w:color="000000" w:sz="4" w:space="0"/>
                    <w:left w:val="single" w:color="000000" w:sz="4" w:space="0"/>
                    <w:bottom w:val="single" w:color="000000" w:sz="4" w:space="0"/>
                    <w:right w:val="single" w:color="000000" w:sz="4" w:space="0"/>
                  </w:tcBorders>
                  <w:noWrap/>
                  <w:vAlign w:val="center"/>
                </w:tcPr>
                <w:p w14:paraId="5D63BE4D">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24小时</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3C17DBF">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王  真15009226862</w:t>
                  </w:r>
                </w:p>
              </w:tc>
            </w:tr>
            <w:tr w14:paraId="5547B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470" w:type="dxa"/>
                  <w:tcBorders>
                    <w:top w:val="single" w:color="000000" w:sz="4" w:space="0"/>
                    <w:left w:val="single" w:color="000000" w:sz="4" w:space="0"/>
                    <w:bottom w:val="single" w:color="000000" w:sz="4" w:space="0"/>
                    <w:right w:val="single" w:color="000000" w:sz="4" w:space="0"/>
                  </w:tcBorders>
                  <w:noWrap/>
                  <w:vAlign w:val="center"/>
                </w:tcPr>
                <w:p w14:paraId="390E03B4">
                  <w:pPr>
                    <w:keepNext w:val="0"/>
                    <w:keepLines w:val="0"/>
                    <w:widowControl/>
                    <w:suppressLineNumbers w:val="0"/>
                    <w:jc w:val="center"/>
                    <w:textAlignment w:val="center"/>
                    <w:rPr>
                      <w:rFonts w:hint="default" w:ascii="楷体" w:hAnsi="楷体" w:eastAsia="楷体" w:cs="楷体"/>
                      <w:i w:val="0"/>
                      <w:iCs w:val="0"/>
                      <w:color w:val="auto"/>
                      <w:kern w:val="0"/>
                      <w:sz w:val="21"/>
                      <w:szCs w:val="21"/>
                      <w:u w:val="none"/>
                      <w:lang w:val="en-US" w:eastAsia="zh-CN" w:bidi="ar"/>
                    </w:rPr>
                  </w:pPr>
                  <w:r>
                    <w:rPr>
                      <w:rFonts w:hint="eastAsia" w:ascii="楷体" w:hAnsi="楷体" w:eastAsia="楷体" w:cs="楷体"/>
                      <w:i w:val="0"/>
                      <w:iCs w:val="0"/>
                      <w:color w:val="auto"/>
                      <w:kern w:val="0"/>
                      <w:sz w:val="21"/>
                      <w:szCs w:val="21"/>
                      <w:u w:val="none"/>
                      <w:lang w:val="en-US" w:eastAsia="zh-CN" w:bidi="ar"/>
                    </w:rPr>
                    <w:t>9</w:t>
                  </w:r>
                </w:p>
              </w:tc>
              <w:tc>
                <w:tcPr>
                  <w:tcW w:w="713" w:type="dxa"/>
                  <w:tcBorders>
                    <w:top w:val="single" w:color="000000" w:sz="4" w:space="0"/>
                    <w:left w:val="single" w:color="000000" w:sz="4" w:space="0"/>
                    <w:bottom w:val="single" w:color="000000" w:sz="4" w:space="0"/>
                    <w:right w:val="single" w:color="000000" w:sz="4" w:space="0"/>
                  </w:tcBorders>
                  <w:noWrap/>
                  <w:vAlign w:val="center"/>
                </w:tcPr>
                <w:p w14:paraId="31241F3A">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民生银行</w:t>
                  </w:r>
                </w:p>
              </w:tc>
              <w:tc>
                <w:tcPr>
                  <w:tcW w:w="721" w:type="dxa"/>
                  <w:tcBorders>
                    <w:top w:val="single" w:color="000000" w:sz="4" w:space="0"/>
                    <w:left w:val="single" w:color="000000" w:sz="4" w:space="0"/>
                    <w:bottom w:val="single" w:color="000000" w:sz="4" w:space="0"/>
                    <w:right w:val="single" w:color="000000" w:sz="4" w:space="0"/>
                  </w:tcBorders>
                  <w:noWrap/>
                  <w:vAlign w:val="center"/>
                </w:tcPr>
                <w:p w14:paraId="1CE96017">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政采E贷</w:t>
                  </w:r>
                </w:p>
              </w:tc>
              <w:tc>
                <w:tcPr>
                  <w:tcW w:w="745" w:type="dxa"/>
                  <w:tcBorders>
                    <w:top w:val="single" w:color="000000" w:sz="4" w:space="0"/>
                    <w:left w:val="single" w:color="000000" w:sz="4" w:space="0"/>
                    <w:bottom w:val="single" w:color="000000" w:sz="4" w:space="0"/>
                    <w:right w:val="single" w:color="000000" w:sz="4" w:space="0"/>
                  </w:tcBorders>
                  <w:noWrap/>
                  <w:vAlign w:val="center"/>
                </w:tcPr>
                <w:p w14:paraId="60EEB019">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3000万元</w:t>
                  </w:r>
                </w:p>
              </w:tc>
              <w:tc>
                <w:tcPr>
                  <w:tcW w:w="753" w:type="dxa"/>
                  <w:tcBorders>
                    <w:top w:val="single" w:color="000000" w:sz="4" w:space="0"/>
                    <w:left w:val="single" w:color="000000" w:sz="4" w:space="0"/>
                    <w:bottom w:val="single" w:color="000000" w:sz="4" w:space="0"/>
                    <w:right w:val="single" w:color="000000" w:sz="4" w:space="0"/>
                  </w:tcBorders>
                  <w:noWrap/>
                  <w:vAlign w:val="center"/>
                </w:tcPr>
                <w:p w14:paraId="28932387">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1年</w:t>
                  </w: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79C124B0">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3.45%起</w:t>
                  </w:r>
                </w:p>
              </w:tc>
              <w:tc>
                <w:tcPr>
                  <w:tcW w:w="745" w:type="dxa"/>
                  <w:tcBorders>
                    <w:top w:val="single" w:color="000000" w:sz="4" w:space="0"/>
                    <w:left w:val="single" w:color="000000" w:sz="4" w:space="0"/>
                    <w:bottom w:val="single" w:color="000000" w:sz="4" w:space="0"/>
                    <w:right w:val="single" w:color="000000" w:sz="4" w:space="0"/>
                  </w:tcBorders>
                  <w:noWrap/>
                  <w:vAlign w:val="center"/>
                </w:tcPr>
                <w:p w14:paraId="618D8A15">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24小时</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00C866BD">
                  <w:pPr>
                    <w:keepNext w:val="0"/>
                    <w:keepLines w:val="0"/>
                    <w:widowControl/>
                    <w:suppressLineNumbers w:val="0"/>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郝双双15991225850</w:t>
                  </w:r>
                </w:p>
              </w:tc>
            </w:tr>
            <w:tr w14:paraId="47305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470" w:type="dxa"/>
                  <w:tcBorders>
                    <w:top w:val="single" w:color="000000" w:sz="4" w:space="0"/>
                    <w:left w:val="single" w:color="000000" w:sz="4" w:space="0"/>
                    <w:bottom w:val="single" w:color="000000" w:sz="4" w:space="0"/>
                    <w:right w:val="single" w:color="000000" w:sz="4" w:space="0"/>
                  </w:tcBorders>
                  <w:noWrap/>
                  <w:vAlign w:val="center"/>
                </w:tcPr>
                <w:p w14:paraId="2D1579D3">
                  <w:pPr>
                    <w:keepNext w:val="0"/>
                    <w:keepLines w:val="0"/>
                    <w:widowControl/>
                    <w:suppressLineNumbers w:val="0"/>
                    <w:jc w:val="center"/>
                    <w:textAlignment w:val="center"/>
                    <w:rPr>
                      <w:rFonts w:hint="default" w:ascii="楷体" w:hAnsi="楷体" w:eastAsia="楷体" w:cs="楷体"/>
                      <w:i w:val="0"/>
                      <w:iCs w:val="0"/>
                      <w:color w:val="auto"/>
                      <w:kern w:val="0"/>
                      <w:sz w:val="21"/>
                      <w:szCs w:val="21"/>
                      <w:u w:val="none"/>
                      <w:lang w:val="en-US" w:eastAsia="zh-CN" w:bidi="ar"/>
                    </w:rPr>
                  </w:pPr>
                  <w:r>
                    <w:rPr>
                      <w:rFonts w:hint="eastAsia" w:ascii="楷体" w:hAnsi="楷体" w:eastAsia="楷体" w:cs="楷体"/>
                      <w:i w:val="0"/>
                      <w:iCs w:val="0"/>
                      <w:color w:val="auto"/>
                      <w:kern w:val="0"/>
                      <w:sz w:val="21"/>
                      <w:szCs w:val="21"/>
                      <w:u w:val="none"/>
                      <w:lang w:val="en-US" w:eastAsia="zh-CN" w:bidi="ar"/>
                    </w:rPr>
                    <w:t>10</w:t>
                  </w:r>
                </w:p>
              </w:tc>
              <w:tc>
                <w:tcPr>
                  <w:tcW w:w="713" w:type="dxa"/>
                  <w:tcBorders>
                    <w:top w:val="single" w:color="000000" w:sz="4" w:space="0"/>
                    <w:left w:val="single" w:color="000000" w:sz="4" w:space="0"/>
                    <w:bottom w:val="single" w:color="000000" w:sz="4" w:space="0"/>
                    <w:right w:val="single" w:color="000000" w:sz="4" w:space="0"/>
                  </w:tcBorders>
                  <w:noWrap/>
                  <w:vAlign w:val="center"/>
                </w:tcPr>
                <w:p w14:paraId="270F08D2">
                  <w:pPr>
                    <w:keepNext w:val="0"/>
                    <w:keepLines w:val="0"/>
                    <w:widowControl/>
                    <w:suppressLineNumbers w:val="0"/>
                    <w:jc w:val="center"/>
                    <w:textAlignment w:val="center"/>
                    <w:rPr>
                      <w:rFonts w:hint="eastAsia" w:ascii="楷体" w:hAnsi="楷体" w:eastAsia="楷体" w:cs="楷体"/>
                      <w:i w:val="0"/>
                      <w:iCs w:val="0"/>
                      <w:color w:val="auto"/>
                      <w:kern w:val="0"/>
                      <w:sz w:val="21"/>
                      <w:szCs w:val="21"/>
                      <w:u w:val="none"/>
                      <w:lang w:val="en-US" w:eastAsia="zh-CN" w:bidi="ar"/>
                    </w:rPr>
                  </w:pPr>
                  <w:r>
                    <w:rPr>
                      <w:rFonts w:hint="eastAsia" w:ascii="楷体" w:hAnsi="楷体" w:eastAsia="楷体" w:cs="楷体"/>
                      <w:i w:val="0"/>
                      <w:iCs w:val="0"/>
                      <w:color w:val="auto"/>
                      <w:kern w:val="0"/>
                      <w:sz w:val="21"/>
                      <w:szCs w:val="21"/>
                      <w:u w:val="none"/>
                      <w:lang w:val="en-US" w:eastAsia="zh-CN" w:bidi="ar"/>
                    </w:rPr>
                    <w:t>兴业银行</w:t>
                  </w:r>
                </w:p>
              </w:tc>
              <w:tc>
                <w:tcPr>
                  <w:tcW w:w="721" w:type="dxa"/>
                  <w:tcBorders>
                    <w:top w:val="single" w:color="000000" w:sz="4" w:space="0"/>
                    <w:left w:val="single" w:color="000000" w:sz="4" w:space="0"/>
                    <w:bottom w:val="single" w:color="000000" w:sz="4" w:space="0"/>
                    <w:right w:val="single" w:color="000000" w:sz="4" w:space="0"/>
                  </w:tcBorders>
                  <w:noWrap/>
                  <w:vAlign w:val="center"/>
                </w:tcPr>
                <w:p w14:paraId="3E137C81">
                  <w:pPr>
                    <w:keepNext w:val="0"/>
                    <w:keepLines w:val="0"/>
                    <w:widowControl/>
                    <w:suppressLineNumbers w:val="0"/>
                    <w:jc w:val="center"/>
                    <w:textAlignment w:val="center"/>
                    <w:rPr>
                      <w:rFonts w:hint="eastAsia" w:ascii="楷体" w:hAnsi="楷体" w:eastAsia="楷体" w:cs="楷体"/>
                      <w:i w:val="0"/>
                      <w:iCs w:val="0"/>
                      <w:color w:val="auto"/>
                      <w:kern w:val="0"/>
                      <w:sz w:val="21"/>
                      <w:szCs w:val="21"/>
                      <w:u w:val="none"/>
                      <w:lang w:val="en-US" w:eastAsia="zh-CN" w:bidi="ar"/>
                    </w:rPr>
                  </w:pPr>
                  <w:r>
                    <w:rPr>
                      <w:rFonts w:hint="eastAsia" w:ascii="楷体" w:hAnsi="楷体" w:eastAsia="楷体" w:cs="楷体"/>
                      <w:i w:val="0"/>
                      <w:iCs w:val="0"/>
                      <w:color w:val="auto"/>
                      <w:kern w:val="0"/>
                      <w:sz w:val="21"/>
                      <w:szCs w:val="21"/>
                      <w:u w:val="none"/>
                      <w:lang w:val="en-US" w:eastAsia="zh-CN" w:bidi="ar"/>
                    </w:rPr>
                    <w:t>政采贷</w:t>
                  </w:r>
                </w:p>
              </w:tc>
              <w:tc>
                <w:tcPr>
                  <w:tcW w:w="745" w:type="dxa"/>
                  <w:tcBorders>
                    <w:top w:val="single" w:color="000000" w:sz="4" w:space="0"/>
                    <w:left w:val="single" w:color="000000" w:sz="4" w:space="0"/>
                    <w:bottom w:val="single" w:color="000000" w:sz="4" w:space="0"/>
                    <w:right w:val="single" w:color="000000" w:sz="4" w:space="0"/>
                  </w:tcBorders>
                  <w:noWrap/>
                  <w:vAlign w:val="center"/>
                </w:tcPr>
                <w:p w14:paraId="7CFDCDC0">
                  <w:pPr>
                    <w:keepNext w:val="0"/>
                    <w:keepLines w:val="0"/>
                    <w:widowControl/>
                    <w:suppressLineNumbers w:val="0"/>
                    <w:jc w:val="center"/>
                    <w:textAlignment w:val="center"/>
                    <w:rPr>
                      <w:rFonts w:hint="eastAsia" w:ascii="楷体" w:hAnsi="楷体" w:eastAsia="楷体" w:cs="楷体"/>
                      <w:i w:val="0"/>
                      <w:iCs w:val="0"/>
                      <w:color w:val="auto"/>
                      <w:kern w:val="0"/>
                      <w:sz w:val="21"/>
                      <w:szCs w:val="21"/>
                      <w:u w:val="none"/>
                      <w:lang w:val="en-US" w:eastAsia="zh-CN" w:bidi="ar"/>
                    </w:rPr>
                  </w:pPr>
                  <w:r>
                    <w:rPr>
                      <w:rFonts w:hint="eastAsia" w:ascii="楷体" w:hAnsi="楷体" w:eastAsia="楷体" w:cs="楷体"/>
                      <w:i w:val="0"/>
                      <w:iCs w:val="0"/>
                      <w:color w:val="auto"/>
                      <w:kern w:val="0"/>
                      <w:sz w:val="21"/>
                      <w:szCs w:val="21"/>
                      <w:u w:val="none"/>
                      <w:lang w:val="en-US" w:eastAsia="zh-CN" w:bidi="ar"/>
                    </w:rPr>
                    <w:t>1000万元</w:t>
                  </w:r>
                </w:p>
              </w:tc>
              <w:tc>
                <w:tcPr>
                  <w:tcW w:w="753" w:type="dxa"/>
                  <w:tcBorders>
                    <w:top w:val="single" w:color="000000" w:sz="4" w:space="0"/>
                    <w:left w:val="single" w:color="000000" w:sz="4" w:space="0"/>
                    <w:bottom w:val="single" w:color="000000" w:sz="4" w:space="0"/>
                    <w:right w:val="single" w:color="000000" w:sz="4" w:space="0"/>
                  </w:tcBorders>
                  <w:noWrap/>
                  <w:vAlign w:val="center"/>
                </w:tcPr>
                <w:p w14:paraId="3252B05C">
                  <w:pPr>
                    <w:keepNext w:val="0"/>
                    <w:keepLines w:val="0"/>
                    <w:widowControl/>
                    <w:suppressLineNumbers w:val="0"/>
                    <w:jc w:val="center"/>
                    <w:textAlignment w:val="center"/>
                    <w:rPr>
                      <w:rFonts w:hint="eastAsia" w:ascii="楷体" w:hAnsi="楷体" w:eastAsia="楷体" w:cs="楷体"/>
                      <w:i w:val="0"/>
                      <w:iCs w:val="0"/>
                      <w:color w:val="auto"/>
                      <w:kern w:val="0"/>
                      <w:sz w:val="21"/>
                      <w:szCs w:val="21"/>
                      <w:u w:val="none"/>
                      <w:lang w:val="en-US" w:eastAsia="zh-CN" w:bidi="ar"/>
                    </w:rPr>
                  </w:pPr>
                  <w:r>
                    <w:rPr>
                      <w:rFonts w:hint="eastAsia" w:ascii="楷体" w:hAnsi="楷体" w:eastAsia="楷体" w:cs="楷体"/>
                      <w:i w:val="0"/>
                      <w:iCs w:val="0"/>
                      <w:color w:val="auto"/>
                      <w:kern w:val="0"/>
                      <w:sz w:val="21"/>
                      <w:szCs w:val="21"/>
                      <w:u w:val="none"/>
                      <w:lang w:val="en-US" w:eastAsia="zh-CN" w:bidi="ar"/>
                    </w:rPr>
                    <w:t>1年期</w:t>
                  </w: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4A09A4B5">
                  <w:pPr>
                    <w:keepNext w:val="0"/>
                    <w:keepLines w:val="0"/>
                    <w:widowControl/>
                    <w:suppressLineNumbers w:val="0"/>
                    <w:jc w:val="center"/>
                    <w:textAlignment w:val="center"/>
                    <w:rPr>
                      <w:rFonts w:hint="eastAsia" w:ascii="楷体" w:hAnsi="楷体" w:eastAsia="楷体" w:cs="楷体"/>
                      <w:i w:val="0"/>
                      <w:iCs w:val="0"/>
                      <w:color w:val="auto"/>
                      <w:kern w:val="0"/>
                      <w:sz w:val="21"/>
                      <w:szCs w:val="21"/>
                      <w:u w:val="none"/>
                      <w:lang w:val="en-US" w:eastAsia="zh-CN" w:bidi="ar"/>
                    </w:rPr>
                  </w:pPr>
                  <w:r>
                    <w:rPr>
                      <w:rFonts w:hint="eastAsia" w:ascii="楷体" w:hAnsi="楷体" w:eastAsia="楷体" w:cs="楷体"/>
                      <w:i w:val="0"/>
                      <w:iCs w:val="0"/>
                      <w:color w:val="auto"/>
                      <w:kern w:val="0"/>
                      <w:sz w:val="21"/>
                      <w:szCs w:val="21"/>
                      <w:u w:val="none"/>
                      <w:lang w:val="en-US" w:eastAsia="zh-CN" w:bidi="ar"/>
                    </w:rPr>
                    <w:t>3.4%</w:t>
                  </w:r>
                </w:p>
              </w:tc>
              <w:tc>
                <w:tcPr>
                  <w:tcW w:w="745" w:type="dxa"/>
                  <w:tcBorders>
                    <w:top w:val="single" w:color="000000" w:sz="4" w:space="0"/>
                    <w:left w:val="single" w:color="000000" w:sz="4" w:space="0"/>
                    <w:bottom w:val="single" w:color="000000" w:sz="4" w:space="0"/>
                    <w:right w:val="single" w:color="000000" w:sz="4" w:space="0"/>
                  </w:tcBorders>
                  <w:noWrap/>
                  <w:vAlign w:val="center"/>
                </w:tcPr>
                <w:p w14:paraId="2143B372">
                  <w:pPr>
                    <w:keepNext w:val="0"/>
                    <w:keepLines w:val="0"/>
                    <w:widowControl/>
                    <w:suppressLineNumbers w:val="0"/>
                    <w:jc w:val="center"/>
                    <w:textAlignment w:val="center"/>
                    <w:rPr>
                      <w:rFonts w:hint="eastAsia" w:ascii="楷体" w:hAnsi="楷体" w:eastAsia="楷体" w:cs="楷体"/>
                      <w:i w:val="0"/>
                      <w:iCs w:val="0"/>
                      <w:color w:val="auto"/>
                      <w:kern w:val="0"/>
                      <w:sz w:val="21"/>
                      <w:szCs w:val="21"/>
                      <w:u w:val="none"/>
                      <w:lang w:val="en-US" w:eastAsia="zh-CN" w:bidi="ar"/>
                    </w:rPr>
                  </w:pPr>
                  <w:r>
                    <w:rPr>
                      <w:rFonts w:hint="eastAsia" w:ascii="楷体" w:hAnsi="楷体" w:eastAsia="楷体" w:cs="楷体"/>
                      <w:i w:val="0"/>
                      <w:iCs w:val="0"/>
                      <w:color w:val="auto"/>
                      <w:kern w:val="0"/>
                      <w:sz w:val="21"/>
                      <w:szCs w:val="21"/>
                      <w:u w:val="none"/>
                      <w:lang w:val="en-US" w:eastAsia="zh-CN" w:bidi="ar"/>
                    </w:rPr>
                    <w:t>72小时</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634EBA1">
                  <w:pPr>
                    <w:keepNext w:val="0"/>
                    <w:keepLines w:val="0"/>
                    <w:widowControl/>
                    <w:suppressLineNumbers w:val="0"/>
                    <w:jc w:val="center"/>
                    <w:textAlignment w:val="center"/>
                    <w:rPr>
                      <w:rFonts w:hint="eastAsia" w:ascii="楷体" w:hAnsi="楷体" w:eastAsia="楷体" w:cs="楷体"/>
                      <w:i w:val="0"/>
                      <w:iCs w:val="0"/>
                      <w:color w:val="auto"/>
                      <w:kern w:val="0"/>
                      <w:sz w:val="21"/>
                      <w:szCs w:val="21"/>
                      <w:u w:val="none"/>
                      <w:lang w:val="en-US" w:eastAsia="zh-CN" w:bidi="ar"/>
                    </w:rPr>
                  </w:pPr>
                  <w:r>
                    <w:rPr>
                      <w:rFonts w:hint="eastAsia" w:ascii="楷体" w:hAnsi="楷体" w:eastAsia="楷体" w:cs="楷体"/>
                      <w:i w:val="0"/>
                      <w:iCs w:val="0"/>
                      <w:color w:val="auto"/>
                      <w:kern w:val="0"/>
                      <w:sz w:val="21"/>
                      <w:szCs w:val="21"/>
                      <w:u w:val="none"/>
                      <w:lang w:val="en-US" w:eastAsia="zh-CN" w:bidi="ar"/>
                    </w:rPr>
                    <w:t>薛万隆18709258523</w:t>
                  </w:r>
                </w:p>
              </w:tc>
            </w:tr>
            <w:tr w14:paraId="52C55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470" w:type="dxa"/>
                  <w:tcBorders>
                    <w:top w:val="single" w:color="000000" w:sz="4" w:space="0"/>
                    <w:left w:val="single" w:color="000000" w:sz="4" w:space="0"/>
                    <w:bottom w:val="single" w:color="000000" w:sz="4" w:space="0"/>
                    <w:right w:val="single" w:color="000000" w:sz="4" w:space="0"/>
                  </w:tcBorders>
                  <w:noWrap/>
                  <w:vAlign w:val="center"/>
                </w:tcPr>
                <w:p w14:paraId="234732F0">
                  <w:pPr>
                    <w:keepNext w:val="0"/>
                    <w:keepLines w:val="0"/>
                    <w:widowControl/>
                    <w:suppressLineNumbers w:val="0"/>
                    <w:jc w:val="center"/>
                    <w:textAlignment w:val="center"/>
                    <w:rPr>
                      <w:rFonts w:hint="default" w:ascii="楷体" w:hAnsi="楷体" w:eastAsia="楷体" w:cs="楷体"/>
                      <w:i w:val="0"/>
                      <w:iCs w:val="0"/>
                      <w:color w:val="auto"/>
                      <w:kern w:val="0"/>
                      <w:sz w:val="21"/>
                      <w:szCs w:val="21"/>
                      <w:u w:val="none"/>
                      <w:lang w:val="en-US" w:eastAsia="zh-CN" w:bidi="ar"/>
                    </w:rPr>
                  </w:pPr>
                  <w:r>
                    <w:rPr>
                      <w:rFonts w:hint="eastAsia" w:ascii="楷体" w:hAnsi="楷体" w:eastAsia="楷体" w:cs="楷体"/>
                      <w:i w:val="0"/>
                      <w:iCs w:val="0"/>
                      <w:color w:val="auto"/>
                      <w:kern w:val="0"/>
                      <w:sz w:val="21"/>
                      <w:szCs w:val="21"/>
                      <w:u w:val="none"/>
                      <w:lang w:val="en-US" w:eastAsia="zh-CN" w:bidi="ar"/>
                    </w:rPr>
                    <w:t>11</w:t>
                  </w:r>
                </w:p>
              </w:tc>
              <w:tc>
                <w:tcPr>
                  <w:tcW w:w="713" w:type="dxa"/>
                  <w:tcBorders>
                    <w:top w:val="single" w:color="000000" w:sz="4" w:space="0"/>
                    <w:left w:val="single" w:color="000000" w:sz="4" w:space="0"/>
                    <w:bottom w:val="single" w:color="000000" w:sz="4" w:space="0"/>
                    <w:right w:val="single" w:color="000000" w:sz="4" w:space="0"/>
                  </w:tcBorders>
                  <w:noWrap/>
                  <w:vAlign w:val="center"/>
                </w:tcPr>
                <w:p w14:paraId="4F1C45F3">
                  <w:pPr>
                    <w:keepNext w:val="0"/>
                    <w:keepLines w:val="0"/>
                    <w:widowControl/>
                    <w:suppressLineNumbers w:val="0"/>
                    <w:jc w:val="center"/>
                    <w:textAlignment w:val="center"/>
                    <w:rPr>
                      <w:rFonts w:hint="eastAsia" w:ascii="楷体" w:hAnsi="楷体" w:eastAsia="楷体" w:cs="楷体"/>
                      <w:i w:val="0"/>
                      <w:iCs w:val="0"/>
                      <w:color w:val="auto"/>
                      <w:kern w:val="0"/>
                      <w:sz w:val="21"/>
                      <w:szCs w:val="21"/>
                      <w:u w:val="none"/>
                      <w:lang w:val="en-US" w:eastAsia="zh-CN" w:bidi="ar"/>
                    </w:rPr>
                  </w:pPr>
                  <w:r>
                    <w:rPr>
                      <w:rFonts w:hint="eastAsia" w:ascii="楷体" w:hAnsi="楷体" w:eastAsia="楷体" w:cs="楷体"/>
                      <w:i w:val="0"/>
                      <w:iCs w:val="0"/>
                      <w:color w:val="auto"/>
                      <w:kern w:val="0"/>
                      <w:sz w:val="21"/>
                      <w:szCs w:val="21"/>
                      <w:u w:val="none"/>
                      <w:lang w:val="en-US" w:eastAsia="zh-CN" w:bidi="ar"/>
                    </w:rPr>
                    <w:t>广发银行</w:t>
                  </w:r>
                </w:p>
              </w:tc>
              <w:tc>
                <w:tcPr>
                  <w:tcW w:w="721" w:type="dxa"/>
                  <w:tcBorders>
                    <w:top w:val="single" w:color="000000" w:sz="4" w:space="0"/>
                    <w:left w:val="single" w:color="000000" w:sz="4" w:space="0"/>
                    <w:bottom w:val="single" w:color="000000" w:sz="4" w:space="0"/>
                    <w:right w:val="single" w:color="000000" w:sz="4" w:space="0"/>
                  </w:tcBorders>
                  <w:noWrap/>
                  <w:vAlign w:val="center"/>
                </w:tcPr>
                <w:p w14:paraId="582EBC69">
                  <w:pPr>
                    <w:keepNext w:val="0"/>
                    <w:keepLines w:val="0"/>
                    <w:widowControl/>
                    <w:suppressLineNumbers w:val="0"/>
                    <w:jc w:val="center"/>
                    <w:textAlignment w:val="center"/>
                    <w:rPr>
                      <w:rFonts w:hint="eastAsia" w:ascii="楷体" w:hAnsi="楷体" w:eastAsia="楷体" w:cs="楷体"/>
                      <w:i w:val="0"/>
                      <w:iCs w:val="0"/>
                      <w:color w:val="auto"/>
                      <w:kern w:val="0"/>
                      <w:sz w:val="21"/>
                      <w:szCs w:val="21"/>
                      <w:u w:val="none"/>
                      <w:lang w:val="en-US" w:eastAsia="zh-CN" w:bidi="ar"/>
                    </w:rPr>
                  </w:pPr>
                  <w:r>
                    <w:rPr>
                      <w:rFonts w:hint="eastAsia" w:ascii="楷体" w:hAnsi="楷体" w:eastAsia="楷体" w:cs="楷体"/>
                      <w:i w:val="0"/>
                      <w:iCs w:val="0"/>
                      <w:color w:val="auto"/>
                      <w:kern w:val="0"/>
                      <w:sz w:val="21"/>
                      <w:szCs w:val="21"/>
                      <w:u w:val="none"/>
                      <w:lang w:val="en-US" w:eastAsia="zh-CN" w:bidi="ar"/>
                    </w:rPr>
                    <w:t>政采通</w:t>
                  </w:r>
                </w:p>
              </w:tc>
              <w:tc>
                <w:tcPr>
                  <w:tcW w:w="745" w:type="dxa"/>
                  <w:tcBorders>
                    <w:top w:val="single" w:color="000000" w:sz="4" w:space="0"/>
                    <w:left w:val="single" w:color="000000" w:sz="4" w:space="0"/>
                    <w:bottom w:val="single" w:color="000000" w:sz="4" w:space="0"/>
                    <w:right w:val="single" w:color="000000" w:sz="4" w:space="0"/>
                  </w:tcBorders>
                  <w:noWrap/>
                  <w:vAlign w:val="center"/>
                </w:tcPr>
                <w:p w14:paraId="491BFB8B">
                  <w:pPr>
                    <w:keepNext w:val="0"/>
                    <w:keepLines w:val="0"/>
                    <w:widowControl/>
                    <w:suppressLineNumbers w:val="0"/>
                    <w:jc w:val="center"/>
                    <w:textAlignment w:val="center"/>
                    <w:rPr>
                      <w:rFonts w:hint="eastAsia" w:ascii="楷体" w:hAnsi="楷体" w:eastAsia="楷体" w:cs="楷体"/>
                      <w:i w:val="0"/>
                      <w:iCs w:val="0"/>
                      <w:color w:val="auto"/>
                      <w:kern w:val="0"/>
                      <w:sz w:val="21"/>
                      <w:szCs w:val="21"/>
                      <w:u w:val="none"/>
                      <w:lang w:val="en-US" w:eastAsia="zh-CN" w:bidi="ar"/>
                    </w:rPr>
                  </w:pPr>
                  <w:r>
                    <w:rPr>
                      <w:rFonts w:hint="eastAsia" w:ascii="楷体" w:hAnsi="楷体" w:eastAsia="楷体" w:cs="楷体"/>
                      <w:i w:val="0"/>
                      <w:iCs w:val="0"/>
                      <w:color w:val="auto"/>
                      <w:kern w:val="0"/>
                      <w:sz w:val="21"/>
                      <w:szCs w:val="21"/>
                      <w:u w:val="none"/>
                      <w:lang w:val="en-US" w:eastAsia="zh-CN" w:bidi="ar"/>
                    </w:rPr>
                    <w:t>1000万元</w:t>
                  </w:r>
                </w:p>
              </w:tc>
              <w:tc>
                <w:tcPr>
                  <w:tcW w:w="753" w:type="dxa"/>
                  <w:tcBorders>
                    <w:top w:val="single" w:color="000000" w:sz="4" w:space="0"/>
                    <w:left w:val="single" w:color="000000" w:sz="4" w:space="0"/>
                    <w:bottom w:val="single" w:color="000000" w:sz="4" w:space="0"/>
                    <w:right w:val="single" w:color="000000" w:sz="4" w:space="0"/>
                  </w:tcBorders>
                  <w:noWrap/>
                  <w:vAlign w:val="center"/>
                </w:tcPr>
                <w:p w14:paraId="3A9FB535">
                  <w:pPr>
                    <w:keepNext w:val="0"/>
                    <w:keepLines w:val="0"/>
                    <w:widowControl/>
                    <w:suppressLineNumbers w:val="0"/>
                    <w:jc w:val="center"/>
                    <w:textAlignment w:val="center"/>
                    <w:rPr>
                      <w:rFonts w:hint="eastAsia" w:ascii="楷体" w:hAnsi="楷体" w:eastAsia="楷体" w:cs="楷体"/>
                      <w:i w:val="0"/>
                      <w:iCs w:val="0"/>
                      <w:color w:val="auto"/>
                      <w:kern w:val="0"/>
                      <w:sz w:val="21"/>
                      <w:szCs w:val="21"/>
                      <w:u w:val="none"/>
                      <w:lang w:val="en-US" w:eastAsia="zh-CN" w:bidi="ar"/>
                    </w:rPr>
                  </w:pPr>
                  <w:r>
                    <w:rPr>
                      <w:rFonts w:hint="eastAsia" w:ascii="楷体" w:hAnsi="楷体" w:eastAsia="楷体" w:cs="楷体"/>
                      <w:i w:val="0"/>
                      <w:iCs w:val="0"/>
                      <w:color w:val="auto"/>
                      <w:kern w:val="0"/>
                      <w:sz w:val="21"/>
                      <w:szCs w:val="21"/>
                      <w:u w:val="none"/>
                      <w:lang w:val="en-US" w:eastAsia="zh-CN" w:bidi="ar"/>
                    </w:rPr>
                    <w:t>1年</w:t>
                  </w: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6B15F907">
                  <w:pPr>
                    <w:keepNext w:val="0"/>
                    <w:keepLines w:val="0"/>
                    <w:widowControl/>
                    <w:suppressLineNumbers w:val="0"/>
                    <w:jc w:val="center"/>
                    <w:textAlignment w:val="center"/>
                    <w:rPr>
                      <w:rFonts w:hint="eastAsia" w:ascii="楷体" w:hAnsi="楷体" w:eastAsia="楷体" w:cs="楷体"/>
                      <w:i w:val="0"/>
                      <w:iCs w:val="0"/>
                      <w:color w:val="auto"/>
                      <w:kern w:val="0"/>
                      <w:sz w:val="21"/>
                      <w:szCs w:val="21"/>
                      <w:u w:val="none"/>
                      <w:lang w:val="en-US" w:eastAsia="zh-CN" w:bidi="ar"/>
                    </w:rPr>
                  </w:pPr>
                  <w:r>
                    <w:rPr>
                      <w:rFonts w:hint="eastAsia" w:ascii="楷体" w:hAnsi="楷体" w:eastAsia="楷体" w:cs="楷体"/>
                      <w:i w:val="0"/>
                      <w:iCs w:val="0"/>
                      <w:color w:val="auto"/>
                      <w:kern w:val="0"/>
                      <w:sz w:val="21"/>
                      <w:szCs w:val="21"/>
                      <w:u w:val="none"/>
                      <w:lang w:val="en-US" w:eastAsia="zh-CN" w:bidi="ar"/>
                    </w:rPr>
                    <w:t>3.45%起</w:t>
                  </w:r>
                </w:p>
              </w:tc>
              <w:tc>
                <w:tcPr>
                  <w:tcW w:w="745" w:type="dxa"/>
                  <w:tcBorders>
                    <w:top w:val="single" w:color="000000" w:sz="4" w:space="0"/>
                    <w:left w:val="single" w:color="000000" w:sz="4" w:space="0"/>
                    <w:bottom w:val="single" w:color="000000" w:sz="4" w:space="0"/>
                    <w:right w:val="single" w:color="000000" w:sz="4" w:space="0"/>
                  </w:tcBorders>
                  <w:noWrap/>
                  <w:vAlign w:val="center"/>
                </w:tcPr>
                <w:p w14:paraId="26FFC50D">
                  <w:pPr>
                    <w:keepNext w:val="0"/>
                    <w:keepLines w:val="0"/>
                    <w:widowControl/>
                    <w:suppressLineNumbers w:val="0"/>
                    <w:jc w:val="center"/>
                    <w:textAlignment w:val="center"/>
                    <w:rPr>
                      <w:rFonts w:hint="eastAsia" w:ascii="楷体" w:hAnsi="楷体" w:eastAsia="楷体" w:cs="楷体"/>
                      <w:i w:val="0"/>
                      <w:iCs w:val="0"/>
                      <w:color w:val="auto"/>
                      <w:kern w:val="0"/>
                      <w:sz w:val="21"/>
                      <w:szCs w:val="21"/>
                      <w:u w:val="none"/>
                      <w:lang w:val="en-US" w:eastAsia="zh-CN" w:bidi="ar"/>
                    </w:rPr>
                  </w:pPr>
                  <w:r>
                    <w:rPr>
                      <w:rFonts w:hint="eastAsia" w:ascii="楷体" w:hAnsi="楷体" w:eastAsia="楷体" w:cs="楷体"/>
                      <w:i w:val="0"/>
                      <w:iCs w:val="0"/>
                      <w:color w:val="auto"/>
                      <w:kern w:val="0"/>
                      <w:sz w:val="21"/>
                      <w:szCs w:val="21"/>
                      <w:u w:val="none"/>
                      <w:lang w:val="en-US" w:eastAsia="zh-CN" w:bidi="ar"/>
                    </w:rPr>
                    <w:t>24小时</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70DF207">
                  <w:pPr>
                    <w:keepNext w:val="0"/>
                    <w:keepLines w:val="0"/>
                    <w:widowControl/>
                    <w:suppressLineNumbers w:val="0"/>
                    <w:jc w:val="center"/>
                    <w:textAlignment w:val="center"/>
                    <w:rPr>
                      <w:rFonts w:hint="eastAsia" w:ascii="楷体" w:hAnsi="楷体" w:eastAsia="楷体" w:cs="楷体"/>
                      <w:i w:val="0"/>
                      <w:iCs w:val="0"/>
                      <w:color w:val="auto"/>
                      <w:kern w:val="0"/>
                      <w:sz w:val="21"/>
                      <w:szCs w:val="21"/>
                      <w:u w:val="none"/>
                      <w:lang w:val="en-US" w:eastAsia="zh-CN" w:bidi="ar"/>
                    </w:rPr>
                  </w:pPr>
                  <w:r>
                    <w:rPr>
                      <w:rFonts w:hint="eastAsia" w:ascii="楷体" w:hAnsi="楷体" w:eastAsia="楷体" w:cs="楷体"/>
                      <w:i w:val="0"/>
                      <w:iCs w:val="0"/>
                      <w:color w:val="auto"/>
                      <w:kern w:val="0"/>
                      <w:sz w:val="21"/>
                      <w:szCs w:val="21"/>
                      <w:u w:val="none"/>
                      <w:lang w:val="en-US" w:eastAsia="zh-CN" w:bidi="ar"/>
                    </w:rPr>
                    <w:t>李思嘉15191820101</w:t>
                  </w:r>
                </w:p>
              </w:tc>
            </w:tr>
            <w:tr w14:paraId="7FC13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jc w:val="center"/>
              </w:trPr>
              <w:tc>
                <w:tcPr>
                  <w:tcW w:w="470" w:type="dxa"/>
                  <w:tcBorders>
                    <w:top w:val="single" w:color="000000" w:sz="4" w:space="0"/>
                    <w:left w:val="single" w:color="000000" w:sz="4" w:space="0"/>
                    <w:bottom w:val="single" w:color="000000" w:sz="4" w:space="0"/>
                    <w:right w:val="single" w:color="000000" w:sz="4" w:space="0"/>
                  </w:tcBorders>
                  <w:noWrap/>
                  <w:vAlign w:val="center"/>
                </w:tcPr>
                <w:p w14:paraId="136312D3">
                  <w:pPr>
                    <w:keepNext w:val="0"/>
                    <w:keepLines w:val="0"/>
                    <w:widowControl/>
                    <w:suppressLineNumbers w:val="0"/>
                    <w:jc w:val="center"/>
                    <w:textAlignment w:val="center"/>
                    <w:rPr>
                      <w:rFonts w:hint="default" w:ascii="楷体" w:hAnsi="楷体" w:eastAsia="楷体" w:cs="楷体"/>
                      <w:i w:val="0"/>
                      <w:iCs w:val="0"/>
                      <w:color w:val="auto"/>
                      <w:kern w:val="0"/>
                      <w:sz w:val="21"/>
                      <w:szCs w:val="21"/>
                      <w:u w:val="none"/>
                      <w:lang w:val="en-US" w:eastAsia="zh-CN" w:bidi="ar"/>
                    </w:rPr>
                  </w:pPr>
                  <w:r>
                    <w:rPr>
                      <w:rFonts w:hint="eastAsia" w:ascii="楷体" w:hAnsi="楷体" w:eastAsia="楷体" w:cs="楷体"/>
                      <w:i w:val="0"/>
                      <w:iCs w:val="0"/>
                      <w:color w:val="auto"/>
                      <w:kern w:val="0"/>
                      <w:sz w:val="21"/>
                      <w:szCs w:val="21"/>
                      <w:u w:val="none"/>
                      <w:lang w:val="en-US" w:eastAsia="zh-CN" w:bidi="ar"/>
                    </w:rPr>
                    <w:t>12</w:t>
                  </w:r>
                </w:p>
              </w:tc>
              <w:tc>
                <w:tcPr>
                  <w:tcW w:w="713" w:type="dxa"/>
                  <w:tcBorders>
                    <w:top w:val="single" w:color="000000" w:sz="4" w:space="0"/>
                    <w:left w:val="single" w:color="000000" w:sz="4" w:space="0"/>
                    <w:bottom w:val="single" w:color="000000" w:sz="4" w:space="0"/>
                    <w:right w:val="single" w:color="000000" w:sz="4" w:space="0"/>
                  </w:tcBorders>
                  <w:noWrap/>
                  <w:vAlign w:val="center"/>
                </w:tcPr>
                <w:p w14:paraId="050429AF">
                  <w:pPr>
                    <w:keepNext w:val="0"/>
                    <w:keepLines w:val="0"/>
                    <w:widowControl/>
                    <w:suppressLineNumbers w:val="0"/>
                    <w:jc w:val="center"/>
                    <w:textAlignment w:val="center"/>
                    <w:rPr>
                      <w:rFonts w:hint="eastAsia" w:ascii="楷体" w:hAnsi="楷体" w:eastAsia="楷体" w:cs="楷体"/>
                      <w:i w:val="0"/>
                      <w:iCs w:val="0"/>
                      <w:color w:val="auto"/>
                      <w:kern w:val="0"/>
                      <w:sz w:val="21"/>
                      <w:szCs w:val="21"/>
                      <w:u w:val="none"/>
                      <w:lang w:val="en-US" w:eastAsia="zh-CN" w:bidi="ar"/>
                    </w:rPr>
                  </w:pPr>
                  <w:r>
                    <w:rPr>
                      <w:rFonts w:hint="eastAsia" w:ascii="楷体" w:hAnsi="楷体" w:eastAsia="楷体" w:cs="楷体"/>
                      <w:i w:val="0"/>
                      <w:iCs w:val="0"/>
                      <w:color w:val="auto"/>
                      <w:kern w:val="0"/>
                      <w:sz w:val="21"/>
                      <w:szCs w:val="21"/>
                      <w:u w:val="none"/>
                      <w:lang w:val="en-US" w:eastAsia="zh-CN" w:bidi="ar"/>
                    </w:rPr>
                    <w:t>建设银行</w:t>
                  </w:r>
                </w:p>
              </w:tc>
              <w:tc>
                <w:tcPr>
                  <w:tcW w:w="721" w:type="dxa"/>
                  <w:tcBorders>
                    <w:top w:val="single" w:color="000000" w:sz="4" w:space="0"/>
                    <w:left w:val="single" w:color="000000" w:sz="4" w:space="0"/>
                    <w:bottom w:val="single" w:color="000000" w:sz="4" w:space="0"/>
                    <w:right w:val="single" w:color="000000" w:sz="4" w:space="0"/>
                  </w:tcBorders>
                  <w:noWrap/>
                  <w:vAlign w:val="center"/>
                </w:tcPr>
                <w:p w14:paraId="0E170CCF">
                  <w:pPr>
                    <w:keepNext w:val="0"/>
                    <w:keepLines w:val="0"/>
                    <w:widowControl/>
                    <w:suppressLineNumbers w:val="0"/>
                    <w:jc w:val="center"/>
                    <w:textAlignment w:val="center"/>
                    <w:rPr>
                      <w:rFonts w:hint="eastAsia" w:ascii="楷体" w:hAnsi="楷体" w:eastAsia="楷体" w:cs="楷体"/>
                      <w:i w:val="0"/>
                      <w:iCs w:val="0"/>
                      <w:color w:val="auto"/>
                      <w:kern w:val="0"/>
                      <w:sz w:val="21"/>
                      <w:szCs w:val="21"/>
                      <w:u w:val="none"/>
                      <w:lang w:val="en-US" w:eastAsia="zh-CN" w:bidi="ar"/>
                    </w:rPr>
                  </w:pPr>
                  <w:r>
                    <w:rPr>
                      <w:rFonts w:hint="eastAsia" w:ascii="楷体" w:hAnsi="楷体" w:eastAsia="楷体" w:cs="楷体"/>
                      <w:i w:val="0"/>
                      <w:iCs w:val="0"/>
                      <w:color w:val="auto"/>
                      <w:kern w:val="0"/>
                      <w:sz w:val="21"/>
                      <w:szCs w:val="21"/>
                      <w:u w:val="none"/>
                      <w:lang w:val="en-US" w:eastAsia="zh-CN" w:bidi="ar"/>
                    </w:rPr>
                    <w:t>E政通</w:t>
                  </w:r>
                </w:p>
              </w:tc>
              <w:tc>
                <w:tcPr>
                  <w:tcW w:w="745" w:type="dxa"/>
                  <w:tcBorders>
                    <w:top w:val="single" w:color="000000" w:sz="4" w:space="0"/>
                    <w:left w:val="single" w:color="000000" w:sz="4" w:space="0"/>
                    <w:bottom w:val="single" w:color="000000" w:sz="4" w:space="0"/>
                    <w:right w:val="single" w:color="000000" w:sz="4" w:space="0"/>
                  </w:tcBorders>
                  <w:noWrap/>
                  <w:vAlign w:val="center"/>
                </w:tcPr>
                <w:p w14:paraId="6D9C469D">
                  <w:pPr>
                    <w:keepNext w:val="0"/>
                    <w:keepLines w:val="0"/>
                    <w:widowControl/>
                    <w:suppressLineNumbers w:val="0"/>
                    <w:jc w:val="center"/>
                    <w:textAlignment w:val="center"/>
                    <w:rPr>
                      <w:rFonts w:hint="eastAsia" w:ascii="楷体" w:hAnsi="楷体" w:eastAsia="楷体" w:cs="楷体"/>
                      <w:i w:val="0"/>
                      <w:iCs w:val="0"/>
                      <w:color w:val="auto"/>
                      <w:kern w:val="0"/>
                      <w:sz w:val="21"/>
                      <w:szCs w:val="21"/>
                      <w:u w:val="none"/>
                      <w:lang w:val="en-US" w:eastAsia="zh-CN" w:bidi="ar"/>
                    </w:rPr>
                  </w:pPr>
                  <w:r>
                    <w:rPr>
                      <w:rFonts w:hint="eastAsia" w:ascii="楷体" w:hAnsi="楷体" w:eastAsia="楷体" w:cs="楷体"/>
                      <w:i w:val="0"/>
                      <w:iCs w:val="0"/>
                      <w:color w:val="auto"/>
                      <w:kern w:val="0"/>
                      <w:sz w:val="21"/>
                      <w:szCs w:val="21"/>
                      <w:u w:val="none"/>
                      <w:lang w:val="en-US" w:eastAsia="zh-CN" w:bidi="ar"/>
                    </w:rPr>
                    <w:t>1000万元</w:t>
                  </w:r>
                </w:p>
              </w:tc>
              <w:tc>
                <w:tcPr>
                  <w:tcW w:w="753" w:type="dxa"/>
                  <w:tcBorders>
                    <w:top w:val="single" w:color="000000" w:sz="4" w:space="0"/>
                    <w:left w:val="single" w:color="000000" w:sz="4" w:space="0"/>
                    <w:bottom w:val="single" w:color="000000" w:sz="4" w:space="0"/>
                    <w:right w:val="single" w:color="000000" w:sz="4" w:space="0"/>
                  </w:tcBorders>
                  <w:noWrap/>
                  <w:vAlign w:val="center"/>
                </w:tcPr>
                <w:p w14:paraId="37D4AF4C">
                  <w:pPr>
                    <w:keepNext w:val="0"/>
                    <w:keepLines w:val="0"/>
                    <w:widowControl/>
                    <w:suppressLineNumbers w:val="0"/>
                    <w:jc w:val="center"/>
                    <w:textAlignment w:val="center"/>
                    <w:rPr>
                      <w:rFonts w:hint="eastAsia" w:ascii="楷体" w:hAnsi="楷体" w:eastAsia="楷体" w:cs="楷体"/>
                      <w:i w:val="0"/>
                      <w:iCs w:val="0"/>
                      <w:color w:val="auto"/>
                      <w:kern w:val="0"/>
                      <w:sz w:val="21"/>
                      <w:szCs w:val="21"/>
                      <w:u w:val="none"/>
                      <w:lang w:val="en-US" w:eastAsia="zh-CN" w:bidi="ar"/>
                    </w:rPr>
                  </w:pPr>
                  <w:r>
                    <w:rPr>
                      <w:rFonts w:hint="eastAsia" w:ascii="楷体" w:hAnsi="楷体" w:eastAsia="楷体" w:cs="楷体"/>
                      <w:i w:val="0"/>
                      <w:iCs w:val="0"/>
                      <w:color w:val="auto"/>
                      <w:kern w:val="0"/>
                      <w:sz w:val="21"/>
                      <w:szCs w:val="21"/>
                      <w:u w:val="none"/>
                      <w:lang w:val="en-US" w:eastAsia="zh-CN" w:bidi="ar"/>
                    </w:rPr>
                    <w:t>1年</w:t>
                  </w: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525F38B5">
                  <w:pPr>
                    <w:keepNext w:val="0"/>
                    <w:keepLines w:val="0"/>
                    <w:widowControl/>
                    <w:suppressLineNumbers w:val="0"/>
                    <w:jc w:val="center"/>
                    <w:textAlignment w:val="center"/>
                    <w:rPr>
                      <w:rFonts w:hint="eastAsia" w:ascii="楷体" w:hAnsi="楷体" w:eastAsia="楷体" w:cs="楷体"/>
                      <w:i w:val="0"/>
                      <w:iCs w:val="0"/>
                      <w:color w:val="auto"/>
                      <w:kern w:val="0"/>
                      <w:sz w:val="21"/>
                      <w:szCs w:val="21"/>
                      <w:u w:val="none"/>
                      <w:lang w:val="en-US" w:eastAsia="zh-CN" w:bidi="ar"/>
                    </w:rPr>
                  </w:pPr>
                  <w:r>
                    <w:rPr>
                      <w:rFonts w:hint="eastAsia" w:ascii="楷体" w:hAnsi="楷体" w:eastAsia="楷体" w:cs="楷体"/>
                      <w:i w:val="0"/>
                      <w:iCs w:val="0"/>
                      <w:color w:val="auto"/>
                      <w:kern w:val="0"/>
                      <w:sz w:val="21"/>
                      <w:szCs w:val="21"/>
                      <w:u w:val="none"/>
                      <w:lang w:val="en-US" w:eastAsia="zh-CN" w:bidi="ar"/>
                    </w:rPr>
                    <w:t>3.2%</w:t>
                  </w:r>
                </w:p>
              </w:tc>
              <w:tc>
                <w:tcPr>
                  <w:tcW w:w="745" w:type="dxa"/>
                  <w:tcBorders>
                    <w:top w:val="single" w:color="000000" w:sz="4" w:space="0"/>
                    <w:left w:val="single" w:color="000000" w:sz="4" w:space="0"/>
                    <w:bottom w:val="single" w:color="000000" w:sz="4" w:space="0"/>
                    <w:right w:val="single" w:color="000000" w:sz="4" w:space="0"/>
                  </w:tcBorders>
                  <w:noWrap/>
                  <w:vAlign w:val="center"/>
                </w:tcPr>
                <w:p w14:paraId="13265B7A">
                  <w:pPr>
                    <w:keepNext w:val="0"/>
                    <w:keepLines w:val="0"/>
                    <w:widowControl/>
                    <w:suppressLineNumbers w:val="0"/>
                    <w:jc w:val="center"/>
                    <w:textAlignment w:val="center"/>
                    <w:rPr>
                      <w:rFonts w:hint="eastAsia" w:ascii="楷体" w:hAnsi="楷体" w:eastAsia="楷体" w:cs="楷体"/>
                      <w:i w:val="0"/>
                      <w:iCs w:val="0"/>
                      <w:color w:val="auto"/>
                      <w:kern w:val="0"/>
                      <w:sz w:val="21"/>
                      <w:szCs w:val="21"/>
                      <w:u w:val="none"/>
                      <w:lang w:val="en-US" w:eastAsia="zh-CN" w:bidi="ar"/>
                    </w:rPr>
                  </w:pPr>
                  <w:r>
                    <w:rPr>
                      <w:rFonts w:hint="eastAsia" w:ascii="楷体" w:hAnsi="楷体" w:eastAsia="楷体" w:cs="楷体"/>
                      <w:i w:val="0"/>
                      <w:iCs w:val="0"/>
                      <w:color w:val="auto"/>
                      <w:kern w:val="0"/>
                      <w:sz w:val="21"/>
                      <w:szCs w:val="21"/>
                      <w:u w:val="none"/>
                      <w:lang w:val="en-US" w:eastAsia="zh-CN" w:bidi="ar"/>
                    </w:rPr>
                    <w:t>72小时</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D8767C5">
                  <w:pPr>
                    <w:keepNext w:val="0"/>
                    <w:keepLines w:val="0"/>
                    <w:widowControl/>
                    <w:suppressLineNumbers w:val="0"/>
                    <w:jc w:val="center"/>
                    <w:textAlignment w:val="center"/>
                    <w:rPr>
                      <w:rFonts w:hint="eastAsia" w:ascii="楷体" w:hAnsi="楷体" w:eastAsia="楷体" w:cs="楷体"/>
                      <w:i w:val="0"/>
                      <w:iCs w:val="0"/>
                      <w:color w:val="auto"/>
                      <w:kern w:val="0"/>
                      <w:sz w:val="21"/>
                      <w:szCs w:val="21"/>
                      <w:u w:val="none"/>
                      <w:lang w:val="en-US" w:eastAsia="zh-CN" w:bidi="ar"/>
                    </w:rPr>
                  </w:pPr>
                  <w:r>
                    <w:rPr>
                      <w:rFonts w:hint="eastAsia" w:ascii="楷体" w:hAnsi="楷体" w:eastAsia="楷体" w:cs="楷体"/>
                      <w:i w:val="0"/>
                      <w:iCs w:val="0"/>
                      <w:color w:val="auto"/>
                      <w:kern w:val="0"/>
                      <w:sz w:val="21"/>
                      <w:szCs w:val="21"/>
                      <w:u w:val="none"/>
                      <w:lang w:val="en-US" w:eastAsia="zh-CN" w:bidi="ar"/>
                    </w:rPr>
                    <w:t>张 宇 15929397838</w:t>
                  </w:r>
                </w:p>
              </w:tc>
            </w:tr>
          </w:tbl>
          <w:p w14:paraId="76F87216">
            <w:pPr>
              <w:keepNext w:val="0"/>
              <w:keepLines w:val="0"/>
              <w:pageBreakBefore w:val="0"/>
              <w:kinsoku/>
              <w:wordWrap/>
              <w:overflowPunct/>
              <w:topLinePunct w:val="0"/>
              <w:autoSpaceDE/>
              <w:autoSpaceDN/>
              <w:bidi w:val="0"/>
              <w:adjustRightInd/>
              <w:spacing w:line="360" w:lineRule="auto"/>
              <w:ind w:left="0" w:leftChars="0" w:right="0"/>
              <w:rPr>
                <w:rFonts w:hint="eastAsia" w:ascii="宋体" w:hAnsi="宋体" w:eastAsia="宋体" w:cs="宋体"/>
                <w:color w:val="auto"/>
                <w:sz w:val="24"/>
                <w:szCs w:val="24"/>
                <w:highlight w:val="none"/>
                <w:lang w:val="en-US" w:eastAsia="zh-CN"/>
              </w:rPr>
            </w:pPr>
          </w:p>
          <w:p w14:paraId="6FE39E2C">
            <w:pPr>
              <w:keepNext w:val="0"/>
              <w:keepLines w:val="0"/>
              <w:pageBreakBefore w:val="0"/>
              <w:kinsoku/>
              <w:wordWrap/>
              <w:overflowPunct/>
              <w:topLinePunct w:val="0"/>
              <w:autoSpaceDE/>
              <w:autoSpaceDN/>
              <w:bidi w:val="0"/>
              <w:adjustRightInd/>
              <w:spacing w:line="360" w:lineRule="auto"/>
              <w:ind w:left="0" w:leftChars="0" w:right="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备注：银行排名不分先后。如产品额度、期限、利率等内容发生改变，以银行解释为准。</w:t>
            </w:r>
          </w:p>
        </w:tc>
      </w:tr>
      <w:tr w14:paraId="0C638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6" w:type="dxa"/>
            <w:vAlign w:val="center"/>
          </w:tcPr>
          <w:p w14:paraId="0FF2399B">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28</w:t>
            </w:r>
          </w:p>
        </w:tc>
        <w:tc>
          <w:tcPr>
            <w:tcW w:w="1330" w:type="dxa"/>
            <w:vAlign w:val="center"/>
          </w:tcPr>
          <w:p w14:paraId="287B1966">
            <w:pPr>
              <w:keepNext w:val="0"/>
              <w:keepLines w:val="0"/>
              <w:pageBreakBefore w:val="0"/>
              <w:kinsoku/>
              <w:wordWrap/>
              <w:overflowPunct/>
              <w:topLinePunct w:val="0"/>
              <w:autoSpaceDE/>
              <w:autoSpaceDN/>
              <w:bidi w:val="0"/>
              <w:spacing w:line="360" w:lineRule="auto"/>
              <w:ind w:left="0" w:leftChars="0" w:right="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支持中小企业</w:t>
            </w:r>
          </w:p>
        </w:tc>
        <w:tc>
          <w:tcPr>
            <w:tcW w:w="7107" w:type="dxa"/>
            <w:vAlign w:val="center"/>
          </w:tcPr>
          <w:p w14:paraId="2CCC1DD1">
            <w:pPr>
              <w:keepNext w:val="0"/>
              <w:keepLines w:val="0"/>
              <w:pageBreakBefore w:val="0"/>
              <w:suppressLineNumbers w:val="0"/>
              <w:kinsoku/>
              <w:wordWrap/>
              <w:overflowPunct/>
              <w:topLinePunct w:val="0"/>
              <w:autoSpaceDE/>
              <w:autoSpaceDN/>
              <w:bidi w:val="0"/>
              <w:spacing w:beforeAutospacing="0" w:afterAutospacing="0" w:line="360" w:lineRule="auto"/>
              <w:ind w:left="0" w:leftChars="0" w:right="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支持中小企业发展：</w:t>
            </w:r>
          </w:p>
          <w:p w14:paraId="1FACDD43">
            <w:pPr>
              <w:keepNext w:val="0"/>
              <w:keepLines w:val="0"/>
              <w:pageBreakBefore w:val="0"/>
              <w:suppressLineNumbers w:val="0"/>
              <w:kinsoku/>
              <w:wordWrap/>
              <w:overflowPunct/>
              <w:topLinePunct w:val="0"/>
              <w:autoSpaceDE/>
              <w:autoSpaceDN/>
              <w:bidi w:val="0"/>
              <w:spacing w:beforeAutospacing="0" w:afterAutospacing="0" w:line="360" w:lineRule="auto"/>
              <w:ind w:left="0" w:leftChars="0" w:right="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fldChar w:fldCharType="begin"/>
            </w:r>
            <w:r>
              <w:rPr>
                <w:rFonts w:hint="eastAsia" w:ascii="宋体" w:hAnsi="宋体" w:eastAsia="宋体" w:cs="宋体"/>
                <w:color w:val="auto"/>
                <w:sz w:val="24"/>
                <w:szCs w:val="24"/>
                <w:highlight w:val="none"/>
                <w:lang w:val="en-US" w:eastAsia="zh-CN"/>
              </w:rPr>
              <w:instrText xml:space="preserve"> eq \o\ac(</w:instrText>
            </w:r>
            <w:r>
              <w:rPr>
                <w:rFonts w:hint="eastAsia" w:ascii="宋体" w:hAnsi="宋体" w:eastAsia="宋体" w:cs="宋体"/>
                <w:color w:val="auto"/>
                <w:position w:val="-4"/>
                <w:sz w:val="36"/>
                <w:szCs w:val="24"/>
                <w:highlight w:val="none"/>
                <w:lang w:val="en-US" w:eastAsia="zh-CN"/>
              </w:rPr>
              <w:instrText xml:space="preserve">□</w:instrText>
            </w:r>
            <w:r>
              <w:rPr>
                <w:rFonts w:hint="eastAsia" w:ascii="宋体" w:hAnsi="宋体" w:eastAsia="宋体" w:cs="宋体"/>
                <w:color w:val="auto"/>
                <w:position w:val="0"/>
                <w:sz w:val="24"/>
                <w:szCs w:val="24"/>
                <w:highlight w:val="none"/>
                <w:lang w:val="en-US" w:eastAsia="zh-CN"/>
              </w:rPr>
              <w:instrText xml:space="preserve">,√)</w:instrText>
            </w:r>
            <w:r>
              <w:rPr>
                <w:rFonts w:hint="eastAsia" w:ascii="宋体" w:hAnsi="宋体" w:eastAsia="宋体" w:cs="宋体"/>
                <w:color w:val="auto"/>
                <w:sz w:val="24"/>
                <w:szCs w:val="24"/>
                <w:highlight w:val="none"/>
                <w:lang w:val="en-US" w:eastAsia="zh-CN"/>
              </w:rPr>
              <w:fldChar w:fldCharType="end"/>
            </w:r>
            <w:r>
              <w:rPr>
                <w:rFonts w:hint="eastAsia" w:ascii="宋体" w:hAnsi="宋体" w:eastAsia="宋体" w:cs="宋体"/>
                <w:color w:val="auto"/>
                <w:sz w:val="24"/>
                <w:szCs w:val="24"/>
                <w:highlight w:val="none"/>
                <w:lang w:val="en-US" w:eastAsia="zh-CN"/>
              </w:rPr>
              <w:t>专门面向中小企业采购项目</w:t>
            </w:r>
          </w:p>
          <w:p w14:paraId="7AC12D30">
            <w:pPr>
              <w:keepNext w:val="0"/>
              <w:keepLines w:val="0"/>
              <w:pageBreakBefore w:val="0"/>
              <w:suppressLineNumbers w:val="0"/>
              <w:kinsoku/>
              <w:wordWrap/>
              <w:overflowPunct/>
              <w:topLinePunct w:val="0"/>
              <w:autoSpaceDE/>
              <w:autoSpaceDN/>
              <w:bidi w:val="0"/>
              <w:spacing w:beforeAutospacing="0" w:afterAutospacing="0" w:line="360" w:lineRule="auto"/>
              <w:ind w:left="0" w:leftChars="0" w:right="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fldChar w:fldCharType="begin"/>
            </w:r>
            <w:r>
              <w:rPr>
                <w:rFonts w:hint="eastAsia" w:ascii="宋体" w:hAnsi="宋体" w:eastAsia="宋体" w:cs="宋体"/>
                <w:color w:val="auto"/>
                <w:sz w:val="24"/>
                <w:szCs w:val="24"/>
                <w:highlight w:val="none"/>
                <w:lang w:val="en-US" w:eastAsia="zh-CN"/>
              </w:rPr>
              <w:instrText xml:space="preserve"> eq \o\ac(</w:instrText>
            </w:r>
            <w:r>
              <w:rPr>
                <w:rFonts w:hint="eastAsia" w:ascii="宋体" w:hAnsi="宋体" w:eastAsia="宋体" w:cs="宋体"/>
                <w:color w:val="auto"/>
                <w:position w:val="-4"/>
                <w:sz w:val="36"/>
                <w:szCs w:val="24"/>
                <w:highlight w:val="none"/>
                <w:lang w:val="en-US" w:eastAsia="zh-CN"/>
              </w:rPr>
              <w:instrText xml:space="preserve">□</w:instrText>
            </w:r>
            <w:r>
              <w:rPr>
                <w:rFonts w:hint="eastAsia" w:ascii="宋体" w:hAnsi="宋体" w:eastAsia="宋体" w:cs="宋体"/>
                <w:color w:val="auto"/>
                <w:position w:val="0"/>
                <w:sz w:val="24"/>
                <w:szCs w:val="24"/>
                <w:highlight w:val="none"/>
                <w:lang w:val="en-US" w:eastAsia="zh-CN"/>
              </w:rPr>
              <w:instrText xml:space="preserve">)</w:instrText>
            </w:r>
            <w:r>
              <w:rPr>
                <w:rFonts w:hint="eastAsia" w:ascii="宋体" w:hAnsi="宋体" w:eastAsia="宋体" w:cs="宋体"/>
                <w:color w:val="auto"/>
                <w:sz w:val="24"/>
                <w:szCs w:val="24"/>
                <w:highlight w:val="none"/>
                <w:lang w:val="en-US" w:eastAsia="zh-CN"/>
              </w:rPr>
              <w:fldChar w:fldCharType="end"/>
            </w:r>
            <w:r>
              <w:rPr>
                <w:rFonts w:hint="eastAsia" w:ascii="宋体" w:hAnsi="宋体" w:eastAsia="宋体" w:cs="宋体"/>
                <w:color w:val="auto"/>
                <w:sz w:val="24"/>
                <w:szCs w:val="24"/>
                <w:highlight w:val="none"/>
                <w:lang w:val="en-US" w:eastAsia="zh-CN"/>
              </w:rPr>
              <w:t>非专门面向中小企业采购项目（价格扣除）：</w:t>
            </w:r>
          </w:p>
          <w:p w14:paraId="7EEF85D8">
            <w:pPr>
              <w:keepNext w:val="0"/>
              <w:keepLines w:val="0"/>
              <w:pageBreakBefore w:val="0"/>
              <w:suppressLineNumbers w:val="0"/>
              <w:kinsoku/>
              <w:wordWrap/>
              <w:overflowPunct/>
              <w:topLinePunct w:val="0"/>
              <w:autoSpaceDE/>
              <w:autoSpaceDN/>
              <w:bidi w:val="0"/>
              <w:spacing w:beforeAutospacing="0" w:afterAutospacing="0" w:line="360" w:lineRule="auto"/>
              <w:ind w:left="0" w:leftChars="0" w:right="0" w:rightChars="0"/>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color w:val="auto"/>
                <w:sz w:val="24"/>
                <w:szCs w:val="24"/>
                <w:highlight w:val="none"/>
                <w:lang w:val="en-US" w:eastAsia="zh-CN"/>
              </w:rPr>
              <w:sym w:font="Wingdings" w:char="F081"/>
            </w:r>
            <w:r>
              <w:rPr>
                <w:rFonts w:hint="eastAsia" w:ascii="宋体" w:hAnsi="宋体" w:eastAsia="宋体" w:cs="宋体"/>
                <w:color w:val="auto"/>
                <w:sz w:val="24"/>
                <w:szCs w:val="24"/>
                <w:highlight w:val="none"/>
                <w:lang w:val="en-US" w:eastAsia="zh-CN"/>
              </w:rPr>
              <w:t>对小型和微型企业产品的价格给与20%的扣除，用扣除后的价格参与评审。</w:t>
            </w:r>
          </w:p>
        </w:tc>
      </w:tr>
      <w:tr w14:paraId="72EAA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6" w:type="dxa"/>
            <w:vAlign w:val="center"/>
          </w:tcPr>
          <w:p w14:paraId="59BDB7A2">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29</w:t>
            </w:r>
          </w:p>
        </w:tc>
        <w:tc>
          <w:tcPr>
            <w:tcW w:w="1330" w:type="dxa"/>
            <w:vAlign w:val="center"/>
          </w:tcPr>
          <w:p w14:paraId="6F313DA7">
            <w:pPr>
              <w:keepNext w:val="0"/>
              <w:keepLines w:val="0"/>
              <w:pageBreakBefore w:val="0"/>
              <w:kinsoku/>
              <w:wordWrap/>
              <w:overflowPunct/>
              <w:topLinePunct w:val="0"/>
              <w:autoSpaceDE/>
              <w:autoSpaceDN/>
              <w:bidi w:val="0"/>
              <w:spacing w:line="360" w:lineRule="auto"/>
              <w:ind w:left="0" w:leftChars="0" w:right="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支持监狱企业发展</w:t>
            </w:r>
          </w:p>
        </w:tc>
        <w:tc>
          <w:tcPr>
            <w:tcW w:w="7107" w:type="dxa"/>
            <w:vAlign w:val="center"/>
          </w:tcPr>
          <w:p w14:paraId="4F5363DC">
            <w:pPr>
              <w:keepNext w:val="0"/>
              <w:keepLines w:val="0"/>
              <w:pageBreakBefore w:val="0"/>
              <w:suppressLineNumbers w:val="0"/>
              <w:kinsoku/>
              <w:wordWrap/>
              <w:overflowPunct/>
              <w:topLinePunct w:val="0"/>
              <w:autoSpaceDE/>
              <w:autoSpaceDN/>
              <w:bidi w:val="0"/>
              <w:spacing w:beforeAutospacing="0" w:afterAutospacing="0" w:line="360" w:lineRule="auto"/>
              <w:ind w:left="0" w:leftChars="0" w:right="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支持监狱企业发展：</w:t>
            </w:r>
          </w:p>
          <w:p w14:paraId="1710B906">
            <w:pPr>
              <w:keepNext w:val="0"/>
              <w:keepLines w:val="0"/>
              <w:pageBreakBefore w:val="0"/>
              <w:suppressLineNumbers w:val="0"/>
              <w:kinsoku/>
              <w:wordWrap/>
              <w:overflowPunct/>
              <w:topLinePunct w:val="0"/>
              <w:autoSpaceDE/>
              <w:autoSpaceDN/>
              <w:bidi w:val="0"/>
              <w:spacing w:beforeAutospacing="0" w:afterAutospacing="0" w:line="360" w:lineRule="auto"/>
              <w:ind w:left="0" w:leftChars="0" w:right="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fldChar w:fldCharType="begin"/>
            </w:r>
            <w:r>
              <w:rPr>
                <w:rFonts w:hint="eastAsia" w:ascii="宋体" w:hAnsi="宋体" w:eastAsia="宋体" w:cs="宋体"/>
                <w:color w:val="auto"/>
                <w:sz w:val="24"/>
                <w:szCs w:val="24"/>
                <w:highlight w:val="none"/>
                <w:lang w:val="en-US" w:eastAsia="zh-CN"/>
              </w:rPr>
              <w:instrText xml:space="preserve"> eq \o\ac(</w:instrText>
            </w:r>
            <w:r>
              <w:rPr>
                <w:rFonts w:hint="eastAsia" w:ascii="宋体" w:hAnsi="宋体" w:eastAsia="宋体" w:cs="宋体"/>
                <w:color w:val="auto"/>
                <w:position w:val="-4"/>
                <w:sz w:val="36"/>
                <w:szCs w:val="24"/>
                <w:highlight w:val="none"/>
                <w:lang w:val="en-US" w:eastAsia="zh-CN"/>
              </w:rPr>
              <w:instrText xml:space="preserve">□</w:instrText>
            </w:r>
            <w:r>
              <w:rPr>
                <w:rFonts w:hint="eastAsia" w:ascii="宋体" w:hAnsi="宋体" w:eastAsia="宋体" w:cs="宋体"/>
                <w:color w:val="auto"/>
                <w:position w:val="0"/>
                <w:sz w:val="24"/>
                <w:szCs w:val="24"/>
                <w:highlight w:val="none"/>
                <w:lang w:val="en-US" w:eastAsia="zh-CN"/>
              </w:rPr>
              <w:instrText xml:space="preserve">)</w:instrText>
            </w:r>
            <w:r>
              <w:rPr>
                <w:rFonts w:hint="eastAsia" w:ascii="宋体" w:hAnsi="宋体" w:eastAsia="宋体" w:cs="宋体"/>
                <w:color w:val="auto"/>
                <w:sz w:val="24"/>
                <w:szCs w:val="24"/>
                <w:highlight w:val="none"/>
                <w:lang w:val="en-US" w:eastAsia="zh-CN"/>
              </w:rPr>
              <w:fldChar w:fldCharType="end"/>
            </w:r>
            <w:r>
              <w:rPr>
                <w:rFonts w:hint="eastAsia" w:ascii="宋体" w:hAnsi="宋体" w:eastAsia="宋体" w:cs="宋体"/>
                <w:color w:val="auto"/>
                <w:sz w:val="24"/>
                <w:szCs w:val="24"/>
                <w:highlight w:val="none"/>
                <w:lang w:val="en-US" w:eastAsia="zh-CN"/>
              </w:rPr>
              <w:t>专门面向监狱企业采购项目</w:t>
            </w:r>
          </w:p>
          <w:p w14:paraId="704E8DE7">
            <w:pPr>
              <w:keepNext w:val="0"/>
              <w:keepLines w:val="0"/>
              <w:pageBreakBefore w:val="0"/>
              <w:suppressLineNumbers w:val="0"/>
              <w:kinsoku/>
              <w:wordWrap/>
              <w:overflowPunct/>
              <w:topLinePunct w:val="0"/>
              <w:autoSpaceDE/>
              <w:autoSpaceDN/>
              <w:bidi w:val="0"/>
              <w:spacing w:beforeAutospacing="0" w:afterAutospacing="0" w:line="360" w:lineRule="auto"/>
              <w:ind w:left="0" w:leftChars="0" w:right="0" w:rightChars="0"/>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color w:val="auto"/>
                <w:sz w:val="24"/>
                <w:szCs w:val="24"/>
                <w:highlight w:val="none"/>
                <w:lang w:val="en-US" w:eastAsia="zh-CN"/>
              </w:rPr>
              <w:fldChar w:fldCharType="begin"/>
            </w:r>
            <w:r>
              <w:rPr>
                <w:rFonts w:hint="eastAsia" w:ascii="宋体" w:hAnsi="宋体" w:eastAsia="宋体" w:cs="宋体"/>
                <w:color w:val="auto"/>
                <w:sz w:val="24"/>
                <w:szCs w:val="24"/>
                <w:highlight w:val="none"/>
                <w:lang w:val="en-US" w:eastAsia="zh-CN"/>
              </w:rPr>
              <w:instrText xml:space="preserve"> eq \o\ac(</w:instrText>
            </w:r>
            <w:r>
              <w:rPr>
                <w:rFonts w:hint="eastAsia" w:ascii="宋体" w:hAnsi="宋体" w:eastAsia="宋体" w:cs="宋体"/>
                <w:color w:val="auto"/>
                <w:position w:val="-4"/>
                <w:sz w:val="36"/>
                <w:szCs w:val="24"/>
                <w:highlight w:val="none"/>
                <w:lang w:val="en-US" w:eastAsia="zh-CN"/>
              </w:rPr>
              <w:instrText xml:space="preserve">□</w:instrText>
            </w:r>
            <w:r>
              <w:rPr>
                <w:rFonts w:hint="eastAsia" w:ascii="宋体" w:hAnsi="宋体" w:eastAsia="宋体" w:cs="宋体"/>
                <w:color w:val="auto"/>
                <w:position w:val="0"/>
                <w:sz w:val="24"/>
                <w:szCs w:val="24"/>
                <w:highlight w:val="none"/>
                <w:lang w:val="en-US" w:eastAsia="zh-CN"/>
              </w:rPr>
              <w:instrText xml:space="preserve">,√)</w:instrText>
            </w:r>
            <w:r>
              <w:rPr>
                <w:rFonts w:hint="eastAsia" w:ascii="宋体" w:hAnsi="宋体" w:eastAsia="宋体" w:cs="宋体"/>
                <w:color w:val="auto"/>
                <w:sz w:val="24"/>
                <w:szCs w:val="24"/>
                <w:highlight w:val="none"/>
                <w:lang w:val="en-US" w:eastAsia="zh-CN"/>
              </w:rPr>
              <w:fldChar w:fldCharType="end"/>
            </w:r>
            <w:r>
              <w:rPr>
                <w:rFonts w:hint="eastAsia" w:ascii="宋体" w:hAnsi="宋体" w:eastAsia="宋体" w:cs="宋体"/>
                <w:color w:val="auto"/>
                <w:sz w:val="24"/>
                <w:szCs w:val="24"/>
                <w:highlight w:val="none"/>
                <w:lang w:val="en-US" w:eastAsia="zh-CN"/>
              </w:rPr>
              <w:t>非专门面向监狱企业采购项目（价格扣除）：监狱企业视同小微企业。</w:t>
            </w:r>
          </w:p>
        </w:tc>
      </w:tr>
      <w:tr w14:paraId="008C1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6" w:type="dxa"/>
            <w:vAlign w:val="center"/>
          </w:tcPr>
          <w:p w14:paraId="09C2FA2C">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30</w:t>
            </w:r>
          </w:p>
        </w:tc>
        <w:tc>
          <w:tcPr>
            <w:tcW w:w="1330" w:type="dxa"/>
            <w:vAlign w:val="center"/>
          </w:tcPr>
          <w:p w14:paraId="14CAEEA1">
            <w:pPr>
              <w:keepNext w:val="0"/>
              <w:keepLines w:val="0"/>
              <w:pageBreakBefore w:val="0"/>
              <w:kinsoku/>
              <w:wordWrap/>
              <w:overflowPunct/>
              <w:topLinePunct w:val="0"/>
              <w:autoSpaceDE/>
              <w:autoSpaceDN/>
              <w:bidi w:val="0"/>
              <w:spacing w:line="360" w:lineRule="auto"/>
              <w:ind w:left="0" w:leftChars="0" w:right="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投标答疑会</w:t>
            </w:r>
          </w:p>
        </w:tc>
        <w:tc>
          <w:tcPr>
            <w:tcW w:w="7107" w:type="dxa"/>
            <w:vAlign w:val="center"/>
          </w:tcPr>
          <w:p w14:paraId="1376016E">
            <w:pPr>
              <w:keepNext w:val="0"/>
              <w:keepLines w:val="0"/>
              <w:pageBreakBefore w:val="0"/>
              <w:suppressLineNumbers w:val="0"/>
              <w:kinsoku/>
              <w:wordWrap/>
              <w:overflowPunct/>
              <w:topLinePunct w:val="0"/>
              <w:autoSpaceDE/>
              <w:autoSpaceDN/>
              <w:bidi w:val="0"/>
              <w:spacing w:beforeAutospacing="0" w:afterAutospacing="0" w:line="360" w:lineRule="auto"/>
              <w:ind w:left="0" w:leftChars="0" w:right="0" w:rightChars="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fldChar w:fldCharType="begin"/>
            </w:r>
            <w:r>
              <w:rPr>
                <w:rFonts w:hint="eastAsia" w:ascii="宋体" w:hAnsi="宋体" w:eastAsia="宋体" w:cs="宋体"/>
                <w:color w:val="auto"/>
                <w:sz w:val="24"/>
                <w:szCs w:val="24"/>
                <w:highlight w:val="none"/>
                <w:lang w:val="en-US" w:eastAsia="zh-CN"/>
              </w:rPr>
              <w:instrText xml:space="preserve"> eq \o\ac(</w:instrText>
            </w:r>
            <w:r>
              <w:rPr>
                <w:rFonts w:hint="eastAsia" w:ascii="宋体" w:hAnsi="宋体" w:eastAsia="宋体" w:cs="宋体"/>
                <w:color w:val="auto"/>
                <w:position w:val="-4"/>
                <w:sz w:val="36"/>
                <w:szCs w:val="24"/>
                <w:highlight w:val="none"/>
                <w:lang w:val="en-US" w:eastAsia="zh-CN"/>
              </w:rPr>
              <w:instrText xml:space="preserve">□</w:instrText>
            </w:r>
            <w:r>
              <w:rPr>
                <w:rFonts w:hint="eastAsia" w:ascii="宋体" w:hAnsi="宋体" w:eastAsia="宋体" w:cs="宋体"/>
                <w:color w:val="auto"/>
                <w:position w:val="0"/>
                <w:sz w:val="24"/>
                <w:szCs w:val="24"/>
                <w:highlight w:val="none"/>
                <w:lang w:val="en-US" w:eastAsia="zh-CN"/>
              </w:rPr>
              <w:instrText xml:space="preserve">,√)</w:instrText>
            </w:r>
            <w:r>
              <w:rPr>
                <w:rFonts w:hint="eastAsia" w:ascii="宋体" w:hAnsi="宋体" w:eastAsia="宋体" w:cs="宋体"/>
                <w:color w:val="auto"/>
                <w:sz w:val="24"/>
                <w:szCs w:val="24"/>
                <w:highlight w:val="none"/>
                <w:lang w:val="en-US" w:eastAsia="zh-CN"/>
              </w:rPr>
              <w:fldChar w:fldCharType="end"/>
            </w:r>
            <w:r>
              <w:rPr>
                <w:rFonts w:hint="eastAsia" w:ascii="宋体" w:hAnsi="宋体" w:eastAsia="宋体" w:cs="宋体"/>
                <w:color w:val="auto"/>
                <w:sz w:val="24"/>
                <w:szCs w:val="24"/>
                <w:highlight w:val="none"/>
                <w:lang w:val="en-US" w:eastAsia="zh-CN"/>
              </w:rPr>
              <w:t>不召开</w:t>
            </w:r>
            <w:r>
              <w:rPr>
                <w:rFonts w:hint="eastAsia" w:ascii="宋体" w:hAnsi="宋体" w:eastAsia="宋体" w:cs="宋体"/>
                <w:color w:val="auto"/>
                <w:sz w:val="24"/>
                <w:szCs w:val="24"/>
                <w:highlight w:val="none"/>
                <w:lang w:val="en-US" w:eastAsia="zh-CN"/>
              </w:rPr>
              <w:fldChar w:fldCharType="begin"/>
            </w:r>
            <w:r>
              <w:rPr>
                <w:rFonts w:hint="eastAsia" w:ascii="宋体" w:hAnsi="宋体" w:eastAsia="宋体" w:cs="宋体"/>
                <w:color w:val="auto"/>
                <w:sz w:val="24"/>
                <w:szCs w:val="24"/>
                <w:highlight w:val="none"/>
                <w:lang w:val="en-US" w:eastAsia="zh-CN"/>
              </w:rPr>
              <w:instrText xml:space="preserve"> eq \o\ac(</w:instrText>
            </w:r>
            <w:r>
              <w:rPr>
                <w:rFonts w:hint="eastAsia" w:ascii="宋体" w:hAnsi="宋体" w:eastAsia="宋体" w:cs="宋体"/>
                <w:color w:val="auto"/>
                <w:position w:val="-4"/>
                <w:sz w:val="36"/>
                <w:szCs w:val="24"/>
                <w:highlight w:val="none"/>
                <w:lang w:val="en-US" w:eastAsia="zh-CN"/>
              </w:rPr>
              <w:instrText xml:space="preserve">□</w:instrText>
            </w:r>
            <w:r>
              <w:rPr>
                <w:rFonts w:hint="eastAsia" w:ascii="宋体" w:hAnsi="宋体" w:eastAsia="宋体" w:cs="宋体"/>
                <w:color w:val="auto"/>
                <w:position w:val="0"/>
                <w:sz w:val="24"/>
                <w:szCs w:val="24"/>
                <w:highlight w:val="none"/>
                <w:lang w:val="en-US" w:eastAsia="zh-CN"/>
              </w:rPr>
              <w:instrText xml:space="preserve">)</w:instrText>
            </w:r>
            <w:r>
              <w:rPr>
                <w:rFonts w:hint="eastAsia" w:ascii="宋体" w:hAnsi="宋体" w:eastAsia="宋体" w:cs="宋体"/>
                <w:color w:val="auto"/>
                <w:sz w:val="24"/>
                <w:szCs w:val="24"/>
                <w:highlight w:val="none"/>
                <w:lang w:val="en-US" w:eastAsia="zh-CN"/>
              </w:rPr>
              <w:fldChar w:fldCharType="end"/>
            </w:r>
            <w:r>
              <w:rPr>
                <w:rFonts w:hint="eastAsia" w:ascii="宋体" w:hAnsi="宋体" w:eastAsia="宋体" w:cs="宋体"/>
                <w:color w:val="auto"/>
                <w:sz w:val="24"/>
                <w:szCs w:val="24"/>
                <w:highlight w:val="none"/>
                <w:lang w:val="en-US" w:eastAsia="zh-CN"/>
              </w:rPr>
              <w:t>召开，招标代理机构将对供应商所提出的问题予以解答，并出具书面答疑纪要。答疑纪要为招标文件的组成部分，与招标文件具有同等法律效力。</w:t>
            </w:r>
          </w:p>
        </w:tc>
      </w:tr>
      <w:tr w14:paraId="46FA6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6" w:type="dxa"/>
            <w:vAlign w:val="center"/>
          </w:tcPr>
          <w:p w14:paraId="494EDFEB">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31</w:t>
            </w:r>
          </w:p>
        </w:tc>
        <w:tc>
          <w:tcPr>
            <w:tcW w:w="1330" w:type="dxa"/>
            <w:vAlign w:val="center"/>
          </w:tcPr>
          <w:p w14:paraId="1DFB9B3C">
            <w:pPr>
              <w:keepNext w:val="0"/>
              <w:keepLines w:val="0"/>
              <w:pageBreakBefore w:val="0"/>
              <w:widowControl/>
              <w:kinsoku/>
              <w:wordWrap/>
              <w:overflowPunct/>
              <w:topLinePunct w:val="0"/>
              <w:autoSpaceDE/>
              <w:autoSpaceDN/>
              <w:bidi w:val="0"/>
              <w:adjustRightInd w:val="0"/>
              <w:snapToGrid w:val="0"/>
              <w:spacing w:line="360" w:lineRule="auto"/>
              <w:ind w:left="0" w:leftChars="0" w:right="0"/>
              <w:jc w:val="center"/>
              <w:textAlignment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4"/>
                <w:szCs w:val="24"/>
                <w:highlight w:val="none"/>
              </w:rPr>
              <w:t>各行业划分标准具体为</w:t>
            </w:r>
          </w:p>
        </w:tc>
        <w:tc>
          <w:tcPr>
            <w:tcW w:w="7107" w:type="dxa"/>
            <w:vAlign w:val="center"/>
          </w:tcPr>
          <w:p w14:paraId="7C49F823">
            <w:pPr>
              <w:keepNext w:val="0"/>
              <w:keepLines w:val="0"/>
              <w:pageBreakBefore w:val="0"/>
              <w:kinsoku/>
              <w:wordWrap/>
              <w:overflowPunct/>
              <w:topLinePunct w:val="0"/>
              <w:autoSpaceDE/>
              <w:autoSpaceDN/>
              <w:bidi w:val="0"/>
              <w:spacing w:line="360" w:lineRule="auto"/>
              <w:ind w:left="0" w:leftChars="0" w:right="0" w:firstLine="16"/>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1、农</w:t>
            </w:r>
            <w:r>
              <w:rPr>
                <w:rFonts w:hint="eastAsia" w:ascii="宋体" w:hAnsi="宋体" w:eastAsia="宋体" w:cs="宋体"/>
                <w:color w:val="auto"/>
                <w:spacing w:val="7"/>
                <w:sz w:val="24"/>
                <w:szCs w:val="24"/>
                <w:highlight w:val="none"/>
              </w:rPr>
              <w:t>、</w:t>
            </w:r>
            <w:r>
              <w:rPr>
                <w:rFonts w:hint="eastAsia" w:ascii="宋体" w:hAnsi="宋体" w:eastAsia="宋体" w:cs="宋体"/>
                <w:color w:val="auto"/>
                <w:spacing w:val="4"/>
                <w:sz w:val="24"/>
                <w:szCs w:val="24"/>
                <w:highlight w:val="none"/>
              </w:rPr>
              <w:t>林、牧、渔业。营业收入20000万元以下的为中小微型企业。</w:t>
            </w:r>
            <w:r>
              <w:rPr>
                <w:rFonts w:hint="eastAsia" w:ascii="宋体" w:hAnsi="宋体" w:eastAsia="宋体" w:cs="宋体"/>
                <w:color w:val="auto"/>
                <w:spacing w:val="8"/>
                <w:sz w:val="24"/>
                <w:szCs w:val="24"/>
                <w:highlight w:val="none"/>
              </w:rPr>
              <w:t>其中，营业收入</w:t>
            </w:r>
            <w:r>
              <w:rPr>
                <w:rFonts w:hint="eastAsia" w:ascii="宋体" w:hAnsi="宋体" w:eastAsia="宋体" w:cs="宋体"/>
                <w:color w:val="auto"/>
                <w:spacing w:val="4"/>
                <w:sz w:val="24"/>
                <w:szCs w:val="24"/>
                <w:highlight w:val="none"/>
              </w:rPr>
              <w:t>500万元及以上的为中型企业,营业收入50万元及以</w:t>
            </w:r>
            <w:r>
              <w:rPr>
                <w:rFonts w:hint="eastAsia" w:ascii="宋体" w:hAnsi="宋体" w:eastAsia="宋体" w:cs="宋体"/>
                <w:color w:val="auto"/>
                <w:spacing w:val="5"/>
                <w:sz w:val="24"/>
                <w:szCs w:val="24"/>
                <w:highlight w:val="none"/>
              </w:rPr>
              <w:t>上</w:t>
            </w:r>
            <w:r>
              <w:rPr>
                <w:rFonts w:hint="eastAsia" w:ascii="宋体" w:hAnsi="宋体" w:eastAsia="宋体" w:cs="宋体"/>
                <w:color w:val="auto"/>
                <w:spacing w:val="4"/>
                <w:sz w:val="24"/>
                <w:szCs w:val="24"/>
                <w:highlight w:val="none"/>
              </w:rPr>
              <w:t>的为小型企业，营业收入50万元以下的为微型企业。</w:t>
            </w:r>
          </w:p>
          <w:p w14:paraId="4B8F92A9">
            <w:pPr>
              <w:keepNext w:val="0"/>
              <w:keepLines w:val="0"/>
              <w:pageBreakBefore w:val="0"/>
              <w:kinsoku/>
              <w:wordWrap/>
              <w:overflowPunct/>
              <w:topLinePunct w:val="0"/>
              <w:autoSpaceDE/>
              <w:autoSpaceDN/>
              <w:bidi w:val="0"/>
              <w:spacing w:line="360" w:lineRule="auto"/>
              <w:ind w:left="0" w:leftChars="0" w:right="0" w:firstLine="2"/>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2、工业。</w:t>
            </w:r>
            <w:r>
              <w:rPr>
                <w:rFonts w:hint="eastAsia" w:ascii="宋体" w:hAnsi="宋体" w:eastAsia="宋体" w:cs="宋体"/>
                <w:color w:val="auto"/>
                <w:spacing w:val="4"/>
                <w:sz w:val="24"/>
                <w:szCs w:val="24"/>
                <w:highlight w:val="none"/>
              </w:rPr>
              <w:t>从业人员1000人以下或营业收入40000万元以下的为中小</w:t>
            </w:r>
            <w:r>
              <w:rPr>
                <w:rFonts w:hint="eastAsia" w:ascii="宋体" w:hAnsi="宋体" w:eastAsia="宋体" w:cs="宋体"/>
                <w:color w:val="auto"/>
                <w:spacing w:val="2"/>
                <w:sz w:val="24"/>
                <w:szCs w:val="24"/>
                <w:highlight w:val="none"/>
              </w:rPr>
              <w:t>微型企业。其中，从业人员300人及以上</w:t>
            </w:r>
            <w:r>
              <w:rPr>
                <w:rFonts w:hint="eastAsia" w:ascii="宋体" w:hAnsi="宋体" w:eastAsia="宋体" w:cs="宋体"/>
                <w:color w:val="auto"/>
                <w:spacing w:val="1"/>
                <w:sz w:val="24"/>
                <w:szCs w:val="24"/>
                <w:highlight w:val="none"/>
              </w:rPr>
              <w:t>，且营业收入2000万元及以</w:t>
            </w:r>
            <w:r>
              <w:rPr>
                <w:rFonts w:hint="eastAsia" w:ascii="宋体" w:hAnsi="宋体" w:eastAsia="宋体" w:cs="宋体"/>
                <w:color w:val="auto"/>
                <w:spacing w:val="2"/>
                <w:sz w:val="24"/>
                <w:szCs w:val="24"/>
                <w:highlight w:val="none"/>
              </w:rPr>
              <w:t>上的为中型企业；从业人员20人及以上，且</w:t>
            </w:r>
            <w:r>
              <w:rPr>
                <w:rFonts w:hint="eastAsia" w:ascii="宋体" w:hAnsi="宋体" w:eastAsia="宋体" w:cs="宋体"/>
                <w:color w:val="auto"/>
                <w:spacing w:val="1"/>
                <w:sz w:val="24"/>
                <w:szCs w:val="24"/>
                <w:highlight w:val="none"/>
              </w:rPr>
              <w:t>营业收入300万元及以上</w:t>
            </w:r>
            <w:r>
              <w:rPr>
                <w:rFonts w:hint="eastAsia" w:ascii="宋体" w:hAnsi="宋体" w:eastAsia="宋体" w:cs="宋体"/>
                <w:color w:val="auto"/>
                <w:spacing w:val="2"/>
                <w:sz w:val="24"/>
                <w:szCs w:val="24"/>
                <w:highlight w:val="none"/>
              </w:rPr>
              <w:t>的为小型企业；从业人员20人以下或营业收</w:t>
            </w:r>
            <w:r>
              <w:rPr>
                <w:rFonts w:hint="eastAsia" w:ascii="宋体" w:hAnsi="宋体" w:eastAsia="宋体" w:cs="宋体"/>
                <w:color w:val="auto"/>
                <w:spacing w:val="1"/>
                <w:sz w:val="24"/>
                <w:szCs w:val="24"/>
                <w:highlight w:val="none"/>
              </w:rPr>
              <w:t>入300万元以下的为微型</w:t>
            </w:r>
            <w:r>
              <w:rPr>
                <w:rFonts w:hint="eastAsia" w:ascii="宋体" w:hAnsi="宋体" w:eastAsia="宋体" w:cs="宋体"/>
                <w:color w:val="auto"/>
                <w:spacing w:val="4"/>
                <w:sz w:val="24"/>
                <w:szCs w:val="24"/>
                <w:highlight w:val="none"/>
              </w:rPr>
              <w:t>企</w:t>
            </w:r>
            <w:r>
              <w:rPr>
                <w:rFonts w:hint="eastAsia" w:ascii="宋体" w:hAnsi="宋体" w:eastAsia="宋体" w:cs="宋体"/>
                <w:color w:val="auto"/>
                <w:spacing w:val="3"/>
                <w:sz w:val="24"/>
                <w:szCs w:val="24"/>
                <w:highlight w:val="none"/>
              </w:rPr>
              <w:t>业。</w:t>
            </w:r>
          </w:p>
          <w:p w14:paraId="03296BB9">
            <w:pPr>
              <w:keepNext w:val="0"/>
              <w:keepLines w:val="0"/>
              <w:pageBreakBefore w:val="0"/>
              <w:kinsoku/>
              <w:wordWrap/>
              <w:overflowPunct/>
              <w:topLinePunct w:val="0"/>
              <w:autoSpaceDE/>
              <w:autoSpaceDN/>
              <w:bidi w:val="0"/>
              <w:spacing w:afterAutospacing="0" w:line="360" w:lineRule="auto"/>
              <w:ind w:left="0" w:leftChars="0" w:right="0" w:firstLine="2"/>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3、建</w:t>
            </w:r>
            <w:r>
              <w:rPr>
                <w:rFonts w:hint="eastAsia" w:ascii="宋体" w:hAnsi="宋体" w:eastAsia="宋体" w:cs="宋体"/>
                <w:color w:val="auto"/>
                <w:spacing w:val="4"/>
                <w:sz w:val="24"/>
                <w:szCs w:val="24"/>
                <w:highlight w:val="none"/>
              </w:rPr>
              <w:t>筑业.营业收入80000万元以下或资产总额80000万元以下的为</w:t>
            </w:r>
            <w:r>
              <w:rPr>
                <w:rFonts w:hint="eastAsia" w:ascii="宋体" w:hAnsi="宋体" w:eastAsia="宋体" w:cs="宋体"/>
                <w:color w:val="auto"/>
                <w:spacing w:val="2"/>
                <w:sz w:val="24"/>
                <w:szCs w:val="24"/>
                <w:highlight w:val="none"/>
              </w:rPr>
              <w:t>中小微型企业.其中，营业收入600</w:t>
            </w:r>
            <w:r>
              <w:rPr>
                <w:rFonts w:hint="eastAsia" w:ascii="宋体" w:hAnsi="宋体" w:eastAsia="宋体" w:cs="宋体"/>
                <w:color w:val="auto"/>
                <w:spacing w:val="1"/>
                <w:sz w:val="24"/>
                <w:szCs w:val="24"/>
                <w:highlight w:val="none"/>
              </w:rPr>
              <w:t>0万元及以上，且资产总额5000万</w:t>
            </w:r>
            <w:r>
              <w:rPr>
                <w:rFonts w:hint="eastAsia" w:ascii="宋体" w:hAnsi="宋体" w:eastAsia="宋体" w:cs="宋体"/>
                <w:color w:val="auto"/>
                <w:spacing w:val="2"/>
                <w:sz w:val="24"/>
                <w:szCs w:val="24"/>
                <w:highlight w:val="none"/>
              </w:rPr>
              <w:t>元及以上的为中型企业;营业收入300</w:t>
            </w:r>
            <w:r>
              <w:rPr>
                <w:rFonts w:hint="eastAsia" w:ascii="宋体" w:hAnsi="宋体" w:eastAsia="宋体" w:cs="宋体"/>
                <w:color w:val="auto"/>
                <w:spacing w:val="1"/>
                <w:sz w:val="24"/>
                <w:szCs w:val="24"/>
                <w:highlight w:val="none"/>
              </w:rPr>
              <w:t>万元及以上，且资产总额300万</w:t>
            </w:r>
            <w:r>
              <w:rPr>
                <w:rFonts w:hint="eastAsia" w:ascii="宋体" w:hAnsi="宋体" w:eastAsia="宋体" w:cs="宋体"/>
                <w:color w:val="auto"/>
                <w:spacing w:val="8"/>
                <w:sz w:val="24"/>
                <w:szCs w:val="24"/>
                <w:highlight w:val="none"/>
              </w:rPr>
              <w:t>元及以上的为</w:t>
            </w:r>
            <w:r>
              <w:rPr>
                <w:rFonts w:hint="eastAsia" w:ascii="宋体" w:hAnsi="宋体" w:eastAsia="宋体" w:cs="宋体"/>
                <w:color w:val="auto"/>
                <w:spacing w:val="7"/>
                <w:sz w:val="24"/>
                <w:szCs w:val="24"/>
                <w:highlight w:val="none"/>
              </w:rPr>
              <w:t>小</w:t>
            </w:r>
            <w:r>
              <w:rPr>
                <w:rFonts w:hint="eastAsia" w:ascii="宋体" w:hAnsi="宋体" w:eastAsia="宋体" w:cs="宋体"/>
                <w:color w:val="auto"/>
                <w:spacing w:val="4"/>
                <w:sz w:val="24"/>
                <w:szCs w:val="24"/>
                <w:highlight w:val="none"/>
              </w:rPr>
              <w:t>型企业；营业收入300万元以下或资产总额300万元</w:t>
            </w:r>
            <w:r>
              <w:rPr>
                <w:rFonts w:hint="eastAsia" w:ascii="宋体" w:hAnsi="宋体" w:eastAsia="宋体" w:cs="宋体"/>
                <w:color w:val="auto"/>
                <w:spacing w:val="12"/>
                <w:sz w:val="24"/>
                <w:szCs w:val="24"/>
                <w:highlight w:val="none"/>
              </w:rPr>
              <w:t>以</w:t>
            </w:r>
            <w:r>
              <w:rPr>
                <w:rFonts w:hint="eastAsia" w:ascii="宋体" w:hAnsi="宋体" w:eastAsia="宋体" w:cs="宋体"/>
                <w:color w:val="auto"/>
                <w:spacing w:val="7"/>
                <w:sz w:val="24"/>
                <w:szCs w:val="24"/>
                <w:highlight w:val="none"/>
              </w:rPr>
              <w:t>下的为微型企业。</w:t>
            </w:r>
          </w:p>
          <w:p w14:paraId="0240D2A4">
            <w:pPr>
              <w:keepNext w:val="0"/>
              <w:keepLines w:val="0"/>
              <w:pageBreakBefore w:val="0"/>
              <w:kinsoku/>
              <w:wordWrap/>
              <w:overflowPunct/>
              <w:topLinePunct w:val="0"/>
              <w:autoSpaceDE/>
              <w:autoSpaceDN/>
              <w:bidi w:val="0"/>
              <w:spacing w:beforeAutospacing="0" w:afterAutospacing="0" w:line="360" w:lineRule="auto"/>
              <w:ind w:left="0" w:leftChars="0" w:right="0" w:firstLine="13"/>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4、批发业。从业人员200人以下或营业</w:t>
            </w:r>
            <w:r>
              <w:rPr>
                <w:rFonts w:hint="eastAsia" w:ascii="宋体" w:hAnsi="宋体" w:eastAsia="宋体" w:cs="宋体"/>
                <w:color w:val="auto"/>
                <w:spacing w:val="1"/>
                <w:sz w:val="24"/>
                <w:szCs w:val="24"/>
                <w:highlight w:val="none"/>
              </w:rPr>
              <w:t>收入40000万元以下的为中小</w:t>
            </w:r>
            <w:r>
              <w:rPr>
                <w:rFonts w:hint="eastAsia" w:ascii="宋体" w:hAnsi="宋体" w:eastAsia="宋体" w:cs="宋体"/>
                <w:color w:val="auto"/>
                <w:spacing w:val="2"/>
                <w:sz w:val="24"/>
                <w:szCs w:val="24"/>
                <w:highlight w:val="none"/>
              </w:rPr>
              <w:t>微型企业。其中，从业人员20人及以上,</w:t>
            </w:r>
            <w:r>
              <w:rPr>
                <w:rFonts w:hint="eastAsia" w:ascii="宋体" w:hAnsi="宋体" w:eastAsia="宋体" w:cs="宋体"/>
                <w:color w:val="auto"/>
                <w:spacing w:val="1"/>
                <w:sz w:val="24"/>
                <w:szCs w:val="24"/>
                <w:highlight w:val="none"/>
              </w:rPr>
              <w:t>且营业收入5000万元及以上</w:t>
            </w:r>
            <w:r>
              <w:rPr>
                <w:rFonts w:hint="eastAsia" w:ascii="宋体" w:hAnsi="宋体" w:eastAsia="宋体" w:cs="宋体"/>
                <w:color w:val="auto"/>
                <w:spacing w:val="4"/>
                <w:sz w:val="24"/>
                <w:szCs w:val="24"/>
                <w:highlight w:val="none"/>
              </w:rPr>
              <w:t>的为中型企业;从</w:t>
            </w:r>
            <w:r>
              <w:rPr>
                <w:rFonts w:hint="eastAsia" w:ascii="宋体" w:hAnsi="宋体" w:eastAsia="宋体" w:cs="宋体"/>
                <w:color w:val="auto"/>
                <w:spacing w:val="3"/>
                <w:sz w:val="24"/>
                <w:szCs w:val="24"/>
                <w:highlight w:val="none"/>
              </w:rPr>
              <w:t>业</w:t>
            </w:r>
            <w:r>
              <w:rPr>
                <w:rFonts w:hint="eastAsia" w:ascii="宋体" w:hAnsi="宋体" w:eastAsia="宋体" w:cs="宋体"/>
                <w:color w:val="auto"/>
                <w:spacing w:val="2"/>
                <w:sz w:val="24"/>
                <w:szCs w:val="24"/>
                <w:highlight w:val="none"/>
              </w:rPr>
              <w:t>人员5人及以上,且营业收入1000万元及以上的为小型企业;从业人员5人以下或营业收入1000万元以下的为微型</w:t>
            </w:r>
            <w:r>
              <w:rPr>
                <w:rFonts w:hint="eastAsia" w:ascii="宋体" w:hAnsi="宋体" w:eastAsia="宋体" w:cs="宋体"/>
                <w:color w:val="auto"/>
                <w:spacing w:val="1"/>
                <w:sz w:val="24"/>
                <w:szCs w:val="24"/>
                <w:highlight w:val="none"/>
              </w:rPr>
              <w:t>企</w:t>
            </w:r>
            <w:r>
              <w:rPr>
                <w:rFonts w:hint="eastAsia" w:ascii="宋体" w:hAnsi="宋体" w:eastAsia="宋体" w:cs="宋体"/>
                <w:color w:val="auto"/>
                <w:sz w:val="24"/>
                <w:szCs w:val="24"/>
                <w:highlight w:val="none"/>
              </w:rPr>
              <w:t>业。</w:t>
            </w:r>
          </w:p>
          <w:p w14:paraId="74994759">
            <w:pPr>
              <w:keepNext w:val="0"/>
              <w:keepLines w:val="0"/>
              <w:pageBreakBefore w:val="0"/>
              <w:kinsoku/>
              <w:wordWrap/>
              <w:overflowPunct/>
              <w:topLinePunct w:val="0"/>
              <w:autoSpaceDE/>
              <w:autoSpaceDN/>
              <w:bidi w:val="0"/>
              <w:spacing w:beforeAutospacing="0" w:line="360" w:lineRule="auto"/>
              <w:ind w:left="0" w:leftChars="0" w:right="0" w:firstLine="5"/>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5、零售业。从业人员300</w:t>
            </w:r>
            <w:r>
              <w:rPr>
                <w:rFonts w:hint="eastAsia" w:ascii="宋体" w:hAnsi="宋体" w:eastAsia="宋体" w:cs="宋体"/>
                <w:color w:val="auto"/>
                <w:spacing w:val="1"/>
                <w:sz w:val="24"/>
                <w:szCs w:val="24"/>
                <w:highlight w:val="none"/>
              </w:rPr>
              <w:t>人以下或营业收入20000万元以下的为中小</w:t>
            </w:r>
            <w:r>
              <w:rPr>
                <w:rFonts w:hint="eastAsia" w:ascii="宋体" w:hAnsi="宋体" w:eastAsia="宋体" w:cs="宋体"/>
                <w:color w:val="auto"/>
                <w:spacing w:val="2"/>
                <w:sz w:val="24"/>
                <w:szCs w:val="24"/>
                <w:highlight w:val="none"/>
              </w:rPr>
              <w:t>微型企业。其中，从业人员50人及以上，且营</w:t>
            </w:r>
            <w:r>
              <w:rPr>
                <w:rFonts w:hint="eastAsia" w:ascii="宋体" w:hAnsi="宋体" w:eastAsia="宋体" w:cs="宋体"/>
                <w:color w:val="auto"/>
                <w:spacing w:val="1"/>
                <w:sz w:val="24"/>
                <w:szCs w:val="24"/>
                <w:highlight w:val="none"/>
              </w:rPr>
              <w:t>业收入500万元及以上</w:t>
            </w:r>
            <w:r>
              <w:rPr>
                <w:rFonts w:hint="eastAsia" w:ascii="宋体" w:hAnsi="宋体" w:eastAsia="宋体" w:cs="宋体"/>
                <w:color w:val="auto"/>
                <w:spacing w:val="2"/>
                <w:sz w:val="24"/>
                <w:szCs w:val="24"/>
                <w:highlight w:val="none"/>
              </w:rPr>
              <w:t>的为中型企业；从业人员10人及以上，且营业</w:t>
            </w:r>
            <w:r>
              <w:rPr>
                <w:rFonts w:hint="eastAsia" w:ascii="宋体" w:hAnsi="宋体" w:eastAsia="宋体" w:cs="宋体"/>
                <w:color w:val="auto"/>
                <w:spacing w:val="1"/>
                <w:sz w:val="24"/>
                <w:szCs w:val="24"/>
                <w:highlight w:val="none"/>
              </w:rPr>
              <w:t>收入100万元及以上的</w:t>
            </w:r>
            <w:r>
              <w:rPr>
                <w:rFonts w:hint="eastAsia" w:ascii="宋体" w:hAnsi="宋体" w:eastAsia="宋体" w:cs="宋体"/>
                <w:color w:val="auto"/>
                <w:spacing w:val="2"/>
                <w:sz w:val="24"/>
                <w:szCs w:val="24"/>
                <w:highlight w:val="none"/>
              </w:rPr>
              <w:t>为小型企业；从业人员10人以下或营业收入</w:t>
            </w:r>
            <w:r>
              <w:rPr>
                <w:rFonts w:hint="eastAsia" w:ascii="宋体" w:hAnsi="宋体" w:eastAsia="宋体" w:cs="宋体"/>
                <w:color w:val="auto"/>
                <w:spacing w:val="1"/>
                <w:sz w:val="24"/>
                <w:szCs w:val="24"/>
                <w:highlight w:val="none"/>
              </w:rPr>
              <w:t>100万元以下的为微型企</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业</w:t>
            </w:r>
            <w:r>
              <w:rPr>
                <w:rFonts w:hint="eastAsia" w:ascii="宋体" w:hAnsi="宋体" w:eastAsia="宋体" w:cs="宋体"/>
                <w:color w:val="auto"/>
                <w:sz w:val="24"/>
                <w:szCs w:val="24"/>
                <w:highlight w:val="none"/>
              </w:rPr>
              <w:t>。</w:t>
            </w:r>
          </w:p>
          <w:p w14:paraId="2CBE8A5E">
            <w:pPr>
              <w:keepNext w:val="0"/>
              <w:keepLines w:val="0"/>
              <w:pageBreakBefore w:val="0"/>
              <w:kinsoku/>
              <w:wordWrap/>
              <w:overflowPunct/>
              <w:topLinePunct w:val="0"/>
              <w:autoSpaceDE/>
              <w:autoSpaceDN/>
              <w:bidi w:val="0"/>
              <w:spacing w:line="360" w:lineRule="auto"/>
              <w:ind w:left="0" w:leftChars="0" w:right="0" w:firstLine="2"/>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6、交通</w:t>
            </w:r>
            <w:r>
              <w:rPr>
                <w:rFonts w:hint="eastAsia" w:ascii="宋体" w:hAnsi="宋体" w:eastAsia="宋体" w:cs="宋体"/>
                <w:color w:val="auto"/>
                <w:spacing w:val="7"/>
                <w:sz w:val="24"/>
                <w:szCs w:val="24"/>
                <w:highlight w:val="none"/>
              </w:rPr>
              <w:t>运</w:t>
            </w:r>
            <w:r>
              <w:rPr>
                <w:rFonts w:hint="eastAsia" w:ascii="宋体" w:hAnsi="宋体" w:eastAsia="宋体" w:cs="宋体"/>
                <w:color w:val="auto"/>
                <w:spacing w:val="4"/>
                <w:sz w:val="24"/>
                <w:szCs w:val="24"/>
                <w:highlight w:val="none"/>
              </w:rPr>
              <w:t>输业。从业人员1000人以下或营业收入30000万元以下的</w:t>
            </w:r>
            <w:r>
              <w:rPr>
                <w:rFonts w:hint="eastAsia" w:ascii="宋体" w:hAnsi="宋体" w:eastAsia="宋体" w:cs="宋体"/>
                <w:color w:val="auto"/>
                <w:spacing w:val="8"/>
                <w:sz w:val="24"/>
                <w:szCs w:val="24"/>
                <w:highlight w:val="none"/>
              </w:rPr>
              <w:t>为中小微型企</w:t>
            </w:r>
            <w:r>
              <w:rPr>
                <w:rFonts w:hint="eastAsia" w:ascii="宋体" w:hAnsi="宋体" w:eastAsia="宋体" w:cs="宋体"/>
                <w:color w:val="auto"/>
                <w:spacing w:val="6"/>
                <w:sz w:val="24"/>
                <w:szCs w:val="24"/>
                <w:highlight w:val="none"/>
              </w:rPr>
              <w:t>业</w:t>
            </w:r>
            <w:r>
              <w:rPr>
                <w:rFonts w:hint="eastAsia" w:ascii="宋体" w:hAnsi="宋体" w:eastAsia="宋体" w:cs="宋体"/>
                <w:color w:val="auto"/>
                <w:spacing w:val="4"/>
                <w:sz w:val="24"/>
                <w:szCs w:val="24"/>
                <w:highlight w:val="none"/>
              </w:rPr>
              <w:t>.其中，从业人员300人及以上，且营业收入3000万</w:t>
            </w:r>
            <w:r>
              <w:rPr>
                <w:rFonts w:hint="eastAsia" w:ascii="宋体" w:hAnsi="宋体" w:eastAsia="宋体" w:cs="宋体"/>
                <w:color w:val="auto"/>
                <w:spacing w:val="2"/>
                <w:sz w:val="24"/>
                <w:szCs w:val="24"/>
                <w:highlight w:val="none"/>
              </w:rPr>
              <w:t>元及以上的为中型企业；从业人员20人及以上</w:t>
            </w:r>
            <w:r>
              <w:rPr>
                <w:rFonts w:hint="eastAsia" w:ascii="宋体" w:hAnsi="宋体" w:eastAsia="宋体" w:cs="宋体"/>
                <w:color w:val="auto"/>
                <w:spacing w:val="1"/>
                <w:sz w:val="24"/>
                <w:szCs w:val="24"/>
                <w:highlight w:val="none"/>
              </w:rPr>
              <w:t>，且营业收入200万元</w:t>
            </w:r>
            <w:r>
              <w:rPr>
                <w:rFonts w:hint="eastAsia" w:ascii="宋体" w:hAnsi="宋体" w:eastAsia="宋体" w:cs="宋体"/>
                <w:color w:val="auto"/>
                <w:spacing w:val="2"/>
                <w:sz w:val="24"/>
                <w:szCs w:val="24"/>
                <w:highlight w:val="none"/>
              </w:rPr>
              <w:t>及以上的为小型企业；从业人员20人以下或营</w:t>
            </w:r>
            <w:r>
              <w:rPr>
                <w:rFonts w:hint="eastAsia" w:ascii="宋体" w:hAnsi="宋体" w:eastAsia="宋体" w:cs="宋体"/>
                <w:color w:val="auto"/>
                <w:spacing w:val="1"/>
                <w:sz w:val="24"/>
                <w:szCs w:val="24"/>
                <w:highlight w:val="none"/>
              </w:rPr>
              <w:t>业收入200万元以下的</w:t>
            </w:r>
            <w:r>
              <w:rPr>
                <w:rFonts w:hint="eastAsia" w:ascii="宋体" w:hAnsi="宋体" w:eastAsia="宋体" w:cs="宋体"/>
                <w:color w:val="auto"/>
                <w:spacing w:val="7"/>
                <w:sz w:val="24"/>
                <w:szCs w:val="24"/>
                <w:highlight w:val="none"/>
              </w:rPr>
              <w:t>为微型企业</w:t>
            </w:r>
            <w:r>
              <w:rPr>
                <w:rFonts w:hint="eastAsia" w:ascii="宋体" w:hAnsi="宋体" w:eastAsia="宋体" w:cs="宋体"/>
                <w:color w:val="auto"/>
                <w:spacing w:val="6"/>
                <w:sz w:val="24"/>
                <w:szCs w:val="24"/>
                <w:highlight w:val="none"/>
              </w:rPr>
              <w:t>。</w:t>
            </w:r>
          </w:p>
          <w:p w14:paraId="2D514B27">
            <w:pPr>
              <w:keepNext w:val="0"/>
              <w:keepLines w:val="0"/>
              <w:pageBreakBefore w:val="0"/>
              <w:kinsoku/>
              <w:wordWrap/>
              <w:overflowPunct/>
              <w:topLinePunct w:val="0"/>
              <w:autoSpaceDE/>
              <w:autoSpaceDN/>
              <w:bidi w:val="0"/>
              <w:spacing w:line="360" w:lineRule="auto"/>
              <w:ind w:left="0" w:leftChars="0" w:right="0" w:firstLine="6"/>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7、仓储业。从业人员200</w:t>
            </w:r>
            <w:r>
              <w:rPr>
                <w:rFonts w:hint="eastAsia" w:ascii="宋体" w:hAnsi="宋体" w:eastAsia="宋体" w:cs="宋体"/>
                <w:color w:val="auto"/>
                <w:spacing w:val="1"/>
                <w:sz w:val="24"/>
                <w:szCs w:val="24"/>
                <w:highlight w:val="none"/>
              </w:rPr>
              <w:t>人以下或营业收入30000万元以下的为中小</w:t>
            </w:r>
            <w:r>
              <w:rPr>
                <w:rFonts w:hint="eastAsia" w:ascii="宋体" w:hAnsi="宋体" w:eastAsia="宋体" w:cs="宋体"/>
                <w:color w:val="auto"/>
                <w:spacing w:val="2"/>
                <w:sz w:val="24"/>
                <w:szCs w:val="24"/>
                <w:highlight w:val="none"/>
              </w:rPr>
              <w:t>微型企业.其中,从业人员100人及以上</w:t>
            </w:r>
            <w:r>
              <w:rPr>
                <w:rFonts w:hint="eastAsia" w:ascii="宋体" w:hAnsi="宋体" w:eastAsia="宋体" w:cs="宋体"/>
                <w:color w:val="auto"/>
                <w:spacing w:val="1"/>
                <w:sz w:val="24"/>
                <w:szCs w:val="24"/>
                <w:highlight w:val="none"/>
              </w:rPr>
              <w:t>，且营业收入1000万元及以上</w:t>
            </w:r>
            <w:r>
              <w:rPr>
                <w:rFonts w:hint="eastAsia" w:ascii="宋体" w:hAnsi="宋体" w:eastAsia="宋体" w:cs="宋体"/>
                <w:color w:val="auto"/>
                <w:spacing w:val="5"/>
                <w:sz w:val="24"/>
                <w:szCs w:val="24"/>
                <w:highlight w:val="none"/>
              </w:rPr>
              <w:t>的为中型企业；从业人员20人及以上,且营业收入100万元及以</w:t>
            </w:r>
            <w:r>
              <w:rPr>
                <w:rFonts w:hint="eastAsia" w:ascii="宋体" w:hAnsi="宋体" w:eastAsia="宋体" w:cs="宋体"/>
                <w:color w:val="auto"/>
                <w:spacing w:val="4"/>
                <w:sz w:val="24"/>
                <w:szCs w:val="24"/>
                <w:highlight w:val="none"/>
              </w:rPr>
              <w:t>上</w:t>
            </w:r>
            <w:r>
              <w:rPr>
                <w:rFonts w:hint="eastAsia" w:ascii="宋体" w:hAnsi="宋体" w:eastAsia="宋体" w:cs="宋体"/>
                <w:color w:val="auto"/>
                <w:sz w:val="24"/>
                <w:szCs w:val="24"/>
                <w:highlight w:val="none"/>
              </w:rPr>
              <w:t>的</w:t>
            </w:r>
            <w:r>
              <w:rPr>
                <w:rFonts w:hint="eastAsia" w:ascii="宋体" w:hAnsi="宋体" w:eastAsia="宋体" w:cs="宋体"/>
                <w:color w:val="auto"/>
                <w:spacing w:val="5"/>
                <w:sz w:val="24"/>
                <w:szCs w:val="24"/>
                <w:highlight w:val="none"/>
              </w:rPr>
              <w:t>为小型企业;从业人员20人以下或营业收入100万元以下的为微型</w:t>
            </w:r>
            <w:r>
              <w:rPr>
                <w:rFonts w:hint="eastAsia" w:ascii="宋体" w:hAnsi="宋体" w:eastAsia="宋体" w:cs="宋体"/>
                <w:color w:val="auto"/>
                <w:spacing w:val="1"/>
                <w:sz w:val="24"/>
                <w:szCs w:val="24"/>
                <w:highlight w:val="none"/>
              </w:rPr>
              <w:t>企业</w:t>
            </w:r>
            <w:r>
              <w:rPr>
                <w:rFonts w:hint="eastAsia" w:ascii="宋体" w:hAnsi="宋体" w:eastAsia="宋体" w:cs="宋体"/>
                <w:color w:val="auto"/>
                <w:sz w:val="24"/>
                <w:szCs w:val="24"/>
                <w:highlight w:val="none"/>
              </w:rPr>
              <w:t>。</w:t>
            </w:r>
          </w:p>
          <w:p w14:paraId="748629B9">
            <w:pPr>
              <w:keepNext w:val="0"/>
              <w:keepLines w:val="0"/>
              <w:pageBreakBefore w:val="0"/>
              <w:kinsoku/>
              <w:wordWrap/>
              <w:overflowPunct/>
              <w:topLinePunct w:val="0"/>
              <w:autoSpaceDE/>
              <w:autoSpaceDN/>
              <w:bidi w:val="0"/>
              <w:spacing w:line="360" w:lineRule="auto"/>
              <w:ind w:left="0" w:leftChars="0" w:right="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8、邮政业.从业人员1000人以</w:t>
            </w:r>
            <w:r>
              <w:rPr>
                <w:rFonts w:hint="eastAsia" w:ascii="宋体" w:hAnsi="宋体" w:eastAsia="宋体" w:cs="宋体"/>
                <w:color w:val="auto"/>
                <w:spacing w:val="1"/>
                <w:sz w:val="24"/>
                <w:szCs w:val="24"/>
                <w:highlight w:val="none"/>
              </w:rPr>
              <w:t>下或营业收入30000万元以下的为中小</w:t>
            </w:r>
            <w:r>
              <w:rPr>
                <w:rFonts w:hint="eastAsia" w:ascii="宋体" w:hAnsi="宋体" w:eastAsia="宋体" w:cs="宋体"/>
                <w:color w:val="auto"/>
                <w:spacing w:val="2"/>
                <w:sz w:val="24"/>
                <w:szCs w:val="24"/>
                <w:highlight w:val="none"/>
              </w:rPr>
              <w:t>微型企业。其中，从业人员300人及以上</w:t>
            </w:r>
            <w:r>
              <w:rPr>
                <w:rFonts w:hint="eastAsia" w:ascii="宋体" w:hAnsi="宋体" w:eastAsia="宋体" w:cs="宋体"/>
                <w:color w:val="auto"/>
                <w:spacing w:val="1"/>
                <w:sz w:val="24"/>
                <w:szCs w:val="24"/>
                <w:highlight w:val="none"/>
              </w:rPr>
              <w:t>，且营业收入2000万元及以</w:t>
            </w:r>
            <w:r>
              <w:rPr>
                <w:rFonts w:hint="eastAsia" w:ascii="宋体" w:hAnsi="宋体" w:eastAsia="宋体" w:cs="宋体"/>
                <w:color w:val="auto"/>
                <w:spacing w:val="5"/>
                <w:sz w:val="24"/>
                <w:szCs w:val="24"/>
                <w:highlight w:val="none"/>
              </w:rPr>
              <w:t>上的为中型企业；从业人员20人及以上,且营业收入100万元及</w:t>
            </w:r>
            <w:r>
              <w:rPr>
                <w:rFonts w:hint="eastAsia" w:ascii="宋体" w:hAnsi="宋体" w:eastAsia="宋体" w:cs="宋体"/>
                <w:color w:val="auto"/>
                <w:spacing w:val="3"/>
                <w:sz w:val="24"/>
                <w:szCs w:val="24"/>
                <w:highlight w:val="none"/>
              </w:rPr>
              <w:t>以</w:t>
            </w:r>
            <w:r>
              <w:rPr>
                <w:rFonts w:hint="eastAsia" w:ascii="宋体" w:hAnsi="宋体" w:eastAsia="宋体" w:cs="宋体"/>
                <w:color w:val="auto"/>
                <w:sz w:val="24"/>
                <w:szCs w:val="24"/>
                <w:highlight w:val="none"/>
              </w:rPr>
              <w:t>上</w:t>
            </w:r>
            <w:r>
              <w:rPr>
                <w:rFonts w:hint="eastAsia" w:ascii="宋体" w:hAnsi="宋体" w:eastAsia="宋体" w:cs="宋体"/>
                <w:color w:val="auto"/>
                <w:spacing w:val="2"/>
                <w:sz w:val="24"/>
                <w:szCs w:val="24"/>
                <w:highlight w:val="none"/>
              </w:rPr>
              <w:t>的为小型企业；从业人员20人以下或营业收</w:t>
            </w:r>
            <w:r>
              <w:rPr>
                <w:rFonts w:hint="eastAsia" w:ascii="宋体" w:hAnsi="宋体" w:eastAsia="宋体" w:cs="宋体"/>
                <w:color w:val="auto"/>
                <w:spacing w:val="1"/>
                <w:sz w:val="24"/>
                <w:szCs w:val="24"/>
                <w:highlight w:val="none"/>
              </w:rPr>
              <w:t>入100万元以下的为微型</w:t>
            </w:r>
            <w:r>
              <w:rPr>
                <w:rFonts w:hint="eastAsia" w:ascii="宋体" w:hAnsi="宋体" w:eastAsia="宋体" w:cs="宋体"/>
                <w:color w:val="auto"/>
                <w:spacing w:val="4"/>
                <w:sz w:val="24"/>
                <w:szCs w:val="24"/>
                <w:highlight w:val="none"/>
              </w:rPr>
              <w:t>企</w:t>
            </w:r>
            <w:r>
              <w:rPr>
                <w:rFonts w:hint="eastAsia" w:ascii="宋体" w:hAnsi="宋体" w:eastAsia="宋体" w:cs="宋体"/>
                <w:color w:val="auto"/>
                <w:spacing w:val="3"/>
                <w:sz w:val="24"/>
                <w:szCs w:val="24"/>
                <w:highlight w:val="none"/>
              </w:rPr>
              <w:t>业。</w:t>
            </w:r>
          </w:p>
          <w:p w14:paraId="70681F14">
            <w:pPr>
              <w:keepNext w:val="0"/>
              <w:keepLines w:val="0"/>
              <w:pageBreakBefore w:val="0"/>
              <w:kinsoku/>
              <w:wordWrap/>
              <w:overflowPunct/>
              <w:topLinePunct w:val="0"/>
              <w:autoSpaceDE/>
              <w:autoSpaceDN/>
              <w:bidi w:val="0"/>
              <w:spacing w:afterAutospacing="0" w:line="360" w:lineRule="auto"/>
              <w:ind w:left="0" w:leftChars="0" w:right="0" w:firstLine="1"/>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9、住宿业</w:t>
            </w:r>
            <w:r>
              <w:rPr>
                <w:rFonts w:hint="eastAsia" w:ascii="宋体" w:hAnsi="宋体" w:eastAsia="宋体" w:cs="宋体"/>
                <w:color w:val="auto"/>
                <w:spacing w:val="4"/>
                <w:sz w:val="24"/>
                <w:szCs w:val="24"/>
                <w:highlight w:val="none"/>
              </w:rPr>
              <w:t>.从业人员300人以下或营业收入10000万元以下的为中小</w:t>
            </w:r>
            <w:r>
              <w:rPr>
                <w:rFonts w:hint="eastAsia" w:ascii="宋体" w:hAnsi="宋体" w:eastAsia="宋体" w:cs="宋体"/>
                <w:color w:val="auto"/>
                <w:spacing w:val="2"/>
                <w:sz w:val="24"/>
                <w:szCs w:val="24"/>
                <w:highlight w:val="none"/>
              </w:rPr>
              <w:t>微型企业.其中,从业人员100人及以上</w:t>
            </w:r>
            <w:r>
              <w:rPr>
                <w:rFonts w:hint="eastAsia" w:ascii="宋体" w:hAnsi="宋体" w:eastAsia="宋体" w:cs="宋体"/>
                <w:color w:val="auto"/>
                <w:spacing w:val="1"/>
                <w:sz w:val="24"/>
                <w:szCs w:val="24"/>
                <w:highlight w:val="none"/>
              </w:rPr>
              <w:t>，且营业收入2000万元及以上</w:t>
            </w:r>
            <w:r>
              <w:rPr>
                <w:rFonts w:hint="eastAsia" w:ascii="宋体" w:hAnsi="宋体" w:eastAsia="宋体" w:cs="宋体"/>
                <w:color w:val="auto"/>
                <w:spacing w:val="5"/>
                <w:sz w:val="24"/>
                <w:szCs w:val="24"/>
                <w:highlight w:val="none"/>
              </w:rPr>
              <w:t>的为中型企业；从业人员10人及以上,且营业收入100万元及以</w:t>
            </w:r>
            <w:r>
              <w:rPr>
                <w:rFonts w:hint="eastAsia" w:ascii="宋体" w:hAnsi="宋体" w:eastAsia="宋体" w:cs="宋体"/>
                <w:color w:val="auto"/>
                <w:spacing w:val="4"/>
                <w:sz w:val="24"/>
                <w:szCs w:val="24"/>
                <w:highlight w:val="none"/>
              </w:rPr>
              <w:t>上</w:t>
            </w:r>
            <w:r>
              <w:rPr>
                <w:rFonts w:hint="eastAsia" w:ascii="宋体" w:hAnsi="宋体" w:eastAsia="宋体" w:cs="宋体"/>
                <w:color w:val="auto"/>
                <w:sz w:val="24"/>
                <w:szCs w:val="24"/>
                <w:highlight w:val="none"/>
              </w:rPr>
              <w:t>的</w:t>
            </w:r>
            <w:r>
              <w:rPr>
                <w:rFonts w:hint="eastAsia" w:ascii="宋体" w:hAnsi="宋体" w:eastAsia="宋体" w:cs="宋体"/>
                <w:color w:val="auto"/>
                <w:spacing w:val="2"/>
                <w:sz w:val="24"/>
                <w:szCs w:val="24"/>
                <w:highlight w:val="none"/>
              </w:rPr>
              <w:t>为小型企业；从业人员10人以下或营业收入</w:t>
            </w:r>
            <w:r>
              <w:rPr>
                <w:rFonts w:hint="eastAsia" w:ascii="宋体" w:hAnsi="宋体" w:eastAsia="宋体" w:cs="宋体"/>
                <w:color w:val="auto"/>
                <w:spacing w:val="1"/>
                <w:sz w:val="24"/>
                <w:szCs w:val="24"/>
                <w:highlight w:val="none"/>
              </w:rPr>
              <w:t>100万元以下的为微型企业</w:t>
            </w:r>
            <w:r>
              <w:rPr>
                <w:rFonts w:hint="eastAsia" w:ascii="宋体" w:hAnsi="宋体" w:eastAsia="宋体" w:cs="宋体"/>
                <w:color w:val="auto"/>
                <w:sz w:val="24"/>
                <w:szCs w:val="24"/>
                <w:highlight w:val="none"/>
              </w:rPr>
              <w:t>。</w:t>
            </w:r>
          </w:p>
          <w:p w14:paraId="4D1D3B39">
            <w:pPr>
              <w:keepNext w:val="0"/>
              <w:keepLines w:val="0"/>
              <w:pageBreakBefore w:val="0"/>
              <w:kinsoku/>
              <w:wordWrap/>
              <w:overflowPunct/>
              <w:topLinePunct w:val="0"/>
              <w:autoSpaceDE/>
              <w:autoSpaceDN/>
              <w:bidi w:val="0"/>
              <w:spacing w:beforeAutospacing="0" w:afterAutospacing="0" w:line="360" w:lineRule="auto"/>
              <w:ind w:left="0" w:leftChars="0" w:right="0" w:hanging="5"/>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1</w:t>
            </w:r>
            <w:r>
              <w:rPr>
                <w:rFonts w:hint="eastAsia" w:ascii="宋体" w:hAnsi="宋体" w:eastAsia="宋体" w:cs="宋体"/>
                <w:color w:val="auto"/>
                <w:spacing w:val="4"/>
                <w:sz w:val="24"/>
                <w:szCs w:val="24"/>
                <w:highlight w:val="none"/>
              </w:rPr>
              <w:t>0、餐饮业。从业人员300人以下或营业收入10000万元以下的为中</w:t>
            </w:r>
            <w:r>
              <w:rPr>
                <w:rFonts w:hint="eastAsia" w:ascii="宋体" w:hAnsi="宋体" w:eastAsia="宋体" w:cs="宋体"/>
                <w:color w:val="auto"/>
                <w:spacing w:val="2"/>
                <w:sz w:val="24"/>
                <w:szCs w:val="24"/>
                <w:highlight w:val="none"/>
              </w:rPr>
              <w:t>小微型企业。其中，从业人员</w:t>
            </w:r>
            <w:r>
              <w:rPr>
                <w:rFonts w:hint="eastAsia" w:ascii="宋体" w:hAnsi="宋体" w:eastAsia="宋体" w:cs="宋体"/>
                <w:color w:val="auto"/>
                <w:spacing w:val="1"/>
                <w:sz w:val="24"/>
                <w:szCs w:val="24"/>
                <w:highlight w:val="none"/>
              </w:rPr>
              <w:t>100人及以上，且营业收入2000万元及</w:t>
            </w:r>
            <w:r>
              <w:rPr>
                <w:rFonts w:hint="eastAsia" w:ascii="宋体" w:hAnsi="宋体" w:eastAsia="宋体" w:cs="宋体"/>
                <w:color w:val="auto"/>
                <w:spacing w:val="8"/>
                <w:sz w:val="24"/>
                <w:szCs w:val="24"/>
                <w:highlight w:val="none"/>
              </w:rPr>
              <w:t>以上的为中</w:t>
            </w:r>
            <w:r>
              <w:rPr>
                <w:rFonts w:hint="eastAsia" w:ascii="宋体" w:hAnsi="宋体" w:eastAsia="宋体" w:cs="宋体"/>
                <w:color w:val="auto"/>
                <w:spacing w:val="6"/>
                <w:sz w:val="24"/>
                <w:szCs w:val="24"/>
                <w:highlight w:val="none"/>
              </w:rPr>
              <w:t>型</w:t>
            </w:r>
            <w:r>
              <w:rPr>
                <w:rFonts w:hint="eastAsia" w:ascii="宋体" w:hAnsi="宋体" w:eastAsia="宋体" w:cs="宋体"/>
                <w:color w:val="auto"/>
                <w:spacing w:val="4"/>
                <w:sz w:val="24"/>
                <w:szCs w:val="24"/>
                <w:highlight w:val="none"/>
              </w:rPr>
              <w:t>企业；从业人员10人及以上,且营业收入100万元及以</w:t>
            </w:r>
            <w:r>
              <w:rPr>
                <w:rFonts w:hint="eastAsia" w:ascii="宋体" w:hAnsi="宋体" w:eastAsia="宋体" w:cs="宋体"/>
                <w:color w:val="auto"/>
                <w:spacing w:val="2"/>
                <w:sz w:val="24"/>
                <w:szCs w:val="24"/>
                <w:highlight w:val="none"/>
              </w:rPr>
              <w:t>上的为小型企业；从业人员10人以下或</w:t>
            </w:r>
            <w:r>
              <w:rPr>
                <w:rFonts w:hint="eastAsia" w:ascii="宋体" w:hAnsi="宋体" w:eastAsia="宋体" w:cs="宋体"/>
                <w:color w:val="auto"/>
                <w:spacing w:val="1"/>
                <w:sz w:val="24"/>
                <w:szCs w:val="24"/>
                <w:highlight w:val="none"/>
              </w:rPr>
              <w:t>营业收入100万元以下的为微</w:t>
            </w:r>
            <w:r>
              <w:rPr>
                <w:rFonts w:hint="eastAsia" w:ascii="宋体" w:hAnsi="宋体" w:eastAsia="宋体" w:cs="宋体"/>
                <w:color w:val="auto"/>
                <w:spacing w:val="4"/>
                <w:sz w:val="24"/>
                <w:szCs w:val="24"/>
                <w:highlight w:val="none"/>
              </w:rPr>
              <w:t>型</w:t>
            </w:r>
            <w:r>
              <w:rPr>
                <w:rFonts w:hint="eastAsia" w:ascii="宋体" w:hAnsi="宋体" w:eastAsia="宋体" w:cs="宋体"/>
                <w:color w:val="auto"/>
                <w:spacing w:val="3"/>
                <w:sz w:val="24"/>
                <w:szCs w:val="24"/>
                <w:highlight w:val="none"/>
              </w:rPr>
              <w:t>企业。</w:t>
            </w:r>
          </w:p>
          <w:p w14:paraId="2B9E4B44">
            <w:pPr>
              <w:keepNext w:val="0"/>
              <w:keepLines w:val="0"/>
              <w:pageBreakBefore w:val="0"/>
              <w:kinsoku/>
              <w:wordWrap/>
              <w:overflowPunct/>
              <w:topLinePunct w:val="0"/>
              <w:autoSpaceDE/>
              <w:autoSpaceDN/>
              <w:bidi w:val="0"/>
              <w:spacing w:beforeAutospacing="0" w:line="360" w:lineRule="auto"/>
              <w:ind w:left="0" w:leftChars="0" w:right="0" w:firstLine="15"/>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1</w:t>
            </w:r>
            <w:r>
              <w:rPr>
                <w:rFonts w:hint="eastAsia" w:ascii="宋体" w:hAnsi="宋体" w:eastAsia="宋体" w:cs="宋体"/>
                <w:color w:val="auto"/>
                <w:spacing w:val="4"/>
                <w:sz w:val="24"/>
                <w:szCs w:val="24"/>
                <w:highlight w:val="none"/>
              </w:rPr>
              <w:t>1、信息传输业。从业人员2000人以下或营业收入100000万元以下</w:t>
            </w:r>
            <w:r>
              <w:rPr>
                <w:rFonts w:hint="eastAsia" w:ascii="宋体" w:hAnsi="宋体" w:eastAsia="宋体" w:cs="宋体"/>
                <w:color w:val="auto"/>
                <w:spacing w:val="8"/>
                <w:sz w:val="24"/>
                <w:szCs w:val="24"/>
                <w:highlight w:val="none"/>
              </w:rPr>
              <w:t>的为中小微型企业。其中,从业人员100人及以上，且营业收入100</w:t>
            </w:r>
            <w:r>
              <w:rPr>
                <w:rFonts w:hint="eastAsia" w:ascii="宋体" w:hAnsi="宋体" w:eastAsia="宋体" w:cs="宋体"/>
                <w:color w:val="auto"/>
                <w:spacing w:val="6"/>
                <w:sz w:val="24"/>
                <w:szCs w:val="24"/>
                <w:highlight w:val="none"/>
              </w:rPr>
              <w:t>0</w:t>
            </w:r>
            <w:r>
              <w:rPr>
                <w:rFonts w:hint="eastAsia" w:ascii="宋体" w:hAnsi="宋体" w:eastAsia="宋体" w:cs="宋体"/>
                <w:color w:val="auto"/>
                <w:spacing w:val="8"/>
                <w:sz w:val="24"/>
                <w:szCs w:val="24"/>
                <w:highlight w:val="none"/>
              </w:rPr>
              <w:t>万元及以上的</w:t>
            </w:r>
            <w:r>
              <w:rPr>
                <w:rFonts w:hint="eastAsia" w:ascii="宋体" w:hAnsi="宋体" w:eastAsia="宋体" w:cs="宋体"/>
                <w:color w:val="auto"/>
                <w:spacing w:val="7"/>
                <w:sz w:val="24"/>
                <w:szCs w:val="24"/>
                <w:highlight w:val="none"/>
              </w:rPr>
              <w:t>为</w:t>
            </w:r>
            <w:r>
              <w:rPr>
                <w:rFonts w:hint="eastAsia" w:ascii="宋体" w:hAnsi="宋体" w:eastAsia="宋体" w:cs="宋体"/>
                <w:color w:val="auto"/>
                <w:spacing w:val="4"/>
                <w:sz w:val="24"/>
                <w:szCs w:val="24"/>
                <w:highlight w:val="none"/>
              </w:rPr>
              <w:t>中型企业;从业人员10人及以上，且营业收入100 万</w:t>
            </w:r>
            <w:r>
              <w:rPr>
                <w:rFonts w:hint="eastAsia" w:ascii="宋体" w:hAnsi="宋体" w:eastAsia="宋体" w:cs="宋体"/>
                <w:color w:val="auto"/>
                <w:spacing w:val="2"/>
                <w:sz w:val="24"/>
                <w:szCs w:val="24"/>
                <w:highlight w:val="none"/>
              </w:rPr>
              <w:t>元及以上的为小型企业；从业人员10人</w:t>
            </w:r>
            <w:r>
              <w:rPr>
                <w:rFonts w:hint="eastAsia" w:ascii="宋体" w:hAnsi="宋体" w:eastAsia="宋体" w:cs="宋体"/>
                <w:color w:val="auto"/>
                <w:spacing w:val="1"/>
                <w:sz w:val="24"/>
                <w:szCs w:val="24"/>
                <w:highlight w:val="none"/>
              </w:rPr>
              <w:t>以下或营业收入100万元以下</w:t>
            </w:r>
            <w:r>
              <w:rPr>
                <w:rFonts w:hint="eastAsia" w:ascii="宋体" w:hAnsi="宋体" w:eastAsia="宋体" w:cs="宋体"/>
                <w:color w:val="auto"/>
                <w:spacing w:val="7"/>
                <w:sz w:val="24"/>
                <w:szCs w:val="24"/>
                <w:highlight w:val="none"/>
              </w:rPr>
              <w:t>的为微型企业</w:t>
            </w:r>
            <w:r>
              <w:rPr>
                <w:rFonts w:hint="eastAsia" w:ascii="宋体" w:hAnsi="宋体" w:eastAsia="宋体" w:cs="宋体"/>
                <w:color w:val="auto"/>
                <w:spacing w:val="6"/>
                <w:sz w:val="24"/>
                <w:szCs w:val="24"/>
                <w:highlight w:val="none"/>
              </w:rPr>
              <w:t>。</w:t>
            </w:r>
          </w:p>
          <w:p w14:paraId="520641A2">
            <w:pPr>
              <w:keepNext w:val="0"/>
              <w:keepLines w:val="0"/>
              <w:pageBreakBefore w:val="0"/>
              <w:kinsoku/>
              <w:wordWrap/>
              <w:overflowPunct/>
              <w:topLinePunct w:val="0"/>
              <w:autoSpaceDE/>
              <w:autoSpaceDN/>
              <w:bidi w:val="0"/>
              <w:spacing w:line="360" w:lineRule="auto"/>
              <w:ind w:left="0" w:leftChars="0" w:right="0" w:firstLine="18"/>
              <w:rPr>
                <w:rFonts w:hint="eastAsia" w:ascii="宋体" w:hAnsi="宋体" w:eastAsia="宋体" w:cs="宋体"/>
                <w:color w:val="auto"/>
                <w:sz w:val="24"/>
                <w:szCs w:val="24"/>
                <w:highlight w:val="none"/>
              </w:rPr>
            </w:pPr>
            <w:r>
              <w:rPr>
                <w:rFonts w:hint="eastAsia" w:ascii="宋体" w:hAnsi="宋体" w:eastAsia="宋体" w:cs="宋体"/>
                <w:color w:val="auto"/>
                <w:spacing w:val="14"/>
                <w:sz w:val="24"/>
                <w:szCs w:val="24"/>
                <w:highlight w:val="none"/>
              </w:rPr>
              <w:t>1</w:t>
            </w:r>
            <w:r>
              <w:rPr>
                <w:rFonts w:hint="eastAsia" w:ascii="宋体" w:hAnsi="宋体" w:eastAsia="宋体" w:cs="宋体"/>
                <w:color w:val="auto"/>
                <w:spacing w:val="11"/>
                <w:sz w:val="24"/>
                <w:szCs w:val="24"/>
                <w:highlight w:val="none"/>
              </w:rPr>
              <w:t>2</w:t>
            </w:r>
            <w:r>
              <w:rPr>
                <w:rFonts w:hint="eastAsia" w:ascii="宋体" w:hAnsi="宋体" w:eastAsia="宋体" w:cs="宋体"/>
                <w:color w:val="auto"/>
                <w:spacing w:val="7"/>
                <w:sz w:val="24"/>
                <w:szCs w:val="24"/>
                <w:highlight w:val="none"/>
              </w:rPr>
              <w:t>、软件和信息技术服务业。从业人员300人以下或营业收入10000</w:t>
            </w:r>
            <w:r>
              <w:rPr>
                <w:rFonts w:hint="eastAsia" w:ascii="宋体" w:hAnsi="宋体" w:eastAsia="宋体" w:cs="宋体"/>
                <w:color w:val="auto"/>
                <w:spacing w:val="16"/>
                <w:sz w:val="24"/>
                <w:szCs w:val="24"/>
                <w:highlight w:val="none"/>
              </w:rPr>
              <w:t>万元以</w:t>
            </w:r>
            <w:r>
              <w:rPr>
                <w:rFonts w:hint="eastAsia" w:ascii="宋体" w:hAnsi="宋体" w:eastAsia="宋体" w:cs="宋体"/>
                <w:color w:val="auto"/>
                <w:spacing w:val="9"/>
                <w:sz w:val="24"/>
                <w:szCs w:val="24"/>
                <w:highlight w:val="none"/>
              </w:rPr>
              <w:t>下</w:t>
            </w:r>
            <w:r>
              <w:rPr>
                <w:rFonts w:hint="eastAsia" w:ascii="宋体" w:hAnsi="宋体" w:eastAsia="宋体" w:cs="宋体"/>
                <w:color w:val="auto"/>
                <w:spacing w:val="8"/>
                <w:sz w:val="24"/>
                <w:szCs w:val="24"/>
                <w:highlight w:val="none"/>
              </w:rPr>
              <w:t>的为中小微型企业。其中，从业人员100人及以上，且营业</w:t>
            </w:r>
            <w:r>
              <w:rPr>
                <w:rFonts w:hint="eastAsia" w:ascii="宋体" w:hAnsi="宋体" w:eastAsia="宋体" w:cs="宋体"/>
                <w:color w:val="auto"/>
                <w:spacing w:val="2"/>
                <w:sz w:val="24"/>
                <w:szCs w:val="24"/>
                <w:highlight w:val="none"/>
              </w:rPr>
              <w:t>收入1000万元及以上的为中型企业；从业</w:t>
            </w:r>
            <w:r>
              <w:rPr>
                <w:rFonts w:hint="eastAsia" w:ascii="宋体" w:hAnsi="宋体" w:eastAsia="宋体" w:cs="宋体"/>
                <w:color w:val="auto"/>
                <w:spacing w:val="1"/>
                <w:sz w:val="24"/>
                <w:szCs w:val="24"/>
                <w:highlight w:val="none"/>
              </w:rPr>
              <w:t>人员10人及以上,且营业收</w:t>
            </w:r>
            <w:r>
              <w:rPr>
                <w:rFonts w:hint="eastAsia" w:ascii="宋体" w:hAnsi="宋体" w:eastAsia="宋体" w:cs="宋体"/>
                <w:color w:val="auto"/>
                <w:spacing w:val="-2"/>
                <w:sz w:val="24"/>
                <w:szCs w:val="24"/>
                <w:highlight w:val="none"/>
              </w:rPr>
              <w:t>入50万元及以上的为小型企业；从</w:t>
            </w:r>
            <w:r>
              <w:rPr>
                <w:rFonts w:hint="eastAsia" w:ascii="宋体" w:hAnsi="宋体" w:eastAsia="宋体" w:cs="宋体"/>
                <w:color w:val="auto"/>
                <w:spacing w:val="-1"/>
                <w:sz w:val="24"/>
                <w:szCs w:val="24"/>
                <w:highlight w:val="none"/>
              </w:rPr>
              <w:t>业人员10人以下或营业收入50万</w:t>
            </w:r>
            <w:r>
              <w:rPr>
                <w:rFonts w:hint="eastAsia" w:ascii="宋体" w:hAnsi="宋体" w:eastAsia="宋体" w:cs="宋体"/>
                <w:color w:val="auto"/>
                <w:spacing w:val="9"/>
                <w:sz w:val="24"/>
                <w:szCs w:val="24"/>
                <w:highlight w:val="none"/>
              </w:rPr>
              <w:t>元</w:t>
            </w:r>
            <w:r>
              <w:rPr>
                <w:rFonts w:hint="eastAsia" w:ascii="宋体" w:hAnsi="宋体" w:eastAsia="宋体" w:cs="宋体"/>
                <w:color w:val="auto"/>
                <w:spacing w:val="8"/>
                <w:sz w:val="24"/>
                <w:szCs w:val="24"/>
                <w:highlight w:val="none"/>
              </w:rPr>
              <w:t>以下的为微型企业。</w:t>
            </w:r>
          </w:p>
          <w:p w14:paraId="64D51ED4">
            <w:pPr>
              <w:keepNext w:val="0"/>
              <w:keepLines w:val="0"/>
              <w:pageBreakBefore w:val="0"/>
              <w:kinsoku/>
              <w:wordWrap/>
              <w:overflowPunct/>
              <w:topLinePunct w:val="0"/>
              <w:autoSpaceDE/>
              <w:autoSpaceDN/>
              <w:bidi w:val="0"/>
              <w:spacing w:line="360" w:lineRule="auto"/>
              <w:ind w:left="0" w:leftChars="0" w:right="0" w:firstLine="17"/>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13、房地产开发经营。营业收入200000万元以下或资产总额10000万</w:t>
            </w:r>
            <w:r>
              <w:rPr>
                <w:rFonts w:hint="eastAsia" w:ascii="宋体" w:hAnsi="宋体" w:eastAsia="宋体" w:cs="宋体"/>
                <w:color w:val="auto"/>
                <w:spacing w:val="16"/>
                <w:sz w:val="24"/>
                <w:szCs w:val="24"/>
                <w:highlight w:val="none"/>
              </w:rPr>
              <w:t>元以</w:t>
            </w:r>
            <w:r>
              <w:rPr>
                <w:rFonts w:hint="eastAsia" w:ascii="宋体" w:hAnsi="宋体" w:eastAsia="宋体" w:cs="宋体"/>
                <w:color w:val="auto"/>
                <w:spacing w:val="10"/>
                <w:sz w:val="24"/>
                <w:szCs w:val="24"/>
                <w:highlight w:val="none"/>
              </w:rPr>
              <w:t>下</w:t>
            </w:r>
            <w:r>
              <w:rPr>
                <w:rFonts w:hint="eastAsia" w:ascii="宋体" w:hAnsi="宋体" w:eastAsia="宋体" w:cs="宋体"/>
                <w:color w:val="auto"/>
                <w:spacing w:val="8"/>
                <w:sz w:val="24"/>
                <w:szCs w:val="24"/>
                <w:highlight w:val="none"/>
              </w:rPr>
              <w:t>的为中小微型企业.其中，营业收入1000万元及以上，且资产总额 500</w:t>
            </w:r>
            <w:r>
              <w:rPr>
                <w:rFonts w:hint="eastAsia" w:ascii="宋体" w:hAnsi="宋体" w:eastAsia="宋体" w:cs="宋体"/>
                <w:color w:val="auto"/>
                <w:spacing w:val="5"/>
                <w:sz w:val="24"/>
                <w:szCs w:val="24"/>
                <w:highlight w:val="none"/>
              </w:rPr>
              <w:t>0</w:t>
            </w:r>
            <w:r>
              <w:rPr>
                <w:rFonts w:hint="eastAsia" w:ascii="宋体" w:hAnsi="宋体" w:eastAsia="宋体" w:cs="宋体"/>
                <w:color w:val="auto"/>
                <w:spacing w:val="4"/>
                <w:sz w:val="24"/>
                <w:szCs w:val="24"/>
                <w:highlight w:val="none"/>
              </w:rPr>
              <w:t>万元及以上的为中型企业;营业收入100万元及以上，且资</w:t>
            </w:r>
            <w:r>
              <w:rPr>
                <w:rFonts w:hint="eastAsia" w:ascii="宋体" w:hAnsi="宋体" w:eastAsia="宋体" w:cs="宋体"/>
                <w:color w:val="auto"/>
                <w:spacing w:val="2"/>
                <w:sz w:val="24"/>
                <w:szCs w:val="24"/>
                <w:highlight w:val="none"/>
              </w:rPr>
              <w:t>产总额2000万元及以上的为小型企业；</w:t>
            </w:r>
            <w:r>
              <w:rPr>
                <w:rFonts w:hint="eastAsia" w:ascii="宋体" w:hAnsi="宋体" w:eastAsia="宋体" w:cs="宋体"/>
                <w:color w:val="auto"/>
                <w:spacing w:val="1"/>
                <w:sz w:val="24"/>
                <w:szCs w:val="24"/>
                <w:highlight w:val="none"/>
              </w:rPr>
              <w:t>营业收入100万元以下或资产</w:t>
            </w:r>
            <w:r>
              <w:rPr>
                <w:rFonts w:hint="eastAsia" w:ascii="宋体" w:hAnsi="宋体" w:eastAsia="宋体" w:cs="宋体"/>
                <w:color w:val="auto"/>
                <w:spacing w:val="2"/>
                <w:sz w:val="24"/>
                <w:szCs w:val="24"/>
                <w:highlight w:val="none"/>
              </w:rPr>
              <w:t>总</w:t>
            </w:r>
            <w:r>
              <w:rPr>
                <w:rFonts w:hint="eastAsia" w:ascii="宋体" w:hAnsi="宋体" w:eastAsia="宋体" w:cs="宋体"/>
                <w:color w:val="auto"/>
                <w:spacing w:val="1"/>
                <w:sz w:val="24"/>
                <w:szCs w:val="24"/>
                <w:highlight w:val="none"/>
              </w:rPr>
              <w:t>额2000万元以下的为微型企业。</w:t>
            </w:r>
          </w:p>
          <w:p w14:paraId="10E1E56B">
            <w:pPr>
              <w:keepNext w:val="0"/>
              <w:keepLines w:val="0"/>
              <w:pageBreakBefore w:val="0"/>
              <w:kinsoku/>
              <w:wordWrap/>
              <w:overflowPunct/>
              <w:topLinePunct w:val="0"/>
              <w:autoSpaceDE/>
              <w:autoSpaceDN/>
              <w:bidi w:val="0"/>
              <w:spacing w:line="360" w:lineRule="auto"/>
              <w:ind w:left="0" w:leftChars="0" w:right="0" w:firstLine="1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w:t>
            </w:r>
            <w:r>
              <w:rPr>
                <w:rFonts w:hint="eastAsia" w:ascii="宋体" w:hAnsi="宋体" w:eastAsia="宋体" w:cs="宋体"/>
                <w:color w:val="auto"/>
                <w:spacing w:val="1"/>
                <w:sz w:val="24"/>
                <w:szCs w:val="24"/>
                <w:highlight w:val="none"/>
              </w:rPr>
              <w:t>4、物业管理.从业人员1000人以下或营业收入5000万元以下的为中</w:t>
            </w:r>
            <w:r>
              <w:rPr>
                <w:rFonts w:hint="eastAsia" w:ascii="宋体" w:hAnsi="宋体" w:eastAsia="宋体" w:cs="宋体"/>
                <w:color w:val="auto"/>
                <w:spacing w:val="8"/>
                <w:sz w:val="24"/>
                <w:szCs w:val="24"/>
                <w:highlight w:val="none"/>
              </w:rPr>
              <w:t>小微型企业。</w:t>
            </w:r>
            <w:r>
              <w:rPr>
                <w:rFonts w:hint="eastAsia" w:ascii="宋体" w:hAnsi="宋体" w:eastAsia="宋体" w:cs="宋体"/>
                <w:color w:val="auto"/>
                <w:spacing w:val="7"/>
                <w:sz w:val="24"/>
                <w:szCs w:val="24"/>
                <w:highlight w:val="none"/>
              </w:rPr>
              <w:t>其</w:t>
            </w:r>
            <w:r>
              <w:rPr>
                <w:rFonts w:hint="eastAsia" w:ascii="宋体" w:hAnsi="宋体" w:eastAsia="宋体" w:cs="宋体"/>
                <w:color w:val="auto"/>
                <w:spacing w:val="4"/>
                <w:sz w:val="24"/>
                <w:szCs w:val="24"/>
                <w:highlight w:val="none"/>
              </w:rPr>
              <w:t>中，从业人员300人及以上,且营业收入1000万元及</w:t>
            </w:r>
            <w:r>
              <w:rPr>
                <w:rFonts w:hint="eastAsia" w:ascii="宋体" w:hAnsi="宋体" w:eastAsia="宋体" w:cs="宋体"/>
                <w:color w:val="auto"/>
                <w:spacing w:val="2"/>
                <w:sz w:val="24"/>
                <w:szCs w:val="24"/>
                <w:highlight w:val="none"/>
              </w:rPr>
              <w:t>以上的为中型企业；从业人员100人及以</w:t>
            </w:r>
            <w:r>
              <w:rPr>
                <w:rFonts w:hint="eastAsia" w:ascii="宋体" w:hAnsi="宋体" w:eastAsia="宋体" w:cs="宋体"/>
                <w:color w:val="auto"/>
                <w:spacing w:val="1"/>
                <w:sz w:val="24"/>
                <w:szCs w:val="24"/>
                <w:highlight w:val="none"/>
              </w:rPr>
              <w:t>上,且营业收入500万元及以</w:t>
            </w:r>
            <w:r>
              <w:rPr>
                <w:rFonts w:hint="eastAsia" w:ascii="宋体" w:hAnsi="宋体" w:eastAsia="宋体" w:cs="宋体"/>
                <w:color w:val="auto"/>
                <w:spacing w:val="5"/>
                <w:sz w:val="24"/>
                <w:szCs w:val="24"/>
                <w:highlight w:val="none"/>
              </w:rPr>
              <w:t>上的为小型企业；从业人员100人以下或营业收入500万元以下</w:t>
            </w:r>
            <w:r>
              <w:rPr>
                <w:rFonts w:hint="eastAsia" w:ascii="宋体" w:hAnsi="宋体" w:eastAsia="宋体" w:cs="宋体"/>
                <w:color w:val="auto"/>
                <w:spacing w:val="3"/>
                <w:sz w:val="24"/>
                <w:szCs w:val="24"/>
                <w:highlight w:val="none"/>
              </w:rPr>
              <w:t>的</w:t>
            </w:r>
            <w:r>
              <w:rPr>
                <w:rFonts w:hint="eastAsia" w:ascii="宋体" w:hAnsi="宋体" w:eastAsia="宋体" w:cs="宋体"/>
                <w:color w:val="auto"/>
                <w:sz w:val="24"/>
                <w:szCs w:val="24"/>
                <w:highlight w:val="none"/>
              </w:rPr>
              <w:t>为</w:t>
            </w:r>
            <w:r>
              <w:rPr>
                <w:rFonts w:hint="eastAsia" w:ascii="宋体" w:hAnsi="宋体" w:eastAsia="宋体" w:cs="宋体"/>
                <w:color w:val="auto"/>
                <w:spacing w:val="6"/>
                <w:sz w:val="24"/>
                <w:szCs w:val="24"/>
                <w:highlight w:val="none"/>
              </w:rPr>
              <w:t>微型企业。</w:t>
            </w:r>
          </w:p>
          <w:p w14:paraId="3395804A">
            <w:pPr>
              <w:keepNext w:val="0"/>
              <w:keepLines w:val="0"/>
              <w:pageBreakBefore w:val="0"/>
              <w:kinsoku/>
              <w:wordWrap/>
              <w:overflowPunct/>
              <w:topLinePunct w:val="0"/>
              <w:autoSpaceDE/>
              <w:autoSpaceDN/>
              <w:bidi w:val="0"/>
              <w:spacing w:line="360" w:lineRule="auto"/>
              <w:ind w:left="0" w:leftChars="0" w:right="0" w:firstLine="15"/>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w:t>
            </w:r>
            <w:r>
              <w:rPr>
                <w:rFonts w:hint="eastAsia" w:ascii="宋体" w:hAnsi="宋体" w:eastAsia="宋体" w:cs="宋体"/>
                <w:color w:val="auto"/>
                <w:spacing w:val="1"/>
                <w:sz w:val="24"/>
                <w:szCs w:val="24"/>
                <w:highlight w:val="none"/>
              </w:rPr>
              <w:t>5、租赁和商务服务业。从业人员300人以下或资产总额120000万元</w:t>
            </w:r>
            <w:r>
              <w:rPr>
                <w:rFonts w:hint="eastAsia" w:ascii="宋体" w:hAnsi="宋体" w:eastAsia="宋体" w:cs="宋体"/>
                <w:color w:val="auto"/>
                <w:spacing w:val="-2"/>
                <w:sz w:val="24"/>
                <w:szCs w:val="24"/>
                <w:highlight w:val="none"/>
              </w:rPr>
              <w:t>以下的为中小微型企业.其中，从业人员100</w:t>
            </w:r>
            <w:r>
              <w:rPr>
                <w:rFonts w:hint="eastAsia" w:ascii="宋体" w:hAnsi="宋体" w:eastAsia="宋体" w:cs="宋体"/>
                <w:color w:val="auto"/>
                <w:spacing w:val="-1"/>
                <w:sz w:val="24"/>
                <w:szCs w:val="24"/>
                <w:highlight w:val="none"/>
              </w:rPr>
              <w:t>人及以上，且资产总额8000</w:t>
            </w:r>
            <w:r>
              <w:rPr>
                <w:rFonts w:hint="eastAsia" w:ascii="宋体" w:hAnsi="宋体" w:eastAsia="宋体" w:cs="宋体"/>
                <w:color w:val="auto"/>
                <w:spacing w:val="2"/>
                <w:sz w:val="24"/>
                <w:szCs w:val="24"/>
                <w:highlight w:val="none"/>
              </w:rPr>
              <w:t>万元及以上的为中型企业；从业人员10</w:t>
            </w:r>
            <w:r>
              <w:rPr>
                <w:rFonts w:hint="eastAsia" w:ascii="宋体" w:hAnsi="宋体" w:eastAsia="宋体" w:cs="宋体"/>
                <w:color w:val="auto"/>
                <w:spacing w:val="1"/>
                <w:sz w:val="24"/>
                <w:szCs w:val="24"/>
                <w:highlight w:val="none"/>
              </w:rPr>
              <w:t>人及以上，且资产总额100万</w:t>
            </w:r>
            <w:r>
              <w:rPr>
                <w:rFonts w:hint="eastAsia" w:ascii="宋体" w:hAnsi="宋体" w:eastAsia="宋体" w:cs="宋体"/>
                <w:color w:val="auto"/>
                <w:spacing w:val="8"/>
                <w:sz w:val="24"/>
                <w:szCs w:val="24"/>
                <w:highlight w:val="none"/>
              </w:rPr>
              <w:t>元及以上的为小型企业。</w:t>
            </w:r>
          </w:p>
          <w:p w14:paraId="327EEFD6">
            <w:pPr>
              <w:keepNext w:val="0"/>
              <w:keepLines w:val="0"/>
              <w:pageBreakBefore w:val="0"/>
              <w:kinsoku/>
              <w:wordWrap/>
              <w:overflowPunct/>
              <w:topLinePunct w:val="0"/>
              <w:autoSpaceDE/>
              <w:autoSpaceDN/>
              <w:bidi w:val="0"/>
              <w:spacing w:line="360" w:lineRule="auto"/>
              <w:ind w:left="0" w:leftChars="0" w:right="0" w:firstLine="14"/>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16、</w:t>
            </w:r>
            <w:r>
              <w:rPr>
                <w:rFonts w:hint="eastAsia" w:ascii="宋体" w:hAnsi="宋体" w:eastAsia="宋体" w:cs="宋体"/>
                <w:color w:val="auto"/>
                <w:spacing w:val="7"/>
                <w:sz w:val="24"/>
                <w:szCs w:val="24"/>
                <w:highlight w:val="none"/>
              </w:rPr>
              <w:t>其</w:t>
            </w:r>
            <w:r>
              <w:rPr>
                <w:rFonts w:hint="eastAsia" w:ascii="宋体" w:hAnsi="宋体" w:eastAsia="宋体" w:cs="宋体"/>
                <w:color w:val="auto"/>
                <w:spacing w:val="4"/>
                <w:sz w:val="24"/>
                <w:szCs w:val="24"/>
                <w:highlight w:val="none"/>
              </w:rPr>
              <w:t>他未列明行业.从业人员300人以下的为中小微型企业。其中，</w:t>
            </w:r>
            <w:r>
              <w:rPr>
                <w:rFonts w:hint="eastAsia" w:ascii="宋体" w:hAnsi="宋体" w:eastAsia="宋体" w:cs="宋体"/>
                <w:color w:val="auto"/>
                <w:spacing w:val="8"/>
                <w:sz w:val="24"/>
                <w:szCs w:val="24"/>
                <w:highlight w:val="none"/>
              </w:rPr>
              <w:t>从业人员1</w:t>
            </w:r>
            <w:r>
              <w:rPr>
                <w:rFonts w:hint="eastAsia" w:ascii="宋体" w:hAnsi="宋体" w:eastAsia="宋体" w:cs="宋体"/>
                <w:color w:val="auto"/>
                <w:spacing w:val="6"/>
                <w:sz w:val="24"/>
                <w:szCs w:val="24"/>
                <w:highlight w:val="none"/>
              </w:rPr>
              <w:t>0</w:t>
            </w:r>
            <w:r>
              <w:rPr>
                <w:rFonts w:hint="eastAsia" w:ascii="宋体" w:hAnsi="宋体" w:eastAsia="宋体" w:cs="宋体"/>
                <w:color w:val="auto"/>
                <w:spacing w:val="4"/>
                <w:sz w:val="24"/>
                <w:szCs w:val="24"/>
                <w:highlight w:val="none"/>
              </w:rPr>
              <w:t>0人及以上的为中型企业;从业人员10人及以上的为小型企业</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2"/>
                <w:sz w:val="24"/>
                <w:szCs w:val="24"/>
                <w:highlight w:val="none"/>
              </w:rPr>
              <w:t>从业人员10人以下的为微型企业。</w:t>
            </w:r>
          </w:p>
          <w:p w14:paraId="4497188D">
            <w:pPr>
              <w:pStyle w:val="12"/>
              <w:keepNext w:val="0"/>
              <w:keepLines w:val="0"/>
              <w:pageBreakBefore w:val="0"/>
              <w:kinsoku/>
              <w:wordWrap/>
              <w:overflowPunct/>
              <w:topLinePunct w:val="0"/>
              <w:autoSpaceDE/>
              <w:autoSpaceDN/>
              <w:bidi w:val="0"/>
              <w:spacing w:after="0" w:line="360" w:lineRule="auto"/>
              <w:ind w:left="0" w:leftChars="0" w:right="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pacing w:val="11"/>
                <w:sz w:val="24"/>
                <w:szCs w:val="24"/>
                <w:highlight w:val="none"/>
                <w:shd w:val="clear"/>
                <w14:textOutline w14:w="4358" w14:cap="sq" w14:cmpd="sng">
                  <w14:solidFill>
                    <w14:srgbClr w14:val="000000"/>
                  </w14:solidFill>
                  <w14:prstDash w14:val="solid"/>
                  <w14:bevel/>
                </w14:textOutline>
              </w:rPr>
              <w:t>本</w:t>
            </w:r>
            <w:r>
              <w:rPr>
                <w:rFonts w:hint="eastAsia" w:ascii="宋体" w:hAnsi="宋体" w:eastAsia="宋体" w:cs="宋体"/>
                <w:color w:val="auto"/>
                <w:spacing w:val="10"/>
                <w:sz w:val="24"/>
                <w:szCs w:val="24"/>
                <w:highlight w:val="none"/>
                <w:shd w:val="clear"/>
                <w14:textOutline w14:w="4358" w14:cap="sq" w14:cmpd="sng">
                  <w14:solidFill>
                    <w14:srgbClr w14:val="000000"/>
                  </w14:solidFill>
                  <w14:prstDash w14:val="solid"/>
                  <w14:bevel/>
                </w14:textOutline>
              </w:rPr>
              <w:t>项目属于：其他未列明行业</w:t>
            </w:r>
            <w:r>
              <w:rPr>
                <w:rFonts w:hint="eastAsia" w:ascii="宋体" w:hAnsi="宋体" w:eastAsia="宋体" w:cs="宋体"/>
                <w:b/>
                <w:bCs/>
                <w:color w:val="auto"/>
                <w:kern w:val="2"/>
                <w:sz w:val="24"/>
                <w:szCs w:val="24"/>
                <w:highlight w:val="none"/>
                <w:lang w:val="en-US" w:eastAsia="zh-CN" w:bidi="ar-SA"/>
              </w:rPr>
              <w:t>。</w:t>
            </w:r>
          </w:p>
        </w:tc>
      </w:tr>
      <w:tr w14:paraId="500B2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6" w:type="dxa"/>
            <w:vAlign w:val="center"/>
          </w:tcPr>
          <w:p w14:paraId="3F8A44FA">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32</w:t>
            </w:r>
          </w:p>
        </w:tc>
        <w:tc>
          <w:tcPr>
            <w:tcW w:w="1330" w:type="dxa"/>
            <w:vAlign w:val="center"/>
          </w:tcPr>
          <w:p w14:paraId="57FEB251">
            <w:pPr>
              <w:keepNext w:val="0"/>
              <w:keepLines w:val="0"/>
              <w:pageBreakBefore w:val="0"/>
              <w:kinsoku/>
              <w:wordWrap/>
              <w:overflowPunct/>
              <w:topLinePunct w:val="0"/>
              <w:autoSpaceDE/>
              <w:autoSpaceDN/>
              <w:bidi w:val="0"/>
              <w:spacing w:line="360" w:lineRule="auto"/>
              <w:ind w:left="0" w:leftChars="0" w:right="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招标文件解释权</w:t>
            </w:r>
          </w:p>
        </w:tc>
        <w:tc>
          <w:tcPr>
            <w:tcW w:w="7107" w:type="dxa"/>
            <w:vAlign w:val="center"/>
          </w:tcPr>
          <w:p w14:paraId="5276C18E">
            <w:pPr>
              <w:keepNext w:val="0"/>
              <w:keepLines w:val="0"/>
              <w:pageBreakBefore w:val="0"/>
              <w:kinsoku/>
              <w:wordWrap/>
              <w:overflowPunct/>
              <w:topLinePunct w:val="0"/>
              <w:autoSpaceDE/>
              <w:autoSpaceDN/>
              <w:bidi w:val="0"/>
              <w:spacing w:line="360" w:lineRule="auto"/>
              <w:ind w:left="0" w:leftChars="0" w:right="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本招标文件解释权归采购代理机构所有。</w:t>
            </w:r>
          </w:p>
        </w:tc>
      </w:tr>
      <w:tr w14:paraId="231D4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6" w:type="dxa"/>
            <w:vAlign w:val="center"/>
          </w:tcPr>
          <w:p w14:paraId="17A3385C">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33</w:t>
            </w:r>
          </w:p>
        </w:tc>
        <w:tc>
          <w:tcPr>
            <w:tcW w:w="1330" w:type="dxa"/>
            <w:vAlign w:val="center"/>
          </w:tcPr>
          <w:p w14:paraId="588885CE">
            <w:pPr>
              <w:keepNext w:val="0"/>
              <w:keepLines w:val="0"/>
              <w:pageBreakBefore w:val="0"/>
              <w:kinsoku/>
              <w:wordWrap/>
              <w:overflowPunct/>
              <w:topLinePunct w:val="0"/>
              <w:autoSpaceDE/>
              <w:autoSpaceDN/>
              <w:bidi w:val="0"/>
              <w:spacing w:line="360" w:lineRule="auto"/>
              <w:ind w:left="0" w:leftChars="0" w:right="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是否允许递交备选投标方案</w:t>
            </w:r>
          </w:p>
        </w:tc>
        <w:tc>
          <w:tcPr>
            <w:tcW w:w="7107" w:type="dxa"/>
            <w:vAlign w:val="center"/>
          </w:tcPr>
          <w:p w14:paraId="1D2ACB78">
            <w:pPr>
              <w:keepNext w:val="0"/>
              <w:keepLines w:val="0"/>
              <w:pageBreakBefore w:val="0"/>
              <w:kinsoku/>
              <w:wordWrap/>
              <w:overflowPunct/>
              <w:topLinePunct w:val="0"/>
              <w:autoSpaceDE/>
              <w:autoSpaceDN/>
              <w:bidi w:val="0"/>
              <w:spacing w:line="360" w:lineRule="auto"/>
              <w:ind w:left="0" w:leftChars="0" w:right="0"/>
              <w:jc w:val="left"/>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sz w:val="24"/>
                <w:szCs w:val="24"/>
                <w:highlight w:val="none"/>
                <w:lang w:val="zh-TW"/>
              </w:rPr>
              <w:t>不允许。</w:t>
            </w:r>
          </w:p>
        </w:tc>
      </w:tr>
      <w:tr w14:paraId="655AA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6" w:type="dxa"/>
            <w:vAlign w:val="center"/>
          </w:tcPr>
          <w:p w14:paraId="0E876E30">
            <w:pPr>
              <w:keepNext w:val="0"/>
              <w:keepLines w:val="0"/>
              <w:pageBreakBefore w:val="0"/>
              <w:kinsoku/>
              <w:wordWrap/>
              <w:overflowPunct/>
              <w:topLinePunct w:val="0"/>
              <w:autoSpaceDE/>
              <w:autoSpaceDN/>
              <w:bidi w:val="0"/>
              <w:adjustRightInd/>
              <w:spacing w:line="360" w:lineRule="auto"/>
              <w:ind w:left="0" w:leftChars="0" w:right="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34</w:t>
            </w:r>
          </w:p>
        </w:tc>
        <w:tc>
          <w:tcPr>
            <w:tcW w:w="1330" w:type="dxa"/>
            <w:vAlign w:val="center"/>
          </w:tcPr>
          <w:p w14:paraId="141591A3">
            <w:pPr>
              <w:keepNext w:val="0"/>
              <w:keepLines w:val="0"/>
              <w:pageBreakBefore w:val="0"/>
              <w:kinsoku/>
              <w:wordWrap/>
              <w:overflowPunct/>
              <w:topLinePunct w:val="0"/>
              <w:autoSpaceDE/>
              <w:autoSpaceDN/>
              <w:bidi w:val="0"/>
              <w:spacing w:line="360" w:lineRule="auto"/>
              <w:ind w:left="0" w:leftChars="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信用承诺公示要求</w:t>
            </w:r>
          </w:p>
        </w:tc>
        <w:tc>
          <w:tcPr>
            <w:tcW w:w="7107" w:type="dxa"/>
            <w:vAlign w:val="center"/>
          </w:tcPr>
          <w:p w14:paraId="44D662F8">
            <w:pPr>
              <w:pStyle w:val="16"/>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为深入贯彻信用体系建设的有关精神，根据市发改委《关于在工程招投标活动中推行信用监管试点示范工作的通知》（榆政发改发〔2020〕329号）和市财政局《关于在政府采购活动中使用信用记录和信用报告以及开展承诺工作的通知》（榆政财采函〔2020〕9号）在工程建设和政府采购领域全面推行信用公开承诺制，进入公共资源交易平台的各方交易主体（投标单位、授权代表），均应在“信用中国（陕西榆林）”网站进行注册、登陆，自主上报信用承诺书（网址：https://credit.yl.gov.cn/），各相关交易主体注册、登陆后根据承诺事项选择相应的模板填写《信用承诺书》，并载明承诺事由。</w:t>
            </w:r>
          </w:p>
          <w:p w14:paraId="454EF3EA">
            <w:pPr>
              <w:pStyle w:val="16"/>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信用承诺操作相关事宜如下：</w:t>
            </w:r>
          </w:p>
          <w:p w14:paraId="656A4B0F">
            <w:pPr>
              <w:pStyle w:val="16"/>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（1）进入信用中国“陕西榆林”页面，点击信用承诺，右上角显示主动上报，在承诺事项选择相应的承诺事项，承诺事项的名称为原纸质版的标题名称。</w:t>
            </w:r>
          </w:p>
          <w:p w14:paraId="666F194D">
            <w:pPr>
              <w:pStyle w:val="16"/>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（2）承诺事由为“项目名称+项目编号”。</w:t>
            </w:r>
          </w:p>
          <w:p w14:paraId="01255E61">
            <w:pPr>
              <w:pStyle w:val="16"/>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（3）供应商需上传四项信用承诺：①供应商信用承诺；②委托代理人信用承诺（被授权人注册自然人账号后上报承诺）；③《榆林市政府采购服务类项目供应商信用承诺书》；④</w:t>
            </w:r>
            <w:r>
              <w:rPr>
                <w:rFonts w:hint="eastAsia" w:ascii="宋体" w:hAnsi="宋体" w:eastAsia="宋体" w:cs="宋体"/>
                <w:i w:val="0"/>
                <w:iCs w:val="0"/>
                <w:caps w:val="0"/>
                <w:color w:val="auto"/>
                <w:spacing w:val="0"/>
                <w:sz w:val="24"/>
                <w:szCs w:val="24"/>
                <w:shd w:val="clear" w:color="auto" w:fill="FFFFFF"/>
                <w:lang w:val="en-US" w:eastAsia="zh-CN"/>
              </w:rPr>
              <w:t>投标信用承诺书</w:t>
            </w:r>
            <w:r>
              <w:rPr>
                <w:rFonts w:hint="eastAsia" w:ascii="宋体" w:hAnsi="宋体" w:eastAsia="宋体" w:cs="宋体"/>
                <w:color w:val="auto"/>
                <w:kern w:val="2"/>
                <w:sz w:val="24"/>
                <w:szCs w:val="24"/>
                <w:lang w:val="en-US" w:eastAsia="zh-CN" w:bidi="ar-SA"/>
              </w:rPr>
              <w:t>（信用承诺书的格式详见磋商文件格式中附件）。</w:t>
            </w:r>
          </w:p>
          <w:p w14:paraId="27BBB049">
            <w:pPr>
              <w:pStyle w:val="16"/>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（4）所有账号问题在政务网中咨询或拨打02987382893、029-87382894。</w:t>
            </w:r>
          </w:p>
          <w:p w14:paraId="6954723E">
            <w:pPr>
              <w:pStyle w:val="16"/>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注：如未按照上述要求办理，信用承诺公示迟报、漏报的列入不良行为记录。其投标将被否决，后果自负。供应商请将申报截图附在投标文件附件中，如不执行由此带来的不利后果供应商自行承担；</w:t>
            </w:r>
          </w:p>
          <w:p w14:paraId="1F13D0F3">
            <w:pPr>
              <w:keepNext w:val="0"/>
              <w:keepLines w:val="0"/>
              <w:pageBreakBefore w:val="0"/>
              <w:kinsoku/>
              <w:wordWrap/>
              <w:overflowPunct/>
              <w:topLinePunct w:val="0"/>
              <w:autoSpaceDE/>
              <w:autoSpaceDN/>
              <w:bidi w:val="0"/>
              <w:spacing w:line="360" w:lineRule="auto"/>
              <w:ind w:left="0" w:leftChars="0" w:right="0"/>
              <w:jc w:val="left"/>
              <w:rPr>
                <w:rFonts w:hint="eastAsia" w:ascii="宋体" w:hAnsi="宋体" w:eastAsia="宋体" w:cs="宋体"/>
                <w:color w:val="auto"/>
                <w:sz w:val="24"/>
                <w:szCs w:val="24"/>
                <w:highlight w:val="none"/>
                <w:lang w:val="zh-TW"/>
              </w:rPr>
            </w:pPr>
            <w:r>
              <w:rPr>
                <w:rFonts w:hint="eastAsia" w:ascii="宋体" w:hAnsi="宋体" w:eastAsia="宋体" w:cs="宋体"/>
                <w:b/>
                <w:bCs/>
                <w:color w:val="auto"/>
                <w:kern w:val="2"/>
                <w:sz w:val="24"/>
                <w:szCs w:val="24"/>
                <w:lang w:val="en-US" w:eastAsia="zh-CN" w:bidi="ar-SA"/>
              </w:rPr>
              <w:t>具体操作详见附件一：信用承诺上报操作指南。</w:t>
            </w:r>
          </w:p>
        </w:tc>
      </w:tr>
    </w:tbl>
    <w:p w14:paraId="6A74DF3B">
      <w:pPr>
        <w:pageBreakBefore w:val="0"/>
        <w:topLinePunct w:val="0"/>
        <w:bidi w:val="0"/>
        <w:spacing w:line="500" w:lineRule="exact"/>
        <w:ind w:left="0" w:leftChars="0" w:right="0"/>
        <w:rPr>
          <w:rFonts w:hint="eastAsia" w:ascii="宋体" w:hAnsi="宋体" w:eastAsia="宋体" w:cs="宋体"/>
          <w:color w:val="auto"/>
          <w:szCs w:val="24"/>
          <w:highlight w:val="none"/>
        </w:rPr>
      </w:pPr>
      <w:r>
        <w:rPr>
          <w:rFonts w:hint="eastAsia" w:ascii="宋体" w:hAnsi="宋体" w:eastAsia="宋体" w:cs="宋体"/>
          <w:color w:val="auto"/>
          <w:szCs w:val="24"/>
          <w:highlight w:val="none"/>
        </w:rPr>
        <w:t>本项目</w:t>
      </w:r>
      <w:r>
        <w:rPr>
          <w:rFonts w:hint="eastAsia" w:ascii="宋体" w:hAnsi="宋体" w:eastAsia="宋体" w:cs="宋体"/>
          <w:color w:val="auto"/>
          <w:szCs w:val="24"/>
          <w:highlight w:val="none"/>
          <w:lang w:val="en-US" w:eastAsia="zh-CN"/>
        </w:rPr>
        <w:t>采购</w:t>
      </w:r>
      <w:r>
        <w:rPr>
          <w:rFonts w:hint="eastAsia" w:ascii="宋体" w:hAnsi="宋体" w:eastAsia="宋体" w:cs="宋体"/>
          <w:color w:val="auto"/>
          <w:szCs w:val="24"/>
          <w:highlight w:val="none"/>
        </w:rPr>
        <w:t>依据《中华人民共和国政府采购法》等有关法律法规及规定。</w:t>
      </w:r>
    </w:p>
    <w:p w14:paraId="08ED79E0">
      <w:pPr>
        <w:pStyle w:val="3"/>
        <w:pageBreakBefore w:val="0"/>
        <w:kinsoku/>
        <w:wordWrap/>
        <w:overflowPunct/>
        <w:topLinePunct w:val="0"/>
        <w:autoSpaceDE/>
        <w:autoSpaceDN/>
        <w:bidi w:val="0"/>
        <w:adjustRightInd/>
        <w:snapToGrid/>
        <w:spacing w:before="0" w:after="0" w:line="240" w:lineRule="auto"/>
        <w:ind w:left="0" w:leftChars="0" w:right="0"/>
        <w:textAlignment w:val="auto"/>
        <w:rPr>
          <w:rFonts w:hint="eastAsia" w:ascii="宋体" w:hAnsi="宋体" w:eastAsia="宋体" w:cs="宋体"/>
          <w:color w:val="auto"/>
          <w:sz w:val="24"/>
          <w:szCs w:val="24"/>
          <w:highlight w:val="none"/>
        </w:rPr>
      </w:pPr>
      <w:bookmarkStart w:id="30" w:name="_Toc5087"/>
      <w:bookmarkStart w:id="31" w:name="_Toc8651"/>
      <w:r>
        <w:rPr>
          <w:rFonts w:hint="eastAsia" w:ascii="宋体" w:hAnsi="宋体" w:eastAsia="宋体" w:cs="宋体"/>
          <w:color w:val="auto"/>
          <w:sz w:val="24"/>
          <w:szCs w:val="24"/>
          <w:highlight w:val="none"/>
        </w:rPr>
        <w:t>（一）总则</w:t>
      </w:r>
      <w:bookmarkEnd w:id="30"/>
      <w:bookmarkEnd w:id="31"/>
    </w:p>
    <w:p w14:paraId="025E1349">
      <w:pPr>
        <w:pStyle w:val="4"/>
        <w:pageBreakBefore w:val="0"/>
        <w:kinsoku/>
        <w:wordWrap/>
        <w:overflowPunct/>
        <w:topLinePunct w:val="0"/>
        <w:autoSpaceDE/>
        <w:autoSpaceDN/>
        <w:bidi w:val="0"/>
        <w:adjustRightInd/>
        <w:snapToGrid/>
        <w:spacing w:before="0" w:after="0" w:line="500" w:lineRule="exact"/>
        <w:ind w:left="0" w:leftChars="0" w:right="0" w:firstLine="482" w:firstLineChars="200"/>
        <w:textAlignment w:val="auto"/>
        <w:rPr>
          <w:rFonts w:hint="eastAsia" w:ascii="宋体" w:hAnsi="宋体" w:eastAsia="宋体" w:cs="宋体"/>
          <w:color w:val="auto"/>
          <w:sz w:val="24"/>
          <w:szCs w:val="24"/>
          <w:highlight w:val="none"/>
        </w:rPr>
      </w:pPr>
      <w:bookmarkStart w:id="32" w:name="_Toc26872"/>
      <w:bookmarkStart w:id="33" w:name="_Toc23787"/>
      <w:r>
        <w:rPr>
          <w:rFonts w:hint="eastAsia" w:ascii="宋体" w:hAnsi="宋体" w:eastAsia="宋体" w:cs="宋体"/>
          <w:color w:val="auto"/>
          <w:sz w:val="24"/>
          <w:szCs w:val="24"/>
          <w:highlight w:val="none"/>
        </w:rPr>
        <w:t>1、适用范围</w:t>
      </w:r>
      <w:bookmarkEnd w:id="32"/>
      <w:bookmarkEnd w:id="33"/>
    </w:p>
    <w:p w14:paraId="07A6BF14">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本竞争性磋商文件仅适用于本项目的招标。</w:t>
      </w:r>
    </w:p>
    <w:p w14:paraId="1608D691">
      <w:pPr>
        <w:pStyle w:val="4"/>
        <w:pageBreakBefore w:val="0"/>
        <w:kinsoku/>
        <w:wordWrap/>
        <w:overflowPunct/>
        <w:topLinePunct w:val="0"/>
        <w:autoSpaceDE/>
        <w:autoSpaceDN/>
        <w:bidi w:val="0"/>
        <w:adjustRightInd/>
        <w:snapToGrid/>
        <w:spacing w:before="0" w:after="0" w:line="500" w:lineRule="exact"/>
        <w:ind w:left="0" w:leftChars="0" w:right="0" w:firstLine="482" w:firstLineChars="200"/>
        <w:textAlignment w:val="auto"/>
        <w:rPr>
          <w:rFonts w:hint="eastAsia" w:ascii="宋体" w:hAnsi="宋体" w:eastAsia="宋体" w:cs="宋体"/>
          <w:color w:val="auto"/>
          <w:sz w:val="24"/>
          <w:szCs w:val="24"/>
          <w:highlight w:val="none"/>
        </w:rPr>
      </w:pPr>
      <w:bookmarkStart w:id="34" w:name="_Toc16910"/>
      <w:bookmarkStart w:id="35" w:name="_Toc9233"/>
      <w:r>
        <w:rPr>
          <w:rFonts w:hint="eastAsia" w:ascii="宋体" w:hAnsi="宋体" w:eastAsia="宋体" w:cs="宋体"/>
          <w:color w:val="auto"/>
          <w:sz w:val="24"/>
          <w:szCs w:val="24"/>
          <w:highlight w:val="none"/>
        </w:rPr>
        <w:t>2、名词解释</w:t>
      </w:r>
      <w:bookmarkEnd w:id="34"/>
      <w:bookmarkEnd w:id="35"/>
    </w:p>
    <w:p w14:paraId="02519269">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2.1采购人：</w:t>
      </w:r>
      <w:r>
        <w:rPr>
          <w:rFonts w:hint="eastAsia" w:ascii="宋体" w:hAnsi="宋体" w:cs="宋体"/>
          <w:color w:val="auto"/>
          <w:sz w:val="24"/>
          <w:szCs w:val="24"/>
          <w:highlight w:val="none"/>
          <w:lang w:eastAsia="zh-CN"/>
        </w:rPr>
        <w:t>清涧县住房和城乡建设局</w:t>
      </w:r>
    </w:p>
    <w:p w14:paraId="4258F28A">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2.2采购代理机构：</w:t>
      </w:r>
      <w:r>
        <w:rPr>
          <w:rFonts w:hint="eastAsia" w:ascii="宋体" w:hAnsi="宋体" w:cs="宋体"/>
          <w:color w:val="auto"/>
          <w:sz w:val="24"/>
          <w:szCs w:val="24"/>
          <w:highlight w:val="none"/>
          <w:lang w:eastAsia="zh-CN"/>
        </w:rPr>
        <w:t>榆林腾达建诚信息咨询有限公司</w:t>
      </w:r>
    </w:p>
    <w:p w14:paraId="144EDBCF">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2.3供应商：响应招标并且符合磋商文件规定资格条件和参加竞争的供应商</w:t>
      </w:r>
      <w:r>
        <w:rPr>
          <w:rFonts w:hint="eastAsia" w:ascii="宋体" w:hAnsi="宋体" w:eastAsia="宋体" w:cs="宋体"/>
          <w:color w:val="auto"/>
          <w:sz w:val="24"/>
          <w:szCs w:val="24"/>
          <w:highlight w:val="none"/>
          <w:lang w:eastAsia="zh-CN"/>
        </w:rPr>
        <w:t>。</w:t>
      </w:r>
    </w:p>
    <w:p w14:paraId="447A86C3">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2.4项目：指磋商文件规定供应商须承担的</w:t>
      </w:r>
      <w:r>
        <w:rPr>
          <w:rFonts w:hint="eastAsia" w:ascii="宋体" w:hAnsi="宋体" w:cs="宋体"/>
          <w:color w:val="auto"/>
          <w:sz w:val="24"/>
          <w:szCs w:val="24"/>
          <w:highlight w:val="none"/>
          <w:lang w:eastAsia="zh-CN"/>
        </w:rPr>
        <w:t>清涧县第三污水处理厂及配套管网工程建设项目(配套管网延伸工程)监理</w:t>
      </w:r>
      <w:r>
        <w:rPr>
          <w:rFonts w:hint="eastAsia" w:ascii="宋体" w:hAnsi="宋体" w:eastAsia="宋体" w:cs="宋体"/>
          <w:color w:val="auto"/>
          <w:sz w:val="24"/>
          <w:szCs w:val="24"/>
          <w:highlight w:val="none"/>
          <w:lang w:eastAsia="zh-CN"/>
        </w:rPr>
        <w:t>采购项目</w:t>
      </w:r>
      <w:r>
        <w:rPr>
          <w:rFonts w:hint="eastAsia" w:ascii="宋体" w:hAnsi="宋体" w:eastAsia="宋体" w:cs="宋体"/>
          <w:color w:val="auto"/>
          <w:sz w:val="24"/>
          <w:szCs w:val="24"/>
          <w:highlight w:val="none"/>
        </w:rPr>
        <w:t>的相关工作。</w:t>
      </w:r>
    </w:p>
    <w:p w14:paraId="6BAA8EFE">
      <w:pPr>
        <w:pStyle w:val="4"/>
        <w:pageBreakBefore w:val="0"/>
        <w:kinsoku/>
        <w:wordWrap/>
        <w:overflowPunct/>
        <w:topLinePunct w:val="0"/>
        <w:autoSpaceDE/>
        <w:autoSpaceDN/>
        <w:bidi w:val="0"/>
        <w:adjustRightInd/>
        <w:snapToGrid/>
        <w:spacing w:before="0" w:after="0" w:line="500" w:lineRule="exact"/>
        <w:ind w:left="0" w:leftChars="0" w:right="0" w:firstLine="482" w:firstLineChars="200"/>
        <w:textAlignment w:val="auto"/>
        <w:rPr>
          <w:rFonts w:hint="eastAsia" w:ascii="宋体" w:hAnsi="宋体" w:eastAsia="宋体" w:cs="宋体"/>
          <w:color w:val="auto"/>
          <w:sz w:val="24"/>
          <w:szCs w:val="24"/>
          <w:highlight w:val="none"/>
        </w:rPr>
      </w:pPr>
      <w:bookmarkStart w:id="36" w:name="_Toc30349"/>
      <w:bookmarkStart w:id="37" w:name="_Toc14085"/>
      <w:r>
        <w:rPr>
          <w:rFonts w:hint="eastAsia" w:ascii="宋体" w:hAnsi="宋体" w:eastAsia="宋体" w:cs="宋体"/>
          <w:color w:val="auto"/>
          <w:sz w:val="24"/>
          <w:szCs w:val="24"/>
          <w:highlight w:val="none"/>
        </w:rPr>
        <w:t>3、合格的供应商</w:t>
      </w:r>
      <w:bookmarkEnd w:id="36"/>
      <w:bookmarkEnd w:id="37"/>
    </w:p>
    <w:p w14:paraId="35091C2E">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3.1满足磋商中对供应商所提出的全部要求。</w:t>
      </w:r>
    </w:p>
    <w:p w14:paraId="2FCC7E67">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3.2供应商应从采购代理机构</w:t>
      </w:r>
      <w:r>
        <w:rPr>
          <w:rFonts w:hint="eastAsia" w:ascii="宋体" w:hAnsi="宋体" w:eastAsia="宋体" w:cs="宋体"/>
          <w:color w:val="auto"/>
          <w:sz w:val="24"/>
          <w:szCs w:val="24"/>
          <w:highlight w:val="none"/>
          <w:lang w:eastAsia="zh-CN"/>
        </w:rPr>
        <w:t>获取</w:t>
      </w:r>
      <w:r>
        <w:rPr>
          <w:rFonts w:hint="eastAsia" w:ascii="宋体" w:hAnsi="宋体" w:eastAsia="宋体" w:cs="宋体"/>
          <w:color w:val="auto"/>
          <w:sz w:val="24"/>
          <w:szCs w:val="24"/>
          <w:highlight w:val="none"/>
        </w:rPr>
        <w:t>磋商文件，其他未</w:t>
      </w:r>
      <w:r>
        <w:rPr>
          <w:rFonts w:hint="eastAsia" w:ascii="宋体" w:hAnsi="宋体" w:eastAsia="宋体" w:cs="宋体"/>
          <w:color w:val="auto"/>
          <w:sz w:val="24"/>
          <w:szCs w:val="24"/>
          <w:highlight w:val="none"/>
          <w:lang w:eastAsia="zh-CN"/>
        </w:rPr>
        <w:t>获取</w:t>
      </w:r>
      <w:r>
        <w:rPr>
          <w:rFonts w:hint="eastAsia" w:ascii="宋体" w:hAnsi="宋体" w:eastAsia="宋体" w:cs="宋体"/>
          <w:color w:val="auto"/>
          <w:sz w:val="24"/>
          <w:szCs w:val="24"/>
          <w:highlight w:val="none"/>
        </w:rPr>
        <w:t>磋商文件的潜在供应商均无资格参加本次磋商。</w:t>
      </w:r>
    </w:p>
    <w:p w14:paraId="3445B621">
      <w:pPr>
        <w:pStyle w:val="4"/>
        <w:pageBreakBefore w:val="0"/>
        <w:kinsoku/>
        <w:wordWrap/>
        <w:overflowPunct/>
        <w:topLinePunct w:val="0"/>
        <w:autoSpaceDE/>
        <w:autoSpaceDN/>
        <w:bidi w:val="0"/>
        <w:adjustRightInd/>
        <w:snapToGrid/>
        <w:spacing w:before="0" w:after="0" w:line="500" w:lineRule="exact"/>
        <w:ind w:left="0" w:leftChars="0" w:right="0" w:firstLine="482" w:firstLineChars="200"/>
        <w:textAlignment w:val="auto"/>
        <w:rPr>
          <w:rFonts w:hint="eastAsia" w:ascii="宋体" w:hAnsi="宋体" w:eastAsia="宋体" w:cs="宋体"/>
          <w:color w:val="auto"/>
          <w:sz w:val="24"/>
          <w:szCs w:val="24"/>
          <w:highlight w:val="none"/>
        </w:rPr>
      </w:pPr>
      <w:bookmarkStart w:id="38" w:name="_Toc30476"/>
      <w:bookmarkStart w:id="39" w:name="_Toc5921"/>
      <w:r>
        <w:rPr>
          <w:rFonts w:hint="eastAsia" w:ascii="宋体" w:hAnsi="宋体" w:eastAsia="宋体" w:cs="宋体"/>
          <w:color w:val="auto"/>
          <w:sz w:val="24"/>
          <w:szCs w:val="24"/>
          <w:highlight w:val="none"/>
        </w:rPr>
        <w:t>4、保密</w:t>
      </w:r>
      <w:bookmarkEnd w:id="38"/>
      <w:bookmarkEnd w:id="39"/>
    </w:p>
    <w:p w14:paraId="02DA4A06">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参与磋商活动的各方应对磋商文件和响应文件中的商业和技术等秘密保密，违者应对由此造成的后果承担法律责任。 </w:t>
      </w:r>
    </w:p>
    <w:p w14:paraId="0012055C">
      <w:pPr>
        <w:pStyle w:val="4"/>
        <w:pageBreakBefore w:val="0"/>
        <w:kinsoku/>
        <w:wordWrap/>
        <w:overflowPunct/>
        <w:topLinePunct w:val="0"/>
        <w:autoSpaceDE/>
        <w:autoSpaceDN/>
        <w:bidi w:val="0"/>
        <w:adjustRightInd/>
        <w:snapToGrid/>
        <w:spacing w:before="0" w:after="0" w:line="500" w:lineRule="exact"/>
        <w:ind w:left="0" w:leftChars="0" w:right="0" w:firstLine="482" w:firstLineChars="200"/>
        <w:textAlignment w:val="auto"/>
        <w:rPr>
          <w:rFonts w:hint="eastAsia" w:ascii="宋体" w:hAnsi="宋体" w:eastAsia="宋体" w:cs="宋体"/>
          <w:color w:val="auto"/>
          <w:sz w:val="24"/>
          <w:szCs w:val="24"/>
          <w:highlight w:val="none"/>
        </w:rPr>
      </w:pPr>
      <w:bookmarkStart w:id="40" w:name="_Toc15063"/>
      <w:bookmarkStart w:id="41" w:name="_Toc394934414"/>
      <w:bookmarkStart w:id="42" w:name="_Toc32395"/>
      <w:bookmarkStart w:id="43" w:name="_Toc246928899"/>
      <w:r>
        <w:rPr>
          <w:rFonts w:hint="eastAsia" w:ascii="宋体" w:hAnsi="宋体" w:eastAsia="宋体" w:cs="宋体"/>
          <w:color w:val="auto"/>
          <w:sz w:val="24"/>
          <w:szCs w:val="24"/>
          <w:highlight w:val="none"/>
        </w:rPr>
        <w:t>5、费用</w:t>
      </w:r>
      <w:bookmarkEnd w:id="40"/>
      <w:bookmarkEnd w:id="41"/>
      <w:bookmarkEnd w:id="42"/>
      <w:bookmarkEnd w:id="43"/>
    </w:p>
    <w:p w14:paraId="3BFB58CB">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供应商应承担所有与编写和提交响应文件有关的费用，无论磋商过程中的做法和结果如何，采购人在任何情况下均无义务和责任承担这些费用。</w:t>
      </w:r>
    </w:p>
    <w:p w14:paraId="6A6391D2">
      <w:pPr>
        <w:pStyle w:val="3"/>
        <w:pageBreakBefore w:val="0"/>
        <w:kinsoku/>
        <w:wordWrap/>
        <w:overflowPunct/>
        <w:topLinePunct w:val="0"/>
        <w:autoSpaceDE/>
        <w:autoSpaceDN/>
        <w:bidi w:val="0"/>
        <w:adjustRightInd/>
        <w:snapToGrid/>
        <w:spacing w:before="0" w:after="0" w:line="500" w:lineRule="exact"/>
        <w:ind w:left="0" w:leftChars="0" w:right="0"/>
        <w:textAlignment w:val="auto"/>
        <w:rPr>
          <w:rFonts w:hint="eastAsia" w:ascii="宋体" w:hAnsi="宋体" w:eastAsia="宋体" w:cs="宋体"/>
          <w:color w:val="auto"/>
          <w:sz w:val="24"/>
          <w:szCs w:val="24"/>
          <w:highlight w:val="none"/>
        </w:rPr>
      </w:pPr>
      <w:bookmarkStart w:id="44" w:name="_Toc5829"/>
      <w:bookmarkStart w:id="45" w:name="_Toc25674"/>
      <w:r>
        <w:rPr>
          <w:rFonts w:hint="eastAsia" w:ascii="宋体" w:hAnsi="宋体" w:eastAsia="宋体" w:cs="宋体"/>
          <w:color w:val="auto"/>
          <w:sz w:val="24"/>
          <w:szCs w:val="24"/>
          <w:highlight w:val="none"/>
        </w:rPr>
        <w:t>（二）磋商文件说明</w:t>
      </w:r>
      <w:bookmarkEnd w:id="44"/>
      <w:bookmarkEnd w:id="45"/>
    </w:p>
    <w:p w14:paraId="715148E8">
      <w:pPr>
        <w:pStyle w:val="4"/>
        <w:pageBreakBefore w:val="0"/>
        <w:kinsoku/>
        <w:wordWrap/>
        <w:overflowPunct/>
        <w:topLinePunct w:val="0"/>
        <w:autoSpaceDE/>
        <w:autoSpaceDN/>
        <w:bidi w:val="0"/>
        <w:adjustRightInd/>
        <w:snapToGrid/>
        <w:spacing w:before="0" w:after="0" w:line="500" w:lineRule="exact"/>
        <w:ind w:left="0" w:leftChars="0" w:right="0" w:firstLine="482" w:firstLineChars="200"/>
        <w:textAlignment w:val="auto"/>
        <w:rPr>
          <w:rFonts w:hint="eastAsia" w:ascii="宋体" w:hAnsi="宋体" w:eastAsia="宋体" w:cs="宋体"/>
          <w:color w:val="auto"/>
          <w:sz w:val="24"/>
          <w:szCs w:val="24"/>
          <w:highlight w:val="none"/>
        </w:rPr>
      </w:pPr>
      <w:bookmarkStart w:id="46" w:name="_Toc14536"/>
      <w:bookmarkStart w:id="47" w:name="_Toc13372"/>
      <w:r>
        <w:rPr>
          <w:rFonts w:hint="eastAsia" w:ascii="宋体" w:hAnsi="宋体" w:eastAsia="宋体" w:cs="宋体"/>
          <w:color w:val="auto"/>
          <w:sz w:val="24"/>
          <w:szCs w:val="24"/>
          <w:highlight w:val="none"/>
        </w:rPr>
        <w:t>6、磋商文件的组成</w:t>
      </w:r>
      <w:bookmarkEnd w:id="46"/>
      <w:bookmarkEnd w:id="47"/>
    </w:p>
    <w:p w14:paraId="4D3B9E80">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6.1磋商文件依据本项目的特点及需求编制，具体包括以下内容：</w:t>
      </w:r>
    </w:p>
    <w:p w14:paraId="50154E44">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（1）竞争性磋商公告</w:t>
      </w:r>
    </w:p>
    <w:p w14:paraId="4A5FF3AD">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（2）供应商须知</w:t>
      </w:r>
    </w:p>
    <w:p w14:paraId="6DD3A8E7">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（3）合同条款及格式</w:t>
      </w:r>
    </w:p>
    <w:p w14:paraId="4EA294DB">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商务要求</w:t>
      </w:r>
    </w:p>
    <w:p w14:paraId="7A6DD798">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采购内容及技术要求</w:t>
      </w:r>
    </w:p>
    <w:p w14:paraId="45C9BD6C">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）响应文件格式</w:t>
      </w:r>
    </w:p>
    <w:p w14:paraId="3A3DBC46">
      <w:pPr>
        <w:pStyle w:val="4"/>
        <w:pageBreakBefore w:val="0"/>
        <w:kinsoku/>
        <w:wordWrap/>
        <w:overflowPunct/>
        <w:topLinePunct w:val="0"/>
        <w:autoSpaceDE/>
        <w:autoSpaceDN/>
        <w:bidi w:val="0"/>
        <w:adjustRightInd/>
        <w:snapToGrid/>
        <w:spacing w:before="0" w:after="0" w:line="500" w:lineRule="exact"/>
        <w:ind w:left="0" w:leftChars="0" w:right="0" w:firstLine="482" w:firstLineChars="200"/>
        <w:textAlignment w:val="auto"/>
        <w:rPr>
          <w:rFonts w:hint="eastAsia" w:ascii="宋体" w:hAnsi="宋体" w:eastAsia="宋体" w:cs="宋体"/>
          <w:color w:val="auto"/>
          <w:sz w:val="24"/>
          <w:szCs w:val="24"/>
          <w:highlight w:val="none"/>
        </w:rPr>
      </w:pPr>
      <w:bookmarkStart w:id="48" w:name="_Toc31434"/>
      <w:bookmarkStart w:id="49" w:name="_Toc29885"/>
      <w:r>
        <w:rPr>
          <w:rFonts w:hint="eastAsia" w:ascii="宋体" w:hAnsi="宋体" w:eastAsia="宋体" w:cs="宋体"/>
          <w:color w:val="auto"/>
          <w:sz w:val="24"/>
          <w:szCs w:val="24"/>
          <w:highlight w:val="none"/>
        </w:rPr>
        <w:t>7、磋商文件的澄清及修改</w:t>
      </w:r>
      <w:bookmarkEnd w:id="48"/>
      <w:bookmarkEnd w:id="49"/>
    </w:p>
    <w:p w14:paraId="0FAB93C3">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任何要求对磋商文件进行澄清的供应商，均应在磋商截止期五日前按磋商文件中的通讯地址以书面形式通知采购代理机构，采购代理机构对收到的书面澄清将以书面形式在磋商截止期三日前予以答复，并通知其它</w:t>
      </w:r>
      <w:r>
        <w:rPr>
          <w:rFonts w:hint="eastAsia" w:ascii="宋体" w:hAnsi="宋体" w:eastAsia="宋体" w:cs="宋体"/>
          <w:color w:val="auto"/>
          <w:sz w:val="24"/>
          <w:szCs w:val="24"/>
          <w:highlight w:val="none"/>
          <w:lang w:eastAsia="zh-CN"/>
        </w:rPr>
        <w:t>获取</w:t>
      </w:r>
      <w:r>
        <w:rPr>
          <w:rFonts w:hint="eastAsia" w:ascii="宋体" w:hAnsi="宋体" w:eastAsia="宋体" w:cs="宋体"/>
          <w:color w:val="auto"/>
          <w:sz w:val="24"/>
          <w:szCs w:val="24"/>
          <w:highlight w:val="none"/>
        </w:rPr>
        <w:t>磋商文件的供应商。</w:t>
      </w:r>
    </w:p>
    <w:p w14:paraId="32B9C7D6">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7.2采购代理机构对已发出的磋商文件进行必要澄清或者修改的，在磋商文件要求提交磋商响应文件截止时间</w:t>
      </w:r>
      <w:r>
        <w:rPr>
          <w:rFonts w:hint="eastAsia" w:ascii="宋体" w:hAnsi="宋体" w:eastAsia="宋体" w:cs="宋体"/>
          <w:color w:val="auto"/>
          <w:sz w:val="24"/>
          <w:szCs w:val="24"/>
          <w:highlight w:val="none"/>
          <w:lang w:val="en-US" w:eastAsia="zh-CN"/>
        </w:rPr>
        <w:t>至少</w:t>
      </w:r>
      <w:r>
        <w:rPr>
          <w:rFonts w:hint="eastAsia" w:ascii="宋体" w:hAnsi="宋体" w:eastAsia="宋体" w:cs="宋体"/>
          <w:color w:val="auto"/>
          <w:sz w:val="24"/>
          <w:szCs w:val="24"/>
          <w:highlight w:val="none"/>
        </w:rPr>
        <w:t>五日前，以书面形式通知所有</w:t>
      </w:r>
      <w:r>
        <w:rPr>
          <w:rFonts w:hint="eastAsia" w:ascii="宋体" w:hAnsi="宋体" w:eastAsia="宋体" w:cs="宋体"/>
          <w:color w:val="auto"/>
          <w:sz w:val="24"/>
          <w:szCs w:val="24"/>
          <w:highlight w:val="none"/>
          <w:lang w:eastAsia="zh-CN"/>
        </w:rPr>
        <w:t>获取</w:t>
      </w:r>
      <w:r>
        <w:rPr>
          <w:rFonts w:hint="eastAsia" w:ascii="宋体" w:hAnsi="宋体" w:eastAsia="宋体" w:cs="宋体"/>
          <w:color w:val="auto"/>
          <w:sz w:val="24"/>
          <w:szCs w:val="24"/>
          <w:highlight w:val="none"/>
        </w:rPr>
        <w:t>磋商文件的供应商，该澄清或者修改的内容作为磋商文件的组成部分，与其具有同等法律效力；</w:t>
      </w:r>
    </w:p>
    <w:p w14:paraId="0507ED51">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7.3为方便供应商对磋商文件修改或澄清内容有充分的时间进行补充修改，采购代理机构可延长磋商截止时间和磋商时间，均应在磋商文件要求提交磋商响应文件的截止时间五日前，将变更时间书面通知所有</w:t>
      </w:r>
      <w:r>
        <w:rPr>
          <w:rFonts w:hint="eastAsia" w:ascii="宋体" w:hAnsi="宋体" w:eastAsia="宋体" w:cs="宋体"/>
          <w:color w:val="auto"/>
          <w:sz w:val="24"/>
          <w:szCs w:val="24"/>
          <w:highlight w:val="none"/>
          <w:lang w:eastAsia="zh-CN"/>
        </w:rPr>
        <w:t>获取</w:t>
      </w:r>
      <w:r>
        <w:rPr>
          <w:rFonts w:hint="eastAsia" w:ascii="宋体" w:hAnsi="宋体" w:eastAsia="宋体" w:cs="宋体"/>
          <w:color w:val="auto"/>
          <w:sz w:val="24"/>
          <w:szCs w:val="24"/>
          <w:highlight w:val="none"/>
        </w:rPr>
        <w:t>磋商文件的供应商。</w:t>
      </w:r>
    </w:p>
    <w:p w14:paraId="63B08945">
      <w:pPr>
        <w:pStyle w:val="4"/>
        <w:pageBreakBefore w:val="0"/>
        <w:numPr>
          <w:ilvl w:val="0"/>
          <w:numId w:val="2"/>
        </w:numPr>
        <w:kinsoku/>
        <w:wordWrap/>
        <w:overflowPunct/>
        <w:topLinePunct w:val="0"/>
        <w:autoSpaceDE/>
        <w:autoSpaceDN/>
        <w:bidi w:val="0"/>
        <w:adjustRightInd/>
        <w:snapToGrid/>
        <w:spacing w:before="0" w:after="0" w:line="500" w:lineRule="exact"/>
        <w:ind w:left="0" w:leftChars="0" w:right="0" w:firstLine="482" w:firstLineChars="200"/>
        <w:textAlignment w:val="auto"/>
        <w:rPr>
          <w:rFonts w:hint="eastAsia" w:ascii="宋体" w:hAnsi="宋体" w:eastAsia="宋体" w:cs="宋体"/>
          <w:color w:val="auto"/>
          <w:sz w:val="24"/>
          <w:szCs w:val="24"/>
          <w:highlight w:val="none"/>
        </w:rPr>
      </w:pPr>
      <w:bookmarkStart w:id="50" w:name="_Toc17477"/>
      <w:bookmarkStart w:id="51" w:name="_Toc8827"/>
      <w:r>
        <w:rPr>
          <w:rFonts w:hint="eastAsia" w:ascii="宋体" w:hAnsi="宋体" w:eastAsia="宋体" w:cs="宋体"/>
          <w:color w:val="auto"/>
          <w:sz w:val="24"/>
          <w:szCs w:val="24"/>
          <w:highlight w:val="none"/>
        </w:rPr>
        <w:t>供应商信用记录查询及政府采购项目需要落实的政策</w:t>
      </w:r>
      <w:bookmarkEnd w:id="50"/>
      <w:bookmarkEnd w:id="51"/>
    </w:p>
    <w:p w14:paraId="6EF66059">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8.1</w:t>
      </w:r>
      <w:r>
        <w:rPr>
          <w:rFonts w:hint="eastAsia" w:ascii="宋体" w:hAnsi="宋体" w:eastAsia="宋体" w:cs="宋体"/>
          <w:color w:val="auto"/>
          <w:kern w:val="0"/>
          <w:sz w:val="24"/>
          <w:szCs w:val="24"/>
          <w:highlight w:val="none"/>
          <w:shd w:val="clear" w:color="auto" w:fill="FFFFFF"/>
        </w:rPr>
        <w:t>对列入“信用中国”网站(www.creditchina.gov.cn)“记录失信被执行人、</w:t>
      </w:r>
      <w:r>
        <w:rPr>
          <w:rFonts w:hint="eastAsia" w:ascii="宋体" w:hAnsi="宋体" w:eastAsia="宋体" w:cs="宋体"/>
          <w:color w:val="auto"/>
          <w:kern w:val="0"/>
          <w:sz w:val="24"/>
          <w:szCs w:val="24"/>
          <w:highlight w:val="none"/>
          <w:shd w:val="clear" w:color="auto" w:fill="FFFFFF"/>
          <w:lang w:eastAsia="zh-CN"/>
        </w:rPr>
        <w:t>重大税收违法失信主体</w:t>
      </w:r>
      <w:r>
        <w:rPr>
          <w:rFonts w:hint="eastAsia" w:ascii="宋体" w:hAnsi="宋体" w:eastAsia="宋体" w:cs="宋体"/>
          <w:color w:val="auto"/>
          <w:kern w:val="0"/>
          <w:sz w:val="24"/>
          <w:szCs w:val="24"/>
          <w:highlight w:val="none"/>
          <w:shd w:val="clear" w:color="auto" w:fill="FFFFFF"/>
        </w:rPr>
        <w:t>、企业经营异常名录”记录名单</w:t>
      </w:r>
      <w:r>
        <w:rPr>
          <w:rFonts w:hint="eastAsia" w:ascii="宋体" w:hAnsi="宋体" w:eastAsia="宋体" w:cs="宋体"/>
          <w:color w:val="auto"/>
          <w:sz w:val="24"/>
          <w:szCs w:val="24"/>
          <w:highlight w:val="none"/>
        </w:rPr>
        <w:t>；中国政府采购网(www.ccgp.gov.cn)“政府采购严重违法失信行为信息记录”的单位，应当拒绝参与政府采购活动，采购代理机构于磋商截止日当天在“信用中国”网站（www.creditchina.gov.cn）查询结果为准，如相关失信记录已失效，需提供相关证明资料</w:t>
      </w:r>
      <w:r>
        <w:rPr>
          <w:rFonts w:hint="eastAsia" w:ascii="宋体" w:hAnsi="宋体" w:eastAsia="宋体" w:cs="宋体"/>
          <w:color w:val="auto"/>
          <w:sz w:val="24"/>
          <w:szCs w:val="24"/>
          <w:highlight w:val="none"/>
          <w:lang w:eastAsia="zh-CN"/>
        </w:rPr>
        <w:t>。</w:t>
      </w:r>
    </w:p>
    <w:p w14:paraId="0773138B">
      <w:pPr>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500" w:lineRule="exact"/>
        <w:ind w:left="0" w:leftChars="0" w:righ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w:t>
      </w:r>
      <w:r>
        <w:rPr>
          <w:rFonts w:hint="eastAsia" w:ascii="宋体" w:hAnsi="宋体" w:eastAsia="宋体" w:cs="宋体"/>
          <w:color w:val="auto"/>
          <w:sz w:val="24"/>
          <w:szCs w:val="24"/>
          <w:highlight w:val="none"/>
          <w:lang w:val="en-US" w:eastAsia="zh-CN"/>
        </w:rPr>
        <w:t>政策性扣减</w:t>
      </w:r>
      <w:r>
        <w:rPr>
          <w:rFonts w:hint="eastAsia" w:ascii="宋体" w:hAnsi="宋体" w:eastAsia="宋体" w:cs="宋体"/>
          <w:color w:val="auto"/>
          <w:sz w:val="24"/>
          <w:szCs w:val="24"/>
          <w:highlight w:val="none"/>
        </w:rPr>
        <w:t>：</w:t>
      </w:r>
    </w:p>
    <w:p w14:paraId="7B2C44FF">
      <w:pPr>
        <w:pStyle w:val="8"/>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00" w:lineRule="exact"/>
        <w:ind w:left="0" w:leftChars="0" w:right="0" w:firstLine="480" w:firstLineChars="200"/>
        <w:jc w:val="both"/>
        <w:textAlignment w:val="auto"/>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pPr>
      <w:bookmarkStart w:id="52" w:name="_Toc23988"/>
      <w:bookmarkStart w:id="53" w:name="_Toc3971"/>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《政府采购促进中小企业发展管理办法》（财库〔2020〕46号）；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 xml:space="preserve">   </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（2）《财政部司法部关于政府采购支持监狱企业发展有关问题的通知》（财库〔2014〕68号）；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 xml:space="preserve">   </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（3）《财政部、民政部、中国残疾人联合会关于促进残疾人就业政府采购政策的通知》（财库[2017]141号）；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 xml:space="preserve">  </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（4）陕西省财政厅关于印发《陕西省中小企业政府采购信用融资办法》（陕财办采〔2018〕23号）；相关政策、业务流程、办理平台</w:t>
      </w:r>
    </w:p>
    <w:p w14:paraId="0D0426A4">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00" w:lineRule="exact"/>
        <w:ind w:left="480" w:leftChars="200" w:right="0" w:rightChars="0" w:firstLine="0" w:firstLineChars="0"/>
        <w:jc w:val="both"/>
        <w:textAlignment w:val="auto"/>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(http://www.ccgpshaanxi.gov.cn/zcdservice/zcd/shanxi/)；</w:t>
      </w:r>
    </w:p>
    <w:p w14:paraId="7C86FD72">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00" w:lineRule="exact"/>
        <w:ind w:right="0" w:rightChars="0"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（5）《关于在政府采购活动中查询及使用信用记录有关问题的通知》（财库〔2016〕125号）；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 xml:space="preserve">    </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（6）《榆林市财政局关于进一步加大政府采购支持中小企业力度的通知》（榆政财采发〔2022〕10号)；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 xml:space="preserve">    </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（7）《陕西省财政厅关于进一步加大政府采购支持中小企业力度的通知》(陕财采发〔2022〕5号)；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 xml:space="preserve">     </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（8）《陕西省财政厅中国人民银行西安分行关于深人推进政府采购信用融资业务的通知》（陕财办采〔2023]5号）；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 xml:space="preserve">     </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（9）《关于进一步加强政府绿色采购有关问题的通知》陕财办采[2021]29号；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 xml:space="preserve">    </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（10）其他需要落实的政府采购政策（如有最新颁布的政府采购政策，按最新文件执行）。</w:t>
      </w:r>
    </w:p>
    <w:p w14:paraId="454039A1">
      <w:pPr>
        <w:pStyle w:val="3"/>
        <w:pageBreakBefore w:val="0"/>
        <w:kinsoku/>
        <w:wordWrap/>
        <w:overflowPunct/>
        <w:topLinePunct w:val="0"/>
        <w:autoSpaceDE/>
        <w:autoSpaceDN/>
        <w:bidi w:val="0"/>
        <w:adjustRightInd/>
        <w:snapToGrid/>
        <w:spacing w:before="0" w:after="0" w:line="500" w:lineRule="exact"/>
        <w:ind w:left="0" w:leftChars="0" w:right="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（三）竞争性磋商响应文件的编写</w:t>
      </w:r>
      <w:bookmarkEnd w:id="52"/>
      <w:bookmarkEnd w:id="53"/>
    </w:p>
    <w:p w14:paraId="1F987D3A">
      <w:pPr>
        <w:pStyle w:val="4"/>
        <w:pageBreakBefore w:val="0"/>
        <w:kinsoku/>
        <w:wordWrap/>
        <w:overflowPunct/>
        <w:topLinePunct w:val="0"/>
        <w:autoSpaceDE/>
        <w:autoSpaceDN/>
        <w:bidi w:val="0"/>
        <w:adjustRightInd/>
        <w:snapToGrid/>
        <w:spacing w:before="0" w:after="0" w:line="500" w:lineRule="exact"/>
        <w:ind w:left="0" w:leftChars="0" w:right="0" w:firstLine="482" w:firstLineChars="200"/>
        <w:textAlignment w:val="auto"/>
        <w:rPr>
          <w:rFonts w:hint="eastAsia" w:ascii="宋体" w:hAnsi="宋体" w:eastAsia="宋体" w:cs="宋体"/>
          <w:color w:val="auto"/>
          <w:sz w:val="24"/>
          <w:szCs w:val="24"/>
          <w:highlight w:val="none"/>
        </w:rPr>
      </w:pPr>
      <w:bookmarkStart w:id="54" w:name="_Toc29736"/>
      <w:bookmarkStart w:id="55" w:name="_Toc26652"/>
      <w:r>
        <w:rPr>
          <w:rFonts w:hint="eastAsia" w:ascii="宋体" w:hAnsi="宋体" w:eastAsia="宋体" w:cs="宋体"/>
          <w:color w:val="auto"/>
          <w:sz w:val="24"/>
          <w:szCs w:val="24"/>
          <w:highlight w:val="none"/>
        </w:rPr>
        <w:t>9、响应文件的构成</w:t>
      </w:r>
      <w:bookmarkEnd w:id="54"/>
      <w:bookmarkEnd w:id="55"/>
    </w:p>
    <w:p w14:paraId="4B8523B4">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详见磋商文件中第</w:t>
      </w:r>
      <w:r>
        <w:rPr>
          <w:rFonts w:hint="eastAsia" w:ascii="宋体" w:hAnsi="宋体" w:eastAsia="宋体" w:cs="宋体"/>
          <w:color w:val="auto"/>
          <w:sz w:val="24"/>
          <w:szCs w:val="24"/>
          <w:highlight w:val="none"/>
          <w:lang w:eastAsia="zh-CN"/>
        </w:rPr>
        <w:t>七</w:t>
      </w:r>
      <w:r>
        <w:rPr>
          <w:rFonts w:hint="eastAsia" w:ascii="宋体" w:hAnsi="宋体" w:eastAsia="宋体" w:cs="宋体"/>
          <w:color w:val="auto"/>
          <w:sz w:val="24"/>
          <w:szCs w:val="24"/>
          <w:highlight w:val="none"/>
        </w:rPr>
        <w:t>章“响应文件格式”及磋商文件要求提供的资格证</w:t>
      </w:r>
      <w:r>
        <w:rPr>
          <w:rFonts w:hint="eastAsia" w:ascii="宋体" w:hAnsi="宋体" w:eastAsia="宋体" w:cs="宋体"/>
          <w:color w:val="auto"/>
          <w:sz w:val="24"/>
          <w:szCs w:val="24"/>
          <w:highlight w:val="none"/>
          <w:lang w:eastAsia="zh-CN"/>
        </w:rPr>
        <w:t>明文</w:t>
      </w:r>
      <w:r>
        <w:rPr>
          <w:rFonts w:hint="eastAsia" w:ascii="宋体" w:hAnsi="宋体" w:eastAsia="宋体" w:cs="宋体"/>
          <w:color w:val="auto"/>
          <w:sz w:val="24"/>
          <w:szCs w:val="24"/>
          <w:highlight w:val="none"/>
        </w:rPr>
        <w:t>件。</w:t>
      </w:r>
    </w:p>
    <w:p w14:paraId="1BCBF1D6">
      <w:pPr>
        <w:pStyle w:val="4"/>
        <w:pageBreakBefore w:val="0"/>
        <w:kinsoku/>
        <w:wordWrap/>
        <w:overflowPunct/>
        <w:topLinePunct w:val="0"/>
        <w:autoSpaceDE/>
        <w:autoSpaceDN/>
        <w:bidi w:val="0"/>
        <w:adjustRightInd/>
        <w:snapToGrid/>
        <w:spacing w:before="0" w:after="0" w:line="500" w:lineRule="exact"/>
        <w:ind w:left="0" w:leftChars="0" w:right="0" w:firstLine="482" w:firstLineChars="200"/>
        <w:textAlignment w:val="auto"/>
        <w:rPr>
          <w:rFonts w:hint="eastAsia" w:ascii="宋体" w:hAnsi="宋体" w:eastAsia="宋体" w:cs="宋体"/>
          <w:color w:val="auto"/>
          <w:sz w:val="24"/>
          <w:szCs w:val="24"/>
          <w:highlight w:val="none"/>
        </w:rPr>
      </w:pPr>
      <w:bookmarkStart w:id="56" w:name="_Toc14421"/>
      <w:bookmarkStart w:id="57" w:name="_Toc31439"/>
      <w:r>
        <w:rPr>
          <w:rFonts w:hint="eastAsia" w:ascii="宋体" w:hAnsi="宋体" w:eastAsia="宋体" w:cs="宋体"/>
          <w:color w:val="auto"/>
          <w:sz w:val="24"/>
          <w:szCs w:val="24"/>
          <w:highlight w:val="none"/>
        </w:rPr>
        <w:t>10、磋商报价</w:t>
      </w:r>
      <w:bookmarkEnd w:id="56"/>
      <w:bookmarkEnd w:id="57"/>
    </w:p>
    <w:p w14:paraId="693ED080">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10.1所有磋商报价均以人民币报价</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单位为元，精确到分。</w:t>
      </w:r>
      <w:r>
        <w:rPr>
          <w:rFonts w:hint="eastAsia" w:ascii="宋体" w:hAnsi="宋体" w:eastAsia="宋体" w:cs="宋体"/>
          <w:b/>
          <w:color w:val="auto"/>
          <w:sz w:val="24"/>
          <w:szCs w:val="24"/>
          <w:highlight w:val="none"/>
        </w:rPr>
        <w:t>报价大于</w:t>
      </w:r>
      <w:r>
        <w:rPr>
          <w:rFonts w:hint="eastAsia" w:ascii="宋体" w:hAnsi="宋体" w:eastAsia="宋体" w:cs="宋体"/>
          <w:b/>
          <w:color w:val="auto"/>
          <w:sz w:val="24"/>
          <w:szCs w:val="24"/>
          <w:highlight w:val="none"/>
          <w:lang w:val="en-US" w:eastAsia="zh-CN"/>
        </w:rPr>
        <w:t>或等于</w:t>
      </w:r>
      <w:r>
        <w:rPr>
          <w:rFonts w:hint="eastAsia" w:ascii="宋体" w:hAnsi="宋体" w:eastAsia="宋体" w:cs="宋体"/>
          <w:b/>
          <w:color w:val="auto"/>
          <w:sz w:val="24"/>
          <w:szCs w:val="24"/>
          <w:highlight w:val="none"/>
        </w:rPr>
        <w:t>预算价时，按无效报价处理，且不进第二轮报价。本项目不公开唱价。</w:t>
      </w:r>
    </w:p>
    <w:p w14:paraId="5B88390B">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10.2供应商依据磋商文件提供的招标要求等资料并自行考虑风险因素计算磋商报价，</w:t>
      </w:r>
      <w:r>
        <w:rPr>
          <w:rFonts w:hint="eastAsia" w:ascii="宋体" w:hAnsi="宋体" w:eastAsia="宋体" w:cs="宋体"/>
          <w:color w:val="auto"/>
          <w:kern w:val="2"/>
          <w:sz w:val="24"/>
          <w:szCs w:val="24"/>
          <w:highlight w:val="none"/>
          <w:lang w:val="zh-CN" w:eastAsia="zh-CN" w:bidi="ar-SA"/>
        </w:rPr>
        <w:t>合同价即成交价，供应商应在投标报价表明完成本次招标所要求服务的所有费用，投标报价表明成交本次服务的所有单项价格和总价，任何有选择的报价将不予接受，按无效投标处理。</w:t>
      </w:r>
    </w:p>
    <w:p w14:paraId="03514294">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10.3供应商必须就整个项目进行响应，不得将整个项目中的内容拆开响应。拆开响应的，按无效响应文件处理。</w:t>
      </w:r>
    </w:p>
    <w:p w14:paraId="05991923">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10.4凡因供应商对磋商文件阅读不深、理解不透、误解、疏漏、或因市场行情了解不清造成的后果和风险均由磋商供应商自负。磋商响应过程中所产生的一切费用由磋商供应商自行承担。</w:t>
      </w:r>
    </w:p>
    <w:p w14:paraId="42FB9936">
      <w:pPr>
        <w:pStyle w:val="4"/>
        <w:pageBreakBefore w:val="0"/>
        <w:kinsoku/>
        <w:wordWrap/>
        <w:overflowPunct/>
        <w:topLinePunct w:val="0"/>
        <w:autoSpaceDE/>
        <w:autoSpaceDN/>
        <w:bidi w:val="0"/>
        <w:adjustRightInd/>
        <w:snapToGrid/>
        <w:spacing w:before="0" w:after="0" w:line="500" w:lineRule="exact"/>
        <w:ind w:left="0" w:leftChars="0" w:right="0" w:firstLine="482" w:firstLineChars="200"/>
        <w:textAlignment w:val="auto"/>
        <w:rPr>
          <w:rFonts w:hint="eastAsia" w:ascii="宋体" w:hAnsi="宋体" w:eastAsia="宋体" w:cs="宋体"/>
          <w:color w:val="auto"/>
          <w:sz w:val="24"/>
          <w:szCs w:val="24"/>
          <w:highlight w:val="none"/>
          <w:lang w:eastAsia="zh-CN"/>
        </w:rPr>
      </w:pPr>
      <w:bookmarkStart w:id="58" w:name="_Toc29193"/>
      <w:bookmarkStart w:id="59" w:name="_Toc20041"/>
      <w:r>
        <w:rPr>
          <w:rFonts w:hint="eastAsia" w:ascii="宋体" w:hAnsi="宋体" w:eastAsia="宋体" w:cs="宋体"/>
          <w:color w:val="auto"/>
          <w:sz w:val="24"/>
          <w:szCs w:val="24"/>
          <w:highlight w:val="none"/>
        </w:rPr>
        <w:t>11、响应文件的</w:t>
      </w:r>
      <w:r>
        <w:rPr>
          <w:rFonts w:hint="eastAsia" w:ascii="宋体" w:hAnsi="宋体" w:eastAsia="宋体" w:cs="宋体"/>
          <w:color w:val="auto"/>
          <w:sz w:val="24"/>
          <w:szCs w:val="24"/>
          <w:highlight w:val="none"/>
          <w:lang w:val="en-US" w:eastAsia="zh-CN"/>
        </w:rPr>
        <w:t>递交</w:t>
      </w:r>
      <w:bookmarkEnd w:id="58"/>
      <w:bookmarkEnd w:id="59"/>
    </w:p>
    <w:p w14:paraId="7FE737DE">
      <w:pPr>
        <w:keepNext w:val="0"/>
        <w:keepLines w:val="0"/>
        <w:pageBreakBefore w:val="0"/>
        <w:widowControl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bookmarkStart w:id="60" w:name="_Toc19219"/>
      <w:bookmarkStart w:id="61" w:name="_Toc233435939"/>
      <w:bookmarkStart w:id="62" w:name="_Toc394934424"/>
      <w:bookmarkStart w:id="63" w:name="_Toc246928911"/>
      <w:bookmarkStart w:id="64" w:name="_Toc14787"/>
      <w:bookmarkStart w:id="65" w:name="_Toc317248152"/>
      <w:r>
        <w:rPr>
          <w:rFonts w:hint="eastAsia" w:ascii="宋体" w:hAnsi="宋体" w:eastAsia="宋体" w:cs="宋体"/>
          <w:color w:val="auto"/>
          <w:sz w:val="24"/>
          <w:szCs w:val="24"/>
          <w:highlight w:val="none"/>
          <w:lang w:val="en-US" w:eastAsia="zh-CN"/>
        </w:rPr>
        <w:t>11.1</w:t>
      </w:r>
      <w:r>
        <w:rPr>
          <w:rFonts w:hint="eastAsia" w:ascii="宋体" w:hAnsi="宋体" w:eastAsia="宋体" w:cs="宋体"/>
          <w:color w:val="auto"/>
          <w:sz w:val="24"/>
          <w:szCs w:val="24"/>
          <w:highlight w:val="none"/>
        </w:rPr>
        <w:t>各供应商应将</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响应文件的正本、所有副本、资质证明</w:t>
      </w:r>
      <w:r>
        <w:rPr>
          <w:rFonts w:hint="eastAsia" w:ascii="宋体" w:hAnsi="宋体" w:eastAsia="宋体" w:cs="宋体"/>
          <w:color w:val="auto"/>
          <w:sz w:val="24"/>
          <w:szCs w:val="24"/>
          <w:highlight w:val="none"/>
          <w:lang w:val="en-US" w:eastAsia="zh-CN"/>
        </w:rPr>
        <w:t>文件</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第一次磋商报价表</w:t>
      </w:r>
      <w:r>
        <w:rPr>
          <w:rFonts w:hint="eastAsia" w:ascii="宋体" w:hAnsi="宋体" w:eastAsia="宋体" w:cs="宋体"/>
          <w:color w:val="auto"/>
          <w:sz w:val="24"/>
          <w:szCs w:val="24"/>
          <w:highlight w:val="none"/>
        </w:rPr>
        <w:t>、电子版U盘（word版）一份，用单独的信封分别密封，且在信封上标明“正本”、“副本”、“电子版、“首轮报价一览表”“资格证明原件”字样。</w:t>
      </w:r>
    </w:p>
    <w:p w14:paraId="457880F1">
      <w:pPr>
        <w:keepNext w:val="0"/>
        <w:keepLines w:val="0"/>
        <w:pageBreakBefore w:val="0"/>
        <w:widowControl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11.2</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响应文件的密封：响应文件必须密封递交。对封装材料及样式不作特别规定，但供应商应当保证其封装的可靠性，不致因搬运、堆放等原因散开。封袋应加贴封条，用封条在</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文件袋的上方开口处密封,并在</w:t>
      </w:r>
      <w:r>
        <w:rPr>
          <w:rFonts w:hint="eastAsia" w:ascii="宋体" w:hAnsi="宋体" w:eastAsia="宋体" w:cs="宋体"/>
          <w:color w:val="000000" w:themeColor="text1"/>
          <w:sz w:val="24"/>
          <w:szCs w:val="24"/>
          <w:highlight w:val="none"/>
          <w14:textFill>
            <w14:solidFill>
              <w14:schemeClr w14:val="tx1"/>
            </w14:solidFill>
          </w14:textFill>
        </w:rPr>
        <w:t>封线（骑缝）处加盖单位公章</w:t>
      </w:r>
      <w:r>
        <w:rPr>
          <w:rFonts w:hint="eastAsia" w:ascii="宋体" w:hAnsi="宋体" w:eastAsia="宋体" w:cs="宋体"/>
          <w:color w:val="000000" w:themeColor="text1"/>
          <w:sz w:val="24"/>
          <w:szCs w:val="24"/>
          <w:highlight w:val="none"/>
          <w:lang w:val="en-US" w:eastAsia="zh-CN"/>
          <w14:textFill>
            <w14:solidFill>
              <w14:schemeClr w14:val="tx1"/>
            </w14:solidFill>
          </w14:textFill>
        </w:rPr>
        <w:t>及</w:t>
      </w:r>
      <w:r>
        <w:rPr>
          <w:rFonts w:hint="eastAsia" w:ascii="宋体" w:hAnsi="宋体" w:eastAsia="宋体" w:cs="宋体"/>
          <w:color w:val="000000" w:themeColor="text1"/>
          <w:sz w:val="24"/>
          <w:szCs w:val="24"/>
          <w:highlight w:val="none"/>
          <w14:textFill>
            <w14:solidFill>
              <w14:schemeClr w14:val="tx1"/>
            </w14:solidFill>
          </w14:textFill>
        </w:rPr>
        <w:t>法人章，封袋正面要粘贴</w:t>
      </w:r>
      <w:r>
        <w:rPr>
          <w:rFonts w:hint="eastAsia" w:ascii="宋体" w:hAnsi="宋体" w:eastAsia="宋体" w:cs="宋体"/>
          <w:color w:val="000000" w:themeColor="text1"/>
          <w:sz w:val="24"/>
          <w:szCs w:val="24"/>
          <w:highlight w:val="none"/>
          <w:lang w:eastAsia="zh-CN"/>
          <w14:textFill>
            <w14:solidFill>
              <w14:schemeClr w14:val="tx1"/>
            </w14:solidFill>
          </w14:textFill>
        </w:rPr>
        <w:t>供应商</w:t>
      </w:r>
      <w:r>
        <w:rPr>
          <w:rFonts w:hint="eastAsia" w:ascii="宋体" w:hAnsi="宋体" w:eastAsia="宋体" w:cs="宋体"/>
          <w:color w:val="000000" w:themeColor="text1"/>
          <w:sz w:val="24"/>
          <w:szCs w:val="24"/>
          <w:highlight w:val="none"/>
          <w14:textFill>
            <w14:solidFill>
              <w14:schemeClr w14:val="tx1"/>
            </w14:solidFill>
          </w14:textFill>
        </w:rPr>
        <w:t>全称、采购项目名称、采购项目编号、并注明“在202</w:t>
      </w:r>
      <w:r>
        <w:rPr>
          <w:rFonts w:hint="eastAsia" w:ascii="宋体" w:hAnsi="宋体" w:cs="宋体"/>
          <w:color w:val="000000" w:themeColor="text1"/>
          <w:sz w:val="24"/>
          <w:szCs w:val="24"/>
          <w:highlight w:val="non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cs="宋体"/>
          <w:color w:val="000000" w:themeColor="text1"/>
          <w:sz w:val="24"/>
          <w:szCs w:val="24"/>
          <w:highlight w:val="none"/>
          <w:lang w:val="en-US" w:eastAsia="zh-CN"/>
          <w14:textFill>
            <w14:solidFill>
              <w14:schemeClr w14:val="tx1"/>
            </w14:solidFill>
          </w14:textFill>
        </w:rPr>
        <w:t>17</w:t>
      </w:r>
      <w:r>
        <w:rPr>
          <w:rFonts w:hint="eastAsia" w:ascii="宋体" w:hAnsi="宋体" w:eastAsia="宋体" w:cs="宋体"/>
          <w:color w:val="000000" w:themeColor="text1"/>
          <w:sz w:val="24"/>
          <w:szCs w:val="24"/>
          <w:highlight w:val="none"/>
          <w14:textFill>
            <w14:solidFill>
              <w14:schemeClr w14:val="tx1"/>
            </w14:solidFill>
          </w14:textFill>
        </w:rPr>
        <w:t xml:space="preserve">日 </w:t>
      </w:r>
      <w:r>
        <w:rPr>
          <w:rFonts w:hint="eastAsia" w:ascii="宋体" w:hAnsi="宋体" w:cs="宋体"/>
          <w:color w:val="000000" w:themeColor="text1"/>
          <w:sz w:val="24"/>
          <w:szCs w:val="24"/>
          <w:highlight w:val="none"/>
          <w:lang w:val="en-US" w:eastAsia="zh-CN"/>
          <w14:textFill>
            <w14:solidFill>
              <w14:schemeClr w14:val="tx1"/>
            </w14:solidFill>
          </w14:textFill>
        </w:rPr>
        <w:t>9</w:t>
      </w:r>
      <w:r>
        <w:rPr>
          <w:rFonts w:hint="eastAsia" w:ascii="宋体" w:hAnsi="宋体" w:eastAsia="宋体" w:cs="宋体"/>
          <w:color w:val="000000" w:themeColor="text1"/>
          <w:sz w:val="24"/>
          <w:szCs w:val="24"/>
          <w:highlight w:val="none"/>
          <w14:textFill>
            <w14:solidFill>
              <w14:schemeClr w14:val="tx1"/>
            </w14:solidFill>
          </w14:textFill>
        </w:rPr>
        <w:t>时</w:t>
      </w:r>
      <w:r>
        <w:rPr>
          <w:rFonts w:hint="eastAsia" w:ascii="宋体" w:hAnsi="宋体" w:eastAsia="宋体" w:cs="宋体"/>
          <w:color w:val="000000" w:themeColor="text1"/>
          <w:sz w:val="24"/>
          <w:szCs w:val="24"/>
          <w:highlight w:val="none"/>
          <w:lang w:val="en-US" w:eastAsia="zh-CN"/>
          <w14:textFill>
            <w14:solidFill>
              <w14:schemeClr w14:val="tx1"/>
            </w14:solidFill>
          </w14:textFill>
        </w:rPr>
        <w:t>30分</w:t>
      </w:r>
      <w:r>
        <w:rPr>
          <w:rFonts w:hint="eastAsia" w:ascii="宋体" w:hAnsi="宋体" w:eastAsia="宋体" w:cs="宋体"/>
          <w:color w:val="000000" w:themeColor="text1"/>
          <w:sz w:val="24"/>
          <w:szCs w:val="24"/>
          <w:highlight w:val="none"/>
          <w14:textFill>
            <w14:solidFill>
              <w14:schemeClr w14:val="tx1"/>
            </w14:solidFill>
          </w14:textFill>
        </w:rPr>
        <w:t>前不得启封”字样。</w:t>
      </w:r>
    </w:p>
    <w:p w14:paraId="4B3B7B03">
      <w:pPr>
        <w:keepNext w:val="0"/>
        <w:keepLines w:val="0"/>
        <w:pageBreakBefore w:val="0"/>
        <w:widowControl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11.3</w:t>
      </w:r>
      <w:r>
        <w:rPr>
          <w:rFonts w:hint="eastAsia" w:ascii="宋体" w:hAnsi="宋体" w:eastAsia="宋体" w:cs="宋体"/>
          <w:color w:val="auto"/>
          <w:sz w:val="24"/>
          <w:szCs w:val="24"/>
          <w:highlight w:val="none"/>
        </w:rPr>
        <w:t>如果供应商未按上述要求密封及加写标记，误投或过早启封的响应文件，出现此类情况的响应文件，采购代理机构将拒绝接收，并退回供应商。采购人或采购代理机构不予受理，其投标无效。</w:t>
      </w:r>
    </w:p>
    <w:p w14:paraId="1FAF6690">
      <w:pPr>
        <w:keepNext w:val="0"/>
        <w:keepLines w:val="0"/>
        <w:pageBreakBefore w:val="0"/>
        <w:widowControl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4、采购代理机构收到</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响应文件的时间不得迟于</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文件规定的截止时间。</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响应文件在递交过程中，采购代理机构只负责</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响应文件的接收、登记和组织工作，对</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响应文件的有效性不负任何责任。在截止期后，各供应商递交的任何</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响应文件采购代理机构将拒绝接收。</w:t>
      </w:r>
    </w:p>
    <w:p w14:paraId="2E4E0FDE">
      <w:pPr>
        <w:keepNext w:val="0"/>
        <w:keepLines w:val="0"/>
        <w:pageBreakBefore w:val="0"/>
        <w:widowControl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响应文件送达后，在截止期前，经采购代理机构同意后各供应商可以修改或撤回其</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响应文件。修改或撤回的内容应按</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文件的规定编制、密封、标记和发送。并在</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响应文件扉页加注“修改”或“撤回”字样。</w:t>
      </w:r>
    </w:p>
    <w:p w14:paraId="3F4434F5">
      <w:pPr>
        <w:keepNext w:val="0"/>
        <w:keepLines w:val="0"/>
        <w:pageBreakBefore w:val="0"/>
        <w:widowControl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截止时间后到谈判前，各供应商不得对其</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响应文件做任何修改。</w:t>
      </w:r>
    </w:p>
    <w:p w14:paraId="4B3D62BC">
      <w:pPr>
        <w:keepNext w:val="0"/>
        <w:keepLines w:val="0"/>
        <w:pageBreakBefore w:val="0"/>
        <w:widowControl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响应文件中的资格审查</w:t>
      </w:r>
    </w:p>
    <w:p w14:paraId="4119C805">
      <w:pPr>
        <w:keepNext w:val="0"/>
        <w:keepLines w:val="0"/>
        <w:pageBreakBefore w:val="0"/>
        <w:widowControl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资质审查提供的资质证明</w:t>
      </w:r>
      <w:r>
        <w:rPr>
          <w:rFonts w:hint="eastAsia" w:ascii="宋体" w:hAnsi="宋体" w:eastAsia="宋体" w:cs="宋体"/>
          <w:color w:val="auto"/>
          <w:sz w:val="24"/>
          <w:szCs w:val="24"/>
          <w:highlight w:val="none"/>
          <w:lang w:val="en-US" w:eastAsia="zh-CN"/>
        </w:rPr>
        <w:t>文件</w:t>
      </w:r>
      <w:r>
        <w:rPr>
          <w:rFonts w:hint="eastAsia" w:ascii="宋体" w:hAnsi="宋体" w:eastAsia="宋体" w:cs="宋体"/>
          <w:color w:val="auto"/>
          <w:sz w:val="24"/>
          <w:szCs w:val="24"/>
          <w:highlight w:val="none"/>
        </w:rPr>
        <w:t>应单独提供，以便在</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期间由采购人进行资格审查，确认后向大会宣布资格审查结果。资质证明</w:t>
      </w:r>
      <w:r>
        <w:rPr>
          <w:rFonts w:hint="eastAsia" w:ascii="宋体" w:hAnsi="宋体" w:eastAsia="宋体" w:cs="宋体"/>
          <w:color w:val="auto"/>
          <w:sz w:val="24"/>
          <w:szCs w:val="24"/>
          <w:highlight w:val="none"/>
          <w:lang w:val="en-US" w:eastAsia="zh-CN"/>
        </w:rPr>
        <w:t>文件</w:t>
      </w:r>
      <w:r>
        <w:rPr>
          <w:rFonts w:hint="eastAsia" w:ascii="宋体" w:hAnsi="宋体" w:eastAsia="宋体" w:cs="宋体"/>
          <w:color w:val="auto"/>
          <w:sz w:val="24"/>
          <w:szCs w:val="24"/>
          <w:highlight w:val="none"/>
        </w:rPr>
        <w:t>审核后退回各单位。在开标后的任何时间采购人及</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小组都有权随时要求审查</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响应文件提供的其他资格证明文件的原件，如果不能及时提供，按无效投标处理。</w:t>
      </w:r>
    </w:p>
    <w:bookmarkEnd w:id="60"/>
    <w:bookmarkEnd w:id="61"/>
    <w:p w14:paraId="6E9F07E3">
      <w:pPr>
        <w:pStyle w:val="4"/>
        <w:pageBreakBefore w:val="0"/>
        <w:numPr>
          <w:ilvl w:val="0"/>
          <w:numId w:val="0"/>
        </w:numPr>
        <w:kinsoku/>
        <w:wordWrap/>
        <w:overflowPunct/>
        <w:topLinePunct w:val="0"/>
        <w:autoSpaceDE/>
        <w:autoSpaceDN/>
        <w:bidi w:val="0"/>
        <w:adjustRightInd/>
        <w:snapToGrid/>
        <w:spacing w:before="0" w:after="0" w:line="500" w:lineRule="exact"/>
        <w:ind w:left="0" w:leftChars="0" w:right="0" w:firstLine="482" w:firstLineChars="200"/>
        <w:textAlignment w:val="auto"/>
        <w:rPr>
          <w:rFonts w:hint="eastAsia" w:ascii="宋体" w:hAnsi="宋体" w:eastAsia="宋体" w:cs="宋体"/>
          <w:color w:val="auto"/>
          <w:sz w:val="24"/>
          <w:szCs w:val="24"/>
          <w:highlight w:val="none"/>
          <w:lang w:val="en-US" w:eastAsia="zh-CN"/>
        </w:rPr>
      </w:pPr>
      <w:bookmarkStart w:id="66" w:name="_Toc12283"/>
      <w:r>
        <w:rPr>
          <w:rFonts w:hint="eastAsia" w:ascii="宋体" w:hAnsi="宋体" w:eastAsia="宋体" w:cs="宋体"/>
          <w:b/>
          <w:color w:val="auto"/>
          <w:kern w:val="2"/>
          <w:sz w:val="24"/>
          <w:szCs w:val="24"/>
          <w:highlight w:val="none"/>
          <w:lang w:val="en-US" w:eastAsia="zh-CN" w:bidi="ar-SA"/>
        </w:rPr>
        <w:t>12、</w:t>
      </w:r>
      <w:r>
        <w:rPr>
          <w:rFonts w:hint="eastAsia" w:ascii="宋体" w:hAnsi="宋体" w:eastAsia="宋体" w:cs="宋体"/>
          <w:color w:val="auto"/>
          <w:sz w:val="24"/>
          <w:szCs w:val="24"/>
          <w:highlight w:val="none"/>
        </w:rPr>
        <w:t>供应商资质证明文件</w:t>
      </w:r>
      <w:bookmarkEnd w:id="62"/>
      <w:bookmarkEnd w:id="63"/>
      <w:r>
        <w:rPr>
          <w:rFonts w:hint="eastAsia" w:ascii="宋体" w:hAnsi="宋体" w:eastAsia="宋体" w:cs="宋体"/>
          <w:color w:val="auto"/>
          <w:sz w:val="24"/>
          <w:szCs w:val="24"/>
          <w:highlight w:val="none"/>
          <w:lang w:val="en-US" w:eastAsia="zh-CN"/>
        </w:rPr>
        <w:t>要求</w:t>
      </w:r>
      <w:bookmarkEnd w:id="64"/>
      <w:bookmarkEnd w:id="66"/>
    </w:p>
    <w:p w14:paraId="3C8CAD6C">
      <w:pPr>
        <w:pageBreakBefore w:val="0"/>
        <w:numPr>
          <w:ilvl w:val="0"/>
          <w:numId w:val="0"/>
        </w:numPr>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b/>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详见前附表。</w:t>
      </w:r>
    </w:p>
    <w:bookmarkEnd w:id="65"/>
    <w:p w14:paraId="5CEC1C6A">
      <w:pPr>
        <w:pStyle w:val="4"/>
        <w:pageBreakBefore w:val="0"/>
        <w:kinsoku/>
        <w:wordWrap/>
        <w:overflowPunct/>
        <w:topLinePunct w:val="0"/>
        <w:autoSpaceDE/>
        <w:autoSpaceDN/>
        <w:bidi w:val="0"/>
        <w:adjustRightInd/>
        <w:snapToGrid/>
        <w:spacing w:before="0" w:after="0" w:line="500" w:lineRule="exact"/>
        <w:ind w:left="0" w:leftChars="0" w:right="0" w:firstLine="482" w:firstLineChars="200"/>
        <w:textAlignment w:val="auto"/>
        <w:rPr>
          <w:rFonts w:hint="eastAsia" w:ascii="宋体" w:hAnsi="宋体" w:eastAsia="宋体" w:cs="宋体"/>
          <w:color w:val="auto"/>
          <w:sz w:val="24"/>
          <w:szCs w:val="24"/>
          <w:highlight w:val="none"/>
        </w:rPr>
      </w:pPr>
      <w:bookmarkStart w:id="67" w:name="_Toc31665"/>
      <w:bookmarkStart w:id="68" w:name="_Toc17173"/>
      <w:r>
        <w:rPr>
          <w:rFonts w:hint="eastAsia" w:ascii="宋体" w:hAnsi="宋体" w:eastAsia="宋体" w:cs="宋体"/>
          <w:color w:val="auto"/>
          <w:sz w:val="24"/>
          <w:szCs w:val="24"/>
          <w:highlight w:val="none"/>
        </w:rPr>
        <w:t>13、磋商有效期</w:t>
      </w:r>
      <w:bookmarkEnd w:id="67"/>
      <w:bookmarkEnd w:id="68"/>
    </w:p>
    <w:p w14:paraId="2F510082">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13.1响应文件从磋商之日起，磋商有效期为90日历天。响应文件中所有要求的证明文件的有效期比本须知规定的有效期短的，将被视为非响应磋商，采购人有权拒绝。</w:t>
      </w:r>
    </w:p>
    <w:p w14:paraId="21E83068">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13.2特殊情况下，采购人可于磋商有效期满之前要求供应商同意延长有效期，要求与答复均应为书面形式。供应商可以拒绝上述要求。对于同意该要求的供应商，既不要求也不允许其修改响应文件。</w:t>
      </w:r>
    </w:p>
    <w:p w14:paraId="338F2D8D">
      <w:pPr>
        <w:pStyle w:val="4"/>
        <w:pageBreakBefore w:val="0"/>
        <w:kinsoku/>
        <w:wordWrap/>
        <w:overflowPunct/>
        <w:topLinePunct w:val="0"/>
        <w:autoSpaceDE/>
        <w:autoSpaceDN/>
        <w:bidi w:val="0"/>
        <w:adjustRightInd/>
        <w:snapToGrid/>
        <w:spacing w:before="0" w:after="0" w:line="500" w:lineRule="exact"/>
        <w:ind w:left="0" w:leftChars="0" w:right="0" w:firstLine="482" w:firstLineChars="200"/>
        <w:textAlignment w:val="auto"/>
        <w:rPr>
          <w:rFonts w:hint="eastAsia" w:ascii="宋体" w:hAnsi="宋体" w:eastAsia="宋体" w:cs="宋体"/>
          <w:color w:val="auto"/>
          <w:sz w:val="24"/>
          <w:szCs w:val="24"/>
          <w:highlight w:val="none"/>
        </w:rPr>
      </w:pPr>
      <w:bookmarkStart w:id="69" w:name="_Toc30365"/>
      <w:bookmarkStart w:id="70" w:name="_Toc21777"/>
      <w:r>
        <w:rPr>
          <w:rFonts w:hint="eastAsia" w:ascii="宋体" w:hAnsi="宋体" w:eastAsia="宋体" w:cs="宋体"/>
          <w:color w:val="auto"/>
          <w:sz w:val="24"/>
          <w:szCs w:val="24"/>
          <w:highlight w:val="none"/>
        </w:rPr>
        <w:t>14、磋商保证金</w:t>
      </w:r>
      <w:bookmarkEnd w:id="69"/>
      <w:bookmarkEnd w:id="70"/>
    </w:p>
    <w:p w14:paraId="6FE29842">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14.1本项目磋商保证金采用信用承诺书代替（后附格式）。</w:t>
      </w:r>
    </w:p>
    <w:p w14:paraId="78A2CF7A">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14.2开标时经审查，未提交信用承诺书的将按无效投标处理。</w:t>
      </w:r>
    </w:p>
    <w:p w14:paraId="6EC3E4A0">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14.3磋商保证金的</w:t>
      </w:r>
      <w:r>
        <w:rPr>
          <w:rFonts w:hint="eastAsia" w:ascii="宋体" w:hAnsi="宋体" w:eastAsia="宋体" w:cs="宋体"/>
          <w:color w:val="auto"/>
          <w:sz w:val="24"/>
          <w:szCs w:val="24"/>
          <w:highlight w:val="none"/>
          <w:lang w:val="en-US" w:eastAsia="zh-CN"/>
        </w:rPr>
        <w:t>承诺书</w:t>
      </w:r>
      <w:r>
        <w:rPr>
          <w:rFonts w:hint="eastAsia" w:ascii="宋体" w:hAnsi="宋体" w:eastAsia="宋体" w:cs="宋体"/>
          <w:color w:val="auto"/>
          <w:sz w:val="24"/>
          <w:szCs w:val="24"/>
          <w:highlight w:val="none"/>
        </w:rPr>
        <w:t>有效期与投标有效期一致。</w:t>
      </w:r>
    </w:p>
    <w:p w14:paraId="6A3F1396">
      <w:pPr>
        <w:pStyle w:val="3"/>
        <w:pageBreakBefore w:val="0"/>
        <w:kinsoku/>
        <w:wordWrap/>
        <w:overflowPunct/>
        <w:topLinePunct w:val="0"/>
        <w:autoSpaceDE/>
        <w:autoSpaceDN/>
        <w:bidi w:val="0"/>
        <w:adjustRightInd/>
        <w:snapToGrid/>
        <w:spacing w:before="0" w:after="0" w:line="500" w:lineRule="exact"/>
        <w:ind w:left="0" w:leftChars="0" w:right="0"/>
        <w:textAlignment w:val="auto"/>
        <w:rPr>
          <w:rFonts w:hint="eastAsia" w:ascii="宋体" w:hAnsi="宋体" w:eastAsia="宋体" w:cs="宋体"/>
          <w:color w:val="auto"/>
          <w:sz w:val="24"/>
          <w:szCs w:val="24"/>
          <w:highlight w:val="none"/>
        </w:rPr>
      </w:pPr>
      <w:bookmarkStart w:id="71" w:name="_Toc14753"/>
      <w:bookmarkStart w:id="72" w:name="_Toc24483"/>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rPr>
        <w:t>）开标</w:t>
      </w:r>
      <w:bookmarkEnd w:id="71"/>
      <w:bookmarkEnd w:id="72"/>
    </w:p>
    <w:p w14:paraId="0322F4E5">
      <w:pPr>
        <w:pStyle w:val="4"/>
        <w:pageBreakBefore w:val="0"/>
        <w:kinsoku/>
        <w:wordWrap/>
        <w:overflowPunct/>
        <w:topLinePunct w:val="0"/>
        <w:autoSpaceDE/>
        <w:autoSpaceDN/>
        <w:bidi w:val="0"/>
        <w:adjustRightInd/>
        <w:snapToGrid/>
        <w:spacing w:before="0" w:after="0" w:line="500" w:lineRule="exact"/>
        <w:ind w:left="0" w:leftChars="0" w:right="0" w:firstLine="482" w:firstLineChars="200"/>
        <w:textAlignment w:val="auto"/>
        <w:rPr>
          <w:rFonts w:hint="eastAsia" w:ascii="宋体" w:hAnsi="宋体" w:eastAsia="宋体" w:cs="宋体"/>
          <w:color w:val="auto"/>
          <w:sz w:val="24"/>
          <w:szCs w:val="24"/>
          <w:highlight w:val="none"/>
        </w:rPr>
      </w:pPr>
      <w:bookmarkStart w:id="73" w:name="_Toc394934434"/>
      <w:bookmarkStart w:id="74" w:name="_Toc31584"/>
      <w:bookmarkStart w:id="75" w:name="_Toc15415"/>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w:t>
      </w:r>
      <w:bookmarkEnd w:id="73"/>
      <w:r>
        <w:rPr>
          <w:rFonts w:hint="eastAsia" w:ascii="宋体" w:hAnsi="宋体" w:eastAsia="宋体" w:cs="宋体"/>
          <w:color w:val="auto"/>
          <w:sz w:val="24"/>
          <w:szCs w:val="24"/>
          <w:highlight w:val="none"/>
        </w:rPr>
        <w:t>磋商</w:t>
      </w:r>
      <w:bookmarkEnd w:id="74"/>
      <w:bookmarkEnd w:id="75"/>
    </w:p>
    <w:p w14:paraId="278A51B8">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bookmarkStart w:id="76" w:name="_Toc394934435"/>
      <w:bookmarkStart w:id="77" w:name="_Toc246928921"/>
      <w:bookmarkStart w:id="78" w:name="_Toc27904"/>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rPr>
        <w:t>会由采购人或采购代理机构主持。</w:t>
      </w:r>
    </w:p>
    <w:p w14:paraId="7EC590D1">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（1）介绍采购单位参会人员及</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rPr>
        <w:t>截止时间前递交响应文件的供应商名称；</w:t>
      </w:r>
    </w:p>
    <w:p w14:paraId="4D61A563">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（2）宣读谈判纪律、签署拒绝商业贿赂承诺书；</w:t>
      </w:r>
    </w:p>
    <w:p w14:paraId="52526941">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（3）对供应商代表进行身份核验；</w:t>
      </w:r>
    </w:p>
    <w:p w14:paraId="096D2A69">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（4）供应商代表检查所有响应文件密封情况，并签字确认；</w:t>
      </w:r>
    </w:p>
    <w:p w14:paraId="5F315195">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（5）开标（不宣读报价）、资格审查；</w:t>
      </w:r>
    </w:p>
    <w:p w14:paraId="507D3817">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（6）由</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rPr>
        <w:t>小组进行评审，如有必要则与供应商分别进行谈判；</w:t>
      </w:r>
    </w:p>
    <w:p w14:paraId="5DC109A5">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（7）进行最终报价；</w:t>
      </w:r>
    </w:p>
    <w:p w14:paraId="2098779F">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rPr>
        <w:t>结束。</w:t>
      </w:r>
    </w:p>
    <w:p w14:paraId="1C5BD7E9">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.2采购人及采购代理机构按</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rPr>
        <w:t>公告中规定的时间和地点接受供应商递交的响应文件。供应商派授权代表签到，并参加谈判。供应商未参加谈判的，视同自动放弃谈判，其响应文件按无效投标处理。</w:t>
      </w:r>
    </w:p>
    <w:p w14:paraId="231EF3AB">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.3供应商少于三家的，采购人或者采购代理机构应退回供应商递交的响应文件，采购人和采购代理机构应依法重新组织</w:t>
      </w:r>
      <w:r>
        <w:rPr>
          <w:rFonts w:hint="eastAsia" w:ascii="宋体" w:hAnsi="宋体" w:eastAsia="宋体" w:cs="宋体"/>
          <w:color w:val="auto"/>
          <w:sz w:val="24"/>
          <w:szCs w:val="24"/>
          <w:highlight w:val="none"/>
          <w:lang w:eastAsia="zh-CN"/>
        </w:rPr>
        <w:t>竞争性</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rPr>
        <w:t>，且不承担任何费用和责任。</w:t>
      </w:r>
    </w:p>
    <w:p w14:paraId="3E0690E2">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.4检查响应文件密封情况，由供应商的法人或授权代表检查响应文件的密封情况并由法定代表人或其授权代表签字确认。</w:t>
      </w:r>
    </w:p>
    <w:p w14:paraId="53F2650D">
      <w:pPr>
        <w:pStyle w:val="4"/>
        <w:pageBreakBefore w:val="0"/>
        <w:kinsoku/>
        <w:wordWrap/>
        <w:overflowPunct/>
        <w:topLinePunct w:val="0"/>
        <w:autoSpaceDE/>
        <w:autoSpaceDN/>
        <w:bidi w:val="0"/>
        <w:adjustRightInd/>
        <w:snapToGrid/>
        <w:spacing w:before="0" w:after="0" w:line="500" w:lineRule="exact"/>
        <w:ind w:left="0" w:leftChars="0" w:right="0" w:firstLine="482" w:firstLineChars="200"/>
        <w:textAlignment w:val="auto"/>
        <w:rPr>
          <w:rFonts w:hint="eastAsia" w:ascii="宋体" w:hAnsi="宋体" w:eastAsia="宋体" w:cs="宋体"/>
          <w:color w:val="auto"/>
          <w:sz w:val="24"/>
          <w:szCs w:val="24"/>
          <w:highlight w:val="none"/>
        </w:rPr>
      </w:pPr>
      <w:bookmarkStart w:id="79" w:name="_Toc14127"/>
      <w:r>
        <w:rPr>
          <w:rFonts w:hint="eastAsia" w:ascii="宋体" w:hAnsi="宋体" w:eastAsia="宋体" w:cs="宋体"/>
          <w:color w:val="auto"/>
          <w:sz w:val="24"/>
          <w:szCs w:val="24"/>
          <w:highlight w:val="none"/>
          <w:lang w:val="en-US" w:eastAsia="zh-CN"/>
        </w:rPr>
        <w:t>16</w:t>
      </w:r>
      <w:r>
        <w:rPr>
          <w:rFonts w:hint="eastAsia" w:ascii="宋体" w:hAnsi="宋体" w:eastAsia="宋体" w:cs="宋体"/>
          <w:color w:val="auto"/>
          <w:sz w:val="24"/>
          <w:szCs w:val="24"/>
          <w:highlight w:val="none"/>
        </w:rPr>
        <w:t>、磋商小组</w:t>
      </w:r>
      <w:bookmarkEnd w:id="76"/>
      <w:bookmarkEnd w:id="77"/>
      <w:bookmarkEnd w:id="78"/>
      <w:bookmarkEnd w:id="79"/>
    </w:p>
    <w:p w14:paraId="7AB63F46">
      <w:pPr>
        <w:keepNext w:val="0"/>
        <w:keepLines w:val="0"/>
        <w:pageBreakBefore w:val="0"/>
        <w:widowControl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16</w:t>
      </w:r>
      <w:r>
        <w:rPr>
          <w:rFonts w:hint="eastAsia" w:ascii="宋体" w:hAnsi="宋体" w:eastAsia="宋体" w:cs="宋体"/>
          <w:color w:val="auto"/>
          <w:sz w:val="24"/>
          <w:szCs w:val="24"/>
          <w:highlight w:val="none"/>
        </w:rPr>
        <w:t>.1根据本次招标项目的特点，</w:t>
      </w:r>
      <w:r>
        <w:rPr>
          <w:rFonts w:hint="eastAsia" w:ascii="宋体" w:hAnsi="宋体" w:eastAsia="宋体" w:cs="宋体"/>
          <w:color w:val="auto"/>
          <w:sz w:val="24"/>
          <w:szCs w:val="24"/>
          <w:highlight w:val="none"/>
          <w:lang w:eastAsia="zh-CN"/>
        </w:rPr>
        <w:t>按</w:t>
      </w:r>
      <w:r>
        <w:rPr>
          <w:rFonts w:hint="eastAsia" w:ascii="宋体" w:hAnsi="宋体" w:eastAsia="宋体" w:cs="宋体"/>
          <w:color w:val="auto"/>
          <w:sz w:val="24"/>
          <w:szCs w:val="24"/>
          <w:highlight w:val="none"/>
        </w:rPr>
        <w:t>照《中华人民共和国政府采购法》等有关规定组建磋商小组。</w:t>
      </w:r>
    </w:p>
    <w:p w14:paraId="142B821D">
      <w:pPr>
        <w:keepNext w:val="0"/>
        <w:keepLines w:val="0"/>
        <w:pageBreakBefore w:val="0"/>
        <w:widowControl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16</w:t>
      </w:r>
      <w:r>
        <w:rPr>
          <w:rFonts w:hint="eastAsia" w:ascii="宋体" w:hAnsi="宋体" w:eastAsia="宋体" w:cs="宋体"/>
          <w:color w:val="auto"/>
          <w:sz w:val="24"/>
          <w:szCs w:val="24"/>
          <w:highlight w:val="none"/>
        </w:rPr>
        <w:t>.2本项目磋商小组</w:t>
      </w:r>
      <w:r>
        <w:rPr>
          <w:rFonts w:hint="eastAsia" w:ascii="宋体" w:hAnsi="宋体" w:eastAsia="宋体" w:cs="宋体"/>
          <w:color w:val="auto"/>
          <w:sz w:val="24"/>
          <w:szCs w:val="24"/>
          <w:highlight w:val="none"/>
          <w:lang w:eastAsia="zh-CN"/>
        </w:rPr>
        <w:t>由采购人和</w:t>
      </w:r>
      <w:r>
        <w:rPr>
          <w:rFonts w:hint="eastAsia" w:ascii="宋体" w:hAnsi="宋体" w:eastAsia="宋体" w:cs="宋体"/>
          <w:color w:val="auto"/>
          <w:sz w:val="24"/>
          <w:szCs w:val="24"/>
          <w:highlight w:val="none"/>
        </w:rPr>
        <w:t>专家</w:t>
      </w:r>
      <w:r>
        <w:rPr>
          <w:rFonts w:hint="eastAsia" w:ascii="宋体" w:hAnsi="宋体" w:eastAsia="宋体" w:cs="宋体"/>
          <w:color w:val="auto"/>
          <w:sz w:val="24"/>
          <w:szCs w:val="24"/>
          <w:highlight w:val="none"/>
          <w:lang w:eastAsia="zh-CN"/>
        </w:rPr>
        <w:t>组成，专家</w:t>
      </w:r>
      <w:r>
        <w:rPr>
          <w:rFonts w:hint="eastAsia" w:ascii="宋体" w:hAnsi="宋体" w:eastAsia="宋体" w:cs="宋体"/>
          <w:color w:val="auto"/>
          <w:sz w:val="24"/>
          <w:szCs w:val="24"/>
          <w:highlight w:val="none"/>
        </w:rPr>
        <w:t>产生方式符合国家有关评审专家产生方式的规定。</w:t>
      </w:r>
    </w:p>
    <w:p w14:paraId="7253B05A">
      <w:pPr>
        <w:keepNext w:val="0"/>
        <w:keepLines w:val="0"/>
        <w:pageBreakBefore w:val="0"/>
        <w:widowControl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16</w:t>
      </w:r>
      <w:r>
        <w:rPr>
          <w:rFonts w:hint="eastAsia" w:ascii="宋体" w:hAnsi="宋体" w:eastAsia="宋体" w:cs="宋体"/>
          <w:color w:val="auto"/>
          <w:sz w:val="24"/>
          <w:szCs w:val="24"/>
          <w:highlight w:val="none"/>
        </w:rPr>
        <w:t>.3磋商小组成员对各供应商磋商响应文件进行审查、质疑、评估和比较，并推荐成交候选供应商。</w:t>
      </w:r>
    </w:p>
    <w:p w14:paraId="212E8040">
      <w:pPr>
        <w:pStyle w:val="3"/>
        <w:pageBreakBefore w:val="0"/>
        <w:kinsoku/>
        <w:wordWrap/>
        <w:overflowPunct/>
        <w:topLinePunct w:val="0"/>
        <w:autoSpaceDE/>
        <w:autoSpaceDN/>
        <w:bidi w:val="0"/>
        <w:adjustRightInd/>
        <w:snapToGrid/>
        <w:spacing w:before="0" w:after="0" w:line="500" w:lineRule="exact"/>
        <w:ind w:left="0" w:leftChars="0" w:right="0"/>
        <w:textAlignment w:val="auto"/>
        <w:rPr>
          <w:rFonts w:hint="eastAsia" w:ascii="宋体" w:hAnsi="宋体" w:eastAsia="宋体" w:cs="宋体"/>
          <w:color w:val="auto"/>
          <w:sz w:val="24"/>
          <w:szCs w:val="24"/>
          <w:highlight w:val="none"/>
        </w:rPr>
      </w:pPr>
      <w:bookmarkStart w:id="80" w:name="_Toc23648"/>
      <w:bookmarkStart w:id="81" w:name="_Toc25463"/>
      <w:bookmarkStart w:id="82" w:name="_Toc394934436"/>
      <w:bookmarkStart w:id="83" w:name="_Toc246928924"/>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五</w:t>
      </w:r>
      <w:r>
        <w:rPr>
          <w:rFonts w:hint="eastAsia" w:ascii="宋体" w:hAnsi="宋体" w:eastAsia="宋体" w:cs="宋体"/>
          <w:color w:val="auto"/>
          <w:sz w:val="24"/>
          <w:szCs w:val="24"/>
          <w:highlight w:val="none"/>
        </w:rPr>
        <w:t>）评审</w:t>
      </w:r>
      <w:bookmarkEnd w:id="80"/>
      <w:bookmarkEnd w:id="81"/>
    </w:p>
    <w:p w14:paraId="17CF5986">
      <w:pPr>
        <w:pStyle w:val="4"/>
        <w:pageBreakBefore w:val="0"/>
        <w:kinsoku/>
        <w:wordWrap/>
        <w:overflowPunct/>
        <w:topLinePunct w:val="0"/>
        <w:autoSpaceDE/>
        <w:autoSpaceDN/>
        <w:bidi w:val="0"/>
        <w:adjustRightInd/>
        <w:snapToGrid/>
        <w:spacing w:before="0" w:after="0" w:line="500" w:lineRule="exact"/>
        <w:ind w:left="0" w:leftChars="0" w:right="0" w:firstLine="482" w:firstLineChars="200"/>
        <w:textAlignment w:val="auto"/>
        <w:rPr>
          <w:rFonts w:hint="eastAsia" w:ascii="宋体" w:hAnsi="宋体" w:eastAsia="宋体" w:cs="宋体"/>
          <w:color w:val="auto"/>
          <w:sz w:val="24"/>
          <w:szCs w:val="24"/>
          <w:highlight w:val="none"/>
        </w:rPr>
      </w:pPr>
      <w:bookmarkStart w:id="84" w:name="_Toc4576"/>
      <w:bookmarkStart w:id="85" w:name="_Toc3660"/>
      <w:r>
        <w:rPr>
          <w:rFonts w:hint="eastAsia" w:ascii="宋体" w:hAnsi="宋体" w:eastAsia="宋体" w:cs="宋体"/>
          <w:color w:val="auto"/>
          <w:sz w:val="24"/>
          <w:szCs w:val="24"/>
          <w:highlight w:val="none"/>
          <w:lang w:val="en-US" w:eastAsia="zh-CN"/>
        </w:rPr>
        <w:t>17</w:t>
      </w:r>
      <w:r>
        <w:rPr>
          <w:rFonts w:hint="eastAsia" w:ascii="宋体" w:hAnsi="宋体" w:eastAsia="宋体" w:cs="宋体"/>
          <w:color w:val="auto"/>
          <w:sz w:val="24"/>
          <w:szCs w:val="24"/>
          <w:highlight w:val="none"/>
        </w:rPr>
        <w:t>、评审</w:t>
      </w:r>
      <w:bookmarkEnd w:id="82"/>
      <w:bookmarkEnd w:id="83"/>
      <w:bookmarkEnd w:id="84"/>
      <w:bookmarkEnd w:id="85"/>
    </w:p>
    <w:p w14:paraId="7B6C79AA">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17</w:t>
      </w:r>
      <w:r>
        <w:rPr>
          <w:rFonts w:hint="eastAsia" w:ascii="宋体" w:hAnsi="宋体" w:eastAsia="宋体" w:cs="宋体"/>
          <w:color w:val="auto"/>
          <w:sz w:val="24"/>
          <w:szCs w:val="24"/>
          <w:highlight w:val="none"/>
        </w:rPr>
        <w:t>.1磋商小组将遵循公平、公正和择优的原则，对所有供应商的磋商响应文件评审，都采用相同的程序和标准。</w:t>
      </w:r>
    </w:p>
    <w:p w14:paraId="56ED6984">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17</w:t>
      </w:r>
      <w:r>
        <w:rPr>
          <w:rFonts w:hint="eastAsia" w:ascii="宋体" w:hAnsi="宋体" w:eastAsia="宋体" w:cs="宋体"/>
          <w:color w:val="auto"/>
          <w:sz w:val="24"/>
          <w:szCs w:val="24"/>
          <w:highlight w:val="none"/>
        </w:rPr>
        <w:t>.2评审过程的保密：评审应在严格保密的状态下进行，在响应文件的评审、比较、成交候选供应商推荐以及授予合同的过程中，供应商向采购人和磋商小组施加影响的任何行为，都将会导致其报价被拒绝；成交供应商确定后，采购人不对未成交供应商就评审过程以及未能成交原因做出任何解释。未成交供应商不得向磋商小组成员或其他相关人员索问评审过程的情况和材料。</w:t>
      </w:r>
    </w:p>
    <w:p w14:paraId="14161A56">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17</w:t>
      </w:r>
      <w:r>
        <w:rPr>
          <w:rFonts w:hint="eastAsia" w:ascii="宋体" w:hAnsi="宋体" w:eastAsia="宋体" w:cs="宋体"/>
          <w:color w:val="auto"/>
          <w:sz w:val="24"/>
          <w:szCs w:val="24"/>
          <w:highlight w:val="none"/>
        </w:rPr>
        <w:t>.3供应商或磋商响应文件出现的下列情形将按照无效响应文件处理，由磋商小组否决其磋商：</w:t>
      </w:r>
    </w:p>
    <w:p w14:paraId="65DA9274">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17</w:t>
      </w:r>
      <w:r>
        <w:rPr>
          <w:rFonts w:hint="eastAsia" w:ascii="宋体" w:hAnsi="宋体" w:eastAsia="宋体" w:cs="宋体"/>
          <w:color w:val="auto"/>
          <w:sz w:val="24"/>
          <w:szCs w:val="24"/>
          <w:highlight w:val="none"/>
        </w:rPr>
        <w:t>.3.1未按磋商文件规定要求签署、盖章；</w:t>
      </w:r>
    </w:p>
    <w:p w14:paraId="4E75765A">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17</w:t>
      </w:r>
      <w:r>
        <w:rPr>
          <w:rFonts w:hint="eastAsia" w:ascii="宋体" w:hAnsi="宋体" w:eastAsia="宋体" w:cs="宋体"/>
          <w:color w:val="auto"/>
          <w:sz w:val="24"/>
          <w:szCs w:val="24"/>
          <w:highlight w:val="none"/>
        </w:rPr>
        <w:t>.3.2不具备磋商文件规定资格条件的或提供的资格证明文件不全的；</w:t>
      </w:r>
    </w:p>
    <w:p w14:paraId="51BC74BA">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17</w:t>
      </w:r>
      <w:r>
        <w:rPr>
          <w:rFonts w:hint="eastAsia" w:ascii="宋体" w:hAnsi="宋体" w:eastAsia="宋体" w:cs="宋体"/>
          <w:color w:val="auto"/>
          <w:sz w:val="24"/>
          <w:szCs w:val="24"/>
          <w:highlight w:val="none"/>
        </w:rPr>
        <w:t>.3.3响应文件内容不全或字迹模糊辨认不清导致磋商响应文件不满足磋商文件实质性要求的；</w:t>
      </w:r>
    </w:p>
    <w:p w14:paraId="3CAB9225">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17</w:t>
      </w:r>
      <w:r>
        <w:rPr>
          <w:rFonts w:hint="eastAsia" w:ascii="宋体" w:hAnsi="宋体" w:eastAsia="宋体" w:cs="宋体"/>
          <w:color w:val="auto"/>
          <w:sz w:val="24"/>
          <w:szCs w:val="24"/>
          <w:highlight w:val="none"/>
        </w:rPr>
        <w:t>.3.4</w:t>
      </w:r>
      <w:r>
        <w:rPr>
          <w:rFonts w:hint="eastAsia" w:ascii="宋体" w:hAnsi="宋体" w:eastAsia="宋体" w:cs="宋体"/>
          <w:color w:val="auto"/>
          <w:sz w:val="24"/>
          <w:szCs w:val="24"/>
          <w:highlight w:val="none"/>
          <w:lang w:val="en-US" w:eastAsia="zh-CN"/>
        </w:rPr>
        <w:t>磋商小组认为供应商的报价明显低于其他通过符合性审查供应商的报价，有可能影响产品质量或者不能诚信履约的，应当要求其在评标现场合理的时间内提供书面说明，必要时提交相关证明材料；供应商不能证明其报价合理性的，磋商小组应当将其作为无效投标处理</w:t>
      </w:r>
      <w:r>
        <w:rPr>
          <w:rFonts w:hint="eastAsia" w:ascii="宋体" w:hAnsi="宋体" w:eastAsia="宋体" w:cs="宋体"/>
          <w:color w:val="auto"/>
          <w:sz w:val="24"/>
          <w:szCs w:val="24"/>
          <w:highlight w:val="none"/>
        </w:rPr>
        <w:t>；</w:t>
      </w:r>
    </w:p>
    <w:p w14:paraId="57F3BCF1">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（1）供应商没有经过正常渠道购买磋商文件或供应商的名称与登记领取磋商文件单位的名称不符；</w:t>
      </w:r>
    </w:p>
    <w:p w14:paraId="5C562B22">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（2）供应商的任何一轮报价超出采购预算的；</w:t>
      </w:r>
    </w:p>
    <w:p w14:paraId="79BC26C5">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（3）本项目实行多次报价。第一次报价后，磋商小组可以变更采购需求，最后报价为最终报价。如采购需求没有实质性变化，各供应商的报价应逐次降低，本次报价超过上次报价的，为无效报价；</w:t>
      </w:r>
    </w:p>
    <w:p w14:paraId="248120E0">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响应文件中未提交法定代表人授权书（法定代表人直接参加磋商未按要求提交其有效身份证）或授权书的合法性或有效性不符合竞争性磋商文件规定。法定代表人授权委托书的有效期短于磋商响应文件有效期；</w:t>
      </w:r>
    </w:p>
    <w:p w14:paraId="1C5FF073">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（5）供应商资格证明文件的有效性或符合性不符合要求的；</w:t>
      </w:r>
    </w:p>
    <w:p w14:paraId="79C9632E">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（6）响应文件没有按磋商文件要求进行签字、盖章，无响应文件有效期或有效期达不到磋商文件的要求；</w:t>
      </w:r>
    </w:p>
    <w:p w14:paraId="170664CA">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（7）响应文件对磋商文件要求（服务期、付款方式）不一致，或附加了采购人难以接受的条件；</w:t>
      </w:r>
    </w:p>
    <w:p w14:paraId="2C187E86">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（8）磋商内容出现漏项或数量与要求不符，出现负偏差。</w:t>
      </w:r>
    </w:p>
    <w:p w14:paraId="15FBE107">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（9）磋商响应文件对于磋商文件规定的实质性响应内容未进行实质性响应，或其服务内容不符合磋商文件要求；</w:t>
      </w:r>
    </w:p>
    <w:p w14:paraId="63AEFAC3">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（10）供应商未按磋商文件要求提供投标信用承诺书(保证金)；</w:t>
      </w:r>
    </w:p>
    <w:p w14:paraId="3C55D6A6">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（11）供应商的报价明显低于其他通过符合性审查供应商的报价，有可能影响产品、服务质量或者不能诚信履约的，且供应商不能证明其报价合理性的；</w:t>
      </w:r>
    </w:p>
    <w:p w14:paraId="1A0B6998">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（12）逾期提交电子响应文件或纸质响应文件的；</w:t>
      </w:r>
    </w:p>
    <w:p w14:paraId="32AE677D">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（13）提供虚假证明，开具虚假资质，出现虚假应答或故意隐瞒行为；</w:t>
      </w:r>
    </w:p>
    <w:p w14:paraId="245F87EC">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（14）提交的响应文件与本项目不相符；</w:t>
      </w:r>
    </w:p>
    <w:p w14:paraId="3EE38F14">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17</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不符合法律、法规和磋商文件中规定的其他实质性要求的</w:t>
      </w:r>
      <w:r>
        <w:rPr>
          <w:rFonts w:hint="eastAsia" w:ascii="宋体" w:hAnsi="宋体" w:eastAsia="宋体" w:cs="宋体"/>
          <w:color w:val="auto"/>
          <w:sz w:val="24"/>
          <w:szCs w:val="24"/>
          <w:highlight w:val="none"/>
          <w:lang w:eastAsia="zh-CN"/>
        </w:rPr>
        <w:t>。</w:t>
      </w:r>
    </w:p>
    <w:p w14:paraId="389FAF89">
      <w:pPr>
        <w:pStyle w:val="4"/>
        <w:pageBreakBefore w:val="0"/>
        <w:kinsoku/>
        <w:wordWrap/>
        <w:overflowPunct/>
        <w:topLinePunct w:val="0"/>
        <w:autoSpaceDE/>
        <w:autoSpaceDN/>
        <w:bidi w:val="0"/>
        <w:adjustRightInd/>
        <w:snapToGrid/>
        <w:spacing w:before="0" w:after="0" w:line="500" w:lineRule="exact"/>
        <w:ind w:left="0" w:leftChars="0" w:right="0" w:firstLine="482" w:firstLineChars="200"/>
        <w:textAlignment w:val="auto"/>
        <w:rPr>
          <w:rFonts w:hint="eastAsia" w:ascii="宋体" w:hAnsi="宋体" w:eastAsia="宋体" w:cs="宋体"/>
          <w:color w:val="auto"/>
          <w:sz w:val="24"/>
          <w:szCs w:val="24"/>
          <w:highlight w:val="none"/>
        </w:rPr>
      </w:pPr>
      <w:bookmarkStart w:id="86" w:name="_Toc394934437"/>
      <w:bookmarkStart w:id="87" w:name="_Toc13656"/>
      <w:bookmarkStart w:id="88" w:name="_Toc10513"/>
      <w:r>
        <w:rPr>
          <w:rFonts w:hint="eastAsia" w:ascii="宋体" w:hAnsi="宋体" w:eastAsia="宋体" w:cs="宋体"/>
          <w:color w:val="auto"/>
          <w:sz w:val="24"/>
          <w:szCs w:val="24"/>
          <w:highlight w:val="none"/>
          <w:lang w:val="en-US" w:eastAsia="zh-CN"/>
        </w:rPr>
        <w:t>18</w:t>
      </w:r>
      <w:r>
        <w:rPr>
          <w:rFonts w:hint="eastAsia" w:ascii="宋体" w:hAnsi="宋体" w:eastAsia="宋体" w:cs="宋体"/>
          <w:color w:val="auto"/>
          <w:sz w:val="24"/>
          <w:szCs w:val="24"/>
          <w:highlight w:val="none"/>
        </w:rPr>
        <w:t>、评审</w:t>
      </w:r>
      <w:bookmarkEnd w:id="86"/>
      <w:r>
        <w:rPr>
          <w:rFonts w:hint="eastAsia" w:ascii="宋体" w:hAnsi="宋体" w:eastAsia="宋体" w:cs="宋体"/>
          <w:color w:val="auto"/>
          <w:sz w:val="24"/>
          <w:szCs w:val="24"/>
          <w:highlight w:val="none"/>
        </w:rPr>
        <w:t>程序及办法</w:t>
      </w:r>
      <w:bookmarkEnd w:id="87"/>
      <w:bookmarkEnd w:id="88"/>
    </w:p>
    <w:p w14:paraId="1AA03685">
      <w:pPr>
        <w:pageBreakBefore w:val="0"/>
        <w:kinsoku/>
        <w:wordWrap/>
        <w:overflowPunct/>
        <w:topLinePunct w:val="0"/>
        <w:autoSpaceDE/>
        <w:autoSpaceDN/>
        <w:bidi w:val="0"/>
        <w:adjustRightInd/>
        <w:snapToGrid/>
        <w:spacing w:line="50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18</w:t>
      </w:r>
      <w:r>
        <w:rPr>
          <w:rFonts w:hint="eastAsia" w:ascii="宋体" w:hAnsi="宋体" w:eastAsia="宋体" w:cs="宋体"/>
          <w:color w:val="auto"/>
          <w:sz w:val="24"/>
          <w:szCs w:val="24"/>
          <w:highlight w:val="none"/>
        </w:rPr>
        <w:t>.1采购人对各个供应商的响应文件先进行资格审查，磋商小组再进行符合性审查，审查全都合格的供应商才有参加磋商与承诺的资格。</w:t>
      </w:r>
    </w:p>
    <w:p w14:paraId="23310E6C">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18</w:t>
      </w:r>
      <w:r>
        <w:rPr>
          <w:rFonts w:hint="eastAsia" w:ascii="宋体" w:hAnsi="宋体" w:eastAsia="宋体" w:cs="宋体"/>
          <w:color w:val="auto"/>
          <w:sz w:val="24"/>
          <w:szCs w:val="24"/>
          <w:highlight w:val="none"/>
        </w:rPr>
        <w:t>.1.1资格审查内容为：供应商须知前附表（供应商资质证明文件）</w:t>
      </w:r>
      <w:r>
        <w:rPr>
          <w:rFonts w:hint="eastAsia" w:ascii="宋体" w:hAnsi="宋体" w:eastAsia="宋体" w:cs="宋体"/>
          <w:color w:val="auto"/>
          <w:sz w:val="24"/>
          <w:szCs w:val="24"/>
          <w:highlight w:val="none"/>
          <w:lang w:eastAsia="zh-CN"/>
        </w:rPr>
        <w:t>。</w:t>
      </w:r>
    </w:p>
    <w:p w14:paraId="31ECC016">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18</w:t>
      </w:r>
      <w:r>
        <w:rPr>
          <w:rFonts w:hint="eastAsia" w:ascii="宋体" w:hAnsi="宋体" w:eastAsia="宋体" w:cs="宋体"/>
          <w:color w:val="auto"/>
          <w:sz w:val="24"/>
          <w:szCs w:val="24"/>
          <w:highlight w:val="none"/>
        </w:rPr>
        <w:t>.2符合性审查内容为：</w:t>
      </w:r>
      <w:r>
        <w:rPr>
          <w:rFonts w:hint="eastAsia" w:ascii="宋体" w:hAnsi="宋体" w:eastAsia="宋体" w:cs="宋体"/>
          <w:color w:val="auto"/>
          <w:sz w:val="24"/>
          <w:szCs w:val="24"/>
          <w:highlight w:val="none"/>
          <w:lang w:eastAsia="zh-CN"/>
        </w:rPr>
        <w:t>详见评标</w:t>
      </w:r>
      <w:r>
        <w:rPr>
          <w:rFonts w:hint="eastAsia" w:ascii="宋体" w:hAnsi="宋体" w:eastAsia="宋体" w:cs="宋体"/>
          <w:color w:val="auto"/>
          <w:sz w:val="24"/>
          <w:szCs w:val="24"/>
          <w:highlight w:val="none"/>
          <w:lang w:val="en-US" w:eastAsia="zh-CN"/>
        </w:rPr>
        <w:t>办法。</w:t>
      </w:r>
    </w:p>
    <w:p w14:paraId="417E19DA">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18.3</w:t>
      </w:r>
      <w:r>
        <w:rPr>
          <w:rFonts w:hint="eastAsia" w:ascii="宋体" w:hAnsi="宋体" w:eastAsia="宋体" w:cs="宋体"/>
          <w:color w:val="auto"/>
          <w:sz w:val="24"/>
          <w:szCs w:val="24"/>
          <w:highlight w:val="none"/>
        </w:rPr>
        <w:t>磋商</w:t>
      </w:r>
    </w:p>
    <w:p w14:paraId="425D1432">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18</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磋商小组根据各磋商供应商响应文件响应情况决定是否与各供应商进行磋商，磋商方式为磋商小组所有成员集中与单一供应商分别进行磋商，并给与参加磋商的供应商平等的磋商机会。</w:t>
      </w:r>
    </w:p>
    <w:p w14:paraId="323EC64D">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lang w:val="en-US" w:eastAsia="zh-CN"/>
        </w:rPr>
        <w:t>18.3.2</w:t>
      </w:r>
      <w:r>
        <w:rPr>
          <w:rFonts w:hint="eastAsia" w:ascii="宋体" w:hAnsi="宋体" w:eastAsia="宋体" w:cs="宋体"/>
          <w:b/>
          <w:bCs/>
          <w:color w:val="auto"/>
          <w:sz w:val="24"/>
          <w:szCs w:val="24"/>
          <w:highlight w:val="none"/>
        </w:rPr>
        <w:t>经磋商小组评审，质量和服务均能满足磋商文件实质性响应要求的供应商才具有最后报价的机会。供应商应按磋商小组规定的时间进行最后报价，最后报价现场不公布。该磋商报价为不可更改价格，作为磋商小组推荐成交候选人的依据。</w:t>
      </w:r>
    </w:p>
    <w:p w14:paraId="6FB6DF13">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18</w:t>
      </w: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磋商小组认为供应商的最后报价明显不合理或者低于成本，有可能影响质量和不能诚信履约的，要求其在磋商小组规定的期限内提供书面文件予以解释说明，并提交相关证明材料；如果其不能在磋商小组规定时间内够提供相关材料证明其报价的合理性，其最后报价为无效报价。</w:t>
      </w:r>
    </w:p>
    <w:p w14:paraId="1EA40C4D">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18.4</w:t>
      </w:r>
      <w:r>
        <w:rPr>
          <w:rFonts w:hint="eastAsia" w:ascii="宋体" w:hAnsi="宋体" w:eastAsia="宋体" w:cs="宋体"/>
          <w:color w:val="auto"/>
          <w:sz w:val="24"/>
          <w:szCs w:val="24"/>
          <w:highlight w:val="none"/>
        </w:rPr>
        <w:t>评委会各成员按照磋商文件中规定的各项因素进行综合评</w:t>
      </w:r>
      <w:r>
        <w:rPr>
          <w:rFonts w:hint="eastAsia" w:ascii="宋体" w:hAnsi="宋体" w:eastAsia="宋体" w:cs="宋体"/>
          <w:color w:val="auto"/>
          <w:sz w:val="24"/>
          <w:szCs w:val="24"/>
          <w:highlight w:val="none"/>
          <w:lang w:eastAsia="zh-CN"/>
        </w:rPr>
        <w:t>审</w:t>
      </w:r>
      <w:r>
        <w:rPr>
          <w:rFonts w:hint="eastAsia" w:ascii="宋体" w:hAnsi="宋体" w:eastAsia="宋体" w:cs="宋体"/>
          <w:color w:val="auto"/>
          <w:sz w:val="24"/>
          <w:szCs w:val="24"/>
          <w:highlight w:val="none"/>
        </w:rPr>
        <w:t>，以最后得分由高到低</w:t>
      </w:r>
      <w:r>
        <w:rPr>
          <w:rFonts w:hint="eastAsia" w:ascii="宋体" w:hAnsi="宋体" w:eastAsia="宋体" w:cs="宋体"/>
          <w:color w:val="auto"/>
          <w:sz w:val="24"/>
          <w:szCs w:val="24"/>
          <w:highlight w:val="none"/>
          <w:lang w:eastAsia="zh-CN"/>
        </w:rPr>
        <w:t>的顺序</w:t>
      </w:r>
      <w:r>
        <w:rPr>
          <w:rFonts w:hint="eastAsia" w:ascii="宋体" w:hAnsi="宋体" w:eastAsia="宋体" w:cs="宋体"/>
          <w:color w:val="auto"/>
          <w:sz w:val="24"/>
          <w:szCs w:val="24"/>
          <w:highlight w:val="none"/>
        </w:rPr>
        <w:t>推荐成交候选人</w:t>
      </w:r>
      <w:r>
        <w:rPr>
          <w:rFonts w:hint="eastAsia" w:ascii="宋体" w:hAnsi="宋体" w:eastAsia="宋体" w:cs="宋体"/>
          <w:color w:val="auto"/>
          <w:sz w:val="24"/>
          <w:szCs w:val="24"/>
          <w:highlight w:val="none"/>
          <w:lang w:eastAsia="zh-CN"/>
        </w:rPr>
        <w:t>。</w:t>
      </w:r>
    </w:p>
    <w:p w14:paraId="44DEAB11">
      <w:pPr>
        <w:pageBreakBefore w:val="0"/>
        <w:kinsoku/>
        <w:wordWrap/>
        <w:overflowPunct/>
        <w:topLinePunct w:val="0"/>
        <w:autoSpaceDE/>
        <w:autoSpaceDN/>
        <w:bidi w:val="0"/>
        <w:adjustRightInd/>
        <w:snapToGrid/>
        <w:spacing w:line="500" w:lineRule="exact"/>
        <w:ind w:left="0" w:leftChars="0" w:right="0" w:firstLine="496" w:firstLineChars="200"/>
        <w:textAlignment w:val="auto"/>
        <w:rPr>
          <w:rFonts w:hint="eastAsia" w:ascii="宋体" w:hAnsi="宋体" w:eastAsia="宋体" w:cs="宋体"/>
          <w:color w:val="auto"/>
          <w:sz w:val="24"/>
          <w:szCs w:val="24"/>
          <w:highlight w:val="none"/>
        </w:rPr>
      </w:pPr>
      <w:r>
        <w:rPr>
          <w:rFonts w:hint="eastAsia" w:ascii="宋体" w:hAnsi="宋体" w:eastAsia="宋体" w:cs="宋体"/>
          <w:bCs/>
          <w:color w:val="auto"/>
          <w:spacing w:val="4"/>
          <w:sz w:val="24"/>
          <w:szCs w:val="24"/>
          <w:highlight w:val="none"/>
          <w:lang w:val="en-US" w:eastAsia="zh-CN"/>
        </w:rPr>
        <w:t>18.5</w:t>
      </w:r>
      <w:r>
        <w:rPr>
          <w:rFonts w:hint="eastAsia" w:ascii="宋体" w:hAnsi="宋体" w:eastAsia="宋体" w:cs="宋体"/>
          <w:color w:val="auto"/>
          <w:sz w:val="24"/>
          <w:szCs w:val="24"/>
          <w:highlight w:val="none"/>
        </w:rPr>
        <w:t>评审方法</w:t>
      </w:r>
    </w:p>
    <w:p w14:paraId="5DC8A7C6">
      <w:pPr>
        <w:pageBreakBefore w:val="0"/>
        <w:kinsoku/>
        <w:wordWrap/>
        <w:overflowPunct/>
        <w:topLinePunct w:val="0"/>
        <w:autoSpaceDE/>
        <w:autoSpaceDN/>
        <w:bidi w:val="0"/>
        <w:adjustRightInd/>
        <w:snapToGrid/>
        <w:spacing w:line="50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磋商小组从质量和服务均能满足磋商文件实质性响应要求的供应商中，按照最后得分由高到低的顺序提出成交候选人。</w:t>
      </w:r>
    </w:p>
    <w:p w14:paraId="7B3ED36F">
      <w:pPr>
        <w:pStyle w:val="3"/>
        <w:pageBreakBefore w:val="0"/>
        <w:kinsoku/>
        <w:wordWrap/>
        <w:overflowPunct/>
        <w:topLinePunct w:val="0"/>
        <w:autoSpaceDE/>
        <w:autoSpaceDN/>
        <w:bidi w:val="0"/>
        <w:adjustRightInd/>
        <w:snapToGrid/>
        <w:spacing w:before="0" w:after="0" w:line="500" w:lineRule="exact"/>
        <w:ind w:left="0" w:leftChars="0" w:right="0"/>
        <w:textAlignment w:val="auto"/>
        <w:rPr>
          <w:rFonts w:hint="eastAsia" w:ascii="宋体" w:hAnsi="宋体" w:eastAsia="宋体" w:cs="宋体"/>
          <w:color w:val="auto"/>
          <w:sz w:val="24"/>
          <w:szCs w:val="24"/>
          <w:highlight w:val="none"/>
        </w:rPr>
      </w:pPr>
      <w:bookmarkStart w:id="89" w:name="_Toc29985"/>
      <w:bookmarkStart w:id="90" w:name="_Toc9594"/>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六</w:t>
      </w:r>
      <w:r>
        <w:rPr>
          <w:rFonts w:hint="eastAsia" w:ascii="宋体" w:hAnsi="宋体" w:eastAsia="宋体" w:cs="宋体"/>
          <w:color w:val="auto"/>
          <w:sz w:val="24"/>
          <w:szCs w:val="24"/>
          <w:highlight w:val="none"/>
        </w:rPr>
        <w:t>）授予合同</w:t>
      </w:r>
      <w:bookmarkEnd w:id="89"/>
      <w:bookmarkEnd w:id="90"/>
    </w:p>
    <w:p w14:paraId="0E039510">
      <w:pPr>
        <w:pStyle w:val="4"/>
        <w:pageBreakBefore w:val="0"/>
        <w:kinsoku/>
        <w:wordWrap/>
        <w:overflowPunct/>
        <w:topLinePunct w:val="0"/>
        <w:autoSpaceDE/>
        <w:autoSpaceDN/>
        <w:bidi w:val="0"/>
        <w:adjustRightInd/>
        <w:snapToGrid/>
        <w:spacing w:before="0" w:after="0" w:line="500" w:lineRule="exact"/>
        <w:ind w:left="0" w:leftChars="0" w:right="0" w:firstLine="482" w:firstLineChars="200"/>
        <w:textAlignment w:val="auto"/>
        <w:rPr>
          <w:rFonts w:hint="eastAsia" w:ascii="宋体" w:hAnsi="宋体" w:eastAsia="宋体" w:cs="宋体"/>
          <w:color w:val="auto"/>
          <w:sz w:val="24"/>
          <w:szCs w:val="24"/>
          <w:highlight w:val="none"/>
        </w:rPr>
      </w:pPr>
      <w:bookmarkStart w:id="91" w:name="_Toc389620200"/>
      <w:bookmarkStart w:id="92" w:name="_Toc394934441"/>
      <w:bookmarkStart w:id="93" w:name="_Toc246928926"/>
      <w:bookmarkStart w:id="94" w:name="_Toc4642"/>
      <w:bookmarkStart w:id="95" w:name="_Toc385992361"/>
      <w:bookmarkStart w:id="96" w:name="_Toc12614"/>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、成交准则</w:t>
      </w:r>
      <w:bookmarkEnd w:id="91"/>
      <w:bookmarkEnd w:id="92"/>
      <w:bookmarkEnd w:id="93"/>
      <w:bookmarkEnd w:id="94"/>
      <w:bookmarkEnd w:id="95"/>
      <w:bookmarkEnd w:id="96"/>
    </w:p>
    <w:p w14:paraId="27E03DBF">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.1合同将授予响应文件符合磋商文件要求、并能圆满地履行合同且总得分最高的供应商。</w:t>
      </w:r>
    </w:p>
    <w:p w14:paraId="54D7042C">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.2磋商小组将根据评审方法推荐成交候选供应商名单。</w:t>
      </w:r>
      <w:bookmarkStart w:id="97" w:name="_Toc389620201"/>
      <w:bookmarkStart w:id="98" w:name="_Toc385992362"/>
    </w:p>
    <w:p w14:paraId="5B89FA5D">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.3采购代理机构在评审结束后将评审结论送采购人，采购人在收到评审结论后按照评审报告中推荐的成交候选供应商确定成交人。</w:t>
      </w:r>
    </w:p>
    <w:p w14:paraId="4E9A784F">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.4成交人因不可抗力或自身原因不能履行合同的，采购人可以再排位在成交人之后的第一位的成交候选人签订合同，以此类推。</w:t>
      </w:r>
    </w:p>
    <w:bookmarkEnd w:id="97"/>
    <w:bookmarkEnd w:id="98"/>
    <w:p w14:paraId="243866F1">
      <w:pPr>
        <w:pStyle w:val="4"/>
        <w:pageBreakBefore w:val="0"/>
        <w:kinsoku/>
        <w:wordWrap/>
        <w:overflowPunct/>
        <w:topLinePunct w:val="0"/>
        <w:autoSpaceDE/>
        <w:autoSpaceDN/>
        <w:bidi w:val="0"/>
        <w:adjustRightInd/>
        <w:snapToGrid/>
        <w:spacing w:before="0" w:after="0" w:line="500" w:lineRule="exact"/>
        <w:ind w:left="0" w:leftChars="0" w:right="0" w:firstLine="482" w:firstLineChars="200"/>
        <w:textAlignment w:val="auto"/>
        <w:rPr>
          <w:rFonts w:hint="eastAsia" w:ascii="宋体" w:hAnsi="宋体" w:eastAsia="宋体" w:cs="宋体"/>
          <w:color w:val="auto"/>
          <w:sz w:val="24"/>
          <w:szCs w:val="24"/>
          <w:highlight w:val="none"/>
        </w:rPr>
      </w:pPr>
      <w:bookmarkStart w:id="99" w:name="_Toc28402"/>
      <w:bookmarkStart w:id="100" w:name="_Toc31627"/>
      <w:bookmarkStart w:id="101" w:name="_Toc385992364"/>
      <w:bookmarkStart w:id="102" w:name="_Toc389620203"/>
      <w:bookmarkStart w:id="103" w:name="_Toc246928927"/>
      <w:bookmarkStart w:id="104" w:name="_Toc394934442"/>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、定标</w:t>
      </w:r>
      <w:bookmarkEnd w:id="99"/>
      <w:bookmarkEnd w:id="100"/>
    </w:p>
    <w:bookmarkEnd w:id="101"/>
    <w:bookmarkEnd w:id="102"/>
    <w:p w14:paraId="0AAA020B">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lang w:val="en-US" w:eastAsia="zh-CN"/>
        </w:rPr>
      </w:pPr>
      <w:bookmarkStart w:id="105" w:name="_Toc16785"/>
      <w:r>
        <w:rPr>
          <w:rFonts w:hint="eastAsia" w:ascii="宋体" w:hAnsi="宋体" w:eastAsia="宋体" w:cs="宋体"/>
          <w:color w:val="auto"/>
          <w:sz w:val="24"/>
          <w:szCs w:val="24"/>
          <w:highlight w:val="none"/>
          <w:lang w:val="en-US" w:eastAsia="zh-CN"/>
        </w:rPr>
        <w:t>20.1采购代理机构在评标结束后2个工作日内将评标报告送达采购人，采购人在收到评标报告后5个工作日内，在评标报告确定的中标候选人名单中按顺序确定中标人，同时书面复函采购代理机构；</w:t>
      </w:r>
    </w:p>
    <w:p w14:paraId="6D9E96BD">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20.2采购代理机构收到采购人“成交复函”后起2个工作日内，发出中标、成交通知书，并在省级以上人民政府财政部门指定的媒体上公告中标、成交结果，磋商文件、成交结果同时公告。</w:t>
      </w:r>
    </w:p>
    <w:p w14:paraId="45F334AC">
      <w:pPr>
        <w:pStyle w:val="4"/>
        <w:pageBreakBefore w:val="0"/>
        <w:kinsoku/>
        <w:wordWrap/>
        <w:overflowPunct/>
        <w:topLinePunct w:val="0"/>
        <w:autoSpaceDE/>
        <w:autoSpaceDN/>
        <w:bidi w:val="0"/>
        <w:adjustRightInd/>
        <w:snapToGrid/>
        <w:spacing w:before="0" w:after="0" w:line="500" w:lineRule="exact"/>
        <w:ind w:left="0" w:leftChars="0" w:right="0" w:firstLine="482" w:firstLineChars="200"/>
        <w:textAlignment w:val="auto"/>
        <w:rPr>
          <w:rFonts w:hint="eastAsia" w:ascii="宋体" w:hAnsi="宋体" w:eastAsia="宋体" w:cs="宋体"/>
          <w:color w:val="auto"/>
          <w:sz w:val="24"/>
          <w:szCs w:val="24"/>
          <w:highlight w:val="none"/>
        </w:rPr>
      </w:pPr>
      <w:bookmarkStart w:id="106" w:name="_Toc8797"/>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、成交通知</w:t>
      </w:r>
      <w:bookmarkEnd w:id="103"/>
      <w:r>
        <w:rPr>
          <w:rFonts w:hint="eastAsia" w:ascii="宋体" w:hAnsi="宋体" w:eastAsia="宋体" w:cs="宋体"/>
          <w:color w:val="auto"/>
          <w:sz w:val="24"/>
          <w:szCs w:val="24"/>
          <w:highlight w:val="none"/>
        </w:rPr>
        <w:t>书</w:t>
      </w:r>
      <w:bookmarkEnd w:id="104"/>
      <w:bookmarkEnd w:id="105"/>
      <w:bookmarkEnd w:id="106"/>
    </w:p>
    <w:p w14:paraId="1ED09167">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lang w:val="en-US" w:eastAsia="zh-CN"/>
        </w:rPr>
      </w:pPr>
      <w:bookmarkStart w:id="107" w:name="_Toc246928928"/>
      <w:bookmarkStart w:id="108" w:name="_Toc394934443"/>
      <w:bookmarkStart w:id="109" w:name="_Toc389620205"/>
      <w:bookmarkStart w:id="110" w:name="_Toc385992366"/>
      <w:r>
        <w:rPr>
          <w:rFonts w:hint="eastAsia" w:ascii="宋体" w:hAnsi="宋体" w:eastAsia="宋体" w:cs="宋体"/>
          <w:color w:val="auto"/>
          <w:sz w:val="24"/>
          <w:szCs w:val="24"/>
          <w:highlight w:val="none"/>
          <w:lang w:val="en-US" w:eastAsia="zh-CN"/>
        </w:rPr>
        <w:t>21.1《成交通知书》将作为签订合同的依据。</w:t>
      </w:r>
    </w:p>
    <w:p w14:paraId="0FECD538">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21.2</w:t>
      </w:r>
      <w:bookmarkStart w:id="111" w:name="_Toc24111"/>
      <w:r>
        <w:rPr>
          <w:rFonts w:hint="eastAsia" w:ascii="宋体" w:hAnsi="宋体" w:eastAsia="宋体" w:cs="宋体"/>
          <w:color w:val="auto"/>
          <w:sz w:val="24"/>
          <w:szCs w:val="24"/>
          <w:highlight w:val="none"/>
          <w:lang w:val="en-US" w:eastAsia="zh-CN"/>
        </w:rPr>
        <w:t>成交通知书对采购人和成交人具有同等法律效力。成交通知书发出之后，采购人改变成交结果，或者成交人放弃成交，应当承担相应的法律责任。</w:t>
      </w:r>
    </w:p>
    <w:p w14:paraId="0E574D39">
      <w:pPr>
        <w:pStyle w:val="4"/>
        <w:pageBreakBefore w:val="0"/>
        <w:kinsoku/>
        <w:wordWrap/>
        <w:overflowPunct/>
        <w:topLinePunct w:val="0"/>
        <w:autoSpaceDE/>
        <w:autoSpaceDN/>
        <w:bidi w:val="0"/>
        <w:adjustRightInd/>
        <w:snapToGrid/>
        <w:spacing w:before="0" w:after="0" w:line="500" w:lineRule="exact"/>
        <w:ind w:left="0" w:leftChars="0" w:right="0" w:firstLine="482" w:firstLineChars="200"/>
        <w:textAlignment w:val="auto"/>
        <w:rPr>
          <w:rFonts w:hint="eastAsia" w:ascii="宋体" w:hAnsi="宋体" w:eastAsia="宋体" w:cs="宋体"/>
          <w:color w:val="auto"/>
          <w:sz w:val="24"/>
          <w:szCs w:val="24"/>
          <w:highlight w:val="none"/>
        </w:rPr>
      </w:pPr>
      <w:bookmarkStart w:id="112" w:name="_Toc21497"/>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、签订合同</w:t>
      </w:r>
      <w:bookmarkEnd w:id="107"/>
      <w:bookmarkEnd w:id="108"/>
      <w:bookmarkEnd w:id="109"/>
      <w:bookmarkEnd w:id="110"/>
      <w:bookmarkEnd w:id="111"/>
      <w:bookmarkEnd w:id="112"/>
    </w:p>
    <w:p w14:paraId="35F91D90">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.1成交人应当自成交通知书发出之日起</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日内，按照磋商文件确定的事项和成交人的响应文件，持成交通知书与采购人签订合同</w:t>
      </w:r>
    </w:p>
    <w:p w14:paraId="2F1D7E48">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.2磋商文件、成交人的响应文件和补充文件（如澄清、承诺等）等，均为签订合同的依据。所签订的合同不得对磋商文件和成交人响应文件作实质性修改。</w:t>
      </w:r>
    </w:p>
    <w:p w14:paraId="670B548E">
      <w:pPr>
        <w:pStyle w:val="3"/>
        <w:pageBreakBefore w:val="0"/>
        <w:kinsoku/>
        <w:wordWrap/>
        <w:overflowPunct/>
        <w:topLinePunct w:val="0"/>
        <w:autoSpaceDE/>
        <w:autoSpaceDN/>
        <w:bidi w:val="0"/>
        <w:adjustRightInd/>
        <w:snapToGrid/>
        <w:spacing w:before="0" w:after="0" w:line="500" w:lineRule="exact"/>
        <w:ind w:left="0" w:leftChars="0" w:right="0"/>
        <w:textAlignment w:val="auto"/>
        <w:rPr>
          <w:rFonts w:hint="eastAsia" w:ascii="宋体" w:hAnsi="宋体" w:eastAsia="宋体" w:cs="宋体"/>
          <w:color w:val="auto"/>
          <w:sz w:val="24"/>
          <w:szCs w:val="24"/>
          <w:highlight w:val="none"/>
        </w:rPr>
      </w:pPr>
      <w:bookmarkStart w:id="113" w:name="_Toc25783"/>
      <w:bookmarkStart w:id="114" w:name="_Toc7215"/>
      <w:bookmarkStart w:id="115" w:name="_Toc7998"/>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七</w:t>
      </w:r>
      <w:r>
        <w:rPr>
          <w:rFonts w:hint="eastAsia" w:ascii="宋体" w:hAnsi="宋体" w:eastAsia="宋体" w:cs="宋体"/>
          <w:color w:val="auto"/>
          <w:sz w:val="24"/>
          <w:szCs w:val="24"/>
          <w:highlight w:val="none"/>
        </w:rPr>
        <w:t>）合同的履约验收</w:t>
      </w:r>
      <w:bookmarkEnd w:id="113"/>
      <w:bookmarkEnd w:id="114"/>
      <w:bookmarkEnd w:id="115"/>
    </w:p>
    <w:p w14:paraId="13CDDF55">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采购人应按照政府采购合同约定的技术、服务、安全标准组织对</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每一项技术、服务、安全标准的履约情况进行验收，并出具验收书。</w:t>
      </w:r>
    </w:p>
    <w:p w14:paraId="11E73E40">
      <w:pPr>
        <w:pStyle w:val="3"/>
        <w:pageBreakBefore w:val="0"/>
        <w:kinsoku/>
        <w:wordWrap/>
        <w:overflowPunct/>
        <w:topLinePunct w:val="0"/>
        <w:autoSpaceDE/>
        <w:autoSpaceDN/>
        <w:bidi w:val="0"/>
        <w:adjustRightInd/>
        <w:snapToGrid/>
        <w:spacing w:before="0" w:after="0" w:afterAutospacing="0" w:line="500" w:lineRule="exact"/>
        <w:ind w:left="0" w:leftChars="0" w:right="0"/>
        <w:textAlignment w:val="auto"/>
        <w:rPr>
          <w:rFonts w:hint="eastAsia" w:ascii="宋体" w:hAnsi="宋体" w:eastAsia="宋体" w:cs="宋体"/>
          <w:color w:val="auto"/>
          <w:sz w:val="24"/>
          <w:szCs w:val="24"/>
          <w:highlight w:val="none"/>
        </w:rPr>
      </w:pPr>
      <w:bookmarkStart w:id="116" w:name="_Toc681"/>
      <w:bookmarkStart w:id="117" w:name="_Toc4629"/>
      <w:bookmarkStart w:id="118" w:name="_Toc15528"/>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八</w:t>
      </w:r>
      <w:r>
        <w:rPr>
          <w:rFonts w:hint="eastAsia" w:ascii="宋体" w:hAnsi="宋体" w:eastAsia="宋体" w:cs="宋体"/>
          <w:color w:val="auto"/>
          <w:sz w:val="24"/>
          <w:szCs w:val="24"/>
          <w:highlight w:val="none"/>
        </w:rPr>
        <w:t>）招标服务费</w:t>
      </w:r>
      <w:bookmarkEnd w:id="116"/>
      <w:bookmarkEnd w:id="117"/>
      <w:bookmarkEnd w:id="118"/>
    </w:p>
    <w:p w14:paraId="4462AA09">
      <w:pPr>
        <w:pStyle w:val="4"/>
        <w:pageBreakBefore w:val="0"/>
        <w:kinsoku/>
        <w:wordWrap/>
        <w:overflowPunct/>
        <w:topLinePunct w:val="0"/>
        <w:autoSpaceDE/>
        <w:autoSpaceDN/>
        <w:bidi w:val="0"/>
        <w:adjustRightInd/>
        <w:snapToGrid/>
        <w:spacing w:before="0" w:beforeAutospacing="0" w:after="0" w:afterAutospacing="0" w:line="500" w:lineRule="exact"/>
        <w:ind w:left="0" w:leftChars="0" w:right="0" w:firstLine="482" w:firstLineChars="200"/>
        <w:textAlignment w:val="auto"/>
        <w:rPr>
          <w:rFonts w:hint="eastAsia" w:ascii="宋体" w:hAnsi="宋体" w:eastAsia="宋体" w:cs="宋体"/>
          <w:color w:val="auto"/>
          <w:sz w:val="24"/>
          <w:szCs w:val="24"/>
          <w:highlight w:val="none"/>
        </w:rPr>
      </w:pPr>
      <w:bookmarkStart w:id="119" w:name="_Toc7371"/>
      <w:bookmarkStart w:id="120" w:name="_Toc36"/>
      <w:r>
        <w:rPr>
          <w:rFonts w:hint="eastAsia" w:ascii="宋体" w:hAnsi="宋体" w:eastAsia="宋体" w:cs="宋体"/>
          <w:color w:val="auto"/>
          <w:sz w:val="24"/>
          <w:szCs w:val="24"/>
          <w:highlight w:val="none"/>
          <w:lang w:val="en-US" w:eastAsia="zh-CN"/>
        </w:rPr>
        <w:t>23、</w:t>
      </w:r>
      <w:r>
        <w:rPr>
          <w:rFonts w:hint="eastAsia" w:ascii="宋体" w:hAnsi="宋体" w:eastAsia="宋体" w:cs="宋体"/>
          <w:color w:val="auto"/>
          <w:sz w:val="24"/>
          <w:szCs w:val="24"/>
          <w:highlight w:val="none"/>
        </w:rPr>
        <w:t>招标代理服务费</w:t>
      </w:r>
      <w:bookmarkEnd w:id="119"/>
      <w:bookmarkEnd w:id="120"/>
    </w:p>
    <w:p w14:paraId="55A93958">
      <w:pPr>
        <w:keepNext w:val="0"/>
        <w:keepLines w:val="0"/>
        <w:pageBreakBefore w:val="0"/>
        <w:numPr>
          <w:ilvl w:val="0"/>
          <w:numId w:val="0"/>
        </w:numPr>
        <w:suppressLineNumbers w:val="0"/>
        <w:kinsoku/>
        <w:wordWrap/>
        <w:overflowPunct/>
        <w:topLinePunct w:val="0"/>
        <w:autoSpaceDE/>
        <w:autoSpaceDN/>
        <w:bidi w:val="0"/>
        <w:adjustRightInd/>
        <w:snapToGrid/>
        <w:spacing w:beforeAutospacing="0" w:afterAutospacing="0" w:line="500" w:lineRule="exact"/>
        <w:ind w:left="0" w:leftChars="0" w:right="0" w:firstLine="482" w:firstLineChars="200"/>
        <w:jc w:val="center"/>
        <w:textAlignment w:val="auto"/>
        <w:rPr>
          <w:rFonts w:hint="eastAsia" w:ascii="宋体" w:hAnsi="宋体" w:eastAsia="宋体" w:cs="宋体"/>
          <w:b/>
          <w:bCs/>
          <w:color w:val="auto"/>
          <w:sz w:val="24"/>
          <w:szCs w:val="24"/>
          <w:highlight w:val="none"/>
          <w:shd w:val="clear" w:color="auto" w:fill="auto"/>
          <w:lang w:val="en-US"/>
        </w:rPr>
      </w:pPr>
      <w:r>
        <w:rPr>
          <w:rFonts w:hint="eastAsia" w:ascii="宋体" w:hAnsi="宋体" w:eastAsia="宋体" w:cs="宋体"/>
          <w:b/>
          <w:bCs/>
          <w:color w:val="auto"/>
          <w:sz w:val="24"/>
          <w:szCs w:val="24"/>
          <w:highlight w:val="none"/>
          <w:shd w:val="clear" w:color="auto" w:fill="auto"/>
          <w:lang w:val="en-US" w:eastAsia="zh-CN"/>
        </w:rPr>
        <w:t>招标代理服务收费标准(费率)</w:t>
      </w:r>
    </w:p>
    <w:tbl>
      <w:tblPr>
        <w:tblStyle w:val="26"/>
        <w:tblW w:w="8458" w:type="dxa"/>
        <w:jc w:val="center"/>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326"/>
        <w:gridCol w:w="2276"/>
        <w:gridCol w:w="1934"/>
        <w:gridCol w:w="1922"/>
      </w:tblGrid>
      <w:tr w14:paraId="37D3C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5" w:hRule="atLeast"/>
          <w:tblCellSpacing w:w="0" w:type="dxa"/>
          <w:jc w:val="center"/>
        </w:trPr>
        <w:tc>
          <w:tcPr>
            <w:tcW w:w="2326" w:type="dxa"/>
            <w:tcBorders>
              <w:top w:val="single" w:color="auto" w:sz="4" w:space="0"/>
              <w:left w:val="single" w:color="auto" w:sz="0" w:space="0"/>
              <w:bottom w:val="single" w:color="auto" w:sz="4" w:space="0"/>
              <w:right w:val="single" w:color="auto" w:sz="4" w:space="0"/>
            </w:tcBorders>
            <w:noWrap w:val="0"/>
            <w:vAlign w:val="center"/>
          </w:tcPr>
          <w:p w14:paraId="00A5CAE2">
            <w:pPr>
              <w:keepNext w:val="0"/>
              <w:keepLines w:val="0"/>
              <w:pageBreakBefore w:val="0"/>
              <w:suppressLineNumbers w:val="0"/>
              <w:kinsoku/>
              <w:wordWrap/>
              <w:overflowPunct/>
              <w:topLinePunct w:val="0"/>
              <w:autoSpaceDE/>
              <w:autoSpaceDN/>
              <w:bidi w:val="0"/>
              <w:adjustRightInd/>
              <w:snapToGrid/>
              <w:spacing w:beforeAutospacing="0" w:afterAutospacing="0" w:line="500" w:lineRule="exact"/>
              <w:ind w:left="0" w:leftChars="0" w:right="0" w:firstLine="480" w:firstLineChars="20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中标金额（万元）</w:t>
            </w:r>
          </w:p>
        </w:tc>
        <w:tc>
          <w:tcPr>
            <w:tcW w:w="2276" w:type="dxa"/>
            <w:tcBorders>
              <w:top w:val="single" w:color="auto" w:sz="4" w:space="0"/>
              <w:left w:val="single" w:color="auto" w:sz="4" w:space="0"/>
              <w:bottom w:val="single" w:color="auto" w:sz="4" w:space="0"/>
              <w:right w:val="single" w:color="auto" w:sz="4" w:space="0"/>
            </w:tcBorders>
            <w:noWrap w:val="0"/>
            <w:vAlign w:val="center"/>
          </w:tcPr>
          <w:p w14:paraId="2EEB8F90">
            <w:pPr>
              <w:keepNext w:val="0"/>
              <w:keepLines w:val="0"/>
              <w:pageBreakBefore w:val="0"/>
              <w:suppressLineNumbers w:val="0"/>
              <w:kinsoku/>
              <w:wordWrap/>
              <w:overflowPunct/>
              <w:topLinePunct w:val="0"/>
              <w:autoSpaceDE/>
              <w:autoSpaceDN/>
              <w:bidi w:val="0"/>
              <w:adjustRightInd/>
              <w:snapToGrid/>
              <w:spacing w:beforeAutospacing="0" w:afterAutospacing="0" w:line="500" w:lineRule="exact"/>
              <w:ind w:left="0" w:leftChars="0" w:right="0" w:firstLine="480" w:firstLineChars="20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货物招标</w:t>
            </w:r>
          </w:p>
        </w:tc>
        <w:tc>
          <w:tcPr>
            <w:tcW w:w="1934" w:type="dxa"/>
            <w:tcBorders>
              <w:top w:val="single" w:color="auto" w:sz="4" w:space="0"/>
              <w:left w:val="single" w:color="auto" w:sz="4" w:space="0"/>
              <w:bottom w:val="single" w:color="auto" w:sz="4" w:space="0"/>
              <w:right w:val="single" w:color="auto" w:sz="4" w:space="0"/>
            </w:tcBorders>
            <w:noWrap w:val="0"/>
            <w:vAlign w:val="center"/>
          </w:tcPr>
          <w:p w14:paraId="4060972A">
            <w:pPr>
              <w:keepNext w:val="0"/>
              <w:keepLines w:val="0"/>
              <w:pageBreakBefore w:val="0"/>
              <w:suppressLineNumbers w:val="0"/>
              <w:kinsoku/>
              <w:wordWrap/>
              <w:overflowPunct/>
              <w:topLinePunct w:val="0"/>
              <w:autoSpaceDE/>
              <w:autoSpaceDN/>
              <w:bidi w:val="0"/>
              <w:adjustRightInd/>
              <w:snapToGrid/>
              <w:spacing w:beforeAutospacing="0" w:afterAutospacing="0" w:line="500" w:lineRule="exact"/>
              <w:ind w:left="0" w:leftChars="0" w:right="0" w:firstLine="480" w:firstLineChars="20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服务招标</w:t>
            </w:r>
          </w:p>
        </w:tc>
        <w:tc>
          <w:tcPr>
            <w:tcW w:w="1922" w:type="dxa"/>
            <w:tcBorders>
              <w:top w:val="single" w:color="auto" w:sz="4" w:space="0"/>
              <w:left w:val="single" w:color="auto" w:sz="4" w:space="0"/>
              <w:bottom w:val="single" w:color="auto" w:sz="4" w:space="0"/>
              <w:right w:val="single" w:color="auto" w:sz="4" w:space="0"/>
            </w:tcBorders>
            <w:noWrap w:val="0"/>
            <w:vAlign w:val="center"/>
          </w:tcPr>
          <w:p w14:paraId="603FB128">
            <w:pPr>
              <w:keepNext w:val="0"/>
              <w:keepLines w:val="0"/>
              <w:pageBreakBefore w:val="0"/>
              <w:suppressLineNumbers w:val="0"/>
              <w:kinsoku/>
              <w:wordWrap/>
              <w:overflowPunct/>
              <w:topLinePunct w:val="0"/>
              <w:autoSpaceDE/>
              <w:autoSpaceDN/>
              <w:bidi w:val="0"/>
              <w:adjustRightInd/>
              <w:snapToGrid/>
              <w:spacing w:beforeAutospacing="0" w:afterAutospacing="0" w:line="500" w:lineRule="exact"/>
              <w:ind w:left="0" w:leftChars="0" w:right="0" w:firstLine="480" w:firstLineChars="200"/>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工程招标</w:t>
            </w:r>
          </w:p>
        </w:tc>
      </w:tr>
      <w:tr w14:paraId="371E5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5" w:hRule="atLeast"/>
          <w:tblCellSpacing w:w="0" w:type="dxa"/>
          <w:jc w:val="center"/>
        </w:trPr>
        <w:tc>
          <w:tcPr>
            <w:tcW w:w="2326" w:type="dxa"/>
            <w:tcBorders>
              <w:top w:val="single" w:color="auto" w:sz="4" w:space="0"/>
              <w:left w:val="single" w:color="auto" w:sz="4" w:space="0"/>
              <w:bottom w:val="single" w:color="auto" w:sz="4" w:space="0"/>
              <w:right w:val="single" w:color="auto" w:sz="4" w:space="0"/>
            </w:tcBorders>
            <w:noWrap w:val="0"/>
            <w:vAlign w:val="center"/>
          </w:tcPr>
          <w:p w14:paraId="488BF82C">
            <w:pPr>
              <w:keepNext w:val="0"/>
              <w:keepLines w:val="0"/>
              <w:pageBreakBefore w:val="0"/>
              <w:suppressLineNumbers w:val="0"/>
              <w:kinsoku/>
              <w:wordWrap/>
              <w:overflowPunct/>
              <w:topLinePunct w:val="0"/>
              <w:autoSpaceDE/>
              <w:autoSpaceDN/>
              <w:bidi w:val="0"/>
              <w:adjustRightInd/>
              <w:snapToGrid/>
              <w:spacing w:beforeAutospacing="0" w:afterAutospacing="0" w:line="500" w:lineRule="exact"/>
              <w:ind w:left="0" w:leftChars="0" w:right="0" w:firstLine="480" w:firstLineChars="20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100以下</w:t>
            </w:r>
          </w:p>
        </w:tc>
        <w:tc>
          <w:tcPr>
            <w:tcW w:w="2276" w:type="dxa"/>
            <w:tcBorders>
              <w:top w:val="single" w:color="auto" w:sz="4" w:space="0"/>
              <w:left w:val="single" w:color="auto" w:sz="4" w:space="0"/>
              <w:bottom w:val="single" w:color="auto" w:sz="4" w:space="0"/>
              <w:right w:val="single" w:color="auto" w:sz="4" w:space="0"/>
            </w:tcBorders>
            <w:noWrap w:val="0"/>
            <w:vAlign w:val="center"/>
          </w:tcPr>
          <w:p w14:paraId="3BF11E26">
            <w:pPr>
              <w:keepNext w:val="0"/>
              <w:keepLines w:val="0"/>
              <w:pageBreakBefore w:val="0"/>
              <w:suppressLineNumbers w:val="0"/>
              <w:kinsoku/>
              <w:wordWrap/>
              <w:overflowPunct/>
              <w:topLinePunct w:val="0"/>
              <w:autoSpaceDE/>
              <w:autoSpaceDN/>
              <w:bidi w:val="0"/>
              <w:adjustRightInd/>
              <w:snapToGrid/>
              <w:spacing w:beforeAutospacing="0" w:afterAutospacing="0" w:line="500" w:lineRule="exact"/>
              <w:ind w:left="0" w:leftChars="0" w:right="0" w:firstLine="480" w:firstLineChars="20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1.5％</w:t>
            </w:r>
          </w:p>
        </w:tc>
        <w:tc>
          <w:tcPr>
            <w:tcW w:w="1934" w:type="dxa"/>
            <w:tcBorders>
              <w:top w:val="single" w:color="auto" w:sz="4" w:space="0"/>
              <w:left w:val="single" w:color="auto" w:sz="4" w:space="0"/>
              <w:bottom w:val="single" w:color="auto" w:sz="4" w:space="0"/>
              <w:right w:val="single" w:color="auto" w:sz="4" w:space="0"/>
            </w:tcBorders>
            <w:noWrap w:val="0"/>
            <w:vAlign w:val="center"/>
          </w:tcPr>
          <w:p w14:paraId="4A83AB56">
            <w:pPr>
              <w:keepNext w:val="0"/>
              <w:keepLines w:val="0"/>
              <w:pageBreakBefore w:val="0"/>
              <w:suppressLineNumbers w:val="0"/>
              <w:kinsoku/>
              <w:wordWrap/>
              <w:overflowPunct/>
              <w:topLinePunct w:val="0"/>
              <w:autoSpaceDE/>
              <w:autoSpaceDN/>
              <w:bidi w:val="0"/>
              <w:adjustRightInd/>
              <w:snapToGrid/>
              <w:spacing w:beforeAutospacing="0" w:afterAutospacing="0" w:line="500" w:lineRule="exact"/>
              <w:ind w:left="0" w:leftChars="0" w:right="0" w:firstLine="480" w:firstLineChars="20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1.5％</w:t>
            </w:r>
          </w:p>
        </w:tc>
        <w:tc>
          <w:tcPr>
            <w:tcW w:w="1922" w:type="dxa"/>
            <w:tcBorders>
              <w:top w:val="single" w:color="auto" w:sz="4" w:space="0"/>
              <w:left w:val="single" w:color="auto" w:sz="4" w:space="0"/>
              <w:bottom w:val="single" w:color="auto" w:sz="4" w:space="0"/>
              <w:right w:val="single" w:color="auto" w:sz="4" w:space="0"/>
            </w:tcBorders>
            <w:noWrap w:val="0"/>
            <w:vAlign w:val="center"/>
          </w:tcPr>
          <w:p w14:paraId="4BA0CB34">
            <w:pPr>
              <w:keepNext w:val="0"/>
              <w:keepLines w:val="0"/>
              <w:pageBreakBefore w:val="0"/>
              <w:suppressLineNumbers w:val="0"/>
              <w:kinsoku/>
              <w:wordWrap/>
              <w:overflowPunct/>
              <w:topLinePunct w:val="0"/>
              <w:autoSpaceDE/>
              <w:autoSpaceDN/>
              <w:bidi w:val="0"/>
              <w:adjustRightInd/>
              <w:snapToGrid/>
              <w:spacing w:beforeAutospacing="0" w:afterAutospacing="0" w:line="500" w:lineRule="exact"/>
              <w:ind w:left="0" w:leftChars="0" w:right="0" w:firstLine="480" w:firstLineChars="200"/>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1.0%</w:t>
            </w:r>
          </w:p>
        </w:tc>
      </w:tr>
      <w:tr w14:paraId="151DB2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5" w:hRule="atLeast"/>
          <w:tblCellSpacing w:w="0" w:type="dxa"/>
          <w:jc w:val="center"/>
        </w:trPr>
        <w:tc>
          <w:tcPr>
            <w:tcW w:w="2326" w:type="dxa"/>
            <w:tcBorders>
              <w:top w:val="single" w:color="auto" w:sz="4" w:space="0"/>
              <w:left w:val="single" w:color="auto" w:sz="4" w:space="0"/>
              <w:bottom w:val="single" w:color="auto" w:sz="4" w:space="0"/>
              <w:right w:val="single" w:color="auto" w:sz="4" w:space="0"/>
            </w:tcBorders>
            <w:noWrap w:val="0"/>
            <w:vAlign w:val="center"/>
          </w:tcPr>
          <w:p w14:paraId="379D434C">
            <w:pPr>
              <w:keepNext w:val="0"/>
              <w:keepLines w:val="0"/>
              <w:pageBreakBefore w:val="0"/>
              <w:suppressLineNumbers w:val="0"/>
              <w:kinsoku/>
              <w:wordWrap/>
              <w:overflowPunct/>
              <w:topLinePunct w:val="0"/>
              <w:autoSpaceDE/>
              <w:autoSpaceDN/>
              <w:bidi w:val="0"/>
              <w:adjustRightInd/>
              <w:snapToGrid/>
              <w:spacing w:beforeAutospacing="0" w:afterAutospacing="0" w:line="500" w:lineRule="exact"/>
              <w:ind w:left="0" w:leftChars="0" w:right="0" w:firstLine="480" w:firstLineChars="20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100—500</w:t>
            </w:r>
          </w:p>
        </w:tc>
        <w:tc>
          <w:tcPr>
            <w:tcW w:w="2276" w:type="dxa"/>
            <w:tcBorders>
              <w:top w:val="single" w:color="auto" w:sz="4" w:space="0"/>
              <w:left w:val="single" w:color="auto" w:sz="4" w:space="0"/>
              <w:bottom w:val="single" w:color="auto" w:sz="4" w:space="0"/>
              <w:right w:val="single" w:color="auto" w:sz="4" w:space="0"/>
            </w:tcBorders>
            <w:noWrap w:val="0"/>
            <w:vAlign w:val="center"/>
          </w:tcPr>
          <w:p w14:paraId="05D8A15A">
            <w:pPr>
              <w:keepNext w:val="0"/>
              <w:keepLines w:val="0"/>
              <w:pageBreakBefore w:val="0"/>
              <w:suppressLineNumbers w:val="0"/>
              <w:kinsoku/>
              <w:wordWrap/>
              <w:overflowPunct/>
              <w:topLinePunct w:val="0"/>
              <w:autoSpaceDE/>
              <w:autoSpaceDN/>
              <w:bidi w:val="0"/>
              <w:adjustRightInd/>
              <w:snapToGrid/>
              <w:spacing w:beforeAutospacing="0" w:afterAutospacing="0" w:line="500" w:lineRule="exact"/>
              <w:ind w:left="0" w:leftChars="0" w:right="0" w:firstLine="480" w:firstLineChars="20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1.1％</w:t>
            </w:r>
          </w:p>
        </w:tc>
        <w:tc>
          <w:tcPr>
            <w:tcW w:w="1934" w:type="dxa"/>
            <w:tcBorders>
              <w:top w:val="single" w:color="auto" w:sz="4" w:space="0"/>
              <w:left w:val="single" w:color="auto" w:sz="4" w:space="0"/>
              <w:bottom w:val="single" w:color="auto" w:sz="4" w:space="0"/>
              <w:right w:val="single" w:color="auto" w:sz="4" w:space="0"/>
            </w:tcBorders>
            <w:noWrap w:val="0"/>
            <w:vAlign w:val="center"/>
          </w:tcPr>
          <w:p w14:paraId="180D2BF4">
            <w:pPr>
              <w:keepNext w:val="0"/>
              <w:keepLines w:val="0"/>
              <w:pageBreakBefore w:val="0"/>
              <w:suppressLineNumbers w:val="0"/>
              <w:kinsoku/>
              <w:wordWrap/>
              <w:overflowPunct/>
              <w:topLinePunct w:val="0"/>
              <w:autoSpaceDE/>
              <w:autoSpaceDN/>
              <w:bidi w:val="0"/>
              <w:adjustRightInd/>
              <w:snapToGrid/>
              <w:spacing w:beforeAutospacing="0" w:afterAutospacing="0" w:line="500" w:lineRule="exact"/>
              <w:ind w:left="0" w:leftChars="0" w:right="0" w:firstLine="480" w:firstLineChars="20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0.8％</w:t>
            </w:r>
          </w:p>
        </w:tc>
        <w:tc>
          <w:tcPr>
            <w:tcW w:w="1922" w:type="dxa"/>
            <w:tcBorders>
              <w:top w:val="single" w:color="auto" w:sz="4" w:space="0"/>
              <w:left w:val="single" w:color="auto" w:sz="4" w:space="0"/>
              <w:bottom w:val="single" w:color="auto" w:sz="4" w:space="0"/>
              <w:right w:val="single" w:color="auto" w:sz="4" w:space="0"/>
            </w:tcBorders>
            <w:noWrap w:val="0"/>
            <w:vAlign w:val="center"/>
          </w:tcPr>
          <w:p w14:paraId="73282666">
            <w:pPr>
              <w:keepNext w:val="0"/>
              <w:keepLines w:val="0"/>
              <w:pageBreakBefore w:val="0"/>
              <w:suppressLineNumbers w:val="0"/>
              <w:kinsoku/>
              <w:wordWrap/>
              <w:overflowPunct/>
              <w:topLinePunct w:val="0"/>
              <w:autoSpaceDE/>
              <w:autoSpaceDN/>
              <w:bidi w:val="0"/>
              <w:adjustRightInd/>
              <w:snapToGrid/>
              <w:spacing w:beforeAutospacing="0" w:afterAutospacing="0" w:line="500" w:lineRule="exact"/>
              <w:ind w:left="0" w:leftChars="0" w:right="0" w:firstLine="480" w:firstLineChars="200"/>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0.7%</w:t>
            </w:r>
          </w:p>
        </w:tc>
      </w:tr>
      <w:tr w14:paraId="697C5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5" w:hRule="atLeast"/>
          <w:tblCellSpacing w:w="0" w:type="dxa"/>
          <w:jc w:val="center"/>
        </w:trPr>
        <w:tc>
          <w:tcPr>
            <w:tcW w:w="2326" w:type="dxa"/>
            <w:tcBorders>
              <w:top w:val="single" w:color="auto" w:sz="4" w:space="0"/>
              <w:left w:val="single" w:color="auto" w:sz="4" w:space="0"/>
              <w:bottom w:val="single" w:color="auto" w:sz="4" w:space="0"/>
              <w:right w:val="single" w:color="auto" w:sz="4" w:space="0"/>
            </w:tcBorders>
            <w:noWrap w:val="0"/>
            <w:vAlign w:val="center"/>
          </w:tcPr>
          <w:p w14:paraId="2BA2A916">
            <w:pPr>
              <w:keepNext w:val="0"/>
              <w:keepLines w:val="0"/>
              <w:pageBreakBefore w:val="0"/>
              <w:suppressLineNumbers w:val="0"/>
              <w:kinsoku/>
              <w:wordWrap/>
              <w:overflowPunct/>
              <w:topLinePunct w:val="0"/>
              <w:autoSpaceDE/>
              <w:autoSpaceDN/>
              <w:bidi w:val="0"/>
              <w:adjustRightInd/>
              <w:snapToGrid/>
              <w:spacing w:beforeAutospacing="0" w:afterAutospacing="0" w:line="500" w:lineRule="exact"/>
              <w:ind w:left="0" w:leftChars="0" w:right="0" w:firstLine="480" w:firstLineChars="20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500—1000</w:t>
            </w:r>
          </w:p>
        </w:tc>
        <w:tc>
          <w:tcPr>
            <w:tcW w:w="2276" w:type="dxa"/>
            <w:tcBorders>
              <w:top w:val="single" w:color="auto" w:sz="4" w:space="0"/>
              <w:left w:val="single" w:color="auto" w:sz="4" w:space="0"/>
              <w:bottom w:val="single" w:color="auto" w:sz="4" w:space="0"/>
              <w:right w:val="single" w:color="auto" w:sz="4" w:space="0"/>
            </w:tcBorders>
            <w:noWrap w:val="0"/>
            <w:vAlign w:val="center"/>
          </w:tcPr>
          <w:p w14:paraId="37E61AB5">
            <w:pPr>
              <w:keepNext w:val="0"/>
              <w:keepLines w:val="0"/>
              <w:pageBreakBefore w:val="0"/>
              <w:suppressLineNumbers w:val="0"/>
              <w:kinsoku/>
              <w:wordWrap/>
              <w:overflowPunct/>
              <w:topLinePunct w:val="0"/>
              <w:autoSpaceDE/>
              <w:autoSpaceDN/>
              <w:bidi w:val="0"/>
              <w:adjustRightInd/>
              <w:snapToGrid/>
              <w:spacing w:beforeAutospacing="0" w:afterAutospacing="0" w:line="500" w:lineRule="exact"/>
              <w:ind w:left="0" w:leftChars="0" w:right="0" w:firstLine="480" w:firstLineChars="20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0.8％</w:t>
            </w:r>
          </w:p>
        </w:tc>
        <w:tc>
          <w:tcPr>
            <w:tcW w:w="1934" w:type="dxa"/>
            <w:tcBorders>
              <w:top w:val="single" w:color="auto" w:sz="4" w:space="0"/>
              <w:left w:val="single" w:color="auto" w:sz="4" w:space="0"/>
              <w:bottom w:val="single" w:color="auto" w:sz="4" w:space="0"/>
              <w:right w:val="single" w:color="auto" w:sz="4" w:space="0"/>
            </w:tcBorders>
            <w:noWrap w:val="0"/>
            <w:vAlign w:val="center"/>
          </w:tcPr>
          <w:p w14:paraId="1E9D0F81">
            <w:pPr>
              <w:keepNext w:val="0"/>
              <w:keepLines w:val="0"/>
              <w:pageBreakBefore w:val="0"/>
              <w:suppressLineNumbers w:val="0"/>
              <w:kinsoku/>
              <w:wordWrap/>
              <w:overflowPunct/>
              <w:topLinePunct w:val="0"/>
              <w:autoSpaceDE/>
              <w:autoSpaceDN/>
              <w:bidi w:val="0"/>
              <w:adjustRightInd/>
              <w:snapToGrid/>
              <w:spacing w:beforeAutospacing="0" w:afterAutospacing="0" w:line="500" w:lineRule="exact"/>
              <w:ind w:left="0" w:leftChars="0" w:right="0" w:firstLine="480" w:firstLineChars="20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0.45％</w:t>
            </w:r>
          </w:p>
        </w:tc>
        <w:tc>
          <w:tcPr>
            <w:tcW w:w="1922" w:type="dxa"/>
            <w:tcBorders>
              <w:top w:val="single" w:color="auto" w:sz="4" w:space="0"/>
              <w:left w:val="single" w:color="auto" w:sz="4" w:space="0"/>
              <w:bottom w:val="single" w:color="auto" w:sz="4" w:space="0"/>
              <w:right w:val="single" w:color="auto" w:sz="4" w:space="0"/>
            </w:tcBorders>
            <w:noWrap w:val="0"/>
            <w:vAlign w:val="center"/>
          </w:tcPr>
          <w:p w14:paraId="07B8CD10">
            <w:pPr>
              <w:keepNext w:val="0"/>
              <w:keepLines w:val="0"/>
              <w:pageBreakBefore w:val="0"/>
              <w:suppressLineNumbers w:val="0"/>
              <w:kinsoku/>
              <w:wordWrap/>
              <w:overflowPunct/>
              <w:topLinePunct w:val="0"/>
              <w:autoSpaceDE/>
              <w:autoSpaceDN/>
              <w:bidi w:val="0"/>
              <w:adjustRightInd/>
              <w:snapToGrid/>
              <w:spacing w:beforeAutospacing="0" w:afterAutospacing="0" w:line="500" w:lineRule="exact"/>
              <w:ind w:left="0" w:leftChars="0" w:right="0" w:firstLine="480" w:firstLineChars="200"/>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0.55%</w:t>
            </w:r>
          </w:p>
        </w:tc>
      </w:tr>
      <w:tr w14:paraId="7FC3C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5" w:hRule="atLeast"/>
          <w:tblCellSpacing w:w="0" w:type="dxa"/>
          <w:jc w:val="center"/>
        </w:trPr>
        <w:tc>
          <w:tcPr>
            <w:tcW w:w="2326" w:type="dxa"/>
            <w:tcBorders>
              <w:top w:val="single" w:color="auto" w:sz="4" w:space="0"/>
              <w:left w:val="single" w:color="auto" w:sz="4" w:space="0"/>
              <w:bottom w:val="single" w:color="auto" w:sz="4" w:space="0"/>
              <w:right w:val="single" w:color="auto" w:sz="4" w:space="0"/>
            </w:tcBorders>
            <w:noWrap w:val="0"/>
            <w:vAlign w:val="center"/>
          </w:tcPr>
          <w:p w14:paraId="10735BF4">
            <w:pPr>
              <w:keepNext w:val="0"/>
              <w:keepLines w:val="0"/>
              <w:pageBreakBefore w:val="0"/>
              <w:suppressLineNumbers w:val="0"/>
              <w:kinsoku/>
              <w:wordWrap/>
              <w:overflowPunct/>
              <w:topLinePunct w:val="0"/>
              <w:autoSpaceDE/>
              <w:autoSpaceDN/>
              <w:bidi w:val="0"/>
              <w:adjustRightInd/>
              <w:snapToGrid/>
              <w:spacing w:beforeAutospacing="0" w:afterAutospacing="0" w:line="500" w:lineRule="exact"/>
              <w:ind w:left="0" w:leftChars="0" w:right="0" w:firstLine="480" w:firstLineChars="20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1000—5000</w:t>
            </w:r>
          </w:p>
        </w:tc>
        <w:tc>
          <w:tcPr>
            <w:tcW w:w="2276" w:type="dxa"/>
            <w:tcBorders>
              <w:top w:val="single" w:color="auto" w:sz="4" w:space="0"/>
              <w:left w:val="single" w:color="auto" w:sz="4" w:space="0"/>
              <w:bottom w:val="single" w:color="auto" w:sz="4" w:space="0"/>
              <w:right w:val="single" w:color="auto" w:sz="4" w:space="0"/>
            </w:tcBorders>
            <w:noWrap w:val="0"/>
            <w:vAlign w:val="center"/>
          </w:tcPr>
          <w:p w14:paraId="18596E3D">
            <w:pPr>
              <w:keepNext w:val="0"/>
              <w:keepLines w:val="0"/>
              <w:pageBreakBefore w:val="0"/>
              <w:suppressLineNumbers w:val="0"/>
              <w:kinsoku/>
              <w:wordWrap/>
              <w:overflowPunct/>
              <w:topLinePunct w:val="0"/>
              <w:autoSpaceDE/>
              <w:autoSpaceDN/>
              <w:bidi w:val="0"/>
              <w:adjustRightInd/>
              <w:snapToGrid/>
              <w:spacing w:beforeAutospacing="0" w:afterAutospacing="0" w:line="500" w:lineRule="exact"/>
              <w:ind w:left="0" w:leftChars="0" w:right="0" w:firstLine="480" w:firstLineChars="20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0.5％</w:t>
            </w:r>
          </w:p>
        </w:tc>
        <w:tc>
          <w:tcPr>
            <w:tcW w:w="1934" w:type="dxa"/>
            <w:tcBorders>
              <w:top w:val="single" w:color="auto" w:sz="4" w:space="0"/>
              <w:left w:val="single" w:color="auto" w:sz="4" w:space="0"/>
              <w:bottom w:val="single" w:color="auto" w:sz="4" w:space="0"/>
              <w:right w:val="single" w:color="auto" w:sz="4" w:space="0"/>
            </w:tcBorders>
            <w:noWrap w:val="0"/>
            <w:vAlign w:val="center"/>
          </w:tcPr>
          <w:p w14:paraId="79C589E6">
            <w:pPr>
              <w:keepNext w:val="0"/>
              <w:keepLines w:val="0"/>
              <w:pageBreakBefore w:val="0"/>
              <w:suppressLineNumbers w:val="0"/>
              <w:kinsoku/>
              <w:wordWrap/>
              <w:overflowPunct/>
              <w:topLinePunct w:val="0"/>
              <w:autoSpaceDE/>
              <w:autoSpaceDN/>
              <w:bidi w:val="0"/>
              <w:adjustRightInd/>
              <w:snapToGrid/>
              <w:spacing w:beforeAutospacing="0" w:afterAutospacing="0" w:line="500" w:lineRule="exact"/>
              <w:ind w:left="0" w:leftChars="0" w:right="0" w:firstLine="480" w:firstLineChars="20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0.25％</w:t>
            </w:r>
          </w:p>
        </w:tc>
        <w:tc>
          <w:tcPr>
            <w:tcW w:w="1922" w:type="dxa"/>
            <w:tcBorders>
              <w:top w:val="single" w:color="auto" w:sz="4" w:space="0"/>
              <w:left w:val="single" w:color="auto" w:sz="4" w:space="0"/>
              <w:bottom w:val="single" w:color="auto" w:sz="4" w:space="0"/>
              <w:right w:val="single" w:color="auto" w:sz="4" w:space="0"/>
            </w:tcBorders>
            <w:noWrap w:val="0"/>
            <w:vAlign w:val="center"/>
          </w:tcPr>
          <w:p w14:paraId="051DD43A">
            <w:pPr>
              <w:keepNext w:val="0"/>
              <w:keepLines w:val="0"/>
              <w:pageBreakBefore w:val="0"/>
              <w:suppressLineNumbers w:val="0"/>
              <w:kinsoku/>
              <w:wordWrap/>
              <w:overflowPunct/>
              <w:topLinePunct w:val="0"/>
              <w:autoSpaceDE/>
              <w:autoSpaceDN/>
              <w:bidi w:val="0"/>
              <w:adjustRightInd/>
              <w:snapToGrid/>
              <w:spacing w:beforeAutospacing="0" w:afterAutospacing="0" w:line="500" w:lineRule="exact"/>
              <w:ind w:left="0" w:leftChars="0" w:right="0" w:firstLine="480" w:firstLineChars="200"/>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0.35%</w:t>
            </w:r>
          </w:p>
        </w:tc>
      </w:tr>
    </w:tbl>
    <w:p w14:paraId="5C268BFE">
      <w:pPr>
        <w:pStyle w:val="4"/>
        <w:pageBreakBefore w:val="0"/>
        <w:numPr>
          <w:ilvl w:val="0"/>
          <w:numId w:val="0"/>
        </w:numPr>
        <w:kinsoku/>
        <w:wordWrap/>
        <w:overflowPunct/>
        <w:topLinePunct w:val="0"/>
        <w:autoSpaceDE/>
        <w:autoSpaceDN/>
        <w:bidi w:val="0"/>
        <w:adjustRightInd/>
        <w:snapToGrid/>
        <w:spacing w:before="0" w:beforeAutospacing="0" w:after="0" w:line="500" w:lineRule="exact"/>
        <w:ind w:left="0" w:leftChars="0" w:right="0" w:firstLine="482" w:firstLineChars="200"/>
        <w:textAlignment w:val="auto"/>
        <w:rPr>
          <w:rFonts w:hint="eastAsia" w:ascii="宋体" w:hAnsi="宋体" w:eastAsia="宋体" w:cs="宋体"/>
          <w:color w:val="auto"/>
          <w:sz w:val="24"/>
          <w:szCs w:val="24"/>
          <w:highlight w:val="none"/>
        </w:rPr>
      </w:pPr>
      <w:bookmarkStart w:id="121" w:name="_Toc32240"/>
      <w:bookmarkStart w:id="122" w:name="_Toc28517"/>
      <w:r>
        <w:rPr>
          <w:rFonts w:hint="eastAsia" w:ascii="宋体" w:hAnsi="宋体" w:eastAsia="宋体" w:cs="宋体"/>
          <w:b/>
          <w:color w:val="auto"/>
          <w:kern w:val="2"/>
          <w:sz w:val="24"/>
          <w:szCs w:val="24"/>
          <w:highlight w:val="none"/>
          <w:lang w:val="en-US" w:eastAsia="zh-CN" w:bidi="ar-SA"/>
        </w:rPr>
        <w:t>24、</w:t>
      </w:r>
      <w:r>
        <w:rPr>
          <w:rFonts w:hint="eastAsia" w:ascii="宋体" w:hAnsi="宋体" w:eastAsia="宋体" w:cs="宋体"/>
          <w:color w:val="auto"/>
          <w:sz w:val="24"/>
          <w:szCs w:val="24"/>
          <w:highlight w:val="none"/>
        </w:rPr>
        <w:t>代理服务费的收取</w:t>
      </w:r>
      <w:bookmarkEnd w:id="121"/>
      <w:bookmarkEnd w:id="122"/>
    </w:p>
    <w:p w14:paraId="375D785B">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bookmarkStart w:id="123" w:name="_Toc27976"/>
      <w:bookmarkStart w:id="124" w:name="_Toc194663910"/>
      <w:bookmarkStart w:id="125" w:name="_Toc193187089"/>
      <w:bookmarkStart w:id="126" w:name="_Toc193126874"/>
      <w:bookmarkStart w:id="127" w:name="_Toc188808820"/>
      <w:r>
        <w:rPr>
          <w:rFonts w:hint="eastAsia" w:ascii="宋体" w:hAnsi="宋体" w:eastAsia="宋体" w:cs="宋体"/>
          <w:color w:val="auto"/>
          <w:sz w:val="24"/>
          <w:szCs w:val="24"/>
          <w:highlight w:val="none"/>
          <w:lang w:val="en-US" w:eastAsia="zh-CN"/>
        </w:rPr>
        <w:t>24.1</w:t>
      </w:r>
      <w:r>
        <w:rPr>
          <w:rFonts w:hint="eastAsia" w:ascii="宋体" w:hAnsi="宋体" w:eastAsia="宋体" w:cs="宋体"/>
          <w:color w:val="auto"/>
          <w:sz w:val="24"/>
          <w:szCs w:val="24"/>
          <w:highlight w:val="none"/>
        </w:rPr>
        <w:t>采购代理机构参照</w:t>
      </w:r>
      <w:r>
        <w:rPr>
          <w:sz w:val="24"/>
          <w:szCs w:val="24"/>
          <w:shd w:val="clear" w:fill="FFFFFF"/>
        </w:rPr>
        <w:t>招标代理费</w:t>
      </w:r>
      <w:r>
        <w:rPr>
          <w:rFonts w:hint="eastAsia"/>
          <w:sz w:val="24"/>
          <w:szCs w:val="24"/>
          <w:shd w:val="clear" w:fill="FFFFFF"/>
        </w:rPr>
        <w:t>参考原《国家计委关于印发招标代理服务收费管理暂行办法的通知》 （计价格〔2002〕1980 号）和《国家发展改革委关于进一步放开建设项目专业服务价格的通知》（发改价格〔2015〕299号）规定标准计取</w:t>
      </w:r>
      <w:r>
        <w:rPr>
          <w:rFonts w:hint="eastAsia" w:ascii="宋体" w:hAnsi="宋体" w:eastAsia="宋体" w:cs="宋体"/>
          <w:color w:val="auto"/>
          <w:sz w:val="24"/>
          <w:szCs w:val="24"/>
          <w:highlight w:val="none"/>
        </w:rPr>
        <w:t>。</w:t>
      </w:r>
    </w:p>
    <w:p w14:paraId="7C03BC2F">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24</w:t>
      </w:r>
      <w:r>
        <w:rPr>
          <w:rFonts w:hint="eastAsia" w:ascii="宋体" w:hAnsi="宋体" w:eastAsia="宋体" w:cs="宋体"/>
          <w:color w:val="auto"/>
          <w:sz w:val="24"/>
          <w:szCs w:val="24"/>
          <w:highlight w:val="none"/>
        </w:rPr>
        <w:t>.2成交供应商须向采购代理机构一次性支付招标代理服务费。</w:t>
      </w:r>
    </w:p>
    <w:p w14:paraId="7EA4284B">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24</w:t>
      </w:r>
      <w:r>
        <w:rPr>
          <w:rFonts w:hint="eastAsia" w:ascii="宋体" w:hAnsi="宋体" w:eastAsia="宋体" w:cs="宋体"/>
          <w:color w:val="auto"/>
          <w:sz w:val="24"/>
          <w:szCs w:val="24"/>
          <w:highlight w:val="none"/>
        </w:rPr>
        <w:t>.3</w:t>
      </w:r>
      <w:r>
        <w:rPr>
          <w:rFonts w:hint="eastAsia" w:ascii="宋体" w:hAnsi="宋体" w:cs="宋体"/>
          <w:color w:val="auto"/>
          <w:sz w:val="24"/>
          <w:szCs w:val="24"/>
          <w:highlight w:val="none"/>
          <w:lang w:val="en-US" w:eastAsia="zh-CN"/>
        </w:rPr>
        <w:t>成交</w:t>
      </w:r>
      <w:r>
        <w:rPr>
          <w:rFonts w:hint="eastAsia" w:ascii="宋体" w:hAnsi="宋体" w:eastAsia="宋体" w:cs="宋体"/>
          <w:color w:val="auto"/>
          <w:sz w:val="24"/>
          <w:szCs w:val="24"/>
          <w:highlight w:val="none"/>
          <w:lang w:val="en-US" w:eastAsia="zh-CN"/>
        </w:rPr>
        <w:t>单位</w:t>
      </w:r>
      <w:r>
        <w:rPr>
          <w:rFonts w:hint="eastAsia" w:ascii="宋体" w:hAnsi="宋体" w:eastAsia="宋体" w:cs="宋体"/>
          <w:color w:val="auto"/>
          <w:sz w:val="24"/>
          <w:szCs w:val="24"/>
          <w:highlight w:val="none"/>
        </w:rPr>
        <w:t>以公对公方式将招标代理服务费交纳到招标代理机构指定账户：</w:t>
      </w:r>
    </w:p>
    <w:p w14:paraId="744FD657">
      <w:pPr>
        <w:keepNext w:val="0"/>
        <w:keepLines w:val="0"/>
        <w:pageBreakBefore w:val="0"/>
        <w:overflowPunct/>
        <w:topLinePunct w:val="0"/>
        <w:bidi w:val="0"/>
        <w:adjustRightInd/>
        <w:spacing w:line="500" w:lineRule="exact"/>
        <w:ind w:left="0" w:leftChars="0" w:right="0" w:firstLine="480" w:firstLineChars="200"/>
        <w:jc w:val="both"/>
        <w:rPr>
          <w:rFonts w:hint="eastAsia" w:ascii="宋体" w:hAnsi="宋体" w:eastAsia="宋体" w:cs="宋体"/>
          <w:b w:val="0"/>
          <w:bCs w:val="0"/>
          <w:color w:val="auto"/>
          <w:sz w:val="24"/>
          <w:szCs w:val="24"/>
          <w:highlight w:val="none"/>
          <w:lang w:val="zh-CN"/>
        </w:rPr>
      </w:pPr>
      <w:bookmarkStart w:id="128" w:name="_Toc2583"/>
      <w:r>
        <w:rPr>
          <w:rFonts w:hint="eastAsia" w:ascii="宋体" w:hAnsi="宋体" w:eastAsia="宋体" w:cs="宋体"/>
          <w:b w:val="0"/>
          <w:bCs w:val="0"/>
          <w:color w:val="auto"/>
          <w:sz w:val="24"/>
          <w:szCs w:val="24"/>
          <w:highlight w:val="none"/>
          <w:lang w:val="zh-CN"/>
        </w:rPr>
        <w:t>账户名称：</w:t>
      </w:r>
      <w:r>
        <w:rPr>
          <w:rFonts w:hint="eastAsia" w:ascii="宋体" w:hAnsi="宋体" w:cs="宋体"/>
          <w:b w:val="0"/>
          <w:bCs w:val="0"/>
          <w:color w:val="auto"/>
          <w:sz w:val="24"/>
          <w:szCs w:val="24"/>
          <w:highlight w:val="none"/>
          <w:lang w:val="zh-CN"/>
        </w:rPr>
        <w:t>榆林腾达建诚信息咨询有限公司</w:t>
      </w:r>
    </w:p>
    <w:p w14:paraId="13B1F017">
      <w:pPr>
        <w:keepNext w:val="0"/>
        <w:keepLines w:val="0"/>
        <w:pageBreakBefore w:val="0"/>
        <w:overflowPunct/>
        <w:topLinePunct w:val="0"/>
        <w:bidi w:val="0"/>
        <w:adjustRightInd/>
        <w:spacing w:line="500" w:lineRule="exact"/>
        <w:ind w:left="0" w:leftChars="0" w:right="0" w:firstLine="480" w:firstLineChars="200"/>
        <w:jc w:val="both"/>
        <w:rPr>
          <w:rFonts w:hint="eastAsia" w:ascii="宋体" w:hAnsi="宋体" w:eastAsia="宋体" w:cs="宋体"/>
          <w:b w:val="0"/>
          <w:bCs w:val="0"/>
          <w:color w:val="auto"/>
          <w:sz w:val="24"/>
          <w:szCs w:val="24"/>
          <w:highlight w:val="none"/>
          <w:lang w:val="zh-CN"/>
        </w:rPr>
      </w:pPr>
      <w:r>
        <w:rPr>
          <w:rFonts w:hint="eastAsia" w:ascii="宋体" w:hAnsi="宋体" w:eastAsia="宋体" w:cs="宋体"/>
          <w:b w:val="0"/>
          <w:bCs w:val="0"/>
          <w:color w:val="auto"/>
          <w:sz w:val="24"/>
          <w:szCs w:val="24"/>
          <w:highlight w:val="none"/>
          <w:lang w:val="zh-CN"/>
        </w:rPr>
        <w:t>开 户 行：</w:t>
      </w:r>
      <w:r>
        <w:rPr>
          <w:rFonts w:hint="eastAsia" w:ascii="宋体" w:hAnsi="宋体" w:cs="宋体"/>
          <w:b w:val="0"/>
          <w:bCs w:val="0"/>
          <w:color w:val="auto"/>
          <w:sz w:val="24"/>
          <w:szCs w:val="24"/>
          <w:highlight w:val="none"/>
          <w:lang w:val="zh-CN"/>
        </w:rPr>
        <w:t>中国银行股份有限公司榆林肤施路支行</w:t>
      </w:r>
    </w:p>
    <w:p w14:paraId="2CC627DF">
      <w:pPr>
        <w:pStyle w:val="4"/>
        <w:pageBreakBefore w:val="0"/>
        <w:kinsoku/>
        <w:wordWrap/>
        <w:overflowPunct/>
        <w:topLinePunct w:val="0"/>
        <w:autoSpaceDE/>
        <w:autoSpaceDN/>
        <w:bidi w:val="0"/>
        <w:adjustRightInd/>
        <w:snapToGrid/>
        <w:spacing w:before="0" w:after="0" w:line="500" w:lineRule="exact"/>
        <w:ind w:left="0" w:leftChars="0" w:right="0" w:firstLine="480" w:firstLineChars="200"/>
        <w:jc w:val="both"/>
        <w:textAlignment w:val="auto"/>
        <w:rPr>
          <w:rFonts w:hint="eastAsia" w:ascii="宋体" w:hAnsi="宋体" w:eastAsia="宋体" w:cs="宋体"/>
          <w:b w:val="0"/>
          <w:bCs w:val="0"/>
          <w:color w:val="auto"/>
          <w:sz w:val="24"/>
          <w:szCs w:val="24"/>
          <w:highlight w:val="none"/>
          <w:lang w:val="zh-CN"/>
        </w:rPr>
      </w:pPr>
      <w:r>
        <w:rPr>
          <w:rFonts w:hint="eastAsia" w:ascii="宋体" w:hAnsi="宋体" w:eastAsia="宋体" w:cs="宋体"/>
          <w:b w:val="0"/>
          <w:bCs w:val="0"/>
          <w:color w:val="auto"/>
          <w:sz w:val="24"/>
          <w:szCs w:val="24"/>
          <w:highlight w:val="none"/>
          <w:lang w:val="zh-CN"/>
        </w:rPr>
        <w:t xml:space="preserve">帐 </w:t>
      </w:r>
      <w:r>
        <w:rPr>
          <w:rFonts w:hint="eastAsia" w:ascii="宋体" w:hAnsi="宋体" w:eastAsia="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lang w:val="zh-CN"/>
        </w:rPr>
        <w:t>号：</w:t>
      </w:r>
      <w:r>
        <w:rPr>
          <w:rFonts w:hint="eastAsia" w:ascii="宋体" w:hAnsi="宋体" w:cs="宋体"/>
          <w:b w:val="0"/>
          <w:bCs w:val="0"/>
          <w:color w:val="auto"/>
          <w:sz w:val="24"/>
          <w:szCs w:val="24"/>
          <w:highlight w:val="none"/>
          <w:lang w:val="zh-CN"/>
        </w:rPr>
        <w:t>103722080667</w:t>
      </w:r>
    </w:p>
    <w:bookmarkEnd w:id="123"/>
    <w:bookmarkEnd w:id="124"/>
    <w:bookmarkEnd w:id="125"/>
    <w:bookmarkEnd w:id="126"/>
    <w:bookmarkEnd w:id="127"/>
    <w:bookmarkEnd w:id="128"/>
    <w:p w14:paraId="0869B7AA">
      <w:pPr>
        <w:pStyle w:val="3"/>
        <w:pageBreakBefore w:val="0"/>
        <w:kinsoku/>
        <w:wordWrap/>
        <w:overflowPunct/>
        <w:topLinePunct w:val="0"/>
        <w:autoSpaceDE/>
        <w:autoSpaceDN/>
        <w:bidi w:val="0"/>
        <w:adjustRightInd/>
        <w:snapToGrid/>
        <w:spacing w:before="0" w:after="0" w:line="500" w:lineRule="exact"/>
        <w:ind w:left="0" w:leftChars="0" w:right="0"/>
        <w:textAlignment w:val="auto"/>
        <w:rPr>
          <w:rFonts w:hint="eastAsia" w:ascii="宋体" w:hAnsi="宋体" w:eastAsia="宋体" w:cs="宋体"/>
          <w:color w:val="auto"/>
          <w:sz w:val="24"/>
          <w:szCs w:val="24"/>
          <w:highlight w:val="none"/>
        </w:rPr>
      </w:pPr>
      <w:bookmarkStart w:id="129" w:name="_Toc627"/>
      <w:bookmarkStart w:id="130" w:name="_Toc17084"/>
      <w:bookmarkStart w:id="131" w:name="_Toc31556"/>
      <w:bookmarkStart w:id="132" w:name="_Toc458617743"/>
      <w:bookmarkStart w:id="133" w:name="_Toc458617466"/>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九</w:t>
      </w:r>
      <w:r>
        <w:rPr>
          <w:rFonts w:hint="eastAsia" w:ascii="宋体" w:hAnsi="宋体" w:eastAsia="宋体" w:cs="宋体"/>
          <w:color w:val="auto"/>
          <w:sz w:val="24"/>
          <w:szCs w:val="24"/>
          <w:highlight w:val="none"/>
        </w:rPr>
        <w:t>）询问、质疑与投诉(按照中华人民共和国财政部令第94号执行)</w:t>
      </w:r>
      <w:bookmarkEnd w:id="129"/>
      <w:bookmarkEnd w:id="130"/>
      <w:bookmarkEnd w:id="131"/>
    </w:p>
    <w:bookmarkEnd w:id="132"/>
    <w:bookmarkEnd w:id="133"/>
    <w:p w14:paraId="7BA9D003">
      <w:pPr>
        <w:pStyle w:val="4"/>
        <w:pageBreakBefore w:val="0"/>
        <w:kinsoku/>
        <w:wordWrap/>
        <w:overflowPunct/>
        <w:topLinePunct w:val="0"/>
        <w:autoSpaceDE/>
        <w:autoSpaceDN/>
        <w:bidi w:val="0"/>
        <w:adjustRightInd/>
        <w:snapToGrid/>
        <w:spacing w:before="0" w:after="0" w:line="500" w:lineRule="exact"/>
        <w:ind w:left="0" w:leftChars="0" w:right="0" w:firstLine="482" w:firstLineChars="200"/>
        <w:textAlignment w:val="auto"/>
        <w:rPr>
          <w:rFonts w:hint="eastAsia" w:ascii="宋体" w:hAnsi="宋体" w:eastAsia="宋体" w:cs="宋体"/>
          <w:color w:val="auto"/>
          <w:sz w:val="24"/>
          <w:szCs w:val="24"/>
          <w:highlight w:val="none"/>
        </w:rPr>
      </w:pPr>
      <w:bookmarkStart w:id="134" w:name="_Toc55"/>
      <w:r>
        <w:rPr>
          <w:rFonts w:hint="eastAsia" w:ascii="宋体" w:hAnsi="宋体" w:eastAsia="宋体" w:cs="宋体"/>
          <w:color w:val="auto"/>
          <w:sz w:val="24"/>
          <w:szCs w:val="24"/>
          <w:highlight w:val="none"/>
          <w:lang w:val="en-US" w:eastAsia="zh-CN"/>
        </w:rPr>
        <w:t>26</w:t>
      </w:r>
      <w:r>
        <w:rPr>
          <w:rFonts w:hint="eastAsia" w:ascii="宋体" w:hAnsi="宋体" w:eastAsia="宋体" w:cs="宋体"/>
          <w:color w:val="auto"/>
          <w:sz w:val="24"/>
          <w:szCs w:val="24"/>
          <w:highlight w:val="none"/>
        </w:rPr>
        <w:t>、询问</w:t>
      </w:r>
      <w:bookmarkEnd w:id="134"/>
    </w:p>
    <w:p w14:paraId="722FFCA1">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供应商对政府采购活动事项有疑问的，可以向采购人、采购代理机构提出询问。</w:t>
      </w:r>
    </w:p>
    <w:p w14:paraId="24BE5002">
      <w:pPr>
        <w:pStyle w:val="4"/>
        <w:pageBreakBefore w:val="0"/>
        <w:kinsoku/>
        <w:wordWrap/>
        <w:overflowPunct/>
        <w:topLinePunct w:val="0"/>
        <w:autoSpaceDE/>
        <w:autoSpaceDN/>
        <w:bidi w:val="0"/>
        <w:adjustRightInd/>
        <w:snapToGrid/>
        <w:spacing w:before="0" w:after="0" w:line="500" w:lineRule="exact"/>
        <w:ind w:left="0" w:leftChars="0" w:right="0" w:firstLine="482" w:firstLineChars="200"/>
        <w:textAlignment w:val="auto"/>
        <w:rPr>
          <w:rFonts w:hint="eastAsia" w:ascii="宋体" w:hAnsi="宋体" w:eastAsia="宋体" w:cs="宋体"/>
          <w:color w:val="auto"/>
          <w:sz w:val="24"/>
          <w:szCs w:val="24"/>
          <w:highlight w:val="none"/>
        </w:rPr>
      </w:pPr>
      <w:bookmarkStart w:id="135" w:name="_Toc20943"/>
      <w:r>
        <w:rPr>
          <w:rFonts w:hint="eastAsia" w:ascii="宋体" w:hAnsi="宋体" w:eastAsia="宋体" w:cs="宋体"/>
          <w:color w:val="auto"/>
          <w:sz w:val="24"/>
          <w:szCs w:val="24"/>
          <w:highlight w:val="none"/>
          <w:lang w:val="en-US" w:eastAsia="zh-CN"/>
        </w:rPr>
        <w:t>27</w:t>
      </w:r>
      <w:r>
        <w:rPr>
          <w:rFonts w:hint="eastAsia" w:ascii="宋体" w:hAnsi="宋体" w:eastAsia="宋体" w:cs="宋体"/>
          <w:color w:val="auto"/>
          <w:sz w:val="24"/>
          <w:szCs w:val="24"/>
          <w:highlight w:val="none"/>
        </w:rPr>
        <w:t>、质疑</w:t>
      </w:r>
      <w:bookmarkEnd w:id="135"/>
    </w:p>
    <w:p w14:paraId="1D18CAA9">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27</w:t>
      </w:r>
      <w:r>
        <w:rPr>
          <w:rFonts w:hint="eastAsia" w:ascii="宋体" w:hAnsi="宋体" w:eastAsia="宋体" w:cs="宋体"/>
          <w:color w:val="auto"/>
          <w:sz w:val="24"/>
          <w:szCs w:val="24"/>
          <w:highlight w:val="none"/>
        </w:rPr>
        <w:t>.1供应商认为采购文件、采购过程、中标或者成交结果使自己的权益受到损害的，可以在知道或者应知其权益受到损害之日起7个工作日内，以书面形式向采购人、采购代理机构提出质疑；</w:t>
      </w:r>
    </w:p>
    <w:p w14:paraId="3D9113C2">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27</w:t>
      </w:r>
      <w:r>
        <w:rPr>
          <w:rFonts w:hint="eastAsia" w:ascii="宋体" w:hAnsi="宋体" w:eastAsia="宋体" w:cs="宋体"/>
          <w:color w:val="auto"/>
          <w:sz w:val="24"/>
          <w:szCs w:val="24"/>
          <w:highlight w:val="none"/>
        </w:rPr>
        <w:t>.2潜在供应商已依法获取其可质疑的采购文件的，可以对该文件提出质疑。对采购文件提出质疑的，应当在获取采购文件或者采购文件公告期限届满之日起7个工作日内提出。</w:t>
      </w:r>
    </w:p>
    <w:p w14:paraId="0136AC99">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27</w:t>
      </w:r>
      <w:r>
        <w:rPr>
          <w:rFonts w:hint="eastAsia" w:ascii="宋体" w:hAnsi="宋体" w:eastAsia="宋体" w:cs="宋体"/>
          <w:color w:val="auto"/>
          <w:sz w:val="24"/>
          <w:szCs w:val="24"/>
          <w:highlight w:val="none"/>
        </w:rPr>
        <w:t>.2.1有异议的应提供以下资料，资料不全的不予受理：</w:t>
      </w:r>
    </w:p>
    <w:p w14:paraId="1942E070">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（1）质疑书（内容包含异议事项的基本事实；相关请求及主张；异议人的名称、地址邮编、联系人、联系电话及有效联系方式）；</w:t>
      </w:r>
    </w:p>
    <w:p w14:paraId="0330F762">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（2）质疑的项目名称、项目编号；</w:t>
      </w:r>
    </w:p>
    <w:p w14:paraId="6E26E5F6">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（3）具体、明确的质疑事项和与质疑事项相关的请求；</w:t>
      </w:r>
    </w:p>
    <w:p w14:paraId="2DFB0CAF">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（4）事实依据；</w:t>
      </w:r>
    </w:p>
    <w:p w14:paraId="5BC75A8F">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（5）必要的法律依据；</w:t>
      </w:r>
    </w:p>
    <w:p w14:paraId="41F33153">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（6）提出质疑的日期。</w:t>
      </w:r>
    </w:p>
    <w:p w14:paraId="08776E80">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具体有效线索和相关证明材料；</w:t>
      </w:r>
    </w:p>
    <w:p w14:paraId="76B01783">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）质疑人的法定代表人的身份证明，或者授权委托人的经公证的授权委托书及有效身份证件；</w:t>
      </w:r>
    </w:p>
    <w:p w14:paraId="3E45E458">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为自然人的，应当由本人签字；</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为法人或者其他组织的，应当由法定代表人，或者其授权代表签字或者盖章，并加盖公章。</w:t>
      </w:r>
    </w:p>
    <w:p w14:paraId="05C5FDF8">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27</w:t>
      </w: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在法定质疑期内必须一次性提出针对同一采购程序环节的质疑，多次提出相同质疑问题的采购人及采购代理机构不接收。</w:t>
      </w:r>
    </w:p>
    <w:p w14:paraId="1DF4FF06">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27</w:t>
      </w:r>
      <w:r>
        <w:rPr>
          <w:rFonts w:hint="eastAsia" w:ascii="宋体" w:hAnsi="宋体" w:eastAsia="宋体" w:cs="宋体"/>
          <w:color w:val="auto"/>
          <w:sz w:val="24"/>
          <w:szCs w:val="24"/>
          <w:highlight w:val="none"/>
        </w:rPr>
        <w:t>.4质疑</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对采购人、采购代理机构的答复不满意，认为本次招标活动违反法律、法规和规章规定的，有权向项目所在地财政局提出投诉，质疑是投诉的前置条件；</w:t>
      </w:r>
    </w:p>
    <w:p w14:paraId="04D35D9A">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27</w:t>
      </w:r>
      <w:r>
        <w:rPr>
          <w:rFonts w:hint="eastAsia" w:ascii="宋体" w:hAnsi="宋体" w:eastAsia="宋体" w:cs="宋体"/>
          <w:color w:val="auto"/>
          <w:sz w:val="24"/>
          <w:szCs w:val="24"/>
          <w:highlight w:val="none"/>
        </w:rPr>
        <w:t>.5其他应说明的事项：</w:t>
      </w:r>
    </w:p>
    <w:p w14:paraId="4237F65E">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27</w:t>
      </w:r>
      <w:r>
        <w:rPr>
          <w:rFonts w:hint="eastAsia" w:ascii="宋体" w:hAnsi="宋体" w:eastAsia="宋体" w:cs="宋体"/>
          <w:color w:val="auto"/>
          <w:sz w:val="24"/>
          <w:szCs w:val="24"/>
          <w:highlight w:val="none"/>
        </w:rPr>
        <w:t>.5.1以上材料，质疑人须在每一页上加盖公章原件及电子版送至质疑函递交地址。</w:t>
      </w:r>
    </w:p>
    <w:p w14:paraId="0B366E22">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27</w:t>
      </w:r>
      <w:r>
        <w:rPr>
          <w:rFonts w:hint="eastAsia" w:ascii="宋体" w:hAnsi="宋体" w:eastAsia="宋体" w:cs="宋体"/>
          <w:color w:val="auto"/>
          <w:sz w:val="24"/>
          <w:szCs w:val="24"/>
          <w:highlight w:val="none"/>
        </w:rPr>
        <w:t>.5.2质疑提出时间：质疑需在有效期内提出，逾期不予受理；</w:t>
      </w:r>
    </w:p>
    <w:p w14:paraId="324D1814">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27</w:t>
      </w:r>
      <w:r>
        <w:rPr>
          <w:rFonts w:hint="eastAsia" w:ascii="宋体" w:hAnsi="宋体" w:eastAsia="宋体" w:cs="宋体"/>
          <w:color w:val="auto"/>
          <w:sz w:val="24"/>
          <w:szCs w:val="24"/>
          <w:highlight w:val="none"/>
        </w:rPr>
        <w:t>.5.3质疑递交地址：</w:t>
      </w:r>
      <w:r>
        <w:rPr>
          <w:rFonts w:hint="eastAsia" w:ascii="宋体" w:hAnsi="宋体" w:eastAsia="宋体" w:cs="宋体"/>
          <w:i w:val="0"/>
          <w:iCs w:val="0"/>
          <w:caps w:val="0"/>
          <w:color w:val="000000"/>
          <w:spacing w:val="0"/>
          <w:sz w:val="24"/>
          <w:szCs w:val="24"/>
          <w:shd w:val="clear" w:color="auto" w:fill="FFFFFF"/>
          <w:lang w:eastAsia="zh-CN"/>
        </w:rPr>
        <w:t>陕西省榆林市榆阳区东环路绿园小区四排五号</w:t>
      </w:r>
      <w:r>
        <w:rPr>
          <w:rFonts w:hint="eastAsia" w:ascii="宋体" w:hAnsi="宋体" w:eastAsia="宋体" w:cs="宋体"/>
          <w:color w:val="auto"/>
          <w:sz w:val="24"/>
          <w:szCs w:val="24"/>
          <w:highlight w:val="none"/>
        </w:rPr>
        <w:t>；</w:t>
      </w:r>
    </w:p>
    <w:p w14:paraId="0B9C7283">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27</w:t>
      </w:r>
      <w:r>
        <w:rPr>
          <w:rFonts w:hint="eastAsia" w:ascii="宋体" w:hAnsi="宋体" w:eastAsia="宋体" w:cs="宋体"/>
          <w:color w:val="auto"/>
          <w:sz w:val="24"/>
          <w:szCs w:val="24"/>
          <w:highlight w:val="none"/>
        </w:rPr>
        <w:t>.5.4联系人：</w:t>
      </w:r>
      <w:r>
        <w:rPr>
          <w:rFonts w:hint="eastAsia" w:ascii="宋体" w:hAnsi="宋体" w:cs="宋体"/>
          <w:color w:val="auto"/>
          <w:sz w:val="24"/>
          <w:szCs w:val="24"/>
          <w:highlight w:val="none"/>
          <w:lang w:val="en-US" w:eastAsia="zh-CN"/>
        </w:rPr>
        <w:t>白琳</w:t>
      </w:r>
    </w:p>
    <w:p w14:paraId="654A828E">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27</w:t>
      </w:r>
      <w:r>
        <w:rPr>
          <w:rFonts w:hint="eastAsia" w:ascii="宋体" w:hAnsi="宋体" w:eastAsia="宋体" w:cs="宋体"/>
          <w:color w:val="auto"/>
          <w:sz w:val="24"/>
          <w:szCs w:val="24"/>
          <w:highlight w:val="none"/>
        </w:rPr>
        <w:t>.5.5联系电话：</w:t>
      </w:r>
      <w:r>
        <w:rPr>
          <w:rFonts w:hint="eastAsia" w:ascii="宋体" w:hAnsi="宋体" w:cs="宋体"/>
          <w:color w:val="auto"/>
          <w:sz w:val="24"/>
          <w:szCs w:val="24"/>
          <w:highlight w:val="none"/>
          <w:lang w:val="en-US" w:eastAsia="zh-CN"/>
        </w:rPr>
        <w:t>18109129286</w:t>
      </w:r>
    </w:p>
    <w:p w14:paraId="4590227E">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27</w:t>
      </w:r>
      <w:r>
        <w:rPr>
          <w:rFonts w:hint="eastAsia" w:ascii="宋体" w:hAnsi="宋体" w:eastAsia="宋体" w:cs="宋体"/>
          <w:color w:val="auto"/>
          <w:sz w:val="24"/>
          <w:szCs w:val="24"/>
          <w:highlight w:val="none"/>
        </w:rPr>
        <w:t>.6投诉</w:t>
      </w:r>
    </w:p>
    <w:p w14:paraId="62EABAA8">
      <w:pPr>
        <w:pageBreakBefore w:val="0"/>
        <w:kinsoku/>
        <w:wordWrap/>
        <w:overflowPunct/>
        <w:topLinePunct w:val="0"/>
        <w:autoSpaceDE/>
        <w:autoSpaceDN/>
        <w:bidi w:val="0"/>
        <w:adjustRightInd/>
        <w:snapToGrid/>
        <w:spacing w:afterAutospacing="0"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质疑</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对采购人、采购代理机构的答复不满意或者采购人、采购代理机构未在规定的时间内作出答复的，可按《政府采购法》第55条和</w:t>
      </w:r>
      <w:r>
        <w:rPr>
          <w:rFonts w:hint="eastAsia" w:ascii="宋体" w:hAnsi="宋体" w:eastAsia="宋体" w:cs="宋体"/>
          <w:color w:val="auto"/>
          <w:sz w:val="24"/>
          <w:szCs w:val="24"/>
          <w:highlight w:val="none"/>
        </w:rPr>
        <w:t>《政府采购质疑和投诉办法》（财政部令第94号）第17条</w:t>
      </w:r>
      <w:r>
        <w:rPr>
          <w:rFonts w:hint="eastAsia" w:ascii="宋体" w:hAnsi="宋体" w:eastAsia="宋体" w:cs="宋体"/>
          <w:color w:val="auto"/>
          <w:kern w:val="0"/>
          <w:sz w:val="24"/>
          <w:szCs w:val="24"/>
          <w:highlight w:val="none"/>
        </w:rPr>
        <w:t>等有关规定执行。</w:t>
      </w:r>
    </w:p>
    <w:p w14:paraId="64CC7E72">
      <w:pPr>
        <w:pStyle w:val="3"/>
        <w:pageBreakBefore w:val="0"/>
        <w:kinsoku/>
        <w:wordWrap/>
        <w:overflowPunct/>
        <w:topLinePunct w:val="0"/>
        <w:autoSpaceDE/>
        <w:autoSpaceDN/>
        <w:bidi w:val="0"/>
        <w:adjustRightInd/>
        <w:snapToGrid/>
        <w:spacing w:before="0" w:beforeAutospacing="0" w:after="0" w:afterAutospacing="0" w:line="500" w:lineRule="exact"/>
        <w:ind w:left="0" w:leftChars="0" w:right="0"/>
        <w:textAlignment w:val="auto"/>
        <w:rPr>
          <w:rFonts w:hint="eastAsia" w:ascii="宋体" w:hAnsi="宋体" w:eastAsia="宋体" w:cs="宋体"/>
          <w:color w:val="auto"/>
          <w:sz w:val="24"/>
          <w:szCs w:val="24"/>
          <w:highlight w:val="none"/>
        </w:rPr>
      </w:pPr>
      <w:bookmarkStart w:id="136" w:name="_Toc15881"/>
      <w:r>
        <w:rPr>
          <w:rFonts w:hint="eastAsia" w:ascii="宋体" w:hAnsi="宋体" w:eastAsia="宋体" w:cs="宋体"/>
          <w:color w:val="auto"/>
          <w:sz w:val="24"/>
          <w:szCs w:val="24"/>
          <w:highlight w:val="none"/>
        </w:rPr>
        <w:t>（十）拒绝商业贿赂</w:t>
      </w:r>
      <w:bookmarkEnd w:id="136"/>
    </w:p>
    <w:p w14:paraId="6AA854CC">
      <w:pPr>
        <w:pageBreakBefore w:val="0"/>
        <w:kinsoku/>
        <w:wordWrap/>
        <w:overflowPunct/>
        <w:topLinePunct w:val="0"/>
        <w:autoSpaceDE/>
        <w:autoSpaceDN/>
        <w:bidi w:val="0"/>
        <w:adjustRightInd/>
        <w:snapToGrid/>
        <w:spacing w:beforeAutospacing="0"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28</w:t>
      </w:r>
      <w:r>
        <w:rPr>
          <w:rFonts w:hint="eastAsia" w:ascii="宋体" w:hAnsi="宋体" w:eastAsia="宋体" w:cs="宋体"/>
          <w:color w:val="auto"/>
          <w:sz w:val="24"/>
          <w:szCs w:val="24"/>
          <w:highlight w:val="none"/>
        </w:rPr>
        <w:t>、遵照陕西省财政厅的规定，采购人、采购代理机构、供应商和评审专家在招投标活动中，都要签订相应的《拒绝政府采购领域商业贿赂承诺书》，并对违反承诺的行为承担全部责任。</w:t>
      </w:r>
    </w:p>
    <w:p w14:paraId="314EC16F">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29</w:t>
      </w:r>
      <w:r>
        <w:rPr>
          <w:rFonts w:hint="eastAsia" w:ascii="宋体" w:hAnsi="宋体" w:eastAsia="宋体" w:cs="宋体"/>
          <w:color w:val="auto"/>
          <w:sz w:val="24"/>
          <w:szCs w:val="24"/>
          <w:highlight w:val="none"/>
        </w:rPr>
        <w:t>、供应商必须填写《拒绝政府采购领域商业贿赂承诺书》（附件）并附在竞争性磋商响应文件中，同时应保证竞争性磋商响应文件正、副本中一致。</w:t>
      </w:r>
    </w:p>
    <w:p w14:paraId="1693A076">
      <w:pPr>
        <w:pStyle w:val="3"/>
        <w:pageBreakBefore w:val="0"/>
        <w:kinsoku/>
        <w:wordWrap/>
        <w:overflowPunct/>
        <w:topLinePunct w:val="0"/>
        <w:autoSpaceDE/>
        <w:autoSpaceDN/>
        <w:bidi w:val="0"/>
        <w:adjustRightInd/>
        <w:snapToGrid/>
        <w:spacing w:before="0" w:after="0" w:line="500" w:lineRule="exact"/>
        <w:ind w:left="0" w:leftChars="0" w:right="0"/>
        <w:textAlignment w:val="auto"/>
        <w:rPr>
          <w:rFonts w:hint="eastAsia" w:ascii="宋体" w:hAnsi="宋体" w:eastAsia="宋体" w:cs="宋体"/>
          <w:color w:val="auto"/>
          <w:sz w:val="24"/>
          <w:szCs w:val="24"/>
          <w:highlight w:val="none"/>
        </w:rPr>
      </w:pPr>
      <w:bookmarkStart w:id="137" w:name="_Toc20805"/>
      <w:r>
        <w:rPr>
          <w:rFonts w:hint="eastAsia" w:ascii="宋体" w:hAnsi="宋体" w:eastAsia="宋体" w:cs="宋体"/>
          <w:color w:val="auto"/>
          <w:sz w:val="24"/>
          <w:szCs w:val="24"/>
          <w:highlight w:val="none"/>
        </w:rPr>
        <w:t>（十</w:t>
      </w: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rPr>
        <w:t>）其他</w:t>
      </w:r>
      <w:bookmarkEnd w:id="137"/>
    </w:p>
    <w:p w14:paraId="22AAC100">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30</w:t>
      </w:r>
      <w:r>
        <w:rPr>
          <w:rFonts w:hint="eastAsia" w:ascii="宋体" w:hAnsi="宋体" w:eastAsia="宋体" w:cs="宋体"/>
          <w:color w:val="auto"/>
          <w:sz w:val="24"/>
          <w:szCs w:val="24"/>
          <w:highlight w:val="none"/>
        </w:rPr>
        <w:t>、本次项目的验收费用由</w:t>
      </w:r>
      <w:r>
        <w:rPr>
          <w:rFonts w:hint="eastAsia" w:ascii="宋体" w:hAnsi="宋体" w:eastAsia="宋体" w:cs="宋体"/>
          <w:color w:val="auto"/>
          <w:sz w:val="24"/>
          <w:szCs w:val="24"/>
          <w:highlight w:val="none"/>
          <w:lang w:val="en-US" w:eastAsia="zh-CN"/>
        </w:rPr>
        <w:t>成交</w:t>
      </w:r>
      <w:r>
        <w:rPr>
          <w:rFonts w:hint="eastAsia" w:ascii="宋体" w:hAnsi="宋体" w:eastAsia="宋体" w:cs="宋体"/>
          <w:color w:val="auto"/>
          <w:sz w:val="24"/>
          <w:szCs w:val="24"/>
          <w:highlight w:val="none"/>
        </w:rPr>
        <w:t>单位承担。</w:t>
      </w:r>
    </w:p>
    <w:p w14:paraId="0C3AD1F4">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Cs w:val="24"/>
          <w:highlight w:val="none"/>
        </w:rPr>
      </w:pPr>
      <w:r>
        <w:rPr>
          <w:rFonts w:hint="eastAsia" w:ascii="宋体" w:hAnsi="宋体" w:eastAsia="宋体" w:cs="宋体"/>
          <w:color w:val="auto"/>
          <w:sz w:val="24"/>
          <w:szCs w:val="24"/>
          <w:highlight w:val="none"/>
          <w:lang w:val="en-US" w:eastAsia="zh-CN"/>
        </w:rPr>
        <w:t>31、本竞争性磋商文件的解释权归采购人及采购代理机构所有。</w:t>
      </w:r>
      <w:bookmarkStart w:id="138" w:name="_Toc32473"/>
      <w:bookmarkStart w:id="139" w:name="_Toc23503"/>
      <w:bookmarkStart w:id="140" w:name="_Toc2037"/>
      <w:bookmarkStart w:id="141" w:name="_Toc3595"/>
      <w:bookmarkStart w:id="142" w:name="_Toc6506"/>
      <w:bookmarkStart w:id="143" w:name="_Toc885"/>
      <w:bookmarkStart w:id="144" w:name="_Toc26334"/>
      <w:r>
        <w:rPr>
          <w:rFonts w:hint="eastAsia" w:ascii="宋体" w:hAnsi="宋体" w:eastAsia="宋体" w:cs="宋体"/>
          <w:color w:val="auto"/>
          <w:szCs w:val="24"/>
          <w:highlight w:val="none"/>
        </w:rPr>
        <w:br w:type="page"/>
      </w:r>
    </w:p>
    <w:p w14:paraId="19F88C87">
      <w:pPr>
        <w:pStyle w:val="2"/>
        <w:pageBreakBefore w:val="0"/>
        <w:topLinePunct w:val="0"/>
        <w:bidi w:val="0"/>
        <w:spacing w:before="0" w:after="0" w:line="500" w:lineRule="exact"/>
        <w:ind w:left="0" w:leftChars="0" w:right="0"/>
        <w:rPr>
          <w:rFonts w:hint="eastAsia" w:ascii="宋体" w:hAnsi="宋体" w:eastAsia="宋体" w:cs="宋体"/>
          <w:color w:val="auto"/>
          <w:highlight w:val="none"/>
          <w:lang w:eastAsia="zh-CN"/>
        </w:rPr>
      </w:pPr>
      <w:bookmarkStart w:id="145" w:name="_Toc5331"/>
      <w:bookmarkStart w:id="146" w:name="_Toc24323"/>
      <w:r>
        <w:rPr>
          <w:rFonts w:hint="eastAsia" w:ascii="宋体" w:hAnsi="宋体" w:eastAsia="宋体" w:cs="宋体"/>
          <w:color w:val="auto"/>
          <w:highlight w:val="none"/>
        </w:rPr>
        <w:t xml:space="preserve">第三章 </w:t>
      </w:r>
      <w:r>
        <w:rPr>
          <w:rFonts w:hint="eastAsia" w:ascii="宋体" w:hAnsi="宋体" w:eastAsia="宋体" w:cs="宋体"/>
          <w:color w:val="auto"/>
          <w:highlight w:val="none"/>
          <w:lang w:eastAsia="zh-CN"/>
        </w:rPr>
        <w:t>商务要求</w:t>
      </w:r>
      <w:bookmarkEnd w:id="138"/>
      <w:bookmarkEnd w:id="139"/>
      <w:bookmarkEnd w:id="140"/>
      <w:bookmarkEnd w:id="141"/>
      <w:bookmarkEnd w:id="145"/>
      <w:bookmarkEnd w:id="146"/>
    </w:p>
    <w:tbl>
      <w:tblPr>
        <w:tblStyle w:val="26"/>
        <w:tblW w:w="979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14"/>
        <w:gridCol w:w="8877"/>
      </w:tblGrid>
      <w:tr w14:paraId="04C67A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33" w:hRule="atLeast"/>
          <w:jc w:val="center"/>
        </w:trPr>
        <w:tc>
          <w:tcPr>
            <w:tcW w:w="914" w:type="dxa"/>
            <w:noWrap w:val="0"/>
            <w:vAlign w:val="center"/>
          </w:tcPr>
          <w:p w14:paraId="58DB40C0">
            <w:pPr>
              <w:pageBreakBefore w:val="0"/>
              <w:topLinePunct w:val="0"/>
              <w:bidi w:val="0"/>
              <w:spacing w:line="500" w:lineRule="exact"/>
              <w:ind w:left="0" w:leftChars="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w:t>
            </w:r>
          </w:p>
        </w:tc>
        <w:tc>
          <w:tcPr>
            <w:tcW w:w="8877" w:type="dxa"/>
            <w:noWrap w:val="0"/>
            <w:vAlign w:val="center"/>
          </w:tcPr>
          <w:p w14:paraId="550B54A1">
            <w:pPr>
              <w:pageBreakBefore w:val="0"/>
              <w:topLinePunct w:val="0"/>
              <w:bidi w:val="0"/>
              <w:spacing w:line="500" w:lineRule="exact"/>
              <w:ind w:left="0" w:leftChars="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内      容</w:t>
            </w:r>
          </w:p>
        </w:tc>
      </w:tr>
      <w:tr w14:paraId="5090EC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02" w:hRule="exact"/>
          <w:jc w:val="center"/>
        </w:trPr>
        <w:tc>
          <w:tcPr>
            <w:tcW w:w="914" w:type="dxa"/>
            <w:noWrap w:val="0"/>
            <w:vAlign w:val="center"/>
          </w:tcPr>
          <w:p w14:paraId="06CFC1D7">
            <w:pPr>
              <w:pageBreakBefore w:val="0"/>
              <w:topLinePunct w:val="0"/>
              <w:bidi w:val="0"/>
              <w:spacing w:line="500" w:lineRule="exact"/>
              <w:ind w:left="0" w:leftChars="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877" w:type="dxa"/>
            <w:noWrap w:val="0"/>
            <w:vAlign w:val="center"/>
          </w:tcPr>
          <w:p w14:paraId="426B51B0">
            <w:pPr>
              <w:pageBreakBefore w:val="0"/>
              <w:topLinePunct w:val="0"/>
              <w:bidi w:val="0"/>
              <w:spacing w:line="500" w:lineRule="exact"/>
              <w:ind w:left="0" w:leftChars="0" w:right="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采购人名称：</w:t>
            </w:r>
            <w:r>
              <w:rPr>
                <w:rFonts w:hint="eastAsia" w:ascii="宋体" w:hAnsi="宋体" w:cs="宋体"/>
                <w:color w:val="auto"/>
                <w:sz w:val="24"/>
                <w:szCs w:val="24"/>
                <w:highlight w:val="none"/>
                <w:lang w:eastAsia="zh-CN"/>
              </w:rPr>
              <w:t>清涧县住房和城乡建设局</w:t>
            </w:r>
          </w:p>
          <w:p w14:paraId="4898F45A">
            <w:pPr>
              <w:pageBreakBefore w:val="0"/>
              <w:topLinePunct w:val="0"/>
              <w:bidi w:val="0"/>
              <w:spacing w:line="500" w:lineRule="exact"/>
              <w:ind w:left="0" w:leftChars="0" w:right="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地址：</w:t>
            </w:r>
            <w:r>
              <w:rPr>
                <w:rFonts w:hint="eastAsia" w:ascii="宋体" w:hAnsi="宋体" w:cs="宋体"/>
                <w:color w:val="auto"/>
                <w:sz w:val="24"/>
                <w:szCs w:val="24"/>
                <w:highlight w:val="none"/>
                <w:lang w:eastAsia="zh-CN"/>
              </w:rPr>
              <w:t>陕西省榆林市清涧县西城区</w:t>
            </w:r>
          </w:p>
          <w:p w14:paraId="73B8C1EF">
            <w:pPr>
              <w:pageBreakBefore w:val="0"/>
              <w:topLinePunct w:val="0"/>
              <w:bidi w:val="0"/>
              <w:spacing w:line="500" w:lineRule="exact"/>
              <w:ind w:left="0" w:leftChars="0" w:right="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项目名称：</w:t>
            </w:r>
            <w:r>
              <w:rPr>
                <w:rFonts w:hint="eastAsia" w:ascii="宋体" w:hAnsi="宋体" w:cs="宋体"/>
                <w:color w:val="auto"/>
                <w:sz w:val="24"/>
                <w:szCs w:val="24"/>
                <w:highlight w:val="none"/>
                <w:lang w:eastAsia="zh-CN"/>
              </w:rPr>
              <w:t>清涧县第三污水处理厂及配套管网工程建设项目(配套管网延伸工程)监理</w:t>
            </w:r>
          </w:p>
        </w:tc>
      </w:tr>
      <w:tr w14:paraId="00968C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exact"/>
          <w:jc w:val="center"/>
        </w:trPr>
        <w:tc>
          <w:tcPr>
            <w:tcW w:w="914" w:type="dxa"/>
            <w:noWrap w:val="0"/>
            <w:vAlign w:val="center"/>
          </w:tcPr>
          <w:p w14:paraId="45A06AD4">
            <w:pPr>
              <w:pageBreakBefore w:val="0"/>
              <w:topLinePunct w:val="0"/>
              <w:bidi w:val="0"/>
              <w:spacing w:line="500" w:lineRule="exact"/>
              <w:ind w:left="0" w:leftChars="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877" w:type="dxa"/>
            <w:noWrap w:val="0"/>
            <w:vAlign w:val="center"/>
          </w:tcPr>
          <w:p w14:paraId="5920DFEF">
            <w:pPr>
              <w:pageBreakBefore w:val="0"/>
              <w:topLinePunct w:val="0"/>
              <w:bidi w:val="0"/>
              <w:spacing w:line="500" w:lineRule="exact"/>
              <w:ind w:left="0" w:leftChars="0" w:right="0"/>
              <w:jc w:val="left"/>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项目实施地点：</w:t>
            </w:r>
            <w:r>
              <w:rPr>
                <w:rFonts w:hint="eastAsia" w:ascii="宋体" w:hAnsi="宋体" w:cs="宋体"/>
                <w:color w:val="auto"/>
                <w:sz w:val="24"/>
                <w:szCs w:val="24"/>
                <w:highlight w:val="none"/>
                <w:lang w:eastAsia="zh-CN"/>
              </w:rPr>
              <w:t>清涧县</w:t>
            </w:r>
            <w:r>
              <w:rPr>
                <w:rFonts w:hint="eastAsia" w:ascii="宋体" w:hAnsi="宋体" w:eastAsia="宋体" w:cs="宋体"/>
                <w:color w:val="auto"/>
                <w:sz w:val="24"/>
                <w:szCs w:val="24"/>
                <w:highlight w:val="none"/>
                <w:lang w:val="en-US" w:eastAsia="zh-CN"/>
              </w:rPr>
              <w:t>；</w:t>
            </w:r>
          </w:p>
        </w:tc>
      </w:tr>
      <w:tr w14:paraId="2939E0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73" w:hRule="exact"/>
          <w:jc w:val="center"/>
        </w:trPr>
        <w:tc>
          <w:tcPr>
            <w:tcW w:w="914" w:type="dxa"/>
            <w:noWrap w:val="0"/>
            <w:vAlign w:val="center"/>
          </w:tcPr>
          <w:p w14:paraId="634BA500">
            <w:pPr>
              <w:pageBreakBefore w:val="0"/>
              <w:topLinePunct w:val="0"/>
              <w:bidi w:val="0"/>
              <w:spacing w:line="500" w:lineRule="exact"/>
              <w:ind w:left="0" w:leftChars="0" w:right="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3</w:t>
            </w:r>
          </w:p>
        </w:tc>
        <w:tc>
          <w:tcPr>
            <w:tcW w:w="8877" w:type="dxa"/>
            <w:noWrap w:val="0"/>
            <w:vAlign w:val="center"/>
          </w:tcPr>
          <w:p w14:paraId="72002B85">
            <w:pPr>
              <w:keepNext w:val="0"/>
              <w:keepLines w:val="0"/>
              <w:pageBreakBefore w:val="0"/>
              <w:widowControl w:val="0"/>
              <w:kinsoku/>
              <w:wordWrap/>
              <w:overflowPunct/>
              <w:topLinePunct w:val="0"/>
              <w:autoSpaceDE/>
              <w:autoSpaceDN/>
              <w:bidi w:val="0"/>
              <w:adjustRightInd/>
              <w:snapToGrid/>
              <w:spacing w:line="500" w:lineRule="exact"/>
              <w:ind w:left="0" w:leftChars="0" w:right="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服务期：</w:t>
            </w:r>
            <w:r>
              <w:rPr>
                <w:rFonts w:hint="eastAsia" w:ascii="宋体" w:hAnsi="宋体" w:cs="宋体"/>
                <w:color w:val="auto"/>
                <w:highlight w:val="none"/>
                <w:lang w:eastAsia="zh-CN"/>
              </w:rPr>
              <w:t>合同签订之日起120日历天</w:t>
            </w:r>
          </w:p>
        </w:tc>
      </w:tr>
      <w:tr w14:paraId="667087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31" w:hRule="atLeast"/>
          <w:jc w:val="center"/>
        </w:trPr>
        <w:tc>
          <w:tcPr>
            <w:tcW w:w="914" w:type="dxa"/>
            <w:noWrap w:val="0"/>
            <w:vAlign w:val="center"/>
          </w:tcPr>
          <w:p w14:paraId="54B67821">
            <w:pPr>
              <w:pageBreakBefore w:val="0"/>
              <w:topLinePunct w:val="0"/>
              <w:bidi w:val="0"/>
              <w:spacing w:line="500" w:lineRule="exact"/>
              <w:ind w:left="0" w:leftChars="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8877" w:type="dxa"/>
            <w:noWrap w:val="0"/>
            <w:vAlign w:val="center"/>
          </w:tcPr>
          <w:p w14:paraId="68B89D3D">
            <w:pPr>
              <w:pageBreakBefore w:val="0"/>
              <w:topLinePunct w:val="0"/>
              <w:bidi w:val="0"/>
              <w:spacing w:line="500" w:lineRule="exact"/>
              <w:ind w:left="0" w:leftChars="0" w:right="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1.投标报价</w:t>
            </w:r>
          </w:p>
          <w:p w14:paraId="4EBAD6B6">
            <w:pPr>
              <w:pageBreakBefore w:val="0"/>
              <w:topLinePunct w:val="0"/>
              <w:bidi w:val="0"/>
              <w:spacing w:line="500" w:lineRule="exact"/>
              <w:ind w:left="0" w:leftChars="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1.1所有报价均以人民币报价。</w:t>
            </w:r>
          </w:p>
          <w:p w14:paraId="7EC9DD14">
            <w:pPr>
              <w:pageBreakBefore w:val="0"/>
              <w:topLinePunct w:val="0"/>
              <w:bidi w:val="0"/>
              <w:spacing w:line="500" w:lineRule="exact"/>
              <w:ind w:left="0" w:leftChars="0" w:right="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投标报价：供应商应在投标报价表中标明完成本次招标所要求的服务、验收合格的所有费用，包括</w:t>
            </w:r>
            <w:r>
              <w:rPr>
                <w:rFonts w:hint="eastAsia" w:ascii="宋体" w:hAnsi="宋体" w:eastAsia="宋体" w:cs="宋体"/>
                <w:color w:val="auto"/>
                <w:sz w:val="24"/>
                <w:szCs w:val="24"/>
                <w:highlight w:val="none"/>
                <w:lang w:val="en-US" w:eastAsia="zh-CN"/>
              </w:rPr>
              <w:t>项目服务</w:t>
            </w:r>
            <w:r>
              <w:rPr>
                <w:rFonts w:hint="eastAsia" w:ascii="宋体" w:hAnsi="宋体" w:eastAsia="宋体" w:cs="宋体"/>
                <w:color w:val="auto"/>
                <w:sz w:val="24"/>
                <w:szCs w:val="24"/>
                <w:highlight w:val="none"/>
              </w:rPr>
              <w:t>费等其他一切相关费用。投标报价表中标明本次服务的所有单项价格和总价，任何有选择的报价将不予接受，按无效投标处理。</w:t>
            </w:r>
          </w:p>
          <w:p w14:paraId="74422448">
            <w:pPr>
              <w:pageBreakBefore w:val="0"/>
              <w:topLinePunct w:val="0"/>
              <w:bidi w:val="0"/>
              <w:spacing w:line="500" w:lineRule="exact"/>
              <w:ind w:left="0" w:leftChars="0" w:right="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1.3</w:t>
            </w:r>
            <w:r>
              <w:rPr>
                <w:rFonts w:hint="eastAsia" w:ascii="宋体" w:hAnsi="宋体" w:eastAsia="宋体" w:cs="宋体"/>
                <w:color w:val="auto"/>
                <w:sz w:val="24"/>
                <w:szCs w:val="24"/>
                <w:highlight w:val="none"/>
                <w:lang w:eastAsia="zh-CN"/>
              </w:rPr>
              <w:t>采购人不承担任何补充费用。任何有选择的报价将不予接受。</w:t>
            </w:r>
          </w:p>
          <w:p w14:paraId="24033630">
            <w:pPr>
              <w:pageBreakBefore w:val="0"/>
              <w:topLinePunct w:val="0"/>
              <w:bidi w:val="0"/>
              <w:spacing w:line="500" w:lineRule="exact"/>
              <w:ind w:left="0" w:leftChars="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eastAsia="zh-CN"/>
              </w:rPr>
              <w:t>付款方式</w:t>
            </w:r>
            <w:r>
              <w:rPr>
                <w:rFonts w:hint="eastAsia" w:ascii="宋体" w:hAnsi="宋体" w:eastAsia="宋体" w:cs="宋体"/>
                <w:color w:val="auto"/>
                <w:sz w:val="24"/>
                <w:szCs w:val="24"/>
                <w:highlight w:val="none"/>
              </w:rPr>
              <w:t>：</w:t>
            </w:r>
          </w:p>
          <w:p w14:paraId="5EFF5C0D">
            <w:pPr>
              <w:keepNext w:val="0"/>
              <w:keepLines w:val="0"/>
              <w:pageBreakBefore w:val="0"/>
              <w:widowControl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1、付款比例：</w:t>
            </w:r>
          </w:p>
          <w:p w14:paraId="00C472E1">
            <w:pPr>
              <w:keepNext w:val="0"/>
              <w:keepLines w:val="0"/>
              <w:pageBreakBefore w:val="0"/>
              <w:widowControl w:val="0"/>
              <w:kinsoku/>
              <w:wordWrap/>
              <w:overflowPunct/>
              <w:topLinePunct w:val="0"/>
              <w:autoSpaceDE/>
              <w:autoSpaceDN/>
              <w:bidi w:val="0"/>
              <w:adjustRightInd/>
              <w:snapToGrid/>
              <w:spacing w:line="500" w:lineRule="exact"/>
              <w:ind w:left="480" w:leftChars="200" w:right="0" w:firstLine="0" w:firstLineChars="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 xml:space="preserve">支付方式：合同签订后支付合同总额的30%作为预付款； </w:t>
            </w:r>
          </w:p>
          <w:p w14:paraId="652A95FE">
            <w:pPr>
              <w:keepNext w:val="0"/>
              <w:keepLines w:val="0"/>
              <w:pageBreakBefore w:val="0"/>
              <w:widowControl w:val="0"/>
              <w:kinsoku/>
              <w:wordWrap/>
              <w:overflowPunct/>
              <w:topLinePunct w:val="0"/>
              <w:autoSpaceDE/>
              <w:autoSpaceDN/>
              <w:bidi w:val="0"/>
              <w:adjustRightInd/>
              <w:snapToGrid/>
              <w:spacing w:line="500" w:lineRule="exact"/>
              <w:ind w:left="480" w:leftChars="200" w:right="0" w:firstLine="0" w:firstLineChars="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 xml:space="preserve">进度款：工程量完成至70%时，再支付合同金额的50%； </w:t>
            </w:r>
          </w:p>
          <w:p w14:paraId="171470C8">
            <w:pPr>
              <w:keepNext w:val="0"/>
              <w:keepLines w:val="0"/>
              <w:pageBreakBefore w:val="0"/>
              <w:widowControl w:val="0"/>
              <w:kinsoku/>
              <w:wordWrap/>
              <w:overflowPunct/>
              <w:topLinePunct w:val="0"/>
              <w:autoSpaceDE/>
              <w:autoSpaceDN/>
              <w:bidi w:val="0"/>
              <w:adjustRightInd/>
              <w:snapToGrid/>
              <w:spacing w:line="500" w:lineRule="exact"/>
              <w:ind w:left="480" w:leftChars="200" w:right="0" w:firstLine="0" w:firstLineChars="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结算款：工程竣工验收后支付合同金额的20%。</w:t>
            </w:r>
          </w:p>
          <w:p w14:paraId="1F7578AB">
            <w:pPr>
              <w:keepNext w:val="0"/>
              <w:keepLines w:val="0"/>
              <w:pageBreakBefore w:val="0"/>
              <w:widowControl w:val="0"/>
              <w:kinsoku/>
              <w:wordWrap/>
              <w:overflowPunct/>
              <w:topLinePunct w:val="0"/>
              <w:autoSpaceDE/>
              <w:autoSpaceDN/>
              <w:bidi w:val="0"/>
              <w:adjustRightInd/>
              <w:snapToGrid/>
              <w:spacing w:line="500" w:lineRule="exact"/>
              <w:ind w:left="480" w:leftChars="200" w:right="0" w:firstLine="0" w:firstLineChars="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2、结算方式：银行转账。</w:t>
            </w:r>
          </w:p>
          <w:p w14:paraId="312F1B88">
            <w:pPr>
              <w:keepNext w:val="0"/>
              <w:keepLines w:val="0"/>
              <w:pageBreakBefore w:val="0"/>
              <w:widowControl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bidi="ar"/>
              </w:rPr>
              <w:t>3、结算单位：由甲方负责结算，乙方开具合同总价数的全额发票交采购人。</w:t>
            </w:r>
          </w:p>
        </w:tc>
      </w:tr>
      <w:tr w14:paraId="2D65D8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8" w:hRule="atLeast"/>
          <w:jc w:val="center"/>
        </w:trPr>
        <w:tc>
          <w:tcPr>
            <w:tcW w:w="914" w:type="dxa"/>
            <w:noWrap w:val="0"/>
            <w:vAlign w:val="center"/>
          </w:tcPr>
          <w:p w14:paraId="6C9F5A94">
            <w:pPr>
              <w:pageBreakBefore w:val="0"/>
              <w:topLinePunct w:val="0"/>
              <w:bidi w:val="0"/>
              <w:spacing w:line="500" w:lineRule="exact"/>
              <w:ind w:left="0" w:leftChars="0" w:right="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877" w:type="dxa"/>
            <w:noWrap w:val="0"/>
            <w:vAlign w:val="center"/>
          </w:tcPr>
          <w:p w14:paraId="1A9336C7">
            <w:pPr>
              <w:pageBreakBefore w:val="0"/>
              <w:topLinePunct w:val="0"/>
              <w:bidi w:val="0"/>
              <w:spacing w:line="500" w:lineRule="exact"/>
              <w:ind w:left="0" w:leftChars="0" w:right="0"/>
              <w:rPr>
                <w:rFonts w:hint="eastAsia" w:ascii="宋体" w:hAnsi="宋体" w:eastAsia="宋体" w:cs="宋体"/>
                <w:b/>
                <w:color w:val="auto"/>
                <w:kern w:val="0"/>
                <w:sz w:val="24"/>
                <w:szCs w:val="24"/>
                <w:highlight w:val="none"/>
                <w:lang w:eastAsia="zh-CN"/>
              </w:rPr>
            </w:pPr>
            <w:r>
              <w:rPr>
                <w:rFonts w:hint="eastAsia" w:ascii="宋体" w:hAnsi="宋体" w:eastAsia="宋体" w:cs="宋体"/>
                <w:b/>
                <w:color w:val="auto"/>
                <w:kern w:val="0"/>
                <w:sz w:val="24"/>
                <w:szCs w:val="24"/>
                <w:highlight w:val="none"/>
                <w:lang w:eastAsia="zh-CN"/>
              </w:rPr>
              <w:t>质量</w:t>
            </w:r>
            <w:r>
              <w:rPr>
                <w:rFonts w:hint="eastAsia" w:ascii="宋体" w:hAnsi="宋体" w:cs="宋体"/>
                <w:b/>
                <w:color w:val="auto"/>
                <w:kern w:val="0"/>
                <w:sz w:val="24"/>
                <w:szCs w:val="24"/>
                <w:highlight w:val="none"/>
                <w:lang w:val="en-US" w:eastAsia="zh-CN"/>
              </w:rPr>
              <w:t>要求</w:t>
            </w:r>
            <w:r>
              <w:rPr>
                <w:rFonts w:hint="eastAsia" w:ascii="宋体" w:hAnsi="宋体" w:eastAsia="宋体" w:cs="宋体"/>
                <w:b/>
                <w:color w:val="auto"/>
                <w:kern w:val="0"/>
                <w:sz w:val="24"/>
                <w:szCs w:val="24"/>
                <w:highlight w:val="none"/>
                <w:lang w:eastAsia="zh-CN"/>
              </w:rPr>
              <w:t>：</w:t>
            </w:r>
          </w:p>
          <w:p w14:paraId="04F66897">
            <w:pPr>
              <w:pageBreakBefore w:val="0"/>
              <w:topLinePunct w:val="0"/>
              <w:bidi w:val="0"/>
              <w:spacing w:line="500" w:lineRule="exact"/>
              <w:ind w:left="0" w:leftChars="0" w:right="0" w:firstLine="480" w:firstLineChars="200"/>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1、若服务质量不合格，甲方有权拒付所有项目款；由乙方立即组织进行整改，直至达标为止；若因服务造成服务质量问题，一切损失由乙方承担。</w:t>
            </w:r>
          </w:p>
          <w:p w14:paraId="5D5C1F6C">
            <w:pPr>
              <w:pageBreakBefore w:val="0"/>
              <w:topLinePunct w:val="0"/>
              <w:bidi w:val="0"/>
              <w:spacing w:line="500" w:lineRule="exact"/>
              <w:ind w:left="0" w:leftChars="0" w:right="0"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32"/>
                <w:highlight w:val="none"/>
                <w:lang w:val="en-US" w:eastAsia="zh-CN"/>
              </w:rPr>
              <w:t>2、供应商提供服务须达到</w:t>
            </w:r>
            <w:r>
              <w:rPr>
                <w:rFonts w:hint="eastAsia" w:ascii="宋体" w:hAnsi="宋体" w:cs="宋体"/>
                <w:color w:val="auto"/>
                <w:sz w:val="24"/>
                <w:szCs w:val="32"/>
                <w:highlight w:val="none"/>
                <w:lang w:val="en-US" w:eastAsia="zh-CN"/>
              </w:rPr>
              <w:t>国家或行业合格标准</w:t>
            </w:r>
            <w:r>
              <w:rPr>
                <w:rFonts w:hint="eastAsia" w:ascii="宋体" w:hAnsi="宋体" w:eastAsia="宋体" w:cs="宋体"/>
                <w:color w:val="auto"/>
                <w:sz w:val="24"/>
                <w:szCs w:val="32"/>
                <w:highlight w:val="none"/>
                <w:lang w:val="en-US" w:eastAsia="zh-CN"/>
              </w:rPr>
              <w:t>。确保项目服务到位，安全。</w:t>
            </w:r>
          </w:p>
        </w:tc>
      </w:tr>
      <w:tr w14:paraId="46DC5E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914" w:type="dxa"/>
            <w:noWrap w:val="0"/>
            <w:vAlign w:val="center"/>
          </w:tcPr>
          <w:p w14:paraId="2A8D453E">
            <w:pPr>
              <w:pageBreakBefore w:val="0"/>
              <w:topLinePunct w:val="0"/>
              <w:bidi w:val="0"/>
              <w:spacing w:line="500" w:lineRule="exact"/>
              <w:ind w:left="0" w:leftChars="0" w:right="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6</w:t>
            </w:r>
          </w:p>
        </w:tc>
        <w:tc>
          <w:tcPr>
            <w:tcW w:w="8877" w:type="dxa"/>
            <w:noWrap w:val="0"/>
            <w:vAlign w:val="center"/>
          </w:tcPr>
          <w:p w14:paraId="1EA6AF17">
            <w:pPr>
              <w:pageBreakBefore w:val="0"/>
              <w:topLinePunct w:val="0"/>
              <w:bidi w:val="0"/>
              <w:spacing w:line="500" w:lineRule="exact"/>
              <w:ind w:left="0" w:leftChars="0" w:right="0"/>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验收：</w:t>
            </w:r>
          </w:p>
          <w:p w14:paraId="18008A6F">
            <w:pPr>
              <w:pageBreakBefore w:val="0"/>
              <w:topLinePunct w:val="0"/>
              <w:bidi w:val="0"/>
              <w:spacing w:line="500" w:lineRule="exact"/>
              <w:ind w:left="0" w:leftChars="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由采购人和</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共同对项目整体进行验收。其内容包括确认</w:t>
            </w:r>
            <w:r>
              <w:rPr>
                <w:rFonts w:hint="eastAsia" w:ascii="宋体" w:hAnsi="宋体" w:eastAsia="宋体" w:cs="宋体"/>
                <w:color w:val="auto"/>
                <w:sz w:val="24"/>
                <w:szCs w:val="24"/>
                <w:highlight w:val="none"/>
                <w:lang w:val="en-US" w:eastAsia="zh-CN"/>
              </w:rPr>
              <w:t>服务</w:t>
            </w:r>
            <w:r>
              <w:rPr>
                <w:rFonts w:hint="eastAsia" w:ascii="宋体" w:hAnsi="宋体" w:eastAsia="宋体" w:cs="宋体"/>
                <w:color w:val="auto"/>
                <w:kern w:val="0"/>
                <w:sz w:val="24"/>
                <w:highlight w:val="none"/>
              </w:rPr>
              <w:t>质量是否达到</w:t>
            </w:r>
            <w:r>
              <w:rPr>
                <w:rFonts w:hint="eastAsia" w:ascii="宋体" w:hAnsi="宋体" w:eastAsia="宋体" w:cs="宋体"/>
                <w:color w:val="auto"/>
                <w:sz w:val="24"/>
                <w:szCs w:val="24"/>
                <w:highlight w:val="none"/>
              </w:rPr>
              <w:t>现行国家有关验收规范“合格”标准进行逐项检查。</w:t>
            </w:r>
          </w:p>
          <w:p w14:paraId="5D210033">
            <w:pPr>
              <w:pageBreakBefore w:val="0"/>
              <w:topLinePunct w:val="0"/>
              <w:bidi w:val="0"/>
              <w:spacing w:line="500" w:lineRule="exact"/>
              <w:ind w:left="0" w:leftChars="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1.所验</w:t>
            </w:r>
            <w:r>
              <w:rPr>
                <w:rFonts w:hint="eastAsia" w:ascii="宋体" w:hAnsi="宋体" w:eastAsia="宋体" w:cs="宋体"/>
                <w:color w:val="auto"/>
                <w:sz w:val="24"/>
                <w:szCs w:val="24"/>
                <w:highlight w:val="none"/>
                <w:lang w:val="en-US" w:eastAsia="zh-CN"/>
              </w:rPr>
              <w:t>服务</w:t>
            </w:r>
            <w:r>
              <w:rPr>
                <w:rFonts w:hint="eastAsia" w:ascii="宋体" w:hAnsi="宋体" w:eastAsia="宋体" w:cs="宋体"/>
                <w:color w:val="auto"/>
                <w:sz w:val="24"/>
                <w:szCs w:val="24"/>
                <w:highlight w:val="none"/>
              </w:rPr>
              <w:t>的指标通过验收达不到</w:t>
            </w:r>
            <w:r>
              <w:rPr>
                <w:rFonts w:hint="eastAsia" w:ascii="宋体" w:hAnsi="宋体" w:eastAsia="宋体" w:cs="宋体"/>
                <w:color w:val="auto"/>
                <w:sz w:val="24"/>
                <w:szCs w:val="24"/>
                <w:highlight w:val="none"/>
                <w:lang w:eastAsia="zh-CN"/>
              </w:rPr>
              <w:t>竞争性磋商文件</w:t>
            </w:r>
            <w:r>
              <w:rPr>
                <w:rFonts w:hint="eastAsia" w:ascii="宋体" w:hAnsi="宋体" w:eastAsia="宋体" w:cs="宋体"/>
                <w:color w:val="auto"/>
                <w:sz w:val="24"/>
                <w:szCs w:val="24"/>
                <w:highlight w:val="none"/>
              </w:rPr>
              <w:t>要求和</w:t>
            </w:r>
            <w:r>
              <w:rPr>
                <w:rFonts w:hint="eastAsia" w:ascii="宋体" w:hAnsi="宋体" w:eastAsia="宋体" w:cs="宋体"/>
                <w:color w:val="auto"/>
                <w:sz w:val="24"/>
                <w:szCs w:val="24"/>
                <w:highlight w:val="none"/>
                <w:lang w:eastAsia="zh-CN"/>
              </w:rPr>
              <w:t>竞争性磋商响应文件</w:t>
            </w:r>
            <w:r>
              <w:rPr>
                <w:rFonts w:hint="eastAsia" w:ascii="宋体" w:hAnsi="宋体" w:eastAsia="宋体" w:cs="宋体"/>
                <w:color w:val="auto"/>
                <w:sz w:val="24"/>
                <w:szCs w:val="24"/>
                <w:highlight w:val="none"/>
              </w:rPr>
              <w:t>承诺的，或在使用中发现采购人不能容忍的缺陷等，将视为验收不合格，由于乙方</w:t>
            </w:r>
            <w:r>
              <w:rPr>
                <w:rFonts w:hint="eastAsia" w:ascii="宋体" w:hAnsi="宋体" w:eastAsia="宋体" w:cs="宋体"/>
                <w:color w:val="auto"/>
                <w:sz w:val="24"/>
                <w:szCs w:val="24"/>
                <w:highlight w:val="none"/>
                <w:lang w:eastAsia="zh-CN"/>
              </w:rPr>
              <w:t>未按约定的时限</w:t>
            </w:r>
            <w:r>
              <w:rPr>
                <w:rFonts w:hint="eastAsia" w:ascii="宋体" w:hAnsi="宋体" w:eastAsia="宋体" w:cs="宋体"/>
                <w:color w:val="auto"/>
                <w:sz w:val="24"/>
                <w:szCs w:val="24"/>
                <w:highlight w:val="none"/>
              </w:rPr>
              <w:t>完成的检测质量不合要求，乙方应</w:t>
            </w:r>
            <w:r>
              <w:rPr>
                <w:rFonts w:hint="eastAsia" w:ascii="宋体" w:hAnsi="宋体" w:eastAsia="宋体" w:cs="宋体"/>
                <w:color w:val="auto"/>
                <w:sz w:val="24"/>
                <w:szCs w:val="24"/>
                <w:highlight w:val="none"/>
                <w:lang w:eastAsia="zh-CN"/>
              </w:rPr>
              <w:t>主动</w:t>
            </w:r>
            <w:r>
              <w:rPr>
                <w:rFonts w:hint="eastAsia" w:ascii="宋体" w:hAnsi="宋体" w:eastAsia="宋体" w:cs="宋体"/>
                <w:color w:val="auto"/>
                <w:sz w:val="24"/>
                <w:szCs w:val="24"/>
                <w:highlight w:val="none"/>
              </w:rPr>
              <w:t>采取有效措施，积极、主动地弥补过失，保证工作质量能够满足甲方要求。</w:t>
            </w:r>
          </w:p>
          <w:p w14:paraId="6F13A3E6">
            <w:pPr>
              <w:pageBreakBefore w:val="0"/>
              <w:topLinePunct w:val="0"/>
              <w:bidi w:val="0"/>
              <w:spacing w:line="500" w:lineRule="exact"/>
              <w:ind w:left="0" w:leftChars="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2.若发现</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有弄虚作假的，在投标阶段故意或随意夸大</w:t>
            </w:r>
            <w:r>
              <w:rPr>
                <w:rFonts w:hint="eastAsia" w:ascii="宋体" w:hAnsi="宋体" w:eastAsia="宋体" w:cs="宋体"/>
                <w:color w:val="auto"/>
                <w:sz w:val="24"/>
                <w:szCs w:val="24"/>
                <w:highlight w:val="none"/>
                <w:lang w:val="en-US" w:eastAsia="zh-CN"/>
              </w:rPr>
              <w:t>服务内容</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应无条件退货，并赔偿采购人相应的损失。</w:t>
            </w:r>
          </w:p>
          <w:p w14:paraId="36DB8B1E">
            <w:pPr>
              <w:pageBreakBefore w:val="0"/>
              <w:topLinePunct w:val="0"/>
              <w:bidi w:val="0"/>
              <w:spacing w:line="500" w:lineRule="exact"/>
              <w:ind w:left="0" w:leftChars="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3.验收标准：按</w:t>
            </w:r>
            <w:r>
              <w:rPr>
                <w:rFonts w:hint="eastAsia" w:ascii="宋体" w:hAnsi="宋体" w:eastAsia="宋体" w:cs="宋体"/>
                <w:color w:val="auto"/>
                <w:sz w:val="24"/>
                <w:szCs w:val="24"/>
                <w:highlight w:val="none"/>
                <w:lang w:eastAsia="zh-CN"/>
              </w:rPr>
              <w:t>竞争性磋商文件</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竞争性磋商响应文件</w:t>
            </w:r>
            <w:r>
              <w:rPr>
                <w:rFonts w:hint="eastAsia" w:ascii="宋体" w:hAnsi="宋体" w:eastAsia="宋体" w:cs="宋体"/>
                <w:color w:val="auto"/>
                <w:sz w:val="24"/>
                <w:szCs w:val="24"/>
                <w:highlight w:val="none"/>
              </w:rPr>
              <w:t>及澄清函等技术指标进行验收。各项指标均应符合验收标准及要求。</w:t>
            </w:r>
          </w:p>
          <w:p w14:paraId="404C2C06">
            <w:pPr>
              <w:pageBreakBefore w:val="0"/>
              <w:topLinePunct w:val="0"/>
              <w:bidi w:val="0"/>
              <w:spacing w:line="500" w:lineRule="exact"/>
              <w:ind w:left="0" w:leftChars="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4.验收合格后，填写验收单，双方签字生效。</w:t>
            </w:r>
          </w:p>
          <w:p w14:paraId="73B983F0">
            <w:pPr>
              <w:pageBreakBefore w:val="0"/>
              <w:tabs>
                <w:tab w:val="left" w:pos="498"/>
              </w:tabs>
              <w:topLinePunct w:val="0"/>
              <w:bidi w:val="0"/>
              <w:spacing w:line="500" w:lineRule="exact"/>
              <w:ind w:left="0" w:leftChars="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验收依据：</w:t>
            </w:r>
          </w:p>
          <w:p w14:paraId="1034C180">
            <w:pPr>
              <w:pageBreakBefore w:val="0"/>
              <w:tabs>
                <w:tab w:val="left" w:pos="498"/>
              </w:tabs>
              <w:topLinePunct w:val="0"/>
              <w:bidi w:val="0"/>
              <w:spacing w:line="500" w:lineRule="exact"/>
              <w:ind w:left="0" w:leftChars="0" w:right="0"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（1）合同文本及合同补充文件（条款）；</w:t>
            </w:r>
          </w:p>
          <w:p w14:paraId="6AAAEE80">
            <w:pPr>
              <w:pageBreakBefore w:val="0"/>
              <w:tabs>
                <w:tab w:val="left" w:pos="498"/>
              </w:tabs>
              <w:topLinePunct w:val="0"/>
              <w:bidi w:val="0"/>
              <w:spacing w:line="500" w:lineRule="exact"/>
              <w:ind w:left="0" w:leftChars="0" w:right="0"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（2）磋商文件；</w:t>
            </w:r>
          </w:p>
          <w:p w14:paraId="5CBE768C">
            <w:pPr>
              <w:pageBreakBefore w:val="0"/>
              <w:tabs>
                <w:tab w:val="left" w:pos="498"/>
              </w:tabs>
              <w:topLinePunct w:val="0"/>
              <w:bidi w:val="0"/>
              <w:spacing w:line="500" w:lineRule="exact"/>
              <w:ind w:left="0" w:leftChars="0" w:right="0"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（3）成交单位的磋商响应文件及澄清函（如果有须提供）；</w:t>
            </w:r>
          </w:p>
          <w:p w14:paraId="0A973190">
            <w:pPr>
              <w:pageBreakBefore w:val="0"/>
              <w:tabs>
                <w:tab w:val="left" w:pos="498"/>
              </w:tabs>
              <w:topLinePunct w:val="0"/>
              <w:bidi w:val="0"/>
              <w:spacing w:line="500" w:lineRule="exact"/>
              <w:ind w:left="0" w:leftChars="0" w:right="0"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（4）合同服务清单；</w:t>
            </w:r>
          </w:p>
        </w:tc>
      </w:tr>
      <w:tr w14:paraId="06C2F6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1" w:hRule="atLeast"/>
          <w:jc w:val="center"/>
        </w:trPr>
        <w:tc>
          <w:tcPr>
            <w:tcW w:w="914" w:type="dxa"/>
            <w:noWrap w:val="0"/>
            <w:vAlign w:val="center"/>
          </w:tcPr>
          <w:p w14:paraId="1593F4C7">
            <w:pPr>
              <w:pStyle w:val="16"/>
              <w:pageBreakBefore w:val="0"/>
              <w:topLinePunct w:val="0"/>
              <w:bidi w:val="0"/>
              <w:spacing w:line="500" w:lineRule="exact"/>
              <w:ind w:left="0" w:leftChars="0" w:right="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8</w:t>
            </w:r>
          </w:p>
        </w:tc>
        <w:tc>
          <w:tcPr>
            <w:tcW w:w="8877" w:type="dxa"/>
            <w:noWrap w:val="0"/>
            <w:vAlign w:val="center"/>
          </w:tcPr>
          <w:p w14:paraId="63CEB4E7">
            <w:pPr>
              <w:pageBreakBefore w:val="0"/>
              <w:topLinePunct w:val="0"/>
              <w:bidi w:val="0"/>
              <w:spacing w:line="500" w:lineRule="exact"/>
              <w:ind w:left="0" w:leftChars="0" w:right="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违约责任：</w:t>
            </w:r>
          </w:p>
          <w:p w14:paraId="433AF10E">
            <w:pPr>
              <w:pageBreakBefore w:val="0"/>
              <w:topLinePunct w:val="0"/>
              <w:bidi w:val="0"/>
              <w:spacing w:line="500" w:lineRule="exact"/>
              <w:ind w:left="0" w:leftChars="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highlight w:val="none"/>
              </w:rPr>
              <w:t>依据《中华人民共和国</w:t>
            </w:r>
            <w:r>
              <w:rPr>
                <w:rFonts w:hint="eastAsia" w:ascii="宋体" w:hAnsi="宋体" w:eastAsia="宋体" w:cs="宋体"/>
                <w:color w:val="auto"/>
                <w:highlight w:val="none"/>
                <w:lang w:eastAsia="zh-CN"/>
              </w:rPr>
              <w:t>民法典</w:t>
            </w:r>
            <w:r>
              <w:rPr>
                <w:rFonts w:hint="eastAsia" w:ascii="宋体" w:hAnsi="宋体" w:eastAsia="宋体" w:cs="宋体"/>
                <w:color w:val="auto"/>
                <w:highlight w:val="none"/>
              </w:rPr>
              <w:t>》、《中华人民共和国政府采购法》的相关条款和本合同约定，中标</w:t>
            </w:r>
            <w:r>
              <w:rPr>
                <w:rFonts w:hint="eastAsia" w:ascii="宋体" w:hAnsi="宋体" w:eastAsia="宋体" w:cs="宋体"/>
                <w:color w:val="auto"/>
                <w:highlight w:val="none"/>
                <w:lang w:eastAsia="zh-CN"/>
              </w:rPr>
              <w:t>供应商</w:t>
            </w:r>
            <w:r>
              <w:rPr>
                <w:rFonts w:hint="eastAsia" w:ascii="宋体" w:hAnsi="宋体" w:eastAsia="宋体" w:cs="宋体"/>
                <w:color w:val="auto"/>
                <w:highlight w:val="none"/>
              </w:rPr>
              <w:t>未全面履行合同义务或者发生违约，采购单位会同采购代理机构有权终止合同，依法向中标</w:t>
            </w:r>
            <w:r>
              <w:rPr>
                <w:rFonts w:hint="eastAsia" w:ascii="宋体" w:hAnsi="宋体" w:eastAsia="宋体" w:cs="宋体"/>
                <w:color w:val="auto"/>
                <w:highlight w:val="none"/>
                <w:lang w:eastAsia="zh-CN"/>
              </w:rPr>
              <w:t>供应商</w:t>
            </w:r>
            <w:r>
              <w:rPr>
                <w:rFonts w:hint="eastAsia" w:ascii="宋体" w:hAnsi="宋体" w:eastAsia="宋体" w:cs="宋体"/>
                <w:color w:val="auto"/>
                <w:highlight w:val="none"/>
              </w:rPr>
              <w:t>进行经济索赔，并报请政府采购监督管理机关进行相应的行政处罚。采购单位违约的，应当赔偿给中标</w:t>
            </w:r>
            <w:r>
              <w:rPr>
                <w:rFonts w:hint="eastAsia" w:ascii="宋体" w:hAnsi="宋体" w:eastAsia="宋体" w:cs="宋体"/>
                <w:color w:val="auto"/>
                <w:highlight w:val="none"/>
                <w:lang w:eastAsia="zh-CN"/>
              </w:rPr>
              <w:t>供应商</w:t>
            </w:r>
            <w:r>
              <w:rPr>
                <w:rFonts w:hint="eastAsia" w:ascii="宋体" w:hAnsi="宋体" w:eastAsia="宋体" w:cs="宋体"/>
                <w:color w:val="auto"/>
                <w:highlight w:val="none"/>
              </w:rPr>
              <w:t>造成的经济损失。</w:t>
            </w:r>
          </w:p>
        </w:tc>
      </w:tr>
    </w:tbl>
    <w:p w14:paraId="4AE4830C">
      <w:pPr>
        <w:pageBreakBefore w:val="0"/>
        <w:topLinePunct w:val="0"/>
        <w:bidi w:val="0"/>
        <w:spacing w:line="500" w:lineRule="exact"/>
        <w:ind w:left="0" w:leftChars="0" w:right="0"/>
        <w:rPr>
          <w:rFonts w:hint="eastAsia" w:ascii="宋体" w:hAnsi="宋体" w:eastAsia="宋体" w:cs="宋体"/>
          <w:color w:val="auto"/>
          <w:highlight w:val="none"/>
          <w:lang w:eastAsia="zh-CN"/>
        </w:rPr>
      </w:pPr>
    </w:p>
    <w:p w14:paraId="0BFCB8B6">
      <w:pPr>
        <w:pageBreakBefore w:val="0"/>
        <w:topLinePunct w:val="0"/>
        <w:bidi w:val="0"/>
        <w:spacing w:line="500" w:lineRule="exact"/>
        <w:ind w:left="0" w:leftChars="0" w:right="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br w:type="page"/>
      </w:r>
    </w:p>
    <w:p w14:paraId="3056A041">
      <w:pPr>
        <w:pStyle w:val="2"/>
        <w:pageBreakBefore w:val="0"/>
        <w:topLinePunct w:val="0"/>
        <w:bidi w:val="0"/>
        <w:spacing w:before="0" w:after="0" w:line="500" w:lineRule="exact"/>
        <w:ind w:left="0" w:leftChars="0" w:right="0"/>
        <w:rPr>
          <w:rFonts w:hint="eastAsia" w:ascii="宋体" w:hAnsi="宋体" w:eastAsia="宋体" w:cs="宋体"/>
          <w:color w:val="auto"/>
          <w:highlight w:val="none"/>
          <w:lang w:val="en-US" w:eastAsia="zh-CN"/>
        </w:rPr>
      </w:pPr>
      <w:bookmarkStart w:id="147" w:name="_Toc26360"/>
      <w:bookmarkStart w:id="148" w:name="_Toc12773"/>
      <w:bookmarkStart w:id="149" w:name="_Toc24205"/>
      <w:bookmarkStart w:id="150" w:name="_Toc20436"/>
      <w:bookmarkStart w:id="151" w:name="_Toc24645"/>
      <w:bookmarkStart w:id="152" w:name="_Toc9523"/>
      <w:r>
        <w:rPr>
          <w:rFonts w:hint="eastAsia" w:ascii="宋体" w:hAnsi="宋体" w:eastAsia="宋体" w:cs="宋体"/>
          <w:color w:val="auto"/>
          <w:highlight w:val="none"/>
          <w:lang w:val="en-US" w:eastAsia="zh-CN"/>
        </w:rPr>
        <w:t>第四章 合同条款及格式</w:t>
      </w:r>
      <w:bookmarkEnd w:id="142"/>
      <w:bookmarkEnd w:id="143"/>
      <w:bookmarkEnd w:id="144"/>
      <w:bookmarkEnd w:id="147"/>
      <w:bookmarkEnd w:id="148"/>
      <w:bookmarkEnd w:id="149"/>
      <w:bookmarkEnd w:id="150"/>
      <w:bookmarkEnd w:id="151"/>
      <w:bookmarkEnd w:id="152"/>
    </w:p>
    <w:p w14:paraId="3619DA67">
      <w:pPr>
        <w:keepNext w:val="0"/>
        <w:keepLines w:val="0"/>
        <w:pageBreakBefore w:val="0"/>
        <w:widowControl/>
        <w:suppressLineNumbers w:val="0"/>
        <w:topLinePunct w:val="0"/>
        <w:bidi w:val="0"/>
        <w:spacing w:line="500" w:lineRule="exact"/>
        <w:ind w:left="0" w:leftChars="0" w:right="0"/>
        <w:jc w:val="center"/>
        <w:rPr>
          <w:rFonts w:hint="eastAsia" w:ascii="宋体" w:hAnsi="宋体" w:eastAsia="宋体" w:cs="宋体"/>
          <w:color w:val="auto"/>
        </w:rPr>
      </w:pPr>
      <w:bookmarkStart w:id="153" w:name="_Toc22757"/>
      <w:bookmarkStart w:id="154" w:name="_Toc458617467"/>
      <w:bookmarkStart w:id="155" w:name="_Toc458617744"/>
      <w:bookmarkStart w:id="156" w:name="_Toc324521850"/>
      <w:bookmarkStart w:id="157" w:name="_Toc32712"/>
      <w:bookmarkStart w:id="158" w:name="_Toc290389757"/>
      <w:bookmarkStart w:id="159" w:name="_Toc321812053"/>
      <w:bookmarkStart w:id="160" w:name="_Toc29665"/>
      <w:r>
        <w:rPr>
          <w:rFonts w:hint="eastAsia" w:ascii="宋体" w:hAnsi="宋体" w:eastAsia="宋体" w:cs="宋体"/>
          <w:color w:val="auto"/>
          <w:kern w:val="0"/>
          <w:sz w:val="24"/>
          <w:szCs w:val="24"/>
          <w:lang w:val="en-US" w:eastAsia="zh-CN" w:bidi="ar"/>
        </w:rPr>
        <w:t>（示范文本，以最终签订为主）</w:t>
      </w:r>
    </w:p>
    <w:p w14:paraId="1E5C2D10">
      <w:pPr>
        <w:spacing w:line="360" w:lineRule="auto"/>
        <w:ind w:firstLine="480" w:firstLineChars="200"/>
        <w:jc w:val="center"/>
        <w:rPr>
          <w:rFonts w:hint="eastAsia" w:ascii="宋体"/>
          <w:szCs w:val="21"/>
        </w:rPr>
      </w:pPr>
      <w:r>
        <w:rPr>
          <w:rFonts w:hint="eastAsia" w:ascii="宋体"/>
          <w:szCs w:val="21"/>
        </w:rPr>
        <w:t>第一部分  协议书</w:t>
      </w:r>
    </w:p>
    <w:p w14:paraId="69C58694">
      <w:pPr>
        <w:spacing w:line="360" w:lineRule="auto"/>
        <w:ind w:firstLine="480" w:firstLineChars="200"/>
        <w:rPr>
          <w:rFonts w:hint="eastAsia" w:ascii="宋体"/>
          <w:szCs w:val="21"/>
        </w:rPr>
      </w:pPr>
    </w:p>
    <w:p w14:paraId="14B81ECC">
      <w:pPr>
        <w:spacing w:line="360" w:lineRule="auto"/>
        <w:ind w:firstLine="480" w:firstLineChars="200"/>
        <w:rPr>
          <w:rFonts w:hint="eastAsia" w:ascii="宋体"/>
          <w:szCs w:val="21"/>
        </w:rPr>
      </w:pPr>
      <w:r>
        <w:rPr>
          <w:rFonts w:hint="eastAsia" w:ascii="宋体"/>
          <w:szCs w:val="21"/>
        </w:rPr>
        <w:t xml:space="preserve">委托人（全称）：                                  </w:t>
      </w:r>
    </w:p>
    <w:p w14:paraId="3A9E63EB">
      <w:pPr>
        <w:spacing w:line="360" w:lineRule="auto"/>
        <w:ind w:firstLine="480" w:firstLineChars="200"/>
        <w:rPr>
          <w:rFonts w:hint="eastAsia" w:ascii="宋体"/>
          <w:szCs w:val="21"/>
        </w:rPr>
      </w:pPr>
      <w:r>
        <w:rPr>
          <w:rFonts w:hint="eastAsia" w:ascii="宋体"/>
          <w:szCs w:val="21"/>
        </w:rPr>
        <w:t>监理人（全称）：</w:t>
      </w:r>
    </w:p>
    <w:p w14:paraId="3647632C">
      <w:pPr>
        <w:spacing w:line="360" w:lineRule="auto"/>
        <w:ind w:firstLine="480" w:firstLineChars="200"/>
        <w:rPr>
          <w:rFonts w:hint="eastAsia" w:ascii="宋体"/>
          <w:szCs w:val="21"/>
        </w:rPr>
      </w:pPr>
      <w:r>
        <w:rPr>
          <w:rFonts w:hint="eastAsia" w:ascii="宋体"/>
          <w:szCs w:val="21"/>
        </w:rPr>
        <w:t>根据《中华人民共和国民法典》、《中华人民共和国建筑法》及其他有关法律、法规，遵循平等、自愿、公平和诚信的原则，双方就下述工程委托监理与相关服务事项协商一致，订立本合同。</w:t>
      </w:r>
    </w:p>
    <w:p w14:paraId="73729E71">
      <w:pPr>
        <w:spacing w:line="360" w:lineRule="auto"/>
        <w:ind w:firstLine="480" w:firstLineChars="200"/>
        <w:rPr>
          <w:rFonts w:hint="eastAsia" w:ascii="宋体"/>
          <w:szCs w:val="21"/>
        </w:rPr>
      </w:pPr>
      <w:r>
        <w:rPr>
          <w:rFonts w:hint="eastAsia" w:ascii="宋体"/>
          <w:szCs w:val="21"/>
        </w:rPr>
        <w:t>一、工程概况</w:t>
      </w:r>
    </w:p>
    <w:p w14:paraId="66713133">
      <w:pPr>
        <w:spacing w:line="360" w:lineRule="auto"/>
        <w:ind w:firstLine="480" w:firstLineChars="200"/>
        <w:rPr>
          <w:rFonts w:hint="eastAsia" w:ascii="宋体"/>
          <w:szCs w:val="21"/>
        </w:rPr>
      </w:pPr>
      <w:r>
        <w:rPr>
          <w:rFonts w:hint="eastAsia" w:ascii="宋体"/>
          <w:szCs w:val="21"/>
        </w:rPr>
        <w:t>1. 工程名称：                      ；</w:t>
      </w:r>
    </w:p>
    <w:p w14:paraId="4C00F2FE">
      <w:pPr>
        <w:spacing w:line="360" w:lineRule="auto"/>
        <w:ind w:firstLine="480" w:firstLineChars="200"/>
        <w:rPr>
          <w:rFonts w:hint="eastAsia" w:ascii="宋体"/>
          <w:szCs w:val="21"/>
        </w:rPr>
      </w:pPr>
      <w:r>
        <w:rPr>
          <w:rFonts w:hint="eastAsia" w:ascii="宋体"/>
          <w:szCs w:val="21"/>
        </w:rPr>
        <w:t>2. 工程地点：                    ；</w:t>
      </w:r>
    </w:p>
    <w:p w14:paraId="3124446C">
      <w:pPr>
        <w:spacing w:line="360" w:lineRule="auto"/>
        <w:ind w:firstLine="480" w:firstLineChars="200"/>
        <w:rPr>
          <w:rFonts w:hint="eastAsia" w:ascii="宋体"/>
          <w:szCs w:val="21"/>
        </w:rPr>
      </w:pPr>
      <w:r>
        <w:rPr>
          <w:rFonts w:hint="eastAsia" w:ascii="宋体"/>
          <w:szCs w:val="21"/>
        </w:rPr>
        <w:t>3. 工程规模：                             监理服务。</w:t>
      </w:r>
    </w:p>
    <w:p w14:paraId="344BEC6E">
      <w:pPr>
        <w:spacing w:line="360" w:lineRule="auto"/>
        <w:ind w:firstLine="480" w:firstLineChars="200"/>
        <w:rPr>
          <w:rFonts w:hint="eastAsia" w:ascii="宋体"/>
          <w:szCs w:val="21"/>
        </w:rPr>
      </w:pPr>
      <w:r>
        <w:rPr>
          <w:rFonts w:hint="eastAsia" w:ascii="宋体"/>
          <w:szCs w:val="21"/>
        </w:rPr>
        <w:t>二、词语限定</w:t>
      </w:r>
    </w:p>
    <w:p w14:paraId="2F2C8C4F">
      <w:pPr>
        <w:spacing w:line="360" w:lineRule="auto"/>
        <w:ind w:firstLine="480" w:firstLineChars="200"/>
        <w:rPr>
          <w:rFonts w:hint="eastAsia" w:ascii="宋体"/>
          <w:szCs w:val="21"/>
        </w:rPr>
      </w:pPr>
      <w:r>
        <w:rPr>
          <w:rFonts w:hint="eastAsia" w:ascii="宋体"/>
          <w:szCs w:val="21"/>
        </w:rPr>
        <w:t>协议书中相关词语的含义与通用条件中的定义与解释相同。</w:t>
      </w:r>
    </w:p>
    <w:p w14:paraId="50F4C637">
      <w:pPr>
        <w:spacing w:line="360" w:lineRule="auto"/>
        <w:ind w:firstLine="480" w:firstLineChars="200"/>
        <w:rPr>
          <w:rFonts w:hint="eastAsia" w:ascii="宋体"/>
          <w:szCs w:val="21"/>
        </w:rPr>
      </w:pPr>
      <w:r>
        <w:rPr>
          <w:rFonts w:hint="eastAsia" w:ascii="宋体"/>
          <w:szCs w:val="21"/>
        </w:rPr>
        <w:t>三、组成本合同的文件</w:t>
      </w:r>
    </w:p>
    <w:p w14:paraId="445986BD">
      <w:pPr>
        <w:spacing w:line="360" w:lineRule="auto"/>
        <w:ind w:firstLine="480" w:firstLineChars="200"/>
        <w:rPr>
          <w:rFonts w:hint="eastAsia" w:ascii="宋体"/>
          <w:szCs w:val="21"/>
        </w:rPr>
      </w:pPr>
      <w:r>
        <w:rPr>
          <w:rFonts w:hint="eastAsia" w:ascii="宋体"/>
          <w:szCs w:val="21"/>
        </w:rPr>
        <w:t>1. 协议书；</w:t>
      </w:r>
    </w:p>
    <w:p w14:paraId="712FCF15">
      <w:pPr>
        <w:spacing w:line="360" w:lineRule="auto"/>
        <w:ind w:firstLine="480" w:firstLineChars="200"/>
        <w:rPr>
          <w:rFonts w:hint="eastAsia" w:ascii="宋体"/>
          <w:szCs w:val="21"/>
        </w:rPr>
      </w:pPr>
      <w:r>
        <w:rPr>
          <w:rFonts w:hint="eastAsia" w:ascii="宋体"/>
          <w:szCs w:val="21"/>
        </w:rPr>
        <w:t>2. 中标通知书；</w:t>
      </w:r>
    </w:p>
    <w:p w14:paraId="63039AF6">
      <w:pPr>
        <w:spacing w:line="360" w:lineRule="auto"/>
        <w:ind w:firstLine="480" w:firstLineChars="200"/>
        <w:rPr>
          <w:rFonts w:hint="eastAsia" w:ascii="宋体"/>
          <w:szCs w:val="21"/>
        </w:rPr>
      </w:pPr>
      <w:r>
        <w:rPr>
          <w:rFonts w:hint="eastAsia" w:ascii="宋体"/>
          <w:szCs w:val="21"/>
        </w:rPr>
        <w:t>3. 投标文件；</w:t>
      </w:r>
    </w:p>
    <w:p w14:paraId="1DB413C4">
      <w:pPr>
        <w:spacing w:line="360" w:lineRule="auto"/>
        <w:ind w:firstLine="480" w:firstLineChars="200"/>
        <w:rPr>
          <w:rFonts w:hint="eastAsia" w:ascii="宋体"/>
          <w:szCs w:val="21"/>
        </w:rPr>
      </w:pPr>
      <w:r>
        <w:rPr>
          <w:rFonts w:hint="eastAsia" w:ascii="宋体"/>
          <w:szCs w:val="21"/>
        </w:rPr>
        <w:t xml:space="preserve">    4. 专用条件；</w:t>
      </w:r>
    </w:p>
    <w:p w14:paraId="55791BB0">
      <w:pPr>
        <w:spacing w:line="360" w:lineRule="auto"/>
        <w:ind w:firstLine="480" w:firstLineChars="200"/>
        <w:rPr>
          <w:rFonts w:hint="eastAsia" w:ascii="宋体"/>
          <w:szCs w:val="21"/>
        </w:rPr>
      </w:pPr>
      <w:r>
        <w:rPr>
          <w:rFonts w:hint="eastAsia" w:ascii="宋体"/>
          <w:szCs w:val="21"/>
        </w:rPr>
        <w:t>5. 通用条件；</w:t>
      </w:r>
    </w:p>
    <w:p w14:paraId="79C88382">
      <w:pPr>
        <w:spacing w:line="360" w:lineRule="auto"/>
        <w:ind w:firstLine="480" w:firstLineChars="200"/>
        <w:rPr>
          <w:rFonts w:hint="eastAsia" w:ascii="宋体"/>
          <w:szCs w:val="21"/>
        </w:rPr>
      </w:pPr>
      <w:r>
        <w:rPr>
          <w:rFonts w:hint="eastAsia" w:ascii="宋体"/>
          <w:szCs w:val="21"/>
        </w:rPr>
        <w:t>6. 委托人要求</w:t>
      </w:r>
    </w:p>
    <w:p w14:paraId="70B97C89">
      <w:pPr>
        <w:spacing w:line="360" w:lineRule="auto"/>
        <w:ind w:firstLine="480" w:firstLineChars="200"/>
        <w:rPr>
          <w:rFonts w:hint="eastAsia" w:ascii="宋体"/>
          <w:szCs w:val="21"/>
        </w:rPr>
      </w:pPr>
      <w:r>
        <w:rPr>
          <w:rFonts w:hint="eastAsia" w:ascii="宋体"/>
          <w:szCs w:val="21"/>
        </w:rPr>
        <w:t>7. 监理大纲</w:t>
      </w:r>
    </w:p>
    <w:p w14:paraId="00A748C0">
      <w:pPr>
        <w:spacing w:line="360" w:lineRule="auto"/>
        <w:ind w:firstLine="480" w:firstLineChars="200"/>
        <w:rPr>
          <w:rFonts w:hint="eastAsia" w:ascii="宋体"/>
          <w:szCs w:val="21"/>
        </w:rPr>
      </w:pPr>
      <w:r>
        <w:rPr>
          <w:rFonts w:hint="eastAsia" w:ascii="宋体"/>
          <w:szCs w:val="21"/>
        </w:rPr>
        <w:t>8. 附录，即：</w:t>
      </w:r>
    </w:p>
    <w:p w14:paraId="7DB4F025">
      <w:pPr>
        <w:spacing w:line="360" w:lineRule="auto"/>
        <w:ind w:firstLine="480" w:firstLineChars="200"/>
        <w:rPr>
          <w:rFonts w:hint="eastAsia" w:ascii="宋体"/>
          <w:szCs w:val="21"/>
        </w:rPr>
      </w:pPr>
      <w:r>
        <w:rPr>
          <w:rFonts w:hint="eastAsia" w:ascii="宋体"/>
          <w:szCs w:val="21"/>
        </w:rPr>
        <w:t>附录A  相关服务的范围和内容</w:t>
      </w:r>
    </w:p>
    <w:p w14:paraId="1E163D8D">
      <w:pPr>
        <w:spacing w:line="360" w:lineRule="auto"/>
        <w:ind w:firstLine="480" w:firstLineChars="200"/>
        <w:rPr>
          <w:rFonts w:hint="eastAsia" w:ascii="宋体"/>
          <w:szCs w:val="21"/>
        </w:rPr>
      </w:pPr>
      <w:r>
        <w:rPr>
          <w:rFonts w:hint="eastAsia" w:ascii="宋体"/>
          <w:szCs w:val="21"/>
        </w:rPr>
        <w:t>附录B  委托人派遣的人员和提供的房屋、资料、设备。</w:t>
      </w:r>
    </w:p>
    <w:p w14:paraId="24343415">
      <w:pPr>
        <w:spacing w:line="360" w:lineRule="auto"/>
        <w:ind w:firstLine="480" w:firstLineChars="200"/>
        <w:rPr>
          <w:rFonts w:hint="eastAsia" w:ascii="宋体"/>
          <w:szCs w:val="21"/>
        </w:rPr>
      </w:pPr>
      <w:r>
        <w:rPr>
          <w:rFonts w:hint="eastAsia" w:ascii="宋体"/>
          <w:szCs w:val="21"/>
        </w:rPr>
        <w:t>本合同签订后，双方依法签订的补充协议也是本合同文件的组成部分。</w:t>
      </w:r>
    </w:p>
    <w:p w14:paraId="6EDFB5BE">
      <w:pPr>
        <w:spacing w:line="360" w:lineRule="auto"/>
        <w:ind w:firstLine="480" w:firstLineChars="200"/>
        <w:rPr>
          <w:rFonts w:hint="eastAsia" w:ascii="宋体"/>
          <w:szCs w:val="21"/>
        </w:rPr>
      </w:pPr>
      <w:r>
        <w:rPr>
          <w:rFonts w:hint="eastAsia" w:ascii="宋体"/>
          <w:szCs w:val="21"/>
        </w:rPr>
        <w:t>四、总监理工程师</w:t>
      </w:r>
    </w:p>
    <w:p w14:paraId="12B9624B">
      <w:pPr>
        <w:spacing w:line="360" w:lineRule="auto"/>
        <w:ind w:firstLine="480" w:firstLineChars="200"/>
        <w:rPr>
          <w:rFonts w:hint="eastAsia" w:ascii="宋体"/>
          <w:szCs w:val="21"/>
        </w:rPr>
      </w:pPr>
      <w:r>
        <w:rPr>
          <w:rFonts w:hint="eastAsia" w:ascii="宋体"/>
          <w:szCs w:val="21"/>
        </w:rPr>
        <w:t>总监理工程师姓名：       ，身份证号码：         ，注册号：            。</w:t>
      </w:r>
    </w:p>
    <w:p w14:paraId="5A903DF1">
      <w:pPr>
        <w:spacing w:line="360" w:lineRule="auto"/>
        <w:ind w:firstLine="480" w:firstLineChars="200"/>
        <w:rPr>
          <w:rFonts w:hint="eastAsia" w:ascii="宋体"/>
          <w:szCs w:val="21"/>
        </w:rPr>
      </w:pPr>
      <w:r>
        <w:rPr>
          <w:rFonts w:hint="eastAsia" w:ascii="宋体"/>
          <w:szCs w:val="21"/>
        </w:rPr>
        <w:t>五、签约酬金</w:t>
      </w:r>
    </w:p>
    <w:p w14:paraId="6FB91618">
      <w:pPr>
        <w:spacing w:line="360" w:lineRule="auto"/>
        <w:ind w:firstLine="480" w:firstLineChars="200"/>
        <w:rPr>
          <w:rFonts w:hint="eastAsia" w:ascii="宋体"/>
          <w:szCs w:val="21"/>
        </w:rPr>
      </w:pPr>
      <w:r>
        <w:rPr>
          <w:rFonts w:hint="eastAsia" w:ascii="宋体"/>
          <w:szCs w:val="21"/>
        </w:rPr>
        <w:t>签约合同价（大写人民币</w:t>
      </w:r>
      <w:r>
        <w:rPr>
          <w:rFonts w:hint="eastAsia" w:ascii="宋体"/>
          <w:szCs w:val="21"/>
          <w:lang w:val="en-US" w:eastAsia="zh-CN"/>
        </w:rPr>
        <w:t xml:space="preserve">             </w:t>
      </w:r>
      <w:r>
        <w:rPr>
          <w:rFonts w:hint="eastAsia" w:ascii="宋体"/>
          <w:szCs w:val="21"/>
        </w:rPr>
        <w:t>）：（¥         ），以工程实际决算价为监理费最终结算依据。</w:t>
      </w:r>
    </w:p>
    <w:p w14:paraId="34363453">
      <w:pPr>
        <w:spacing w:line="360" w:lineRule="auto"/>
        <w:ind w:firstLine="480" w:firstLineChars="200"/>
        <w:rPr>
          <w:rFonts w:hint="eastAsia" w:ascii="宋体"/>
          <w:szCs w:val="21"/>
        </w:rPr>
      </w:pPr>
      <w:r>
        <w:rPr>
          <w:rFonts w:hint="eastAsia" w:ascii="宋体"/>
          <w:szCs w:val="21"/>
        </w:rPr>
        <w:t>备注：监理费包括但不限于完成本合同所需的包含基本工资、加班费、补贴、劳保费、保险费、试验费、医疗费、差旅费、交通费、办公住宿费、配合费、管理费、资料费、税费、必要的监理检测设备费等一切费用在内）。</w:t>
      </w:r>
    </w:p>
    <w:p w14:paraId="6701679B">
      <w:pPr>
        <w:spacing w:line="360" w:lineRule="auto"/>
        <w:ind w:firstLine="480" w:firstLineChars="200"/>
        <w:rPr>
          <w:rFonts w:hint="eastAsia" w:ascii="宋体"/>
          <w:szCs w:val="21"/>
        </w:rPr>
      </w:pPr>
      <w:r>
        <w:rPr>
          <w:rFonts w:hint="eastAsia" w:ascii="宋体"/>
          <w:szCs w:val="21"/>
        </w:rPr>
        <w:t>六、期限</w:t>
      </w:r>
    </w:p>
    <w:p w14:paraId="7F0F9B3F">
      <w:pPr>
        <w:spacing w:line="360" w:lineRule="auto"/>
        <w:ind w:firstLine="480" w:firstLineChars="200"/>
        <w:rPr>
          <w:rFonts w:hint="eastAsia" w:ascii="宋体"/>
          <w:szCs w:val="21"/>
        </w:rPr>
      </w:pPr>
      <w:r>
        <w:rPr>
          <w:rFonts w:hint="eastAsia" w:ascii="宋体"/>
          <w:szCs w:val="21"/>
        </w:rPr>
        <w:t>1. 监理期限：</w:t>
      </w:r>
    </w:p>
    <w:p w14:paraId="4352A8B0">
      <w:pPr>
        <w:spacing w:line="360" w:lineRule="auto"/>
        <w:ind w:firstLine="480" w:firstLineChars="200"/>
        <w:rPr>
          <w:rFonts w:hint="eastAsia" w:ascii="宋体"/>
          <w:szCs w:val="21"/>
        </w:rPr>
      </w:pPr>
      <w:r>
        <w:rPr>
          <w:rFonts w:hint="eastAsia" w:ascii="宋体"/>
          <w:szCs w:val="21"/>
        </w:rPr>
        <w:t>监理服务期限=项目建设期，监理期限具体起始时间以开工报告为准，施工准备期和工程收尾期不计入监理期限内。</w:t>
      </w:r>
    </w:p>
    <w:p w14:paraId="0EEB1C8E">
      <w:pPr>
        <w:spacing w:line="360" w:lineRule="auto"/>
        <w:ind w:firstLine="480" w:firstLineChars="200"/>
        <w:rPr>
          <w:rFonts w:hint="eastAsia" w:ascii="宋体"/>
          <w:szCs w:val="21"/>
        </w:rPr>
      </w:pPr>
      <w:r>
        <w:rPr>
          <w:rFonts w:hint="eastAsia" w:ascii="宋体"/>
          <w:szCs w:val="21"/>
        </w:rPr>
        <w:t>2. 相关服务期限：</w:t>
      </w:r>
    </w:p>
    <w:p w14:paraId="08E267B2">
      <w:pPr>
        <w:spacing w:line="360" w:lineRule="auto"/>
        <w:ind w:firstLine="480" w:firstLineChars="200"/>
        <w:rPr>
          <w:rFonts w:hint="eastAsia" w:ascii="宋体"/>
          <w:szCs w:val="21"/>
        </w:rPr>
      </w:pPr>
      <w:r>
        <w:rPr>
          <w:rFonts w:hint="eastAsia" w:ascii="宋体"/>
          <w:szCs w:val="21"/>
        </w:rPr>
        <w:t>（1）勘察阶段服务期限自      年     月     日始，至      年     月     日止。</w:t>
      </w:r>
    </w:p>
    <w:p w14:paraId="4C56AC7D">
      <w:pPr>
        <w:spacing w:line="360" w:lineRule="auto"/>
        <w:ind w:firstLine="480" w:firstLineChars="200"/>
        <w:rPr>
          <w:rFonts w:hint="eastAsia" w:ascii="宋体"/>
          <w:szCs w:val="21"/>
        </w:rPr>
      </w:pPr>
      <w:r>
        <w:rPr>
          <w:rFonts w:hint="eastAsia" w:ascii="宋体"/>
          <w:szCs w:val="21"/>
        </w:rPr>
        <w:t>（2）设计阶段服务期限自      年     月     日始，至      年     月     日止。</w:t>
      </w:r>
    </w:p>
    <w:p w14:paraId="58E5FD20">
      <w:pPr>
        <w:spacing w:line="360" w:lineRule="auto"/>
        <w:ind w:firstLine="480" w:firstLineChars="200"/>
        <w:rPr>
          <w:rFonts w:hint="eastAsia" w:ascii="宋体"/>
          <w:szCs w:val="21"/>
        </w:rPr>
      </w:pPr>
      <w:r>
        <w:rPr>
          <w:rFonts w:hint="eastAsia" w:ascii="宋体"/>
          <w:szCs w:val="21"/>
        </w:rPr>
        <w:t xml:space="preserve">（3）施工阶段服务期限自     年      月      日始，至     年    </w:t>
      </w:r>
      <w:r>
        <w:rPr>
          <w:rFonts w:hint="eastAsia" w:ascii="宋体"/>
          <w:szCs w:val="21"/>
          <w:lang w:val="en-US" w:eastAsia="zh-CN"/>
        </w:rPr>
        <w:t xml:space="preserve"> </w:t>
      </w:r>
      <w:r>
        <w:rPr>
          <w:rFonts w:hint="eastAsia" w:ascii="宋体"/>
          <w:szCs w:val="21"/>
        </w:rPr>
        <w:t>月     日止。</w:t>
      </w:r>
    </w:p>
    <w:p w14:paraId="2DE0922E">
      <w:pPr>
        <w:spacing w:line="360" w:lineRule="auto"/>
        <w:ind w:firstLine="480" w:firstLineChars="200"/>
        <w:rPr>
          <w:rFonts w:hint="eastAsia" w:ascii="宋体"/>
          <w:szCs w:val="21"/>
        </w:rPr>
      </w:pPr>
      <w:r>
        <w:rPr>
          <w:rFonts w:hint="eastAsia" w:ascii="宋体"/>
          <w:szCs w:val="21"/>
        </w:rPr>
        <w:t>（4）保修阶段服务期限自      年     月     日始，至      年     月     日止。</w:t>
      </w:r>
    </w:p>
    <w:p w14:paraId="219A626D">
      <w:pPr>
        <w:spacing w:line="360" w:lineRule="auto"/>
        <w:ind w:firstLine="480" w:firstLineChars="200"/>
        <w:rPr>
          <w:rFonts w:hint="eastAsia" w:ascii="宋体"/>
          <w:szCs w:val="21"/>
        </w:rPr>
      </w:pPr>
      <w:r>
        <w:rPr>
          <w:rFonts w:hint="eastAsia" w:ascii="宋体"/>
          <w:szCs w:val="21"/>
        </w:rPr>
        <w:t>（5）其他相关服务期限自      年     月     日始，至      年     月     日止。</w:t>
      </w:r>
    </w:p>
    <w:p w14:paraId="3CB7FAC1">
      <w:pPr>
        <w:spacing w:line="360" w:lineRule="auto"/>
        <w:ind w:firstLine="480" w:firstLineChars="200"/>
        <w:rPr>
          <w:rFonts w:hint="eastAsia" w:ascii="宋体"/>
          <w:szCs w:val="21"/>
        </w:rPr>
      </w:pPr>
      <w:r>
        <w:rPr>
          <w:rFonts w:hint="eastAsia" w:ascii="宋体"/>
          <w:szCs w:val="21"/>
        </w:rPr>
        <w:t>七、双方承诺</w:t>
      </w:r>
    </w:p>
    <w:p w14:paraId="57F690EF">
      <w:pPr>
        <w:spacing w:line="360" w:lineRule="auto"/>
        <w:ind w:firstLine="480" w:firstLineChars="200"/>
        <w:rPr>
          <w:rFonts w:hint="eastAsia" w:ascii="宋体"/>
          <w:szCs w:val="21"/>
        </w:rPr>
      </w:pPr>
      <w:r>
        <w:rPr>
          <w:rFonts w:hint="eastAsia" w:ascii="宋体"/>
          <w:szCs w:val="21"/>
        </w:rPr>
        <w:t>1. 监理人向委托人承诺，按照本合同约定提供监理与相关服务。</w:t>
      </w:r>
    </w:p>
    <w:p w14:paraId="564AFCE7">
      <w:pPr>
        <w:spacing w:line="360" w:lineRule="auto"/>
        <w:ind w:firstLine="480" w:firstLineChars="200"/>
        <w:rPr>
          <w:rFonts w:hint="eastAsia" w:ascii="宋体"/>
          <w:szCs w:val="21"/>
        </w:rPr>
      </w:pPr>
      <w:r>
        <w:rPr>
          <w:rFonts w:hint="eastAsia" w:ascii="宋体"/>
          <w:szCs w:val="21"/>
        </w:rPr>
        <w:t>2. 委托人向监理人承诺，按照本合同约定派遣相应的人员，并按约定支付酬金。房屋、资料（不含施工图纸）、设备由监理人自行解决。</w:t>
      </w:r>
    </w:p>
    <w:p w14:paraId="5BCB1AE1">
      <w:pPr>
        <w:spacing w:line="360" w:lineRule="auto"/>
        <w:ind w:firstLine="480" w:firstLineChars="200"/>
        <w:rPr>
          <w:rFonts w:hint="eastAsia" w:ascii="宋体"/>
          <w:szCs w:val="21"/>
        </w:rPr>
      </w:pPr>
      <w:r>
        <w:rPr>
          <w:rFonts w:hint="eastAsia" w:ascii="宋体"/>
          <w:szCs w:val="21"/>
        </w:rPr>
        <w:t>八、合同订立</w:t>
      </w:r>
    </w:p>
    <w:p w14:paraId="6D6A6112">
      <w:pPr>
        <w:spacing w:line="360" w:lineRule="auto"/>
        <w:ind w:firstLine="480" w:firstLineChars="200"/>
        <w:rPr>
          <w:rFonts w:hint="eastAsia" w:ascii="宋体"/>
          <w:szCs w:val="21"/>
        </w:rPr>
      </w:pPr>
      <w:r>
        <w:rPr>
          <w:rFonts w:hint="eastAsia" w:ascii="宋体"/>
          <w:szCs w:val="21"/>
        </w:rPr>
        <w:t>1. 订立时间：    年    月     日。</w:t>
      </w:r>
    </w:p>
    <w:p w14:paraId="31A4801A">
      <w:pPr>
        <w:spacing w:line="360" w:lineRule="auto"/>
        <w:ind w:firstLine="480" w:firstLineChars="200"/>
        <w:rPr>
          <w:rFonts w:hint="eastAsia" w:ascii="宋体"/>
          <w:szCs w:val="21"/>
        </w:rPr>
      </w:pPr>
      <w:r>
        <w:rPr>
          <w:rFonts w:hint="eastAsia" w:ascii="宋体"/>
          <w:szCs w:val="21"/>
        </w:rPr>
        <w:t>2. 订立地点：</w:t>
      </w:r>
    </w:p>
    <w:p w14:paraId="7A850005">
      <w:pPr>
        <w:spacing w:line="360" w:lineRule="auto"/>
        <w:ind w:firstLine="480" w:firstLineChars="200"/>
        <w:rPr>
          <w:rFonts w:hint="eastAsia" w:ascii="宋体"/>
          <w:szCs w:val="21"/>
        </w:rPr>
      </w:pPr>
      <w:r>
        <w:rPr>
          <w:rFonts w:hint="eastAsia" w:ascii="宋体"/>
          <w:szCs w:val="21"/>
        </w:rPr>
        <w:t>3. 本合同一式 捌 份，具有同等法律效力，甲方执 陆 份，乙方执 贰 份。</w:t>
      </w:r>
    </w:p>
    <w:p w14:paraId="7167C29F">
      <w:pPr>
        <w:spacing w:line="360" w:lineRule="auto"/>
        <w:ind w:firstLine="480" w:firstLineChars="200"/>
        <w:rPr>
          <w:rFonts w:hint="eastAsia" w:ascii="宋体"/>
          <w:szCs w:val="21"/>
        </w:rPr>
      </w:pPr>
    </w:p>
    <w:p w14:paraId="50037D4A">
      <w:pPr>
        <w:spacing w:line="360" w:lineRule="auto"/>
        <w:ind w:firstLine="480" w:firstLineChars="200"/>
        <w:rPr>
          <w:rFonts w:hint="eastAsia" w:ascii="宋体"/>
          <w:szCs w:val="21"/>
        </w:rPr>
      </w:pPr>
    </w:p>
    <w:p w14:paraId="701AD169">
      <w:pPr>
        <w:spacing w:line="360" w:lineRule="auto"/>
        <w:ind w:firstLine="480" w:firstLineChars="200"/>
        <w:rPr>
          <w:rFonts w:hint="eastAsia" w:ascii="宋体"/>
          <w:szCs w:val="21"/>
        </w:rPr>
      </w:pPr>
    </w:p>
    <w:p w14:paraId="613E2F9D">
      <w:pPr>
        <w:spacing w:line="360" w:lineRule="auto"/>
        <w:rPr>
          <w:rFonts w:hint="eastAsia" w:ascii="宋体"/>
          <w:szCs w:val="21"/>
        </w:rPr>
      </w:pPr>
    </w:p>
    <w:p w14:paraId="30496677">
      <w:pPr>
        <w:spacing w:line="360" w:lineRule="auto"/>
        <w:ind w:firstLine="480" w:firstLineChars="200"/>
        <w:rPr>
          <w:rFonts w:hint="eastAsia" w:ascii="宋体"/>
          <w:szCs w:val="21"/>
        </w:rPr>
      </w:pPr>
      <w:r>
        <w:rPr>
          <w:rFonts w:hint="eastAsia" w:ascii="宋体"/>
          <w:szCs w:val="21"/>
        </w:rPr>
        <w:t xml:space="preserve">委托人：   （盖章）                   监理人：   （盖章）    </w:t>
      </w:r>
    </w:p>
    <w:p w14:paraId="41459370">
      <w:pPr>
        <w:spacing w:line="360" w:lineRule="auto"/>
        <w:ind w:firstLine="480" w:firstLineChars="200"/>
        <w:rPr>
          <w:rFonts w:hint="eastAsia" w:ascii="宋体"/>
          <w:szCs w:val="21"/>
        </w:rPr>
      </w:pPr>
      <w:r>
        <w:rPr>
          <w:rFonts w:hint="eastAsia" w:ascii="宋体"/>
          <w:szCs w:val="21"/>
        </w:rPr>
        <w:t xml:space="preserve">住所：                                住所： </w:t>
      </w:r>
    </w:p>
    <w:p w14:paraId="708F0B2A">
      <w:pPr>
        <w:spacing w:line="360" w:lineRule="auto"/>
        <w:ind w:firstLine="480" w:firstLineChars="200"/>
        <w:rPr>
          <w:rFonts w:hint="eastAsia" w:ascii="宋体"/>
          <w:szCs w:val="21"/>
        </w:rPr>
      </w:pPr>
      <w:r>
        <w:rPr>
          <w:rFonts w:hint="eastAsia" w:ascii="宋体"/>
          <w:szCs w:val="21"/>
        </w:rPr>
        <w:t>邮政编码：                            邮政编码：</w:t>
      </w:r>
    </w:p>
    <w:p w14:paraId="630CE5A0">
      <w:pPr>
        <w:spacing w:line="360" w:lineRule="auto"/>
        <w:ind w:firstLine="480" w:firstLineChars="200"/>
        <w:rPr>
          <w:rFonts w:hint="eastAsia" w:ascii="宋体"/>
          <w:szCs w:val="21"/>
        </w:rPr>
      </w:pPr>
      <w:r>
        <w:rPr>
          <w:rFonts w:hint="eastAsia" w:ascii="宋体"/>
          <w:szCs w:val="21"/>
        </w:rPr>
        <w:t>法定代表人或其授权                    法定代表人或其授权</w:t>
      </w:r>
    </w:p>
    <w:p w14:paraId="7D30E723">
      <w:pPr>
        <w:spacing w:line="360" w:lineRule="auto"/>
        <w:ind w:firstLine="480" w:firstLineChars="200"/>
        <w:rPr>
          <w:rFonts w:hint="eastAsia" w:ascii="宋体"/>
          <w:szCs w:val="21"/>
        </w:rPr>
      </w:pPr>
      <w:r>
        <w:rPr>
          <w:rFonts w:hint="eastAsia" w:ascii="宋体"/>
          <w:szCs w:val="21"/>
        </w:rPr>
        <w:t xml:space="preserve">的代理人：（签字）                    的代理人：（签字）        </w:t>
      </w:r>
    </w:p>
    <w:p w14:paraId="4AF1F022">
      <w:pPr>
        <w:spacing w:line="360" w:lineRule="auto"/>
        <w:ind w:firstLine="480" w:firstLineChars="200"/>
        <w:rPr>
          <w:rFonts w:hint="eastAsia" w:ascii="宋体"/>
          <w:szCs w:val="21"/>
        </w:rPr>
      </w:pPr>
      <w:r>
        <w:rPr>
          <w:rFonts w:hint="eastAsia" w:ascii="宋体"/>
          <w:szCs w:val="21"/>
        </w:rPr>
        <w:t>开户银行：                            开户银行：</w:t>
      </w:r>
    </w:p>
    <w:p w14:paraId="58573540">
      <w:pPr>
        <w:spacing w:line="360" w:lineRule="auto"/>
        <w:ind w:firstLine="480" w:firstLineChars="200"/>
        <w:rPr>
          <w:rFonts w:hint="eastAsia" w:ascii="宋体"/>
          <w:szCs w:val="21"/>
        </w:rPr>
      </w:pPr>
      <w:r>
        <w:rPr>
          <w:rFonts w:hint="eastAsia" w:ascii="宋体"/>
          <w:szCs w:val="21"/>
        </w:rPr>
        <w:t>账号：                                账号：</w:t>
      </w:r>
    </w:p>
    <w:p w14:paraId="782210F9">
      <w:pPr>
        <w:spacing w:line="360" w:lineRule="auto"/>
        <w:ind w:firstLine="480" w:firstLineChars="200"/>
        <w:rPr>
          <w:rFonts w:hint="eastAsia" w:ascii="宋体"/>
          <w:szCs w:val="21"/>
        </w:rPr>
      </w:pPr>
      <w:r>
        <w:rPr>
          <w:rFonts w:hint="eastAsia" w:ascii="宋体"/>
          <w:szCs w:val="21"/>
        </w:rPr>
        <w:t>电话：                                电话：</w:t>
      </w:r>
    </w:p>
    <w:p w14:paraId="7A427AAC">
      <w:pPr>
        <w:spacing w:line="360" w:lineRule="auto"/>
        <w:ind w:firstLine="480" w:firstLineChars="200"/>
        <w:rPr>
          <w:rFonts w:hint="eastAsia" w:ascii="宋体"/>
          <w:szCs w:val="21"/>
        </w:rPr>
      </w:pPr>
      <w:r>
        <w:rPr>
          <w:rFonts w:hint="eastAsia" w:ascii="宋体"/>
          <w:szCs w:val="21"/>
        </w:rPr>
        <w:t>传真：                                传真：</w:t>
      </w:r>
    </w:p>
    <w:p w14:paraId="3F39FC47">
      <w:pPr>
        <w:spacing w:line="360" w:lineRule="auto"/>
        <w:ind w:firstLine="480" w:firstLineChars="200"/>
        <w:rPr>
          <w:rFonts w:hint="eastAsia" w:ascii="宋体"/>
          <w:szCs w:val="21"/>
        </w:rPr>
      </w:pPr>
      <w:r>
        <w:rPr>
          <w:rFonts w:hint="eastAsia" w:ascii="宋体"/>
          <w:szCs w:val="21"/>
        </w:rPr>
        <w:t>电子邮箱：                            电子邮箱：</w:t>
      </w:r>
    </w:p>
    <w:p w14:paraId="47CE5594">
      <w:pPr>
        <w:spacing w:line="360" w:lineRule="auto"/>
        <w:ind w:firstLine="480" w:firstLineChars="200"/>
        <w:rPr>
          <w:rFonts w:hint="eastAsia" w:ascii="宋体"/>
          <w:szCs w:val="21"/>
        </w:rPr>
      </w:pPr>
    </w:p>
    <w:p w14:paraId="035076DB">
      <w:pPr>
        <w:rPr>
          <w:rFonts w:hint="eastAsia" w:ascii="宋体"/>
          <w:b/>
          <w:bCs/>
          <w:szCs w:val="21"/>
        </w:rPr>
      </w:pPr>
      <w:r>
        <w:rPr>
          <w:rFonts w:hint="eastAsia" w:ascii="宋体"/>
          <w:b/>
          <w:bCs/>
          <w:szCs w:val="21"/>
        </w:rPr>
        <w:br w:type="page"/>
      </w:r>
    </w:p>
    <w:p w14:paraId="43E4B920">
      <w:pPr>
        <w:spacing w:line="360" w:lineRule="auto"/>
        <w:ind w:firstLine="482" w:firstLineChars="200"/>
        <w:jc w:val="center"/>
        <w:rPr>
          <w:rFonts w:hint="eastAsia" w:ascii="宋体"/>
          <w:b/>
          <w:bCs/>
          <w:szCs w:val="21"/>
        </w:rPr>
      </w:pPr>
      <w:r>
        <w:rPr>
          <w:rFonts w:hint="eastAsia" w:ascii="宋体"/>
          <w:b/>
          <w:bCs/>
          <w:szCs w:val="21"/>
        </w:rPr>
        <w:t>第二部分  通用条件</w:t>
      </w:r>
    </w:p>
    <w:p w14:paraId="3F2816D9">
      <w:pPr>
        <w:spacing w:line="360" w:lineRule="auto"/>
        <w:ind w:firstLine="480" w:firstLineChars="200"/>
        <w:rPr>
          <w:rFonts w:hint="eastAsia" w:ascii="宋体"/>
          <w:szCs w:val="21"/>
        </w:rPr>
      </w:pPr>
      <w:r>
        <w:rPr>
          <w:rFonts w:hint="eastAsia" w:ascii="宋体"/>
          <w:szCs w:val="21"/>
        </w:rPr>
        <w:t>1. 定义与解释</w:t>
      </w:r>
    </w:p>
    <w:p w14:paraId="3F38BFDA">
      <w:pPr>
        <w:spacing w:line="360" w:lineRule="auto"/>
        <w:ind w:firstLine="480" w:firstLineChars="200"/>
        <w:rPr>
          <w:rFonts w:hint="eastAsia" w:ascii="宋体"/>
          <w:szCs w:val="21"/>
        </w:rPr>
      </w:pPr>
      <w:r>
        <w:rPr>
          <w:rFonts w:hint="eastAsia" w:ascii="宋体"/>
          <w:szCs w:val="21"/>
        </w:rPr>
        <w:t>1.1 定义</w:t>
      </w:r>
    </w:p>
    <w:p w14:paraId="066BDC52">
      <w:pPr>
        <w:spacing w:line="360" w:lineRule="auto"/>
        <w:ind w:firstLine="480" w:firstLineChars="200"/>
        <w:rPr>
          <w:rFonts w:hint="eastAsia" w:ascii="宋体"/>
          <w:szCs w:val="21"/>
        </w:rPr>
      </w:pPr>
      <w:r>
        <w:rPr>
          <w:rFonts w:hint="eastAsia" w:ascii="宋体"/>
          <w:szCs w:val="21"/>
        </w:rPr>
        <w:t>除根据上下文另有其意义外，组成本合同的全部文件中的下列名词和用语应具有本款所赋予的含义：</w:t>
      </w:r>
    </w:p>
    <w:p w14:paraId="5BB10613">
      <w:pPr>
        <w:spacing w:line="360" w:lineRule="auto"/>
        <w:ind w:firstLine="480" w:firstLineChars="200"/>
        <w:rPr>
          <w:rFonts w:hint="eastAsia" w:ascii="宋体"/>
          <w:szCs w:val="21"/>
        </w:rPr>
      </w:pPr>
      <w:r>
        <w:rPr>
          <w:rFonts w:hint="eastAsia" w:ascii="宋体"/>
          <w:szCs w:val="21"/>
        </w:rPr>
        <w:t>1.1.1 “工程”是指按照本合同约定实施监理与相关服务的建设工程。</w:t>
      </w:r>
    </w:p>
    <w:p w14:paraId="0E22ACB6">
      <w:pPr>
        <w:spacing w:line="360" w:lineRule="auto"/>
        <w:ind w:firstLine="480" w:firstLineChars="200"/>
        <w:rPr>
          <w:rFonts w:hint="eastAsia" w:ascii="宋体"/>
          <w:szCs w:val="21"/>
        </w:rPr>
      </w:pPr>
      <w:r>
        <w:rPr>
          <w:rFonts w:hint="eastAsia" w:ascii="宋体"/>
          <w:szCs w:val="21"/>
        </w:rPr>
        <w:t>1.1.2 “委托人”是指本合同中委托监理与相关服务的一方，及其合法的继承人或受让人。</w:t>
      </w:r>
    </w:p>
    <w:p w14:paraId="56A02762">
      <w:pPr>
        <w:spacing w:line="360" w:lineRule="auto"/>
        <w:ind w:firstLine="480" w:firstLineChars="200"/>
        <w:rPr>
          <w:rFonts w:hint="eastAsia" w:ascii="宋体"/>
          <w:szCs w:val="21"/>
        </w:rPr>
      </w:pPr>
      <w:r>
        <w:rPr>
          <w:rFonts w:hint="eastAsia" w:ascii="宋体"/>
          <w:szCs w:val="21"/>
        </w:rPr>
        <w:t>1.1.3 “监理人”是指本合同中提供监理与相关服务的一方，及其合法的继承人。</w:t>
      </w:r>
    </w:p>
    <w:p w14:paraId="160AA779">
      <w:pPr>
        <w:spacing w:line="360" w:lineRule="auto"/>
        <w:ind w:firstLine="480" w:firstLineChars="200"/>
        <w:rPr>
          <w:rFonts w:hint="eastAsia" w:ascii="宋体"/>
          <w:szCs w:val="21"/>
        </w:rPr>
      </w:pPr>
      <w:r>
        <w:rPr>
          <w:rFonts w:hint="eastAsia" w:ascii="宋体"/>
          <w:szCs w:val="21"/>
        </w:rPr>
        <w:t>1.1.4 “承包人”是指在工程范围内与委托人签订勘察、设计、施工等有关合同的当事人，及其合法的继承人。</w:t>
      </w:r>
    </w:p>
    <w:p w14:paraId="46F81CEF">
      <w:pPr>
        <w:spacing w:line="360" w:lineRule="auto"/>
        <w:ind w:firstLine="480" w:firstLineChars="200"/>
        <w:rPr>
          <w:rFonts w:hint="eastAsia" w:ascii="宋体"/>
          <w:szCs w:val="21"/>
        </w:rPr>
      </w:pPr>
      <w:r>
        <w:rPr>
          <w:rFonts w:hint="eastAsia" w:ascii="宋体"/>
          <w:szCs w:val="21"/>
        </w:rPr>
        <w:t>1.1.5 “监理”是指监理人受委托人的委托 ，依照法律法规、工程建设标准、勘察设计文件及合同，在施工阶段对建设工程质量、进度、造价进行控制，对合同、信息进行管理，对工程建设相关方的关系进行协调，并履行建设工程安全生产管理法定职责的服务活动。</w:t>
      </w:r>
    </w:p>
    <w:p w14:paraId="5E93940A">
      <w:pPr>
        <w:spacing w:line="360" w:lineRule="auto"/>
        <w:ind w:firstLine="480" w:firstLineChars="200"/>
        <w:rPr>
          <w:rFonts w:hint="eastAsia" w:ascii="宋体"/>
          <w:szCs w:val="21"/>
        </w:rPr>
      </w:pPr>
      <w:r>
        <w:rPr>
          <w:rFonts w:hint="eastAsia" w:ascii="宋体"/>
          <w:szCs w:val="21"/>
        </w:rPr>
        <w:t>1.1.6 “相关服务”是指监理人受委托人的委托 ，按照本合同约定，在勘察、设计、保修等阶段提供的服务活动。</w:t>
      </w:r>
    </w:p>
    <w:p w14:paraId="7F0D3090">
      <w:pPr>
        <w:spacing w:line="360" w:lineRule="auto"/>
        <w:ind w:firstLine="480" w:firstLineChars="200"/>
        <w:rPr>
          <w:rFonts w:hint="eastAsia" w:ascii="宋体"/>
          <w:szCs w:val="21"/>
        </w:rPr>
      </w:pPr>
      <w:r>
        <w:rPr>
          <w:rFonts w:hint="eastAsia" w:ascii="宋体"/>
          <w:szCs w:val="21"/>
        </w:rPr>
        <w:t>1.1.7 “正常工作”指本合同订立时通用条件和专用条件中约定的监理人的工作。</w:t>
      </w:r>
    </w:p>
    <w:p w14:paraId="1C8D501E">
      <w:pPr>
        <w:spacing w:line="360" w:lineRule="auto"/>
        <w:ind w:firstLine="480" w:firstLineChars="200"/>
        <w:rPr>
          <w:rFonts w:hint="eastAsia" w:ascii="宋体"/>
          <w:szCs w:val="21"/>
        </w:rPr>
      </w:pPr>
      <w:r>
        <w:rPr>
          <w:rFonts w:hint="eastAsia" w:ascii="宋体"/>
          <w:szCs w:val="21"/>
        </w:rPr>
        <w:t>1.1.8 “附加工作”是指本合同约定的正常工作以外监理人的工作。</w:t>
      </w:r>
    </w:p>
    <w:p w14:paraId="2E6E5C05">
      <w:pPr>
        <w:spacing w:line="360" w:lineRule="auto"/>
        <w:ind w:firstLine="480" w:firstLineChars="200"/>
        <w:rPr>
          <w:rFonts w:hint="eastAsia" w:ascii="宋体"/>
          <w:szCs w:val="21"/>
        </w:rPr>
      </w:pPr>
      <w:r>
        <w:rPr>
          <w:rFonts w:hint="eastAsia" w:ascii="宋体"/>
          <w:szCs w:val="21"/>
        </w:rPr>
        <w:t>1.1.9 “项目监理机构”是指监理人派驻工程负责履行本合同的组织机构。</w:t>
      </w:r>
    </w:p>
    <w:p w14:paraId="54E09C4F">
      <w:pPr>
        <w:spacing w:line="360" w:lineRule="auto"/>
        <w:ind w:firstLine="480" w:firstLineChars="200"/>
        <w:rPr>
          <w:rFonts w:hint="eastAsia" w:ascii="宋体"/>
          <w:szCs w:val="21"/>
        </w:rPr>
      </w:pPr>
      <w:r>
        <w:rPr>
          <w:rFonts w:hint="eastAsia" w:ascii="宋体"/>
          <w:szCs w:val="21"/>
        </w:rPr>
        <w:t>1.1.10 “总监理工程师”是指由监理人的法定代表人书面授权，全面负责履行本合同、主持项目监理机构工作的注册监理工程师。</w:t>
      </w:r>
    </w:p>
    <w:p w14:paraId="1EDA0E13">
      <w:pPr>
        <w:spacing w:line="360" w:lineRule="auto"/>
        <w:ind w:firstLine="480" w:firstLineChars="200"/>
        <w:rPr>
          <w:rFonts w:hint="eastAsia" w:ascii="宋体"/>
          <w:szCs w:val="21"/>
        </w:rPr>
      </w:pPr>
      <w:r>
        <w:rPr>
          <w:rFonts w:hint="eastAsia" w:ascii="宋体"/>
          <w:szCs w:val="21"/>
        </w:rPr>
        <w:t>1.1.11 “酬金”是指监理人履行本合同义务，委托人按照本合同约定给付监理人的金额。</w:t>
      </w:r>
    </w:p>
    <w:p w14:paraId="292B3298">
      <w:pPr>
        <w:spacing w:line="360" w:lineRule="auto"/>
        <w:ind w:firstLine="480" w:firstLineChars="200"/>
        <w:rPr>
          <w:rFonts w:hint="eastAsia" w:ascii="宋体"/>
          <w:szCs w:val="21"/>
        </w:rPr>
      </w:pPr>
      <w:r>
        <w:rPr>
          <w:rFonts w:hint="eastAsia" w:ascii="宋体"/>
          <w:szCs w:val="21"/>
        </w:rPr>
        <w:t>1.1.12 “正常工作酬金”是指监理人完成正常工作，委托人应给付监理人并在协议书中载明的签约酬金额。</w:t>
      </w:r>
    </w:p>
    <w:p w14:paraId="1099621F">
      <w:pPr>
        <w:spacing w:line="360" w:lineRule="auto"/>
        <w:ind w:firstLine="480" w:firstLineChars="200"/>
        <w:rPr>
          <w:rFonts w:hint="eastAsia" w:ascii="宋体"/>
          <w:szCs w:val="21"/>
        </w:rPr>
      </w:pPr>
      <w:r>
        <w:rPr>
          <w:rFonts w:hint="eastAsia" w:ascii="宋体"/>
          <w:szCs w:val="21"/>
        </w:rPr>
        <w:t>1.1.13 “附加工作酬金”是指监理人完成附加工作，委托人应给付监理人的金额。</w:t>
      </w:r>
    </w:p>
    <w:p w14:paraId="4E8A84C7">
      <w:pPr>
        <w:spacing w:line="360" w:lineRule="auto"/>
        <w:ind w:firstLine="480" w:firstLineChars="200"/>
        <w:rPr>
          <w:rFonts w:hint="eastAsia" w:ascii="宋体"/>
          <w:szCs w:val="21"/>
        </w:rPr>
      </w:pPr>
      <w:r>
        <w:rPr>
          <w:rFonts w:hint="eastAsia" w:ascii="宋体"/>
          <w:szCs w:val="21"/>
        </w:rPr>
        <w:t>1.1.14 “一方”是指委托人或监理人；“双方”是指委托人和监理人；“第三方”是指除委托人和监理人以外的有关方。</w:t>
      </w:r>
    </w:p>
    <w:p w14:paraId="3E0D3F23">
      <w:pPr>
        <w:spacing w:line="360" w:lineRule="auto"/>
        <w:ind w:firstLine="480" w:firstLineChars="200"/>
        <w:rPr>
          <w:rFonts w:hint="eastAsia" w:ascii="宋体"/>
          <w:szCs w:val="21"/>
        </w:rPr>
      </w:pPr>
      <w:r>
        <w:rPr>
          <w:rFonts w:hint="eastAsia" w:ascii="宋体"/>
          <w:szCs w:val="21"/>
        </w:rPr>
        <w:t>1.1.15 “书面形式”是指合同书、信件和数据电文（包括电报、电传、传真、电子数据交换和电子邮件）等可以有形地表现所载内容的形式。</w:t>
      </w:r>
    </w:p>
    <w:p w14:paraId="7918325B">
      <w:pPr>
        <w:spacing w:line="360" w:lineRule="auto"/>
        <w:ind w:firstLine="480" w:firstLineChars="200"/>
        <w:rPr>
          <w:rFonts w:hint="eastAsia" w:ascii="宋体"/>
          <w:szCs w:val="21"/>
        </w:rPr>
      </w:pPr>
      <w:r>
        <w:rPr>
          <w:rFonts w:hint="eastAsia" w:ascii="宋体"/>
          <w:szCs w:val="21"/>
        </w:rPr>
        <w:t>1.1.16 “天”是指第一天零时至第二天零时的时间。</w:t>
      </w:r>
    </w:p>
    <w:p w14:paraId="0D0758AE">
      <w:pPr>
        <w:spacing w:line="360" w:lineRule="auto"/>
        <w:ind w:firstLine="480" w:firstLineChars="200"/>
        <w:rPr>
          <w:rFonts w:hint="eastAsia" w:ascii="宋体"/>
          <w:szCs w:val="21"/>
        </w:rPr>
      </w:pPr>
      <w:r>
        <w:rPr>
          <w:rFonts w:hint="eastAsia" w:ascii="宋体"/>
          <w:szCs w:val="21"/>
        </w:rPr>
        <w:t>1.1.17“月”是指按公历从一个月中任何一天开始的一个公历月时间。</w:t>
      </w:r>
    </w:p>
    <w:p w14:paraId="79831A7B">
      <w:pPr>
        <w:spacing w:line="360" w:lineRule="auto"/>
        <w:ind w:firstLine="480" w:firstLineChars="200"/>
        <w:rPr>
          <w:rFonts w:hint="eastAsia" w:ascii="宋体"/>
          <w:szCs w:val="21"/>
        </w:rPr>
      </w:pPr>
      <w:r>
        <w:rPr>
          <w:rFonts w:hint="eastAsia" w:ascii="宋体"/>
          <w:szCs w:val="21"/>
        </w:rPr>
        <w:t>1.1.18 “不可抗力”是指委托人和监理人在订立本合同时不可预见，在工程施工过程中不可避免发生并不能克服的自然灾害和社会性突发事件，如地震、海啸、瘟疫、水灾、骚乱、暴动、战争和专用条件约定的其他情形。</w:t>
      </w:r>
    </w:p>
    <w:p w14:paraId="1EE92C48">
      <w:pPr>
        <w:spacing w:line="360" w:lineRule="auto"/>
        <w:ind w:firstLine="480" w:firstLineChars="200"/>
        <w:rPr>
          <w:rFonts w:hint="eastAsia" w:ascii="宋体"/>
          <w:szCs w:val="21"/>
        </w:rPr>
      </w:pPr>
      <w:r>
        <w:rPr>
          <w:rFonts w:hint="eastAsia" w:ascii="宋体"/>
          <w:szCs w:val="21"/>
        </w:rPr>
        <w:t>1.2 解释</w:t>
      </w:r>
    </w:p>
    <w:p w14:paraId="12186220">
      <w:pPr>
        <w:spacing w:line="360" w:lineRule="auto"/>
        <w:ind w:firstLine="480" w:firstLineChars="200"/>
        <w:rPr>
          <w:rFonts w:hint="eastAsia" w:ascii="宋体"/>
          <w:szCs w:val="21"/>
        </w:rPr>
      </w:pPr>
      <w:r>
        <w:rPr>
          <w:rFonts w:hint="eastAsia" w:ascii="宋体"/>
          <w:szCs w:val="21"/>
        </w:rPr>
        <w:t>1.2.1本合同使用中文书写、解释和说明。如专用条件约定使用两种及以上语言文字时，应以中文为准。</w:t>
      </w:r>
    </w:p>
    <w:p w14:paraId="559E419A">
      <w:pPr>
        <w:spacing w:line="360" w:lineRule="auto"/>
        <w:ind w:firstLine="480" w:firstLineChars="200"/>
        <w:rPr>
          <w:rFonts w:hint="eastAsia" w:ascii="宋体"/>
          <w:szCs w:val="21"/>
        </w:rPr>
      </w:pPr>
      <w:r>
        <w:rPr>
          <w:rFonts w:hint="eastAsia" w:ascii="宋体"/>
          <w:szCs w:val="21"/>
        </w:rPr>
        <w:t>1.2.2 组成本合同的下列文件彼此应能相互解释、互为说明。除专用条件另有约定外，本合同文件的解释顺序如下：</w:t>
      </w:r>
    </w:p>
    <w:p w14:paraId="7C5EE31F">
      <w:pPr>
        <w:spacing w:line="360" w:lineRule="auto"/>
        <w:ind w:firstLine="480" w:firstLineChars="200"/>
        <w:rPr>
          <w:rFonts w:hint="eastAsia" w:ascii="宋体"/>
          <w:szCs w:val="21"/>
        </w:rPr>
      </w:pPr>
      <w:r>
        <w:rPr>
          <w:rFonts w:hint="eastAsia" w:ascii="宋体"/>
          <w:szCs w:val="21"/>
        </w:rPr>
        <w:t>（1）协议书；</w:t>
      </w:r>
    </w:p>
    <w:p w14:paraId="352E4229">
      <w:pPr>
        <w:spacing w:line="360" w:lineRule="auto"/>
        <w:ind w:firstLine="480" w:firstLineChars="200"/>
        <w:rPr>
          <w:rFonts w:hint="eastAsia" w:ascii="宋体"/>
          <w:szCs w:val="21"/>
        </w:rPr>
      </w:pPr>
      <w:r>
        <w:rPr>
          <w:rFonts w:hint="eastAsia" w:ascii="宋体"/>
          <w:szCs w:val="21"/>
        </w:rPr>
        <w:t>（2）中标通知书（适用于招标工程）或委托书（适用于非招标工程）；</w:t>
      </w:r>
    </w:p>
    <w:p w14:paraId="2BC2D2FC">
      <w:pPr>
        <w:spacing w:line="360" w:lineRule="auto"/>
        <w:ind w:firstLine="480" w:firstLineChars="200"/>
        <w:rPr>
          <w:rFonts w:hint="eastAsia" w:ascii="宋体"/>
          <w:szCs w:val="21"/>
        </w:rPr>
      </w:pPr>
      <w:r>
        <w:rPr>
          <w:rFonts w:hint="eastAsia" w:ascii="宋体"/>
          <w:szCs w:val="21"/>
        </w:rPr>
        <w:t>（3）专用条件及附录A、附录B；</w:t>
      </w:r>
    </w:p>
    <w:p w14:paraId="7B846097">
      <w:pPr>
        <w:spacing w:line="360" w:lineRule="auto"/>
        <w:ind w:firstLine="480" w:firstLineChars="200"/>
        <w:rPr>
          <w:rFonts w:hint="eastAsia" w:ascii="宋体"/>
          <w:szCs w:val="21"/>
        </w:rPr>
      </w:pPr>
      <w:r>
        <w:rPr>
          <w:rFonts w:hint="eastAsia" w:ascii="宋体"/>
          <w:szCs w:val="21"/>
        </w:rPr>
        <w:t>（4）通用条件；</w:t>
      </w:r>
    </w:p>
    <w:p w14:paraId="1C7868E0">
      <w:pPr>
        <w:spacing w:line="360" w:lineRule="auto"/>
        <w:ind w:firstLine="480" w:firstLineChars="200"/>
        <w:rPr>
          <w:rFonts w:hint="eastAsia" w:ascii="宋体"/>
          <w:szCs w:val="21"/>
        </w:rPr>
      </w:pPr>
      <w:r>
        <w:rPr>
          <w:rFonts w:hint="eastAsia" w:ascii="宋体"/>
          <w:szCs w:val="21"/>
        </w:rPr>
        <w:t>（5）投标文件（适用于招标工程）或监理与相关服务建议书（适用于非招标工程）。</w:t>
      </w:r>
    </w:p>
    <w:p w14:paraId="3E90DF74">
      <w:pPr>
        <w:spacing w:line="360" w:lineRule="auto"/>
        <w:ind w:firstLine="480" w:firstLineChars="200"/>
        <w:rPr>
          <w:rFonts w:hint="eastAsia" w:ascii="宋体"/>
          <w:szCs w:val="21"/>
        </w:rPr>
      </w:pPr>
      <w:r>
        <w:rPr>
          <w:rFonts w:hint="eastAsia" w:ascii="宋体"/>
          <w:szCs w:val="21"/>
        </w:rPr>
        <w:t>双方签订的补充协议与其他文件发生矛盾或歧义时，属于同一类内容的文件，应以最新签署的为准。</w:t>
      </w:r>
    </w:p>
    <w:p w14:paraId="53077C62">
      <w:pPr>
        <w:spacing w:line="360" w:lineRule="auto"/>
        <w:ind w:firstLine="480" w:firstLineChars="200"/>
        <w:rPr>
          <w:rFonts w:hint="eastAsia" w:ascii="宋体"/>
          <w:szCs w:val="21"/>
        </w:rPr>
      </w:pPr>
      <w:r>
        <w:rPr>
          <w:rFonts w:hint="eastAsia" w:ascii="宋体"/>
          <w:szCs w:val="21"/>
        </w:rPr>
        <w:t>2. 监理人的义务</w:t>
      </w:r>
    </w:p>
    <w:p w14:paraId="131E418F">
      <w:pPr>
        <w:spacing w:line="360" w:lineRule="auto"/>
        <w:ind w:firstLine="480" w:firstLineChars="200"/>
        <w:rPr>
          <w:rFonts w:hint="eastAsia" w:ascii="宋体"/>
          <w:szCs w:val="21"/>
        </w:rPr>
      </w:pPr>
      <w:r>
        <w:rPr>
          <w:rFonts w:hint="eastAsia" w:ascii="宋体"/>
          <w:szCs w:val="21"/>
        </w:rPr>
        <w:t>2.1 监理的范围和工作内容</w:t>
      </w:r>
    </w:p>
    <w:p w14:paraId="4A04F177">
      <w:pPr>
        <w:spacing w:line="360" w:lineRule="auto"/>
        <w:ind w:firstLine="480" w:firstLineChars="200"/>
        <w:rPr>
          <w:rFonts w:hint="eastAsia" w:ascii="宋体"/>
          <w:szCs w:val="21"/>
        </w:rPr>
      </w:pPr>
      <w:r>
        <w:rPr>
          <w:rFonts w:hint="eastAsia" w:ascii="宋体"/>
          <w:szCs w:val="21"/>
        </w:rPr>
        <w:t>2.1.1 监理范围在专用条件中约定。</w:t>
      </w:r>
    </w:p>
    <w:p w14:paraId="7A97307B">
      <w:pPr>
        <w:spacing w:line="360" w:lineRule="auto"/>
        <w:ind w:firstLine="480" w:firstLineChars="200"/>
        <w:rPr>
          <w:rFonts w:hint="eastAsia" w:ascii="宋体"/>
          <w:szCs w:val="21"/>
        </w:rPr>
      </w:pPr>
      <w:r>
        <w:rPr>
          <w:rFonts w:hint="eastAsia" w:ascii="宋体"/>
          <w:szCs w:val="21"/>
        </w:rPr>
        <w:t>2.1.2 除专用条件另有约定外，监理工作内容包括：</w:t>
      </w:r>
    </w:p>
    <w:p w14:paraId="17BB7789">
      <w:pPr>
        <w:spacing w:line="360" w:lineRule="auto"/>
        <w:ind w:firstLine="480" w:firstLineChars="200"/>
        <w:rPr>
          <w:rFonts w:hint="eastAsia" w:ascii="宋体"/>
          <w:szCs w:val="21"/>
        </w:rPr>
      </w:pPr>
      <w:r>
        <w:rPr>
          <w:rFonts w:hint="eastAsia" w:ascii="宋体"/>
          <w:szCs w:val="21"/>
        </w:rPr>
        <w:t>（1）收到工程设计文件后编制监理规划，并在第一次工地会议7天前报委托人。根据有关规定和监理工作需要，编制监理实施细则；</w:t>
      </w:r>
    </w:p>
    <w:p w14:paraId="488C93B1">
      <w:pPr>
        <w:spacing w:line="360" w:lineRule="auto"/>
        <w:ind w:firstLine="480" w:firstLineChars="200"/>
        <w:rPr>
          <w:rFonts w:hint="eastAsia" w:ascii="宋体"/>
          <w:szCs w:val="21"/>
        </w:rPr>
      </w:pPr>
      <w:r>
        <w:rPr>
          <w:rFonts w:hint="eastAsia" w:ascii="宋体"/>
          <w:szCs w:val="21"/>
        </w:rPr>
        <w:t>（2）熟悉工程设计文件，并参加由委托人主持的图纸会审和设计交底会议；</w:t>
      </w:r>
    </w:p>
    <w:p w14:paraId="1DFF07A2">
      <w:pPr>
        <w:spacing w:line="360" w:lineRule="auto"/>
        <w:ind w:firstLine="480" w:firstLineChars="200"/>
        <w:rPr>
          <w:rFonts w:hint="eastAsia" w:ascii="宋体"/>
          <w:szCs w:val="21"/>
        </w:rPr>
      </w:pPr>
      <w:r>
        <w:rPr>
          <w:rFonts w:hint="eastAsia" w:ascii="宋体"/>
          <w:szCs w:val="21"/>
        </w:rPr>
        <w:t>（3）参加由委托人主持的第一次工地会议；主持监理例会并根据工程需要主持或参加专题会议；</w:t>
      </w:r>
    </w:p>
    <w:p w14:paraId="17881C81">
      <w:pPr>
        <w:spacing w:line="360" w:lineRule="auto"/>
        <w:ind w:firstLine="480" w:firstLineChars="200"/>
        <w:rPr>
          <w:rFonts w:hint="eastAsia" w:ascii="宋体"/>
          <w:szCs w:val="21"/>
        </w:rPr>
      </w:pPr>
      <w:r>
        <w:rPr>
          <w:rFonts w:hint="eastAsia" w:ascii="宋体"/>
          <w:szCs w:val="21"/>
        </w:rPr>
        <w:t>（4）审查施工承包人提交的施工组织设计，重点审查其中的质量安全技术措施、专项施工方案与工程建设强制性标准的符合性；</w:t>
      </w:r>
    </w:p>
    <w:p w14:paraId="337594E5">
      <w:pPr>
        <w:spacing w:line="360" w:lineRule="auto"/>
        <w:ind w:firstLine="480" w:firstLineChars="200"/>
        <w:rPr>
          <w:rFonts w:hint="eastAsia" w:ascii="宋体"/>
          <w:szCs w:val="21"/>
        </w:rPr>
      </w:pPr>
      <w:r>
        <w:rPr>
          <w:rFonts w:hint="eastAsia" w:ascii="宋体"/>
          <w:szCs w:val="21"/>
        </w:rPr>
        <w:t xml:space="preserve">（5）检查施工承包人工程质量、安全生产管理制度及组织机构和人员资格； </w:t>
      </w:r>
    </w:p>
    <w:p w14:paraId="1F4A8133">
      <w:pPr>
        <w:spacing w:line="360" w:lineRule="auto"/>
        <w:ind w:firstLine="480" w:firstLineChars="200"/>
        <w:rPr>
          <w:rFonts w:hint="eastAsia" w:ascii="宋体"/>
          <w:szCs w:val="21"/>
        </w:rPr>
      </w:pPr>
      <w:r>
        <w:rPr>
          <w:rFonts w:hint="eastAsia" w:ascii="宋体"/>
          <w:szCs w:val="21"/>
        </w:rPr>
        <w:t>（6）检查施工承包人专职安全生产管理人员的配备情况；</w:t>
      </w:r>
    </w:p>
    <w:p w14:paraId="5B7BBBEB">
      <w:pPr>
        <w:spacing w:line="360" w:lineRule="auto"/>
        <w:ind w:firstLine="480" w:firstLineChars="200"/>
        <w:rPr>
          <w:rFonts w:hint="eastAsia" w:ascii="宋体"/>
          <w:szCs w:val="21"/>
        </w:rPr>
      </w:pPr>
      <w:r>
        <w:rPr>
          <w:rFonts w:hint="eastAsia" w:ascii="宋体"/>
          <w:szCs w:val="21"/>
        </w:rPr>
        <w:t>（7）审查施工承包人提交的施工进度计划，核查承包人对施工进度计划的调整；</w:t>
      </w:r>
    </w:p>
    <w:p w14:paraId="16A46EFE">
      <w:pPr>
        <w:spacing w:line="360" w:lineRule="auto"/>
        <w:ind w:firstLine="480" w:firstLineChars="200"/>
        <w:rPr>
          <w:rFonts w:hint="eastAsia" w:ascii="宋体"/>
          <w:szCs w:val="21"/>
        </w:rPr>
      </w:pPr>
      <w:r>
        <w:rPr>
          <w:rFonts w:hint="eastAsia" w:ascii="宋体"/>
          <w:szCs w:val="21"/>
        </w:rPr>
        <w:t>（8）检查施工承包人的试验室；</w:t>
      </w:r>
    </w:p>
    <w:p w14:paraId="498D450D">
      <w:pPr>
        <w:spacing w:line="360" w:lineRule="auto"/>
        <w:ind w:firstLine="480" w:firstLineChars="200"/>
        <w:rPr>
          <w:rFonts w:hint="eastAsia" w:ascii="宋体"/>
          <w:szCs w:val="21"/>
        </w:rPr>
      </w:pPr>
      <w:r>
        <w:rPr>
          <w:rFonts w:hint="eastAsia" w:ascii="宋体"/>
          <w:szCs w:val="21"/>
        </w:rPr>
        <w:t>（9）审核施工分包人资质条件；</w:t>
      </w:r>
    </w:p>
    <w:p w14:paraId="61795886">
      <w:pPr>
        <w:spacing w:line="360" w:lineRule="auto"/>
        <w:ind w:firstLine="480" w:firstLineChars="200"/>
        <w:rPr>
          <w:rFonts w:hint="eastAsia" w:ascii="宋体"/>
          <w:szCs w:val="21"/>
        </w:rPr>
      </w:pPr>
      <w:r>
        <w:rPr>
          <w:rFonts w:hint="eastAsia" w:ascii="宋体"/>
          <w:szCs w:val="21"/>
        </w:rPr>
        <w:t>（10）查验施工承包人的施工测量放线成果；</w:t>
      </w:r>
    </w:p>
    <w:p w14:paraId="1A8FE399">
      <w:pPr>
        <w:spacing w:line="360" w:lineRule="auto"/>
        <w:ind w:firstLine="480" w:firstLineChars="200"/>
        <w:rPr>
          <w:rFonts w:hint="eastAsia" w:ascii="宋体"/>
          <w:szCs w:val="21"/>
        </w:rPr>
      </w:pPr>
      <w:r>
        <w:rPr>
          <w:rFonts w:hint="eastAsia" w:ascii="宋体"/>
          <w:szCs w:val="21"/>
        </w:rPr>
        <w:t>（11）审查工程开工条件，对条件具备的签发开工令；</w:t>
      </w:r>
    </w:p>
    <w:p w14:paraId="1A8478D5">
      <w:pPr>
        <w:spacing w:line="360" w:lineRule="auto"/>
        <w:ind w:firstLine="480" w:firstLineChars="200"/>
        <w:rPr>
          <w:rFonts w:hint="eastAsia" w:ascii="宋体"/>
          <w:szCs w:val="21"/>
        </w:rPr>
      </w:pPr>
      <w:r>
        <w:rPr>
          <w:rFonts w:hint="eastAsia" w:ascii="宋体"/>
          <w:szCs w:val="21"/>
        </w:rPr>
        <w:t>（12）审查施工承包人报送的工程材料、构配件、设备质量证明文件的有效性和符合性，并按规定对用于工程的材料采取平行检验或见证取样方式进行抽检；</w:t>
      </w:r>
    </w:p>
    <w:p w14:paraId="494F28CD">
      <w:pPr>
        <w:spacing w:line="360" w:lineRule="auto"/>
        <w:ind w:firstLine="480" w:firstLineChars="200"/>
        <w:rPr>
          <w:rFonts w:hint="eastAsia" w:ascii="宋体"/>
          <w:szCs w:val="21"/>
        </w:rPr>
      </w:pPr>
      <w:r>
        <w:rPr>
          <w:rFonts w:hint="eastAsia" w:ascii="宋体"/>
          <w:szCs w:val="21"/>
        </w:rPr>
        <w:t>（13）审核施工承包人提交的工程款支付申请，签发或出具工程款支付证书，并报委托人审核、批准；</w:t>
      </w:r>
    </w:p>
    <w:p w14:paraId="38A66843">
      <w:pPr>
        <w:spacing w:line="360" w:lineRule="auto"/>
        <w:ind w:firstLine="480" w:firstLineChars="200"/>
        <w:rPr>
          <w:rFonts w:hint="eastAsia" w:ascii="宋体"/>
          <w:szCs w:val="21"/>
        </w:rPr>
      </w:pPr>
      <w:r>
        <w:rPr>
          <w:rFonts w:hint="eastAsia" w:ascii="宋体"/>
          <w:szCs w:val="21"/>
        </w:rPr>
        <w:t>（14）在巡视、旁站和检验过程中，发现工程质量、施工安全存在事故隐患的，要求施工承包人整改并报委托人；</w:t>
      </w:r>
    </w:p>
    <w:p w14:paraId="6CEDC528">
      <w:pPr>
        <w:spacing w:line="360" w:lineRule="auto"/>
        <w:ind w:firstLine="480" w:firstLineChars="200"/>
        <w:rPr>
          <w:rFonts w:hint="eastAsia" w:ascii="宋体"/>
          <w:szCs w:val="21"/>
        </w:rPr>
      </w:pPr>
      <w:r>
        <w:rPr>
          <w:rFonts w:hint="eastAsia" w:ascii="宋体"/>
          <w:szCs w:val="21"/>
        </w:rPr>
        <w:t>（15）经委托人同意，签发工程暂停令和复工令；</w:t>
      </w:r>
    </w:p>
    <w:p w14:paraId="7F89505B">
      <w:pPr>
        <w:spacing w:line="360" w:lineRule="auto"/>
        <w:ind w:firstLine="480" w:firstLineChars="200"/>
        <w:rPr>
          <w:rFonts w:hint="eastAsia" w:ascii="宋体"/>
          <w:szCs w:val="21"/>
        </w:rPr>
      </w:pPr>
      <w:r>
        <w:rPr>
          <w:rFonts w:hint="eastAsia" w:ascii="宋体"/>
          <w:szCs w:val="21"/>
        </w:rPr>
        <w:t>（16）审查施工承包人提交的采用新材料、新工艺、新技术、新设备的论证材料及相关验收标准；</w:t>
      </w:r>
    </w:p>
    <w:p w14:paraId="7D20EDA7">
      <w:pPr>
        <w:spacing w:line="360" w:lineRule="auto"/>
        <w:ind w:firstLine="480" w:firstLineChars="200"/>
        <w:rPr>
          <w:rFonts w:hint="eastAsia" w:ascii="宋体"/>
          <w:szCs w:val="21"/>
        </w:rPr>
      </w:pPr>
      <w:r>
        <w:rPr>
          <w:rFonts w:hint="eastAsia" w:ascii="宋体"/>
          <w:szCs w:val="21"/>
        </w:rPr>
        <w:t>（17）验收隐蔽工程、分部分项工程；</w:t>
      </w:r>
    </w:p>
    <w:p w14:paraId="2811CDA7">
      <w:pPr>
        <w:spacing w:line="360" w:lineRule="auto"/>
        <w:ind w:firstLine="480" w:firstLineChars="200"/>
        <w:rPr>
          <w:rFonts w:hint="eastAsia" w:ascii="宋体"/>
          <w:szCs w:val="21"/>
        </w:rPr>
      </w:pPr>
      <w:r>
        <w:rPr>
          <w:rFonts w:hint="eastAsia" w:ascii="宋体"/>
          <w:szCs w:val="21"/>
        </w:rPr>
        <w:t>（18）审查施工承包人提交的工程变更申请，协调处理施工进度调整、费用索赔、合同争议等事项；</w:t>
      </w:r>
    </w:p>
    <w:p w14:paraId="13C1D52E">
      <w:pPr>
        <w:spacing w:line="360" w:lineRule="auto"/>
        <w:ind w:firstLine="480" w:firstLineChars="200"/>
        <w:rPr>
          <w:rFonts w:hint="eastAsia" w:ascii="宋体"/>
          <w:szCs w:val="21"/>
        </w:rPr>
      </w:pPr>
      <w:r>
        <w:rPr>
          <w:rFonts w:hint="eastAsia" w:ascii="宋体"/>
          <w:szCs w:val="21"/>
        </w:rPr>
        <w:t>（19）审查施工承包人提交的竣工验收申请，编写工程质量评估报告；</w:t>
      </w:r>
    </w:p>
    <w:p w14:paraId="3F97E635">
      <w:pPr>
        <w:spacing w:line="360" w:lineRule="auto"/>
        <w:ind w:firstLine="480" w:firstLineChars="200"/>
        <w:rPr>
          <w:rFonts w:hint="eastAsia" w:ascii="宋体"/>
          <w:szCs w:val="21"/>
        </w:rPr>
      </w:pPr>
      <w:r>
        <w:rPr>
          <w:rFonts w:hint="eastAsia" w:ascii="宋体"/>
          <w:szCs w:val="21"/>
        </w:rPr>
        <w:t>（20）参加工程竣工验收，签署竣工验收意见；</w:t>
      </w:r>
    </w:p>
    <w:p w14:paraId="7C995F9C">
      <w:pPr>
        <w:spacing w:line="360" w:lineRule="auto"/>
        <w:ind w:firstLine="480" w:firstLineChars="200"/>
        <w:rPr>
          <w:rFonts w:hint="eastAsia" w:ascii="宋体"/>
          <w:szCs w:val="21"/>
        </w:rPr>
      </w:pPr>
      <w:r>
        <w:rPr>
          <w:rFonts w:hint="eastAsia" w:ascii="宋体"/>
          <w:szCs w:val="21"/>
        </w:rPr>
        <w:t>（21）审查施工承包人提交的竣工结算申请并报委托人；</w:t>
      </w:r>
    </w:p>
    <w:p w14:paraId="19CF68C5">
      <w:pPr>
        <w:spacing w:line="360" w:lineRule="auto"/>
        <w:ind w:firstLine="480" w:firstLineChars="200"/>
        <w:rPr>
          <w:rFonts w:hint="eastAsia" w:ascii="宋体"/>
          <w:szCs w:val="21"/>
        </w:rPr>
      </w:pPr>
      <w:r>
        <w:rPr>
          <w:rFonts w:hint="eastAsia" w:ascii="宋体"/>
          <w:szCs w:val="21"/>
        </w:rPr>
        <w:t>（22）编制、整理工程监理归档文件并报委托人。</w:t>
      </w:r>
    </w:p>
    <w:p w14:paraId="5762D225">
      <w:pPr>
        <w:spacing w:line="360" w:lineRule="auto"/>
        <w:ind w:firstLine="480" w:firstLineChars="200"/>
        <w:rPr>
          <w:rFonts w:hint="eastAsia" w:ascii="宋体"/>
          <w:szCs w:val="21"/>
        </w:rPr>
      </w:pPr>
      <w:r>
        <w:rPr>
          <w:rFonts w:hint="eastAsia" w:ascii="宋体"/>
          <w:szCs w:val="21"/>
        </w:rPr>
        <w:t>2.1.3 相关服务的范围和内容在附录A中约定。</w:t>
      </w:r>
    </w:p>
    <w:p w14:paraId="5C71AE1B">
      <w:pPr>
        <w:spacing w:line="360" w:lineRule="auto"/>
        <w:ind w:firstLine="480" w:firstLineChars="200"/>
        <w:rPr>
          <w:rFonts w:hint="eastAsia" w:ascii="宋体"/>
          <w:szCs w:val="21"/>
        </w:rPr>
      </w:pPr>
      <w:r>
        <w:rPr>
          <w:rFonts w:hint="eastAsia" w:ascii="宋体"/>
          <w:szCs w:val="21"/>
        </w:rPr>
        <w:t>2.2 监理与相关服务依据</w:t>
      </w:r>
    </w:p>
    <w:p w14:paraId="4D27E7A0">
      <w:pPr>
        <w:spacing w:line="360" w:lineRule="auto"/>
        <w:ind w:firstLine="480" w:firstLineChars="200"/>
        <w:rPr>
          <w:rFonts w:hint="eastAsia" w:ascii="宋体"/>
          <w:szCs w:val="21"/>
        </w:rPr>
      </w:pPr>
      <w:r>
        <w:rPr>
          <w:rFonts w:hint="eastAsia" w:ascii="宋体"/>
          <w:szCs w:val="21"/>
        </w:rPr>
        <w:t>2.2.1 监理依据包括：</w:t>
      </w:r>
    </w:p>
    <w:p w14:paraId="1BF00A98">
      <w:pPr>
        <w:spacing w:line="360" w:lineRule="auto"/>
        <w:ind w:firstLine="480" w:firstLineChars="200"/>
        <w:rPr>
          <w:rFonts w:hint="eastAsia" w:ascii="宋体"/>
          <w:szCs w:val="21"/>
        </w:rPr>
      </w:pPr>
      <w:r>
        <w:rPr>
          <w:rFonts w:hint="eastAsia" w:ascii="宋体"/>
          <w:szCs w:val="21"/>
        </w:rPr>
        <w:t>（1）适用的法律、行政法规及部门规章；</w:t>
      </w:r>
    </w:p>
    <w:p w14:paraId="38E7D0FF">
      <w:pPr>
        <w:spacing w:line="360" w:lineRule="auto"/>
        <w:ind w:firstLine="480" w:firstLineChars="200"/>
        <w:rPr>
          <w:rFonts w:hint="eastAsia" w:ascii="宋体"/>
          <w:szCs w:val="21"/>
        </w:rPr>
      </w:pPr>
      <w:r>
        <w:rPr>
          <w:rFonts w:hint="eastAsia" w:ascii="宋体"/>
          <w:szCs w:val="21"/>
        </w:rPr>
        <w:t>（2）与工程有关的标准；</w:t>
      </w:r>
    </w:p>
    <w:p w14:paraId="02EE8FD5">
      <w:pPr>
        <w:spacing w:line="360" w:lineRule="auto"/>
        <w:ind w:firstLine="480" w:firstLineChars="200"/>
        <w:rPr>
          <w:rFonts w:hint="eastAsia" w:ascii="宋体"/>
          <w:szCs w:val="21"/>
        </w:rPr>
      </w:pPr>
      <w:r>
        <w:rPr>
          <w:rFonts w:hint="eastAsia" w:ascii="宋体"/>
          <w:szCs w:val="21"/>
        </w:rPr>
        <w:t>（3）工程设计及有关文件；</w:t>
      </w:r>
    </w:p>
    <w:p w14:paraId="1B51F12D">
      <w:pPr>
        <w:spacing w:line="360" w:lineRule="auto"/>
        <w:ind w:firstLine="480" w:firstLineChars="200"/>
        <w:rPr>
          <w:rFonts w:hint="eastAsia" w:ascii="宋体"/>
          <w:szCs w:val="21"/>
        </w:rPr>
      </w:pPr>
      <w:r>
        <w:rPr>
          <w:rFonts w:hint="eastAsia" w:ascii="宋体"/>
          <w:szCs w:val="21"/>
        </w:rPr>
        <w:t>（4）本合同及委托人与第三方签订的与实施工程有关的其他合同。</w:t>
      </w:r>
    </w:p>
    <w:p w14:paraId="54947DE9">
      <w:pPr>
        <w:spacing w:line="360" w:lineRule="auto"/>
        <w:ind w:firstLine="480" w:firstLineChars="200"/>
        <w:rPr>
          <w:rFonts w:hint="eastAsia" w:ascii="宋体"/>
          <w:szCs w:val="21"/>
        </w:rPr>
      </w:pPr>
      <w:r>
        <w:rPr>
          <w:rFonts w:hint="eastAsia" w:ascii="宋体"/>
          <w:szCs w:val="21"/>
        </w:rPr>
        <w:t>双方根据工程的行业和地域特点，在专用条件中具体约定监理依据。</w:t>
      </w:r>
    </w:p>
    <w:p w14:paraId="418F92E7">
      <w:pPr>
        <w:spacing w:line="360" w:lineRule="auto"/>
        <w:ind w:firstLine="480" w:firstLineChars="200"/>
        <w:rPr>
          <w:rFonts w:hint="eastAsia" w:ascii="宋体"/>
          <w:szCs w:val="21"/>
        </w:rPr>
      </w:pPr>
      <w:r>
        <w:rPr>
          <w:rFonts w:hint="eastAsia" w:ascii="宋体"/>
          <w:szCs w:val="21"/>
        </w:rPr>
        <w:t>2.2.2 相关服务依据在专用条件中约定。</w:t>
      </w:r>
    </w:p>
    <w:p w14:paraId="74A4783B">
      <w:pPr>
        <w:spacing w:line="360" w:lineRule="auto"/>
        <w:ind w:firstLine="480" w:firstLineChars="200"/>
        <w:rPr>
          <w:rFonts w:hint="eastAsia" w:ascii="宋体"/>
          <w:szCs w:val="21"/>
        </w:rPr>
      </w:pPr>
      <w:r>
        <w:rPr>
          <w:rFonts w:hint="eastAsia" w:ascii="宋体"/>
          <w:szCs w:val="21"/>
        </w:rPr>
        <w:t>2.3 项目监理机构和人员</w:t>
      </w:r>
    </w:p>
    <w:p w14:paraId="236EF705">
      <w:pPr>
        <w:spacing w:line="360" w:lineRule="auto"/>
        <w:ind w:firstLine="480" w:firstLineChars="200"/>
        <w:rPr>
          <w:rFonts w:hint="eastAsia" w:ascii="宋体"/>
          <w:szCs w:val="21"/>
        </w:rPr>
      </w:pPr>
      <w:r>
        <w:rPr>
          <w:rFonts w:hint="eastAsia" w:ascii="宋体"/>
          <w:szCs w:val="21"/>
        </w:rPr>
        <w:t>2.3.1 监理人应组建满足工作需要的项目监理机构，配备必要的检测设备。项目监理机构的主要人员应具有相应的资格条件。</w:t>
      </w:r>
    </w:p>
    <w:p w14:paraId="3B463E7C">
      <w:pPr>
        <w:spacing w:line="360" w:lineRule="auto"/>
        <w:ind w:firstLine="480" w:firstLineChars="200"/>
        <w:rPr>
          <w:rFonts w:hint="eastAsia" w:ascii="宋体"/>
          <w:szCs w:val="21"/>
        </w:rPr>
      </w:pPr>
      <w:r>
        <w:rPr>
          <w:rFonts w:hint="eastAsia" w:ascii="宋体"/>
          <w:szCs w:val="21"/>
        </w:rPr>
        <w:t>2.3.2本合同履行过程中，总监理工程师及重要岗位监理人员应保持相对稳定，以保证监理工作正常进行。</w:t>
      </w:r>
    </w:p>
    <w:p w14:paraId="0F586D13">
      <w:pPr>
        <w:spacing w:line="360" w:lineRule="auto"/>
        <w:ind w:firstLine="480" w:firstLineChars="200"/>
        <w:rPr>
          <w:rFonts w:hint="eastAsia" w:ascii="宋体"/>
          <w:szCs w:val="21"/>
        </w:rPr>
      </w:pPr>
      <w:r>
        <w:rPr>
          <w:rFonts w:hint="eastAsia" w:ascii="宋体"/>
          <w:szCs w:val="21"/>
        </w:rPr>
        <w:t>2.3.3监理人可根据工程进展和工作需要调整项目监理机构人员。监理人更换总监理工程师时，应提前7天向委托人书面报告，经委托人同意后方可更换；监理人更换项目监理机构其他监理人员，应以相当资格与能力的人员替换，并通知委托人。</w:t>
      </w:r>
    </w:p>
    <w:p w14:paraId="7638AA1D">
      <w:pPr>
        <w:spacing w:line="360" w:lineRule="auto"/>
        <w:ind w:firstLine="480" w:firstLineChars="200"/>
        <w:rPr>
          <w:rFonts w:hint="eastAsia" w:ascii="宋体"/>
          <w:szCs w:val="21"/>
        </w:rPr>
      </w:pPr>
      <w:r>
        <w:rPr>
          <w:rFonts w:hint="eastAsia" w:ascii="宋体"/>
          <w:szCs w:val="21"/>
        </w:rPr>
        <w:t>2.3.4 监理人应及时更换有下列情形之一的监理人员：</w:t>
      </w:r>
    </w:p>
    <w:p w14:paraId="3E8D273B">
      <w:pPr>
        <w:spacing w:line="360" w:lineRule="auto"/>
        <w:ind w:firstLine="480" w:firstLineChars="200"/>
        <w:rPr>
          <w:rFonts w:hint="eastAsia" w:ascii="宋体"/>
          <w:szCs w:val="21"/>
        </w:rPr>
      </w:pPr>
      <w:r>
        <w:rPr>
          <w:rFonts w:hint="eastAsia" w:ascii="宋体"/>
          <w:szCs w:val="21"/>
        </w:rPr>
        <w:t>（1）严重过失行为的；</w:t>
      </w:r>
    </w:p>
    <w:p w14:paraId="275B035E">
      <w:pPr>
        <w:spacing w:line="360" w:lineRule="auto"/>
        <w:ind w:firstLine="480" w:firstLineChars="200"/>
        <w:rPr>
          <w:rFonts w:hint="eastAsia" w:ascii="宋体"/>
          <w:szCs w:val="21"/>
        </w:rPr>
      </w:pPr>
      <w:r>
        <w:rPr>
          <w:rFonts w:hint="eastAsia" w:ascii="宋体"/>
          <w:szCs w:val="21"/>
        </w:rPr>
        <w:t>（2）有违法行为不能履行职责的；</w:t>
      </w:r>
    </w:p>
    <w:p w14:paraId="18F43C42">
      <w:pPr>
        <w:spacing w:line="360" w:lineRule="auto"/>
        <w:ind w:firstLine="480" w:firstLineChars="200"/>
        <w:rPr>
          <w:rFonts w:hint="eastAsia" w:ascii="宋体"/>
          <w:szCs w:val="21"/>
        </w:rPr>
      </w:pPr>
      <w:r>
        <w:rPr>
          <w:rFonts w:hint="eastAsia" w:ascii="宋体"/>
          <w:szCs w:val="21"/>
        </w:rPr>
        <w:t>（3）涉嫌犯罪的；</w:t>
      </w:r>
    </w:p>
    <w:p w14:paraId="6BD22B05">
      <w:pPr>
        <w:spacing w:line="360" w:lineRule="auto"/>
        <w:ind w:firstLine="480" w:firstLineChars="200"/>
        <w:rPr>
          <w:rFonts w:hint="eastAsia" w:ascii="宋体"/>
          <w:szCs w:val="21"/>
        </w:rPr>
      </w:pPr>
      <w:r>
        <w:rPr>
          <w:rFonts w:hint="eastAsia" w:ascii="宋体"/>
          <w:szCs w:val="21"/>
        </w:rPr>
        <w:t>（4）不能胜任岗位职责的；</w:t>
      </w:r>
    </w:p>
    <w:p w14:paraId="70A5F746">
      <w:pPr>
        <w:spacing w:line="360" w:lineRule="auto"/>
        <w:ind w:firstLine="480" w:firstLineChars="200"/>
        <w:rPr>
          <w:rFonts w:hint="eastAsia" w:ascii="宋体"/>
          <w:szCs w:val="21"/>
        </w:rPr>
      </w:pPr>
      <w:r>
        <w:rPr>
          <w:rFonts w:hint="eastAsia" w:ascii="宋体"/>
          <w:szCs w:val="21"/>
        </w:rPr>
        <w:t>（5）严重违反职业道德的；</w:t>
      </w:r>
    </w:p>
    <w:p w14:paraId="09C75FC2">
      <w:pPr>
        <w:spacing w:line="360" w:lineRule="auto"/>
        <w:ind w:firstLine="480" w:firstLineChars="200"/>
        <w:rPr>
          <w:rFonts w:hint="eastAsia" w:ascii="宋体"/>
          <w:szCs w:val="21"/>
        </w:rPr>
      </w:pPr>
      <w:r>
        <w:rPr>
          <w:rFonts w:hint="eastAsia" w:ascii="宋体"/>
          <w:szCs w:val="21"/>
        </w:rPr>
        <w:t>（6）专用条件约定的其他情形。</w:t>
      </w:r>
    </w:p>
    <w:p w14:paraId="426A1F6D">
      <w:pPr>
        <w:spacing w:line="360" w:lineRule="auto"/>
        <w:ind w:firstLine="480" w:firstLineChars="200"/>
        <w:rPr>
          <w:rFonts w:hint="eastAsia" w:ascii="宋体"/>
          <w:szCs w:val="21"/>
        </w:rPr>
      </w:pPr>
      <w:r>
        <w:rPr>
          <w:rFonts w:hint="eastAsia" w:ascii="宋体"/>
          <w:szCs w:val="21"/>
        </w:rPr>
        <w:t>2.3.5 委托人可要求监理人更换不能胜任本职工作的项目监理机构人员。</w:t>
      </w:r>
    </w:p>
    <w:p w14:paraId="74EE2183">
      <w:pPr>
        <w:spacing w:line="360" w:lineRule="auto"/>
        <w:ind w:firstLine="480" w:firstLineChars="200"/>
        <w:rPr>
          <w:rFonts w:hint="eastAsia" w:ascii="宋体"/>
          <w:szCs w:val="21"/>
        </w:rPr>
      </w:pPr>
      <w:r>
        <w:rPr>
          <w:rFonts w:hint="eastAsia" w:ascii="宋体"/>
          <w:szCs w:val="21"/>
        </w:rPr>
        <w:t>2.4 履行职责</w:t>
      </w:r>
    </w:p>
    <w:p w14:paraId="7B33FEC6">
      <w:pPr>
        <w:spacing w:line="360" w:lineRule="auto"/>
        <w:ind w:firstLine="480" w:firstLineChars="200"/>
        <w:rPr>
          <w:rFonts w:hint="eastAsia" w:ascii="宋体"/>
          <w:szCs w:val="21"/>
        </w:rPr>
      </w:pPr>
      <w:r>
        <w:rPr>
          <w:rFonts w:hint="eastAsia" w:ascii="宋体"/>
          <w:szCs w:val="21"/>
        </w:rPr>
        <w:t>监理人应遵循职业道德准则和行为规范，严格按照法律法规、工程建设有关标准及本合同履行职责。</w:t>
      </w:r>
    </w:p>
    <w:p w14:paraId="0F540B04">
      <w:pPr>
        <w:spacing w:line="360" w:lineRule="auto"/>
        <w:ind w:firstLine="480" w:firstLineChars="200"/>
        <w:rPr>
          <w:rFonts w:hint="eastAsia" w:ascii="宋体"/>
          <w:szCs w:val="21"/>
        </w:rPr>
      </w:pPr>
      <w:r>
        <w:rPr>
          <w:rFonts w:hint="eastAsia" w:ascii="宋体"/>
          <w:szCs w:val="21"/>
        </w:rPr>
        <w:t>2.4.1 在监理与相关服务范围内，委托人和承包人提出的意见和要求，监理人应及时提出处置意见。当委托人与承包人之间发生合同争议时，监理人应协助委托人、承包人协商解决。</w:t>
      </w:r>
    </w:p>
    <w:p w14:paraId="158ECC12">
      <w:pPr>
        <w:spacing w:line="360" w:lineRule="auto"/>
        <w:ind w:firstLine="480" w:firstLineChars="200"/>
        <w:rPr>
          <w:rFonts w:hint="eastAsia" w:ascii="宋体"/>
          <w:szCs w:val="21"/>
        </w:rPr>
      </w:pPr>
      <w:r>
        <w:rPr>
          <w:rFonts w:hint="eastAsia" w:ascii="宋体"/>
          <w:szCs w:val="21"/>
        </w:rPr>
        <w:t>2.4.2 当委托人与承包人之间的合同争议提交仲裁机构仲裁或人民法院审理时，监理人应提供必要的证明资料。</w:t>
      </w:r>
    </w:p>
    <w:p w14:paraId="400CAEB8">
      <w:pPr>
        <w:spacing w:line="360" w:lineRule="auto"/>
        <w:ind w:firstLine="480" w:firstLineChars="200"/>
        <w:rPr>
          <w:rFonts w:hint="eastAsia" w:ascii="宋体"/>
          <w:szCs w:val="21"/>
        </w:rPr>
      </w:pPr>
      <w:r>
        <w:rPr>
          <w:rFonts w:hint="eastAsia" w:ascii="宋体"/>
          <w:szCs w:val="21"/>
        </w:rPr>
        <w:t>2.4.3 监理人应在专用条件约定的授权范围内，处理委托人与承包人所签订合同的变更事宜。如果变更超过授权范围，应以书面形式报委托人批准。</w:t>
      </w:r>
    </w:p>
    <w:p w14:paraId="208059D8">
      <w:pPr>
        <w:spacing w:line="360" w:lineRule="auto"/>
        <w:ind w:firstLine="480" w:firstLineChars="200"/>
        <w:rPr>
          <w:rFonts w:hint="eastAsia" w:ascii="宋体"/>
          <w:szCs w:val="21"/>
        </w:rPr>
      </w:pPr>
      <w:r>
        <w:rPr>
          <w:rFonts w:hint="eastAsia" w:ascii="宋体"/>
          <w:szCs w:val="21"/>
        </w:rPr>
        <w:t>在紧急情况下，为了保护财产和人身安全，监理人所发出的指令未能事先报委托人批准时，应在发出指令后的24小时内以书面形式报委托人。</w:t>
      </w:r>
    </w:p>
    <w:p w14:paraId="79A59692">
      <w:pPr>
        <w:spacing w:line="360" w:lineRule="auto"/>
        <w:ind w:firstLine="480" w:firstLineChars="200"/>
        <w:rPr>
          <w:rFonts w:hint="eastAsia" w:ascii="宋体"/>
          <w:szCs w:val="21"/>
        </w:rPr>
      </w:pPr>
      <w:r>
        <w:rPr>
          <w:rFonts w:hint="eastAsia" w:ascii="宋体"/>
          <w:szCs w:val="21"/>
        </w:rPr>
        <w:t>2.4.4 除专用条件另有约定外，监理人发现承包人的人员不能胜任本职工作的，有权要求承包人予以调换。</w:t>
      </w:r>
    </w:p>
    <w:p w14:paraId="35950507">
      <w:pPr>
        <w:spacing w:line="360" w:lineRule="auto"/>
        <w:ind w:firstLine="480" w:firstLineChars="200"/>
        <w:rPr>
          <w:rFonts w:hint="eastAsia" w:ascii="宋体"/>
          <w:szCs w:val="21"/>
        </w:rPr>
      </w:pPr>
      <w:r>
        <w:rPr>
          <w:rFonts w:hint="eastAsia" w:ascii="宋体"/>
          <w:szCs w:val="21"/>
        </w:rPr>
        <w:t>2.5 提交报告</w:t>
      </w:r>
    </w:p>
    <w:p w14:paraId="3D72D1EB">
      <w:pPr>
        <w:spacing w:line="360" w:lineRule="auto"/>
        <w:ind w:firstLine="480" w:firstLineChars="200"/>
        <w:rPr>
          <w:rFonts w:hint="eastAsia" w:ascii="宋体"/>
          <w:szCs w:val="21"/>
        </w:rPr>
      </w:pPr>
      <w:r>
        <w:rPr>
          <w:rFonts w:hint="eastAsia" w:ascii="宋体"/>
          <w:szCs w:val="21"/>
        </w:rPr>
        <w:t>监理人应按专用条件约定的种类、时间和份数向委托人提交监理与相关服务的报告。</w:t>
      </w:r>
    </w:p>
    <w:p w14:paraId="5E674A44">
      <w:pPr>
        <w:spacing w:line="360" w:lineRule="auto"/>
        <w:ind w:firstLine="480" w:firstLineChars="200"/>
        <w:rPr>
          <w:rFonts w:hint="eastAsia" w:ascii="宋体"/>
          <w:szCs w:val="21"/>
        </w:rPr>
      </w:pPr>
      <w:r>
        <w:rPr>
          <w:rFonts w:hint="eastAsia" w:ascii="宋体"/>
          <w:szCs w:val="21"/>
        </w:rPr>
        <w:t>2.6 文件资料</w:t>
      </w:r>
    </w:p>
    <w:p w14:paraId="65A66238">
      <w:pPr>
        <w:spacing w:line="360" w:lineRule="auto"/>
        <w:ind w:firstLine="480" w:firstLineChars="200"/>
        <w:rPr>
          <w:rFonts w:hint="eastAsia" w:ascii="宋体"/>
          <w:szCs w:val="21"/>
        </w:rPr>
      </w:pPr>
      <w:r>
        <w:rPr>
          <w:rFonts w:hint="eastAsia" w:ascii="宋体"/>
          <w:szCs w:val="21"/>
        </w:rPr>
        <w:t>在本合同履行期内，监理人应在现场保留工作所用的图纸、报告及记录监理工作的相关文件。工程竣工后，应当按照档案管理规定将监理有关文件归档。</w:t>
      </w:r>
    </w:p>
    <w:p w14:paraId="02303209">
      <w:pPr>
        <w:spacing w:line="360" w:lineRule="auto"/>
        <w:ind w:firstLine="480" w:firstLineChars="200"/>
        <w:rPr>
          <w:rFonts w:hint="eastAsia" w:ascii="宋体"/>
          <w:szCs w:val="21"/>
        </w:rPr>
      </w:pPr>
      <w:r>
        <w:rPr>
          <w:rFonts w:hint="eastAsia" w:ascii="宋体"/>
          <w:szCs w:val="21"/>
        </w:rPr>
        <w:t>2.7 使用委托人的财产</w:t>
      </w:r>
    </w:p>
    <w:p w14:paraId="7EFBB648">
      <w:pPr>
        <w:spacing w:line="360" w:lineRule="auto"/>
        <w:ind w:firstLine="480" w:firstLineChars="200"/>
        <w:rPr>
          <w:rFonts w:hint="eastAsia" w:ascii="宋体"/>
          <w:szCs w:val="21"/>
        </w:rPr>
      </w:pPr>
      <w:r>
        <w:rPr>
          <w:rFonts w:hint="eastAsia" w:ascii="宋体"/>
          <w:szCs w:val="21"/>
        </w:rPr>
        <w:t>监理人无偿使用附录B中由委托人派遣的人员和提供的房屋、资料、设备。除专用条件另有约定外，委托人提供的房屋、设备属于委托人的财产，监理人应妥善使用和保管，在本合同终止时将这些房屋、设备的清单提交委托人，并按专用条件约定的时间和方式移交。</w:t>
      </w:r>
    </w:p>
    <w:p w14:paraId="0B056AD2">
      <w:pPr>
        <w:spacing w:line="360" w:lineRule="auto"/>
        <w:ind w:firstLine="480" w:firstLineChars="200"/>
        <w:rPr>
          <w:rFonts w:hint="eastAsia" w:ascii="宋体"/>
          <w:szCs w:val="21"/>
        </w:rPr>
      </w:pPr>
      <w:r>
        <w:rPr>
          <w:rFonts w:hint="eastAsia" w:ascii="宋体"/>
          <w:szCs w:val="21"/>
        </w:rPr>
        <w:t>3．委托人的义务</w:t>
      </w:r>
    </w:p>
    <w:p w14:paraId="5E1A0179">
      <w:pPr>
        <w:spacing w:line="360" w:lineRule="auto"/>
        <w:ind w:firstLine="480" w:firstLineChars="200"/>
        <w:rPr>
          <w:rFonts w:hint="eastAsia" w:ascii="宋体"/>
          <w:szCs w:val="21"/>
        </w:rPr>
      </w:pPr>
      <w:r>
        <w:rPr>
          <w:rFonts w:hint="eastAsia" w:ascii="宋体"/>
          <w:szCs w:val="21"/>
        </w:rPr>
        <w:t>3.1 告知</w:t>
      </w:r>
    </w:p>
    <w:p w14:paraId="365E10C8">
      <w:pPr>
        <w:spacing w:line="360" w:lineRule="auto"/>
        <w:ind w:firstLine="480" w:firstLineChars="200"/>
        <w:rPr>
          <w:rFonts w:hint="eastAsia" w:ascii="宋体"/>
          <w:szCs w:val="21"/>
        </w:rPr>
      </w:pPr>
      <w:r>
        <w:rPr>
          <w:rFonts w:hint="eastAsia" w:ascii="宋体"/>
          <w:szCs w:val="21"/>
        </w:rPr>
        <w:t>委托人应在委托人与承包人签订的合同中明确监理人、总监理工程师和授予项目监理机构的权限。如有变更，应及时通知承包人。</w:t>
      </w:r>
    </w:p>
    <w:p w14:paraId="33036F90">
      <w:pPr>
        <w:spacing w:line="360" w:lineRule="auto"/>
        <w:ind w:firstLine="480" w:firstLineChars="200"/>
        <w:rPr>
          <w:rFonts w:hint="eastAsia" w:ascii="宋体"/>
          <w:szCs w:val="21"/>
        </w:rPr>
      </w:pPr>
      <w:r>
        <w:rPr>
          <w:rFonts w:hint="eastAsia" w:ascii="宋体"/>
          <w:szCs w:val="21"/>
        </w:rPr>
        <w:t>3.2 提供资料</w:t>
      </w:r>
    </w:p>
    <w:p w14:paraId="47807B21">
      <w:pPr>
        <w:spacing w:line="360" w:lineRule="auto"/>
        <w:ind w:firstLine="480" w:firstLineChars="200"/>
        <w:rPr>
          <w:rFonts w:hint="eastAsia" w:ascii="宋体"/>
          <w:szCs w:val="21"/>
        </w:rPr>
      </w:pPr>
      <w:r>
        <w:rPr>
          <w:rFonts w:hint="eastAsia" w:ascii="宋体"/>
          <w:szCs w:val="21"/>
        </w:rPr>
        <w:t>委托人应按照附录B约定，无偿向监理人提供工程有关的资料。在本合同履行过程中，委托人应及时向监理人提供最新的与工程有关的资料。</w:t>
      </w:r>
    </w:p>
    <w:p w14:paraId="62F8022F">
      <w:pPr>
        <w:spacing w:line="360" w:lineRule="auto"/>
        <w:ind w:firstLine="480" w:firstLineChars="200"/>
        <w:rPr>
          <w:rFonts w:hint="eastAsia" w:ascii="宋体"/>
          <w:szCs w:val="21"/>
        </w:rPr>
      </w:pPr>
      <w:r>
        <w:rPr>
          <w:rFonts w:hint="eastAsia" w:ascii="宋体"/>
          <w:szCs w:val="21"/>
        </w:rPr>
        <w:t>3.3 提供工作条件</w:t>
      </w:r>
    </w:p>
    <w:p w14:paraId="2B63EFB4">
      <w:pPr>
        <w:spacing w:line="360" w:lineRule="auto"/>
        <w:ind w:firstLine="480" w:firstLineChars="200"/>
        <w:rPr>
          <w:rFonts w:hint="eastAsia" w:ascii="宋体"/>
          <w:szCs w:val="21"/>
        </w:rPr>
      </w:pPr>
      <w:r>
        <w:rPr>
          <w:rFonts w:hint="eastAsia" w:ascii="宋体"/>
          <w:szCs w:val="21"/>
        </w:rPr>
        <w:t>委托人应为监理人完成监理与相关服务提供必要的条件。</w:t>
      </w:r>
    </w:p>
    <w:p w14:paraId="7B4F05FA">
      <w:pPr>
        <w:spacing w:line="360" w:lineRule="auto"/>
        <w:ind w:firstLine="480" w:firstLineChars="200"/>
        <w:rPr>
          <w:rFonts w:hint="eastAsia" w:ascii="宋体"/>
          <w:szCs w:val="21"/>
        </w:rPr>
      </w:pPr>
      <w:r>
        <w:rPr>
          <w:rFonts w:hint="eastAsia" w:ascii="宋体"/>
          <w:szCs w:val="21"/>
        </w:rPr>
        <w:t>3.3.1 委托人应按照附录B约定，派遣相应的人员，提供房屋、设备，供监理人无偿使用。</w:t>
      </w:r>
    </w:p>
    <w:p w14:paraId="175355E0">
      <w:pPr>
        <w:spacing w:line="360" w:lineRule="auto"/>
        <w:ind w:firstLine="480" w:firstLineChars="200"/>
        <w:rPr>
          <w:rFonts w:hint="eastAsia" w:ascii="宋体"/>
          <w:szCs w:val="21"/>
        </w:rPr>
      </w:pPr>
      <w:r>
        <w:rPr>
          <w:rFonts w:hint="eastAsia" w:ascii="宋体"/>
          <w:szCs w:val="21"/>
        </w:rPr>
        <w:t>3.3.2 委托人应负责协调工程建设中所有外部关系，为监理人履行本合同提供必要的外部条件。</w:t>
      </w:r>
    </w:p>
    <w:p w14:paraId="71DE1D43">
      <w:pPr>
        <w:spacing w:line="360" w:lineRule="auto"/>
        <w:ind w:firstLine="480" w:firstLineChars="200"/>
        <w:rPr>
          <w:rFonts w:hint="eastAsia" w:ascii="宋体"/>
          <w:szCs w:val="21"/>
        </w:rPr>
      </w:pPr>
      <w:r>
        <w:rPr>
          <w:rFonts w:hint="eastAsia" w:ascii="宋体"/>
          <w:szCs w:val="21"/>
        </w:rPr>
        <w:t>3.4 委托人代表</w:t>
      </w:r>
    </w:p>
    <w:p w14:paraId="44762DB4">
      <w:pPr>
        <w:spacing w:line="360" w:lineRule="auto"/>
        <w:ind w:firstLine="480" w:firstLineChars="200"/>
        <w:rPr>
          <w:rFonts w:hint="eastAsia" w:ascii="宋体"/>
          <w:szCs w:val="21"/>
        </w:rPr>
      </w:pPr>
      <w:r>
        <w:rPr>
          <w:rFonts w:hint="eastAsia" w:ascii="宋体"/>
          <w:szCs w:val="21"/>
        </w:rPr>
        <w:t>委托人应授权一名熟悉工程情况的代表，负责与监理人联系。委托人应在双方签订本合同后7天内，将委托人代表的姓名和职责书面告知监理人。当委托人更换委托人代表时，应提前7天通知监理人。</w:t>
      </w:r>
    </w:p>
    <w:p w14:paraId="6A19DB54">
      <w:pPr>
        <w:spacing w:line="360" w:lineRule="auto"/>
        <w:ind w:firstLine="480" w:firstLineChars="200"/>
        <w:rPr>
          <w:rFonts w:hint="eastAsia" w:ascii="宋体"/>
          <w:szCs w:val="21"/>
        </w:rPr>
      </w:pPr>
      <w:r>
        <w:rPr>
          <w:rFonts w:hint="eastAsia" w:ascii="宋体"/>
          <w:szCs w:val="21"/>
        </w:rPr>
        <w:t>3.5 委托人意见或要求</w:t>
      </w:r>
    </w:p>
    <w:p w14:paraId="607FBD45">
      <w:pPr>
        <w:spacing w:line="360" w:lineRule="auto"/>
        <w:ind w:firstLine="480" w:firstLineChars="200"/>
        <w:rPr>
          <w:rFonts w:hint="eastAsia" w:ascii="宋体"/>
          <w:szCs w:val="21"/>
        </w:rPr>
      </w:pPr>
      <w:r>
        <w:rPr>
          <w:rFonts w:hint="eastAsia" w:ascii="宋体"/>
          <w:szCs w:val="21"/>
        </w:rPr>
        <w:t>在本合同约定的监理与相关服务工作范围内，委托人对承包人的任何意见或要求应通知监理人，由监理人向承包人发出相应指令。</w:t>
      </w:r>
    </w:p>
    <w:p w14:paraId="0B761A5B">
      <w:pPr>
        <w:spacing w:line="360" w:lineRule="auto"/>
        <w:ind w:firstLine="480" w:firstLineChars="200"/>
        <w:rPr>
          <w:rFonts w:hint="eastAsia" w:ascii="宋体"/>
          <w:szCs w:val="21"/>
        </w:rPr>
      </w:pPr>
      <w:r>
        <w:rPr>
          <w:rFonts w:hint="eastAsia" w:ascii="宋体"/>
          <w:szCs w:val="21"/>
        </w:rPr>
        <w:t>3.6 答复</w:t>
      </w:r>
    </w:p>
    <w:p w14:paraId="5C0D5578">
      <w:pPr>
        <w:spacing w:line="360" w:lineRule="auto"/>
        <w:ind w:firstLine="480" w:firstLineChars="200"/>
        <w:rPr>
          <w:rFonts w:hint="eastAsia" w:ascii="宋体"/>
          <w:szCs w:val="21"/>
        </w:rPr>
      </w:pPr>
      <w:r>
        <w:rPr>
          <w:rFonts w:hint="eastAsia" w:ascii="宋体"/>
          <w:szCs w:val="21"/>
        </w:rPr>
        <w:t>委托人应在专用条件约定的时间内，对监理人以书面形式提交并要求作出决定的事宜，给予书面答复。逾期未答复的，视为委托人认可。</w:t>
      </w:r>
    </w:p>
    <w:p w14:paraId="36737195">
      <w:pPr>
        <w:spacing w:line="360" w:lineRule="auto"/>
        <w:ind w:firstLine="480" w:firstLineChars="200"/>
        <w:rPr>
          <w:rFonts w:hint="eastAsia" w:ascii="宋体"/>
          <w:szCs w:val="21"/>
        </w:rPr>
      </w:pPr>
      <w:r>
        <w:rPr>
          <w:rFonts w:hint="eastAsia" w:ascii="宋体"/>
          <w:szCs w:val="21"/>
        </w:rPr>
        <w:t>3.7 支付</w:t>
      </w:r>
    </w:p>
    <w:p w14:paraId="129D406D">
      <w:pPr>
        <w:spacing w:line="360" w:lineRule="auto"/>
        <w:ind w:firstLine="480" w:firstLineChars="200"/>
        <w:rPr>
          <w:rFonts w:hint="eastAsia" w:ascii="宋体"/>
          <w:szCs w:val="21"/>
        </w:rPr>
      </w:pPr>
      <w:r>
        <w:rPr>
          <w:rFonts w:hint="eastAsia" w:ascii="宋体"/>
          <w:szCs w:val="21"/>
        </w:rPr>
        <w:t>委托人应按本合同约定，向监理人支付酬金。</w:t>
      </w:r>
    </w:p>
    <w:p w14:paraId="2F53027C">
      <w:pPr>
        <w:spacing w:line="360" w:lineRule="auto"/>
        <w:ind w:firstLine="480" w:firstLineChars="200"/>
        <w:rPr>
          <w:rFonts w:hint="eastAsia" w:ascii="宋体"/>
          <w:szCs w:val="21"/>
        </w:rPr>
      </w:pPr>
      <w:r>
        <w:rPr>
          <w:rFonts w:hint="eastAsia" w:ascii="宋体"/>
          <w:szCs w:val="21"/>
        </w:rPr>
        <w:t>4. 违约责任</w:t>
      </w:r>
    </w:p>
    <w:p w14:paraId="43AF3E81">
      <w:pPr>
        <w:spacing w:line="360" w:lineRule="auto"/>
        <w:ind w:firstLine="480" w:firstLineChars="200"/>
        <w:rPr>
          <w:rFonts w:hint="eastAsia" w:ascii="宋体"/>
          <w:szCs w:val="21"/>
        </w:rPr>
      </w:pPr>
      <w:r>
        <w:rPr>
          <w:rFonts w:hint="eastAsia" w:ascii="宋体"/>
          <w:szCs w:val="21"/>
        </w:rPr>
        <w:t>4.1 监理人的违约责任</w:t>
      </w:r>
    </w:p>
    <w:p w14:paraId="0D8EB91F">
      <w:pPr>
        <w:spacing w:line="360" w:lineRule="auto"/>
        <w:ind w:firstLine="480" w:firstLineChars="200"/>
        <w:rPr>
          <w:rFonts w:hint="eastAsia" w:ascii="宋体"/>
          <w:szCs w:val="21"/>
        </w:rPr>
      </w:pPr>
      <w:r>
        <w:rPr>
          <w:rFonts w:hint="eastAsia" w:ascii="宋体"/>
          <w:szCs w:val="21"/>
        </w:rPr>
        <w:t>监理人未履行本合同义务的，应承担相应的责任。</w:t>
      </w:r>
    </w:p>
    <w:p w14:paraId="58FA6F77">
      <w:pPr>
        <w:spacing w:line="360" w:lineRule="auto"/>
        <w:ind w:firstLine="480" w:firstLineChars="200"/>
        <w:rPr>
          <w:rFonts w:hint="eastAsia" w:ascii="宋体"/>
          <w:szCs w:val="21"/>
        </w:rPr>
      </w:pPr>
      <w:r>
        <w:rPr>
          <w:rFonts w:hint="eastAsia" w:ascii="宋体"/>
          <w:szCs w:val="21"/>
        </w:rPr>
        <w:t>4.1.1 因监理人违反本合同约定给委托人造成损失的，监理人应当赔偿委托人损失。赔偿金额的确定方法在专用条件中约定。监理人承担部分赔偿责任的，其承担赔偿金额由双方协商确定。</w:t>
      </w:r>
    </w:p>
    <w:p w14:paraId="2E885A56">
      <w:pPr>
        <w:spacing w:line="360" w:lineRule="auto"/>
        <w:ind w:firstLine="480" w:firstLineChars="200"/>
        <w:rPr>
          <w:rFonts w:hint="eastAsia" w:ascii="宋体"/>
          <w:szCs w:val="21"/>
        </w:rPr>
      </w:pPr>
      <w:r>
        <w:rPr>
          <w:rFonts w:hint="eastAsia" w:ascii="宋体"/>
          <w:szCs w:val="21"/>
        </w:rPr>
        <w:t>4.1.2 监理人向委托人的索赔不成立时，监理人应赔偿委托人由此发生的费用。</w:t>
      </w:r>
    </w:p>
    <w:p w14:paraId="1D668229">
      <w:pPr>
        <w:spacing w:line="360" w:lineRule="auto"/>
        <w:ind w:firstLine="480" w:firstLineChars="200"/>
        <w:rPr>
          <w:rFonts w:hint="eastAsia" w:ascii="宋体"/>
          <w:szCs w:val="21"/>
        </w:rPr>
      </w:pPr>
      <w:r>
        <w:rPr>
          <w:rFonts w:hint="eastAsia" w:ascii="宋体"/>
          <w:szCs w:val="21"/>
        </w:rPr>
        <w:t>4.2 委托人的违约责任</w:t>
      </w:r>
    </w:p>
    <w:p w14:paraId="025B1132">
      <w:pPr>
        <w:spacing w:line="360" w:lineRule="auto"/>
        <w:ind w:firstLine="480" w:firstLineChars="200"/>
        <w:rPr>
          <w:rFonts w:hint="eastAsia" w:ascii="宋体"/>
          <w:szCs w:val="21"/>
        </w:rPr>
      </w:pPr>
      <w:r>
        <w:rPr>
          <w:rFonts w:hint="eastAsia" w:ascii="宋体"/>
          <w:szCs w:val="21"/>
        </w:rPr>
        <w:t>委托人未履行本合同义务的，应承担相应的责任。</w:t>
      </w:r>
    </w:p>
    <w:p w14:paraId="3E6B178C">
      <w:pPr>
        <w:spacing w:line="360" w:lineRule="auto"/>
        <w:ind w:firstLine="480" w:firstLineChars="200"/>
        <w:rPr>
          <w:rFonts w:hint="eastAsia" w:ascii="宋体"/>
          <w:szCs w:val="21"/>
        </w:rPr>
      </w:pPr>
      <w:r>
        <w:rPr>
          <w:rFonts w:hint="eastAsia" w:ascii="宋体"/>
          <w:szCs w:val="21"/>
        </w:rPr>
        <w:t>4.2.1 委托人违反本合同约定造成监理人损失的，委托人应予以赔偿。</w:t>
      </w:r>
    </w:p>
    <w:p w14:paraId="74F23FB5">
      <w:pPr>
        <w:spacing w:line="360" w:lineRule="auto"/>
        <w:ind w:firstLine="480" w:firstLineChars="200"/>
        <w:rPr>
          <w:rFonts w:hint="eastAsia" w:ascii="宋体"/>
          <w:szCs w:val="21"/>
        </w:rPr>
      </w:pPr>
      <w:r>
        <w:rPr>
          <w:rFonts w:hint="eastAsia" w:ascii="宋体"/>
          <w:szCs w:val="21"/>
        </w:rPr>
        <w:t>4.2.2 委托人向监理人的索赔不成立时，应赔偿监理人由此引起的费用。</w:t>
      </w:r>
    </w:p>
    <w:p w14:paraId="4EA5C68E">
      <w:pPr>
        <w:spacing w:line="360" w:lineRule="auto"/>
        <w:ind w:firstLine="480" w:firstLineChars="200"/>
        <w:rPr>
          <w:rFonts w:hint="eastAsia" w:ascii="宋体"/>
          <w:szCs w:val="21"/>
        </w:rPr>
      </w:pPr>
      <w:r>
        <w:rPr>
          <w:rFonts w:hint="eastAsia" w:ascii="宋体"/>
          <w:szCs w:val="21"/>
        </w:rPr>
        <w:t>4.2.3 委托人未能按期支付酬金超过28天，应按专用条件约定支付逾期付款利息。</w:t>
      </w:r>
    </w:p>
    <w:p w14:paraId="50630C47">
      <w:pPr>
        <w:spacing w:line="360" w:lineRule="auto"/>
        <w:ind w:firstLine="480" w:firstLineChars="200"/>
        <w:rPr>
          <w:rFonts w:hint="eastAsia" w:ascii="宋体"/>
          <w:szCs w:val="21"/>
        </w:rPr>
      </w:pPr>
      <w:r>
        <w:rPr>
          <w:rFonts w:hint="eastAsia" w:ascii="宋体"/>
          <w:szCs w:val="21"/>
        </w:rPr>
        <w:t>4.3 除外责任</w:t>
      </w:r>
    </w:p>
    <w:p w14:paraId="4D9CFCC4">
      <w:pPr>
        <w:spacing w:line="360" w:lineRule="auto"/>
        <w:ind w:firstLine="480" w:firstLineChars="200"/>
        <w:rPr>
          <w:rFonts w:hint="eastAsia" w:ascii="宋体"/>
          <w:szCs w:val="21"/>
        </w:rPr>
      </w:pPr>
      <w:r>
        <w:rPr>
          <w:rFonts w:hint="eastAsia" w:ascii="宋体"/>
          <w:szCs w:val="21"/>
        </w:rPr>
        <w:t>因非监理人的原因，且监理人无过错，发生工程质量事故、安全事故、工期延误等造成的损失，监理人不承担赔偿责任。</w:t>
      </w:r>
    </w:p>
    <w:p w14:paraId="73F763CF">
      <w:pPr>
        <w:spacing w:line="360" w:lineRule="auto"/>
        <w:ind w:firstLine="480" w:firstLineChars="200"/>
        <w:rPr>
          <w:rFonts w:hint="eastAsia" w:ascii="宋体"/>
          <w:szCs w:val="21"/>
        </w:rPr>
      </w:pPr>
      <w:r>
        <w:rPr>
          <w:rFonts w:hint="eastAsia" w:ascii="宋体"/>
          <w:szCs w:val="21"/>
        </w:rPr>
        <w:t>因不可抗力导致本合同全部或部分不能履行时，双方各自承担其因此而造成的损失、损害。</w:t>
      </w:r>
    </w:p>
    <w:p w14:paraId="7D5638A6">
      <w:pPr>
        <w:spacing w:line="360" w:lineRule="auto"/>
        <w:ind w:firstLine="480" w:firstLineChars="200"/>
        <w:rPr>
          <w:rFonts w:hint="eastAsia" w:ascii="宋体"/>
          <w:szCs w:val="21"/>
        </w:rPr>
      </w:pPr>
      <w:r>
        <w:rPr>
          <w:rFonts w:hint="eastAsia" w:ascii="宋体"/>
          <w:szCs w:val="21"/>
        </w:rPr>
        <w:t>5. 支付</w:t>
      </w:r>
    </w:p>
    <w:p w14:paraId="1AC2CC32">
      <w:pPr>
        <w:spacing w:line="360" w:lineRule="auto"/>
        <w:ind w:firstLine="480" w:firstLineChars="200"/>
        <w:rPr>
          <w:rFonts w:hint="eastAsia" w:ascii="宋体"/>
          <w:szCs w:val="21"/>
        </w:rPr>
      </w:pPr>
      <w:r>
        <w:rPr>
          <w:rFonts w:hint="eastAsia" w:ascii="宋体"/>
          <w:szCs w:val="21"/>
        </w:rPr>
        <w:t>5.1 支付货币</w:t>
      </w:r>
    </w:p>
    <w:p w14:paraId="2FD3EFD8">
      <w:pPr>
        <w:spacing w:line="360" w:lineRule="auto"/>
        <w:ind w:firstLine="480" w:firstLineChars="200"/>
        <w:rPr>
          <w:rFonts w:hint="eastAsia" w:ascii="宋体"/>
          <w:szCs w:val="21"/>
        </w:rPr>
      </w:pPr>
      <w:r>
        <w:rPr>
          <w:rFonts w:hint="eastAsia" w:ascii="宋体"/>
          <w:szCs w:val="21"/>
        </w:rPr>
        <w:t>除专用条件另有约定外，酬金均以人民币支付。涉及外币支付的，所采用的货币种类、比例和汇率在专用条件中约定。</w:t>
      </w:r>
    </w:p>
    <w:p w14:paraId="311F86A9">
      <w:pPr>
        <w:spacing w:line="360" w:lineRule="auto"/>
        <w:ind w:firstLine="480" w:firstLineChars="200"/>
        <w:rPr>
          <w:rFonts w:hint="eastAsia" w:ascii="宋体"/>
          <w:szCs w:val="21"/>
        </w:rPr>
      </w:pPr>
      <w:r>
        <w:rPr>
          <w:rFonts w:hint="eastAsia" w:ascii="宋体"/>
          <w:szCs w:val="21"/>
        </w:rPr>
        <w:t>5.2 支付申请</w:t>
      </w:r>
    </w:p>
    <w:p w14:paraId="64F5117F">
      <w:pPr>
        <w:spacing w:line="360" w:lineRule="auto"/>
        <w:ind w:firstLine="480" w:firstLineChars="200"/>
        <w:rPr>
          <w:rFonts w:hint="eastAsia" w:ascii="宋体"/>
          <w:szCs w:val="21"/>
        </w:rPr>
      </w:pPr>
      <w:r>
        <w:rPr>
          <w:rFonts w:hint="eastAsia" w:ascii="宋体"/>
          <w:szCs w:val="21"/>
        </w:rPr>
        <w:t>监理人应在本合同约定的每次应付款时间的7天前，向委托人提交支付申请书。支付申请书应当说明当期应付款总额，并列出当期应支付的款项及其金额。</w:t>
      </w:r>
    </w:p>
    <w:p w14:paraId="00A60D36">
      <w:pPr>
        <w:spacing w:line="360" w:lineRule="auto"/>
        <w:ind w:firstLine="480" w:firstLineChars="200"/>
        <w:rPr>
          <w:rFonts w:hint="eastAsia" w:ascii="宋体"/>
          <w:szCs w:val="21"/>
        </w:rPr>
      </w:pPr>
      <w:r>
        <w:rPr>
          <w:rFonts w:hint="eastAsia" w:ascii="宋体"/>
          <w:szCs w:val="21"/>
        </w:rPr>
        <w:t xml:space="preserve"> 5.3 支付酬金</w:t>
      </w:r>
    </w:p>
    <w:p w14:paraId="612B1EB6">
      <w:pPr>
        <w:spacing w:line="360" w:lineRule="auto"/>
        <w:ind w:firstLine="480" w:firstLineChars="200"/>
        <w:rPr>
          <w:rFonts w:hint="eastAsia" w:ascii="宋体"/>
          <w:szCs w:val="21"/>
        </w:rPr>
      </w:pPr>
      <w:r>
        <w:rPr>
          <w:rFonts w:hint="eastAsia" w:ascii="宋体"/>
          <w:szCs w:val="21"/>
        </w:rPr>
        <w:t>支付的酬金包括正常工作酬金、附加工作酬金、合理化建议奖励金额及费用。</w:t>
      </w:r>
    </w:p>
    <w:p w14:paraId="65D1169C">
      <w:pPr>
        <w:spacing w:line="360" w:lineRule="auto"/>
        <w:ind w:firstLine="480" w:firstLineChars="200"/>
        <w:rPr>
          <w:rFonts w:hint="eastAsia" w:ascii="宋体"/>
          <w:szCs w:val="21"/>
        </w:rPr>
      </w:pPr>
      <w:r>
        <w:rPr>
          <w:rFonts w:hint="eastAsia" w:ascii="宋体"/>
          <w:szCs w:val="21"/>
        </w:rPr>
        <w:t xml:space="preserve">  5.4 有争议部分的付款</w:t>
      </w:r>
    </w:p>
    <w:p w14:paraId="6737A1AE">
      <w:pPr>
        <w:spacing w:line="360" w:lineRule="auto"/>
        <w:ind w:firstLine="480" w:firstLineChars="200"/>
        <w:rPr>
          <w:rFonts w:hint="eastAsia" w:ascii="宋体"/>
          <w:szCs w:val="21"/>
        </w:rPr>
      </w:pPr>
      <w:r>
        <w:rPr>
          <w:rFonts w:hint="eastAsia" w:ascii="宋体"/>
          <w:szCs w:val="21"/>
        </w:rPr>
        <w:t>委托人对监理人提交的支付申请书有异议时，应当在收到监理人提交的支付申请书后7天内，以书面形式向监理人发出异议通知。无异议部分的款项应按期支付，有异议部分的款项按第7条约定办理。</w:t>
      </w:r>
    </w:p>
    <w:p w14:paraId="34B5B707">
      <w:pPr>
        <w:spacing w:line="360" w:lineRule="auto"/>
        <w:ind w:firstLine="480" w:firstLineChars="200"/>
        <w:rPr>
          <w:rFonts w:hint="eastAsia" w:ascii="宋体"/>
          <w:szCs w:val="21"/>
        </w:rPr>
      </w:pPr>
      <w:r>
        <w:rPr>
          <w:rFonts w:hint="eastAsia" w:ascii="宋体"/>
          <w:szCs w:val="21"/>
        </w:rPr>
        <w:t>6. 合同生效、变更、暂停、解除与终止</w:t>
      </w:r>
    </w:p>
    <w:p w14:paraId="3C62DDB1">
      <w:pPr>
        <w:spacing w:line="360" w:lineRule="auto"/>
        <w:ind w:firstLine="480" w:firstLineChars="200"/>
        <w:rPr>
          <w:rFonts w:hint="eastAsia" w:ascii="宋体"/>
          <w:szCs w:val="21"/>
        </w:rPr>
      </w:pPr>
      <w:r>
        <w:rPr>
          <w:rFonts w:hint="eastAsia" w:ascii="宋体"/>
          <w:szCs w:val="21"/>
        </w:rPr>
        <w:t>6.1生效</w:t>
      </w:r>
    </w:p>
    <w:p w14:paraId="78B8B209">
      <w:pPr>
        <w:spacing w:line="360" w:lineRule="auto"/>
        <w:ind w:firstLine="480" w:firstLineChars="200"/>
        <w:rPr>
          <w:rFonts w:hint="eastAsia" w:ascii="宋体"/>
          <w:szCs w:val="21"/>
        </w:rPr>
      </w:pPr>
      <w:r>
        <w:rPr>
          <w:rFonts w:hint="eastAsia" w:ascii="宋体"/>
          <w:szCs w:val="21"/>
        </w:rPr>
        <w:t>除法律另有规定或者专用条件另有约定外，委托人和监理人的法定代表人或其授权代理人在协议书上签字并盖单位章后本合同生效。</w:t>
      </w:r>
    </w:p>
    <w:p w14:paraId="06075DD7">
      <w:pPr>
        <w:spacing w:line="360" w:lineRule="auto"/>
        <w:ind w:firstLine="480" w:firstLineChars="200"/>
        <w:rPr>
          <w:rFonts w:hint="eastAsia" w:ascii="宋体"/>
          <w:szCs w:val="21"/>
        </w:rPr>
      </w:pPr>
      <w:r>
        <w:rPr>
          <w:rFonts w:hint="eastAsia" w:ascii="宋体"/>
          <w:szCs w:val="21"/>
        </w:rPr>
        <w:t>6.2变更</w:t>
      </w:r>
    </w:p>
    <w:p w14:paraId="1086AE2D">
      <w:pPr>
        <w:spacing w:line="360" w:lineRule="auto"/>
        <w:ind w:firstLine="480" w:firstLineChars="200"/>
        <w:rPr>
          <w:rFonts w:hint="eastAsia" w:ascii="宋体"/>
          <w:szCs w:val="21"/>
        </w:rPr>
      </w:pPr>
      <w:r>
        <w:rPr>
          <w:rFonts w:hint="eastAsia" w:ascii="宋体"/>
          <w:szCs w:val="21"/>
        </w:rPr>
        <w:t>6.2.1 任何一方提出变更请求时，双方经协商一致后可进行变更。</w:t>
      </w:r>
    </w:p>
    <w:p w14:paraId="7D0F8050">
      <w:pPr>
        <w:spacing w:line="360" w:lineRule="auto"/>
        <w:ind w:firstLine="480" w:firstLineChars="200"/>
        <w:rPr>
          <w:rFonts w:hint="eastAsia" w:ascii="宋体"/>
          <w:szCs w:val="21"/>
        </w:rPr>
      </w:pPr>
      <w:r>
        <w:rPr>
          <w:rFonts w:hint="eastAsia" w:ascii="宋体"/>
          <w:szCs w:val="21"/>
        </w:rPr>
        <w:t>6.2.2除不可抗力外，因非监理人原因导致监理人履行合同期限延长、内容增加时，监理人应当将此情况与可能产生的影响及时通知委托人。增加的监理工作时间、工作内容应视为附加工作。附加工作酬金的确定方法在专用条件中约定。</w:t>
      </w:r>
    </w:p>
    <w:p w14:paraId="6304DB28">
      <w:pPr>
        <w:spacing w:line="360" w:lineRule="auto"/>
        <w:ind w:firstLine="480" w:firstLineChars="200"/>
        <w:rPr>
          <w:rFonts w:hint="eastAsia" w:ascii="宋体"/>
          <w:szCs w:val="21"/>
        </w:rPr>
      </w:pPr>
      <w:r>
        <w:rPr>
          <w:rFonts w:hint="eastAsia" w:ascii="宋体"/>
          <w:szCs w:val="21"/>
        </w:rPr>
        <w:t>6.2.3合同生效后，如果实际情况发生变化使得监理人不能完成全部或部分工作时，监理人应立即通知委托人。除不可抗力外，其善后工作以及恢复服务的准备工作应为附加工作，附加工作酬金的确定方法在专用条件中约定。监理人用于恢复服务的准备时间不应超过28天。</w:t>
      </w:r>
    </w:p>
    <w:p w14:paraId="419FA919">
      <w:pPr>
        <w:spacing w:line="360" w:lineRule="auto"/>
        <w:ind w:firstLine="480" w:firstLineChars="200"/>
        <w:rPr>
          <w:rFonts w:hint="eastAsia" w:ascii="宋体"/>
          <w:szCs w:val="21"/>
        </w:rPr>
      </w:pPr>
      <w:r>
        <w:rPr>
          <w:rFonts w:hint="eastAsia" w:ascii="宋体"/>
          <w:szCs w:val="21"/>
        </w:rPr>
        <w:t>6.2.4合同签订后，遇有与工程相关的法律法规、标准颁布或修订的，双方应遵照执行。由此引起监理与相关服务的范围、时间、酬金变化的，双方应通过协商进行相应调整。</w:t>
      </w:r>
    </w:p>
    <w:p w14:paraId="2D25FEB5">
      <w:pPr>
        <w:spacing w:line="360" w:lineRule="auto"/>
        <w:ind w:firstLine="480" w:firstLineChars="200"/>
        <w:rPr>
          <w:rFonts w:hint="eastAsia" w:ascii="宋体"/>
          <w:szCs w:val="21"/>
        </w:rPr>
      </w:pPr>
      <w:r>
        <w:rPr>
          <w:rFonts w:hint="eastAsia" w:ascii="宋体"/>
          <w:szCs w:val="21"/>
        </w:rPr>
        <w:t>6.2.5 因非监理人原因造成工程概算投资额或建筑安装工程费增加时，正常工作酬金应作相应调整。调整方法在专用条件中约定。</w:t>
      </w:r>
    </w:p>
    <w:p w14:paraId="77E58EFB">
      <w:pPr>
        <w:spacing w:line="360" w:lineRule="auto"/>
        <w:ind w:firstLine="480" w:firstLineChars="200"/>
        <w:rPr>
          <w:rFonts w:hint="eastAsia" w:ascii="宋体"/>
          <w:szCs w:val="21"/>
        </w:rPr>
      </w:pPr>
      <w:r>
        <w:rPr>
          <w:rFonts w:hint="eastAsia" w:ascii="宋体"/>
          <w:szCs w:val="21"/>
        </w:rPr>
        <w:t>6.2.6 因工程规模、监理范围的变化导致监理人的正常工作量减少时，正常工作酬金应作相应调整。调整方法在专用条件中约定。</w:t>
      </w:r>
    </w:p>
    <w:p w14:paraId="3BA2C7C3">
      <w:pPr>
        <w:spacing w:line="360" w:lineRule="auto"/>
        <w:ind w:firstLine="480" w:firstLineChars="200"/>
        <w:rPr>
          <w:rFonts w:hint="eastAsia" w:ascii="宋体"/>
          <w:szCs w:val="21"/>
        </w:rPr>
      </w:pPr>
      <w:r>
        <w:rPr>
          <w:rFonts w:hint="eastAsia" w:ascii="宋体"/>
          <w:szCs w:val="21"/>
        </w:rPr>
        <w:t xml:space="preserve">  6.3 暂停与解除</w:t>
      </w:r>
    </w:p>
    <w:p w14:paraId="6D269C96">
      <w:pPr>
        <w:spacing w:line="360" w:lineRule="auto"/>
        <w:ind w:firstLine="480" w:firstLineChars="200"/>
        <w:rPr>
          <w:rFonts w:hint="eastAsia" w:ascii="宋体"/>
          <w:szCs w:val="21"/>
        </w:rPr>
      </w:pPr>
      <w:r>
        <w:rPr>
          <w:rFonts w:hint="eastAsia" w:ascii="宋体"/>
          <w:szCs w:val="21"/>
        </w:rPr>
        <w:t>除双方协商一致可以解除本合同外，当一方无正当理由未履行本合同约定的义务时，另一方可以根据本合同约定暂停履行本合同直至解除本合同。</w:t>
      </w:r>
    </w:p>
    <w:p w14:paraId="6558EF49">
      <w:pPr>
        <w:spacing w:line="360" w:lineRule="auto"/>
        <w:ind w:firstLine="480" w:firstLineChars="200"/>
        <w:rPr>
          <w:rFonts w:hint="eastAsia" w:ascii="宋体"/>
          <w:szCs w:val="21"/>
        </w:rPr>
      </w:pPr>
      <w:r>
        <w:rPr>
          <w:rFonts w:hint="eastAsia" w:ascii="宋体"/>
          <w:szCs w:val="21"/>
        </w:rPr>
        <w:t>6.3.1 在本合同有效期内，由于双方无法预见和控制的原因导致本合同全部或部分无法继续履行或继续履行已无意义，经双方协商一致，可以解除本合同或监理人的部分义务。在解除之前，监理人应作出合理安排，使开支减至最小。</w:t>
      </w:r>
    </w:p>
    <w:p w14:paraId="7E3A9BC3">
      <w:pPr>
        <w:spacing w:line="360" w:lineRule="auto"/>
        <w:ind w:firstLine="480" w:firstLineChars="200"/>
        <w:rPr>
          <w:rFonts w:hint="eastAsia" w:ascii="宋体"/>
          <w:szCs w:val="21"/>
        </w:rPr>
      </w:pPr>
      <w:r>
        <w:rPr>
          <w:rFonts w:hint="eastAsia" w:ascii="宋体"/>
          <w:szCs w:val="21"/>
        </w:rPr>
        <w:t>因解除本合同或解除监理人的部分义务导致监理人遭受的损失，除依法可以免除责任的情况外，应由委托人予以补偿，补偿金额由双方协商确定。</w:t>
      </w:r>
    </w:p>
    <w:p w14:paraId="47161D34">
      <w:pPr>
        <w:spacing w:line="360" w:lineRule="auto"/>
        <w:ind w:firstLine="480" w:firstLineChars="200"/>
        <w:rPr>
          <w:rFonts w:hint="eastAsia" w:ascii="宋体"/>
          <w:szCs w:val="21"/>
        </w:rPr>
      </w:pPr>
      <w:r>
        <w:rPr>
          <w:rFonts w:hint="eastAsia" w:ascii="宋体"/>
          <w:szCs w:val="21"/>
        </w:rPr>
        <w:t>解除本合同的协议必须采取书面形式，协议未达成之前，本合同仍然有效。</w:t>
      </w:r>
    </w:p>
    <w:p w14:paraId="5ECE508C">
      <w:pPr>
        <w:spacing w:line="360" w:lineRule="auto"/>
        <w:ind w:firstLine="480" w:firstLineChars="200"/>
        <w:rPr>
          <w:rFonts w:hint="eastAsia" w:ascii="宋体"/>
          <w:szCs w:val="21"/>
        </w:rPr>
      </w:pPr>
      <w:r>
        <w:rPr>
          <w:rFonts w:hint="eastAsia" w:ascii="宋体"/>
          <w:szCs w:val="21"/>
        </w:rPr>
        <w:t>6.3.2 在本合同有效期内，因非监理人的原因导致工程施工全部或部分暂停，委托人可通知监理人要求暂停全部或部分工作。监理人应立即安排停止工作，并将开支减至最小。除不可抗力外，由此导致监理人遭受的损失应由委托人予以补偿。</w:t>
      </w:r>
    </w:p>
    <w:p w14:paraId="1FB7BCE5">
      <w:pPr>
        <w:spacing w:line="360" w:lineRule="auto"/>
        <w:ind w:firstLine="480" w:firstLineChars="200"/>
        <w:rPr>
          <w:rFonts w:hint="eastAsia" w:ascii="宋体"/>
          <w:szCs w:val="21"/>
        </w:rPr>
      </w:pPr>
      <w:r>
        <w:rPr>
          <w:rFonts w:hint="eastAsia" w:ascii="宋体"/>
          <w:szCs w:val="21"/>
        </w:rPr>
        <w:t>暂停部分监理与相关服务时间超过182天，监理人可发出解除本合同约定的该部分义务的通知；暂停全部工作时间超过182天，监理人可发出解除本合同的通知，本合同自通知到达委托人时解除。委托人应将监理与相关服务的酬金支付至本合同解除日，且应承担第4.2款约定的责任。</w:t>
      </w:r>
    </w:p>
    <w:p w14:paraId="251DE420">
      <w:pPr>
        <w:spacing w:line="360" w:lineRule="auto"/>
        <w:ind w:firstLine="480" w:firstLineChars="200"/>
        <w:rPr>
          <w:rFonts w:hint="eastAsia" w:ascii="宋体"/>
          <w:szCs w:val="21"/>
        </w:rPr>
      </w:pPr>
      <w:r>
        <w:rPr>
          <w:rFonts w:hint="eastAsia" w:ascii="宋体"/>
          <w:szCs w:val="21"/>
        </w:rPr>
        <w:t>6.3.3 当监理人无正当理由未履行本合同约定的义务时，委托人应通知监理人限期改正。若委托人在监理人接到通知后的7天内未收到监理人书面形式的合理解释，则可在7天内发出解除本合同的通知，自通知到达监理人时本合同解除。委托人应将监理与相关服务的酬金支付至限期改正通知到达监理人之日，但监理人应承担第4.1款约定的责任。</w:t>
      </w:r>
    </w:p>
    <w:p w14:paraId="6E91ACA4">
      <w:pPr>
        <w:spacing w:line="360" w:lineRule="auto"/>
        <w:ind w:firstLine="480" w:firstLineChars="200"/>
        <w:rPr>
          <w:rFonts w:hint="eastAsia" w:ascii="宋体"/>
          <w:szCs w:val="21"/>
        </w:rPr>
      </w:pPr>
      <w:r>
        <w:rPr>
          <w:rFonts w:hint="eastAsia" w:ascii="宋体"/>
          <w:szCs w:val="21"/>
        </w:rPr>
        <w:t>6.3.4 监理人在专用条件5.3中约定的支付之日起28天后仍未收到委托人按本合同约定应付的款项，可向委托人发出催付通知。委托人接到通知14天后仍未支付或未提出监理人可以接受的延期支付安排，监理人可向委托人发出暂停工作的通知并可自行暂停全部或部分工作。暂停工作后14天内监理人仍未获得委托人应付酬金或委托人的合理答复，监理人可向委托人发出解除本合同的通知，自通知到达委托人时本合同解除。委托人应承担第4.2.3款约定的责任。</w:t>
      </w:r>
    </w:p>
    <w:p w14:paraId="6001690A">
      <w:pPr>
        <w:spacing w:line="360" w:lineRule="auto"/>
        <w:ind w:firstLine="480" w:firstLineChars="200"/>
        <w:rPr>
          <w:rFonts w:hint="eastAsia" w:ascii="宋体"/>
          <w:szCs w:val="21"/>
        </w:rPr>
      </w:pPr>
      <w:r>
        <w:rPr>
          <w:rFonts w:hint="eastAsia" w:ascii="宋体"/>
          <w:szCs w:val="21"/>
        </w:rPr>
        <w:t>6.3.5 因不可抗力致使本合同部分或全部不能履行时，一方应立即通知另一方，可暂停或解除本合同。</w:t>
      </w:r>
    </w:p>
    <w:p w14:paraId="5CCCC4D8">
      <w:pPr>
        <w:spacing w:line="360" w:lineRule="auto"/>
        <w:ind w:firstLine="480" w:firstLineChars="200"/>
        <w:rPr>
          <w:rFonts w:hint="eastAsia" w:ascii="宋体"/>
          <w:szCs w:val="21"/>
        </w:rPr>
      </w:pPr>
      <w:r>
        <w:rPr>
          <w:rFonts w:hint="eastAsia" w:ascii="宋体"/>
          <w:szCs w:val="21"/>
        </w:rPr>
        <w:t>6.3.6 本合同解除后，本合同约定的有关结算、清理、争议解决方式的条件仍然有效。</w:t>
      </w:r>
    </w:p>
    <w:p w14:paraId="78140491">
      <w:pPr>
        <w:spacing w:line="360" w:lineRule="auto"/>
        <w:ind w:firstLine="480" w:firstLineChars="200"/>
        <w:rPr>
          <w:rFonts w:hint="eastAsia" w:ascii="宋体"/>
          <w:szCs w:val="21"/>
        </w:rPr>
      </w:pPr>
      <w:r>
        <w:rPr>
          <w:rFonts w:hint="eastAsia" w:ascii="宋体"/>
          <w:szCs w:val="21"/>
        </w:rPr>
        <w:t>6.4 终止</w:t>
      </w:r>
    </w:p>
    <w:p w14:paraId="2641C1C6">
      <w:pPr>
        <w:spacing w:line="360" w:lineRule="auto"/>
        <w:ind w:firstLine="480" w:firstLineChars="200"/>
        <w:rPr>
          <w:rFonts w:hint="eastAsia" w:ascii="宋体"/>
          <w:szCs w:val="21"/>
        </w:rPr>
      </w:pPr>
      <w:r>
        <w:rPr>
          <w:rFonts w:hint="eastAsia" w:ascii="宋体"/>
          <w:szCs w:val="21"/>
        </w:rPr>
        <w:t>以下条件全部满足时，本合同即告终止：</w:t>
      </w:r>
    </w:p>
    <w:p w14:paraId="185CFDA2">
      <w:pPr>
        <w:spacing w:line="360" w:lineRule="auto"/>
        <w:ind w:firstLine="480" w:firstLineChars="200"/>
        <w:rPr>
          <w:rFonts w:hint="eastAsia" w:ascii="宋体"/>
          <w:szCs w:val="21"/>
        </w:rPr>
      </w:pPr>
      <w:r>
        <w:rPr>
          <w:rFonts w:hint="eastAsia" w:ascii="宋体"/>
          <w:szCs w:val="21"/>
        </w:rPr>
        <w:t>（1）监理人完成本合同约定的全部工作；</w:t>
      </w:r>
    </w:p>
    <w:p w14:paraId="22649C38">
      <w:pPr>
        <w:spacing w:line="360" w:lineRule="auto"/>
        <w:ind w:firstLine="480" w:firstLineChars="200"/>
        <w:rPr>
          <w:rFonts w:hint="eastAsia" w:ascii="宋体"/>
          <w:szCs w:val="21"/>
        </w:rPr>
      </w:pPr>
      <w:r>
        <w:rPr>
          <w:rFonts w:hint="eastAsia" w:ascii="宋体"/>
          <w:szCs w:val="21"/>
        </w:rPr>
        <w:t>（2）委托人与监理人结清并支付全部酬金。</w:t>
      </w:r>
    </w:p>
    <w:p w14:paraId="0F4DF784">
      <w:pPr>
        <w:spacing w:line="360" w:lineRule="auto"/>
        <w:ind w:firstLine="480" w:firstLineChars="200"/>
        <w:rPr>
          <w:rFonts w:hint="eastAsia" w:ascii="宋体"/>
          <w:szCs w:val="21"/>
        </w:rPr>
      </w:pPr>
      <w:r>
        <w:rPr>
          <w:rFonts w:hint="eastAsia" w:ascii="宋体"/>
          <w:szCs w:val="21"/>
        </w:rPr>
        <w:t>7. 争议解决</w:t>
      </w:r>
    </w:p>
    <w:p w14:paraId="36AA4F8B">
      <w:pPr>
        <w:spacing w:line="360" w:lineRule="auto"/>
        <w:ind w:firstLine="480" w:firstLineChars="200"/>
        <w:rPr>
          <w:rFonts w:hint="eastAsia" w:ascii="宋体"/>
          <w:szCs w:val="21"/>
        </w:rPr>
      </w:pPr>
      <w:r>
        <w:rPr>
          <w:rFonts w:hint="eastAsia" w:ascii="宋体"/>
          <w:szCs w:val="21"/>
        </w:rPr>
        <w:t>7.1协商</w:t>
      </w:r>
    </w:p>
    <w:p w14:paraId="5CBE705C">
      <w:pPr>
        <w:spacing w:line="360" w:lineRule="auto"/>
        <w:ind w:firstLine="480" w:firstLineChars="200"/>
        <w:rPr>
          <w:rFonts w:hint="eastAsia" w:ascii="宋体"/>
          <w:szCs w:val="21"/>
        </w:rPr>
      </w:pPr>
      <w:r>
        <w:rPr>
          <w:rFonts w:hint="eastAsia" w:ascii="宋体"/>
          <w:szCs w:val="21"/>
        </w:rPr>
        <w:t>双方应本着诚信原则协商解决彼此间的争议。</w:t>
      </w:r>
    </w:p>
    <w:p w14:paraId="75D2ECEC">
      <w:pPr>
        <w:spacing w:line="360" w:lineRule="auto"/>
        <w:ind w:firstLine="480" w:firstLineChars="200"/>
        <w:rPr>
          <w:rFonts w:hint="eastAsia" w:ascii="宋体"/>
          <w:szCs w:val="21"/>
        </w:rPr>
      </w:pPr>
      <w:r>
        <w:rPr>
          <w:rFonts w:hint="eastAsia" w:ascii="宋体"/>
          <w:szCs w:val="21"/>
        </w:rPr>
        <w:t>7.2调解</w:t>
      </w:r>
    </w:p>
    <w:p w14:paraId="11660E90">
      <w:pPr>
        <w:spacing w:line="360" w:lineRule="auto"/>
        <w:ind w:firstLine="480" w:firstLineChars="200"/>
        <w:rPr>
          <w:rFonts w:hint="eastAsia" w:ascii="宋体"/>
          <w:szCs w:val="21"/>
        </w:rPr>
      </w:pPr>
      <w:r>
        <w:rPr>
          <w:rFonts w:hint="eastAsia" w:ascii="宋体"/>
          <w:szCs w:val="21"/>
        </w:rPr>
        <w:t>如果双方不能在14天内或双方商定的其他时间内解决本合同争议，可以将其提交给专用条件约定的或事后达成协议的调解人进行调解。</w:t>
      </w:r>
    </w:p>
    <w:p w14:paraId="605AA736">
      <w:pPr>
        <w:spacing w:line="360" w:lineRule="auto"/>
        <w:ind w:firstLine="480" w:firstLineChars="200"/>
        <w:rPr>
          <w:rFonts w:hint="eastAsia" w:ascii="宋体"/>
          <w:szCs w:val="21"/>
        </w:rPr>
      </w:pPr>
      <w:r>
        <w:rPr>
          <w:rFonts w:hint="eastAsia" w:ascii="宋体"/>
          <w:szCs w:val="21"/>
        </w:rPr>
        <w:t>7.3仲裁或诉讼</w:t>
      </w:r>
    </w:p>
    <w:p w14:paraId="2249F3B4">
      <w:pPr>
        <w:spacing w:line="360" w:lineRule="auto"/>
        <w:ind w:firstLine="480" w:firstLineChars="200"/>
        <w:rPr>
          <w:rFonts w:hint="eastAsia" w:ascii="宋体"/>
          <w:szCs w:val="21"/>
        </w:rPr>
      </w:pPr>
      <w:r>
        <w:rPr>
          <w:rFonts w:hint="eastAsia" w:ascii="宋体"/>
          <w:szCs w:val="21"/>
        </w:rPr>
        <w:t>双方均有权不经调解直接向专用条件约定的仲裁机构申请仲裁或向有管辖权的人民法院提起诉讼。</w:t>
      </w:r>
    </w:p>
    <w:p w14:paraId="2F563C0D">
      <w:pPr>
        <w:spacing w:line="360" w:lineRule="auto"/>
        <w:ind w:firstLine="480" w:firstLineChars="200"/>
        <w:rPr>
          <w:rFonts w:hint="eastAsia" w:ascii="宋体"/>
          <w:szCs w:val="21"/>
        </w:rPr>
      </w:pPr>
      <w:r>
        <w:rPr>
          <w:rFonts w:hint="eastAsia" w:ascii="宋体"/>
          <w:szCs w:val="21"/>
        </w:rPr>
        <w:t>8. 其他</w:t>
      </w:r>
    </w:p>
    <w:p w14:paraId="7D54928A">
      <w:pPr>
        <w:spacing w:line="360" w:lineRule="auto"/>
        <w:ind w:firstLine="480" w:firstLineChars="200"/>
        <w:rPr>
          <w:rFonts w:hint="eastAsia" w:ascii="宋体"/>
          <w:szCs w:val="21"/>
        </w:rPr>
      </w:pPr>
      <w:r>
        <w:rPr>
          <w:rFonts w:hint="eastAsia" w:ascii="宋体"/>
          <w:szCs w:val="21"/>
        </w:rPr>
        <w:t>8.1 外出考察费用</w:t>
      </w:r>
    </w:p>
    <w:p w14:paraId="740951A5">
      <w:pPr>
        <w:spacing w:line="360" w:lineRule="auto"/>
        <w:ind w:firstLine="480" w:firstLineChars="200"/>
        <w:rPr>
          <w:rFonts w:hint="eastAsia" w:ascii="宋体"/>
          <w:szCs w:val="21"/>
        </w:rPr>
      </w:pPr>
      <w:r>
        <w:rPr>
          <w:rFonts w:hint="eastAsia" w:ascii="宋体"/>
          <w:szCs w:val="21"/>
        </w:rPr>
        <w:t>经委托人同意，监理人员外出考察发生的费用由委托人审核后支付。</w:t>
      </w:r>
    </w:p>
    <w:p w14:paraId="722DB86B">
      <w:pPr>
        <w:spacing w:line="360" w:lineRule="auto"/>
        <w:ind w:firstLine="480" w:firstLineChars="200"/>
        <w:rPr>
          <w:rFonts w:hint="eastAsia" w:ascii="宋体"/>
          <w:szCs w:val="21"/>
        </w:rPr>
      </w:pPr>
      <w:r>
        <w:rPr>
          <w:rFonts w:hint="eastAsia" w:ascii="宋体"/>
          <w:szCs w:val="21"/>
        </w:rPr>
        <w:t>8.2 检测费用</w:t>
      </w:r>
    </w:p>
    <w:p w14:paraId="2D2F99D0">
      <w:pPr>
        <w:spacing w:line="360" w:lineRule="auto"/>
        <w:ind w:firstLine="480" w:firstLineChars="200"/>
        <w:rPr>
          <w:rFonts w:hint="eastAsia" w:ascii="宋体"/>
          <w:szCs w:val="21"/>
        </w:rPr>
      </w:pPr>
      <w:r>
        <w:rPr>
          <w:rFonts w:hint="eastAsia" w:ascii="宋体"/>
          <w:szCs w:val="21"/>
        </w:rPr>
        <w:t>委托人要求监理人进行的材料和设备检测所发生的费用，由委托人支付，支付时间在专用条件中约定。</w:t>
      </w:r>
    </w:p>
    <w:p w14:paraId="1F4B1965">
      <w:pPr>
        <w:spacing w:line="360" w:lineRule="auto"/>
        <w:ind w:firstLine="480" w:firstLineChars="200"/>
        <w:rPr>
          <w:rFonts w:hint="eastAsia" w:ascii="宋体"/>
          <w:szCs w:val="21"/>
        </w:rPr>
      </w:pPr>
      <w:r>
        <w:rPr>
          <w:rFonts w:hint="eastAsia" w:ascii="宋体"/>
          <w:szCs w:val="21"/>
        </w:rPr>
        <w:t>8.3 咨询费用</w:t>
      </w:r>
    </w:p>
    <w:p w14:paraId="42F2C33A">
      <w:pPr>
        <w:spacing w:line="360" w:lineRule="auto"/>
        <w:ind w:firstLine="480" w:firstLineChars="200"/>
        <w:rPr>
          <w:rFonts w:hint="eastAsia" w:ascii="宋体"/>
          <w:szCs w:val="21"/>
        </w:rPr>
      </w:pPr>
      <w:r>
        <w:rPr>
          <w:rFonts w:hint="eastAsia" w:ascii="宋体"/>
          <w:szCs w:val="21"/>
        </w:rPr>
        <w:t>经委托人同意，根据工程需要由监理人组织的相关咨询论证会以及聘请相关专家等发生的费用由委托人支付，支付时间在专用条件中约定。</w:t>
      </w:r>
    </w:p>
    <w:p w14:paraId="3D45DE43">
      <w:pPr>
        <w:spacing w:line="360" w:lineRule="auto"/>
        <w:ind w:firstLine="480" w:firstLineChars="200"/>
        <w:rPr>
          <w:rFonts w:hint="eastAsia" w:ascii="宋体"/>
          <w:szCs w:val="21"/>
        </w:rPr>
      </w:pPr>
      <w:r>
        <w:rPr>
          <w:rFonts w:hint="eastAsia" w:ascii="宋体"/>
          <w:szCs w:val="21"/>
        </w:rPr>
        <w:t>8.4 奖励</w:t>
      </w:r>
    </w:p>
    <w:p w14:paraId="4552590B">
      <w:pPr>
        <w:spacing w:line="360" w:lineRule="auto"/>
        <w:ind w:firstLine="480" w:firstLineChars="200"/>
        <w:rPr>
          <w:rFonts w:hint="eastAsia" w:ascii="宋体"/>
          <w:szCs w:val="21"/>
        </w:rPr>
      </w:pPr>
      <w:r>
        <w:rPr>
          <w:rFonts w:hint="eastAsia" w:ascii="宋体"/>
          <w:szCs w:val="21"/>
        </w:rPr>
        <w:t>监理人在服务过程中提出的合理化建议，使委托人获得经济效益的，双方在专用条件中约定奖励金额的确定方法。奖励金额在合理化建议被采纳后，与最近一期的正常工作酬金同期支付。</w:t>
      </w:r>
    </w:p>
    <w:p w14:paraId="4A72E3E9">
      <w:pPr>
        <w:spacing w:line="360" w:lineRule="auto"/>
        <w:ind w:firstLine="480" w:firstLineChars="200"/>
        <w:rPr>
          <w:rFonts w:hint="eastAsia" w:ascii="宋体"/>
          <w:szCs w:val="21"/>
        </w:rPr>
      </w:pPr>
      <w:r>
        <w:rPr>
          <w:rFonts w:hint="eastAsia" w:ascii="宋体"/>
          <w:szCs w:val="21"/>
        </w:rPr>
        <w:t>8.5 守法诚信</w:t>
      </w:r>
    </w:p>
    <w:p w14:paraId="02DA76F3">
      <w:pPr>
        <w:spacing w:line="360" w:lineRule="auto"/>
        <w:ind w:firstLine="480" w:firstLineChars="200"/>
        <w:rPr>
          <w:rFonts w:hint="eastAsia" w:ascii="宋体"/>
          <w:szCs w:val="21"/>
        </w:rPr>
      </w:pPr>
      <w:r>
        <w:rPr>
          <w:rFonts w:hint="eastAsia" w:ascii="宋体"/>
          <w:szCs w:val="21"/>
        </w:rPr>
        <w:t>监理人及其工作人员不得从与实施工程有关的第三方处获得任何经济利益。</w:t>
      </w:r>
    </w:p>
    <w:p w14:paraId="42217885">
      <w:pPr>
        <w:spacing w:line="360" w:lineRule="auto"/>
        <w:ind w:firstLine="480" w:firstLineChars="200"/>
        <w:rPr>
          <w:rFonts w:hint="eastAsia" w:ascii="宋体"/>
          <w:szCs w:val="21"/>
        </w:rPr>
      </w:pPr>
      <w:r>
        <w:rPr>
          <w:rFonts w:hint="eastAsia" w:ascii="宋体"/>
          <w:szCs w:val="21"/>
        </w:rPr>
        <w:t>8.6 保密</w:t>
      </w:r>
    </w:p>
    <w:p w14:paraId="1EDDD4E6">
      <w:pPr>
        <w:spacing w:line="360" w:lineRule="auto"/>
        <w:ind w:firstLine="480" w:firstLineChars="200"/>
        <w:rPr>
          <w:rFonts w:hint="eastAsia" w:ascii="宋体"/>
          <w:szCs w:val="21"/>
        </w:rPr>
      </w:pPr>
      <w:r>
        <w:rPr>
          <w:rFonts w:hint="eastAsia" w:ascii="宋体"/>
          <w:szCs w:val="21"/>
        </w:rPr>
        <w:t>双方不得泄露对方申明的保密资料，亦不得泄露与实施工程有关的第三方所提供的保密资料，保密事项在专用条件中约定。</w:t>
      </w:r>
    </w:p>
    <w:p w14:paraId="06B2DC03">
      <w:pPr>
        <w:spacing w:line="360" w:lineRule="auto"/>
        <w:ind w:firstLine="480" w:firstLineChars="200"/>
        <w:rPr>
          <w:rFonts w:hint="eastAsia" w:ascii="宋体"/>
          <w:szCs w:val="21"/>
        </w:rPr>
      </w:pPr>
      <w:r>
        <w:rPr>
          <w:rFonts w:hint="eastAsia" w:ascii="宋体"/>
          <w:szCs w:val="21"/>
        </w:rPr>
        <w:t>8.7 通知</w:t>
      </w:r>
    </w:p>
    <w:p w14:paraId="71B82D16">
      <w:pPr>
        <w:spacing w:line="360" w:lineRule="auto"/>
        <w:ind w:firstLine="480" w:firstLineChars="200"/>
        <w:rPr>
          <w:rFonts w:hint="eastAsia" w:ascii="宋体"/>
          <w:szCs w:val="21"/>
        </w:rPr>
      </w:pPr>
      <w:r>
        <w:rPr>
          <w:rFonts w:hint="eastAsia" w:ascii="宋体"/>
          <w:szCs w:val="21"/>
        </w:rPr>
        <w:t>本合同涉及的通知均应当采用书面形式，并在送达对方时生效，收件人应书面签收。</w:t>
      </w:r>
    </w:p>
    <w:p w14:paraId="76263E1B">
      <w:pPr>
        <w:spacing w:line="360" w:lineRule="auto"/>
        <w:ind w:firstLine="480" w:firstLineChars="200"/>
        <w:rPr>
          <w:rFonts w:hint="eastAsia" w:ascii="宋体"/>
          <w:szCs w:val="21"/>
        </w:rPr>
      </w:pPr>
      <w:r>
        <w:rPr>
          <w:rFonts w:hint="eastAsia" w:ascii="宋体"/>
          <w:szCs w:val="21"/>
        </w:rPr>
        <w:t>8.8 著作权</w:t>
      </w:r>
    </w:p>
    <w:p w14:paraId="548155E1">
      <w:pPr>
        <w:spacing w:line="360" w:lineRule="auto"/>
        <w:ind w:firstLine="480" w:firstLineChars="200"/>
        <w:rPr>
          <w:rFonts w:hint="eastAsia" w:ascii="宋体"/>
          <w:szCs w:val="21"/>
        </w:rPr>
      </w:pPr>
      <w:r>
        <w:rPr>
          <w:rFonts w:hint="eastAsia" w:ascii="宋体"/>
          <w:szCs w:val="21"/>
        </w:rPr>
        <w:t>监理人对其编制的文件拥有著作权。</w:t>
      </w:r>
    </w:p>
    <w:p w14:paraId="7CB81D8C">
      <w:pPr>
        <w:spacing w:line="360" w:lineRule="auto"/>
        <w:ind w:firstLine="480" w:firstLineChars="200"/>
        <w:rPr>
          <w:rFonts w:hint="eastAsia" w:ascii="宋体"/>
          <w:szCs w:val="21"/>
        </w:rPr>
      </w:pPr>
      <w:r>
        <w:rPr>
          <w:rFonts w:hint="eastAsia" w:ascii="宋体"/>
          <w:szCs w:val="21"/>
        </w:rPr>
        <w:t>监理人可单独或与他人联合出版有关监理与相关服务的资料。除专用条件另有约定外，如果监理人在本合同履行期间及本合同终止后两年内出版涉及本工程的有关监理与相关服务的资料，应当征得委托人的同意。</w:t>
      </w:r>
    </w:p>
    <w:p w14:paraId="74C2B6DF">
      <w:pPr>
        <w:spacing w:line="360" w:lineRule="auto"/>
        <w:ind w:firstLine="480" w:firstLineChars="200"/>
        <w:rPr>
          <w:rFonts w:hint="eastAsia" w:ascii="宋体"/>
          <w:szCs w:val="21"/>
        </w:rPr>
      </w:pPr>
    </w:p>
    <w:p w14:paraId="60AD455D">
      <w:pPr>
        <w:spacing w:line="360" w:lineRule="auto"/>
        <w:ind w:firstLine="480" w:firstLineChars="200"/>
        <w:jc w:val="center"/>
        <w:rPr>
          <w:rFonts w:hint="eastAsia" w:ascii="宋体"/>
          <w:szCs w:val="21"/>
        </w:rPr>
      </w:pPr>
      <w:r>
        <w:rPr>
          <w:rFonts w:hint="eastAsia" w:ascii="宋体"/>
          <w:szCs w:val="21"/>
        </w:rPr>
        <w:t>第三部分  专用条件</w:t>
      </w:r>
    </w:p>
    <w:p w14:paraId="36989A04">
      <w:pPr>
        <w:spacing w:line="360" w:lineRule="auto"/>
        <w:ind w:firstLine="480" w:firstLineChars="200"/>
        <w:rPr>
          <w:rFonts w:hint="eastAsia" w:ascii="宋体"/>
          <w:szCs w:val="21"/>
        </w:rPr>
      </w:pPr>
      <w:r>
        <w:rPr>
          <w:rFonts w:hint="eastAsia" w:ascii="宋体"/>
          <w:szCs w:val="21"/>
        </w:rPr>
        <w:t>1.定义与解释</w:t>
      </w:r>
    </w:p>
    <w:p w14:paraId="784BD88A">
      <w:pPr>
        <w:spacing w:line="360" w:lineRule="auto"/>
        <w:ind w:firstLine="480" w:firstLineChars="200"/>
        <w:rPr>
          <w:rFonts w:hint="eastAsia" w:ascii="宋体"/>
          <w:szCs w:val="21"/>
        </w:rPr>
      </w:pPr>
      <w:r>
        <w:rPr>
          <w:rFonts w:hint="eastAsia" w:ascii="宋体"/>
          <w:szCs w:val="21"/>
        </w:rPr>
        <w:t>1.2解释</w:t>
      </w:r>
    </w:p>
    <w:p w14:paraId="711C912D">
      <w:pPr>
        <w:spacing w:line="360" w:lineRule="auto"/>
        <w:ind w:firstLine="480" w:firstLineChars="200"/>
        <w:rPr>
          <w:rFonts w:hint="eastAsia" w:ascii="宋体"/>
          <w:szCs w:val="21"/>
        </w:rPr>
      </w:pPr>
      <w:r>
        <w:rPr>
          <w:rFonts w:hint="eastAsia" w:ascii="宋体"/>
          <w:szCs w:val="21"/>
        </w:rPr>
        <w:t>1.2.1本合同文件除使用中文外，还可用  /  。</w:t>
      </w:r>
    </w:p>
    <w:p w14:paraId="44F132AC">
      <w:pPr>
        <w:spacing w:line="360" w:lineRule="auto"/>
        <w:ind w:firstLine="480" w:firstLineChars="200"/>
        <w:rPr>
          <w:rFonts w:hint="eastAsia" w:ascii="宋体"/>
          <w:szCs w:val="21"/>
        </w:rPr>
      </w:pPr>
      <w:r>
        <w:rPr>
          <w:rFonts w:hint="eastAsia" w:ascii="宋体"/>
          <w:szCs w:val="21"/>
        </w:rPr>
        <w:t>1.2.2约定本合同文件的优先解释顺诹为：同通用条件。</w:t>
      </w:r>
    </w:p>
    <w:p w14:paraId="6D340C14">
      <w:pPr>
        <w:spacing w:line="360" w:lineRule="auto"/>
        <w:ind w:firstLine="480" w:firstLineChars="200"/>
        <w:rPr>
          <w:rFonts w:hint="eastAsia" w:ascii="宋体"/>
          <w:szCs w:val="21"/>
        </w:rPr>
      </w:pPr>
      <w:r>
        <w:rPr>
          <w:rFonts w:hint="eastAsia" w:ascii="宋体"/>
          <w:szCs w:val="21"/>
        </w:rPr>
        <w:t>2.监理人义务</w:t>
      </w:r>
    </w:p>
    <w:p w14:paraId="53720085">
      <w:pPr>
        <w:spacing w:line="360" w:lineRule="auto"/>
        <w:ind w:firstLine="480" w:firstLineChars="200"/>
        <w:rPr>
          <w:rFonts w:hint="eastAsia" w:ascii="宋体"/>
          <w:szCs w:val="21"/>
        </w:rPr>
      </w:pPr>
      <w:r>
        <w:rPr>
          <w:rFonts w:hint="eastAsia" w:ascii="宋体"/>
          <w:szCs w:val="21"/>
        </w:rPr>
        <w:t>2.1监理的范围和内容</w:t>
      </w:r>
    </w:p>
    <w:p w14:paraId="6F9ED17B">
      <w:pPr>
        <w:spacing w:line="360" w:lineRule="auto"/>
        <w:ind w:firstLine="480" w:firstLineChars="200"/>
        <w:rPr>
          <w:rFonts w:hint="eastAsia" w:ascii="宋体"/>
          <w:szCs w:val="21"/>
        </w:rPr>
      </w:pPr>
      <w:r>
        <w:rPr>
          <w:rFonts w:hint="eastAsia" w:ascii="宋体"/>
          <w:szCs w:val="21"/>
        </w:rPr>
        <w:t>2.1.1监理范围包括：工程监理、建设项目合同管理、组织协调管理、勘察管理、设计管理、投资管理、进度管理、招标采购管理、质量管理、安全生产管理、信息管理、风险管理、收尾管理、后评价以及《陕西省全过程工程咨询服务导则》中明确的其他工程咨询服务。</w:t>
      </w:r>
    </w:p>
    <w:p w14:paraId="63AE4BED">
      <w:pPr>
        <w:spacing w:line="360" w:lineRule="auto"/>
        <w:ind w:firstLine="480" w:firstLineChars="200"/>
        <w:rPr>
          <w:rFonts w:hint="eastAsia" w:ascii="宋体"/>
          <w:szCs w:val="21"/>
        </w:rPr>
      </w:pPr>
      <w:r>
        <w:rPr>
          <w:rFonts w:hint="eastAsia" w:ascii="宋体"/>
          <w:szCs w:val="21"/>
        </w:rPr>
        <w:t>2.1.2监理工作内容还包括：</w:t>
      </w:r>
    </w:p>
    <w:p w14:paraId="5591BD28">
      <w:pPr>
        <w:spacing w:line="360" w:lineRule="auto"/>
        <w:ind w:firstLine="480" w:firstLineChars="200"/>
        <w:rPr>
          <w:rFonts w:hint="eastAsia" w:ascii="宋体"/>
          <w:szCs w:val="21"/>
        </w:rPr>
      </w:pPr>
      <w:r>
        <w:rPr>
          <w:rFonts w:hint="eastAsia" w:ascii="宋体"/>
          <w:szCs w:val="21"/>
        </w:rPr>
        <w:t>（1）技术及图纸</w:t>
      </w:r>
    </w:p>
    <w:p w14:paraId="4CB76F52">
      <w:pPr>
        <w:spacing w:line="360" w:lineRule="auto"/>
        <w:ind w:firstLine="480" w:firstLineChars="200"/>
        <w:rPr>
          <w:rFonts w:hint="eastAsia" w:ascii="宋体"/>
          <w:szCs w:val="21"/>
        </w:rPr>
      </w:pPr>
      <w:r>
        <w:rPr>
          <w:rFonts w:hint="eastAsia" w:ascii="宋体"/>
          <w:szCs w:val="21"/>
        </w:rPr>
        <w:t>1）熟悉设计资料与施工合同文件；</w:t>
      </w:r>
    </w:p>
    <w:p w14:paraId="1A289006">
      <w:pPr>
        <w:spacing w:line="360" w:lineRule="auto"/>
        <w:ind w:firstLine="480" w:firstLineChars="200"/>
        <w:rPr>
          <w:rFonts w:hint="eastAsia" w:ascii="宋体"/>
          <w:szCs w:val="21"/>
        </w:rPr>
      </w:pPr>
      <w:r>
        <w:rPr>
          <w:rFonts w:hint="eastAsia" w:ascii="宋体"/>
          <w:szCs w:val="21"/>
        </w:rPr>
        <w:t>2）协助委托人组织设计单位、承包人及有关单位在开工前对设计图纸的会审、技术交底工作；</w:t>
      </w:r>
    </w:p>
    <w:p w14:paraId="7683C4F3">
      <w:pPr>
        <w:spacing w:line="360" w:lineRule="auto"/>
        <w:ind w:firstLine="480" w:firstLineChars="200"/>
        <w:rPr>
          <w:rFonts w:hint="eastAsia" w:ascii="宋体"/>
          <w:szCs w:val="21"/>
        </w:rPr>
      </w:pPr>
      <w:r>
        <w:rPr>
          <w:rFonts w:hint="eastAsia" w:ascii="宋体"/>
          <w:szCs w:val="21"/>
        </w:rPr>
        <w:t>3）组织有关单位（包括设计单位，承包人等）进行技术交主底。对交底中澄清的问题做好记录，并整理成纪要报委托人备案；</w:t>
      </w:r>
    </w:p>
    <w:p w14:paraId="24F3A35D">
      <w:pPr>
        <w:spacing w:line="360" w:lineRule="auto"/>
        <w:ind w:firstLine="480" w:firstLineChars="200"/>
        <w:rPr>
          <w:rFonts w:hint="eastAsia" w:ascii="宋体"/>
          <w:szCs w:val="21"/>
        </w:rPr>
      </w:pPr>
      <w:r>
        <w:rPr>
          <w:rFonts w:hint="eastAsia" w:ascii="宋体"/>
          <w:szCs w:val="21"/>
        </w:rPr>
        <w:t>4）审阅并签发设计图纸和设计文件，解释承包人对图纸提出的疑问；</w:t>
      </w:r>
    </w:p>
    <w:p w14:paraId="30FE171B">
      <w:pPr>
        <w:spacing w:line="360" w:lineRule="auto"/>
        <w:ind w:firstLine="480" w:firstLineChars="200"/>
        <w:rPr>
          <w:rFonts w:hint="eastAsia" w:ascii="宋体"/>
          <w:szCs w:val="21"/>
        </w:rPr>
      </w:pPr>
      <w:r>
        <w:rPr>
          <w:rFonts w:hint="eastAsia" w:ascii="宋体"/>
          <w:szCs w:val="21"/>
        </w:rPr>
        <w:t>5）参加由委托人主持的重大技术问题的讨论；</w:t>
      </w:r>
    </w:p>
    <w:p w14:paraId="3017CD1A">
      <w:pPr>
        <w:spacing w:line="360" w:lineRule="auto"/>
        <w:ind w:firstLine="480" w:firstLineChars="200"/>
        <w:rPr>
          <w:rFonts w:hint="eastAsia" w:ascii="宋体"/>
          <w:szCs w:val="21"/>
        </w:rPr>
      </w:pPr>
      <w:r>
        <w:rPr>
          <w:rFonts w:hint="eastAsia" w:ascii="宋体"/>
          <w:szCs w:val="21"/>
        </w:rPr>
        <w:t>6）对于工程实施过程中发生的设计变更，应从对工程质量、进度、投资等三方面进行评估，提出意见并报委托人决策。</w:t>
      </w:r>
    </w:p>
    <w:p w14:paraId="14B013A2">
      <w:pPr>
        <w:spacing w:line="360" w:lineRule="auto"/>
        <w:ind w:firstLine="480" w:firstLineChars="200"/>
        <w:rPr>
          <w:rFonts w:hint="eastAsia" w:ascii="宋体"/>
          <w:szCs w:val="21"/>
        </w:rPr>
      </w:pPr>
      <w:r>
        <w:rPr>
          <w:rFonts w:hint="eastAsia" w:ascii="宋体"/>
          <w:szCs w:val="21"/>
        </w:rPr>
        <w:t>7）审查并批准承包人提交的施工组织设计，施工技术方案，技术计划，临建工程设计等；</w:t>
      </w:r>
    </w:p>
    <w:p w14:paraId="58B5443B">
      <w:pPr>
        <w:spacing w:line="360" w:lineRule="auto"/>
        <w:ind w:firstLine="480" w:firstLineChars="200"/>
        <w:rPr>
          <w:rFonts w:hint="eastAsia" w:ascii="宋体"/>
          <w:szCs w:val="21"/>
        </w:rPr>
      </w:pPr>
      <w:r>
        <w:rPr>
          <w:rFonts w:hint="eastAsia" w:ascii="宋体"/>
          <w:szCs w:val="21"/>
        </w:rPr>
        <w:t>8）会同设计单位对有关工程图纸的变更做出解释和说明，发出图纸变更令，在现场协助设计方代表解决施工期间出现的设计、技术问题。</w:t>
      </w:r>
    </w:p>
    <w:p w14:paraId="5D688893">
      <w:pPr>
        <w:spacing w:line="360" w:lineRule="auto"/>
        <w:ind w:firstLine="480" w:firstLineChars="200"/>
        <w:rPr>
          <w:rFonts w:hint="eastAsia" w:ascii="宋体"/>
          <w:szCs w:val="21"/>
        </w:rPr>
      </w:pPr>
      <w:r>
        <w:rPr>
          <w:rFonts w:hint="eastAsia" w:ascii="宋体"/>
          <w:szCs w:val="21"/>
        </w:rPr>
        <w:t>（2）进度控制</w:t>
      </w:r>
    </w:p>
    <w:p w14:paraId="4ACBA378">
      <w:pPr>
        <w:spacing w:line="360" w:lineRule="auto"/>
        <w:ind w:firstLine="480" w:firstLineChars="200"/>
        <w:rPr>
          <w:rFonts w:hint="eastAsia" w:ascii="宋体"/>
          <w:szCs w:val="21"/>
        </w:rPr>
      </w:pPr>
      <w:r>
        <w:rPr>
          <w:rFonts w:hint="eastAsia" w:ascii="宋体"/>
          <w:szCs w:val="21"/>
        </w:rPr>
        <w:t>1）督促委托人按合同规定落实必须提供的施工条件，组织向承包人移交施工场地；检查承包人的开工准备情况：按照合同规定及授权，发布工程开工令；</w:t>
      </w:r>
    </w:p>
    <w:p w14:paraId="00214C2A">
      <w:pPr>
        <w:spacing w:line="360" w:lineRule="auto"/>
        <w:ind w:firstLine="480" w:firstLineChars="200"/>
        <w:rPr>
          <w:rFonts w:hint="eastAsia" w:ascii="宋体"/>
          <w:szCs w:val="21"/>
        </w:rPr>
      </w:pPr>
      <w:r>
        <w:rPr>
          <w:rFonts w:hint="eastAsia" w:ascii="宋体"/>
          <w:szCs w:val="21"/>
        </w:rPr>
        <w:t>2）依据合同中确定的工程控制性进度计划，审查并批准承包人提交的施工总进度计划、资源配置，检查其实施情况，督促承包人实现合同工期目标；</w:t>
      </w:r>
    </w:p>
    <w:p w14:paraId="2EA564B0">
      <w:pPr>
        <w:spacing w:line="360" w:lineRule="auto"/>
        <w:ind w:firstLine="480" w:firstLineChars="200"/>
        <w:rPr>
          <w:rFonts w:hint="eastAsia" w:ascii="宋体"/>
          <w:szCs w:val="21"/>
        </w:rPr>
      </w:pPr>
      <w:r>
        <w:rPr>
          <w:rFonts w:hint="eastAsia" w:ascii="宋体"/>
          <w:szCs w:val="21"/>
        </w:rPr>
        <w:t>3）若发生由于承包人的原因使工期延误进应督促承包人提出补救措施，如属于委托人的原因引起工期延误，应向委托人提出报告，并提出补救措施的意见供委托人决策；</w:t>
      </w:r>
    </w:p>
    <w:p w14:paraId="7B34EEA9">
      <w:pPr>
        <w:spacing w:line="360" w:lineRule="auto"/>
        <w:ind w:firstLine="480" w:firstLineChars="200"/>
        <w:rPr>
          <w:rFonts w:hint="eastAsia" w:ascii="宋体"/>
          <w:szCs w:val="21"/>
        </w:rPr>
      </w:pPr>
      <w:r>
        <w:rPr>
          <w:rFonts w:hint="eastAsia" w:ascii="宋体"/>
          <w:szCs w:val="21"/>
        </w:rPr>
        <w:t>4）审查和批准承包人提出的施工方案和施工进度计划，负责控制进度，跟踪检查，记录计划的实施情况。当发生实际进度与计划进度有实质性偏差时，及时向承包人发出书面指示，向委托人提出“进度分析报告”；</w:t>
      </w:r>
    </w:p>
    <w:p w14:paraId="1D33074D">
      <w:pPr>
        <w:spacing w:line="360" w:lineRule="auto"/>
        <w:ind w:firstLine="480" w:firstLineChars="200"/>
        <w:rPr>
          <w:rFonts w:hint="eastAsia" w:ascii="宋体"/>
          <w:szCs w:val="21"/>
        </w:rPr>
      </w:pPr>
      <w:r>
        <w:rPr>
          <w:rFonts w:hint="eastAsia" w:ascii="宋体"/>
          <w:szCs w:val="21"/>
        </w:rPr>
        <w:t>5）主持监理合同授权范围内的有关协调工作，写出工程进度协调会议纪要提出监理对工程进度的意见；</w:t>
      </w:r>
    </w:p>
    <w:p w14:paraId="3FBFE92E">
      <w:pPr>
        <w:spacing w:line="360" w:lineRule="auto"/>
        <w:ind w:firstLine="480" w:firstLineChars="200"/>
        <w:rPr>
          <w:rFonts w:hint="eastAsia" w:ascii="宋体"/>
          <w:szCs w:val="21"/>
        </w:rPr>
      </w:pPr>
      <w:r>
        <w:rPr>
          <w:rFonts w:hint="eastAsia" w:ascii="宋体"/>
          <w:szCs w:val="21"/>
        </w:rPr>
        <w:t>6）在收到承包人月进度报告后，7天内提出审查意见，并将审查意见及承包人的进度报告报委托人备案。</w:t>
      </w:r>
    </w:p>
    <w:p w14:paraId="63B65DE6">
      <w:pPr>
        <w:spacing w:line="360" w:lineRule="auto"/>
        <w:ind w:firstLine="480" w:firstLineChars="200"/>
        <w:rPr>
          <w:rFonts w:hint="eastAsia" w:ascii="宋体"/>
          <w:szCs w:val="21"/>
        </w:rPr>
      </w:pPr>
      <w:r>
        <w:rPr>
          <w:rFonts w:hint="eastAsia" w:ascii="宋体"/>
          <w:szCs w:val="21"/>
        </w:rPr>
        <w:t>（3）质量控制</w:t>
      </w:r>
    </w:p>
    <w:p w14:paraId="1784DDD4">
      <w:pPr>
        <w:spacing w:line="360" w:lineRule="auto"/>
        <w:ind w:firstLine="480" w:firstLineChars="200"/>
        <w:rPr>
          <w:rFonts w:hint="eastAsia" w:ascii="宋体"/>
          <w:szCs w:val="21"/>
        </w:rPr>
      </w:pPr>
      <w:r>
        <w:rPr>
          <w:rFonts w:hint="eastAsia" w:ascii="宋体"/>
          <w:szCs w:val="21"/>
        </w:rPr>
        <w:t>1）审查并批准承包人提交的施工组织设计，并将审查意见报委托人备案；</w:t>
      </w:r>
    </w:p>
    <w:p w14:paraId="3C622330">
      <w:pPr>
        <w:spacing w:line="360" w:lineRule="auto"/>
        <w:ind w:firstLine="480" w:firstLineChars="200"/>
        <w:rPr>
          <w:rFonts w:hint="eastAsia" w:ascii="宋体"/>
          <w:szCs w:val="21"/>
        </w:rPr>
      </w:pPr>
      <w:r>
        <w:rPr>
          <w:rFonts w:hint="eastAsia" w:ascii="宋体"/>
          <w:szCs w:val="21"/>
        </w:rPr>
        <w:t>2）核查承包人关键技术工程、岗位进场人员的资质，包括技术水平、工作能力、工作态度等，核查承包人的施工机械设备的数量、质量、种类、能力及状况，对于不符合合同规定要求的人员和设备，有权令其更换或添置；</w:t>
      </w:r>
    </w:p>
    <w:p w14:paraId="2EDC6B03">
      <w:pPr>
        <w:spacing w:line="360" w:lineRule="auto"/>
        <w:ind w:firstLine="480" w:firstLineChars="200"/>
        <w:rPr>
          <w:rFonts w:hint="eastAsia" w:ascii="宋体"/>
          <w:szCs w:val="21"/>
        </w:rPr>
      </w:pPr>
      <w:r>
        <w:rPr>
          <w:rFonts w:hint="eastAsia" w:ascii="宋体"/>
          <w:szCs w:val="21"/>
        </w:rPr>
        <w:t>3）审批承包人的技术规范及施工规程等质量标准文件；</w:t>
      </w:r>
    </w:p>
    <w:p w14:paraId="655DE774">
      <w:pPr>
        <w:spacing w:line="360" w:lineRule="auto"/>
        <w:ind w:firstLine="480" w:firstLineChars="200"/>
        <w:rPr>
          <w:rFonts w:hint="eastAsia" w:ascii="宋体"/>
          <w:szCs w:val="21"/>
        </w:rPr>
      </w:pPr>
      <w:r>
        <w:rPr>
          <w:rFonts w:hint="eastAsia" w:ascii="宋体"/>
          <w:szCs w:val="21"/>
        </w:rPr>
        <w:t>4）审查承包人的质量控制体系和措施，检查质量文件落实情况。依据施工合同规定，对施工前的准备工作进行检查，对施工工序、资源投入进行监督。督促承包人严格执行合同中的技术规范，施工要求和图纸上的规定，确保质量满足合同要求；</w:t>
      </w:r>
    </w:p>
    <w:p w14:paraId="6426B94C">
      <w:pPr>
        <w:spacing w:line="360" w:lineRule="auto"/>
        <w:ind w:firstLine="480" w:firstLineChars="200"/>
        <w:rPr>
          <w:rFonts w:hint="eastAsia" w:ascii="宋体"/>
          <w:szCs w:val="21"/>
        </w:rPr>
      </w:pPr>
      <w:r>
        <w:rPr>
          <w:rFonts w:hint="eastAsia" w:ascii="宋体"/>
          <w:szCs w:val="21"/>
        </w:rPr>
        <w:t>5）审查、批准由承包人提交的质量检查要求和规定，依据合同与规范制定各类施工质量检查的补充规定，及时检查、抽查工程质量，特别是履盖的基础工程和隐蔽工程；对工程质量进行签证和评定，严格控制工程质量。主要内容包括：</w:t>
      </w:r>
    </w:p>
    <w:p w14:paraId="6DED2829">
      <w:pPr>
        <w:spacing w:line="360" w:lineRule="auto"/>
        <w:ind w:firstLine="480" w:firstLineChars="200"/>
        <w:rPr>
          <w:rFonts w:hint="eastAsia" w:ascii="宋体"/>
          <w:szCs w:val="21"/>
        </w:rPr>
      </w:pPr>
      <w:r>
        <w:rPr>
          <w:rFonts w:hint="eastAsia" w:ascii="宋体"/>
          <w:szCs w:val="21"/>
        </w:rPr>
        <w:t>A．审批承包人在施工过程中各工序的质量自检报告，按施工合同的要求进行质量控制和评定；</w:t>
      </w:r>
    </w:p>
    <w:p w14:paraId="0D5825C6">
      <w:pPr>
        <w:spacing w:line="360" w:lineRule="auto"/>
        <w:ind w:firstLine="480" w:firstLineChars="200"/>
        <w:rPr>
          <w:rFonts w:hint="eastAsia" w:ascii="宋体"/>
          <w:szCs w:val="21"/>
        </w:rPr>
      </w:pPr>
      <w:r>
        <w:rPr>
          <w:rFonts w:hint="eastAsia" w:ascii="宋体"/>
          <w:szCs w:val="21"/>
        </w:rPr>
        <w:t>B．对承包人试验室的各种试验仪器及试验程序、成果进行全面检查；</w:t>
      </w:r>
    </w:p>
    <w:p w14:paraId="1B61417B">
      <w:pPr>
        <w:spacing w:line="360" w:lineRule="auto"/>
        <w:ind w:firstLine="480" w:firstLineChars="200"/>
        <w:rPr>
          <w:rFonts w:hint="eastAsia" w:ascii="宋体"/>
          <w:szCs w:val="21"/>
        </w:rPr>
      </w:pPr>
      <w:r>
        <w:rPr>
          <w:rFonts w:hint="eastAsia" w:ascii="宋体"/>
          <w:szCs w:val="21"/>
        </w:rPr>
        <w:t>C．承包人未按设计图纸、技术规范、操作规程进行施工时，依据合同应责令其停工、返工，并报告委托人；</w:t>
      </w:r>
    </w:p>
    <w:p w14:paraId="2EB08337">
      <w:pPr>
        <w:spacing w:line="360" w:lineRule="auto"/>
        <w:ind w:firstLine="480" w:firstLineChars="200"/>
        <w:rPr>
          <w:rFonts w:hint="eastAsia" w:ascii="宋体"/>
          <w:szCs w:val="21"/>
        </w:rPr>
      </w:pPr>
      <w:r>
        <w:rPr>
          <w:rFonts w:hint="eastAsia" w:ascii="宋体"/>
          <w:szCs w:val="21"/>
        </w:rPr>
        <w:t>D．对未签证或验收不合格的工程，通知承包人限期返工，重新验收合格，方可进入下一道工序，或交付使用，并及时报告委托人。</w:t>
      </w:r>
    </w:p>
    <w:p w14:paraId="74357792">
      <w:pPr>
        <w:spacing w:line="360" w:lineRule="auto"/>
        <w:ind w:firstLine="480" w:firstLineChars="200"/>
        <w:rPr>
          <w:rFonts w:hint="eastAsia" w:ascii="宋体"/>
          <w:szCs w:val="21"/>
        </w:rPr>
      </w:pPr>
      <w:r>
        <w:rPr>
          <w:rFonts w:hint="eastAsia" w:ascii="宋体"/>
          <w:szCs w:val="21"/>
        </w:rPr>
        <w:t>E．审查用于永久工程的各种工程材料，构件的合格证，材质化验单，严禁使用不合格产品，并监督退场；</w:t>
      </w:r>
    </w:p>
    <w:p w14:paraId="217C4152">
      <w:pPr>
        <w:spacing w:line="360" w:lineRule="auto"/>
        <w:ind w:firstLine="480" w:firstLineChars="200"/>
        <w:rPr>
          <w:rFonts w:hint="eastAsia" w:ascii="宋体"/>
          <w:szCs w:val="21"/>
        </w:rPr>
      </w:pPr>
      <w:r>
        <w:rPr>
          <w:rFonts w:hint="eastAsia" w:ascii="宋体"/>
          <w:szCs w:val="21"/>
        </w:rPr>
        <w:t>F．制定现场工程监理工作制度，在施工现场对工程质量、安全、施工活动等进行跟班检查，关键工序实行旁站监理，并做好现场旁站记录和监理日记，填写大事记。定期召开监理例会，及时向委托人通报监理情况及工程的有关事宜；</w:t>
      </w:r>
    </w:p>
    <w:p w14:paraId="30308543">
      <w:pPr>
        <w:spacing w:line="360" w:lineRule="auto"/>
        <w:ind w:firstLine="480" w:firstLineChars="200"/>
        <w:rPr>
          <w:rFonts w:hint="eastAsia" w:ascii="宋体"/>
          <w:szCs w:val="21"/>
        </w:rPr>
      </w:pPr>
      <w:r>
        <w:rPr>
          <w:rFonts w:hint="eastAsia" w:ascii="宋体"/>
          <w:szCs w:val="21"/>
        </w:rPr>
        <w:t>G．监督检查承包人的施工测量工作；</w:t>
      </w:r>
    </w:p>
    <w:p w14:paraId="40EA1462">
      <w:pPr>
        <w:spacing w:line="360" w:lineRule="auto"/>
        <w:ind w:firstLine="480" w:firstLineChars="200"/>
        <w:rPr>
          <w:rFonts w:hint="eastAsia" w:ascii="宋体"/>
          <w:szCs w:val="21"/>
        </w:rPr>
      </w:pPr>
      <w:r>
        <w:rPr>
          <w:rFonts w:hint="eastAsia" w:ascii="宋体"/>
          <w:szCs w:val="21"/>
        </w:rPr>
        <w:t>H．对已完成的施工工序，提出明确的评价意见。重大质量问题的处理方案报委托人确认后执行；</w:t>
      </w:r>
    </w:p>
    <w:p w14:paraId="191C207B">
      <w:pPr>
        <w:spacing w:line="360" w:lineRule="auto"/>
        <w:ind w:firstLine="480" w:firstLineChars="200"/>
        <w:rPr>
          <w:rFonts w:hint="eastAsia" w:ascii="宋体"/>
          <w:szCs w:val="21"/>
        </w:rPr>
      </w:pPr>
      <w:r>
        <w:rPr>
          <w:rFonts w:hint="eastAsia" w:ascii="宋体"/>
          <w:szCs w:val="21"/>
        </w:rPr>
        <w:t>I．根据国家有关验收规程和合同规定，组织隐蔽工程验收和各工序、分项、分部工程及各单项工程验收。审查承包人提交的阶段验收和竣工验收有关资料，参加阶段验收和竣工验收，审查《工程竣工程报告书》，提出整改意见，编写《工程质量评估报告》及整理监理资料；依据合同签发竣工证书，颁发保修合格证书；参与工程移交，同时做好各种资料的收集、整理、归档工作，协助委托人办理竣工验收及备案手续。</w:t>
      </w:r>
    </w:p>
    <w:p w14:paraId="62A5D983">
      <w:pPr>
        <w:spacing w:line="360" w:lineRule="auto"/>
        <w:ind w:firstLine="480" w:firstLineChars="200"/>
        <w:rPr>
          <w:rFonts w:hint="eastAsia" w:ascii="宋体"/>
          <w:szCs w:val="21"/>
        </w:rPr>
      </w:pPr>
      <w:r>
        <w:rPr>
          <w:rFonts w:hint="eastAsia" w:ascii="宋体"/>
          <w:szCs w:val="21"/>
        </w:rPr>
        <w:t>6）监督、检查承包人安全施工、文明施工。</w:t>
      </w:r>
    </w:p>
    <w:p w14:paraId="4A121D36">
      <w:pPr>
        <w:spacing w:line="360" w:lineRule="auto"/>
        <w:ind w:firstLine="480" w:firstLineChars="200"/>
        <w:rPr>
          <w:rFonts w:hint="eastAsia" w:ascii="宋体"/>
          <w:szCs w:val="21"/>
        </w:rPr>
      </w:pPr>
      <w:r>
        <w:rPr>
          <w:rFonts w:hint="eastAsia" w:ascii="宋体"/>
          <w:szCs w:val="21"/>
        </w:rPr>
        <w:t>（4）投资控制</w:t>
      </w:r>
    </w:p>
    <w:p w14:paraId="05956A61">
      <w:pPr>
        <w:spacing w:line="360" w:lineRule="auto"/>
        <w:ind w:firstLine="480" w:firstLineChars="200"/>
        <w:rPr>
          <w:rFonts w:hint="eastAsia" w:ascii="宋体"/>
          <w:szCs w:val="21"/>
        </w:rPr>
      </w:pPr>
      <w:r>
        <w:rPr>
          <w:rFonts w:hint="eastAsia" w:ascii="宋体"/>
          <w:szCs w:val="21"/>
        </w:rPr>
        <w:t>1）审查承包人提交的计量申请，签发工程计量认证书。审查承包人提交的支付申请，按施工合同规定，签发支付证书，工程结束时，核实最终工程量，审核承包人的施工过程工程结算及最终竣工结算，报委托人批准；</w:t>
      </w:r>
    </w:p>
    <w:p w14:paraId="65724F6A">
      <w:pPr>
        <w:spacing w:line="360" w:lineRule="auto"/>
        <w:ind w:firstLine="480" w:firstLineChars="200"/>
        <w:rPr>
          <w:rFonts w:hint="eastAsia" w:ascii="宋体"/>
          <w:szCs w:val="21"/>
        </w:rPr>
      </w:pPr>
      <w:r>
        <w:rPr>
          <w:rFonts w:hint="eastAsia" w:ascii="宋体"/>
          <w:szCs w:val="21"/>
        </w:rPr>
        <w:t>2）按照合同规定及委托人授权，确定工程变更项目，分析并与各方协商确定变更的工程与费用，发布变更指令；</w:t>
      </w:r>
    </w:p>
    <w:p w14:paraId="74E26A6A">
      <w:pPr>
        <w:spacing w:line="360" w:lineRule="auto"/>
        <w:ind w:firstLine="480" w:firstLineChars="200"/>
        <w:rPr>
          <w:rFonts w:hint="eastAsia" w:ascii="宋体"/>
          <w:szCs w:val="21"/>
        </w:rPr>
      </w:pPr>
      <w:r>
        <w:rPr>
          <w:rFonts w:hint="eastAsia" w:ascii="宋体"/>
          <w:szCs w:val="21"/>
        </w:rPr>
        <w:t>3）工程承包合同约定的工程价格范围内，工程款支付的审核和签认，未经总监理工程师签字确认，委托人不支付工程款；</w:t>
      </w:r>
    </w:p>
    <w:p w14:paraId="4FE38B38">
      <w:pPr>
        <w:spacing w:line="360" w:lineRule="auto"/>
        <w:ind w:firstLine="480" w:firstLineChars="200"/>
        <w:rPr>
          <w:rFonts w:hint="eastAsia" w:ascii="宋体"/>
          <w:szCs w:val="21"/>
        </w:rPr>
      </w:pPr>
      <w:r>
        <w:rPr>
          <w:rFonts w:hint="eastAsia" w:ascii="宋体"/>
          <w:szCs w:val="21"/>
        </w:rPr>
        <w:t>4）办理委托人决定更改、增减工程内容、数量事宜，审理承包人申报的有关工程更改的请求，提出处理意见，并报委托人签认；所有变更必须经委托人书面同意后方能实施。</w:t>
      </w:r>
    </w:p>
    <w:p w14:paraId="6BB8E0C3">
      <w:pPr>
        <w:spacing w:line="360" w:lineRule="auto"/>
        <w:ind w:firstLine="480" w:firstLineChars="200"/>
        <w:rPr>
          <w:rFonts w:hint="eastAsia" w:ascii="宋体"/>
          <w:szCs w:val="21"/>
        </w:rPr>
      </w:pPr>
      <w:r>
        <w:rPr>
          <w:rFonts w:hint="eastAsia" w:ascii="宋体"/>
          <w:szCs w:val="21"/>
        </w:rPr>
        <w:t>（5）安全生产管理监督</w:t>
      </w:r>
    </w:p>
    <w:p w14:paraId="1204DF6F">
      <w:pPr>
        <w:spacing w:line="360" w:lineRule="auto"/>
        <w:ind w:firstLine="480" w:firstLineChars="200"/>
        <w:rPr>
          <w:rFonts w:hint="eastAsia" w:ascii="宋体"/>
          <w:szCs w:val="21"/>
        </w:rPr>
      </w:pPr>
      <w:r>
        <w:rPr>
          <w:rFonts w:hint="eastAsia" w:ascii="宋体"/>
          <w:szCs w:val="21"/>
        </w:rPr>
        <w:t>1）审查施工单位安全生产管理体系；</w:t>
      </w:r>
    </w:p>
    <w:p w14:paraId="2EE2C388">
      <w:pPr>
        <w:spacing w:line="360" w:lineRule="auto"/>
        <w:ind w:firstLine="480" w:firstLineChars="200"/>
        <w:rPr>
          <w:rFonts w:hint="eastAsia" w:ascii="宋体"/>
          <w:szCs w:val="21"/>
        </w:rPr>
      </w:pPr>
      <w:r>
        <w:rPr>
          <w:rFonts w:hint="eastAsia" w:ascii="宋体"/>
          <w:szCs w:val="21"/>
        </w:rPr>
        <w:t>2）审查施工单位安全生产领导组织机构；</w:t>
      </w:r>
    </w:p>
    <w:p w14:paraId="7AFE1A47">
      <w:pPr>
        <w:spacing w:line="360" w:lineRule="auto"/>
        <w:ind w:firstLine="480" w:firstLineChars="200"/>
        <w:rPr>
          <w:rFonts w:hint="eastAsia" w:ascii="宋体"/>
          <w:szCs w:val="21"/>
        </w:rPr>
      </w:pPr>
      <w:r>
        <w:rPr>
          <w:rFonts w:hint="eastAsia" w:ascii="宋体"/>
          <w:szCs w:val="21"/>
        </w:rPr>
        <w:t>3）审查施工单位安全生产管理措施；</w:t>
      </w:r>
    </w:p>
    <w:p w14:paraId="5F6ED598">
      <w:pPr>
        <w:spacing w:line="360" w:lineRule="auto"/>
        <w:ind w:firstLine="480" w:firstLineChars="200"/>
        <w:rPr>
          <w:rFonts w:hint="eastAsia" w:ascii="宋体"/>
          <w:szCs w:val="21"/>
        </w:rPr>
      </w:pPr>
      <w:r>
        <w:rPr>
          <w:rFonts w:hint="eastAsia" w:ascii="宋体"/>
          <w:szCs w:val="21"/>
        </w:rPr>
        <w:t>4）检查安全生产管理措施及各种规章制度的执行和落实情况；</w:t>
      </w:r>
    </w:p>
    <w:p w14:paraId="21467F42">
      <w:pPr>
        <w:spacing w:line="360" w:lineRule="auto"/>
        <w:ind w:firstLine="480" w:firstLineChars="200"/>
        <w:rPr>
          <w:rFonts w:hint="eastAsia" w:ascii="宋体"/>
          <w:szCs w:val="21"/>
        </w:rPr>
      </w:pPr>
      <w:r>
        <w:rPr>
          <w:rFonts w:hint="eastAsia" w:ascii="宋体"/>
          <w:szCs w:val="21"/>
        </w:rPr>
        <w:t>5）组织有关单位定期进行安全联合检查；</w:t>
      </w:r>
    </w:p>
    <w:p w14:paraId="23504F81">
      <w:pPr>
        <w:spacing w:line="360" w:lineRule="auto"/>
        <w:ind w:firstLine="480" w:firstLineChars="200"/>
        <w:rPr>
          <w:rFonts w:hint="eastAsia" w:ascii="宋体"/>
          <w:szCs w:val="21"/>
        </w:rPr>
      </w:pPr>
      <w:r>
        <w:rPr>
          <w:rFonts w:hint="eastAsia" w:ascii="宋体"/>
          <w:szCs w:val="21"/>
        </w:rPr>
        <w:t>6）发现安全事故或安全隐患问题及时会同有关各方进行解决；</w:t>
      </w:r>
    </w:p>
    <w:p w14:paraId="3A8405DD">
      <w:pPr>
        <w:spacing w:line="360" w:lineRule="auto"/>
        <w:ind w:firstLine="480" w:firstLineChars="200"/>
        <w:rPr>
          <w:rFonts w:hint="eastAsia" w:ascii="宋体"/>
          <w:szCs w:val="21"/>
        </w:rPr>
      </w:pPr>
      <w:r>
        <w:rPr>
          <w:rFonts w:hint="eastAsia" w:ascii="宋体"/>
          <w:szCs w:val="21"/>
        </w:rPr>
        <w:t>7）协助处理工程出现的质量事故和安全事故，参与重大质量、安全故故分析和处理。对突然发生的事故，可决定作出紧急措施，并及时向委托人报告；</w:t>
      </w:r>
    </w:p>
    <w:p w14:paraId="472CC670">
      <w:pPr>
        <w:spacing w:line="360" w:lineRule="auto"/>
        <w:ind w:firstLine="480" w:firstLineChars="200"/>
        <w:rPr>
          <w:rFonts w:hint="eastAsia" w:ascii="宋体"/>
          <w:szCs w:val="21"/>
        </w:rPr>
      </w:pPr>
      <w:r>
        <w:rPr>
          <w:rFonts w:hint="eastAsia" w:ascii="宋体"/>
          <w:szCs w:val="21"/>
        </w:rPr>
        <w:t>8）征得委托人同意，监理人下达工程暂停令，但应当事先向委托人报告。如在紧急情况下未能事先报告时，则应在24小时内向委托人作出书面报告。</w:t>
      </w:r>
    </w:p>
    <w:p w14:paraId="245B115B">
      <w:pPr>
        <w:spacing w:line="360" w:lineRule="auto"/>
        <w:ind w:firstLine="480" w:firstLineChars="200"/>
        <w:rPr>
          <w:rFonts w:hint="eastAsia" w:ascii="宋体"/>
          <w:szCs w:val="21"/>
        </w:rPr>
      </w:pPr>
      <w:r>
        <w:rPr>
          <w:rFonts w:hint="eastAsia" w:ascii="宋体"/>
          <w:szCs w:val="21"/>
        </w:rPr>
        <w:t>（6）合同管理</w:t>
      </w:r>
    </w:p>
    <w:p w14:paraId="6982CB5E">
      <w:pPr>
        <w:spacing w:line="360" w:lineRule="auto"/>
        <w:ind w:firstLine="480" w:firstLineChars="200"/>
        <w:rPr>
          <w:rFonts w:hint="eastAsia" w:ascii="宋体"/>
          <w:szCs w:val="21"/>
        </w:rPr>
      </w:pPr>
      <w:r>
        <w:rPr>
          <w:rFonts w:hint="eastAsia" w:ascii="宋体"/>
          <w:szCs w:val="21"/>
        </w:rPr>
        <w:t>1）协助委托人核实承包人的资质及签订施工总承包合同和设备安装工程等承包合同；</w:t>
      </w:r>
    </w:p>
    <w:p w14:paraId="4725772B">
      <w:pPr>
        <w:spacing w:line="360" w:lineRule="auto"/>
        <w:ind w:firstLine="480" w:firstLineChars="200"/>
        <w:rPr>
          <w:rFonts w:hint="eastAsia" w:ascii="宋体"/>
          <w:szCs w:val="21"/>
        </w:rPr>
      </w:pPr>
      <w:r>
        <w:rPr>
          <w:rFonts w:hint="eastAsia" w:ascii="宋体"/>
          <w:szCs w:val="21"/>
        </w:rPr>
        <w:t>2）全面管理工程承包合同的执行；审查承包人选择的分包单位资质，分包项目及分包金额，并报委托人批准；全面掌握承包人的分包单位，项目负责人，技术负平人基本情况，对不能满意地履行合同的任何成员提出警告直至逐出工地；</w:t>
      </w:r>
    </w:p>
    <w:p w14:paraId="384BB80F">
      <w:pPr>
        <w:spacing w:line="360" w:lineRule="auto"/>
        <w:ind w:firstLine="480" w:firstLineChars="200"/>
        <w:rPr>
          <w:rFonts w:hint="eastAsia" w:ascii="宋体"/>
          <w:szCs w:val="21"/>
        </w:rPr>
      </w:pPr>
      <w:r>
        <w:rPr>
          <w:rFonts w:hint="eastAsia" w:ascii="宋体"/>
          <w:szCs w:val="21"/>
        </w:rPr>
        <w:t>3）分析、研究评价承包人可能提出的索赔要求，参与研究并协助做出对索赔的处理意见和决定；</w:t>
      </w:r>
    </w:p>
    <w:p w14:paraId="72BBD224">
      <w:pPr>
        <w:spacing w:line="360" w:lineRule="auto"/>
        <w:ind w:firstLine="480" w:firstLineChars="200"/>
        <w:rPr>
          <w:rFonts w:hint="eastAsia" w:ascii="宋体"/>
          <w:szCs w:val="21"/>
        </w:rPr>
      </w:pPr>
      <w:r>
        <w:rPr>
          <w:rFonts w:hint="eastAsia" w:ascii="宋体"/>
          <w:szCs w:val="21"/>
        </w:rPr>
        <w:t>4）参与工程合同争议、仲裁等有关问题的处理，提出必要的证据资料，意见和分析报告。</w:t>
      </w:r>
    </w:p>
    <w:p w14:paraId="31CD5D93">
      <w:pPr>
        <w:spacing w:line="360" w:lineRule="auto"/>
        <w:ind w:firstLine="480" w:firstLineChars="200"/>
        <w:rPr>
          <w:rFonts w:hint="eastAsia" w:ascii="宋体"/>
          <w:szCs w:val="21"/>
        </w:rPr>
      </w:pPr>
      <w:r>
        <w:rPr>
          <w:rFonts w:hint="eastAsia" w:ascii="宋体"/>
          <w:szCs w:val="21"/>
        </w:rPr>
        <w:t>（7）信息管理及协调工作</w:t>
      </w:r>
    </w:p>
    <w:p w14:paraId="6B104CA4">
      <w:pPr>
        <w:spacing w:line="360" w:lineRule="auto"/>
        <w:ind w:firstLine="480" w:firstLineChars="200"/>
        <w:rPr>
          <w:rFonts w:hint="eastAsia" w:ascii="宋体"/>
          <w:szCs w:val="21"/>
        </w:rPr>
      </w:pPr>
      <w:r>
        <w:rPr>
          <w:rFonts w:hint="eastAsia" w:ascii="宋体"/>
          <w:szCs w:val="21"/>
        </w:rPr>
        <w:t>1）核实并掌握工地的各种情况，详细记录工地与工程有关的所有信息，定期向委托人报告工地情况，重大或重要事项随时向委托人报告；</w:t>
      </w:r>
    </w:p>
    <w:p w14:paraId="5937370D">
      <w:pPr>
        <w:spacing w:line="360" w:lineRule="auto"/>
        <w:ind w:firstLine="480" w:firstLineChars="200"/>
        <w:rPr>
          <w:rFonts w:hint="eastAsia" w:ascii="宋体"/>
          <w:szCs w:val="21"/>
        </w:rPr>
      </w:pPr>
      <w:r>
        <w:rPr>
          <w:rFonts w:hint="eastAsia" w:ascii="宋体"/>
          <w:szCs w:val="21"/>
        </w:rPr>
        <w:t>2）按时提交旬报、月报、年报，包括进度分析、质量控制，投资分析等报告，以及各类专题报告，年终总结和最终监理报告；</w:t>
      </w:r>
    </w:p>
    <w:p w14:paraId="185C37BE">
      <w:pPr>
        <w:spacing w:line="360" w:lineRule="auto"/>
        <w:ind w:firstLine="480" w:firstLineChars="200"/>
        <w:rPr>
          <w:rFonts w:hint="eastAsia" w:ascii="宋体"/>
          <w:szCs w:val="21"/>
        </w:rPr>
      </w:pPr>
      <w:r>
        <w:rPr>
          <w:rFonts w:hint="eastAsia" w:ascii="宋体"/>
          <w:szCs w:val="21"/>
        </w:rPr>
        <w:t>3）及时向委托人抄送监理单位和承包人之间的来往文函；</w:t>
      </w:r>
    </w:p>
    <w:p w14:paraId="24F2CF57">
      <w:pPr>
        <w:spacing w:line="360" w:lineRule="auto"/>
        <w:ind w:firstLine="480" w:firstLineChars="200"/>
        <w:rPr>
          <w:rFonts w:hint="eastAsia" w:ascii="宋体"/>
          <w:szCs w:val="21"/>
        </w:rPr>
      </w:pPr>
      <w:r>
        <w:rPr>
          <w:rFonts w:hint="eastAsia" w:ascii="宋体"/>
          <w:szCs w:val="21"/>
        </w:rPr>
        <w:t>4）做好有关工程资料和文件的汇总管理工作，随时按收委托人及政府有关质检部门的督促检查；</w:t>
      </w:r>
    </w:p>
    <w:p w14:paraId="091B252B">
      <w:pPr>
        <w:spacing w:line="360" w:lineRule="auto"/>
        <w:ind w:firstLine="480" w:firstLineChars="200"/>
        <w:rPr>
          <w:rFonts w:hint="eastAsia" w:ascii="宋体"/>
          <w:szCs w:val="21"/>
        </w:rPr>
      </w:pPr>
      <w:r>
        <w:rPr>
          <w:rFonts w:hint="eastAsia" w:ascii="宋体"/>
          <w:szCs w:val="21"/>
        </w:rPr>
        <w:t>5）督促承包人提交完整的工程竣工验收资料；</w:t>
      </w:r>
    </w:p>
    <w:p w14:paraId="03967C5C">
      <w:pPr>
        <w:spacing w:line="360" w:lineRule="auto"/>
        <w:ind w:firstLine="480" w:firstLineChars="200"/>
        <w:rPr>
          <w:rFonts w:hint="eastAsia" w:ascii="宋体"/>
          <w:szCs w:val="21"/>
        </w:rPr>
      </w:pPr>
      <w:r>
        <w:rPr>
          <w:rFonts w:hint="eastAsia" w:ascii="宋体"/>
          <w:szCs w:val="21"/>
        </w:rPr>
        <w:t>6）协调参建单位之间的关系，对工程设计、工程承包合同出现的纠纷和索赔事项提出建议或意见；</w:t>
      </w:r>
    </w:p>
    <w:p w14:paraId="47B4EC28">
      <w:pPr>
        <w:spacing w:line="360" w:lineRule="auto"/>
        <w:ind w:firstLine="480" w:firstLineChars="200"/>
        <w:rPr>
          <w:rFonts w:hint="eastAsia" w:ascii="宋体"/>
          <w:szCs w:val="21"/>
        </w:rPr>
      </w:pPr>
      <w:r>
        <w:rPr>
          <w:rFonts w:hint="eastAsia" w:ascii="宋体"/>
          <w:szCs w:val="21"/>
        </w:rPr>
        <w:t>2.2监理与相关服务依据</w:t>
      </w:r>
    </w:p>
    <w:p w14:paraId="7454AFBB">
      <w:pPr>
        <w:spacing w:line="360" w:lineRule="auto"/>
        <w:ind w:firstLine="480" w:firstLineChars="200"/>
        <w:rPr>
          <w:rFonts w:hint="eastAsia" w:ascii="宋体"/>
          <w:szCs w:val="21"/>
        </w:rPr>
      </w:pPr>
      <w:r>
        <w:rPr>
          <w:rFonts w:hint="eastAsia" w:ascii="宋体"/>
          <w:szCs w:val="21"/>
        </w:rPr>
        <w:t>2.2.1监理依据包括但不限于：</w:t>
      </w:r>
    </w:p>
    <w:p w14:paraId="77C765BC">
      <w:pPr>
        <w:spacing w:line="360" w:lineRule="auto"/>
        <w:ind w:firstLine="480" w:firstLineChars="200"/>
        <w:rPr>
          <w:rFonts w:hint="eastAsia" w:ascii="宋体"/>
          <w:szCs w:val="21"/>
        </w:rPr>
      </w:pPr>
      <w:r>
        <w:rPr>
          <w:rFonts w:hint="eastAsia" w:ascii="宋体"/>
          <w:szCs w:val="21"/>
        </w:rPr>
        <w:t>a国家工程建设的法律、法规、条款及有关政策规定，主管部门批准的建设计划、规划、设计文件。</w:t>
      </w:r>
    </w:p>
    <w:p w14:paraId="578324E1">
      <w:pPr>
        <w:spacing w:line="360" w:lineRule="auto"/>
        <w:ind w:firstLine="480" w:firstLineChars="200"/>
        <w:rPr>
          <w:rFonts w:hint="eastAsia" w:ascii="宋体"/>
          <w:szCs w:val="21"/>
        </w:rPr>
      </w:pPr>
      <w:r>
        <w:rPr>
          <w:rFonts w:hint="eastAsia" w:ascii="宋体"/>
          <w:szCs w:val="21"/>
        </w:rPr>
        <w:t>b委托人与勘察、设计、承建单位签订的合同或协议。</w:t>
      </w:r>
    </w:p>
    <w:p w14:paraId="736577BB">
      <w:pPr>
        <w:spacing w:line="360" w:lineRule="auto"/>
        <w:ind w:firstLine="480" w:firstLineChars="200"/>
        <w:rPr>
          <w:rFonts w:hint="eastAsia" w:ascii="宋体"/>
          <w:szCs w:val="21"/>
        </w:rPr>
      </w:pPr>
      <w:r>
        <w:rPr>
          <w:rFonts w:hint="eastAsia" w:ascii="宋体"/>
          <w:szCs w:val="21"/>
        </w:rPr>
        <w:t>c经批准的施工图纸及说明，经图纸会审确定的修改设计通知书。</w:t>
      </w:r>
    </w:p>
    <w:p w14:paraId="74786EB6">
      <w:pPr>
        <w:spacing w:line="360" w:lineRule="auto"/>
        <w:ind w:firstLine="480" w:firstLineChars="200"/>
        <w:rPr>
          <w:rFonts w:hint="eastAsia" w:ascii="宋体"/>
          <w:szCs w:val="21"/>
        </w:rPr>
      </w:pPr>
      <w:r>
        <w:rPr>
          <w:rFonts w:hint="eastAsia" w:ascii="宋体"/>
          <w:szCs w:val="21"/>
        </w:rPr>
        <w:t>d国家和地方现行的建筑工程质量评定标准、设计及施工验收规范。</w:t>
      </w:r>
    </w:p>
    <w:p w14:paraId="2F2B7692">
      <w:pPr>
        <w:spacing w:line="360" w:lineRule="auto"/>
        <w:ind w:firstLine="480" w:firstLineChars="200"/>
        <w:rPr>
          <w:rFonts w:hint="eastAsia" w:ascii="宋体"/>
          <w:szCs w:val="21"/>
        </w:rPr>
      </w:pPr>
      <w:r>
        <w:rPr>
          <w:rFonts w:hint="eastAsia" w:ascii="宋体"/>
          <w:szCs w:val="21"/>
        </w:rPr>
        <w:t>e当地现场预算定额、取费标准和有关建设管理办法。</w:t>
      </w:r>
    </w:p>
    <w:p w14:paraId="1D33E4FE">
      <w:pPr>
        <w:spacing w:line="360" w:lineRule="auto"/>
        <w:ind w:firstLine="480" w:firstLineChars="200"/>
        <w:rPr>
          <w:rFonts w:hint="eastAsia" w:ascii="宋体"/>
          <w:szCs w:val="21"/>
        </w:rPr>
      </w:pPr>
      <w:r>
        <w:rPr>
          <w:rFonts w:hint="eastAsia" w:ascii="宋体"/>
          <w:szCs w:val="21"/>
        </w:rPr>
        <w:t>f当地建设行政主管部门的有关法规和通知等。</w:t>
      </w:r>
    </w:p>
    <w:p w14:paraId="4833DAB5">
      <w:pPr>
        <w:spacing w:line="360" w:lineRule="auto"/>
        <w:ind w:firstLine="480" w:firstLineChars="200"/>
        <w:rPr>
          <w:rFonts w:hint="eastAsia" w:ascii="宋体"/>
          <w:szCs w:val="21"/>
        </w:rPr>
      </w:pPr>
      <w:r>
        <w:rPr>
          <w:rFonts w:hint="eastAsia" w:ascii="宋体"/>
          <w:szCs w:val="21"/>
        </w:rPr>
        <w:t>g委托人发出的指令及与本工程有关的会议纪要和文件。</w:t>
      </w:r>
    </w:p>
    <w:p w14:paraId="5789CD48">
      <w:pPr>
        <w:spacing w:line="360" w:lineRule="auto"/>
        <w:ind w:firstLine="480" w:firstLineChars="200"/>
        <w:rPr>
          <w:rFonts w:hint="eastAsia" w:ascii="宋体"/>
          <w:szCs w:val="21"/>
        </w:rPr>
      </w:pPr>
      <w:r>
        <w:rPr>
          <w:rFonts w:hint="eastAsia" w:ascii="宋体"/>
          <w:szCs w:val="21"/>
        </w:rPr>
        <w:t>h国家现行的勘察、设计规范和规程、《建筑工程施工及验收规范》、《工程质量检验评定标准》及《装修工程质量验收规范》等有关标准。</w:t>
      </w:r>
    </w:p>
    <w:p w14:paraId="39822FDF">
      <w:pPr>
        <w:spacing w:line="360" w:lineRule="auto"/>
        <w:ind w:firstLine="480" w:firstLineChars="200"/>
        <w:rPr>
          <w:rFonts w:hint="eastAsia" w:ascii="宋体"/>
          <w:szCs w:val="21"/>
        </w:rPr>
      </w:pPr>
      <w:r>
        <w:rPr>
          <w:rFonts w:hint="eastAsia" w:ascii="宋体"/>
          <w:szCs w:val="21"/>
        </w:rPr>
        <w:t>i国家及地方政府相关规定。</w:t>
      </w:r>
    </w:p>
    <w:p w14:paraId="22451C9F">
      <w:pPr>
        <w:spacing w:line="360" w:lineRule="auto"/>
        <w:ind w:firstLine="480" w:firstLineChars="200"/>
        <w:rPr>
          <w:rFonts w:hint="eastAsia" w:ascii="宋体"/>
          <w:szCs w:val="21"/>
        </w:rPr>
      </w:pPr>
      <w:r>
        <w:rPr>
          <w:rFonts w:hint="eastAsia" w:ascii="宋体"/>
          <w:szCs w:val="21"/>
        </w:rPr>
        <w:t>j该工程的地质勘探、设计招投标和施工招投标文件。</w:t>
      </w:r>
    </w:p>
    <w:p w14:paraId="10583304">
      <w:pPr>
        <w:spacing w:line="360" w:lineRule="auto"/>
        <w:ind w:firstLine="480" w:firstLineChars="200"/>
        <w:rPr>
          <w:rFonts w:hint="eastAsia" w:ascii="宋体"/>
          <w:szCs w:val="21"/>
        </w:rPr>
      </w:pPr>
      <w:r>
        <w:rPr>
          <w:rFonts w:hint="eastAsia" w:ascii="宋体"/>
          <w:szCs w:val="21"/>
        </w:rPr>
        <w:t>k GB/T19001-2000质量保证标准。</w:t>
      </w:r>
    </w:p>
    <w:p w14:paraId="6B72EF8F">
      <w:pPr>
        <w:spacing w:line="360" w:lineRule="auto"/>
        <w:ind w:firstLine="480" w:firstLineChars="200"/>
        <w:rPr>
          <w:rFonts w:hint="eastAsia" w:ascii="宋体"/>
          <w:szCs w:val="21"/>
        </w:rPr>
      </w:pPr>
      <w:r>
        <w:rPr>
          <w:rFonts w:hint="eastAsia" w:ascii="宋体"/>
          <w:szCs w:val="21"/>
        </w:rPr>
        <w:t>2.3项目监理机构和人员</w:t>
      </w:r>
    </w:p>
    <w:p w14:paraId="52CC5BC1">
      <w:pPr>
        <w:spacing w:line="360" w:lineRule="auto"/>
        <w:ind w:firstLine="480" w:firstLineChars="200"/>
        <w:rPr>
          <w:rFonts w:hint="eastAsia" w:ascii="宋体"/>
          <w:szCs w:val="21"/>
        </w:rPr>
      </w:pPr>
      <w:r>
        <w:rPr>
          <w:rFonts w:hint="eastAsia" w:ascii="宋体"/>
          <w:szCs w:val="21"/>
        </w:rPr>
        <w:t>2.3.4更换监理人员的其他情形：1、未按照要求定期将施工现场有关情况及时向主管部门报告的；2、未对建设工程材料、安装构件和设备进行合格鉴定或将不合格的建设工程、建筑材料、建筑构件和设备按照合格签字的；3、未依照法律、法规和工程建设强制性标准实施监理的；4、与施工单位串通，弄虚作假、降低工程质量的；5、发现质量和安全事故隐患未及时要求施工单位改正或者暂停施工的；6、监理人员使用假证或无证上岗的；7、在工作过程中吃拿卡要，情节严重的；8、经委托人日常考察不合格或不能满足监理工作要求的。</w:t>
      </w:r>
    </w:p>
    <w:p w14:paraId="7134E750">
      <w:pPr>
        <w:spacing w:line="360" w:lineRule="auto"/>
        <w:ind w:firstLine="480" w:firstLineChars="200"/>
        <w:rPr>
          <w:rFonts w:hint="eastAsia" w:ascii="宋体"/>
          <w:szCs w:val="21"/>
        </w:rPr>
      </w:pPr>
      <w:r>
        <w:rPr>
          <w:rFonts w:hint="eastAsia" w:ascii="宋体"/>
          <w:szCs w:val="21"/>
        </w:rPr>
        <w:t>2.4履行职责</w:t>
      </w:r>
    </w:p>
    <w:p w14:paraId="74DCAFC3">
      <w:pPr>
        <w:spacing w:line="360" w:lineRule="auto"/>
        <w:ind w:firstLine="480" w:firstLineChars="200"/>
        <w:rPr>
          <w:rFonts w:hint="eastAsia" w:ascii="宋体"/>
          <w:szCs w:val="21"/>
        </w:rPr>
      </w:pPr>
      <w:r>
        <w:rPr>
          <w:rFonts w:hint="eastAsia" w:ascii="宋体"/>
          <w:szCs w:val="21"/>
        </w:rPr>
        <w:t>2.4.3对监理人的授权范围：  /  。</w:t>
      </w:r>
    </w:p>
    <w:p w14:paraId="6BA0691B">
      <w:pPr>
        <w:spacing w:line="360" w:lineRule="auto"/>
        <w:ind w:firstLine="480" w:firstLineChars="200"/>
        <w:rPr>
          <w:rFonts w:hint="eastAsia" w:ascii="宋体"/>
          <w:szCs w:val="21"/>
        </w:rPr>
      </w:pPr>
      <w:r>
        <w:rPr>
          <w:rFonts w:hint="eastAsia" w:ascii="宋体"/>
          <w:szCs w:val="21"/>
        </w:rPr>
        <w:t>在涉及工程延期  /  天内和（或）金额  /  万元内的变更，监理人不需请示委托人即可向承包人发布变更通知。</w:t>
      </w:r>
    </w:p>
    <w:p w14:paraId="1C599B5A">
      <w:pPr>
        <w:spacing w:line="360" w:lineRule="auto"/>
        <w:ind w:firstLine="480" w:firstLineChars="200"/>
        <w:rPr>
          <w:rFonts w:hint="eastAsia" w:ascii="宋体"/>
          <w:szCs w:val="21"/>
        </w:rPr>
      </w:pPr>
      <w:r>
        <w:rPr>
          <w:rFonts w:hint="eastAsia" w:ascii="宋体"/>
          <w:szCs w:val="21"/>
        </w:rPr>
        <w:t>2.4.4监理人有权要求承包人调换其人员的限制条件：  / 。</w:t>
      </w:r>
    </w:p>
    <w:p w14:paraId="2ADAF75F">
      <w:pPr>
        <w:spacing w:line="360" w:lineRule="auto"/>
        <w:ind w:firstLine="480" w:firstLineChars="200"/>
        <w:rPr>
          <w:rFonts w:hint="eastAsia" w:ascii="宋体"/>
          <w:szCs w:val="21"/>
        </w:rPr>
      </w:pPr>
      <w:r>
        <w:rPr>
          <w:rFonts w:hint="eastAsia" w:ascii="宋体"/>
          <w:szCs w:val="21"/>
        </w:rPr>
        <w:t>2.5提交报告</w:t>
      </w:r>
    </w:p>
    <w:p w14:paraId="77005909">
      <w:pPr>
        <w:spacing w:line="360" w:lineRule="auto"/>
        <w:ind w:firstLine="480" w:firstLineChars="200"/>
        <w:rPr>
          <w:rFonts w:hint="eastAsia" w:ascii="宋体"/>
          <w:szCs w:val="21"/>
        </w:rPr>
      </w:pPr>
      <w:r>
        <w:rPr>
          <w:rFonts w:hint="eastAsia" w:ascii="宋体"/>
          <w:szCs w:val="21"/>
        </w:rPr>
        <w:t>监理人应提交报告的种类、时间和份数：</w:t>
      </w:r>
    </w:p>
    <w:p w14:paraId="11E6BE5A">
      <w:pPr>
        <w:spacing w:line="360" w:lineRule="auto"/>
        <w:ind w:firstLine="480" w:firstLineChars="200"/>
        <w:rPr>
          <w:rFonts w:hint="eastAsia" w:ascii="宋体"/>
          <w:szCs w:val="21"/>
        </w:rPr>
      </w:pPr>
      <w:r>
        <w:rPr>
          <w:rFonts w:hint="eastAsia" w:ascii="宋体"/>
          <w:szCs w:val="21"/>
        </w:rPr>
        <w:t>监理单位进场前，提供符合委托方要求的监理规划大纲，监理过程中应定期报送监理月报和阶段性工作总结、重大事件报告（报送内容和方式另定）。</w:t>
      </w:r>
    </w:p>
    <w:p w14:paraId="6694955C">
      <w:pPr>
        <w:spacing w:line="360" w:lineRule="auto"/>
        <w:ind w:firstLine="480" w:firstLineChars="200"/>
        <w:rPr>
          <w:rFonts w:hint="eastAsia" w:ascii="宋体"/>
          <w:szCs w:val="21"/>
        </w:rPr>
      </w:pPr>
      <w:r>
        <w:rPr>
          <w:rFonts w:hint="eastAsia" w:ascii="宋体"/>
          <w:szCs w:val="21"/>
        </w:rPr>
        <w:t>监理规划：合同签订后7日内，提交3份；</w:t>
      </w:r>
    </w:p>
    <w:p w14:paraId="65B3332E">
      <w:pPr>
        <w:spacing w:line="360" w:lineRule="auto"/>
        <w:ind w:firstLine="480" w:firstLineChars="200"/>
        <w:rPr>
          <w:rFonts w:hint="eastAsia" w:ascii="宋体"/>
          <w:szCs w:val="21"/>
        </w:rPr>
      </w:pPr>
      <w:r>
        <w:rPr>
          <w:rFonts w:hint="eastAsia" w:ascii="宋体"/>
          <w:szCs w:val="21"/>
        </w:rPr>
        <w:t>监理月报：施工月最后一个工作日，提交3份；</w:t>
      </w:r>
    </w:p>
    <w:p w14:paraId="6CEE585B">
      <w:pPr>
        <w:spacing w:line="360" w:lineRule="auto"/>
        <w:ind w:firstLine="480" w:firstLineChars="200"/>
        <w:rPr>
          <w:rFonts w:hint="eastAsia" w:ascii="宋体"/>
          <w:szCs w:val="21"/>
        </w:rPr>
      </w:pPr>
      <w:r>
        <w:rPr>
          <w:rFonts w:hint="eastAsia" w:ascii="宋体"/>
          <w:szCs w:val="21"/>
        </w:rPr>
        <w:t>监理会议纪要（经参会各方会签）：会议结束后第二个工作日，提交6份；</w:t>
      </w:r>
    </w:p>
    <w:p w14:paraId="23F81F6E">
      <w:pPr>
        <w:spacing w:line="360" w:lineRule="auto"/>
        <w:ind w:firstLine="480" w:firstLineChars="200"/>
        <w:rPr>
          <w:rFonts w:hint="eastAsia" w:ascii="宋体"/>
          <w:szCs w:val="21"/>
        </w:rPr>
      </w:pPr>
      <w:r>
        <w:rPr>
          <w:rFonts w:hint="eastAsia" w:ascii="宋体"/>
          <w:szCs w:val="21"/>
        </w:rPr>
        <w:t>其余各项报告种类、时间和份数由双方根据具体情况商定。</w:t>
      </w:r>
    </w:p>
    <w:p w14:paraId="0CA705E2">
      <w:pPr>
        <w:spacing w:line="360" w:lineRule="auto"/>
        <w:ind w:firstLine="480" w:firstLineChars="200"/>
        <w:rPr>
          <w:rFonts w:hint="eastAsia" w:ascii="宋体"/>
          <w:szCs w:val="21"/>
        </w:rPr>
      </w:pPr>
      <w:r>
        <w:rPr>
          <w:rFonts w:hint="eastAsia" w:ascii="宋体"/>
          <w:szCs w:val="21"/>
        </w:rPr>
        <w:t>2.7使用委托人的财产</w:t>
      </w:r>
    </w:p>
    <w:p w14:paraId="12042538">
      <w:pPr>
        <w:spacing w:line="360" w:lineRule="auto"/>
        <w:ind w:firstLine="480" w:firstLineChars="200"/>
        <w:rPr>
          <w:rFonts w:hint="eastAsia" w:ascii="宋体"/>
          <w:szCs w:val="21"/>
        </w:rPr>
      </w:pPr>
      <w:r>
        <w:rPr>
          <w:rFonts w:hint="eastAsia" w:ascii="宋体"/>
          <w:szCs w:val="21"/>
        </w:rPr>
        <w:t>附录B中由委托人无偿提供的房屋、设备的所有权属于：委托人或委托人指定单位。</w:t>
      </w:r>
    </w:p>
    <w:p w14:paraId="7848C0A0">
      <w:pPr>
        <w:spacing w:line="360" w:lineRule="auto"/>
        <w:ind w:firstLine="480" w:firstLineChars="200"/>
        <w:rPr>
          <w:rFonts w:hint="eastAsia" w:ascii="宋体"/>
          <w:szCs w:val="21"/>
        </w:rPr>
      </w:pPr>
      <w:r>
        <w:rPr>
          <w:rFonts w:hint="eastAsia" w:ascii="宋体"/>
          <w:szCs w:val="21"/>
        </w:rPr>
        <w:t>监理人应在本合同终止后15天内移交委托人无偿提供的房屋、设备、移交的时间和方式为：现场清点、移交。</w:t>
      </w:r>
    </w:p>
    <w:p w14:paraId="42382747">
      <w:pPr>
        <w:spacing w:line="360" w:lineRule="auto"/>
        <w:ind w:firstLine="480" w:firstLineChars="200"/>
        <w:rPr>
          <w:rFonts w:hint="eastAsia" w:ascii="宋体"/>
          <w:szCs w:val="21"/>
        </w:rPr>
      </w:pPr>
      <w:r>
        <w:rPr>
          <w:rFonts w:hint="eastAsia" w:ascii="宋体"/>
          <w:szCs w:val="21"/>
        </w:rPr>
        <w:t>3．委托人义务</w:t>
      </w:r>
    </w:p>
    <w:p w14:paraId="5256B94E">
      <w:pPr>
        <w:spacing w:line="360" w:lineRule="auto"/>
        <w:ind w:firstLine="480" w:firstLineChars="200"/>
        <w:rPr>
          <w:rFonts w:hint="eastAsia" w:ascii="宋体"/>
          <w:szCs w:val="21"/>
        </w:rPr>
      </w:pPr>
      <w:r>
        <w:rPr>
          <w:rFonts w:hint="eastAsia" w:ascii="宋体"/>
          <w:szCs w:val="21"/>
        </w:rPr>
        <w:t>3.4委托人代表</w:t>
      </w:r>
    </w:p>
    <w:p w14:paraId="617CCF9F">
      <w:pPr>
        <w:spacing w:line="360" w:lineRule="auto"/>
        <w:ind w:firstLine="480" w:firstLineChars="200"/>
        <w:rPr>
          <w:rFonts w:hint="eastAsia" w:ascii="宋体"/>
          <w:szCs w:val="21"/>
        </w:rPr>
      </w:pPr>
      <w:r>
        <w:rPr>
          <w:rFonts w:hint="eastAsia" w:ascii="宋体"/>
          <w:szCs w:val="21"/>
        </w:rPr>
        <w:t>委托人代表为：             。</w:t>
      </w:r>
    </w:p>
    <w:p w14:paraId="7D014756">
      <w:pPr>
        <w:spacing w:line="360" w:lineRule="auto"/>
        <w:ind w:firstLine="480" w:firstLineChars="200"/>
        <w:rPr>
          <w:rFonts w:hint="eastAsia" w:ascii="宋体"/>
          <w:szCs w:val="21"/>
        </w:rPr>
      </w:pPr>
      <w:r>
        <w:rPr>
          <w:rFonts w:hint="eastAsia" w:ascii="宋体"/>
          <w:szCs w:val="21"/>
        </w:rPr>
        <w:t>委托人的权利：</w:t>
      </w:r>
    </w:p>
    <w:p w14:paraId="084A4D73">
      <w:pPr>
        <w:spacing w:line="360" w:lineRule="auto"/>
        <w:ind w:firstLine="480" w:firstLineChars="200"/>
        <w:rPr>
          <w:rFonts w:hint="eastAsia" w:ascii="宋体"/>
          <w:szCs w:val="21"/>
        </w:rPr>
      </w:pPr>
      <w:r>
        <w:rPr>
          <w:rFonts w:hint="eastAsia" w:ascii="宋体"/>
          <w:szCs w:val="21"/>
        </w:rPr>
        <w:t>（1）委托人有对工程规模、设计标准、规划设计和设计使用功能要求的认定权，以及对工程设计变更的审批权。</w:t>
      </w:r>
    </w:p>
    <w:p w14:paraId="12E2453D">
      <w:pPr>
        <w:spacing w:line="360" w:lineRule="auto"/>
        <w:ind w:firstLine="480" w:firstLineChars="200"/>
        <w:rPr>
          <w:rFonts w:hint="eastAsia" w:ascii="宋体"/>
          <w:szCs w:val="21"/>
        </w:rPr>
      </w:pPr>
      <w:r>
        <w:rPr>
          <w:rFonts w:hint="eastAsia" w:ascii="宋体"/>
          <w:szCs w:val="21"/>
        </w:rPr>
        <w:t>（2）开工后监理人调换监理工程师须事先以书面方式报请委托人批准，总监理工程师不得调换，特殊情况下必须调换时，须事先以书面方式报请委托人同意。</w:t>
      </w:r>
    </w:p>
    <w:p w14:paraId="72DA660A">
      <w:pPr>
        <w:spacing w:line="360" w:lineRule="auto"/>
        <w:ind w:firstLine="480" w:firstLineChars="200"/>
        <w:rPr>
          <w:rFonts w:hint="eastAsia" w:ascii="宋体"/>
          <w:szCs w:val="21"/>
        </w:rPr>
      </w:pPr>
      <w:r>
        <w:rPr>
          <w:rFonts w:hint="eastAsia" w:ascii="宋体"/>
          <w:szCs w:val="21"/>
        </w:rPr>
        <w:t>（3）委托人有权要求监理人提交监理工作月报及监理业务范围内的专项报告。</w:t>
      </w:r>
    </w:p>
    <w:p w14:paraId="2E91B643">
      <w:pPr>
        <w:spacing w:line="360" w:lineRule="auto"/>
        <w:ind w:firstLine="480" w:firstLineChars="200"/>
        <w:rPr>
          <w:rFonts w:hint="eastAsia" w:ascii="宋体"/>
          <w:szCs w:val="21"/>
        </w:rPr>
      </w:pPr>
      <w:r>
        <w:rPr>
          <w:rFonts w:hint="eastAsia" w:ascii="宋体"/>
          <w:szCs w:val="21"/>
        </w:rPr>
        <w:t>（4）当委托人发现监理人员不按监理合同履行监理职责，或与承包人串通给委托人或工程造成损失的，委托人有权要求监理人更换监理人员，直到终止合同并要求监理人承担相应连带赔偿责任。</w:t>
      </w:r>
    </w:p>
    <w:p w14:paraId="1FB6BA1F">
      <w:pPr>
        <w:spacing w:line="360" w:lineRule="auto"/>
        <w:ind w:firstLine="480" w:firstLineChars="200"/>
        <w:rPr>
          <w:rFonts w:hint="eastAsia" w:ascii="宋体"/>
          <w:szCs w:val="21"/>
        </w:rPr>
      </w:pPr>
      <w:r>
        <w:rPr>
          <w:rFonts w:hint="eastAsia" w:ascii="宋体"/>
          <w:szCs w:val="21"/>
        </w:rPr>
        <w:t>3.6答复</w:t>
      </w:r>
    </w:p>
    <w:p w14:paraId="19CBA237">
      <w:pPr>
        <w:spacing w:line="360" w:lineRule="auto"/>
        <w:ind w:firstLine="480" w:firstLineChars="200"/>
        <w:rPr>
          <w:rFonts w:hint="eastAsia" w:ascii="宋体"/>
          <w:szCs w:val="21"/>
        </w:rPr>
      </w:pPr>
      <w:r>
        <w:rPr>
          <w:rFonts w:hint="eastAsia" w:ascii="宋体"/>
          <w:szCs w:val="21"/>
        </w:rPr>
        <w:t>委托人同意在5个工作日内，对监理人书面提交并要求做出决定的事宜给予书面答复。</w:t>
      </w:r>
    </w:p>
    <w:p w14:paraId="71DD366F">
      <w:pPr>
        <w:spacing w:line="360" w:lineRule="auto"/>
        <w:ind w:firstLine="480" w:firstLineChars="200"/>
        <w:rPr>
          <w:rFonts w:hint="eastAsia" w:ascii="宋体"/>
          <w:szCs w:val="21"/>
        </w:rPr>
      </w:pPr>
      <w:r>
        <w:rPr>
          <w:rFonts w:hint="eastAsia" w:ascii="宋体"/>
          <w:szCs w:val="21"/>
        </w:rPr>
        <w:t>4．违约责任</w:t>
      </w:r>
    </w:p>
    <w:p w14:paraId="4655B5A4">
      <w:pPr>
        <w:spacing w:line="360" w:lineRule="auto"/>
        <w:ind w:firstLine="480" w:firstLineChars="200"/>
        <w:rPr>
          <w:rFonts w:hint="eastAsia" w:ascii="宋体"/>
          <w:szCs w:val="21"/>
        </w:rPr>
      </w:pPr>
      <w:r>
        <w:rPr>
          <w:rFonts w:hint="eastAsia" w:ascii="宋体"/>
          <w:szCs w:val="21"/>
        </w:rPr>
        <w:t>4.1监理人的违约责任</w:t>
      </w:r>
    </w:p>
    <w:p w14:paraId="34580AB8">
      <w:pPr>
        <w:spacing w:line="360" w:lineRule="auto"/>
        <w:ind w:firstLine="480" w:firstLineChars="200"/>
        <w:rPr>
          <w:rFonts w:hint="eastAsia" w:ascii="宋体"/>
          <w:szCs w:val="21"/>
        </w:rPr>
      </w:pPr>
      <w:r>
        <w:rPr>
          <w:rFonts w:hint="eastAsia" w:ascii="宋体"/>
          <w:szCs w:val="21"/>
        </w:rPr>
        <w:t>4.1.1监理人赔偿金额按下列方法确定：</w:t>
      </w:r>
    </w:p>
    <w:p w14:paraId="00C2C0C9">
      <w:pPr>
        <w:spacing w:line="360" w:lineRule="auto"/>
        <w:ind w:firstLine="480" w:firstLineChars="200"/>
        <w:rPr>
          <w:rFonts w:hint="eastAsia" w:ascii="宋体"/>
          <w:szCs w:val="21"/>
        </w:rPr>
      </w:pPr>
      <w:r>
        <w:rPr>
          <w:rFonts w:hint="eastAsia" w:ascii="宋体"/>
          <w:szCs w:val="21"/>
        </w:rPr>
        <w:t>赔偿金＝直接经济损失×正常工作酬金÷工程概算投资额（或建筑安装工程费）</w:t>
      </w:r>
    </w:p>
    <w:p w14:paraId="6E54410C">
      <w:pPr>
        <w:spacing w:line="360" w:lineRule="auto"/>
        <w:ind w:firstLine="480" w:firstLineChars="200"/>
        <w:rPr>
          <w:rFonts w:hint="eastAsia" w:ascii="宋体"/>
          <w:szCs w:val="21"/>
        </w:rPr>
      </w:pPr>
      <w:r>
        <w:rPr>
          <w:rFonts w:hint="eastAsia" w:ascii="宋体"/>
          <w:szCs w:val="21"/>
        </w:rPr>
        <w:t>4.2  监理人在责任期内如果失职或未履行本合同约定的义务给委托人造成损失的，应赔偿委托人因此遭受的一切损失。</w:t>
      </w:r>
    </w:p>
    <w:p w14:paraId="43061196">
      <w:pPr>
        <w:spacing w:line="360" w:lineRule="auto"/>
        <w:ind w:firstLine="480" w:firstLineChars="200"/>
        <w:rPr>
          <w:rFonts w:hint="eastAsia" w:ascii="宋体"/>
          <w:szCs w:val="21"/>
        </w:rPr>
      </w:pPr>
      <w:r>
        <w:rPr>
          <w:rFonts w:hint="eastAsia" w:ascii="宋体"/>
          <w:szCs w:val="21"/>
        </w:rPr>
        <w:t>4.2.1监理人不履行合同义务或不按合同约定履行义务的其它情况，本合同有特殊约定的，按照约定处理；本合同没有特殊约定的，监理人应立即改正并赔偿因其违约给委托人造成的损失，就其违约行为每次每项还应向委托人支付10000元的违约金，情节严重或造成委托人相应损失的，委托人有权选择解除本合同，监理人除向委托人支付合同总价款20%的违约金外，还应当赔偿委托人因此造成的一切损失。</w:t>
      </w:r>
    </w:p>
    <w:p w14:paraId="3F11894D">
      <w:pPr>
        <w:spacing w:line="360" w:lineRule="auto"/>
        <w:ind w:firstLine="480" w:firstLineChars="200"/>
        <w:rPr>
          <w:rFonts w:hint="eastAsia" w:ascii="宋体"/>
          <w:szCs w:val="21"/>
        </w:rPr>
      </w:pPr>
      <w:r>
        <w:rPr>
          <w:rFonts w:hint="eastAsia" w:ascii="宋体"/>
          <w:szCs w:val="21"/>
        </w:rPr>
        <w:t>关于项目监理总工程师每月在施工现场的时间要求： 每月不得少于15天。</w:t>
      </w:r>
    </w:p>
    <w:p w14:paraId="17F2B606">
      <w:pPr>
        <w:spacing w:line="360" w:lineRule="auto"/>
        <w:ind w:firstLine="480" w:firstLineChars="200"/>
        <w:rPr>
          <w:rFonts w:hint="eastAsia" w:ascii="宋体"/>
          <w:szCs w:val="21"/>
        </w:rPr>
      </w:pPr>
      <w:r>
        <w:rPr>
          <w:rFonts w:hint="eastAsia" w:ascii="宋体"/>
          <w:szCs w:val="21"/>
        </w:rPr>
        <w:t>4.2.2监理人未提交劳动合同，以及没有为总监理工程师缴纳社会保险证明的违约责任：监理人向委托人支付10000元人民币的违约金，并补齐手续及资料。</w:t>
      </w:r>
    </w:p>
    <w:p w14:paraId="7F970B89">
      <w:pPr>
        <w:spacing w:line="360" w:lineRule="auto"/>
        <w:ind w:firstLine="480" w:firstLineChars="200"/>
        <w:rPr>
          <w:rFonts w:hint="eastAsia" w:ascii="宋体"/>
          <w:szCs w:val="21"/>
        </w:rPr>
      </w:pPr>
      <w:r>
        <w:rPr>
          <w:rFonts w:hint="eastAsia" w:ascii="宋体"/>
          <w:szCs w:val="21"/>
        </w:rPr>
        <w:t>4.2.3监理总工程师未经批准，擅自离开施工现场的违约责任：监理总工程师及项目管理班子主要成员（包括各专业监理工程师、监理员）必须常驻施工现场，有事确需离开工地，必须书面向委托人代表及</w:t>
      </w:r>
      <w:r>
        <w:rPr>
          <w:rFonts w:hint="eastAsia" w:ascii="宋体"/>
          <w:szCs w:val="21"/>
          <w:lang w:val="en-US" w:eastAsia="zh-CN"/>
        </w:rPr>
        <w:t>总</w:t>
      </w:r>
      <w:r>
        <w:rPr>
          <w:rFonts w:hint="eastAsia" w:ascii="宋体"/>
          <w:szCs w:val="21"/>
        </w:rPr>
        <w:t>监理工程师请假，否则，监理人应对自己的不当行为所造成的后果负责，监理总工程师每月请假超过5天的，每超过一天，委托人可处以监理人6000元～10000元的罚款，项目管理班子主要成员每人每月请假超过7天的，每超过一天委托人可处以监理人4000元～8000元的罚款。上述款项属监理人应当承担的相应违约责任，委托人有权从应付款项中予以直接扣除，因上述行为造成委托人损失的，监理人应当予以赔偿。</w:t>
      </w:r>
    </w:p>
    <w:p w14:paraId="103AC694">
      <w:pPr>
        <w:spacing w:line="360" w:lineRule="auto"/>
        <w:ind w:firstLine="480" w:firstLineChars="200"/>
        <w:rPr>
          <w:rFonts w:hint="eastAsia" w:ascii="宋体"/>
          <w:szCs w:val="21"/>
        </w:rPr>
      </w:pPr>
      <w:r>
        <w:rPr>
          <w:rFonts w:hint="eastAsia" w:ascii="宋体"/>
          <w:szCs w:val="21"/>
        </w:rPr>
        <w:t>4.2.4 监理人擅自更换监理总工程师的违约责任：在施工阶段，未经委托人同意，监理人不得更换总监理工程师和项目管理班子主要成员；监理人擅自更换总监理工程师时，将承担10000元/次的违约罚款。情节严重或两次以上的，委托人有权选择解除本合同，监理人除向委托人支付合同总价款20%的违约金外，还应当赔偿委托人因此造成的一切损失。</w:t>
      </w:r>
    </w:p>
    <w:p w14:paraId="5E636C29">
      <w:pPr>
        <w:spacing w:line="360" w:lineRule="auto"/>
        <w:ind w:firstLine="480" w:firstLineChars="200"/>
        <w:rPr>
          <w:rFonts w:hint="eastAsia" w:ascii="宋体"/>
          <w:szCs w:val="21"/>
        </w:rPr>
      </w:pPr>
      <w:r>
        <w:rPr>
          <w:rFonts w:hint="eastAsia" w:ascii="宋体"/>
          <w:szCs w:val="21"/>
        </w:rPr>
        <w:t>4.2.5 监理人无正当理由拒绝更换总监理工程师的违约责任：视同擅自更换监理总工程师，违约责任同4.2.4条款。</w:t>
      </w:r>
    </w:p>
    <w:p w14:paraId="26A850C3">
      <w:pPr>
        <w:spacing w:line="360" w:lineRule="auto"/>
        <w:ind w:firstLine="480" w:firstLineChars="200"/>
        <w:rPr>
          <w:rFonts w:hint="eastAsia" w:ascii="宋体"/>
          <w:szCs w:val="21"/>
        </w:rPr>
      </w:pPr>
      <w:r>
        <w:rPr>
          <w:rFonts w:hint="eastAsia" w:ascii="宋体"/>
          <w:szCs w:val="21"/>
        </w:rPr>
        <w:t>4.3 委托人违反本合同约定造成监理人的经济损失，委托人应予以赔偿或补偿（不超过承担监理费用）。非委托人原因不予赔偿。</w:t>
      </w:r>
    </w:p>
    <w:p w14:paraId="4BA5288C">
      <w:pPr>
        <w:spacing w:line="360" w:lineRule="auto"/>
        <w:ind w:firstLine="480" w:firstLineChars="200"/>
        <w:rPr>
          <w:rFonts w:hint="eastAsia" w:ascii="宋体"/>
          <w:szCs w:val="21"/>
        </w:rPr>
      </w:pPr>
      <w:r>
        <w:rPr>
          <w:rFonts w:hint="eastAsia" w:ascii="宋体"/>
          <w:szCs w:val="21"/>
        </w:rPr>
        <w:t>4.5  监理人办理的保险费用由监理人承担。</w:t>
      </w:r>
    </w:p>
    <w:p w14:paraId="268AF528">
      <w:pPr>
        <w:spacing w:line="360" w:lineRule="auto"/>
        <w:ind w:firstLine="480" w:firstLineChars="200"/>
        <w:rPr>
          <w:rFonts w:hint="eastAsia" w:ascii="宋体"/>
          <w:szCs w:val="21"/>
        </w:rPr>
      </w:pPr>
      <w:r>
        <w:rPr>
          <w:rFonts w:hint="eastAsia" w:ascii="宋体"/>
          <w:szCs w:val="21"/>
        </w:rPr>
        <w:t>4.6  监理人在责任期内一旦被发现存在挂靠、出借资质投标或违法转包行为无效，委托人有权解除合同并要求监理人退场，由此造成的全部损失由监理人自行承担，且监理人除向委托人支付合同总价款20%的违约金外，还应当赔偿委托人因此造成的一切损失。通用条件中与本条不一致的规定，以本条约定为准。</w:t>
      </w:r>
    </w:p>
    <w:p w14:paraId="34F29489">
      <w:pPr>
        <w:spacing w:line="360" w:lineRule="auto"/>
        <w:ind w:firstLine="480" w:firstLineChars="200"/>
        <w:rPr>
          <w:rFonts w:hint="eastAsia" w:ascii="宋体"/>
          <w:szCs w:val="21"/>
        </w:rPr>
      </w:pPr>
      <w:r>
        <w:rPr>
          <w:rFonts w:hint="eastAsia" w:ascii="宋体"/>
          <w:szCs w:val="21"/>
        </w:rPr>
        <w:t>5．监理月进度款支付：</w:t>
      </w:r>
    </w:p>
    <w:p w14:paraId="517DF8C5">
      <w:pPr>
        <w:spacing w:line="360" w:lineRule="auto"/>
        <w:ind w:firstLine="480" w:firstLineChars="200"/>
        <w:rPr>
          <w:rFonts w:hint="eastAsia" w:ascii="宋体"/>
          <w:szCs w:val="21"/>
        </w:rPr>
      </w:pPr>
      <w:r>
        <w:rPr>
          <w:rFonts w:hint="eastAsia" w:ascii="宋体"/>
          <w:szCs w:val="21"/>
        </w:rPr>
        <w:t>监理中标价×工程形象进度款/施工合同总价。累计支付至监理服务费的85%后，暂停支付。待工程竣工决算审计后支付至100%。</w:t>
      </w:r>
    </w:p>
    <w:p w14:paraId="3FC42A18">
      <w:pPr>
        <w:spacing w:line="360" w:lineRule="auto"/>
        <w:ind w:firstLine="480" w:firstLineChars="200"/>
        <w:rPr>
          <w:rFonts w:hint="eastAsia" w:ascii="宋体"/>
          <w:szCs w:val="21"/>
        </w:rPr>
      </w:pPr>
      <w:r>
        <w:rPr>
          <w:rFonts w:hint="eastAsia" w:ascii="宋体"/>
          <w:szCs w:val="21"/>
        </w:rPr>
        <w:t>6．合同生效、变更、暂停、解除与终止</w:t>
      </w:r>
    </w:p>
    <w:p w14:paraId="05300A1B">
      <w:pPr>
        <w:spacing w:line="360" w:lineRule="auto"/>
        <w:ind w:firstLine="480" w:firstLineChars="200"/>
        <w:rPr>
          <w:rFonts w:hint="eastAsia" w:ascii="宋体"/>
          <w:szCs w:val="21"/>
        </w:rPr>
      </w:pPr>
      <w:r>
        <w:rPr>
          <w:rFonts w:hint="eastAsia" w:ascii="宋体"/>
          <w:szCs w:val="21"/>
        </w:rPr>
        <w:t>6.1生效</w:t>
      </w:r>
    </w:p>
    <w:p w14:paraId="48AD06C2">
      <w:pPr>
        <w:spacing w:line="360" w:lineRule="auto"/>
        <w:ind w:firstLine="480" w:firstLineChars="200"/>
        <w:rPr>
          <w:rFonts w:hint="eastAsia" w:ascii="宋体"/>
          <w:szCs w:val="21"/>
        </w:rPr>
      </w:pPr>
      <w:r>
        <w:rPr>
          <w:rFonts w:hint="eastAsia" w:ascii="宋体"/>
          <w:szCs w:val="21"/>
        </w:rPr>
        <w:t>本合同生效条件：双方签字（章）、加盖单位公章。</w:t>
      </w:r>
    </w:p>
    <w:p w14:paraId="67892371">
      <w:pPr>
        <w:spacing w:line="360" w:lineRule="auto"/>
        <w:ind w:firstLine="480" w:firstLineChars="200"/>
        <w:rPr>
          <w:rFonts w:hint="eastAsia" w:ascii="宋体"/>
          <w:szCs w:val="21"/>
        </w:rPr>
      </w:pPr>
      <w:r>
        <w:rPr>
          <w:rFonts w:hint="eastAsia" w:ascii="宋体"/>
          <w:szCs w:val="21"/>
        </w:rPr>
        <w:t>6.2 本合同生效后，如果实际情况发生变化，使得监理人不能提供全部或部分服务时，监理人职责范围内的善后工作及恢复服务的准备工作视为监理人合同责任内工作，所发生的费用由监理人自行承担。</w:t>
      </w:r>
    </w:p>
    <w:p w14:paraId="7BE3ACBC">
      <w:pPr>
        <w:spacing w:line="360" w:lineRule="auto"/>
        <w:ind w:firstLine="480" w:firstLineChars="200"/>
        <w:rPr>
          <w:rFonts w:hint="eastAsia" w:ascii="宋体"/>
          <w:szCs w:val="21"/>
        </w:rPr>
      </w:pPr>
      <w:r>
        <w:rPr>
          <w:rFonts w:hint="eastAsia" w:ascii="宋体"/>
          <w:szCs w:val="21"/>
        </w:rPr>
        <w:t>6.3 由于不可抗力原因导致本合同因无法继续履行而需要解除的，合同自委托人发出解除通知之日起7日后解除，双方互不承担违约责任。</w:t>
      </w:r>
    </w:p>
    <w:p w14:paraId="06EA25D4">
      <w:pPr>
        <w:spacing w:line="360" w:lineRule="auto"/>
        <w:ind w:firstLine="480" w:firstLineChars="200"/>
        <w:rPr>
          <w:rFonts w:hint="eastAsia" w:ascii="宋体"/>
          <w:szCs w:val="21"/>
        </w:rPr>
      </w:pPr>
      <w:r>
        <w:rPr>
          <w:rFonts w:hint="eastAsia" w:ascii="宋体"/>
          <w:szCs w:val="21"/>
        </w:rPr>
        <w:t>6.3.1  由于非监理人的原因导致工程建设全部或部分暂停，委托人可以书面形式通知监理人要求暂停全部或部分服务，由此导致的损失双方自行承担。监理人应于暂停期限终止后按照本合同约定立即开展未完成的监理工作。</w:t>
      </w:r>
    </w:p>
    <w:p w14:paraId="19CABC02">
      <w:pPr>
        <w:spacing w:line="360" w:lineRule="auto"/>
        <w:ind w:firstLine="480" w:firstLineChars="200"/>
        <w:rPr>
          <w:rFonts w:hint="eastAsia" w:ascii="宋体"/>
          <w:szCs w:val="21"/>
        </w:rPr>
      </w:pPr>
      <w:r>
        <w:rPr>
          <w:rFonts w:hint="eastAsia" w:ascii="宋体"/>
          <w:szCs w:val="21"/>
        </w:rPr>
        <w:t>6.3.2  本条所称“非监理人原因”仅指法律规定的不可抗力范围。</w:t>
      </w:r>
    </w:p>
    <w:p w14:paraId="770943BC">
      <w:pPr>
        <w:spacing w:line="360" w:lineRule="auto"/>
        <w:ind w:firstLine="480" w:firstLineChars="200"/>
        <w:rPr>
          <w:rFonts w:hint="eastAsia" w:ascii="宋体"/>
          <w:szCs w:val="21"/>
        </w:rPr>
      </w:pPr>
      <w:r>
        <w:rPr>
          <w:rFonts w:hint="eastAsia" w:ascii="宋体"/>
          <w:szCs w:val="21"/>
        </w:rPr>
        <w:t>通用条件中与本条约定不一致的规定，双方约定不予采用。</w:t>
      </w:r>
    </w:p>
    <w:p w14:paraId="6569ED9D">
      <w:pPr>
        <w:spacing w:line="360" w:lineRule="auto"/>
        <w:ind w:firstLine="480" w:firstLineChars="200"/>
        <w:rPr>
          <w:rFonts w:hint="eastAsia" w:ascii="宋体"/>
          <w:szCs w:val="21"/>
        </w:rPr>
      </w:pPr>
      <w:r>
        <w:rPr>
          <w:rFonts w:hint="eastAsia" w:ascii="宋体"/>
          <w:szCs w:val="21"/>
        </w:rPr>
        <w:t>7．争议解决</w:t>
      </w:r>
    </w:p>
    <w:p w14:paraId="46FAEE18">
      <w:pPr>
        <w:spacing w:line="360" w:lineRule="auto"/>
        <w:ind w:firstLine="480" w:firstLineChars="200"/>
        <w:rPr>
          <w:rFonts w:hint="eastAsia" w:ascii="宋体"/>
          <w:szCs w:val="21"/>
        </w:rPr>
      </w:pPr>
      <w:r>
        <w:rPr>
          <w:rFonts w:hint="eastAsia" w:ascii="宋体"/>
          <w:szCs w:val="21"/>
        </w:rPr>
        <w:t>履行本合同过程中发生争议，  向工程所在地有管辖权的人民法院提起诉讼。</w:t>
      </w:r>
    </w:p>
    <w:p w14:paraId="373516F3">
      <w:pPr>
        <w:spacing w:line="360" w:lineRule="auto"/>
        <w:ind w:firstLine="480" w:firstLineChars="200"/>
        <w:rPr>
          <w:rFonts w:hint="eastAsia" w:ascii="宋体"/>
          <w:szCs w:val="21"/>
        </w:rPr>
      </w:pPr>
      <w:r>
        <w:rPr>
          <w:rFonts w:hint="eastAsia" w:ascii="宋体"/>
          <w:szCs w:val="21"/>
        </w:rPr>
        <w:t>8．其他</w:t>
      </w:r>
    </w:p>
    <w:p w14:paraId="121A49A4">
      <w:pPr>
        <w:spacing w:line="360" w:lineRule="auto"/>
        <w:ind w:firstLine="480" w:firstLineChars="200"/>
        <w:rPr>
          <w:rFonts w:hint="eastAsia" w:ascii="宋体"/>
          <w:szCs w:val="21"/>
        </w:rPr>
      </w:pPr>
      <w:r>
        <w:rPr>
          <w:rFonts w:hint="eastAsia" w:ascii="宋体"/>
          <w:szCs w:val="21"/>
        </w:rPr>
        <w:t>8.1保密</w:t>
      </w:r>
    </w:p>
    <w:p w14:paraId="0F224660">
      <w:pPr>
        <w:spacing w:line="360" w:lineRule="auto"/>
        <w:ind w:firstLine="480" w:firstLineChars="200"/>
        <w:rPr>
          <w:rFonts w:hint="eastAsia" w:ascii="宋体"/>
          <w:szCs w:val="21"/>
        </w:rPr>
      </w:pPr>
      <w:r>
        <w:rPr>
          <w:rFonts w:hint="eastAsia" w:ascii="宋体"/>
          <w:szCs w:val="21"/>
        </w:rPr>
        <w:t>委托人声明的保密信息：与本工程有关的一切经济、技术信息，以及委托人内部管理机构的相关信息。</w:t>
      </w:r>
    </w:p>
    <w:p w14:paraId="30853BF6">
      <w:pPr>
        <w:spacing w:line="360" w:lineRule="auto"/>
        <w:ind w:firstLine="480" w:firstLineChars="200"/>
        <w:rPr>
          <w:rFonts w:hint="eastAsia" w:ascii="宋体"/>
          <w:szCs w:val="21"/>
        </w:rPr>
      </w:pPr>
      <w:r>
        <w:rPr>
          <w:rFonts w:hint="eastAsia" w:ascii="宋体"/>
          <w:szCs w:val="21"/>
        </w:rPr>
        <w:t>9. 补充条款</w:t>
      </w:r>
    </w:p>
    <w:p w14:paraId="3D51F2AC">
      <w:pPr>
        <w:spacing w:line="360" w:lineRule="auto"/>
        <w:ind w:firstLine="480" w:firstLineChars="200"/>
        <w:rPr>
          <w:rFonts w:hint="eastAsia" w:ascii="宋体"/>
          <w:szCs w:val="21"/>
        </w:rPr>
      </w:pPr>
      <w:r>
        <w:rPr>
          <w:rFonts w:hint="eastAsia" w:ascii="宋体"/>
          <w:szCs w:val="21"/>
        </w:rPr>
        <w:t>9.1 监理人在监理过程中，应严格遵照《建设工程监理规范》要求。</w:t>
      </w:r>
    </w:p>
    <w:p w14:paraId="4B35D5DC">
      <w:pPr>
        <w:spacing w:line="360" w:lineRule="auto"/>
        <w:ind w:firstLine="480" w:firstLineChars="200"/>
        <w:rPr>
          <w:rFonts w:hint="eastAsia" w:ascii="宋体"/>
          <w:szCs w:val="21"/>
        </w:rPr>
      </w:pPr>
      <w:r>
        <w:rPr>
          <w:rFonts w:hint="eastAsia" w:ascii="宋体"/>
          <w:szCs w:val="21"/>
        </w:rPr>
        <w:t xml:space="preserve">9.2 监理人员应协助委托人作好上级主管部门和行政建设单位管理部门现场检查、考察工作以及有重要活动时的配合工作。 </w:t>
      </w:r>
    </w:p>
    <w:p w14:paraId="464867F3">
      <w:pPr>
        <w:spacing w:line="360" w:lineRule="auto"/>
        <w:ind w:firstLine="480" w:firstLineChars="200"/>
        <w:rPr>
          <w:rFonts w:hint="eastAsia" w:ascii="宋体"/>
          <w:szCs w:val="21"/>
        </w:rPr>
      </w:pPr>
      <w:r>
        <w:rPr>
          <w:rFonts w:hint="eastAsia" w:ascii="宋体"/>
          <w:szCs w:val="21"/>
        </w:rPr>
        <w:t>9.3 委托人有权根据资金到位情况控制合同价款的支付。</w:t>
      </w:r>
    </w:p>
    <w:p w14:paraId="41ED5977">
      <w:pPr>
        <w:spacing w:line="360" w:lineRule="auto"/>
        <w:ind w:firstLine="480" w:firstLineChars="200"/>
        <w:rPr>
          <w:rFonts w:hint="eastAsia" w:ascii="宋体"/>
          <w:szCs w:val="21"/>
        </w:rPr>
      </w:pPr>
      <w:r>
        <w:rPr>
          <w:rFonts w:hint="eastAsia" w:ascii="宋体"/>
          <w:szCs w:val="21"/>
        </w:rPr>
        <w:t>9.4 每周由监理人组织召开监理例会并提供施工监理例会纪要。委托人、监理人、承包人和其他相关方面应出席例会。例会纪要中应包括工程质量、安全、施工进展情况、技术重大变更、事故和其他问题以及解决办法，并对下周工作进行安排。</w:t>
      </w:r>
    </w:p>
    <w:p w14:paraId="3BDE04B4">
      <w:pPr>
        <w:spacing w:line="360" w:lineRule="auto"/>
        <w:ind w:firstLine="480" w:firstLineChars="200"/>
        <w:rPr>
          <w:rFonts w:hint="eastAsia" w:ascii="宋体"/>
          <w:szCs w:val="21"/>
        </w:rPr>
      </w:pPr>
      <w:r>
        <w:rPr>
          <w:rFonts w:hint="eastAsia" w:ascii="宋体"/>
          <w:szCs w:val="21"/>
        </w:rPr>
        <w:t>9.5 本项目原则上不允许更换总监理工程师及监理项目部组成人员。施工期间，监理人应保持总监在施工现场，以便能按要求履行其各项义务。总监理工程师、监理工程师离开现场、调换必须经委托人同意，委托人有权更换不称职的监理人员。</w:t>
      </w:r>
    </w:p>
    <w:p w14:paraId="60BA678F">
      <w:pPr>
        <w:spacing w:line="360" w:lineRule="auto"/>
        <w:ind w:firstLine="480" w:firstLineChars="200"/>
        <w:rPr>
          <w:rFonts w:hint="eastAsia" w:ascii="宋体"/>
          <w:szCs w:val="21"/>
        </w:rPr>
      </w:pPr>
      <w:r>
        <w:rPr>
          <w:rFonts w:hint="eastAsia" w:ascii="宋体"/>
          <w:szCs w:val="21"/>
        </w:rPr>
        <w:t>9.6 监理人对工程变更、签证签认须经过委托人的确认方可生效。对工程量、质量检验、价款等内容，如果监理人错签，每出现一次扣减监理费的1‰，情节严重或三次以上的，委托人有权解除本合同，委托人因此造成的一切损失，监理人应当予以赔偿。</w:t>
      </w:r>
    </w:p>
    <w:p w14:paraId="1A89BD97">
      <w:pPr>
        <w:spacing w:line="360" w:lineRule="auto"/>
        <w:ind w:firstLine="480" w:firstLineChars="200"/>
        <w:rPr>
          <w:rFonts w:hint="eastAsia" w:ascii="宋体"/>
          <w:szCs w:val="21"/>
        </w:rPr>
      </w:pPr>
      <w:r>
        <w:rPr>
          <w:rFonts w:hint="eastAsia" w:ascii="宋体"/>
          <w:szCs w:val="21"/>
        </w:rPr>
        <w:t>9.7 监理人应承担因监理活动所引发的一切人员伤亡或财产损失由其自行承担，与委托人无关，如因此造成委托人相应损失，监理人应当予以赔偿。</w:t>
      </w:r>
    </w:p>
    <w:p w14:paraId="6C658061">
      <w:pPr>
        <w:spacing w:line="360" w:lineRule="auto"/>
        <w:ind w:firstLine="480" w:firstLineChars="200"/>
        <w:rPr>
          <w:rFonts w:hint="eastAsia" w:ascii="宋体"/>
          <w:szCs w:val="21"/>
        </w:rPr>
      </w:pPr>
      <w:r>
        <w:rPr>
          <w:rFonts w:hint="eastAsia" w:ascii="宋体"/>
          <w:szCs w:val="21"/>
        </w:rPr>
        <w:t>9.8 负责对工程竣工图纸的审核、签字盖章。</w:t>
      </w:r>
    </w:p>
    <w:p w14:paraId="1375E671">
      <w:pPr>
        <w:spacing w:line="360" w:lineRule="auto"/>
        <w:ind w:firstLine="480" w:firstLineChars="200"/>
        <w:rPr>
          <w:rFonts w:hint="eastAsia" w:ascii="宋体"/>
          <w:szCs w:val="21"/>
        </w:rPr>
      </w:pPr>
      <w:r>
        <w:rPr>
          <w:rFonts w:hint="eastAsia" w:ascii="宋体"/>
          <w:szCs w:val="21"/>
        </w:rPr>
        <w:t>9.9 监理人应确保对本工程所提供的服务和技术拥有完整的权利，不侵犯他人合法在先的知识产权以及其它权利，确保任何第三人不得向委托人主张任何权利，否则给委托人造成损失的，监理人应承担全部责任。如监理人提供服务因涉及纠纷而发生被依法采取扣押、保全等措施的，为不影响工程进度，委托人可单方面解除合同，监理人应赔偿委托人所有损失。</w:t>
      </w:r>
    </w:p>
    <w:p w14:paraId="0E40B1A7">
      <w:pPr>
        <w:spacing w:line="360" w:lineRule="auto"/>
        <w:ind w:firstLine="480" w:firstLineChars="200"/>
        <w:rPr>
          <w:rFonts w:hint="eastAsia" w:ascii="宋体"/>
          <w:szCs w:val="21"/>
        </w:rPr>
      </w:pPr>
      <w:r>
        <w:rPr>
          <w:rFonts w:hint="eastAsia" w:ascii="宋体"/>
          <w:szCs w:val="21"/>
        </w:rPr>
        <w:t>9.10 监理人有义务按照委托人要求在勘察、设计、招标阶段提供相关技术咨询服务。</w:t>
      </w:r>
    </w:p>
    <w:p w14:paraId="794FEDD4">
      <w:pPr>
        <w:spacing w:line="360" w:lineRule="auto"/>
        <w:ind w:firstLine="480" w:firstLineChars="200"/>
        <w:rPr>
          <w:rFonts w:hint="eastAsia" w:ascii="宋体"/>
          <w:szCs w:val="21"/>
        </w:rPr>
      </w:pPr>
      <w:r>
        <w:rPr>
          <w:rFonts w:hint="eastAsia" w:ascii="宋体"/>
          <w:szCs w:val="21"/>
        </w:rPr>
        <w:t>9.11 工程合理使用期限内，发生因监理人原因造成的工程质量问题或事故，监理人应负责赔偿责任。</w:t>
      </w:r>
    </w:p>
    <w:p w14:paraId="4C320B5D">
      <w:pPr>
        <w:spacing w:line="360" w:lineRule="auto"/>
        <w:ind w:firstLine="480" w:firstLineChars="200"/>
        <w:rPr>
          <w:rFonts w:hint="eastAsia" w:ascii="宋体"/>
          <w:szCs w:val="21"/>
        </w:rPr>
      </w:pPr>
      <w:r>
        <w:rPr>
          <w:rFonts w:hint="eastAsia" w:ascii="宋体"/>
          <w:szCs w:val="21"/>
        </w:rPr>
        <w:t>9.12 本合同签订后，监理人未能按规定时间提交监理规划、监理实施细则、未完成施工组织设计审批，委托人将视情况在监理费进度支付中扣除部分违约金。</w:t>
      </w:r>
    </w:p>
    <w:p w14:paraId="7E60F16F">
      <w:pPr>
        <w:spacing w:line="360" w:lineRule="auto"/>
        <w:ind w:firstLine="480" w:firstLineChars="200"/>
        <w:rPr>
          <w:rFonts w:hint="eastAsia" w:ascii="宋体"/>
          <w:szCs w:val="21"/>
        </w:rPr>
      </w:pPr>
      <w:r>
        <w:rPr>
          <w:rFonts w:hint="eastAsia" w:ascii="宋体"/>
          <w:szCs w:val="21"/>
        </w:rPr>
        <w:t>9.13 项目建设期间，监理人未按照法律法规、规范制度规定实施监理活动，履行合同义务、落实安全质量主体责任不到位的，委托人将根据日常检查和评估情况，采取警告、通报批评、扣除监理费、撤换监理人员等责任追究措施。</w:t>
      </w:r>
    </w:p>
    <w:p w14:paraId="2CD30C42">
      <w:pPr>
        <w:spacing w:line="360" w:lineRule="auto"/>
        <w:ind w:firstLine="480" w:firstLineChars="200"/>
        <w:rPr>
          <w:rFonts w:hint="eastAsia" w:ascii="宋体" w:hAnsi="Times New Roman" w:eastAsia="宋体" w:cs="Times New Roman"/>
          <w:szCs w:val="21"/>
        </w:rPr>
      </w:pPr>
      <w:r>
        <w:rPr>
          <w:rFonts w:hint="eastAsia" w:ascii="宋体"/>
          <w:szCs w:val="21"/>
        </w:rPr>
        <w:t>9.14 项目建设期间，因监理人履职不到位出现质量问题，造成返工或其他经济损失的，</w:t>
      </w:r>
      <w:r>
        <w:rPr>
          <w:rFonts w:hint="eastAsia" w:ascii="宋体" w:hAnsi="Times New Roman" w:eastAsia="宋体" w:cs="Times New Roman"/>
          <w:szCs w:val="21"/>
        </w:rPr>
        <w:t>委托人将根据监理费取费标准，按返工费用或经济损失的相应比例，在监理费进度支付中扣除相应违约金；项目保修期间，监理人应按相关规定对出现的质量问题承担监理责任，委托人将视情节扣除监理单位缺陷期服务保证金。</w:t>
      </w:r>
    </w:p>
    <w:p w14:paraId="151FEC2F">
      <w:pPr>
        <w:spacing w:line="360" w:lineRule="auto"/>
        <w:ind w:firstLine="480" w:firstLineChars="200"/>
        <w:rPr>
          <w:rFonts w:hint="eastAsia" w:ascii="宋体" w:hAnsi="宋体" w:eastAsia="宋体" w:cs="宋体"/>
        </w:rPr>
      </w:pPr>
      <w:r>
        <w:rPr>
          <w:rFonts w:hint="eastAsia" w:ascii="宋体" w:hAnsi="Times New Roman" w:eastAsia="宋体" w:cs="Times New Roman"/>
          <w:szCs w:val="21"/>
        </w:rPr>
        <w:t>9.15监理人应负责督促、检查施工同步资料完成情况，严格按照GB/T50328《建设工程文件归档整理规范》等文件的要求整理、收集、汇编各类监理档案资料。工程完工后，监理人应向委托人提交四套（原件：必须手签字、原章、不许复印</w:t>
      </w:r>
      <w:r>
        <w:rPr>
          <w:rFonts w:hint="eastAsia" w:ascii="宋体"/>
          <w:szCs w:val="21"/>
        </w:rPr>
        <w:t>补原章）完整的监理档案资料。</w:t>
      </w:r>
      <w:r>
        <w:rPr>
          <w:rFonts w:hint="eastAsia" w:ascii="宋体" w:hAnsi="宋体" w:eastAsia="宋体" w:cs="宋体"/>
        </w:rPr>
        <w:br w:type="page"/>
      </w:r>
    </w:p>
    <w:bookmarkEnd w:id="153"/>
    <w:bookmarkEnd w:id="154"/>
    <w:bookmarkEnd w:id="155"/>
    <w:bookmarkEnd w:id="156"/>
    <w:bookmarkEnd w:id="157"/>
    <w:bookmarkEnd w:id="158"/>
    <w:bookmarkEnd w:id="159"/>
    <w:bookmarkEnd w:id="160"/>
    <w:p w14:paraId="2F3DB892">
      <w:pPr>
        <w:pStyle w:val="2"/>
        <w:pageBreakBefore w:val="0"/>
        <w:numPr>
          <w:ilvl w:val="0"/>
          <w:numId w:val="4"/>
        </w:numPr>
        <w:topLinePunct w:val="0"/>
        <w:bidi w:val="0"/>
        <w:spacing w:before="0" w:after="0" w:line="500" w:lineRule="exact"/>
        <w:ind w:left="0" w:leftChars="0" w:right="0"/>
        <w:rPr>
          <w:rFonts w:hint="eastAsia" w:ascii="宋体" w:hAnsi="宋体" w:eastAsia="宋体" w:cs="宋体"/>
          <w:color w:val="000000" w:themeColor="text1"/>
          <w:highlight w:val="none"/>
          <w:lang w:val="en-US" w:eastAsia="zh-CN"/>
          <w14:textFill>
            <w14:solidFill>
              <w14:schemeClr w14:val="tx1"/>
            </w14:solidFill>
          </w14:textFill>
        </w:rPr>
      </w:pPr>
      <w:bookmarkStart w:id="161" w:name="_Toc15798"/>
      <w:bookmarkStart w:id="162" w:name="_Toc28145"/>
      <w:bookmarkStart w:id="163" w:name="_Toc12329"/>
      <w:bookmarkStart w:id="164" w:name="_Toc3488"/>
      <w:bookmarkStart w:id="165" w:name="_Toc19632"/>
      <w:bookmarkStart w:id="166" w:name="_Toc16413"/>
      <w:bookmarkStart w:id="167" w:name="_Toc32103"/>
      <w:bookmarkStart w:id="168" w:name="_Toc23643"/>
      <w:r>
        <w:rPr>
          <w:rFonts w:hint="eastAsia" w:ascii="宋体" w:hAnsi="宋体" w:eastAsia="宋体" w:cs="宋体"/>
          <w:color w:val="000000" w:themeColor="text1"/>
          <w:highlight w:val="none"/>
          <w:lang w:val="en-US" w:eastAsia="zh-CN"/>
          <w14:textFill>
            <w14:solidFill>
              <w14:schemeClr w14:val="tx1"/>
            </w14:solidFill>
          </w14:textFill>
        </w:rPr>
        <w:t>采购内容及技术要求</w:t>
      </w:r>
      <w:bookmarkEnd w:id="161"/>
      <w:bookmarkEnd w:id="162"/>
      <w:bookmarkEnd w:id="163"/>
      <w:bookmarkEnd w:id="164"/>
      <w:bookmarkEnd w:id="165"/>
      <w:bookmarkEnd w:id="166"/>
    </w:p>
    <w:p w14:paraId="6F8CB2F7">
      <w:pPr>
        <w:spacing w:line="360" w:lineRule="auto"/>
        <w:ind w:firstLine="412" w:firstLineChars="171"/>
        <w:rPr>
          <w:rFonts w:ascii="Times New Roman" w:hAnsi="Times New Roman"/>
          <w:b/>
        </w:rPr>
      </w:pPr>
      <w:bookmarkStart w:id="169" w:name="_Toc2283"/>
      <w:bookmarkStart w:id="170" w:name="_Toc30538"/>
      <w:bookmarkStart w:id="171" w:name="_Toc24686"/>
      <w:bookmarkStart w:id="172" w:name="_Toc25404"/>
      <w:bookmarkStart w:id="173" w:name="_Toc27112"/>
      <w:bookmarkStart w:id="174" w:name="_Toc6112"/>
      <w:r>
        <w:rPr>
          <w:rFonts w:ascii="Times New Roman" w:hAnsi="Times New Roman"/>
          <w:b/>
        </w:rPr>
        <w:t>1. 项目概况</w:t>
      </w:r>
    </w:p>
    <w:p w14:paraId="00E9D8E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lang w:eastAsia="zh-CN"/>
        </w:rPr>
      </w:pPr>
      <w:r>
        <w:rPr>
          <w:rFonts w:hint="eastAsia" w:ascii="宋体" w:hAnsi="宋体" w:eastAsia="宋体" w:cs="宋体"/>
          <w:lang w:eastAsia="zh-CN"/>
        </w:rPr>
        <w:t>项目建设地点位于清涧县宽州镇，总投资4199.23万元，资金来源为中央预算资金。工程主要包含三段管网延伸及配套构筑物： A段（石台寺村至韩家硷村）：全长4430.908米，含检查井109座、沉泥井11座等；B段（上十里铺加油站至高铁站）：全长1625.851米，含倒虹井12座、截流井3座等； C段（陈家塔至大岔）：全长5508.642米，含调节池1座（有效容积1000m³）、潜污泵3台、潜水搅拌器2台等。</w:t>
      </w:r>
    </w:p>
    <w:p w14:paraId="52C5E262">
      <w:pPr>
        <w:spacing w:line="360" w:lineRule="auto"/>
        <w:ind w:firstLine="412" w:firstLineChars="171"/>
        <w:rPr>
          <w:rFonts w:ascii="Times New Roman" w:hAnsi="Times New Roman"/>
          <w:b/>
        </w:rPr>
      </w:pPr>
      <w:r>
        <w:rPr>
          <w:rFonts w:ascii="Times New Roman" w:hAnsi="Times New Roman"/>
          <w:b/>
        </w:rPr>
        <w:t>2. 监理范围及内容</w:t>
      </w:r>
      <w:r>
        <w:rPr>
          <w:rFonts w:hint="eastAsia" w:ascii="Times New Roman" w:hAnsi="Times New Roman"/>
          <w:b/>
        </w:rPr>
        <w:t>：</w:t>
      </w:r>
    </w:p>
    <w:p w14:paraId="61D06BFC">
      <w:pPr>
        <w:spacing w:line="360" w:lineRule="auto"/>
        <w:ind w:firstLine="410" w:firstLineChars="171"/>
        <w:rPr>
          <w:rFonts w:ascii="Times New Roman" w:hAnsi="Times New Roman"/>
        </w:rPr>
      </w:pPr>
      <w:r>
        <w:rPr>
          <w:rFonts w:hint="eastAsia" w:ascii="Times New Roman" w:hAnsi="Times New Roman"/>
        </w:rPr>
        <w:t>2</w:t>
      </w:r>
      <w:r>
        <w:rPr>
          <w:rFonts w:ascii="Times New Roman" w:hAnsi="Times New Roman"/>
        </w:rPr>
        <w:t>.1</w:t>
      </w:r>
      <w:r>
        <w:rPr>
          <w:rFonts w:hint="eastAsia" w:ascii="Times New Roman" w:hAnsi="Times New Roman"/>
        </w:rPr>
        <w:t>总体监理内容</w:t>
      </w:r>
    </w:p>
    <w:p w14:paraId="4C438BD1">
      <w:pPr>
        <w:spacing w:line="360" w:lineRule="auto"/>
        <w:ind w:firstLine="410" w:firstLineChars="171"/>
        <w:rPr>
          <w:rFonts w:ascii="Times New Roman" w:hAnsi="Times New Roman"/>
        </w:rPr>
      </w:pPr>
      <w:r>
        <w:rPr>
          <w:rFonts w:ascii="Times New Roman" w:hAnsi="Times New Roman"/>
        </w:rPr>
        <w:t>2.1.1</w:t>
      </w:r>
      <w:r>
        <w:rPr>
          <w:rFonts w:hint="eastAsia" w:ascii="Times New Roman" w:hAnsi="Times New Roman"/>
        </w:rPr>
        <w:t>工程项目的三大控制、两管理、一协调、文明施工、施工安全、技术咨询、环境保护、技术报告及审核竣工文件的编制、归档等。</w:t>
      </w:r>
    </w:p>
    <w:p w14:paraId="2BE85026">
      <w:pPr>
        <w:spacing w:line="360" w:lineRule="auto"/>
        <w:ind w:firstLine="410" w:firstLineChars="171"/>
        <w:rPr>
          <w:rFonts w:ascii="Times New Roman" w:hAnsi="Times New Roman"/>
        </w:rPr>
      </w:pPr>
      <w:r>
        <w:rPr>
          <w:rFonts w:ascii="Times New Roman" w:hAnsi="Times New Roman"/>
        </w:rPr>
        <w:t>2.1.2</w:t>
      </w:r>
      <w:r>
        <w:rPr>
          <w:rFonts w:hint="eastAsia" w:ascii="Times New Roman" w:hAnsi="Times New Roman"/>
        </w:rPr>
        <w:t>编制监理细则。</w:t>
      </w:r>
    </w:p>
    <w:p w14:paraId="45F06ADD">
      <w:pPr>
        <w:spacing w:line="360" w:lineRule="auto"/>
        <w:ind w:firstLine="410" w:firstLineChars="171"/>
        <w:rPr>
          <w:rFonts w:ascii="Times New Roman" w:hAnsi="Times New Roman"/>
        </w:rPr>
      </w:pPr>
      <w:r>
        <w:rPr>
          <w:rFonts w:ascii="Times New Roman" w:hAnsi="Times New Roman"/>
        </w:rPr>
        <w:t>2.1.3</w:t>
      </w:r>
      <w:r>
        <w:rPr>
          <w:rFonts w:hint="eastAsia" w:ascii="Times New Roman" w:hAnsi="Times New Roman"/>
        </w:rPr>
        <w:t>按国家、地方、行业有关建设工程监理条例、规范执行。</w:t>
      </w:r>
    </w:p>
    <w:p w14:paraId="02291D10">
      <w:pPr>
        <w:spacing w:line="360" w:lineRule="auto"/>
        <w:ind w:firstLine="410" w:firstLineChars="171"/>
        <w:rPr>
          <w:rFonts w:ascii="Times New Roman" w:hAnsi="Times New Roman"/>
        </w:rPr>
      </w:pPr>
      <w:r>
        <w:rPr>
          <w:rFonts w:ascii="Times New Roman" w:hAnsi="Times New Roman"/>
        </w:rPr>
        <w:t>2.1.4</w:t>
      </w:r>
      <w:r>
        <w:rPr>
          <w:rFonts w:hint="eastAsia" w:ascii="Times New Roman" w:hAnsi="Times New Roman"/>
        </w:rPr>
        <w:t>根据所监理工程内容具备在现场完成检测试验的条件，并负责组织和参与工程验收。</w:t>
      </w:r>
    </w:p>
    <w:p w14:paraId="6EF2252B">
      <w:pPr>
        <w:spacing w:line="360" w:lineRule="auto"/>
        <w:ind w:firstLine="410" w:firstLineChars="171"/>
        <w:rPr>
          <w:rFonts w:ascii="Times New Roman" w:hAnsi="Times New Roman"/>
        </w:rPr>
      </w:pPr>
      <w:r>
        <w:rPr>
          <w:rFonts w:ascii="Times New Roman" w:hAnsi="Times New Roman"/>
        </w:rPr>
        <w:t>2.1.5</w:t>
      </w:r>
      <w:r>
        <w:rPr>
          <w:rFonts w:hint="eastAsia" w:ascii="Times New Roman" w:hAnsi="Times New Roman"/>
        </w:rPr>
        <w:t>负责监理第三方检测或其他专项检测工作。</w:t>
      </w:r>
    </w:p>
    <w:p w14:paraId="442F542C">
      <w:pPr>
        <w:spacing w:line="360" w:lineRule="auto"/>
        <w:ind w:firstLine="410" w:firstLineChars="171"/>
        <w:rPr>
          <w:rFonts w:ascii="Times New Roman" w:hAnsi="Times New Roman"/>
        </w:rPr>
      </w:pPr>
      <w:r>
        <w:rPr>
          <w:rFonts w:hint="eastAsia" w:ascii="Times New Roman" w:hAnsi="Times New Roman"/>
        </w:rPr>
        <w:t>2.1.6其他监理规范约定的相关内容。</w:t>
      </w:r>
    </w:p>
    <w:p w14:paraId="61A5253B">
      <w:pPr>
        <w:spacing w:line="360" w:lineRule="auto"/>
        <w:ind w:firstLine="412" w:firstLineChars="171"/>
        <w:rPr>
          <w:rFonts w:ascii="Times New Roman" w:hAnsi="Times New Roman"/>
          <w:b/>
        </w:rPr>
      </w:pPr>
      <w:r>
        <w:rPr>
          <w:rFonts w:ascii="Times New Roman" w:hAnsi="Times New Roman"/>
          <w:b/>
        </w:rPr>
        <w:t>3. 监理依据</w:t>
      </w:r>
    </w:p>
    <w:p w14:paraId="5C04CD90">
      <w:pPr>
        <w:spacing w:line="360" w:lineRule="auto"/>
        <w:ind w:firstLine="410" w:firstLineChars="171"/>
        <w:rPr>
          <w:rFonts w:ascii="Times New Roman" w:hAnsi="Times New Roman"/>
        </w:rPr>
      </w:pPr>
      <w:r>
        <w:rPr>
          <w:rFonts w:hint="eastAsia" w:ascii="Times New Roman" w:hAnsi="Times New Roman"/>
        </w:rPr>
        <w:t>3</w:t>
      </w:r>
      <w:r>
        <w:rPr>
          <w:rFonts w:ascii="Times New Roman" w:hAnsi="Times New Roman"/>
        </w:rPr>
        <w:t>.1适用的法律、行政法规及部门规章；</w:t>
      </w:r>
    </w:p>
    <w:p w14:paraId="78B2003D">
      <w:pPr>
        <w:spacing w:line="360" w:lineRule="auto"/>
        <w:ind w:firstLine="410" w:firstLineChars="171"/>
        <w:rPr>
          <w:rFonts w:ascii="Times New Roman" w:hAnsi="Times New Roman"/>
        </w:rPr>
      </w:pPr>
      <w:r>
        <w:rPr>
          <w:rFonts w:hint="eastAsia" w:ascii="Times New Roman" w:hAnsi="Times New Roman"/>
        </w:rPr>
        <w:t>3</w:t>
      </w:r>
      <w:r>
        <w:rPr>
          <w:rFonts w:ascii="Times New Roman" w:hAnsi="Times New Roman"/>
        </w:rPr>
        <w:t>.2与工程有关的标准；</w:t>
      </w:r>
    </w:p>
    <w:p w14:paraId="6DE86C87">
      <w:pPr>
        <w:spacing w:line="360" w:lineRule="auto"/>
        <w:ind w:firstLine="410" w:firstLineChars="171"/>
        <w:rPr>
          <w:rFonts w:ascii="Times New Roman" w:hAnsi="Times New Roman"/>
        </w:rPr>
      </w:pPr>
      <w:r>
        <w:rPr>
          <w:rFonts w:hint="eastAsia" w:ascii="Times New Roman" w:hAnsi="Times New Roman"/>
        </w:rPr>
        <w:t>3</w:t>
      </w:r>
      <w:r>
        <w:rPr>
          <w:rFonts w:ascii="Times New Roman" w:hAnsi="Times New Roman"/>
        </w:rPr>
        <w:t>.3工程设计及有关文件；</w:t>
      </w:r>
    </w:p>
    <w:p w14:paraId="3D1F1221">
      <w:pPr>
        <w:spacing w:line="360" w:lineRule="auto"/>
        <w:ind w:firstLine="412" w:firstLineChars="171"/>
        <w:rPr>
          <w:rFonts w:ascii="Times New Roman" w:hAnsi="Times New Roman"/>
          <w:b/>
        </w:rPr>
      </w:pPr>
      <w:r>
        <w:rPr>
          <w:rFonts w:ascii="Times New Roman" w:hAnsi="Times New Roman"/>
          <w:b/>
        </w:rPr>
        <w:t>4. 监理人员和试验检测仪器设备要求</w:t>
      </w:r>
    </w:p>
    <w:p w14:paraId="47ADCC7F">
      <w:pPr>
        <w:spacing w:line="360" w:lineRule="auto"/>
        <w:ind w:firstLine="410" w:firstLineChars="171"/>
        <w:rPr>
          <w:rFonts w:ascii="Times New Roman" w:hAnsi="Times New Roman"/>
        </w:rPr>
      </w:pPr>
      <w:r>
        <w:rPr>
          <w:rFonts w:ascii="Times New Roman" w:hAnsi="Times New Roman"/>
        </w:rPr>
        <w:t>4.</w:t>
      </w:r>
      <w:r>
        <w:rPr>
          <w:rFonts w:hint="eastAsia" w:ascii="Times New Roman" w:hAnsi="Times New Roman"/>
        </w:rPr>
        <w:t>1对监理人员的基本要求：</w:t>
      </w:r>
    </w:p>
    <w:p w14:paraId="3CCE9F55">
      <w:pPr>
        <w:spacing w:line="360" w:lineRule="auto"/>
        <w:ind w:left="0" w:leftChars="0" w:firstLine="480" w:firstLineChars="200"/>
        <w:rPr>
          <w:rFonts w:ascii="Times New Roman" w:hAnsi="Times New Roman"/>
        </w:rPr>
      </w:pPr>
      <w:r>
        <w:rPr>
          <w:rFonts w:ascii="Times New Roman" w:hAnsi="Times New Roman"/>
        </w:rPr>
        <w:t xml:space="preserve">4.1.1 </w:t>
      </w:r>
      <w:r>
        <w:rPr>
          <w:rFonts w:hint="eastAsia" w:ascii="Times New Roman" w:hAnsi="Times New Roman"/>
        </w:rPr>
        <w:t>拟派总监理工程师须具有</w:t>
      </w:r>
      <w:r>
        <w:rPr>
          <w:rFonts w:hint="eastAsia" w:ascii="Times New Roman" w:hAnsi="Times New Roman"/>
          <w:lang w:val="en-US" w:eastAsia="zh-CN"/>
        </w:rPr>
        <w:t>市政</w:t>
      </w:r>
      <w:r>
        <w:rPr>
          <w:rFonts w:hint="eastAsia" w:ascii="Times New Roman" w:hAnsi="Times New Roman"/>
        </w:rPr>
        <w:t>工程专业国家注册监理工程师资格证书。</w:t>
      </w:r>
    </w:p>
    <w:p w14:paraId="13CC4E70">
      <w:pPr>
        <w:spacing w:line="360" w:lineRule="auto"/>
        <w:ind w:left="0" w:leftChars="0" w:firstLine="480" w:firstLineChars="200"/>
        <w:rPr>
          <w:rFonts w:ascii="宋体" w:hAnsi="宋体"/>
        </w:rPr>
      </w:pPr>
      <w:r>
        <w:rPr>
          <w:rFonts w:ascii="Times New Roman" w:hAnsi="Times New Roman"/>
        </w:rPr>
        <w:t>4.1.</w:t>
      </w:r>
      <w:r>
        <w:rPr>
          <w:rFonts w:hint="eastAsia" w:ascii="Times New Roman" w:hAnsi="Times New Roman"/>
          <w:lang w:val="en-US" w:eastAsia="zh-CN"/>
        </w:rPr>
        <w:t>2</w:t>
      </w:r>
      <w:r>
        <w:rPr>
          <w:rFonts w:hint="eastAsia" w:ascii="Times New Roman" w:hAnsi="Times New Roman"/>
        </w:rPr>
        <w:t>项目组须配备专业监理工程师，总人数不少于3人，且必须常驻施工现场。</w:t>
      </w:r>
    </w:p>
    <w:p w14:paraId="0F3AB23A">
      <w:pPr>
        <w:spacing w:line="360" w:lineRule="auto"/>
        <w:ind w:left="0" w:leftChars="0" w:firstLine="480" w:firstLineChars="200"/>
        <w:rPr>
          <w:rFonts w:ascii="宋体"/>
        </w:rPr>
      </w:pPr>
      <w:r>
        <w:rPr>
          <w:rFonts w:ascii="宋体" w:hAnsi="宋体"/>
        </w:rPr>
        <w:t>4.1.</w:t>
      </w:r>
      <w:r>
        <w:rPr>
          <w:rFonts w:hint="eastAsia" w:ascii="宋体" w:hAnsi="宋体"/>
          <w:lang w:val="en-US" w:eastAsia="zh-CN"/>
        </w:rPr>
        <w:t>3</w:t>
      </w:r>
      <w:r>
        <w:rPr>
          <w:rFonts w:ascii="宋体" w:hAnsi="宋体"/>
        </w:rPr>
        <w:t xml:space="preserve"> </w:t>
      </w:r>
      <w:r>
        <w:rPr>
          <w:rFonts w:hint="eastAsia" w:ascii="宋体" w:hAnsi="宋体"/>
        </w:rPr>
        <w:t>专业人员的年龄应该在25岁至60岁之间，身体健康。</w:t>
      </w:r>
    </w:p>
    <w:p w14:paraId="4D89BC80">
      <w:pPr>
        <w:spacing w:line="360" w:lineRule="auto"/>
        <w:ind w:left="0" w:leftChars="0" w:firstLine="480" w:firstLineChars="200"/>
        <w:rPr>
          <w:rFonts w:ascii="宋体"/>
        </w:rPr>
      </w:pPr>
      <w:r>
        <w:rPr>
          <w:rFonts w:ascii="宋体" w:hAnsi="宋体"/>
        </w:rPr>
        <w:t>4.1.</w:t>
      </w:r>
      <w:r>
        <w:rPr>
          <w:rFonts w:hint="eastAsia" w:ascii="宋体" w:hAnsi="宋体"/>
          <w:lang w:val="en-US" w:eastAsia="zh-CN"/>
        </w:rPr>
        <w:t>4</w:t>
      </w:r>
      <w:r>
        <w:rPr>
          <w:rFonts w:ascii="宋体" w:hAnsi="宋体"/>
        </w:rPr>
        <w:t xml:space="preserve"> </w:t>
      </w:r>
      <w:r>
        <w:rPr>
          <w:rFonts w:hint="eastAsia" w:ascii="宋体" w:hAnsi="宋体"/>
        </w:rPr>
        <w:t>监理人员数量应足够满足本工程监理的工作任务，重要部位、工序应保证旁站跟踪监理。</w:t>
      </w:r>
    </w:p>
    <w:p w14:paraId="3FA6D694">
      <w:pPr>
        <w:spacing w:line="360" w:lineRule="auto"/>
        <w:ind w:left="0" w:leftChars="0" w:firstLine="480" w:firstLineChars="200"/>
        <w:rPr>
          <w:rFonts w:ascii="宋体"/>
        </w:rPr>
      </w:pPr>
      <w:r>
        <w:rPr>
          <w:rFonts w:ascii="宋体" w:hAnsi="宋体"/>
        </w:rPr>
        <w:t>4.1.</w:t>
      </w:r>
      <w:r>
        <w:rPr>
          <w:rFonts w:hint="eastAsia" w:ascii="宋体" w:hAnsi="宋体"/>
          <w:lang w:val="en-US" w:eastAsia="zh-CN"/>
        </w:rPr>
        <w:t>5</w:t>
      </w:r>
      <w:r>
        <w:rPr>
          <w:rFonts w:hint="eastAsia" w:ascii="宋体" w:hAnsi="宋体"/>
        </w:rPr>
        <w:t>监理人员从事工程建设监理活动，应当遵纪守法、诚信、公正、科学的准则，应有良好的执业道德和严谨的工作作风。在监理过程中不得向被监理方介绍、指定分包商。</w:t>
      </w:r>
    </w:p>
    <w:p w14:paraId="4CD4D4EB">
      <w:pPr>
        <w:spacing w:line="360" w:lineRule="auto"/>
        <w:ind w:left="0" w:leftChars="0" w:firstLine="480" w:firstLineChars="200"/>
        <w:rPr>
          <w:rFonts w:ascii="宋体"/>
        </w:rPr>
      </w:pPr>
      <w:r>
        <w:rPr>
          <w:rFonts w:ascii="宋体" w:hAnsi="宋体"/>
        </w:rPr>
        <w:t>4.1.</w:t>
      </w:r>
      <w:r>
        <w:rPr>
          <w:rFonts w:hint="eastAsia" w:ascii="宋体" w:hAnsi="宋体"/>
          <w:lang w:val="en-US" w:eastAsia="zh-CN"/>
        </w:rPr>
        <w:t>6</w:t>
      </w:r>
      <w:r>
        <w:rPr>
          <w:rFonts w:ascii="宋体" w:hAnsi="宋体"/>
        </w:rPr>
        <w:t xml:space="preserve"> </w:t>
      </w:r>
      <w:r>
        <w:rPr>
          <w:rFonts w:hint="eastAsia" w:ascii="宋体" w:hAnsi="宋体"/>
        </w:rPr>
        <w:t>监理工程师需具有丰富的工程建设实践经验、良好的品德、较高的学历和多学科专业知识、健康的体魄和充沛的精力。</w:t>
      </w:r>
    </w:p>
    <w:p w14:paraId="05D4C13F">
      <w:pPr>
        <w:spacing w:line="360" w:lineRule="auto"/>
        <w:ind w:firstLine="480" w:firstLineChars="200"/>
        <w:rPr>
          <w:rFonts w:ascii="宋体" w:hAnsi="宋体"/>
        </w:rPr>
      </w:pPr>
      <w:r>
        <w:rPr>
          <w:rFonts w:ascii="宋体" w:hAnsi="宋体"/>
        </w:rPr>
        <w:t>4.</w:t>
      </w:r>
      <w:r>
        <w:rPr>
          <w:rFonts w:hint="eastAsia" w:ascii="宋体" w:hAnsi="宋体"/>
        </w:rPr>
        <w:t>2</w:t>
      </w:r>
      <w:r>
        <w:rPr>
          <w:rFonts w:ascii="宋体" w:hAnsi="宋体"/>
        </w:rPr>
        <w:t xml:space="preserve"> </w:t>
      </w:r>
      <w:r>
        <w:rPr>
          <w:rFonts w:hint="eastAsia" w:ascii="宋体" w:hAnsi="宋体"/>
        </w:rPr>
        <w:t>对监理程序及技术的基本要求：严格按照《建设工程监理规范》执行。</w:t>
      </w:r>
    </w:p>
    <w:p w14:paraId="524FA680">
      <w:pPr>
        <w:spacing w:line="360" w:lineRule="auto"/>
        <w:ind w:firstLine="482" w:firstLineChars="200"/>
        <w:rPr>
          <w:rFonts w:ascii="Times New Roman" w:hAnsi="Times New Roman"/>
          <w:b/>
        </w:rPr>
      </w:pPr>
      <w:r>
        <w:rPr>
          <w:rFonts w:ascii="Times New Roman" w:hAnsi="Times New Roman"/>
          <w:b/>
        </w:rPr>
        <w:t xml:space="preserve">5. </w:t>
      </w:r>
      <w:r>
        <w:rPr>
          <w:rFonts w:hint="eastAsia" w:ascii="Times New Roman" w:hAnsi="Times New Roman"/>
          <w:b/>
        </w:rPr>
        <w:t>监理目标</w:t>
      </w:r>
    </w:p>
    <w:p w14:paraId="661BB564">
      <w:pPr>
        <w:spacing w:line="360" w:lineRule="auto"/>
        <w:ind w:firstLine="480" w:firstLineChars="200"/>
        <w:rPr>
          <w:rFonts w:ascii="宋体" w:hAnsi="宋体"/>
        </w:rPr>
      </w:pPr>
      <w:r>
        <w:rPr>
          <w:rFonts w:hint="eastAsia" w:ascii="宋体" w:hAnsi="宋体"/>
        </w:rPr>
        <w:t>根据监理大纲要求，监理控制目标包括三控两管一协调，质量、进度、投资控制，合同、安全、信息管理，</w:t>
      </w:r>
      <w:r>
        <w:rPr>
          <w:rFonts w:ascii="宋体" w:hAnsi="宋体"/>
        </w:rPr>
        <w:t>各方组织协调</w:t>
      </w:r>
      <w:r>
        <w:rPr>
          <w:rFonts w:hint="eastAsia" w:ascii="宋体" w:hAnsi="宋体"/>
        </w:rPr>
        <w:t>。</w:t>
      </w:r>
    </w:p>
    <w:p w14:paraId="2B25BB22">
      <w:pPr>
        <w:spacing w:line="360" w:lineRule="auto"/>
        <w:ind w:firstLine="480" w:firstLineChars="200"/>
        <w:rPr>
          <w:rFonts w:ascii="宋体" w:hAnsi="宋体"/>
        </w:rPr>
      </w:pPr>
      <w:r>
        <w:rPr>
          <w:rFonts w:hint="eastAsia" w:ascii="宋体" w:hAnsi="宋体"/>
        </w:rPr>
        <w:t>1.</w:t>
      </w:r>
      <w:r>
        <w:rPr>
          <w:rFonts w:ascii="宋体" w:hAnsi="宋体"/>
        </w:rPr>
        <w:t xml:space="preserve"> </w:t>
      </w:r>
      <w:r>
        <w:rPr>
          <w:rFonts w:hint="eastAsia" w:ascii="宋体" w:hAnsi="宋体"/>
        </w:rPr>
        <w:t>投资控制目标：实际投资额不超过批复的初步设计概算，严格执行签证制度，对工程进度款、工程决算、设计变更严格把关。</w:t>
      </w:r>
    </w:p>
    <w:p w14:paraId="7FBC39FB">
      <w:pPr>
        <w:spacing w:line="360" w:lineRule="auto"/>
        <w:ind w:firstLine="480" w:firstLineChars="200"/>
        <w:rPr>
          <w:rFonts w:ascii="宋体" w:hAnsi="宋体"/>
        </w:rPr>
      </w:pPr>
      <w:r>
        <w:rPr>
          <w:rFonts w:hint="eastAsia" w:ascii="宋体" w:hAnsi="宋体"/>
        </w:rPr>
        <w:t>2.</w:t>
      </w:r>
      <w:r>
        <w:rPr>
          <w:rFonts w:ascii="宋体" w:hAnsi="宋体"/>
        </w:rPr>
        <w:t xml:space="preserve"> </w:t>
      </w:r>
      <w:r>
        <w:rPr>
          <w:rFonts w:hint="eastAsia" w:ascii="宋体" w:hAnsi="宋体"/>
        </w:rPr>
        <w:t>合同信息管理目标：收集法规信息、市场信息、产品信息、价格信息，协助业主拟定各有关合同，应业主要求参与谈判，处理纠纷与索赔事宜，督促各项目合同的全面履行。</w:t>
      </w:r>
    </w:p>
    <w:p w14:paraId="4604726C">
      <w:pPr>
        <w:spacing w:line="360" w:lineRule="auto"/>
        <w:ind w:firstLine="480" w:firstLineChars="200"/>
        <w:rPr>
          <w:rFonts w:ascii="宋体" w:hAnsi="宋体"/>
        </w:rPr>
      </w:pPr>
      <w:r>
        <w:rPr>
          <w:rFonts w:hint="eastAsia" w:ascii="宋体" w:hAnsi="宋体"/>
        </w:rPr>
        <w:t>3.</w:t>
      </w:r>
      <w:r>
        <w:rPr>
          <w:rFonts w:ascii="宋体" w:hAnsi="宋体"/>
        </w:rPr>
        <w:t xml:space="preserve"> </w:t>
      </w:r>
      <w:r>
        <w:rPr>
          <w:rFonts w:hint="eastAsia" w:ascii="宋体" w:hAnsi="宋体"/>
        </w:rPr>
        <w:t>监理进度控制目标：竣工验收后三个月以内完成工程结算工作。</w:t>
      </w:r>
    </w:p>
    <w:p w14:paraId="7BEC65A3">
      <w:pPr>
        <w:spacing w:line="360" w:lineRule="auto"/>
        <w:ind w:firstLine="480" w:firstLineChars="200"/>
        <w:rPr>
          <w:rFonts w:ascii="宋体" w:hAnsi="宋体"/>
        </w:rPr>
      </w:pPr>
      <w:r>
        <w:rPr>
          <w:rFonts w:hint="eastAsia" w:ascii="宋体" w:hAnsi="宋体"/>
        </w:rPr>
        <w:t>4.</w:t>
      </w:r>
      <w:r>
        <w:rPr>
          <w:rFonts w:ascii="宋体" w:hAnsi="宋体"/>
        </w:rPr>
        <w:t xml:space="preserve"> </w:t>
      </w:r>
      <w:r>
        <w:rPr>
          <w:rFonts w:hint="eastAsia" w:ascii="宋体" w:hAnsi="宋体"/>
        </w:rPr>
        <w:t>监理质量控制目标：按设计标准完成工程，达到国家质量验收合格标准。</w:t>
      </w:r>
    </w:p>
    <w:p w14:paraId="10C4C0FC">
      <w:pPr>
        <w:spacing w:line="360" w:lineRule="auto"/>
        <w:ind w:firstLine="480" w:firstLineChars="200"/>
        <w:rPr>
          <w:rFonts w:ascii="宋体" w:hAnsi="宋体"/>
        </w:rPr>
      </w:pPr>
      <w:r>
        <w:rPr>
          <w:rFonts w:hint="eastAsia" w:ascii="宋体" w:hAnsi="宋体"/>
        </w:rPr>
        <w:t>5.</w:t>
      </w:r>
      <w:r>
        <w:rPr>
          <w:rFonts w:ascii="宋体" w:hAnsi="宋体"/>
        </w:rPr>
        <w:t xml:space="preserve"> </w:t>
      </w:r>
      <w:r>
        <w:rPr>
          <w:rFonts w:hint="eastAsia" w:ascii="宋体" w:hAnsi="宋体"/>
        </w:rPr>
        <w:t>安全、文明施工目标：</w:t>
      </w:r>
    </w:p>
    <w:p w14:paraId="4249F496">
      <w:pPr>
        <w:spacing w:line="360" w:lineRule="auto"/>
        <w:ind w:firstLine="480" w:firstLineChars="200"/>
        <w:rPr>
          <w:rFonts w:ascii="宋体" w:hAnsi="宋体"/>
        </w:rPr>
      </w:pPr>
      <w:r>
        <w:rPr>
          <w:rFonts w:hint="eastAsia" w:ascii="宋体" w:hAnsi="宋体"/>
        </w:rPr>
        <w:t>（1）不发生重大安全事故。</w:t>
      </w:r>
    </w:p>
    <w:p w14:paraId="123462A1">
      <w:pPr>
        <w:spacing w:line="360" w:lineRule="auto"/>
        <w:ind w:firstLine="480" w:firstLineChars="200"/>
        <w:rPr>
          <w:rFonts w:ascii="宋体" w:hAnsi="宋体"/>
        </w:rPr>
      </w:pPr>
      <w:r>
        <w:rPr>
          <w:rFonts w:hint="eastAsia" w:ascii="宋体" w:hAnsi="宋体"/>
        </w:rPr>
        <w:t>（2）不发生挖断地下管网、电缆事故。</w:t>
      </w:r>
    </w:p>
    <w:p w14:paraId="4D9AE486">
      <w:pPr>
        <w:spacing w:line="360" w:lineRule="auto"/>
        <w:ind w:firstLine="480" w:firstLineChars="200"/>
        <w:rPr>
          <w:rFonts w:ascii="宋体" w:hAnsi="宋体"/>
        </w:rPr>
      </w:pPr>
      <w:r>
        <w:rPr>
          <w:rFonts w:hint="eastAsia" w:ascii="宋体" w:hAnsi="宋体"/>
        </w:rPr>
        <w:t>（3）其他。</w:t>
      </w:r>
    </w:p>
    <w:p w14:paraId="0B327C3C">
      <w:pPr>
        <w:spacing w:line="360" w:lineRule="auto"/>
        <w:ind w:firstLine="480" w:firstLineChars="200"/>
        <w:rPr>
          <w:rFonts w:hint="eastAsia" w:ascii="宋体" w:hAnsi="宋体" w:eastAsia="宋体" w:cs="宋体"/>
          <w:sz w:val="24"/>
          <w:szCs w:val="24"/>
        </w:rPr>
      </w:pPr>
    </w:p>
    <w:p w14:paraId="0F5AF983">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br w:type="page"/>
      </w:r>
    </w:p>
    <w:p w14:paraId="56239938">
      <w:pPr>
        <w:pStyle w:val="2"/>
        <w:pageBreakBefore w:val="0"/>
        <w:topLinePunct w:val="0"/>
        <w:bidi w:val="0"/>
        <w:spacing w:before="0" w:after="0" w:line="500" w:lineRule="exact"/>
        <w:ind w:left="0" w:leftChars="0" w:righ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第六章 评标办法</w:t>
      </w:r>
      <w:bookmarkEnd w:id="169"/>
      <w:bookmarkEnd w:id="170"/>
      <w:bookmarkEnd w:id="171"/>
      <w:bookmarkEnd w:id="172"/>
      <w:bookmarkEnd w:id="173"/>
    </w:p>
    <w:p w14:paraId="559A9491">
      <w:pPr>
        <w:pStyle w:val="3"/>
        <w:pageBreakBefore w:val="0"/>
        <w:widowControl w:val="0"/>
        <w:kinsoku/>
        <w:wordWrap/>
        <w:overflowPunct/>
        <w:topLinePunct w:val="0"/>
        <w:autoSpaceDE/>
        <w:autoSpaceDN/>
        <w:bidi w:val="0"/>
        <w:adjustRightInd/>
        <w:snapToGrid/>
        <w:spacing w:before="0" w:after="0" w:line="500" w:lineRule="exact"/>
        <w:ind w:left="0" w:leftChars="0" w:right="0"/>
        <w:textAlignment w:val="auto"/>
        <w:rPr>
          <w:rFonts w:hint="eastAsia" w:ascii="宋体" w:hAnsi="宋体" w:eastAsia="宋体" w:cs="宋体"/>
          <w:color w:val="auto"/>
          <w:sz w:val="24"/>
          <w:szCs w:val="24"/>
          <w:highlight w:val="none"/>
        </w:rPr>
      </w:pPr>
      <w:bookmarkStart w:id="175" w:name="_Toc9938"/>
      <w:bookmarkStart w:id="176" w:name="_Toc31644"/>
      <w:bookmarkStart w:id="177" w:name="_Toc27296"/>
      <w:bookmarkStart w:id="178" w:name="_Toc10389"/>
      <w:bookmarkStart w:id="179" w:name="_Toc10051"/>
      <w:bookmarkStart w:id="180" w:name="_Toc13871"/>
      <w:bookmarkStart w:id="181" w:name="_Toc9917"/>
      <w:bookmarkStart w:id="182" w:name="_Toc8617"/>
      <w:bookmarkStart w:id="183" w:name="_Toc29490"/>
      <w:bookmarkStart w:id="184" w:name="_Toc15178"/>
      <w:bookmarkStart w:id="185" w:name="_Toc27869"/>
      <w:bookmarkStart w:id="186" w:name="_Toc6327"/>
      <w:bookmarkStart w:id="187" w:name="_Toc28843"/>
      <w:bookmarkStart w:id="188" w:name="_Toc12968"/>
      <w:bookmarkStart w:id="189" w:name="_Toc20094"/>
      <w:bookmarkStart w:id="190" w:name="_Toc27320"/>
      <w:bookmarkStart w:id="191" w:name="_Toc12396"/>
      <w:bookmarkStart w:id="192" w:name="_Toc8742"/>
      <w:bookmarkStart w:id="193" w:name="_Toc31364"/>
      <w:bookmarkStart w:id="194" w:name="_Toc4221"/>
      <w:bookmarkStart w:id="195" w:name="_Toc21605"/>
      <w:bookmarkStart w:id="196" w:name="_Toc753"/>
      <w:bookmarkStart w:id="197" w:name="_Toc24998"/>
      <w:bookmarkStart w:id="198" w:name="_Toc30418"/>
      <w:bookmarkStart w:id="199" w:name="_Toc23576"/>
      <w:bookmarkStart w:id="200" w:name="_Toc13236"/>
      <w:bookmarkStart w:id="201" w:name="_Toc8127"/>
      <w:bookmarkStart w:id="202" w:name="_Toc6303"/>
      <w:bookmarkStart w:id="203" w:name="_Toc24206"/>
      <w:bookmarkStart w:id="204" w:name="_Toc11624"/>
      <w:bookmarkStart w:id="205" w:name="_Toc580"/>
      <w:r>
        <w:rPr>
          <w:rFonts w:hint="eastAsia" w:ascii="宋体" w:hAnsi="宋体" w:eastAsia="宋体" w:cs="宋体"/>
          <w:color w:val="auto"/>
          <w:sz w:val="24"/>
          <w:szCs w:val="24"/>
          <w:highlight w:val="none"/>
        </w:rPr>
        <w:t>一</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评审方法</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7C10AFD7">
      <w:pPr>
        <w:keepNext w:val="0"/>
        <w:keepLines w:val="0"/>
        <w:pageBreakBefore w:val="0"/>
        <w:widowControl w:val="0"/>
        <w:kinsoku/>
        <w:wordWrap/>
        <w:overflowPunct/>
        <w:topLinePunct w:val="0"/>
        <w:autoSpaceDE/>
        <w:autoSpaceDN/>
        <w:bidi w:val="0"/>
        <w:adjustRightInd/>
        <w:snapToGrid/>
        <w:spacing w:line="500" w:lineRule="exact"/>
        <w:ind w:left="0" w:leftChars="0" w:right="0" w:firstLine="496"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按照</w:t>
      </w:r>
      <w:r>
        <w:rPr>
          <w:rFonts w:hint="eastAsia" w:ascii="宋体" w:hAnsi="宋体" w:eastAsia="宋体" w:cs="宋体"/>
          <w:color w:val="auto"/>
          <w:sz w:val="24"/>
          <w:szCs w:val="24"/>
          <w:highlight w:val="none"/>
        </w:rPr>
        <w:t>中华人民共和国</w:t>
      </w:r>
      <w:r>
        <w:rPr>
          <w:rFonts w:hint="eastAsia" w:ascii="宋体" w:hAnsi="宋体" w:eastAsia="宋体" w:cs="宋体"/>
          <w:color w:val="auto"/>
          <w:sz w:val="24"/>
          <w:szCs w:val="24"/>
          <w:highlight w:val="none"/>
          <w:lang w:eastAsia="zh-CN"/>
        </w:rPr>
        <w:t>财政部</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财库〔2014〕214号印发《政府采购竞争性磋商采购方式管理暂行办法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pacing w:val="4"/>
          <w:sz w:val="24"/>
          <w:szCs w:val="24"/>
          <w:highlight w:val="none"/>
        </w:rPr>
        <w:t>的规定，本次评审采用</w:t>
      </w:r>
      <w:r>
        <w:rPr>
          <w:rFonts w:hint="eastAsia" w:ascii="宋体" w:hAnsi="宋体" w:eastAsia="宋体" w:cs="宋体"/>
          <w:color w:val="auto"/>
          <w:spacing w:val="4"/>
          <w:sz w:val="24"/>
          <w:szCs w:val="24"/>
          <w:highlight w:val="none"/>
          <w:lang w:eastAsia="zh-CN"/>
        </w:rPr>
        <w:t>综合评分</w:t>
      </w:r>
      <w:r>
        <w:rPr>
          <w:rFonts w:hint="eastAsia" w:ascii="宋体" w:hAnsi="宋体" w:eastAsia="宋体" w:cs="宋体"/>
          <w:color w:val="auto"/>
          <w:spacing w:val="4"/>
          <w:sz w:val="24"/>
          <w:szCs w:val="24"/>
          <w:highlight w:val="none"/>
        </w:rPr>
        <w:t>法，</w:t>
      </w:r>
      <w:r>
        <w:rPr>
          <w:rFonts w:hint="eastAsia" w:ascii="宋体" w:hAnsi="宋体" w:eastAsia="宋体" w:cs="宋体"/>
          <w:color w:val="auto"/>
          <w:sz w:val="24"/>
          <w:szCs w:val="24"/>
          <w:highlight w:val="none"/>
        </w:rPr>
        <w:t>即从质量和服务均能满足磋商文件实质性要求前提下的所有磋商响应文件按照磋商文件中规定的各项因素进行综合评标后，以评标总得分由高到低推荐成交候选人。</w:t>
      </w:r>
    </w:p>
    <w:p w14:paraId="6A972D1D">
      <w:pPr>
        <w:pStyle w:val="3"/>
        <w:pageBreakBefore w:val="0"/>
        <w:widowControl w:val="0"/>
        <w:kinsoku/>
        <w:wordWrap/>
        <w:overflowPunct/>
        <w:topLinePunct w:val="0"/>
        <w:autoSpaceDE/>
        <w:autoSpaceDN/>
        <w:bidi w:val="0"/>
        <w:adjustRightInd/>
        <w:snapToGrid/>
        <w:spacing w:before="0" w:after="0" w:line="500" w:lineRule="exact"/>
        <w:ind w:left="0" w:leftChars="0" w:right="0"/>
        <w:textAlignment w:val="auto"/>
        <w:rPr>
          <w:rFonts w:hint="eastAsia" w:ascii="宋体" w:hAnsi="宋体" w:eastAsia="宋体" w:cs="宋体"/>
          <w:color w:val="auto"/>
          <w:sz w:val="24"/>
          <w:szCs w:val="24"/>
          <w:highlight w:val="none"/>
        </w:rPr>
      </w:pPr>
      <w:bookmarkStart w:id="206" w:name="_Toc1644"/>
      <w:bookmarkStart w:id="207" w:name="_Toc20982"/>
      <w:bookmarkStart w:id="208" w:name="_Toc370906270"/>
      <w:bookmarkStart w:id="209" w:name="_Toc15585"/>
      <w:bookmarkStart w:id="210" w:name="_Toc15370"/>
      <w:bookmarkStart w:id="211" w:name="_Toc17489"/>
      <w:bookmarkStart w:id="212" w:name="_Toc16337"/>
      <w:bookmarkStart w:id="213" w:name="_Toc20120"/>
      <w:bookmarkStart w:id="214" w:name="_Toc20632"/>
      <w:bookmarkStart w:id="215" w:name="_Toc30908"/>
      <w:bookmarkStart w:id="216" w:name="_Toc24523"/>
      <w:bookmarkStart w:id="217" w:name="_Toc26060"/>
      <w:bookmarkStart w:id="218" w:name="_Toc20582"/>
      <w:bookmarkStart w:id="219" w:name="_Toc15882"/>
      <w:bookmarkStart w:id="220" w:name="_Toc23471"/>
      <w:bookmarkStart w:id="221" w:name="_Toc7975"/>
      <w:bookmarkStart w:id="222" w:name="_Toc6931"/>
      <w:bookmarkStart w:id="223" w:name="_Toc10276"/>
      <w:bookmarkStart w:id="224" w:name="_Toc14522"/>
      <w:bookmarkStart w:id="225" w:name="_Toc15696"/>
      <w:bookmarkStart w:id="226" w:name="_Toc11349"/>
      <w:bookmarkStart w:id="227" w:name="_Toc24521"/>
      <w:bookmarkStart w:id="228" w:name="_Toc19473"/>
      <w:bookmarkStart w:id="229" w:name="_Toc12343"/>
      <w:bookmarkStart w:id="230" w:name="_Toc5302"/>
      <w:bookmarkStart w:id="231" w:name="_Toc25331"/>
      <w:bookmarkStart w:id="232" w:name="_Toc20558"/>
      <w:bookmarkStart w:id="233" w:name="_Toc22385"/>
      <w:bookmarkStart w:id="234" w:name="_Toc26518"/>
      <w:bookmarkStart w:id="235" w:name="_Toc23937"/>
      <w:bookmarkStart w:id="236" w:name="_Toc3738"/>
      <w:bookmarkStart w:id="237" w:name="_Toc6439"/>
      <w:r>
        <w:rPr>
          <w:rFonts w:hint="eastAsia" w:ascii="宋体" w:hAnsi="宋体" w:eastAsia="宋体" w:cs="宋体"/>
          <w:color w:val="auto"/>
          <w:sz w:val="24"/>
          <w:szCs w:val="24"/>
          <w:highlight w:val="none"/>
        </w:rPr>
        <w:t>二</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评审程序</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14:paraId="3C1A6D51">
      <w:pPr>
        <w:pStyle w:val="21"/>
        <w:keepNext w:val="0"/>
        <w:keepLines w:val="0"/>
        <w:pageBreakBefore w:val="0"/>
        <w:widowControl w:val="0"/>
        <w:kinsoku/>
        <w:wordWrap/>
        <w:overflowPunct/>
        <w:topLinePunct w:val="0"/>
        <w:autoSpaceDE/>
        <w:autoSpaceDN/>
        <w:bidi w:val="0"/>
        <w:adjustRightInd/>
        <w:snapToGrid/>
        <w:spacing w:after="0" w:afterLines="0" w:line="500" w:lineRule="exact"/>
        <w:ind w:left="0" w:leftChars="0" w:right="0" w:firstLine="444"/>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按照</w:t>
      </w:r>
      <w:r>
        <w:rPr>
          <w:rFonts w:hint="eastAsia" w:ascii="宋体" w:hAnsi="宋体" w:eastAsia="宋体" w:cs="宋体"/>
          <w:color w:val="auto"/>
          <w:sz w:val="24"/>
          <w:szCs w:val="24"/>
          <w:highlight w:val="none"/>
          <w:lang w:val="en-US" w:eastAsia="zh-CN"/>
        </w:rPr>
        <w:t>资格审查</w:t>
      </w:r>
      <w:r>
        <w:rPr>
          <w:rFonts w:hint="eastAsia" w:ascii="宋体" w:hAnsi="宋体" w:eastAsia="宋体" w:cs="宋体"/>
          <w:color w:val="auto"/>
          <w:sz w:val="24"/>
          <w:szCs w:val="24"/>
          <w:highlight w:val="none"/>
          <w:lang w:eastAsia="zh-CN"/>
        </w:rPr>
        <w:t>、符合性审查</w:t>
      </w:r>
      <w:r>
        <w:rPr>
          <w:rFonts w:hint="eastAsia" w:ascii="宋体" w:hAnsi="宋体" w:eastAsia="宋体" w:cs="宋体"/>
          <w:color w:val="auto"/>
          <w:sz w:val="24"/>
          <w:szCs w:val="24"/>
          <w:highlight w:val="none"/>
        </w:rPr>
        <w:t>、</w:t>
      </w:r>
      <w:r>
        <w:rPr>
          <w:rFonts w:hint="eastAsia" w:ascii="宋体" w:hAnsi="宋体" w:eastAsia="宋体" w:cs="宋体"/>
          <w:color w:val="auto"/>
          <w:spacing w:val="4"/>
          <w:kern w:val="2"/>
          <w:sz w:val="24"/>
          <w:szCs w:val="24"/>
          <w:highlight w:val="none"/>
          <w:lang w:val="en-US" w:eastAsia="zh-CN" w:bidi="ar"/>
        </w:rPr>
        <w:t>澄清有关问题、比较与评价、推荐成交候选人名单</w:t>
      </w:r>
      <w:r>
        <w:rPr>
          <w:rFonts w:hint="eastAsia" w:ascii="宋体" w:hAnsi="宋体" w:eastAsia="宋体" w:cs="宋体"/>
          <w:color w:val="auto"/>
          <w:sz w:val="24"/>
          <w:szCs w:val="24"/>
          <w:highlight w:val="none"/>
        </w:rPr>
        <w:t>进行评审。在上一步评审中被废标者，不进入下一步的评审。</w:t>
      </w:r>
    </w:p>
    <w:p w14:paraId="009CE7C9">
      <w:pPr>
        <w:pageBreakBefore w:val="0"/>
        <w:widowControl w:val="0"/>
        <w:kinsoku/>
        <w:wordWrap/>
        <w:overflowPunct/>
        <w:topLinePunct w:val="0"/>
        <w:autoSpaceDE/>
        <w:autoSpaceDN/>
        <w:bidi w:val="0"/>
        <w:adjustRightInd/>
        <w:snapToGrid/>
        <w:spacing w:line="50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采购人对各个供应商的响应文件先进行资格审查，磋商小组再进行符合性审查，审查全都合格的供应商才有参加磋商与承诺的资格。</w:t>
      </w:r>
    </w:p>
    <w:p w14:paraId="3D6B0DB3">
      <w:pPr>
        <w:pageBreakBefore w:val="0"/>
        <w:widowControl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1.1资格审查内容为：供应商须知前附表（供应商资质证明文件）</w:t>
      </w:r>
    </w:p>
    <w:p w14:paraId="6B047B79">
      <w:pPr>
        <w:pageBreakBefore w:val="0"/>
        <w:widowControl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rPr>
        <w:t>符合性审查内容为：</w:t>
      </w:r>
    </w:p>
    <w:tbl>
      <w:tblPr>
        <w:tblStyle w:val="26"/>
        <w:tblW w:w="5005" w:type="pct"/>
        <w:tblInd w:w="0" w:type="dxa"/>
        <w:tblLayout w:type="autofit"/>
        <w:tblCellMar>
          <w:top w:w="0" w:type="dxa"/>
          <w:left w:w="0" w:type="dxa"/>
          <w:bottom w:w="0" w:type="dxa"/>
          <w:right w:w="0" w:type="dxa"/>
        </w:tblCellMar>
      </w:tblPr>
      <w:tblGrid>
        <w:gridCol w:w="769"/>
        <w:gridCol w:w="3646"/>
        <w:gridCol w:w="5350"/>
      </w:tblGrid>
      <w:tr w14:paraId="1A88074A">
        <w:tblPrEx>
          <w:tblCellMar>
            <w:top w:w="0" w:type="dxa"/>
            <w:left w:w="0" w:type="dxa"/>
            <w:bottom w:w="0" w:type="dxa"/>
            <w:right w:w="0" w:type="dxa"/>
          </w:tblCellMar>
        </w:tblPrEx>
        <w:trPr>
          <w:trHeight w:val="90" w:hRule="atLeast"/>
        </w:trPr>
        <w:tc>
          <w:tcPr>
            <w:tcW w:w="5000" w:type="pct"/>
            <w:gridSpan w:val="3"/>
            <w:tcBorders>
              <w:top w:val="single" w:color="auto" w:sz="4" w:space="0"/>
              <w:left w:val="single" w:color="auto" w:sz="4" w:space="0"/>
              <w:bottom w:val="single" w:color="auto" w:sz="4" w:space="0"/>
              <w:right w:val="single" w:color="auto" w:sz="4" w:space="0"/>
            </w:tcBorders>
            <w:vAlign w:val="center"/>
          </w:tcPr>
          <w:p w14:paraId="577CDB78">
            <w:pPr>
              <w:pageBreakBefore w:val="0"/>
              <w:topLinePunct w:val="0"/>
              <w:bidi w:val="0"/>
              <w:spacing w:line="500" w:lineRule="exact"/>
              <w:ind w:left="0" w:leftChars="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符合性评审表</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"http://www.sxggzyjy.cn:9003/BSTool/epointzbtool_bs/pages/pbprepare/javascript:openEdit('28d24cc4-b1b1-4e0d-84f2-517b7c1d63df')"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fldChar w:fldCharType="end"/>
            </w:r>
          </w:p>
        </w:tc>
      </w:tr>
      <w:tr w14:paraId="1F7432AF">
        <w:tblPrEx>
          <w:tblCellMar>
            <w:top w:w="0" w:type="dxa"/>
            <w:left w:w="0" w:type="dxa"/>
            <w:bottom w:w="0" w:type="dxa"/>
            <w:right w:w="0" w:type="dxa"/>
          </w:tblCellMar>
        </w:tblPrEx>
        <w:trPr>
          <w:trHeight w:val="90" w:hRule="atLeast"/>
        </w:trPr>
        <w:tc>
          <w:tcPr>
            <w:tcW w:w="394" w:type="pct"/>
            <w:tcBorders>
              <w:top w:val="single" w:color="auto" w:sz="4" w:space="0"/>
              <w:left w:val="single" w:color="auto" w:sz="4" w:space="0"/>
              <w:bottom w:val="single" w:color="auto" w:sz="4" w:space="0"/>
              <w:right w:val="single" w:color="auto" w:sz="4" w:space="0"/>
            </w:tcBorders>
            <w:vAlign w:val="center"/>
          </w:tcPr>
          <w:p w14:paraId="505E68D6">
            <w:pPr>
              <w:pageBreakBefore w:val="0"/>
              <w:topLinePunct w:val="0"/>
              <w:bidi w:val="0"/>
              <w:spacing w:line="500" w:lineRule="exact"/>
              <w:ind w:left="0" w:leftChars="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867" w:type="pct"/>
            <w:tcBorders>
              <w:top w:val="single" w:color="auto" w:sz="4" w:space="0"/>
              <w:left w:val="single" w:color="auto" w:sz="4" w:space="0"/>
              <w:bottom w:val="single" w:color="auto" w:sz="4" w:space="0"/>
              <w:right w:val="single" w:color="auto" w:sz="4" w:space="0"/>
            </w:tcBorders>
            <w:vAlign w:val="center"/>
          </w:tcPr>
          <w:p w14:paraId="4422F37F">
            <w:pPr>
              <w:pageBreakBefore w:val="0"/>
              <w:topLinePunct w:val="0"/>
              <w:bidi w:val="0"/>
              <w:spacing w:line="500" w:lineRule="exact"/>
              <w:ind w:left="0" w:leftChars="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文件语言</w:t>
            </w:r>
          </w:p>
        </w:tc>
        <w:tc>
          <w:tcPr>
            <w:tcW w:w="2738" w:type="pct"/>
            <w:tcBorders>
              <w:top w:val="single" w:color="auto" w:sz="4" w:space="0"/>
              <w:left w:val="single" w:color="auto" w:sz="4" w:space="0"/>
              <w:bottom w:val="single" w:color="auto" w:sz="4" w:space="0"/>
              <w:right w:val="single" w:color="auto" w:sz="4" w:space="0"/>
            </w:tcBorders>
            <w:vAlign w:val="center"/>
          </w:tcPr>
          <w:p w14:paraId="4BB03F7F">
            <w:pPr>
              <w:pageBreakBefore w:val="0"/>
              <w:topLinePunct w:val="0"/>
              <w:bidi w:val="0"/>
              <w:spacing w:line="500" w:lineRule="exact"/>
              <w:ind w:left="0" w:leftChars="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响应文件语言符合磋商文件要求。</w:t>
            </w:r>
          </w:p>
        </w:tc>
      </w:tr>
      <w:tr w14:paraId="776ACD8F">
        <w:tblPrEx>
          <w:tblCellMar>
            <w:top w:w="0" w:type="dxa"/>
            <w:left w:w="0" w:type="dxa"/>
            <w:bottom w:w="0" w:type="dxa"/>
            <w:right w:w="0" w:type="dxa"/>
          </w:tblCellMar>
        </w:tblPrEx>
        <w:trPr>
          <w:trHeight w:val="90" w:hRule="atLeast"/>
        </w:trPr>
        <w:tc>
          <w:tcPr>
            <w:tcW w:w="394" w:type="pct"/>
            <w:tcBorders>
              <w:top w:val="single" w:color="auto" w:sz="4" w:space="0"/>
              <w:left w:val="single" w:color="auto" w:sz="4" w:space="0"/>
              <w:bottom w:val="single" w:color="auto" w:sz="4" w:space="0"/>
              <w:right w:val="single" w:color="auto" w:sz="4" w:space="0"/>
            </w:tcBorders>
            <w:vAlign w:val="center"/>
          </w:tcPr>
          <w:p w14:paraId="5D3B9622">
            <w:pPr>
              <w:pageBreakBefore w:val="0"/>
              <w:topLinePunct w:val="0"/>
              <w:bidi w:val="0"/>
              <w:spacing w:line="500" w:lineRule="exact"/>
              <w:ind w:left="0" w:leftChars="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867" w:type="pct"/>
            <w:tcBorders>
              <w:top w:val="single" w:color="auto" w:sz="4" w:space="0"/>
              <w:left w:val="single" w:color="auto" w:sz="4" w:space="0"/>
              <w:bottom w:val="single" w:color="auto" w:sz="4" w:space="0"/>
              <w:right w:val="single" w:color="auto" w:sz="4" w:space="0"/>
            </w:tcBorders>
            <w:vAlign w:val="center"/>
          </w:tcPr>
          <w:p w14:paraId="415914CB">
            <w:pPr>
              <w:pageBreakBefore w:val="0"/>
              <w:topLinePunct w:val="0"/>
              <w:bidi w:val="0"/>
              <w:spacing w:line="500" w:lineRule="exact"/>
              <w:ind w:left="0" w:leftChars="0" w:right="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响应文件封面、响应函、法定代表人授权委托书三处的项目名称、项目编号</w:t>
            </w:r>
          </w:p>
        </w:tc>
        <w:tc>
          <w:tcPr>
            <w:tcW w:w="2738" w:type="pct"/>
            <w:tcBorders>
              <w:top w:val="single" w:color="auto" w:sz="4" w:space="0"/>
              <w:left w:val="single" w:color="auto" w:sz="4" w:space="0"/>
              <w:bottom w:val="single" w:color="auto" w:sz="4" w:space="0"/>
              <w:right w:val="single" w:color="auto" w:sz="4" w:space="0"/>
            </w:tcBorders>
            <w:vAlign w:val="center"/>
          </w:tcPr>
          <w:p w14:paraId="4C2196F6">
            <w:pPr>
              <w:pageBreakBefore w:val="0"/>
              <w:topLinePunct w:val="0"/>
              <w:bidi w:val="0"/>
              <w:spacing w:line="500" w:lineRule="exact"/>
              <w:ind w:left="0" w:leftChars="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三处均无遗漏，且与所投项目名称、项目编号完全一致。</w:t>
            </w:r>
          </w:p>
        </w:tc>
      </w:tr>
      <w:tr w14:paraId="55DC33CF">
        <w:tblPrEx>
          <w:tblCellMar>
            <w:top w:w="0" w:type="dxa"/>
            <w:left w:w="0" w:type="dxa"/>
            <w:bottom w:w="0" w:type="dxa"/>
            <w:right w:w="0" w:type="dxa"/>
          </w:tblCellMar>
        </w:tblPrEx>
        <w:trPr>
          <w:trHeight w:val="90" w:hRule="atLeast"/>
        </w:trPr>
        <w:tc>
          <w:tcPr>
            <w:tcW w:w="394" w:type="pct"/>
            <w:tcBorders>
              <w:top w:val="single" w:color="auto" w:sz="4" w:space="0"/>
              <w:left w:val="single" w:color="auto" w:sz="4" w:space="0"/>
              <w:bottom w:val="single" w:color="auto" w:sz="4" w:space="0"/>
              <w:right w:val="single" w:color="auto" w:sz="4" w:space="0"/>
            </w:tcBorders>
            <w:vAlign w:val="center"/>
          </w:tcPr>
          <w:p w14:paraId="471C9A3A">
            <w:pPr>
              <w:pageBreakBefore w:val="0"/>
              <w:topLinePunct w:val="0"/>
              <w:bidi w:val="0"/>
              <w:spacing w:line="500" w:lineRule="exact"/>
              <w:ind w:left="0" w:leftChars="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867" w:type="pct"/>
            <w:tcBorders>
              <w:top w:val="single" w:color="auto" w:sz="4" w:space="0"/>
              <w:left w:val="single" w:color="auto" w:sz="4" w:space="0"/>
              <w:bottom w:val="single" w:color="auto" w:sz="4" w:space="0"/>
              <w:right w:val="single" w:color="auto" w:sz="4" w:space="0"/>
            </w:tcBorders>
            <w:vAlign w:val="center"/>
          </w:tcPr>
          <w:p w14:paraId="28AB8FD7">
            <w:pPr>
              <w:pageBreakBefore w:val="0"/>
              <w:topLinePunct w:val="0"/>
              <w:bidi w:val="0"/>
              <w:spacing w:line="500" w:lineRule="exact"/>
              <w:ind w:left="0" w:leftChars="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响应文件签署、盖章</w:t>
            </w:r>
          </w:p>
        </w:tc>
        <w:tc>
          <w:tcPr>
            <w:tcW w:w="2738" w:type="pct"/>
            <w:tcBorders>
              <w:top w:val="single" w:color="auto" w:sz="4" w:space="0"/>
              <w:left w:val="single" w:color="auto" w:sz="4" w:space="0"/>
              <w:bottom w:val="single" w:color="auto" w:sz="4" w:space="0"/>
              <w:right w:val="single" w:color="auto" w:sz="4" w:space="0"/>
            </w:tcBorders>
            <w:vAlign w:val="center"/>
          </w:tcPr>
          <w:p w14:paraId="20A5A6B6">
            <w:pPr>
              <w:pageBreakBefore w:val="0"/>
              <w:topLinePunct w:val="0"/>
              <w:bidi w:val="0"/>
              <w:spacing w:line="500" w:lineRule="exact"/>
              <w:ind w:left="0" w:leftChars="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均按磋商文件要求签字、盖章（评分标准中要求提供的证明材料除外）。</w:t>
            </w:r>
          </w:p>
        </w:tc>
      </w:tr>
      <w:tr w14:paraId="7CA91B51">
        <w:tblPrEx>
          <w:tblCellMar>
            <w:top w:w="0" w:type="dxa"/>
            <w:left w:w="0" w:type="dxa"/>
            <w:bottom w:w="0" w:type="dxa"/>
            <w:right w:w="0" w:type="dxa"/>
          </w:tblCellMar>
        </w:tblPrEx>
        <w:trPr>
          <w:trHeight w:val="90" w:hRule="atLeast"/>
        </w:trPr>
        <w:tc>
          <w:tcPr>
            <w:tcW w:w="394" w:type="pct"/>
            <w:tcBorders>
              <w:top w:val="single" w:color="auto" w:sz="4" w:space="0"/>
              <w:left w:val="single" w:color="auto" w:sz="4" w:space="0"/>
              <w:bottom w:val="single" w:color="auto" w:sz="4" w:space="0"/>
              <w:right w:val="single" w:color="auto" w:sz="4" w:space="0"/>
            </w:tcBorders>
            <w:vAlign w:val="center"/>
          </w:tcPr>
          <w:p w14:paraId="5AB7424F">
            <w:pPr>
              <w:pageBreakBefore w:val="0"/>
              <w:topLinePunct w:val="0"/>
              <w:bidi w:val="0"/>
              <w:spacing w:line="500" w:lineRule="exact"/>
              <w:ind w:left="0" w:leftChars="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1867" w:type="pct"/>
            <w:tcBorders>
              <w:top w:val="single" w:color="auto" w:sz="4" w:space="0"/>
              <w:left w:val="single" w:color="auto" w:sz="4" w:space="0"/>
              <w:bottom w:val="single" w:color="auto" w:sz="4" w:space="0"/>
              <w:right w:val="single" w:color="auto" w:sz="4" w:space="0"/>
            </w:tcBorders>
            <w:vAlign w:val="center"/>
          </w:tcPr>
          <w:p w14:paraId="526314F7">
            <w:pPr>
              <w:pageBreakBefore w:val="0"/>
              <w:topLinePunct w:val="0"/>
              <w:bidi w:val="0"/>
              <w:spacing w:line="500" w:lineRule="exact"/>
              <w:ind w:left="0" w:leftChars="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文件组成</w:t>
            </w:r>
          </w:p>
        </w:tc>
        <w:tc>
          <w:tcPr>
            <w:tcW w:w="2738" w:type="pct"/>
            <w:tcBorders>
              <w:top w:val="single" w:color="auto" w:sz="4" w:space="0"/>
              <w:left w:val="single" w:color="auto" w:sz="4" w:space="0"/>
              <w:bottom w:val="single" w:color="auto" w:sz="4" w:space="0"/>
              <w:right w:val="single" w:color="auto" w:sz="4" w:space="0"/>
            </w:tcBorders>
            <w:vAlign w:val="center"/>
          </w:tcPr>
          <w:p w14:paraId="3257F767">
            <w:pPr>
              <w:pageBreakBefore w:val="0"/>
              <w:topLinePunct w:val="0"/>
              <w:bidi w:val="0"/>
              <w:spacing w:line="500" w:lineRule="exact"/>
              <w:ind w:left="0" w:leftChars="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投标文件应包含以下内容：（1）资格证明文件；（2）符合性证明文件；（3）</w:t>
            </w:r>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响应方案。</w:t>
            </w:r>
          </w:p>
        </w:tc>
      </w:tr>
      <w:tr w14:paraId="0520606B">
        <w:tblPrEx>
          <w:tblCellMar>
            <w:top w:w="0" w:type="dxa"/>
            <w:left w:w="0" w:type="dxa"/>
            <w:bottom w:w="0" w:type="dxa"/>
            <w:right w:w="0" w:type="dxa"/>
          </w:tblCellMar>
        </w:tblPrEx>
        <w:trPr>
          <w:trHeight w:val="90" w:hRule="atLeast"/>
        </w:trPr>
        <w:tc>
          <w:tcPr>
            <w:tcW w:w="394" w:type="pct"/>
            <w:tcBorders>
              <w:top w:val="single" w:color="auto" w:sz="4" w:space="0"/>
              <w:left w:val="single" w:color="auto" w:sz="4" w:space="0"/>
              <w:bottom w:val="single" w:color="auto" w:sz="4" w:space="0"/>
              <w:right w:val="single" w:color="auto" w:sz="4" w:space="0"/>
            </w:tcBorders>
            <w:vAlign w:val="center"/>
          </w:tcPr>
          <w:p w14:paraId="6D09E95C">
            <w:pPr>
              <w:pageBreakBefore w:val="0"/>
              <w:topLinePunct w:val="0"/>
              <w:bidi w:val="0"/>
              <w:spacing w:line="500" w:lineRule="exact"/>
              <w:ind w:left="0" w:leftChars="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867" w:type="pct"/>
            <w:tcBorders>
              <w:top w:val="single" w:color="auto" w:sz="4" w:space="0"/>
              <w:left w:val="single" w:color="auto" w:sz="4" w:space="0"/>
              <w:bottom w:val="single" w:color="auto" w:sz="4" w:space="0"/>
              <w:right w:val="single" w:color="auto" w:sz="4" w:space="0"/>
            </w:tcBorders>
            <w:vAlign w:val="center"/>
          </w:tcPr>
          <w:p w14:paraId="6CC1615F">
            <w:pPr>
              <w:pageBreakBefore w:val="0"/>
              <w:topLinePunct w:val="0"/>
              <w:bidi w:val="0"/>
              <w:spacing w:line="500" w:lineRule="exact"/>
              <w:ind w:left="0" w:leftChars="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投标保证金的有效性</w:t>
            </w:r>
          </w:p>
        </w:tc>
        <w:tc>
          <w:tcPr>
            <w:tcW w:w="2738" w:type="pct"/>
            <w:tcBorders>
              <w:top w:val="single" w:color="auto" w:sz="4" w:space="0"/>
              <w:left w:val="single" w:color="auto" w:sz="4" w:space="0"/>
              <w:bottom w:val="single" w:color="auto" w:sz="4" w:space="0"/>
              <w:right w:val="single" w:color="auto" w:sz="4" w:space="0"/>
            </w:tcBorders>
            <w:vAlign w:val="center"/>
          </w:tcPr>
          <w:p w14:paraId="64C30C33">
            <w:pPr>
              <w:pageBreakBefore w:val="0"/>
              <w:topLinePunct w:val="0"/>
              <w:bidi w:val="0"/>
              <w:spacing w:line="500" w:lineRule="exact"/>
              <w:ind w:left="0" w:leftChars="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提交形式符合</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rPr>
              <w:t>文件要求</w:t>
            </w:r>
          </w:p>
        </w:tc>
      </w:tr>
      <w:tr w14:paraId="346E69FF">
        <w:tblPrEx>
          <w:tblCellMar>
            <w:top w:w="0" w:type="dxa"/>
            <w:left w:w="0" w:type="dxa"/>
            <w:bottom w:w="0" w:type="dxa"/>
            <w:right w:w="0" w:type="dxa"/>
          </w:tblCellMar>
        </w:tblPrEx>
        <w:trPr>
          <w:trHeight w:val="478" w:hRule="atLeast"/>
        </w:trPr>
        <w:tc>
          <w:tcPr>
            <w:tcW w:w="394" w:type="pct"/>
            <w:tcBorders>
              <w:top w:val="single" w:color="auto" w:sz="4" w:space="0"/>
              <w:left w:val="single" w:color="auto" w:sz="4" w:space="0"/>
              <w:bottom w:val="single" w:color="auto" w:sz="4" w:space="0"/>
              <w:right w:val="single" w:color="auto" w:sz="4" w:space="0"/>
            </w:tcBorders>
            <w:vAlign w:val="center"/>
          </w:tcPr>
          <w:p w14:paraId="72D35D27">
            <w:pPr>
              <w:pageBreakBefore w:val="0"/>
              <w:topLinePunct w:val="0"/>
              <w:bidi w:val="0"/>
              <w:spacing w:line="500" w:lineRule="exact"/>
              <w:ind w:left="0" w:leftChars="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1867" w:type="pct"/>
            <w:tcBorders>
              <w:top w:val="single" w:color="auto" w:sz="4" w:space="0"/>
              <w:left w:val="single" w:color="auto" w:sz="4" w:space="0"/>
              <w:bottom w:val="single" w:color="auto" w:sz="4" w:space="0"/>
              <w:right w:val="single" w:color="auto" w:sz="4" w:space="0"/>
            </w:tcBorders>
            <w:vAlign w:val="center"/>
          </w:tcPr>
          <w:p w14:paraId="03CFA3FE">
            <w:pPr>
              <w:pageBreakBefore w:val="0"/>
              <w:topLinePunct w:val="0"/>
              <w:bidi w:val="0"/>
              <w:spacing w:line="500" w:lineRule="exact"/>
              <w:ind w:left="0" w:leftChars="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响应文件有效期</w:t>
            </w:r>
          </w:p>
        </w:tc>
        <w:tc>
          <w:tcPr>
            <w:tcW w:w="2738" w:type="pct"/>
            <w:tcBorders>
              <w:top w:val="single" w:color="auto" w:sz="4" w:space="0"/>
              <w:left w:val="single" w:color="auto" w:sz="4" w:space="0"/>
              <w:bottom w:val="single" w:color="auto" w:sz="4" w:space="0"/>
              <w:right w:val="single" w:color="auto" w:sz="4" w:space="0"/>
            </w:tcBorders>
            <w:vAlign w:val="center"/>
          </w:tcPr>
          <w:p w14:paraId="6E6C556A">
            <w:pPr>
              <w:pageBreakBefore w:val="0"/>
              <w:topLinePunct w:val="0"/>
              <w:bidi w:val="0"/>
              <w:spacing w:line="500" w:lineRule="exact"/>
              <w:ind w:left="0" w:leftChars="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响应文件有效期符合磋商文件的要求。</w:t>
            </w:r>
          </w:p>
        </w:tc>
      </w:tr>
      <w:tr w14:paraId="190F5DFE">
        <w:tblPrEx>
          <w:tblCellMar>
            <w:top w:w="0" w:type="dxa"/>
            <w:left w:w="0" w:type="dxa"/>
            <w:bottom w:w="0" w:type="dxa"/>
            <w:right w:w="0" w:type="dxa"/>
          </w:tblCellMar>
        </w:tblPrEx>
        <w:trPr>
          <w:trHeight w:val="90" w:hRule="atLeast"/>
        </w:trPr>
        <w:tc>
          <w:tcPr>
            <w:tcW w:w="394" w:type="pct"/>
            <w:tcBorders>
              <w:top w:val="single" w:color="auto" w:sz="4" w:space="0"/>
              <w:left w:val="single" w:color="auto" w:sz="4" w:space="0"/>
              <w:bottom w:val="single" w:color="auto" w:sz="4" w:space="0"/>
              <w:right w:val="single" w:color="auto" w:sz="4" w:space="0"/>
            </w:tcBorders>
            <w:vAlign w:val="center"/>
          </w:tcPr>
          <w:p w14:paraId="684CAB1A">
            <w:pPr>
              <w:pageBreakBefore w:val="0"/>
              <w:topLinePunct w:val="0"/>
              <w:bidi w:val="0"/>
              <w:spacing w:line="500" w:lineRule="exact"/>
              <w:ind w:left="0" w:leftChars="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1867" w:type="pct"/>
            <w:tcBorders>
              <w:top w:val="single" w:color="auto" w:sz="4" w:space="0"/>
              <w:left w:val="single" w:color="auto" w:sz="4" w:space="0"/>
              <w:bottom w:val="single" w:color="auto" w:sz="4" w:space="0"/>
              <w:right w:val="single" w:color="auto" w:sz="4" w:space="0"/>
            </w:tcBorders>
            <w:vAlign w:val="center"/>
          </w:tcPr>
          <w:p w14:paraId="7B54F5F9">
            <w:pPr>
              <w:pageBreakBefore w:val="0"/>
              <w:topLinePunct w:val="0"/>
              <w:bidi w:val="0"/>
              <w:spacing w:line="500" w:lineRule="exact"/>
              <w:ind w:left="0" w:leftChars="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第一次磋商报价表</w:t>
            </w:r>
          </w:p>
        </w:tc>
        <w:tc>
          <w:tcPr>
            <w:tcW w:w="2738" w:type="pct"/>
            <w:tcBorders>
              <w:top w:val="single" w:color="auto" w:sz="4" w:space="0"/>
              <w:left w:val="single" w:color="auto" w:sz="4" w:space="0"/>
              <w:bottom w:val="single" w:color="auto" w:sz="4" w:space="0"/>
              <w:right w:val="single" w:color="auto" w:sz="4" w:space="0"/>
            </w:tcBorders>
            <w:vAlign w:val="center"/>
          </w:tcPr>
          <w:p w14:paraId="3E36382C">
            <w:pPr>
              <w:pageBreakBefore w:val="0"/>
              <w:topLinePunct w:val="0"/>
              <w:bidi w:val="0"/>
              <w:spacing w:line="500" w:lineRule="exact"/>
              <w:ind w:left="0" w:leftChars="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（1）第一次磋商报价表填写符合要求；</w:t>
            </w:r>
          </w:p>
          <w:p w14:paraId="21C3E47E">
            <w:pPr>
              <w:pageBreakBefore w:val="0"/>
              <w:topLinePunct w:val="0"/>
              <w:bidi w:val="0"/>
              <w:spacing w:line="500" w:lineRule="exact"/>
              <w:ind w:left="0" w:leftChars="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（2）计量单位、报价货币均符合磋商文件要求；</w:t>
            </w:r>
          </w:p>
          <w:p w14:paraId="1E291251">
            <w:pPr>
              <w:pageBreakBefore w:val="0"/>
              <w:topLinePunct w:val="0"/>
              <w:bidi w:val="0"/>
              <w:spacing w:line="500" w:lineRule="exact"/>
              <w:ind w:left="0" w:leftChars="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（3）第一次磋商报价未超出采购预算或磋商文件规定的最高限价。</w:t>
            </w:r>
          </w:p>
        </w:tc>
      </w:tr>
      <w:tr w14:paraId="482B5F18">
        <w:tblPrEx>
          <w:tblCellMar>
            <w:top w:w="0" w:type="dxa"/>
            <w:left w:w="0" w:type="dxa"/>
            <w:bottom w:w="0" w:type="dxa"/>
            <w:right w:w="0" w:type="dxa"/>
          </w:tblCellMar>
        </w:tblPrEx>
        <w:trPr>
          <w:trHeight w:val="90" w:hRule="atLeast"/>
        </w:trPr>
        <w:tc>
          <w:tcPr>
            <w:tcW w:w="394" w:type="pct"/>
            <w:tcBorders>
              <w:top w:val="single" w:color="auto" w:sz="4" w:space="0"/>
              <w:left w:val="single" w:color="auto" w:sz="4" w:space="0"/>
              <w:bottom w:val="single" w:color="auto" w:sz="4" w:space="0"/>
              <w:right w:val="single" w:color="auto" w:sz="4" w:space="0"/>
            </w:tcBorders>
            <w:vAlign w:val="center"/>
          </w:tcPr>
          <w:p w14:paraId="0D3B0BAC">
            <w:pPr>
              <w:pageBreakBefore w:val="0"/>
              <w:topLinePunct w:val="0"/>
              <w:bidi w:val="0"/>
              <w:spacing w:line="500" w:lineRule="exact"/>
              <w:ind w:left="0" w:leftChars="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1867" w:type="pct"/>
            <w:tcBorders>
              <w:top w:val="single" w:color="auto" w:sz="4" w:space="0"/>
              <w:left w:val="single" w:color="auto" w:sz="4" w:space="0"/>
              <w:bottom w:val="single" w:color="auto" w:sz="4" w:space="0"/>
              <w:right w:val="single" w:color="auto" w:sz="4" w:space="0"/>
            </w:tcBorders>
            <w:vAlign w:val="center"/>
          </w:tcPr>
          <w:p w14:paraId="35E954E6">
            <w:pPr>
              <w:pageBreakBefore w:val="0"/>
              <w:topLinePunct w:val="0"/>
              <w:bidi w:val="0"/>
              <w:spacing w:line="500" w:lineRule="exact"/>
              <w:ind w:left="0" w:leftChars="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技术/服务要求</w:t>
            </w:r>
          </w:p>
        </w:tc>
        <w:tc>
          <w:tcPr>
            <w:tcW w:w="2738" w:type="pct"/>
            <w:tcBorders>
              <w:top w:val="single" w:color="auto" w:sz="4" w:space="0"/>
              <w:left w:val="single" w:color="auto" w:sz="4" w:space="0"/>
              <w:bottom w:val="single" w:color="auto" w:sz="4" w:space="0"/>
              <w:right w:val="single" w:color="auto" w:sz="4" w:space="0"/>
            </w:tcBorders>
            <w:vAlign w:val="center"/>
          </w:tcPr>
          <w:p w14:paraId="0AD15D32">
            <w:pPr>
              <w:pageBreakBefore w:val="0"/>
              <w:topLinePunct w:val="0"/>
              <w:bidi w:val="0"/>
              <w:spacing w:line="500" w:lineRule="exact"/>
              <w:ind w:left="0" w:leftChars="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完全理解并接受对合格供应商、合格的货物、工程或服务要求，技术/服务没有重大偏离和保留。</w:t>
            </w:r>
          </w:p>
        </w:tc>
      </w:tr>
      <w:tr w14:paraId="25B28A0F">
        <w:tblPrEx>
          <w:tblCellMar>
            <w:top w:w="0" w:type="dxa"/>
            <w:left w:w="0" w:type="dxa"/>
            <w:bottom w:w="0" w:type="dxa"/>
            <w:right w:w="0" w:type="dxa"/>
          </w:tblCellMar>
        </w:tblPrEx>
        <w:trPr>
          <w:trHeight w:val="90" w:hRule="atLeast"/>
        </w:trPr>
        <w:tc>
          <w:tcPr>
            <w:tcW w:w="394" w:type="pct"/>
            <w:tcBorders>
              <w:top w:val="single" w:color="auto" w:sz="4" w:space="0"/>
              <w:left w:val="single" w:color="auto" w:sz="4" w:space="0"/>
              <w:bottom w:val="single" w:color="auto" w:sz="4" w:space="0"/>
              <w:right w:val="single" w:color="auto" w:sz="4" w:space="0"/>
            </w:tcBorders>
            <w:vAlign w:val="center"/>
          </w:tcPr>
          <w:p w14:paraId="6170E3BF">
            <w:pPr>
              <w:pageBreakBefore w:val="0"/>
              <w:topLinePunct w:val="0"/>
              <w:bidi w:val="0"/>
              <w:spacing w:line="500" w:lineRule="exact"/>
              <w:ind w:left="0" w:leftChars="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1867" w:type="pct"/>
            <w:tcBorders>
              <w:top w:val="single" w:color="auto" w:sz="4" w:space="0"/>
              <w:left w:val="single" w:color="auto" w:sz="4" w:space="0"/>
              <w:bottom w:val="single" w:color="auto" w:sz="4" w:space="0"/>
              <w:right w:val="single" w:color="auto" w:sz="4" w:space="0"/>
            </w:tcBorders>
            <w:vAlign w:val="center"/>
          </w:tcPr>
          <w:p w14:paraId="77E08BB6">
            <w:pPr>
              <w:pageBreakBefore w:val="0"/>
              <w:topLinePunct w:val="0"/>
              <w:bidi w:val="0"/>
              <w:spacing w:line="500" w:lineRule="exact"/>
              <w:ind w:left="0" w:leftChars="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无其他磋商文件或法规明确规定响应无效的事项</w:t>
            </w:r>
          </w:p>
        </w:tc>
        <w:tc>
          <w:tcPr>
            <w:tcW w:w="2738" w:type="pct"/>
            <w:tcBorders>
              <w:top w:val="single" w:color="auto" w:sz="4" w:space="0"/>
              <w:left w:val="single" w:color="auto" w:sz="4" w:space="0"/>
              <w:bottom w:val="single" w:color="auto" w:sz="4" w:space="0"/>
              <w:right w:val="single" w:color="auto" w:sz="4" w:space="0"/>
            </w:tcBorders>
            <w:vAlign w:val="center"/>
          </w:tcPr>
          <w:p w14:paraId="574A9485">
            <w:pPr>
              <w:pageBreakBefore w:val="0"/>
              <w:topLinePunct w:val="0"/>
              <w:bidi w:val="0"/>
              <w:spacing w:line="500" w:lineRule="exact"/>
              <w:ind w:left="0" w:leftChars="0" w:right="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没有不符合磋商文件规定的被视为无效响应的其他条款</w:t>
            </w:r>
            <w:r>
              <w:rPr>
                <w:rFonts w:hint="eastAsia" w:ascii="宋体" w:hAnsi="宋体" w:eastAsia="宋体" w:cs="宋体"/>
                <w:color w:val="auto"/>
                <w:sz w:val="24"/>
                <w:szCs w:val="24"/>
                <w:highlight w:val="none"/>
                <w:lang w:eastAsia="zh-CN"/>
              </w:rPr>
              <w:t>。</w:t>
            </w:r>
          </w:p>
        </w:tc>
      </w:tr>
      <w:tr w14:paraId="6F4DEDA3">
        <w:tblPrEx>
          <w:tblCellMar>
            <w:top w:w="0" w:type="dxa"/>
            <w:left w:w="0" w:type="dxa"/>
            <w:bottom w:w="0" w:type="dxa"/>
            <w:right w:w="0" w:type="dxa"/>
          </w:tblCellMar>
        </w:tblPrEx>
        <w:trPr>
          <w:trHeight w:val="90" w:hRule="atLeast"/>
        </w:trPr>
        <w:tc>
          <w:tcPr>
            <w:tcW w:w="394" w:type="pct"/>
            <w:tcBorders>
              <w:top w:val="single" w:color="auto" w:sz="4" w:space="0"/>
              <w:left w:val="single" w:color="auto" w:sz="4" w:space="0"/>
              <w:bottom w:val="single" w:color="auto" w:sz="4" w:space="0"/>
              <w:right w:val="single" w:color="auto" w:sz="4" w:space="0"/>
            </w:tcBorders>
            <w:vAlign w:val="center"/>
          </w:tcPr>
          <w:p w14:paraId="26399239">
            <w:pPr>
              <w:pageBreakBefore w:val="0"/>
              <w:topLinePunct w:val="0"/>
              <w:bidi w:val="0"/>
              <w:spacing w:line="500" w:lineRule="exact"/>
              <w:ind w:left="0" w:leftChars="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c>
          <w:tcPr>
            <w:tcW w:w="1867" w:type="pct"/>
            <w:tcBorders>
              <w:top w:val="single" w:color="auto" w:sz="4" w:space="0"/>
              <w:left w:val="single" w:color="auto" w:sz="4" w:space="0"/>
              <w:bottom w:val="single" w:color="auto" w:sz="4" w:space="0"/>
              <w:right w:val="single" w:color="auto" w:sz="4" w:space="0"/>
            </w:tcBorders>
            <w:vAlign w:val="center"/>
          </w:tcPr>
          <w:p w14:paraId="2C955BCA">
            <w:pPr>
              <w:pageBreakBefore w:val="0"/>
              <w:topLinePunct w:val="0"/>
              <w:bidi w:val="0"/>
              <w:spacing w:line="500" w:lineRule="exact"/>
              <w:ind w:left="0" w:leftChars="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合同条款</w:t>
            </w:r>
          </w:p>
        </w:tc>
        <w:tc>
          <w:tcPr>
            <w:tcW w:w="2738" w:type="pct"/>
            <w:tcBorders>
              <w:top w:val="single" w:color="auto" w:sz="4" w:space="0"/>
              <w:left w:val="single" w:color="auto" w:sz="4" w:space="0"/>
              <w:bottom w:val="single" w:color="auto" w:sz="4" w:space="0"/>
              <w:right w:val="single" w:color="auto" w:sz="4" w:space="0"/>
            </w:tcBorders>
            <w:vAlign w:val="center"/>
          </w:tcPr>
          <w:p w14:paraId="1BF9031B">
            <w:pPr>
              <w:pageBreakBefore w:val="0"/>
              <w:topLinePunct w:val="0"/>
              <w:bidi w:val="0"/>
              <w:spacing w:line="500" w:lineRule="exact"/>
              <w:ind w:left="0" w:leftChars="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有完全理解并接受磋商文件合同基本条款要求的描述。</w:t>
            </w:r>
          </w:p>
        </w:tc>
      </w:tr>
    </w:tbl>
    <w:p w14:paraId="4A08BEBA">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对响应文件含义不明确、同类问题表述不一致或者有明显文字和计算错误的内容，磋商小组可以要求供应商在规定的时间内做出必要的澄清、说明或者纠正。供应商的澄清、说明或者补正应当采用书面形式，有其授权的代表签字，并不得超出磋商响应文件的范围或者改变响应文件的实质性内容。</w:t>
      </w:r>
    </w:p>
    <w:p w14:paraId="3BFC74EA">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.1澄清文件将作为响应文件的一部分。</w:t>
      </w:r>
    </w:p>
    <w:p w14:paraId="19E980ED">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.2算术错误将按以下方法更正：</w:t>
      </w:r>
    </w:p>
    <w:p w14:paraId="702AC29F">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.2.1响应文件的大写金额和小写金额不一致的，以大写金额为准；</w:t>
      </w:r>
    </w:p>
    <w:p w14:paraId="0E0F4392">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.2.2总价金额与按单价汇总金额不一致的，以单价金额计算结果为准；</w:t>
      </w:r>
    </w:p>
    <w:p w14:paraId="313B0CFF">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.2.3单价金额小数点有明显错位的，应当以总价为准，并修改单价；</w:t>
      </w:r>
    </w:p>
    <w:p w14:paraId="7E8E8C7B">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.2.4对不同文字文本磋商响应文件的解释发生异议的，以中文文本为准；</w:t>
      </w:r>
    </w:p>
    <w:p w14:paraId="333443A3">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.2.5对于供应商不接受对其错误的更改，其磋商属于无效磋商情形。</w:t>
      </w:r>
    </w:p>
    <w:p w14:paraId="16DB9E81">
      <w:pPr>
        <w:pStyle w:val="3"/>
        <w:pageBreakBefore w:val="0"/>
        <w:kinsoku/>
        <w:wordWrap/>
        <w:overflowPunct/>
        <w:topLinePunct w:val="0"/>
        <w:autoSpaceDE/>
        <w:autoSpaceDN/>
        <w:bidi w:val="0"/>
        <w:adjustRightInd/>
        <w:snapToGrid/>
        <w:spacing w:before="0" w:after="0" w:line="500" w:lineRule="exact"/>
        <w:ind w:left="0" w:leftChars="0" w:right="0"/>
        <w:rPr>
          <w:rFonts w:hint="eastAsia" w:ascii="宋体" w:hAnsi="宋体" w:eastAsia="宋体" w:cs="宋体"/>
          <w:color w:val="auto"/>
          <w:sz w:val="24"/>
          <w:szCs w:val="24"/>
          <w:highlight w:val="none"/>
          <w:lang w:val="en-US" w:eastAsia="zh-CN"/>
        </w:rPr>
      </w:pPr>
      <w:bookmarkStart w:id="238" w:name="_Toc9480"/>
      <w:r>
        <w:rPr>
          <w:rFonts w:hint="eastAsia" w:ascii="宋体" w:hAnsi="宋体" w:eastAsia="宋体" w:cs="宋体"/>
          <w:color w:val="auto"/>
          <w:sz w:val="24"/>
          <w:szCs w:val="24"/>
          <w:highlight w:val="none"/>
          <w:lang w:val="en-US" w:eastAsia="zh-CN"/>
        </w:rPr>
        <w:t>三、享受的政府采购政策</w:t>
      </w:r>
      <w:bookmarkEnd w:id="238"/>
    </w:p>
    <w:p w14:paraId="75930056">
      <w:pPr>
        <w:keepNext w:val="0"/>
        <w:keepLines w:val="0"/>
        <w:pageBreakBefore w:val="0"/>
        <w:widowControl/>
        <w:shd w:val="clear"/>
        <w:kinsoku/>
        <w:wordWrap/>
        <w:overflowPunct/>
        <w:topLinePunct w:val="0"/>
        <w:autoSpaceDE/>
        <w:autoSpaceDN/>
        <w:bidi w:val="0"/>
        <w:adjustRightInd/>
        <w:snapToGrid/>
        <w:spacing w:beforeAutospacing="0" w:line="500" w:lineRule="exact"/>
        <w:ind w:left="0" w:leftChars="0" w:right="0"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符合小型、微型企业或监狱企业、残疾人福利性单位条件的，其</w:t>
      </w:r>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报价价格评审时将按相应比例进行扣减。</w:t>
      </w:r>
    </w:p>
    <w:p w14:paraId="62B46D67">
      <w:pPr>
        <w:pageBreakBefore w:val="0"/>
        <w:widowControl w:val="0"/>
        <w:shd w:val="clear"/>
        <w:kinsoku/>
        <w:wordWrap/>
        <w:overflowPunct/>
        <w:topLinePunct w:val="0"/>
        <w:autoSpaceDE/>
        <w:autoSpaceDN/>
        <w:bidi w:val="0"/>
        <w:adjustRightInd/>
        <w:snapToGrid/>
        <w:spacing w:line="500" w:lineRule="exact"/>
        <w:ind w:left="0" w:leftChars="0" w:right="0" w:firstLine="480" w:firstLineChars="200"/>
        <w:jc w:val="both"/>
        <w:textAlignment w:val="auto"/>
        <w:rPr>
          <w:rFonts w:hint="eastAsia" w:ascii="宋体" w:hAnsi="宋体" w:eastAsia="宋体" w:cs="宋体"/>
          <w:snapToGrid/>
          <w:color w:val="auto"/>
          <w:kern w:val="0"/>
          <w:sz w:val="24"/>
          <w:szCs w:val="24"/>
          <w:highlight w:val="none"/>
          <w:shd w:val="clear"/>
          <w:lang w:val="en-US" w:eastAsia="zh-CN" w:bidi="ar-SA"/>
        </w:rPr>
      </w:pPr>
      <w:r>
        <w:rPr>
          <w:rFonts w:hint="eastAsia" w:ascii="宋体" w:hAnsi="宋体" w:eastAsia="宋体" w:cs="宋体"/>
          <w:color w:val="auto"/>
          <w:kern w:val="2"/>
          <w:sz w:val="24"/>
          <w:szCs w:val="24"/>
          <w:highlight w:val="none"/>
          <w:lang w:val="en-US" w:eastAsia="zh-CN" w:bidi="ar-SA"/>
        </w:rPr>
        <w:t>1.2</w:t>
      </w:r>
      <w:r>
        <w:rPr>
          <w:rFonts w:hint="eastAsia" w:ascii="宋体" w:hAnsi="宋体" w:eastAsia="宋体" w:cs="宋体"/>
          <w:snapToGrid/>
          <w:color w:val="auto"/>
          <w:kern w:val="0"/>
          <w:sz w:val="24"/>
          <w:szCs w:val="24"/>
          <w:highlight w:val="none"/>
          <w:shd w:val="clear"/>
          <w:lang w:val="en-US" w:eastAsia="zh-CN" w:bidi="ar-SA"/>
        </w:rPr>
        <w:t>根据《政府采购促进中小企业发展管理办法》（财库【2020】46号）及榆林市财政局关于进一步加大政府采购支持中小企业力度的通知》（榆政财采发〔2022〕10号）的规定中、小、微企业参加投标时对小型和微型企业产品的价格给予20%的扣除，用扣除后的价格参与评审。</w:t>
      </w:r>
    </w:p>
    <w:p w14:paraId="1FE99AC9">
      <w:pPr>
        <w:pageBreakBefore w:val="0"/>
        <w:widowControl w:val="0"/>
        <w:shd w:val="clear"/>
        <w:kinsoku/>
        <w:wordWrap/>
        <w:overflowPunct/>
        <w:topLinePunct w:val="0"/>
        <w:autoSpaceDE/>
        <w:autoSpaceDN/>
        <w:bidi w:val="0"/>
        <w:adjustRightInd/>
        <w:snapToGrid/>
        <w:spacing w:line="500" w:lineRule="exact"/>
        <w:ind w:left="0" w:leftChars="0" w:right="0" w:firstLine="482" w:firstLineChars="200"/>
        <w:jc w:val="both"/>
        <w:textAlignment w:val="auto"/>
        <w:rPr>
          <w:rFonts w:hint="eastAsia" w:ascii="宋体" w:hAnsi="宋体" w:eastAsia="宋体" w:cs="宋体"/>
          <w:b/>
          <w:bCs/>
          <w:snapToGrid/>
          <w:color w:val="auto"/>
          <w:kern w:val="0"/>
          <w:sz w:val="24"/>
          <w:szCs w:val="24"/>
          <w:highlight w:val="none"/>
          <w:lang w:val="en-US" w:eastAsia="zh-CN" w:bidi="ar-SA"/>
        </w:rPr>
      </w:pPr>
      <w:r>
        <w:rPr>
          <w:rFonts w:hint="eastAsia" w:ascii="宋体" w:hAnsi="宋体" w:eastAsia="宋体" w:cs="宋体"/>
          <w:b/>
          <w:bCs/>
          <w:snapToGrid/>
          <w:color w:val="auto"/>
          <w:kern w:val="0"/>
          <w:sz w:val="24"/>
          <w:szCs w:val="24"/>
          <w:highlight w:val="none"/>
          <w:shd w:val="clear"/>
          <w:lang w:val="en-US" w:eastAsia="zh-CN" w:bidi="ar-SA"/>
        </w:rPr>
        <w:t>本项目为专门面向</w:t>
      </w:r>
      <w:r>
        <w:rPr>
          <w:rFonts w:hint="eastAsia" w:ascii="宋体" w:hAnsi="宋体" w:cs="宋体"/>
          <w:b/>
          <w:bCs/>
          <w:snapToGrid/>
          <w:color w:val="auto"/>
          <w:kern w:val="0"/>
          <w:sz w:val="24"/>
          <w:szCs w:val="24"/>
          <w:highlight w:val="none"/>
          <w:shd w:val="clear"/>
          <w:lang w:val="en-US" w:eastAsia="zh-CN" w:bidi="ar-SA"/>
        </w:rPr>
        <w:t>中小</w:t>
      </w:r>
      <w:r>
        <w:rPr>
          <w:rFonts w:hint="eastAsia" w:ascii="宋体" w:hAnsi="宋体" w:eastAsia="宋体" w:cs="宋体"/>
          <w:b/>
          <w:bCs/>
          <w:snapToGrid/>
          <w:color w:val="auto"/>
          <w:kern w:val="0"/>
          <w:sz w:val="24"/>
          <w:szCs w:val="24"/>
          <w:highlight w:val="none"/>
          <w:shd w:val="clear"/>
          <w:lang w:val="en-US" w:eastAsia="zh-CN" w:bidi="ar-SA"/>
        </w:rPr>
        <w:t>企业采购项目，故不再进行价格扣除。</w:t>
      </w:r>
    </w:p>
    <w:p w14:paraId="44A84704">
      <w:pPr>
        <w:keepNext w:val="0"/>
        <w:keepLines w:val="0"/>
        <w:pageBreakBefore w:val="0"/>
        <w:widowControl/>
        <w:shd w:val="clear"/>
        <w:kinsoku/>
        <w:wordWrap/>
        <w:overflowPunct/>
        <w:topLinePunct w:val="0"/>
        <w:autoSpaceDE/>
        <w:autoSpaceDN/>
        <w:bidi w:val="0"/>
        <w:adjustRightInd/>
        <w:snapToGrid/>
        <w:spacing w:line="500" w:lineRule="exact"/>
        <w:ind w:left="0" w:leftChars="0" w:right="0"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1.2.1</w:t>
      </w:r>
      <w:r>
        <w:rPr>
          <w:rFonts w:hint="eastAsia" w:ascii="宋体" w:hAnsi="宋体" w:eastAsia="宋体" w:cs="宋体"/>
          <w:color w:val="auto"/>
          <w:sz w:val="24"/>
          <w:szCs w:val="24"/>
          <w:highlight w:val="none"/>
        </w:rPr>
        <w:t>符合中小企业划分标准（中小企业划分标准是指国务院有关部门根据企业从业人员、营业收入、资产总额等指标制定的中小企业划型标准（工信部联企业〔2011〕300号））。</w:t>
      </w:r>
    </w:p>
    <w:p w14:paraId="5389E33C">
      <w:pPr>
        <w:keepNext w:val="0"/>
        <w:keepLines w:val="0"/>
        <w:pageBreakBefore w:val="0"/>
        <w:widowControl/>
        <w:shd w:val="clear"/>
        <w:kinsoku/>
        <w:wordWrap/>
        <w:overflowPunct/>
        <w:topLinePunct w:val="0"/>
        <w:autoSpaceDE/>
        <w:autoSpaceDN/>
        <w:bidi w:val="0"/>
        <w:adjustRightInd/>
        <w:snapToGrid/>
        <w:spacing w:line="500" w:lineRule="exact"/>
        <w:ind w:left="0" w:leftChars="0" w:right="0"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1.2.2</w:t>
      </w:r>
      <w:r>
        <w:rPr>
          <w:rFonts w:hint="eastAsia" w:ascii="宋体" w:hAnsi="宋体" w:eastAsia="宋体" w:cs="宋体"/>
          <w:color w:val="auto"/>
          <w:sz w:val="24"/>
          <w:szCs w:val="24"/>
          <w:highlight w:val="none"/>
        </w:rPr>
        <w:t>提供本企业制造的货物、承担的工程或者服务，或者提供其他中小企业制造的货物，不包括提供或使用大型企业注册商标的货物。</w:t>
      </w:r>
    </w:p>
    <w:p w14:paraId="28A0AD97">
      <w:pPr>
        <w:keepNext w:val="0"/>
        <w:keepLines w:val="0"/>
        <w:pageBreakBefore w:val="0"/>
        <w:widowControl/>
        <w:shd w:val="clear"/>
        <w:kinsoku/>
        <w:wordWrap/>
        <w:overflowPunct/>
        <w:topLinePunct w:val="0"/>
        <w:autoSpaceDE/>
        <w:autoSpaceDN/>
        <w:bidi w:val="0"/>
        <w:adjustRightInd/>
        <w:snapToGrid/>
        <w:spacing w:line="500" w:lineRule="exact"/>
        <w:ind w:left="0" w:leftChars="0" w:right="0"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1.2.3</w:t>
      </w:r>
      <w:r>
        <w:rPr>
          <w:rFonts w:hint="eastAsia" w:ascii="宋体" w:hAnsi="宋体" w:eastAsia="宋体" w:cs="宋体"/>
          <w:color w:val="auto"/>
          <w:sz w:val="24"/>
          <w:szCs w:val="24"/>
          <w:highlight w:val="none"/>
        </w:rPr>
        <w:t>小型、微型企业提供中型企业制造的货物的，视同为中型企业；小型、微型、中型企业提供大型企业制造的货物的，视同为大型企业。</w:t>
      </w:r>
    </w:p>
    <w:p w14:paraId="48FA87C6">
      <w:pPr>
        <w:keepNext w:val="0"/>
        <w:keepLines w:val="0"/>
        <w:pageBreakBefore w:val="0"/>
        <w:widowControl/>
        <w:shd w:val="clear"/>
        <w:kinsoku/>
        <w:wordWrap/>
        <w:overflowPunct/>
        <w:topLinePunct w:val="0"/>
        <w:autoSpaceDE/>
        <w:autoSpaceDN/>
        <w:bidi w:val="0"/>
        <w:adjustRightInd/>
        <w:snapToGrid/>
        <w:spacing w:line="500" w:lineRule="exact"/>
        <w:ind w:left="0" w:leftChars="0" w:right="0"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1.3</w:t>
      </w:r>
      <w:r>
        <w:rPr>
          <w:rFonts w:hint="eastAsia" w:ascii="宋体" w:hAnsi="宋体" w:eastAsia="宋体" w:cs="宋体"/>
          <w:color w:val="auto"/>
          <w:sz w:val="24"/>
          <w:szCs w:val="24"/>
          <w:highlight w:val="none"/>
        </w:rPr>
        <w:t>采购人拟采购产品属于优先采购节能环境标志产品范围的，应当优先采购节能环境标志产品，节能产品以财政部国家发展改革委关于调整公布最新一期节能产品政府采购清单所列产品为准。环保产品以财政部环境保护部关于调整公布最新一期环境标志产品政府采购清单所列产品为准。</w:t>
      </w:r>
    </w:p>
    <w:p w14:paraId="2044E921">
      <w:pPr>
        <w:keepNext w:val="0"/>
        <w:keepLines w:val="0"/>
        <w:pageBreakBefore w:val="0"/>
        <w:widowControl/>
        <w:shd w:val="clear"/>
        <w:kinsoku/>
        <w:wordWrap/>
        <w:overflowPunct/>
        <w:topLinePunct w:val="0"/>
        <w:autoSpaceDE/>
        <w:autoSpaceDN/>
        <w:bidi w:val="0"/>
        <w:adjustRightInd/>
        <w:snapToGrid/>
        <w:spacing w:line="500" w:lineRule="exact"/>
        <w:ind w:left="0" w:leftChars="0" w:right="0"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1.3.1</w:t>
      </w:r>
      <w:r>
        <w:rPr>
          <w:rFonts w:hint="eastAsia" w:ascii="宋体" w:hAnsi="宋体" w:eastAsia="宋体" w:cs="宋体"/>
          <w:color w:val="auto"/>
          <w:sz w:val="24"/>
          <w:szCs w:val="24"/>
          <w:highlight w:val="none"/>
        </w:rPr>
        <w:t>“节能产品政府采购清单”：符合政府采购优先采购政策的，所投产品属于“节能产品政府采购清单”中品目的产品，需提供最新一期“节能产品政府采购清单”中</w:t>
      </w:r>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产品所在清单页并加盖</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公章。该清单可在中国政府采购网（</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HYPERLINK "http://www.ccgp.gov.cn/"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http://www.ccgp.gov.cn/</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）上查找。</w:t>
      </w:r>
    </w:p>
    <w:p w14:paraId="4BB627E2">
      <w:pPr>
        <w:keepNext w:val="0"/>
        <w:keepLines w:val="0"/>
        <w:pageBreakBefore w:val="0"/>
        <w:widowControl/>
        <w:shd w:val="clear"/>
        <w:kinsoku/>
        <w:wordWrap/>
        <w:overflowPunct/>
        <w:topLinePunct w:val="0"/>
        <w:autoSpaceDE/>
        <w:autoSpaceDN/>
        <w:bidi w:val="0"/>
        <w:adjustRightInd/>
        <w:snapToGrid/>
        <w:spacing w:line="500" w:lineRule="exact"/>
        <w:ind w:left="0" w:leftChars="0" w:right="0"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1.4</w:t>
      </w:r>
      <w:r>
        <w:rPr>
          <w:rFonts w:hint="eastAsia" w:ascii="宋体" w:hAnsi="宋体" w:eastAsia="宋体" w:cs="宋体"/>
          <w:color w:val="auto"/>
          <w:sz w:val="24"/>
          <w:szCs w:val="24"/>
          <w:highlight w:val="none"/>
        </w:rPr>
        <w:t>“环境标志产品政府采购清单”：所投产品属于“环境标志产品政府采购清单”中品目的产品，需提供最新一期“环境标志产品政府采购清单”中</w:t>
      </w:r>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产品所在清单页并加盖</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公章。该清单可在中国政府采购网（</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HYPERLINK "http://www.ccgp.gov.cn/"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http://www.ccgp.gov.cn/</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）上查找。</w:t>
      </w:r>
    </w:p>
    <w:p w14:paraId="0C5FA514">
      <w:pPr>
        <w:keepNext w:val="0"/>
        <w:keepLines w:val="0"/>
        <w:pageBreakBefore w:val="0"/>
        <w:widowControl/>
        <w:shd w:val="clear"/>
        <w:kinsoku/>
        <w:wordWrap/>
        <w:overflowPunct/>
        <w:topLinePunct w:val="0"/>
        <w:autoSpaceDE/>
        <w:autoSpaceDN/>
        <w:bidi w:val="0"/>
        <w:adjustRightInd/>
        <w:snapToGrid/>
        <w:spacing w:line="500" w:lineRule="exact"/>
        <w:ind w:left="0" w:leftChars="0" w:right="0"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监狱企业参加政府采购活动时，应当提供由省级以上监狱管理局、戒毒管理局(含新疆生产建设兵团)出具的属于监狱企业的证明文件。监狱企业参加政府采购活动时，视同小型、微型企业。</w:t>
      </w:r>
    </w:p>
    <w:p w14:paraId="3327CD6F">
      <w:pPr>
        <w:keepNext w:val="0"/>
        <w:keepLines w:val="0"/>
        <w:pageBreakBefore w:val="0"/>
        <w:widowControl/>
        <w:shd w:val="clear"/>
        <w:kinsoku/>
        <w:wordWrap/>
        <w:overflowPunct/>
        <w:topLinePunct w:val="0"/>
        <w:autoSpaceDE/>
        <w:autoSpaceDN/>
        <w:bidi w:val="0"/>
        <w:adjustRightInd/>
        <w:snapToGrid/>
        <w:spacing w:line="500" w:lineRule="exact"/>
        <w:ind w:left="0" w:leftChars="0" w:right="0"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1.6</w:t>
      </w:r>
      <w:r>
        <w:rPr>
          <w:rFonts w:hint="eastAsia" w:ascii="宋体" w:hAnsi="宋体" w:eastAsia="宋体" w:cs="宋体"/>
          <w:color w:val="auto"/>
          <w:sz w:val="24"/>
          <w:szCs w:val="24"/>
          <w:highlight w:val="none"/>
        </w:rPr>
        <w:t>符合条件的残疾人福利性单位在参加政府采购活动时，应当提供本通知规定的《残疾人福利性单位声明函》，并对声明的真实性负责。残疾人福利性单位参加政府采购活动时，视同小型、微型企业；残疾人福利性单位属于小型、微型企业的，不重复享受政策。</w:t>
      </w:r>
    </w:p>
    <w:p w14:paraId="1BEB0B29">
      <w:pPr>
        <w:keepNext w:val="0"/>
        <w:keepLines w:val="0"/>
        <w:pageBreakBefore w:val="0"/>
        <w:widowControl/>
        <w:shd w:val="clear"/>
        <w:kinsoku/>
        <w:wordWrap/>
        <w:overflowPunct/>
        <w:topLinePunct w:val="0"/>
        <w:autoSpaceDE/>
        <w:autoSpaceDN/>
        <w:bidi w:val="0"/>
        <w:adjustRightInd/>
        <w:snapToGrid/>
        <w:spacing w:line="500" w:lineRule="exact"/>
        <w:ind w:left="0" w:leftChars="0" w:right="0" w:firstLine="482"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color w:val="auto"/>
          <w:sz w:val="24"/>
          <w:szCs w:val="24"/>
          <w:highlight w:val="none"/>
        </w:rPr>
        <w:t>参加政府采购活动的中小企业/残疾人单位应提供《中小企业声明函》或《残疾人福利性单位声明函》。</w:t>
      </w:r>
    </w:p>
    <w:p w14:paraId="22C5AC4C">
      <w:pPr>
        <w:pStyle w:val="3"/>
        <w:pageBreakBefore w:val="0"/>
        <w:kinsoku/>
        <w:wordWrap/>
        <w:overflowPunct/>
        <w:topLinePunct w:val="0"/>
        <w:autoSpaceDE/>
        <w:autoSpaceDN/>
        <w:bidi w:val="0"/>
        <w:adjustRightInd/>
        <w:snapToGrid/>
        <w:spacing w:before="0" w:after="0" w:line="500" w:lineRule="exact"/>
        <w:ind w:left="0" w:leftChars="0" w:right="0"/>
        <w:rPr>
          <w:rFonts w:hint="eastAsia" w:ascii="宋体" w:hAnsi="宋体" w:eastAsia="宋体" w:cs="宋体"/>
          <w:color w:val="auto"/>
          <w:sz w:val="24"/>
          <w:szCs w:val="24"/>
          <w:highlight w:val="none"/>
        </w:rPr>
      </w:pPr>
      <w:bookmarkStart w:id="239" w:name="_Toc26911"/>
      <w:r>
        <w:rPr>
          <w:rFonts w:hint="eastAsia" w:ascii="宋体" w:hAnsi="宋体" w:eastAsia="宋体" w:cs="宋体"/>
          <w:color w:val="auto"/>
          <w:sz w:val="24"/>
          <w:szCs w:val="24"/>
          <w:highlight w:val="none"/>
          <w:lang w:eastAsia="zh-CN"/>
        </w:rPr>
        <w:t>四</w:t>
      </w:r>
      <w:r>
        <w:rPr>
          <w:rFonts w:hint="eastAsia" w:ascii="宋体" w:hAnsi="宋体" w:eastAsia="宋体" w:cs="宋体"/>
          <w:color w:val="auto"/>
          <w:sz w:val="24"/>
          <w:szCs w:val="24"/>
          <w:highlight w:val="none"/>
        </w:rPr>
        <w:t>、磋商</w:t>
      </w:r>
      <w:bookmarkEnd w:id="239"/>
    </w:p>
    <w:p w14:paraId="5F50A7AC">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磋商小组根据各磋商供应商响应文件响应情况决定是否与各供应商进行磋商，磋商方式为磋商小组所有成员集中与单一供应商分别进行磋商，并给与参加磋商的供应商平等的磋商机会。</w:t>
      </w:r>
    </w:p>
    <w:p w14:paraId="01B06799">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经磋商小组评审，质量和服务均能满足磋商文件实质性响应要求的供应商才具有最后报价的机会。供应商应按磋商小组规定的时间进行最后报价，并由法定代表人或其授权人签字，最后报价现场不公布。该磋商报价为不可更改价格，作为磋商小组推荐成交候选人的依据。</w:t>
      </w:r>
    </w:p>
    <w:p w14:paraId="7FCE9EF8">
      <w:pPr>
        <w:pageBreakBefore w:val="0"/>
        <w:kinsoku/>
        <w:wordWrap/>
        <w:overflowPunct/>
        <w:topLinePunct w:val="0"/>
        <w:autoSpaceDE/>
        <w:autoSpaceDN/>
        <w:bidi w:val="0"/>
        <w:adjustRightInd/>
        <w:snapToGrid/>
        <w:spacing w:afterAutospacing="0"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磋商小组认为供应商的最后报价明显不合理或者低于成本，有可能影响质量和不能诚信履约的，要求其在磋商小组规定的期限内提供书面文件予以解释说明，并提交相关证明材料；如果其不能在磋商小组规定时间内够提供相关材料证明其报价的合理性，其最后报价为无效报价。</w:t>
      </w:r>
    </w:p>
    <w:p w14:paraId="50CBFBE8">
      <w:pPr>
        <w:pStyle w:val="3"/>
        <w:pageBreakBefore w:val="0"/>
        <w:kinsoku/>
        <w:wordWrap/>
        <w:overflowPunct/>
        <w:topLinePunct w:val="0"/>
        <w:autoSpaceDE/>
        <w:autoSpaceDN/>
        <w:bidi w:val="0"/>
        <w:adjustRightInd/>
        <w:snapToGrid/>
        <w:spacing w:before="0" w:beforeAutospacing="0" w:after="0" w:afterAutospacing="0" w:line="500" w:lineRule="exact"/>
        <w:ind w:left="0" w:leftChars="0" w:right="0"/>
        <w:rPr>
          <w:rFonts w:hint="eastAsia" w:ascii="宋体" w:hAnsi="宋体" w:eastAsia="宋体" w:cs="宋体"/>
          <w:b/>
          <w:bCs w:val="0"/>
          <w:color w:val="auto"/>
          <w:sz w:val="24"/>
          <w:szCs w:val="24"/>
          <w:highlight w:val="none"/>
        </w:rPr>
      </w:pPr>
      <w:bookmarkStart w:id="240" w:name="_Toc4978"/>
      <w:r>
        <w:rPr>
          <w:rFonts w:hint="eastAsia" w:ascii="宋体" w:hAnsi="宋体" w:eastAsia="宋体" w:cs="宋体"/>
          <w:b/>
          <w:bCs w:val="0"/>
          <w:color w:val="auto"/>
          <w:spacing w:val="4"/>
          <w:sz w:val="24"/>
          <w:szCs w:val="24"/>
          <w:highlight w:val="none"/>
          <w:lang w:val="en-US" w:eastAsia="zh-CN"/>
        </w:rPr>
        <w:t>五</w:t>
      </w:r>
      <w:r>
        <w:rPr>
          <w:rFonts w:hint="eastAsia" w:ascii="宋体" w:hAnsi="宋体" w:eastAsia="宋体" w:cs="宋体"/>
          <w:b/>
          <w:bCs w:val="0"/>
          <w:color w:val="auto"/>
          <w:spacing w:val="4"/>
          <w:sz w:val="24"/>
          <w:szCs w:val="24"/>
          <w:highlight w:val="none"/>
        </w:rPr>
        <w:t>、</w:t>
      </w:r>
      <w:r>
        <w:rPr>
          <w:rFonts w:hint="eastAsia" w:ascii="宋体" w:hAnsi="宋体" w:eastAsia="宋体" w:cs="宋体"/>
          <w:b/>
          <w:bCs w:val="0"/>
          <w:color w:val="auto"/>
          <w:sz w:val="24"/>
          <w:szCs w:val="24"/>
          <w:highlight w:val="none"/>
        </w:rPr>
        <w:t>评审方法</w:t>
      </w:r>
      <w:bookmarkEnd w:id="240"/>
    </w:p>
    <w:p w14:paraId="5A485254">
      <w:pPr>
        <w:pageBreakBefore w:val="0"/>
        <w:kinsoku/>
        <w:wordWrap/>
        <w:overflowPunct/>
        <w:topLinePunct w:val="0"/>
        <w:autoSpaceDE/>
        <w:autoSpaceDN/>
        <w:bidi w:val="0"/>
        <w:adjustRightInd/>
        <w:snapToGrid/>
        <w:spacing w:beforeAutospacing="0" w:line="50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磋商小组从质量和服务均能满足磋商文件实质性响应要求的供应商中，按照最后得分由高到低的顺序提出成交候选人。</w:t>
      </w:r>
    </w:p>
    <w:p w14:paraId="3FF51F8E">
      <w:pPr>
        <w:pageBreakBefore w:val="0"/>
        <w:kinsoku/>
        <w:wordWrap/>
        <w:overflowPunct/>
        <w:topLinePunct w:val="0"/>
        <w:autoSpaceDE/>
        <w:autoSpaceDN/>
        <w:bidi w:val="0"/>
        <w:adjustRightInd/>
        <w:snapToGrid/>
        <w:spacing w:line="500" w:lineRule="exact"/>
        <w:ind w:left="0" w:leftChars="0" w:right="0"/>
        <w:jc w:val="center"/>
        <w:textAlignment w:val="auto"/>
        <w:rPr>
          <w:rFonts w:hint="eastAsia" w:ascii="宋体" w:hAnsi="宋体" w:eastAsia="宋体" w:cs="宋体"/>
          <w:b/>
          <w:snapToGrid w:val="0"/>
          <w:color w:val="auto"/>
          <w:sz w:val="24"/>
          <w:szCs w:val="24"/>
          <w:highlight w:val="none"/>
        </w:rPr>
      </w:pPr>
      <w:r>
        <w:rPr>
          <w:rFonts w:hint="eastAsia" w:ascii="宋体" w:hAnsi="宋体" w:eastAsia="宋体" w:cs="宋体"/>
          <w:b/>
          <w:snapToGrid w:val="0"/>
          <w:color w:val="auto"/>
          <w:sz w:val="24"/>
          <w:szCs w:val="24"/>
          <w:highlight w:val="none"/>
        </w:rPr>
        <w:t>评分内容和评分方式</w:t>
      </w:r>
    </w:p>
    <w:p w14:paraId="7072CC71">
      <w:pPr>
        <w:pageBreakBefore w:val="0"/>
        <w:kinsoku/>
        <w:wordWrap/>
        <w:overflowPunct/>
        <w:topLinePunct w:val="0"/>
        <w:autoSpaceDE/>
        <w:autoSpaceDN/>
        <w:bidi w:val="0"/>
        <w:adjustRightInd/>
        <w:snapToGrid/>
        <w:spacing w:line="50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总分100分，每个供应商每项评分因素得分汇总即为最后得分，各项评分因素具体内容及打分标准如下：</w:t>
      </w:r>
    </w:p>
    <w:p w14:paraId="242F33A5">
      <w:pPr>
        <w:pageBreakBefore w:val="0"/>
        <w:kinsoku/>
        <w:wordWrap/>
        <w:overflowPunct/>
        <w:topLinePunct w:val="0"/>
        <w:autoSpaceDE/>
        <w:autoSpaceDN/>
        <w:bidi w:val="0"/>
        <w:adjustRightInd/>
        <w:snapToGrid/>
        <w:spacing w:line="500" w:lineRule="exact"/>
        <w:ind w:left="0" w:leftChars="0" w:right="0" w:firstLine="496" w:firstLineChars="200"/>
        <w:textAlignment w:val="auto"/>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评价和比较以投标响应文件为依据，从“</w:t>
      </w:r>
      <w:r>
        <w:rPr>
          <w:rFonts w:hint="eastAsia" w:ascii="宋体" w:hAnsi="宋体" w:eastAsia="宋体" w:cs="宋体"/>
          <w:color w:val="auto"/>
          <w:spacing w:val="4"/>
          <w:sz w:val="24"/>
          <w:szCs w:val="24"/>
          <w:highlight w:val="none"/>
          <w:lang w:val="en-US" w:eastAsia="zh-CN"/>
        </w:rPr>
        <w:t>投标</w:t>
      </w:r>
      <w:r>
        <w:rPr>
          <w:rFonts w:hint="eastAsia" w:ascii="宋体" w:hAnsi="宋体" w:eastAsia="宋体" w:cs="宋体"/>
          <w:color w:val="auto"/>
          <w:spacing w:val="4"/>
          <w:sz w:val="24"/>
          <w:szCs w:val="24"/>
          <w:highlight w:val="none"/>
        </w:rPr>
        <w:t>报价”、“</w:t>
      </w:r>
      <w:r>
        <w:rPr>
          <w:rFonts w:hint="eastAsia" w:ascii="宋体" w:hAnsi="宋体" w:eastAsia="宋体" w:cs="宋体"/>
          <w:color w:val="auto"/>
          <w:spacing w:val="4"/>
          <w:sz w:val="24"/>
          <w:szCs w:val="24"/>
          <w:highlight w:val="none"/>
          <w:lang w:val="en-US" w:eastAsia="zh-CN"/>
        </w:rPr>
        <w:t>商务部分</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4"/>
          <w:sz w:val="24"/>
          <w:szCs w:val="24"/>
          <w:highlight w:val="none"/>
          <w:lang w:eastAsia="zh-CN"/>
        </w:rPr>
        <w:t>、</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4"/>
          <w:sz w:val="24"/>
          <w:szCs w:val="24"/>
          <w:highlight w:val="none"/>
          <w:lang w:val="en-US" w:eastAsia="zh-CN"/>
        </w:rPr>
        <w:t>技术部分</w:t>
      </w:r>
      <w:r>
        <w:rPr>
          <w:rFonts w:hint="eastAsia" w:ascii="宋体" w:hAnsi="宋体" w:eastAsia="宋体" w:cs="宋体"/>
          <w:color w:val="auto"/>
          <w:spacing w:val="4"/>
          <w:sz w:val="24"/>
          <w:szCs w:val="24"/>
          <w:highlight w:val="none"/>
        </w:rPr>
        <w:t>”等方面进行评审并按照百分制进行赋分。</w:t>
      </w:r>
    </w:p>
    <w:p w14:paraId="089D8902">
      <w:pPr>
        <w:pageBreakBefore w:val="0"/>
        <w:topLinePunct w:val="0"/>
        <w:bidi w:val="0"/>
        <w:spacing w:line="500" w:lineRule="exact"/>
        <w:ind w:left="0" w:leftChars="0" w:right="0"/>
        <w:rPr>
          <w:rFonts w:hint="eastAsia" w:ascii="宋体" w:hAnsi="宋体" w:eastAsia="宋体" w:cs="宋体"/>
          <w:color w:val="auto"/>
          <w:spacing w:val="4"/>
          <w:szCs w:val="24"/>
          <w:highlight w:val="none"/>
        </w:rPr>
      </w:pPr>
      <w:r>
        <w:rPr>
          <w:rFonts w:hint="eastAsia" w:ascii="宋体" w:hAnsi="宋体" w:eastAsia="宋体" w:cs="宋体"/>
          <w:color w:val="auto"/>
          <w:spacing w:val="4"/>
          <w:szCs w:val="24"/>
          <w:highlight w:val="none"/>
        </w:rPr>
        <w:br w:type="page"/>
      </w:r>
    </w:p>
    <w:p w14:paraId="52649D67">
      <w:pPr>
        <w:keepNext w:val="0"/>
        <w:keepLines w:val="0"/>
        <w:pageBreakBefore w:val="0"/>
        <w:overflowPunct/>
        <w:topLinePunct w:val="0"/>
        <w:bidi w:val="0"/>
        <w:adjustRightInd/>
        <w:spacing w:line="500" w:lineRule="exact"/>
        <w:ind w:left="0" w:leftChars="0" w:right="0" w:firstLine="562" w:firstLineChars="200"/>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《评审要素和分值分解表》</w:t>
      </w:r>
    </w:p>
    <w:tbl>
      <w:tblPr>
        <w:tblStyle w:val="26"/>
        <w:tblpPr w:leftFromText="180" w:rightFromText="180" w:vertAnchor="text" w:tblpX="-13" w:tblpY="1"/>
        <w:tblOverlap w:val="never"/>
        <w:tblW w:w="494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7"/>
        <w:gridCol w:w="7243"/>
        <w:gridCol w:w="929"/>
      </w:tblGrid>
      <w:tr w14:paraId="15151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2D4AEA42">
            <w:pPr>
              <w:spacing w:line="360" w:lineRule="auto"/>
              <w:jc w:val="center"/>
              <w:rPr>
                <w:rFonts w:hint="eastAsia" w:ascii="宋体" w:hAnsi="宋体" w:eastAsia="宋体" w:cs="宋体"/>
                <w:b/>
                <w:color w:val="auto"/>
                <w:sz w:val="24"/>
                <w:szCs w:val="24"/>
                <w:u w:val="none"/>
              </w:rPr>
            </w:pPr>
            <w:bookmarkStart w:id="241" w:name="_Toc14046"/>
            <w:bookmarkStart w:id="242" w:name="_Toc21797"/>
            <w:bookmarkStart w:id="243" w:name="_Toc16425"/>
            <w:bookmarkStart w:id="244" w:name="_Toc315"/>
            <w:r>
              <w:rPr>
                <w:rFonts w:hint="eastAsia" w:ascii="宋体" w:hAnsi="宋体" w:eastAsia="宋体" w:cs="宋体"/>
                <w:b/>
                <w:color w:val="auto"/>
                <w:sz w:val="24"/>
                <w:szCs w:val="24"/>
                <w:u w:val="none"/>
              </w:rPr>
              <w:t>评审因素</w:t>
            </w:r>
          </w:p>
        </w:tc>
        <w:tc>
          <w:tcPr>
            <w:tcW w:w="3673" w:type="pct"/>
            <w:tcBorders>
              <w:top w:val="single" w:color="auto" w:sz="4" w:space="0"/>
              <w:left w:val="single" w:color="auto" w:sz="4" w:space="0"/>
              <w:bottom w:val="single" w:color="auto" w:sz="4" w:space="0"/>
              <w:right w:val="single" w:color="auto" w:sz="4" w:space="0"/>
            </w:tcBorders>
            <w:noWrap w:val="0"/>
            <w:vAlign w:val="center"/>
          </w:tcPr>
          <w:p w14:paraId="3C8F2CBA">
            <w:pPr>
              <w:spacing w:line="360" w:lineRule="auto"/>
              <w:jc w:val="center"/>
              <w:rPr>
                <w:rFonts w:hint="eastAsia" w:ascii="宋体" w:hAnsi="宋体" w:eastAsia="宋体" w:cs="宋体"/>
                <w:b/>
                <w:color w:val="auto"/>
                <w:sz w:val="24"/>
                <w:szCs w:val="24"/>
                <w:u w:val="none"/>
              </w:rPr>
            </w:pPr>
            <w:r>
              <w:rPr>
                <w:rFonts w:hint="eastAsia" w:ascii="宋体" w:hAnsi="宋体" w:eastAsia="宋体" w:cs="宋体"/>
                <w:b/>
                <w:color w:val="auto"/>
                <w:sz w:val="24"/>
                <w:szCs w:val="24"/>
                <w:u w:val="none"/>
              </w:rPr>
              <w:t>内容</w:t>
            </w:r>
          </w:p>
        </w:tc>
        <w:tc>
          <w:tcPr>
            <w:tcW w:w="471" w:type="pct"/>
            <w:tcBorders>
              <w:top w:val="single" w:color="auto" w:sz="4" w:space="0"/>
              <w:left w:val="single" w:color="auto" w:sz="4" w:space="0"/>
              <w:bottom w:val="single" w:color="auto" w:sz="4" w:space="0"/>
              <w:right w:val="single" w:color="auto" w:sz="4" w:space="0"/>
            </w:tcBorders>
            <w:noWrap w:val="0"/>
            <w:vAlign w:val="center"/>
          </w:tcPr>
          <w:p w14:paraId="1BF76113">
            <w:pPr>
              <w:spacing w:line="360" w:lineRule="auto"/>
              <w:jc w:val="center"/>
              <w:rPr>
                <w:rFonts w:hint="eastAsia" w:ascii="宋体" w:hAnsi="宋体" w:eastAsia="宋体" w:cs="宋体"/>
                <w:b/>
                <w:color w:val="auto"/>
                <w:sz w:val="24"/>
                <w:szCs w:val="24"/>
                <w:u w:val="none"/>
                <w:lang w:eastAsia="zh-CN"/>
              </w:rPr>
            </w:pPr>
            <w:r>
              <w:rPr>
                <w:rFonts w:hint="eastAsia" w:ascii="宋体" w:hAnsi="宋体" w:eastAsia="宋体" w:cs="宋体"/>
                <w:b/>
                <w:color w:val="auto"/>
                <w:sz w:val="24"/>
                <w:szCs w:val="24"/>
                <w:u w:val="none"/>
              </w:rPr>
              <w:t>分值</w:t>
            </w:r>
            <w:r>
              <w:rPr>
                <w:rFonts w:hint="eastAsia" w:hAnsi="宋体" w:cs="宋体"/>
                <w:b/>
                <w:color w:val="auto"/>
                <w:sz w:val="24"/>
                <w:szCs w:val="24"/>
                <w:u w:val="none"/>
                <w:lang w:eastAsia="zh-CN"/>
              </w:rPr>
              <w:t>（分）</w:t>
            </w:r>
          </w:p>
        </w:tc>
      </w:tr>
      <w:tr w14:paraId="7E1ED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8"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5A2D59E5">
            <w:pPr>
              <w:spacing w:line="360" w:lineRule="auto"/>
              <w:jc w:val="center"/>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投标报价</w:t>
            </w:r>
          </w:p>
          <w:p w14:paraId="1976DC1E">
            <w:pPr>
              <w:pStyle w:val="49"/>
              <w:spacing w:line="360" w:lineRule="auto"/>
              <w:ind w:left="0" w:leftChars="0" w:firstLine="0" w:firstLineChars="0"/>
              <w:jc w:val="center"/>
              <w:rPr>
                <w:rFonts w:hint="eastAsia"/>
                <w:color w:val="auto"/>
              </w:rPr>
            </w:pPr>
            <w:r>
              <w:rPr>
                <w:rFonts w:hint="eastAsia" w:ascii="宋体" w:hAnsi="宋体" w:eastAsia="宋体" w:cs="宋体"/>
                <w:color w:val="auto"/>
                <w:sz w:val="24"/>
                <w:szCs w:val="24"/>
                <w:u w:val="none"/>
                <w:lang w:val="en-US" w:eastAsia="zh-CN"/>
              </w:rPr>
              <w:t>（1</w:t>
            </w:r>
            <w:r>
              <w:rPr>
                <w:rFonts w:hint="eastAsia" w:hAnsi="宋体" w:cs="宋体"/>
                <w:color w:val="auto"/>
                <w:sz w:val="24"/>
                <w:szCs w:val="24"/>
                <w:u w:val="none"/>
                <w:lang w:val="en-US" w:eastAsia="zh-CN"/>
              </w:rPr>
              <w:t>5</w:t>
            </w:r>
            <w:r>
              <w:rPr>
                <w:rFonts w:hint="eastAsia" w:ascii="宋体" w:hAnsi="宋体" w:eastAsia="宋体" w:cs="宋体"/>
                <w:color w:val="auto"/>
                <w:sz w:val="24"/>
                <w:szCs w:val="24"/>
                <w:u w:val="none"/>
                <w:lang w:val="en-US" w:eastAsia="zh-CN"/>
              </w:rPr>
              <w:t>分）</w:t>
            </w:r>
          </w:p>
        </w:tc>
        <w:tc>
          <w:tcPr>
            <w:tcW w:w="3673" w:type="pct"/>
            <w:tcBorders>
              <w:top w:val="single" w:color="auto" w:sz="4" w:space="0"/>
              <w:left w:val="single" w:color="auto" w:sz="4" w:space="0"/>
              <w:bottom w:val="single" w:color="auto" w:sz="4" w:space="0"/>
              <w:right w:val="single" w:color="auto" w:sz="4" w:space="0"/>
            </w:tcBorders>
            <w:noWrap w:val="0"/>
            <w:vAlign w:val="center"/>
          </w:tcPr>
          <w:p w14:paraId="3D2AB40E">
            <w:pPr>
              <w:snapToGrid w:val="0"/>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满足招标文件要求且投标价格最低的投标报价为评标基准价，其价格分为满分。其他投标人的价格分统一按照下列公式计算：</w:t>
            </w:r>
          </w:p>
          <w:p w14:paraId="6EAF5882">
            <w:pPr>
              <w:snapToGrid w:val="0"/>
              <w:spacing w:line="360" w:lineRule="auto"/>
              <w:jc w:val="left"/>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投标报价得分=（评标基准价/投标报价）×1</w:t>
            </w:r>
            <w:r>
              <w:rPr>
                <w:rFonts w:hint="eastAsia" w:hAnsi="宋体" w:cs="宋体"/>
                <w:color w:val="auto"/>
                <w:sz w:val="24"/>
                <w:szCs w:val="24"/>
                <w:lang w:val="en-US" w:eastAsia="zh-CN"/>
              </w:rPr>
              <w:t>5</w:t>
            </w:r>
          </w:p>
          <w:p w14:paraId="63034B6F">
            <w:pPr>
              <w:snapToGrid w:val="0"/>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备注：计算分数时四舍五入取小数点后两位。评标委员会认为供应商的报价明显低于其他通过符合性审查供应商的报价，有可能影响产品质量或者不能诚信履约的，应当要求其在评标现场合理的时间内提供书面说明，必要时递交相关证明材料；供应商不能证明其报价合理性的，评标委员会应当将其作为无效投标处理。</w:t>
            </w:r>
          </w:p>
        </w:tc>
        <w:tc>
          <w:tcPr>
            <w:tcW w:w="471" w:type="pct"/>
            <w:tcBorders>
              <w:top w:val="single" w:color="auto" w:sz="4" w:space="0"/>
              <w:left w:val="single" w:color="auto" w:sz="4" w:space="0"/>
              <w:bottom w:val="single" w:color="auto" w:sz="4" w:space="0"/>
              <w:right w:val="single" w:color="auto" w:sz="4" w:space="0"/>
            </w:tcBorders>
            <w:noWrap w:val="0"/>
            <w:vAlign w:val="center"/>
          </w:tcPr>
          <w:p w14:paraId="07777CD8">
            <w:pPr>
              <w:spacing w:line="360" w:lineRule="auto"/>
              <w:jc w:val="center"/>
              <w:rPr>
                <w:rFonts w:hint="eastAsia" w:ascii="宋体" w:hAnsi="宋体" w:eastAsia="宋体" w:cs="宋体"/>
                <w:color w:val="auto"/>
                <w:sz w:val="24"/>
                <w:szCs w:val="24"/>
                <w:u w:val="none"/>
                <w:lang w:eastAsia="zh-CN"/>
              </w:rPr>
            </w:pPr>
            <w:r>
              <w:rPr>
                <w:rFonts w:hint="eastAsia" w:hAnsi="宋体" w:cs="宋体"/>
                <w:color w:val="auto"/>
                <w:sz w:val="24"/>
                <w:szCs w:val="24"/>
                <w:u w:val="none"/>
                <w:lang w:val="en-US" w:eastAsia="zh-CN"/>
              </w:rPr>
              <w:t>15</w:t>
            </w:r>
          </w:p>
        </w:tc>
      </w:tr>
      <w:tr w14:paraId="07613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855" w:type="pct"/>
            <w:vMerge w:val="restart"/>
            <w:tcBorders>
              <w:top w:val="single" w:color="auto" w:sz="4" w:space="0"/>
              <w:left w:val="single" w:color="auto" w:sz="4" w:space="0"/>
              <w:right w:val="single" w:color="auto" w:sz="4" w:space="0"/>
            </w:tcBorders>
            <w:noWrap w:val="0"/>
            <w:vAlign w:val="center"/>
          </w:tcPr>
          <w:p w14:paraId="67B6C7F7">
            <w:pPr>
              <w:spacing w:line="360" w:lineRule="auto"/>
              <w:jc w:val="center"/>
              <w:rPr>
                <w:rFonts w:hint="eastAsia"/>
                <w:color w:val="auto"/>
              </w:rPr>
            </w:pPr>
            <w:r>
              <w:rPr>
                <w:rFonts w:hint="eastAsia" w:ascii="宋体" w:hAnsi="宋体" w:eastAsia="宋体" w:cs="宋体"/>
                <w:color w:val="auto"/>
                <w:sz w:val="24"/>
                <w:szCs w:val="24"/>
                <w:u w:val="none"/>
                <w:lang w:val="en-US" w:eastAsia="zh-CN"/>
              </w:rPr>
              <w:t>项目总监理工程</w:t>
            </w:r>
            <w:r>
              <w:rPr>
                <w:rFonts w:hint="eastAsia" w:hAnsi="宋体" w:cs="宋体"/>
                <w:color w:val="auto"/>
                <w:sz w:val="24"/>
                <w:szCs w:val="24"/>
                <w:u w:val="none"/>
                <w:lang w:val="en-US" w:eastAsia="zh-CN"/>
              </w:rPr>
              <w:t>师</w:t>
            </w:r>
          </w:p>
        </w:tc>
        <w:tc>
          <w:tcPr>
            <w:tcW w:w="3673" w:type="pct"/>
            <w:tcBorders>
              <w:top w:val="single" w:color="auto" w:sz="4" w:space="0"/>
              <w:left w:val="single" w:color="auto" w:sz="4" w:space="0"/>
              <w:bottom w:val="single" w:color="auto" w:sz="4" w:space="0"/>
              <w:right w:val="single" w:color="auto" w:sz="4" w:space="0"/>
            </w:tcBorders>
            <w:noWrap w:val="0"/>
            <w:vAlign w:val="center"/>
          </w:tcPr>
          <w:p w14:paraId="748B0B64">
            <w:pPr>
              <w:snapToGrid w:val="0"/>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年龄（2分）：年龄在 30 周岁（含）至 55 周岁（含）之间得2分，否则本分项不得分；</w:t>
            </w:r>
          </w:p>
        </w:tc>
        <w:tc>
          <w:tcPr>
            <w:tcW w:w="471" w:type="pct"/>
            <w:tcBorders>
              <w:top w:val="single" w:color="auto" w:sz="4" w:space="0"/>
              <w:left w:val="single" w:color="auto" w:sz="4" w:space="0"/>
              <w:bottom w:val="single" w:color="auto" w:sz="4" w:space="0"/>
              <w:right w:val="single" w:color="auto" w:sz="4" w:space="0"/>
            </w:tcBorders>
            <w:noWrap w:val="0"/>
            <w:vAlign w:val="center"/>
          </w:tcPr>
          <w:p w14:paraId="06C5D85D">
            <w:pPr>
              <w:spacing w:line="360" w:lineRule="auto"/>
              <w:jc w:val="center"/>
              <w:rPr>
                <w:rFonts w:hint="eastAsia" w:ascii="宋体" w:hAnsi="宋体" w:eastAsia="宋体" w:cs="宋体"/>
                <w:color w:val="auto"/>
                <w:kern w:val="0"/>
                <w:sz w:val="24"/>
                <w:szCs w:val="24"/>
                <w:u w:val="none"/>
                <w:lang w:val="en-US" w:eastAsia="zh-CN"/>
              </w:rPr>
            </w:pPr>
            <w:r>
              <w:rPr>
                <w:rFonts w:hint="eastAsia" w:hAnsi="宋体" w:cs="宋体"/>
                <w:color w:val="auto"/>
                <w:kern w:val="0"/>
                <w:sz w:val="24"/>
                <w:szCs w:val="24"/>
                <w:u w:val="none"/>
                <w:lang w:val="en-US" w:eastAsia="zh-CN"/>
              </w:rPr>
              <w:t>2</w:t>
            </w:r>
          </w:p>
        </w:tc>
      </w:tr>
      <w:tr w14:paraId="0BF38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855" w:type="pct"/>
            <w:vMerge w:val="continue"/>
            <w:tcBorders>
              <w:left w:val="single" w:color="auto" w:sz="4" w:space="0"/>
              <w:right w:val="single" w:color="auto" w:sz="4" w:space="0"/>
            </w:tcBorders>
            <w:noWrap w:val="0"/>
            <w:vAlign w:val="center"/>
          </w:tcPr>
          <w:p w14:paraId="2C9E5ABA">
            <w:pPr>
              <w:spacing w:line="360" w:lineRule="auto"/>
              <w:jc w:val="center"/>
              <w:rPr>
                <w:rFonts w:hint="eastAsia" w:ascii="宋体" w:hAnsi="宋体" w:eastAsia="宋体" w:cs="宋体"/>
                <w:color w:val="auto"/>
                <w:sz w:val="24"/>
                <w:szCs w:val="24"/>
                <w:u w:val="none"/>
              </w:rPr>
            </w:pPr>
          </w:p>
        </w:tc>
        <w:tc>
          <w:tcPr>
            <w:tcW w:w="3673" w:type="pct"/>
            <w:tcBorders>
              <w:top w:val="single" w:color="auto" w:sz="4" w:space="0"/>
              <w:left w:val="single" w:color="auto" w:sz="4" w:space="0"/>
              <w:bottom w:val="single" w:color="auto" w:sz="4" w:space="0"/>
              <w:right w:val="single" w:color="auto" w:sz="4" w:space="0"/>
            </w:tcBorders>
            <w:noWrap w:val="0"/>
            <w:vAlign w:val="center"/>
          </w:tcPr>
          <w:p w14:paraId="1EA3F56D">
            <w:pPr>
              <w:snapToGrid w:val="0"/>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学历（2分）：学历为大学本科（含）以上，得2分；大学专科，得1分，其他不得分；</w:t>
            </w:r>
          </w:p>
        </w:tc>
        <w:tc>
          <w:tcPr>
            <w:tcW w:w="471" w:type="pct"/>
            <w:tcBorders>
              <w:top w:val="single" w:color="auto" w:sz="4" w:space="0"/>
              <w:left w:val="single" w:color="auto" w:sz="4" w:space="0"/>
              <w:bottom w:val="single" w:color="auto" w:sz="4" w:space="0"/>
              <w:right w:val="single" w:color="auto" w:sz="4" w:space="0"/>
            </w:tcBorders>
            <w:noWrap w:val="0"/>
            <w:vAlign w:val="center"/>
          </w:tcPr>
          <w:p w14:paraId="7787C4D0">
            <w:pPr>
              <w:spacing w:line="360" w:lineRule="auto"/>
              <w:jc w:val="center"/>
              <w:rPr>
                <w:rFonts w:hint="default" w:ascii="宋体" w:hAnsi="宋体" w:eastAsia="宋体" w:cs="宋体"/>
                <w:color w:val="auto"/>
                <w:kern w:val="0"/>
                <w:sz w:val="24"/>
                <w:szCs w:val="24"/>
                <w:u w:val="none"/>
                <w:lang w:val="en-US" w:eastAsia="zh-CN"/>
              </w:rPr>
            </w:pPr>
            <w:r>
              <w:rPr>
                <w:rFonts w:hint="eastAsia" w:hAnsi="宋体" w:cs="宋体"/>
                <w:color w:val="auto"/>
                <w:kern w:val="0"/>
                <w:sz w:val="24"/>
                <w:szCs w:val="24"/>
                <w:u w:val="none"/>
                <w:lang w:val="en-US" w:eastAsia="zh-CN"/>
              </w:rPr>
              <w:t>2</w:t>
            </w:r>
          </w:p>
        </w:tc>
      </w:tr>
      <w:tr w14:paraId="44C54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5" w:type="pct"/>
            <w:tcBorders>
              <w:left w:val="single" w:color="auto" w:sz="4" w:space="0"/>
              <w:right w:val="single" w:color="auto" w:sz="4" w:space="0"/>
            </w:tcBorders>
            <w:noWrap w:val="0"/>
            <w:vAlign w:val="center"/>
          </w:tcPr>
          <w:p w14:paraId="3FBFCA69">
            <w:pPr>
              <w:spacing w:line="360" w:lineRule="auto"/>
              <w:jc w:val="center"/>
              <w:rPr>
                <w:rFonts w:hint="eastAsia" w:ascii="宋体" w:hAnsi="宋体" w:eastAsia="宋体" w:cs="宋体"/>
                <w:color w:val="auto"/>
                <w:kern w:val="2"/>
                <w:sz w:val="24"/>
                <w:szCs w:val="24"/>
                <w:u w:val="none"/>
                <w:lang w:val="en-US" w:eastAsia="zh-CN" w:bidi="ar-SA"/>
              </w:rPr>
            </w:pPr>
            <w:r>
              <w:rPr>
                <w:rFonts w:hint="eastAsia" w:ascii="宋体" w:hAnsi="宋体" w:eastAsia="宋体" w:cs="宋体"/>
                <w:color w:val="auto"/>
                <w:kern w:val="2"/>
                <w:sz w:val="24"/>
                <w:szCs w:val="24"/>
                <w:u w:val="none"/>
                <w:lang w:val="en-US" w:eastAsia="zh-CN" w:bidi="ar-SA"/>
              </w:rPr>
              <w:t>监理人员</w:t>
            </w:r>
          </w:p>
          <w:p w14:paraId="145F2184">
            <w:pPr>
              <w:spacing w:line="360" w:lineRule="auto"/>
              <w:jc w:val="center"/>
              <w:rPr>
                <w:rFonts w:hint="eastAsia" w:ascii="宋体" w:hAnsi="宋体" w:eastAsia="宋体" w:cs="宋体"/>
                <w:color w:val="auto"/>
                <w:kern w:val="2"/>
                <w:sz w:val="24"/>
                <w:szCs w:val="24"/>
                <w:u w:val="none"/>
                <w:lang w:val="en-US" w:eastAsia="zh-CN" w:bidi="ar-SA"/>
              </w:rPr>
            </w:pPr>
            <w:r>
              <w:rPr>
                <w:rFonts w:hint="eastAsia" w:ascii="宋体" w:hAnsi="宋体" w:eastAsia="宋体" w:cs="宋体"/>
                <w:color w:val="auto"/>
                <w:kern w:val="2"/>
                <w:sz w:val="24"/>
                <w:szCs w:val="24"/>
                <w:u w:val="none"/>
                <w:lang w:val="en-US" w:eastAsia="zh-CN" w:bidi="ar-SA"/>
              </w:rPr>
              <w:t>配备</w:t>
            </w:r>
          </w:p>
        </w:tc>
        <w:tc>
          <w:tcPr>
            <w:tcW w:w="3673" w:type="pct"/>
            <w:tcBorders>
              <w:top w:val="single" w:color="auto" w:sz="4" w:space="0"/>
              <w:left w:val="single" w:color="auto" w:sz="4" w:space="0"/>
              <w:bottom w:val="single" w:color="auto" w:sz="4" w:space="0"/>
              <w:right w:val="single" w:color="auto" w:sz="4" w:space="0"/>
            </w:tcBorders>
            <w:noWrap w:val="0"/>
            <w:vAlign w:val="center"/>
          </w:tcPr>
          <w:p w14:paraId="70BF5AD6">
            <w:pPr>
              <w:snapToGrid w:val="0"/>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人员配备合理，专业齐全，得分10-15分，人员配备较合理，专业较齐全得5-10分，人员配备不合理，专业不齐全得1-5分。</w:t>
            </w:r>
          </w:p>
        </w:tc>
        <w:tc>
          <w:tcPr>
            <w:tcW w:w="471" w:type="pct"/>
            <w:tcBorders>
              <w:top w:val="single" w:color="auto" w:sz="4" w:space="0"/>
              <w:left w:val="single" w:color="auto" w:sz="4" w:space="0"/>
              <w:bottom w:val="single" w:color="auto" w:sz="4" w:space="0"/>
              <w:right w:val="single" w:color="auto" w:sz="4" w:space="0"/>
            </w:tcBorders>
            <w:noWrap w:val="0"/>
            <w:vAlign w:val="center"/>
          </w:tcPr>
          <w:p w14:paraId="383DF5FD">
            <w:pPr>
              <w:spacing w:line="360" w:lineRule="auto"/>
              <w:jc w:val="center"/>
              <w:rPr>
                <w:rFonts w:hint="default" w:ascii="宋体" w:hAnsi="宋体" w:eastAsia="宋体" w:cs="宋体"/>
                <w:color w:val="auto"/>
                <w:kern w:val="0"/>
                <w:sz w:val="24"/>
                <w:szCs w:val="24"/>
                <w:u w:val="none"/>
                <w:lang w:val="en-US" w:eastAsia="zh-CN" w:bidi="ar-SA"/>
              </w:rPr>
            </w:pPr>
            <w:r>
              <w:rPr>
                <w:rFonts w:hint="eastAsia" w:hAnsi="宋体" w:cs="宋体"/>
                <w:color w:val="auto"/>
                <w:kern w:val="0"/>
                <w:sz w:val="24"/>
                <w:szCs w:val="24"/>
                <w:u w:val="none"/>
                <w:lang w:val="en-US" w:eastAsia="zh-CN" w:bidi="ar-SA"/>
              </w:rPr>
              <w:t>15</w:t>
            </w:r>
          </w:p>
        </w:tc>
      </w:tr>
      <w:tr w14:paraId="3DBC3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1" w:hRule="atLeast"/>
        </w:trPr>
        <w:tc>
          <w:tcPr>
            <w:tcW w:w="855" w:type="pct"/>
            <w:tcBorders>
              <w:left w:val="single" w:color="auto" w:sz="4" w:space="0"/>
              <w:right w:val="single" w:color="auto" w:sz="4" w:space="0"/>
            </w:tcBorders>
            <w:shd w:val="clear" w:color="auto" w:fill="auto"/>
            <w:noWrap w:val="0"/>
            <w:vAlign w:val="center"/>
          </w:tcPr>
          <w:p w14:paraId="7F60BC3E">
            <w:pPr>
              <w:pStyle w:val="47"/>
              <w:spacing w:line="360" w:lineRule="auto"/>
              <w:jc w:val="center"/>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监理工作整体实施方案</w:t>
            </w:r>
          </w:p>
        </w:tc>
        <w:tc>
          <w:tcPr>
            <w:tcW w:w="367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3C539FE">
            <w:pPr>
              <w:pStyle w:val="47"/>
              <w:spacing w:line="360" w:lineRule="auto"/>
              <w:jc w:val="left"/>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根据供应商针对本项目提供的监理工作整体实施方案进行评审： 方案符合项目实际情况及实施要求，内容详尽且涵盖角度全面，合理性和可行性强，能够保障项目顺利实施的得3.1-6分； 方案符合项目实际情况及实施要求，内容涵盖角度稍有欠缺的得1.1-3分； 方案不符合项目实际情况及实施要求，涵盖角度不全面且无法保证实施的得0-1分； 未提供的得0分。</w:t>
            </w:r>
          </w:p>
        </w:tc>
        <w:tc>
          <w:tcPr>
            <w:tcW w:w="471" w:type="pct"/>
            <w:tcBorders>
              <w:top w:val="single" w:color="auto" w:sz="4" w:space="0"/>
              <w:left w:val="single" w:color="auto" w:sz="4" w:space="0"/>
              <w:bottom w:val="single" w:color="auto" w:sz="4" w:space="0"/>
              <w:right w:val="single" w:color="auto" w:sz="4" w:space="0"/>
            </w:tcBorders>
            <w:noWrap w:val="0"/>
            <w:vAlign w:val="center"/>
          </w:tcPr>
          <w:p w14:paraId="0ECFFB16">
            <w:pPr>
              <w:spacing w:line="360" w:lineRule="auto"/>
              <w:jc w:val="center"/>
              <w:rPr>
                <w:rFonts w:hint="default" w:ascii="宋体" w:hAnsi="宋体" w:eastAsia="宋体" w:cs="宋体"/>
                <w:color w:val="auto"/>
                <w:sz w:val="24"/>
                <w:szCs w:val="24"/>
                <w:lang w:val="en-US" w:eastAsia="zh-CN" w:bidi="ar-SA"/>
              </w:rPr>
            </w:pPr>
            <w:r>
              <w:rPr>
                <w:rFonts w:hint="eastAsia" w:hAnsi="宋体" w:cs="宋体"/>
                <w:color w:val="auto"/>
                <w:sz w:val="24"/>
                <w:szCs w:val="24"/>
                <w:lang w:val="en-US" w:eastAsia="zh-CN" w:bidi="ar-SA"/>
              </w:rPr>
              <w:t>6</w:t>
            </w:r>
          </w:p>
        </w:tc>
      </w:tr>
      <w:tr w14:paraId="01AFA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5" w:type="pct"/>
            <w:tcBorders>
              <w:left w:val="single" w:color="auto" w:sz="4" w:space="0"/>
              <w:right w:val="single" w:color="auto" w:sz="4" w:space="0"/>
            </w:tcBorders>
            <w:shd w:val="clear" w:color="auto" w:fill="auto"/>
            <w:noWrap w:val="0"/>
            <w:vAlign w:val="center"/>
          </w:tcPr>
          <w:p w14:paraId="6E62980F">
            <w:pPr>
              <w:pStyle w:val="47"/>
              <w:spacing w:line="360" w:lineRule="auto"/>
              <w:jc w:val="center"/>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监理工作程序、方法和制度</w:t>
            </w:r>
          </w:p>
        </w:tc>
        <w:tc>
          <w:tcPr>
            <w:tcW w:w="367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2782CFF">
            <w:pPr>
              <w:pStyle w:val="47"/>
              <w:spacing w:line="360" w:lineRule="auto"/>
              <w:jc w:val="left"/>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根据供应商针对本项目提供的监理工作程序、方法和制度进行评审： 方案及制度符合项目实际情况及实施要求，内容详尽且涵盖角度全面，合理性和可行性强，能够保障项目顺利实施的得3.1-6分； 方案及制度符合项目实际情况及实施要求，内容涵盖角度稍有欠缺的得1.1-3分； 方案及制度不符合项目实际情况及实施要求，涵盖角度不全面且无法保证实施的得0-1分； 未提供的得0分。</w:t>
            </w:r>
          </w:p>
        </w:tc>
        <w:tc>
          <w:tcPr>
            <w:tcW w:w="471" w:type="pct"/>
            <w:tcBorders>
              <w:top w:val="single" w:color="auto" w:sz="4" w:space="0"/>
              <w:left w:val="single" w:color="auto" w:sz="4" w:space="0"/>
              <w:bottom w:val="single" w:color="auto" w:sz="4" w:space="0"/>
              <w:right w:val="single" w:color="auto" w:sz="4" w:space="0"/>
            </w:tcBorders>
            <w:noWrap w:val="0"/>
            <w:vAlign w:val="center"/>
          </w:tcPr>
          <w:p w14:paraId="06384F1B">
            <w:pPr>
              <w:spacing w:line="360" w:lineRule="auto"/>
              <w:jc w:val="center"/>
              <w:rPr>
                <w:rFonts w:hint="default" w:ascii="宋体" w:hAnsi="宋体" w:eastAsia="宋体" w:cs="宋体"/>
                <w:color w:val="auto"/>
                <w:sz w:val="24"/>
                <w:szCs w:val="24"/>
                <w:lang w:val="en-US" w:eastAsia="zh-CN" w:bidi="ar-SA"/>
              </w:rPr>
            </w:pPr>
            <w:r>
              <w:rPr>
                <w:rFonts w:hint="eastAsia" w:hAnsi="宋体" w:cs="宋体"/>
                <w:color w:val="auto"/>
                <w:sz w:val="24"/>
                <w:szCs w:val="24"/>
                <w:lang w:val="en-US" w:eastAsia="zh-CN" w:bidi="ar-SA"/>
              </w:rPr>
              <w:t>6</w:t>
            </w:r>
          </w:p>
        </w:tc>
      </w:tr>
      <w:tr w14:paraId="168D5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1" w:hRule="atLeast"/>
        </w:trPr>
        <w:tc>
          <w:tcPr>
            <w:tcW w:w="855" w:type="pct"/>
            <w:tcBorders>
              <w:left w:val="single" w:color="auto" w:sz="4" w:space="0"/>
              <w:right w:val="single" w:color="auto" w:sz="4" w:space="0"/>
            </w:tcBorders>
            <w:shd w:val="clear" w:color="auto" w:fill="auto"/>
            <w:noWrap w:val="0"/>
            <w:vAlign w:val="center"/>
          </w:tcPr>
          <w:p w14:paraId="6DEAF053">
            <w:pPr>
              <w:pStyle w:val="47"/>
              <w:spacing w:line="360" w:lineRule="auto"/>
              <w:jc w:val="center"/>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监理组织协调内容及措施</w:t>
            </w:r>
          </w:p>
        </w:tc>
        <w:tc>
          <w:tcPr>
            <w:tcW w:w="367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B6C1BFA">
            <w:pPr>
              <w:pStyle w:val="47"/>
              <w:spacing w:line="360" w:lineRule="auto"/>
              <w:jc w:val="left"/>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根据供应商针对本项目提供的监理组织协调内容及措施进行评审： 措施符合项目实际情况及实施要求，内容详尽且涵盖角度全面，合理性和可行性强，能够保障项目顺利实施的得3.1-5分； 措施符合项目实际情况及实施要求，内容涵盖角度稍有欠缺的得1.1-3分； 措施不符合项目实际情况及实施要求，涵盖角度不全面且无法保证实施的得0-1分； 未提供的得0分。</w:t>
            </w:r>
          </w:p>
        </w:tc>
        <w:tc>
          <w:tcPr>
            <w:tcW w:w="471" w:type="pct"/>
            <w:tcBorders>
              <w:top w:val="single" w:color="auto" w:sz="4" w:space="0"/>
              <w:left w:val="single" w:color="auto" w:sz="4" w:space="0"/>
              <w:bottom w:val="single" w:color="auto" w:sz="4" w:space="0"/>
              <w:right w:val="single" w:color="auto" w:sz="4" w:space="0"/>
            </w:tcBorders>
            <w:noWrap w:val="0"/>
            <w:vAlign w:val="center"/>
          </w:tcPr>
          <w:p w14:paraId="2D18387E">
            <w:pPr>
              <w:spacing w:line="360" w:lineRule="auto"/>
              <w:jc w:val="center"/>
              <w:rPr>
                <w:rFonts w:hint="default"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5</w:t>
            </w:r>
          </w:p>
        </w:tc>
      </w:tr>
      <w:tr w14:paraId="253A5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1" w:hRule="atLeast"/>
        </w:trPr>
        <w:tc>
          <w:tcPr>
            <w:tcW w:w="855" w:type="pct"/>
            <w:tcBorders>
              <w:left w:val="single" w:color="auto" w:sz="4" w:space="0"/>
              <w:right w:val="single" w:color="auto" w:sz="4" w:space="0"/>
            </w:tcBorders>
            <w:shd w:val="clear" w:color="auto" w:fill="auto"/>
            <w:noWrap w:val="0"/>
            <w:vAlign w:val="center"/>
          </w:tcPr>
          <w:p w14:paraId="6CFD90FF">
            <w:pPr>
              <w:pStyle w:val="47"/>
              <w:spacing w:line="360" w:lineRule="auto"/>
              <w:jc w:val="center"/>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监理工作重点部位及关键工序的控制方法</w:t>
            </w:r>
          </w:p>
        </w:tc>
        <w:tc>
          <w:tcPr>
            <w:tcW w:w="367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CB227CC">
            <w:pPr>
              <w:pStyle w:val="47"/>
              <w:spacing w:line="360" w:lineRule="auto"/>
              <w:jc w:val="left"/>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根据供应商针对本项目提供的监理工作重点部位及关键工序的控制方案进行评审： 方案符合项目实际情况及实施要求，内容详尽且涵盖角度全面，合理性和可行性强，能够保障项目顺利实施的得3.1-5分； 方案符合项目实际情况及实施要求，内容涵盖角度稍有欠缺的得1.1-3分； 方案不符合项目实际情况及实施要求，涵盖角度不全面且无法保证实施的得0-1分； 未提供的得0分。</w:t>
            </w:r>
          </w:p>
        </w:tc>
        <w:tc>
          <w:tcPr>
            <w:tcW w:w="471" w:type="pct"/>
            <w:tcBorders>
              <w:top w:val="single" w:color="auto" w:sz="4" w:space="0"/>
              <w:left w:val="single" w:color="auto" w:sz="4" w:space="0"/>
              <w:bottom w:val="single" w:color="auto" w:sz="4" w:space="0"/>
              <w:right w:val="single" w:color="auto" w:sz="4" w:space="0"/>
            </w:tcBorders>
            <w:noWrap w:val="0"/>
            <w:vAlign w:val="center"/>
          </w:tcPr>
          <w:p w14:paraId="3D63ACC8">
            <w:pPr>
              <w:spacing w:line="360" w:lineRule="auto"/>
              <w:jc w:val="center"/>
              <w:rPr>
                <w:rFonts w:hint="default"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5</w:t>
            </w:r>
          </w:p>
        </w:tc>
      </w:tr>
      <w:tr w14:paraId="6B126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1" w:hRule="atLeast"/>
        </w:trPr>
        <w:tc>
          <w:tcPr>
            <w:tcW w:w="855" w:type="pct"/>
            <w:tcBorders>
              <w:left w:val="single" w:color="auto" w:sz="4" w:space="0"/>
              <w:right w:val="single" w:color="auto" w:sz="4" w:space="0"/>
            </w:tcBorders>
            <w:shd w:val="clear" w:color="auto" w:fill="auto"/>
            <w:noWrap w:val="0"/>
            <w:vAlign w:val="center"/>
          </w:tcPr>
          <w:p w14:paraId="6E802C9A">
            <w:pPr>
              <w:pStyle w:val="47"/>
              <w:spacing w:line="360" w:lineRule="auto"/>
              <w:jc w:val="center"/>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工程交工验收服务的保障措施</w:t>
            </w:r>
          </w:p>
        </w:tc>
        <w:tc>
          <w:tcPr>
            <w:tcW w:w="367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B3CA8BA">
            <w:pPr>
              <w:pStyle w:val="47"/>
              <w:spacing w:line="360" w:lineRule="auto"/>
              <w:jc w:val="left"/>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根据供应商针对本项目提供的工程交工验收服务的保障措施进行评审： 措施符合项目实际情况及实施要求，内容详尽且涵盖角度全面，合理性和可行性强，能够保障项目顺利实施的得3.1-5分； 措施符合项目实际情况及实施要求，内容涵盖角度稍有欠缺的得1.1-3分； 措施不符合项目实际情况及实施要求，涵盖角度不全面且无法保证实施的得0-1分； 未提供的得0分。</w:t>
            </w:r>
          </w:p>
        </w:tc>
        <w:tc>
          <w:tcPr>
            <w:tcW w:w="471" w:type="pct"/>
            <w:tcBorders>
              <w:top w:val="single" w:color="auto" w:sz="4" w:space="0"/>
              <w:left w:val="single" w:color="auto" w:sz="4" w:space="0"/>
              <w:bottom w:val="single" w:color="auto" w:sz="4" w:space="0"/>
              <w:right w:val="single" w:color="auto" w:sz="4" w:space="0"/>
            </w:tcBorders>
            <w:noWrap w:val="0"/>
            <w:vAlign w:val="center"/>
          </w:tcPr>
          <w:p w14:paraId="1161C606">
            <w:pPr>
              <w:spacing w:line="360" w:lineRule="auto"/>
              <w:jc w:val="center"/>
              <w:rPr>
                <w:rFonts w:hint="default"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5</w:t>
            </w:r>
          </w:p>
        </w:tc>
      </w:tr>
      <w:tr w14:paraId="532F2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6" w:hRule="atLeast"/>
        </w:trPr>
        <w:tc>
          <w:tcPr>
            <w:tcW w:w="855" w:type="pct"/>
            <w:tcBorders>
              <w:left w:val="single" w:color="auto" w:sz="4" w:space="0"/>
              <w:right w:val="single" w:color="auto" w:sz="4" w:space="0"/>
            </w:tcBorders>
            <w:shd w:val="clear" w:color="auto" w:fill="auto"/>
            <w:noWrap w:val="0"/>
            <w:vAlign w:val="center"/>
          </w:tcPr>
          <w:p w14:paraId="21633B55">
            <w:pPr>
              <w:pStyle w:val="47"/>
              <w:spacing w:line="360" w:lineRule="auto"/>
              <w:jc w:val="center"/>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对施工单位的施工质量技术资料、安全资料及合同资料监管措施及监理单位内部资料管理措施</w:t>
            </w:r>
          </w:p>
        </w:tc>
        <w:tc>
          <w:tcPr>
            <w:tcW w:w="367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05C37C9">
            <w:pPr>
              <w:pStyle w:val="47"/>
              <w:spacing w:line="360" w:lineRule="auto"/>
              <w:jc w:val="left"/>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根据供应商针对本项目提供的对施工单位的施工质量技术资料、安全资料及合同资料监管措施及监理单位内部资料管理措施进行评审： 措施符合项目实际情况及实施要求，内容详尽且涵盖角度全面，合理性和可行性强，能够保障项目顺利实施的得3.1-5分； 措施符合项目实际情况及实施要求，内容涵盖角度稍有欠缺的得1.1-3分； 措施不符合项目实际情况及实施要求，涵盖角度不全面且无法保证实施的得0-1分； 未提供的得0分。</w:t>
            </w:r>
          </w:p>
        </w:tc>
        <w:tc>
          <w:tcPr>
            <w:tcW w:w="471" w:type="pct"/>
            <w:tcBorders>
              <w:top w:val="single" w:color="auto" w:sz="4" w:space="0"/>
              <w:left w:val="single" w:color="auto" w:sz="4" w:space="0"/>
              <w:bottom w:val="single" w:color="auto" w:sz="4" w:space="0"/>
              <w:right w:val="single" w:color="auto" w:sz="4" w:space="0"/>
            </w:tcBorders>
            <w:noWrap w:val="0"/>
            <w:vAlign w:val="center"/>
          </w:tcPr>
          <w:p w14:paraId="2087D1FF">
            <w:pPr>
              <w:spacing w:line="360" w:lineRule="auto"/>
              <w:jc w:val="center"/>
              <w:rPr>
                <w:rFonts w:hint="default"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5</w:t>
            </w:r>
          </w:p>
        </w:tc>
      </w:tr>
      <w:tr w14:paraId="51C93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7" w:hRule="atLeast"/>
        </w:trPr>
        <w:tc>
          <w:tcPr>
            <w:tcW w:w="855" w:type="pct"/>
            <w:tcBorders>
              <w:left w:val="single" w:color="auto" w:sz="4" w:space="0"/>
              <w:right w:val="single" w:color="auto" w:sz="4" w:space="0"/>
            </w:tcBorders>
            <w:shd w:val="clear" w:color="auto" w:fill="auto"/>
            <w:noWrap w:val="0"/>
            <w:vAlign w:val="center"/>
          </w:tcPr>
          <w:p w14:paraId="0B4354F9">
            <w:pPr>
              <w:pStyle w:val="47"/>
              <w:spacing w:line="360" w:lineRule="auto"/>
              <w:jc w:val="center"/>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拟投入检测仪器设备</w:t>
            </w:r>
          </w:p>
        </w:tc>
        <w:tc>
          <w:tcPr>
            <w:tcW w:w="367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8764751">
            <w:pPr>
              <w:pStyle w:val="47"/>
              <w:spacing w:line="360" w:lineRule="auto"/>
              <w:jc w:val="left"/>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根据供应商针对本项目提供的拟投入检测仪器设备配备情况进行评审： 检测仪器和工具完整齐全，能够完全满足和保障监理服务需求得得3.1-5分； 检测仪器和工具有缺漏，能够保障监理服务需求得1.1-3分； 检测仪器和工具不足，无法完全满足监理服务得0-1分。 未提供的得0分。</w:t>
            </w:r>
          </w:p>
        </w:tc>
        <w:tc>
          <w:tcPr>
            <w:tcW w:w="471" w:type="pct"/>
            <w:tcBorders>
              <w:top w:val="single" w:color="auto" w:sz="4" w:space="0"/>
              <w:left w:val="single" w:color="auto" w:sz="4" w:space="0"/>
              <w:bottom w:val="single" w:color="auto" w:sz="4" w:space="0"/>
              <w:right w:val="single" w:color="auto" w:sz="4" w:space="0"/>
            </w:tcBorders>
            <w:noWrap w:val="0"/>
            <w:vAlign w:val="center"/>
          </w:tcPr>
          <w:p w14:paraId="6B5B0543">
            <w:pPr>
              <w:spacing w:line="360" w:lineRule="auto"/>
              <w:jc w:val="center"/>
              <w:rPr>
                <w:rFonts w:hint="default"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5</w:t>
            </w:r>
          </w:p>
        </w:tc>
      </w:tr>
      <w:tr w14:paraId="70697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1" w:hRule="atLeast"/>
        </w:trPr>
        <w:tc>
          <w:tcPr>
            <w:tcW w:w="855" w:type="pct"/>
            <w:tcBorders>
              <w:left w:val="single" w:color="auto" w:sz="4" w:space="0"/>
              <w:right w:val="single" w:color="auto" w:sz="4" w:space="0"/>
            </w:tcBorders>
            <w:shd w:val="clear" w:color="auto" w:fill="auto"/>
            <w:noWrap w:val="0"/>
            <w:vAlign w:val="center"/>
          </w:tcPr>
          <w:p w14:paraId="6FCADAD4">
            <w:pPr>
              <w:pStyle w:val="47"/>
              <w:spacing w:line="360" w:lineRule="auto"/>
              <w:jc w:val="center"/>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服务承诺</w:t>
            </w:r>
          </w:p>
        </w:tc>
        <w:tc>
          <w:tcPr>
            <w:tcW w:w="367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4124EC2">
            <w:pPr>
              <w:pStyle w:val="47"/>
              <w:spacing w:line="360" w:lineRule="auto"/>
              <w:jc w:val="left"/>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根据供应商针对本项目提供的服务承诺（包含：①服务质量承诺；②服务周期承诺；③保修阶段质量服务承诺）进行评审： 承诺的内容描述详细，内容全面，条理清晰，与项目内容匹配的得3.1-5分； 承诺的内容描述详细，内容和条理稍有欠缺，基本与项目内容匹配的得1.1-3分； 承诺的内容描述不详细，内容和条理差，缺项、漏项，与项目内容不匹配的得0-1分； 未提供的得0分。</w:t>
            </w:r>
          </w:p>
        </w:tc>
        <w:tc>
          <w:tcPr>
            <w:tcW w:w="471" w:type="pct"/>
            <w:tcBorders>
              <w:top w:val="single" w:color="auto" w:sz="4" w:space="0"/>
              <w:left w:val="single" w:color="auto" w:sz="4" w:space="0"/>
              <w:bottom w:val="single" w:color="auto" w:sz="4" w:space="0"/>
              <w:right w:val="single" w:color="auto" w:sz="4" w:space="0"/>
            </w:tcBorders>
            <w:noWrap w:val="0"/>
            <w:vAlign w:val="center"/>
          </w:tcPr>
          <w:p w14:paraId="7F02FCFC">
            <w:pPr>
              <w:spacing w:line="360" w:lineRule="auto"/>
              <w:jc w:val="center"/>
              <w:rPr>
                <w:rFonts w:hint="default"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5</w:t>
            </w:r>
          </w:p>
        </w:tc>
      </w:tr>
      <w:tr w14:paraId="60318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7" w:hRule="atLeast"/>
        </w:trPr>
        <w:tc>
          <w:tcPr>
            <w:tcW w:w="855" w:type="pct"/>
            <w:tcBorders>
              <w:left w:val="single" w:color="auto" w:sz="4" w:space="0"/>
              <w:right w:val="single" w:color="auto" w:sz="4" w:space="0"/>
            </w:tcBorders>
            <w:shd w:val="clear" w:color="auto" w:fill="auto"/>
            <w:noWrap w:val="0"/>
            <w:vAlign w:val="center"/>
          </w:tcPr>
          <w:p w14:paraId="33FA74A0">
            <w:pPr>
              <w:pStyle w:val="47"/>
              <w:spacing w:line="360" w:lineRule="auto"/>
              <w:jc w:val="center"/>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合理化建议</w:t>
            </w:r>
          </w:p>
        </w:tc>
        <w:tc>
          <w:tcPr>
            <w:tcW w:w="367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EF268EA">
            <w:pPr>
              <w:pStyle w:val="47"/>
              <w:spacing w:line="360" w:lineRule="auto"/>
              <w:jc w:val="left"/>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根据各供应商针对本项目提供的有利于本项目工作顺利进行的合理化建议，由磋商小组根据上述内容横向比较后综合赋分： 合理化建议针对性强、切实可行的得3.1-5分； 合理化建议针对性较强、较切实，具有一定的可行性的得1.1-3分； 合理化建议不符合实际或不具备可行性得0-1分； 未提供不得分。</w:t>
            </w:r>
          </w:p>
        </w:tc>
        <w:tc>
          <w:tcPr>
            <w:tcW w:w="471" w:type="pct"/>
            <w:tcBorders>
              <w:top w:val="single" w:color="auto" w:sz="4" w:space="0"/>
              <w:left w:val="single" w:color="auto" w:sz="4" w:space="0"/>
              <w:bottom w:val="single" w:color="auto" w:sz="4" w:space="0"/>
              <w:right w:val="single" w:color="auto" w:sz="4" w:space="0"/>
            </w:tcBorders>
            <w:noWrap w:val="0"/>
            <w:vAlign w:val="center"/>
          </w:tcPr>
          <w:p w14:paraId="30B40C1D">
            <w:pPr>
              <w:spacing w:line="360" w:lineRule="auto"/>
              <w:jc w:val="center"/>
              <w:rPr>
                <w:rFonts w:hint="default" w:ascii="宋体" w:hAnsi="宋体" w:eastAsia="宋体" w:cs="宋体"/>
                <w:color w:val="auto"/>
                <w:sz w:val="24"/>
                <w:szCs w:val="24"/>
                <w:lang w:val="en-US" w:eastAsia="zh-CN" w:bidi="ar-SA"/>
              </w:rPr>
            </w:pPr>
            <w:r>
              <w:rPr>
                <w:rFonts w:hint="eastAsia" w:hAnsi="宋体" w:cs="宋体"/>
                <w:color w:val="auto"/>
                <w:sz w:val="24"/>
                <w:szCs w:val="24"/>
                <w:lang w:val="en-US" w:eastAsia="zh-CN" w:bidi="ar-SA"/>
              </w:rPr>
              <w:t>5</w:t>
            </w:r>
          </w:p>
        </w:tc>
      </w:tr>
      <w:tr w14:paraId="5B343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3" w:hRule="atLeast"/>
        </w:trPr>
        <w:tc>
          <w:tcPr>
            <w:tcW w:w="855" w:type="pct"/>
            <w:tcBorders>
              <w:left w:val="single" w:color="auto" w:sz="4" w:space="0"/>
              <w:right w:val="single" w:color="auto" w:sz="4" w:space="0"/>
            </w:tcBorders>
            <w:noWrap w:val="0"/>
            <w:vAlign w:val="center"/>
          </w:tcPr>
          <w:p w14:paraId="4C9ED6CB">
            <w:pPr>
              <w:snapToGrid w:val="0"/>
              <w:spacing w:line="360" w:lineRule="auto"/>
              <w:jc w:val="center"/>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信用得分</w:t>
            </w:r>
          </w:p>
        </w:tc>
        <w:tc>
          <w:tcPr>
            <w:tcW w:w="3673" w:type="pct"/>
            <w:tcBorders>
              <w:top w:val="single" w:color="auto" w:sz="4" w:space="0"/>
              <w:left w:val="single" w:color="auto" w:sz="4" w:space="0"/>
              <w:bottom w:val="single" w:color="auto" w:sz="4" w:space="0"/>
              <w:right w:val="single" w:color="auto" w:sz="4" w:space="0"/>
            </w:tcBorders>
            <w:noWrap w:val="0"/>
            <w:vAlign w:val="center"/>
          </w:tcPr>
          <w:p w14:paraId="5658442D">
            <w:pPr>
              <w:snapToGrid w:val="0"/>
              <w:spacing w:line="360" w:lineRule="auto"/>
              <w:jc w:val="left"/>
              <w:rPr>
                <w:rFonts w:hint="default"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投标人、拟派本项目负责人，在“信用中国”均</w:t>
            </w:r>
            <w:r>
              <w:rPr>
                <w:rFonts w:hint="default" w:ascii="宋体" w:hAnsi="宋体" w:eastAsia="宋体" w:cs="宋体"/>
                <w:color w:val="auto"/>
                <w:sz w:val="24"/>
                <w:szCs w:val="24"/>
                <w:lang w:val="en-US" w:eastAsia="zh-CN" w:bidi="ar-SA"/>
              </w:rPr>
              <w:t>无不良信用记录的得</w:t>
            </w:r>
            <w:r>
              <w:rPr>
                <w:rFonts w:hint="eastAsia" w:ascii="宋体" w:hAnsi="宋体" w:eastAsia="宋体" w:cs="宋体"/>
                <w:color w:val="auto"/>
                <w:sz w:val="24"/>
                <w:szCs w:val="24"/>
                <w:lang w:val="en-US" w:eastAsia="zh-CN" w:bidi="ar-SA"/>
              </w:rPr>
              <w:t>10</w:t>
            </w:r>
            <w:r>
              <w:rPr>
                <w:rFonts w:hint="default" w:ascii="宋体" w:hAnsi="宋体" w:eastAsia="宋体" w:cs="宋体"/>
                <w:color w:val="auto"/>
                <w:sz w:val="24"/>
                <w:szCs w:val="24"/>
                <w:lang w:val="en-US" w:eastAsia="zh-CN" w:bidi="ar-SA"/>
              </w:rPr>
              <w:t>分。 有不良信用记录的</w:t>
            </w:r>
            <w:r>
              <w:rPr>
                <w:rFonts w:hint="eastAsia" w:ascii="宋体" w:hAnsi="宋体" w:eastAsia="宋体" w:cs="宋体"/>
                <w:color w:val="auto"/>
                <w:sz w:val="24"/>
                <w:szCs w:val="24"/>
                <w:lang w:val="en-US" w:eastAsia="zh-CN" w:bidi="ar-SA"/>
              </w:rPr>
              <w:t>10</w:t>
            </w:r>
            <w:r>
              <w:rPr>
                <w:rFonts w:hint="default" w:ascii="宋体" w:hAnsi="宋体" w:eastAsia="宋体" w:cs="宋体"/>
                <w:color w:val="auto"/>
                <w:sz w:val="24"/>
                <w:szCs w:val="24"/>
                <w:lang w:val="en-US" w:eastAsia="zh-CN" w:bidi="ar-SA"/>
              </w:rPr>
              <w:t>分扣完为止，其中：投标人有围标串标、骗取中标等招投标领域违法违规行为被实施行政处罚的不良信用记录，但未被限制投标资格的，单项扣</w:t>
            </w:r>
            <w:r>
              <w:rPr>
                <w:rFonts w:hint="eastAsia" w:ascii="宋体" w:hAnsi="宋体" w:eastAsia="宋体" w:cs="宋体"/>
                <w:color w:val="auto"/>
                <w:sz w:val="24"/>
                <w:szCs w:val="24"/>
                <w:lang w:val="en-US" w:eastAsia="zh-CN" w:bidi="ar-SA"/>
              </w:rPr>
              <w:t>2</w:t>
            </w:r>
            <w:r>
              <w:rPr>
                <w:rFonts w:hint="default" w:ascii="宋体" w:hAnsi="宋体" w:eastAsia="宋体" w:cs="宋体"/>
                <w:color w:val="auto"/>
                <w:sz w:val="24"/>
                <w:szCs w:val="24"/>
                <w:lang w:val="en-US" w:eastAsia="zh-CN" w:bidi="ar-SA"/>
              </w:rPr>
              <w:t>分； 投标人、拟派本项目负责人有工程领域其他违法违规行为 被实施行政处罚的，单项扣</w:t>
            </w:r>
            <w:r>
              <w:rPr>
                <w:rFonts w:hint="eastAsia" w:ascii="宋体" w:hAnsi="宋体" w:eastAsia="宋体" w:cs="宋体"/>
                <w:color w:val="auto"/>
                <w:sz w:val="24"/>
                <w:szCs w:val="24"/>
                <w:lang w:val="en-US" w:eastAsia="zh-CN" w:bidi="ar-SA"/>
              </w:rPr>
              <w:t>1</w:t>
            </w:r>
            <w:r>
              <w:rPr>
                <w:rFonts w:hint="default" w:ascii="宋体" w:hAnsi="宋体" w:eastAsia="宋体" w:cs="宋体"/>
                <w:color w:val="auto"/>
                <w:sz w:val="24"/>
                <w:szCs w:val="24"/>
                <w:lang w:val="en-US" w:eastAsia="zh-CN" w:bidi="ar-SA"/>
              </w:rPr>
              <w:t xml:space="preserve"> 分。</w:t>
            </w:r>
          </w:p>
          <w:p w14:paraId="3E2F529D">
            <w:pPr>
              <w:snapToGrid w:val="0"/>
              <w:spacing w:line="360" w:lineRule="auto"/>
              <w:jc w:val="left"/>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注：以投标人提供的加盖企业原色印章的信用报告及截图为准。</w:t>
            </w:r>
          </w:p>
        </w:tc>
        <w:tc>
          <w:tcPr>
            <w:tcW w:w="471" w:type="pct"/>
            <w:tcBorders>
              <w:top w:val="single" w:color="auto" w:sz="4" w:space="0"/>
              <w:left w:val="single" w:color="auto" w:sz="4" w:space="0"/>
              <w:bottom w:val="single" w:color="auto" w:sz="4" w:space="0"/>
              <w:right w:val="single" w:color="auto" w:sz="4" w:space="0"/>
            </w:tcBorders>
            <w:noWrap w:val="0"/>
            <w:vAlign w:val="center"/>
          </w:tcPr>
          <w:p w14:paraId="2CC6E204">
            <w:pPr>
              <w:spacing w:line="360" w:lineRule="auto"/>
              <w:jc w:val="center"/>
              <w:rPr>
                <w:rFonts w:hint="default"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10</w:t>
            </w:r>
          </w:p>
        </w:tc>
      </w:tr>
      <w:tr w14:paraId="73EA0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855" w:type="pct"/>
            <w:tcBorders>
              <w:left w:val="single" w:color="auto" w:sz="4" w:space="0"/>
              <w:right w:val="single" w:color="auto" w:sz="4" w:space="0"/>
            </w:tcBorders>
            <w:noWrap w:val="0"/>
            <w:vAlign w:val="center"/>
          </w:tcPr>
          <w:p w14:paraId="5F7E7FE2">
            <w:pPr>
              <w:keepNext w:val="0"/>
              <w:keepLines w:val="0"/>
              <w:pageBreakBefore w:val="0"/>
              <w:widowControl w:val="0"/>
              <w:tabs>
                <w:tab w:val="left" w:pos="6060"/>
              </w:tabs>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企业类似</w:t>
            </w:r>
          </w:p>
          <w:p w14:paraId="2012A5FB">
            <w:pPr>
              <w:keepNext w:val="0"/>
              <w:keepLines w:val="0"/>
              <w:pageBreakBefore w:val="0"/>
              <w:widowControl w:val="0"/>
              <w:tabs>
                <w:tab w:val="left" w:pos="6060"/>
              </w:tabs>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业绩</w:t>
            </w:r>
          </w:p>
        </w:tc>
        <w:tc>
          <w:tcPr>
            <w:tcW w:w="3673" w:type="pct"/>
            <w:tcBorders>
              <w:top w:val="single" w:color="auto" w:sz="4" w:space="0"/>
              <w:left w:val="single" w:color="auto" w:sz="4" w:space="0"/>
              <w:right w:val="single" w:color="auto" w:sz="4" w:space="0"/>
            </w:tcBorders>
            <w:noWrap w:val="0"/>
            <w:vAlign w:val="center"/>
          </w:tcPr>
          <w:p w14:paraId="0861662E">
            <w:pPr>
              <w:snapToGrid w:val="0"/>
              <w:spacing w:line="360" w:lineRule="auto"/>
              <w:jc w:val="left"/>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投标人每具备近年(202</w:t>
            </w:r>
            <w:r>
              <w:rPr>
                <w:rFonts w:hint="eastAsia" w:ascii="宋体" w:hAnsi="宋体" w:cs="宋体"/>
                <w:color w:val="auto"/>
                <w:sz w:val="24"/>
                <w:szCs w:val="24"/>
                <w:lang w:val="en-US" w:eastAsia="zh-CN" w:bidi="ar-SA"/>
              </w:rPr>
              <w:t>3</w:t>
            </w:r>
            <w:r>
              <w:rPr>
                <w:rFonts w:hint="eastAsia" w:ascii="宋体" w:hAnsi="宋体" w:eastAsia="宋体" w:cs="宋体"/>
                <w:color w:val="auto"/>
                <w:sz w:val="24"/>
                <w:szCs w:val="24"/>
                <w:lang w:val="en-US" w:eastAsia="zh-CN" w:bidi="ar-SA"/>
              </w:rPr>
              <w:t>年1月1日至今）1个有效类似业绩得3分，最高得9分。（以投标文件中所附加盖公章的监理合同复印件为准）。</w:t>
            </w:r>
          </w:p>
        </w:tc>
        <w:tc>
          <w:tcPr>
            <w:tcW w:w="471" w:type="pct"/>
            <w:tcBorders>
              <w:top w:val="single" w:color="auto" w:sz="4" w:space="0"/>
              <w:left w:val="single" w:color="auto" w:sz="4" w:space="0"/>
              <w:bottom w:val="single" w:color="auto" w:sz="4" w:space="0"/>
              <w:right w:val="single" w:color="auto" w:sz="4" w:space="0"/>
            </w:tcBorders>
            <w:noWrap w:val="0"/>
            <w:vAlign w:val="center"/>
          </w:tcPr>
          <w:p w14:paraId="375998AE">
            <w:pPr>
              <w:spacing w:line="360" w:lineRule="auto"/>
              <w:jc w:val="center"/>
              <w:rPr>
                <w:rFonts w:hint="default"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9</w:t>
            </w:r>
          </w:p>
        </w:tc>
      </w:tr>
    </w:tbl>
    <w:p w14:paraId="6C14E48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val="0"/>
          <w:sz w:val="24"/>
          <w:szCs w:val="24"/>
        </w:rPr>
      </w:pPr>
    </w:p>
    <w:p w14:paraId="4DB179F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备注：</w:t>
      </w:r>
    </w:p>
    <w:p w14:paraId="45CCEDC7">
      <w:pPr>
        <w:keepNext w:val="0"/>
        <w:keepLines w:val="0"/>
        <w:pageBreakBefore w:val="0"/>
        <w:widowControl w:val="0"/>
        <w:kinsoku/>
        <w:wordWrap/>
        <w:overflowPunct/>
        <w:topLinePunct w:val="0"/>
        <w:autoSpaceDE/>
        <w:autoSpaceDN/>
        <w:bidi w:val="0"/>
        <w:adjustRightInd/>
        <w:snapToGrid/>
        <w:spacing w:line="640" w:lineRule="exact"/>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1）各评委独立打分。</w:t>
      </w:r>
    </w:p>
    <w:p w14:paraId="48DB6BDE">
      <w:pPr>
        <w:keepNext w:val="0"/>
        <w:keepLines w:val="0"/>
        <w:pageBreakBefore w:val="0"/>
        <w:widowControl w:val="0"/>
        <w:kinsoku/>
        <w:wordWrap/>
        <w:overflowPunct/>
        <w:topLinePunct w:val="0"/>
        <w:autoSpaceDE/>
        <w:autoSpaceDN/>
        <w:bidi w:val="0"/>
        <w:adjustRightInd/>
        <w:snapToGrid/>
        <w:spacing w:line="640" w:lineRule="exact"/>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评委打分超过得分界限或未按本表规定赋分时，该评委的打分作废，不计入汇总分。各评委有效打分的平均值为该项评分的最终分值，若出现综合得分并列时，比较价格得分，此项得分高者排序在前；若价格得分仍相同，比较技术得分，此项得分高者排序在前；若技术得分仍相同，则由全体评标委员会成员无记名投票，得票高者排序在前。</w:t>
      </w:r>
    </w:p>
    <w:p w14:paraId="7548180A">
      <w:pPr>
        <w:keepNext w:val="0"/>
        <w:keepLines w:val="0"/>
        <w:pageBreakBefore w:val="0"/>
        <w:widowControl w:val="0"/>
        <w:kinsoku/>
        <w:wordWrap/>
        <w:overflowPunct/>
        <w:topLinePunct w:val="0"/>
        <w:autoSpaceDE/>
        <w:autoSpaceDN/>
        <w:bidi w:val="0"/>
        <w:adjustRightInd/>
        <w:snapToGrid/>
        <w:spacing w:line="640" w:lineRule="exact"/>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2）计算分数时四舍五入取小数点后两位。</w:t>
      </w:r>
    </w:p>
    <w:p w14:paraId="3003A55B">
      <w:pPr>
        <w:keepNext w:val="0"/>
        <w:keepLines w:val="0"/>
        <w:pageBreakBefore w:val="0"/>
        <w:widowControl w:val="0"/>
        <w:kinsoku/>
        <w:wordWrap/>
        <w:overflowPunct/>
        <w:topLinePunct w:val="0"/>
        <w:autoSpaceDE/>
        <w:autoSpaceDN/>
        <w:bidi w:val="0"/>
        <w:adjustRightInd/>
        <w:snapToGrid/>
        <w:spacing w:line="640" w:lineRule="exact"/>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评标过程中，若出现特殊情况时，由评标委员会决定暂停评标，并提出具体处理意见。</w:t>
      </w:r>
    </w:p>
    <w:p w14:paraId="11999E86">
      <w:pPr>
        <w:keepNext w:val="0"/>
        <w:keepLines w:val="0"/>
        <w:pageBreakBefore w:val="0"/>
        <w:widowControl w:val="0"/>
        <w:kinsoku/>
        <w:wordWrap/>
        <w:overflowPunct/>
        <w:topLinePunct w:val="0"/>
        <w:autoSpaceDE/>
        <w:autoSpaceDN/>
        <w:bidi w:val="0"/>
        <w:adjustRightInd/>
        <w:snapToGrid/>
        <w:spacing w:line="640" w:lineRule="exact"/>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3</w:t>
      </w:r>
      <w:r>
        <w:rPr>
          <w:rFonts w:hint="eastAsia" w:ascii="宋体" w:hAnsi="宋体" w:eastAsia="宋体" w:cs="宋体"/>
          <w:b w:val="0"/>
          <w:bCs w:val="0"/>
          <w:sz w:val="24"/>
          <w:szCs w:val="24"/>
        </w:rPr>
        <w:t>）如有缺项或只有标题但无实质内容或有严重错误者得0分，需2/3以上评委认定；表内分值重叠数上限数不包括本数，下限数包括本数。</w:t>
      </w:r>
    </w:p>
    <w:p w14:paraId="2454CD5B">
      <w:pPr>
        <w:keepNext w:val="0"/>
        <w:keepLines w:val="0"/>
        <w:pageBreakBefore w:val="0"/>
        <w:widowControl w:val="0"/>
        <w:kinsoku/>
        <w:wordWrap/>
        <w:overflowPunct/>
        <w:topLinePunct w:val="0"/>
        <w:autoSpaceDE/>
        <w:autoSpaceDN/>
        <w:bidi w:val="0"/>
        <w:adjustRightInd/>
        <w:snapToGrid/>
        <w:spacing w:line="640" w:lineRule="exact"/>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4</w:t>
      </w:r>
      <w:r>
        <w:rPr>
          <w:rFonts w:hint="eastAsia" w:ascii="宋体" w:hAnsi="宋体" w:eastAsia="宋体" w:cs="宋体"/>
          <w:b w:val="0"/>
          <w:bCs w:val="0"/>
          <w:sz w:val="24"/>
          <w:szCs w:val="24"/>
        </w:rPr>
        <w:t>）以上证明材料、合同等须提供复印件加盖投标人公章附在</w:t>
      </w:r>
      <w:r>
        <w:rPr>
          <w:rFonts w:hint="eastAsia" w:ascii="宋体" w:hAnsi="宋体" w:eastAsia="宋体" w:cs="宋体"/>
          <w:b w:val="0"/>
          <w:bCs w:val="0"/>
          <w:sz w:val="24"/>
          <w:szCs w:val="24"/>
          <w:lang w:val="en-US" w:eastAsia="zh-CN"/>
        </w:rPr>
        <w:t>响应</w:t>
      </w:r>
      <w:r>
        <w:rPr>
          <w:rFonts w:hint="eastAsia" w:ascii="宋体" w:hAnsi="宋体" w:eastAsia="宋体" w:cs="宋体"/>
          <w:b w:val="0"/>
          <w:bCs w:val="0"/>
          <w:sz w:val="24"/>
          <w:szCs w:val="24"/>
        </w:rPr>
        <w:t>文件中。</w:t>
      </w:r>
    </w:p>
    <w:p w14:paraId="30C4BF9D">
      <w:pPr>
        <w:pageBreakBefore w:val="0"/>
        <w:topLinePunct w:val="0"/>
        <w:bidi w:val="0"/>
        <w:spacing w:line="500" w:lineRule="exact"/>
        <w:ind w:left="0" w:leftChars="0" w:right="0"/>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087E29C6">
      <w:pPr>
        <w:pStyle w:val="2"/>
        <w:pageBreakBefore w:val="0"/>
        <w:topLinePunct w:val="0"/>
        <w:bidi w:val="0"/>
        <w:spacing w:before="0" w:after="0" w:line="500" w:lineRule="exact"/>
        <w:ind w:left="0" w:leftChars="0" w:right="0"/>
        <w:rPr>
          <w:rFonts w:hint="eastAsia" w:ascii="宋体" w:hAnsi="宋体" w:eastAsia="宋体" w:cs="宋体"/>
          <w:color w:val="auto"/>
          <w:highlight w:val="none"/>
          <w:lang w:val="en-US" w:eastAsia="zh-CN"/>
        </w:rPr>
      </w:pPr>
      <w:bookmarkStart w:id="245" w:name="_Toc9708"/>
      <w:bookmarkStart w:id="246" w:name="_Toc197"/>
      <w:r>
        <w:rPr>
          <w:rFonts w:hint="eastAsia" w:ascii="宋体" w:hAnsi="宋体" w:eastAsia="宋体" w:cs="宋体"/>
          <w:color w:val="auto"/>
          <w:highlight w:val="none"/>
          <w:lang w:val="en-US" w:eastAsia="zh-CN"/>
        </w:rPr>
        <w:t>第七章 响应文件格式</w:t>
      </w:r>
      <w:bookmarkEnd w:id="167"/>
      <w:bookmarkEnd w:id="168"/>
      <w:bookmarkEnd w:id="174"/>
      <w:bookmarkEnd w:id="241"/>
      <w:bookmarkEnd w:id="242"/>
      <w:bookmarkEnd w:id="243"/>
      <w:bookmarkEnd w:id="244"/>
      <w:bookmarkEnd w:id="245"/>
      <w:bookmarkEnd w:id="246"/>
    </w:p>
    <w:p w14:paraId="5383B7D7">
      <w:pPr>
        <w:pStyle w:val="18"/>
        <w:pageBreakBefore w:val="0"/>
        <w:topLinePunct w:val="0"/>
        <w:bidi w:val="0"/>
        <w:spacing w:line="500" w:lineRule="exact"/>
        <w:ind w:left="0" w:leftChars="0" w:right="0"/>
        <w:rPr>
          <w:rFonts w:hint="eastAsia" w:ascii="宋体" w:hAnsi="宋体" w:eastAsia="宋体" w:cs="宋体"/>
          <w:b/>
          <w:bCs/>
          <w:color w:val="auto"/>
          <w:sz w:val="32"/>
          <w:szCs w:val="32"/>
          <w:highlight w:val="none"/>
        </w:rPr>
      </w:pPr>
      <w:bookmarkStart w:id="247" w:name="_Toc184794035"/>
      <w:bookmarkStart w:id="248" w:name="_Toc257126854"/>
      <w:r>
        <w:rPr>
          <w:rFonts w:hint="eastAsia" w:ascii="宋体" w:hAnsi="宋体" w:eastAsia="宋体" w:cs="宋体"/>
          <w:b/>
          <w:bCs/>
          <w:color w:val="auto"/>
          <w:sz w:val="32"/>
          <w:szCs w:val="32"/>
          <w:highlight w:val="none"/>
          <w:lang w:val="en-US" w:eastAsia="zh-CN"/>
        </w:rPr>
        <w:t>采购</w:t>
      </w:r>
      <w:r>
        <w:rPr>
          <w:rFonts w:hint="eastAsia" w:ascii="宋体" w:hAnsi="宋体" w:eastAsia="宋体" w:cs="宋体"/>
          <w:b/>
          <w:bCs/>
          <w:color w:val="auto"/>
          <w:sz w:val="32"/>
          <w:szCs w:val="32"/>
          <w:highlight w:val="none"/>
        </w:rPr>
        <w:t>项目编号：</w:t>
      </w:r>
    </w:p>
    <w:p w14:paraId="0CA1B694">
      <w:pPr>
        <w:pStyle w:val="18"/>
        <w:pageBreakBefore w:val="0"/>
        <w:topLinePunct w:val="0"/>
        <w:bidi w:val="0"/>
        <w:spacing w:line="500" w:lineRule="exact"/>
        <w:ind w:left="0" w:leftChars="0" w:right="0"/>
        <w:rPr>
          <w:rFonts w:hint="eastAsia" w:ascii="宋体" w:hAnsi="宋体" w:eastAsia="宋体" w:cs="宋体"/>
          <w:color w:val="auto"/>
          <w:sz w:val="36"/>
          <w:szCs w:val="36"/>
          <w:highlight w:val="none"/>
        </w:rPr>
      </w:pPr>
    </w:p>
    <w:p w14:paraId="51EB3017">
      <w:pPr>
        <w:pStyle w:val="18"/>
        <w:pageBreakBefore w:val="0"/>
        <w:topLinePunct w:val="0"/>
        <w:bidi w:val="0"/>
        <w:spacing w:line="500" w:lineRule="exact"/>
        <w:ind w:left="0" w:leftChars="0" w:right="0"/>
        <w:rPr>
          <w:rFonts w:hint="eastAsia" w:ascii="宋体" w:hAnsi="宋体" w:eastAsia="宋体" w:cs="宋体"/>
          <w:color w:val="auto"/>
          <w:sz w:val="36"/>
          <w:szCs w:val="36"/>
          <w:highlight w:val="none"/>
        </w:rPr>
      </w:pPr>
    </w:p>
    <w:p w14:paraId="42A2053F">
      <w:pPr>
        <w:pStyle w:val="11"/>
        <w:pageBreakBefore w:val="0"/>
        <w:topLinePunct w:val="0"/>
        <w:bidi w:val="0"/>
        <w:spacing w:line="500" w:lineRule="exact"/>
        <w:ind w:left="0" w:leftChars="0" w:right="0" w:firstLine="0"/>
        <w:jc w:val="center"/>
        <w:rPr>
          <w:rFonts w:hint="eastAsia" w:ascii="宋体" w:hAnsi="宋体" w:eastAsia="宋体" w:cs="宋体"/>
          <w:b/>
          <w:color w:val="auto"/>
          <w:sz w:val="48"/>
          <w:szCs w:val="48"/>
          <w:highlight w:val="none"/>
          <w:lang w:val="en-US" w:eastAsia="zh-CN"/>
        </w:rPr>
      </w:pPr>
    </w:p>
    <w:p w14:paraId="4EA614E0">
      <w:pPr>
        <w:pStyle w:val="11"/>
        <w:keepNext w:val="0"/>
        <w:keepLines w:val="0"/>
        <w:pageBreakBefore w:val="0"/>
        <w:kinsoku/>
        <w:wordWrap/>
        <w:overflowPunct/>
        <w:topLinePunct w:val="0"/>
        <w:autoSpaceDE/>
        <w:autoSpaceDN/>
        <w:bidi w:val="0"/>
        <w:adjustRightInd/>
        <w:snapToGrid/>
        <w:spacing w:line="800" w:lineRule="exact"/>
        <w:ind w:left="0" w:leftChars="0" w:right="0"/>
        <w:jc w:val="center"/>
        <w:textAlignment w:val="auto"/>
        <w:rPr>
          <w:rFonts w:hint="eastAsia" w:ascii="宋体" w:hAnsi="宋体" w:eastAsia="宋体" w:cs="宋体"/>
          <w:color w:val="auto"/>
          <w:highlight w:val="none"/>
        </w:rPr>
      </w:pPr>
      <w:r>
        <w:rPr>
          <w:rFonts w:hint="eastAsia" w:ascii="宋体" w:hAnsi="宋体" w:cs="宋体"/>
          <w:b/>
          <w:color w:val="auto"/>
          <w:sz w:val="48"/>
          <w:szCs w:val="48"/>
          <w:highlight w:val="none"/>
          <w:lang w:val="en-US" w:eastAsia="zh-CN"/>
        </w:rPr>
        <w:t>清涧县第三污水处理厂及配套管网工程建设项目(配套管网延伸工程)监理</w:t>
      </w:r>
    </w:p>
    <w:bookmarkEnd w:id="247"/>
    <w:bookmarkEnd w:id="248"/>
    <w:p w14:paraId="63E8DF95">
      <w:pPr>
        <w:keepNext w:val="0"/>
        <w:keepLines w:val="0"/>
        <w:pageBreakBefore w:val="0"/>
        <w:kinsoku/>
        <w:wordWrap/>
        <w:overflowPunct/>
        <w:topLinePunct w:val="0"/>
        <w:autoSpaceDE/>
        <w:autoSpaceDN/>
        <w:bidi w:val="0"/>
        <w:adjustRightInd/>
        <w:snapToGrid/>
        <w:spacing w:line="800" w:lineRule="exact"/>
        <w:ind w:left="0" w:leftChars="0" w:right="0"/>
        <w:jc w:val="center"/>
        <w:textAlignment w:val="auto"/>
        <w:rPr>
          <w:rFonts w:hint="eastAsia" w:ascii="宋体" w:hAnsi="宋体" w:eastAsia="宋体" w:cs="宋体"/>
          <w:b/>
          <w:bCs/>
          <w:color w:val="auto"/>
          <w:sz w:val="52"/>
          <w:szCs w:val="52"/>
          <w:highlight w:val="none"/>
          <w:lang w:eastAsia="zh-CN"/>
        </w:rPr>
      </w:pPr>
    </w:p>
    <w:p w14:paraId="4920908F">
      <w:pPr>
        <w:keepNext w:val="0"/>
        <w:keepLines w:val="0"/>
        <w:pageBreakBefore w:val="0"/>
        <w:kinsoku/>
        <w:wordWrap/>
        <w:overflowPunct/>
        <w:topLinePunct w:val="0"/>
        <w:autoSpaceDE/>
        <w:autoSpaceDN/>
        <w:bidi w:val="0"/>
        <w:adjustRightInd/>
        <w:snapToGrid/>
        <w:spacing w:line="800" w:lineRule="exact"/>
        <w:ind w:left="0" w:leftChars="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52"/>
          <w:szCs w:val="52"/>
          <w:highlight w:val="none"/>
          <w:lang w:eastAsia="zh-CN"/>
        </w:rPr>
        <w:t>磋商响应</w:t>
      </w:r>
      <w:r>
        <w:rPr>
          <w:rFonts w:hint="eastAsia" w:ascii="宋体" w:hAnsi="宋体" w:eastAsia="宋体" w:cs="宋体"/>
          <w:b/>
          <w:bCs/>
          <w:color w:val="auto"/>
          <w:sz w:val="52"/>
          <w:szCs w:val="52"/>
          <w:highlight w:val="none"/>
        </w:rPr>
        <w:t>文件</w:t>
      </w:r>
    </w:p>
    <w:p w14:paraId="683DF329">
      <w:pPr>
        <w:pStyle w:val="38"/>
        <w:keepNext w:val="0"/>
        <w:keepLines w:val="0"/>
        <w:pageBreakBefore w:val="0"/>
        <w:widowControl/>
        <w:kinsoku/>
        <w:wordWrap/>
        <w:overflowPunct/>
        <w:topLinePunct w:val="0"/>
        <w:autoSpaceDE/>
        <w:autoSpaceDN/>
        <w:bidi w:val="0"/>
        <w:adjustRightInd/>
        <w:snapToGrid/>
        <w:spacing w:line="800" w:lineRule="exact"/>
        <w:ind w:left="0" w:leftChars="0" w:right="0" w:firstLine="0" w:firstLineChars="0"/>
        <w:jc w:val="center"/>
        <w:textAlignment w:val="auto"/>
        <w:rPr>
          <w:rFonts w:hint="eastAsia" w:ascii="宋体" w:hAnsi="宋体" w:eastAsia="宋体" w:cs="宋体"/>
          <w:b/>
          <w:bCs/>
          <w:color w:val="auto"/>
          <w:sz w:val="36"/>
          <w:szCs w:val="36"/>
          <w:highlight w:val="none"/>
        </w:rPr>
      </w:pPr>
    </w:p>
    <w:p w14:paraId="6564C7ED">
      <w:pPr>
        <w:pStyle w:val="38"/>
        <w:keepNext w:val="0"/>
        <w:keepLines w:val="0"/>
        <w:pageBreakBefore w:val="0"/>
        <w:widowControl/>
        <w:kinsoku/>
        <w:wordWrap/>
        <w:overflowPunct/>
        <w:topLinePunct w:val="0"/>
        <w:autoSpaceDE/>
        <w:autoSpaceDN/>
        <w:bidi w:val="0"/>
        <w:adjustRightInd/>
        <w:snapToGrid/>
        <w:spacing w:line="800" w:lineRule="exact"/>
        <w:ind w:left="0" w:leftChars="0" w:right="0" w:firstLine="0" w:firstLineChars="0"/>
        <w:jc w:val="center"/>
        <w:textAlignment w:val="auto"/>
        <w:rPr>
          <w:rFonts w:hint="eastAsia" w:ascii="宋体" w:hAnsi="宋体" w:eastAsia="宋体" w:cs="宋体"/>
          <w:b/>
          <w:bCs/>
          <w:color w:val="auto"/>
          <w:sz w:val="36"/>
          <w:szCs w:val="36"/>
          <w:highlight w:val="none"/>
        </w:rPr>
      </w:pPr>
    </w:p>
    <w:p w14:paraId="758D569A">
      <w:pPr>
        <w:pStyle w:val="38"/>
        <w:keepNext w:val="0"/>
        <w:keepLines w:val="0"/>
        <w:pageBreakBefore w:val="0"/>
        <w:widowControl/>
        <w:kinsoku/>
        <w:wordWrap/>
        <w:overflowPunct/>
        <w:topLinePunct w:val="0"/>
        <w:autoSpaceDE/>
        <w:autoSpaceDN/>
        <w:bidi w:val="0"/>
        <w:adjustRightInd/>
        <w:snapToGrid/>
        <w:spacing w:line="800" w:lineRule="exact"/>
        <w:ind w:left="0" w:leftChars="0" w:right="0" w:firstLine="0" w:firstLineChars="0"/>
        <w:jc w:val="center"/>
        <w:textAlignment w:val="auto"/>
        <w:rPr>
          <w:rFonts w:hint="eastAsia" w:ascii="宋体" w:hAnsi="宋体" w:eastAsia="宋体" w:cs="宋体"/>
          <w:color w:val="auto"/>
          <w:sz w:val="36"/>
          <w:highlight w:val="none"/>
        </w:rPr>
      </w:pPr>
      <w:r>
        <w:rPr>
          <w:rFonts w:hint="eastAsia" w:ascii="宋体" w:hAnsi="宋体" w:eastAsia="宋体" w:cs="宋体"/>
          <w:b/>
          <w:bCs/>
          <w:color w:val="auto"/>
          <w:sz w:val="36"/>
          <w:szCs w:val="36"/>
          <w:highlight w:val="none"/>
        </w:rPr>
        <w:t>正本/副本</w:t>
      </w:r>
    </w:p>
    <w:p w14:paraId="03A5C645">
      <w:pPr>
        <w:pStyle w:val="38"/>
        <w:pageBreakBefore w:val="0"/>
        <w:widowControl/>
        <w:topLinePunct w:val="0"/>
        <w:bidi w:val="0"/>
        <w:spacing w:line="500" w:lineRule="exact"/>
        <w:ind w:left="0" w:leftChars="0" w:right="0" w:firstLine="0" w:firstLineChars="0"/>
        <w:jc w:val="center"/>
        <w:rPr>
          <w:rFonts w:hint="eastAsia" w:ascii="宋体" w:hAnsi="宋体" w:eastAsia="宋体" w:cs="宋体"/>
          <w:color w:val="auto"/>
          <w:sz w:val="36"/>
          <w:highlight w:val="none"/>
        </w:rPr>
      </w:pPr>
    </w:p>
    <w:p w14:paraId="598A0290">
      <w:pPr>
        <w:pStyle w:val="38"/>
        <w:pageBreakBefore w:val="0"/>
        <w:widowControl/>
        <w:topLinePunct w:val="0"/>
        <w:bidi w:val="0"/>
        <w:spacing w:line="500" w:lineRule="exact"/>
        <w:ind w:left="0" w:leftChars="0" w:right="0" w:firstLine="0" w:firstLineChars="0"/>
        <w:jc w:val="both"/>
        <w:rPr>
          <w:rFonts w:hint="eastAsia" w:ascii="宋体" w:hAnsi="宋体" w:eastAsia="宋体" w:cs="宋体"/>
          <w:color w:val="auto"/>
          <w:sz w:val="36"/>
          <w:highlight w:val="none"/>
        </w:rPr>
      </w:pPr>
    </w:p>
    <w:p w14:paraId="6FC0D542">
      <w:pPr>
        <w:pStyle w:val="38"/>
        <w:pageBreakBefore w:val="0"/>
        <w:widowControl/>
        <w:topLinePunct w:val="0"/>
        <w:bidi w:val="0"/>
        <w:spacing w:line="500" w:lineRule="exact"/>
        <w:ind w:left="0" w:leftChars="0" w:right="0" w:firstLine="0" w:firstLineChars="0"/>
        <w:jc w:val="both"/>
        <w:rPr>
          <w:rFonts w:hint="eastAsia" w:ascii="宋体" w:hAnsi="宋体" w:eastAsia="宋体" w:cs="宋体"/>
          <w:color w:val="auto"/>
          <w:sz w:val="36"/>
          <w:highlight w:val="none"/>
        </w:rPr>
      </w:pPr>
    </w:p>
    <w:p w14:paraId="56E049C3">
      <w:pPr>
        <w:pStyle w:val="38"/>
        <w:pageBreakBefore w:val="0"/>
        <w:widowControl/>
        <w:topLinePunct w:val="0"/>
        <w:bidi w:val="0"/>
        <w:spacing w:line="500" w:lineRule="exact"/>
        <w:ind w:left="0" w:leftChars="0" w:right="0" w:firstLine="0" w:firstLineChars="0"/>
        <w:jc w:val="both"/>
        <w:rPr>
          <w:rFonts w:hint="eastAsia" w:ascii="宋体" w:hAnsi="宋体" w:eastAsia="宋体" w:cs="宋体"/>
          <w:color w:val="auto"/>
          <w:sz w:val="36"/>
          <w:highlight w:val="none"/>
        </w:rPr>
      </w:pPr>
    </w:p>
    <w:p w14:paraId="6D94DD7B">
      <w:pPr>
        <w:pStyle w:val="38"/>
        <w:pageBreakBefore w:val="0"/>
        <w:widowControl/>
        <w:topLinePunct w:val="0"/>
        <w:bidi w:val="0"/>
        <w:spacing w:line="500" w:lineRule="exact"/>
        <w:ind w:left="0" w:leftChars="0" w:right="0" w:firstLine="0" w:firstLineChars="0"/>
        <w:jc w:val="both"/>
        <w:rPr>
          <w:rFonts w:hint="eastAsia" w:ascii="宋体" w:hAnsi="宋体" w:eastAsia="宋体" w:cs="宋体"/>
          <w:color w:val="auto"/>
          <w:sz w:val="36"/>
          <w:highlight w:val="none"/>
        </w:rPr>
      </w:pPr>
    </w:p>
    <w:p w14:paraId="41539E27">
      <w:pPr>
        <w:pageBreakBefore w:val="0"/>
        <w:topLinePunct w:val="0"/>
        <w:bidi w:val="0"/>
        <w:spacing w:line="500" w:lineRule="exact"/>
        <w:ind w:left="0" w:leftChars="0" w:right="0"/>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lang w:eastAsia="zh-CN"/>
        </w:rPr>
        <w:t>供应商</w:t>
      </w:r>
      <w:r>
        <w:rPr>
          <w:rFonts w:hint="eastAsia" w:ascii="宋体" w:hAnsi="宋体" w:eastAsia="宋体" w:cs="宋体"/>
          <w:b/>
          <w:color w:val="auto"/>
          <w:sz w:val="32"/>
          <w:szCs w:val="32"/>
          <w:highlight w:val="none"/>
        </w:rPr>
        <w:t>：</w:t>
      </w:r>
      <w:r>
        <w:rPr>
          <w:rFonts w:hint="eastAsia" w:ascii="宋体" w:hAnsi="宋体" w:eastAsia="宋体" w:cs="宋体"/>
          <w:b/>
          <w:color w:val="auto"/>
          <w:sz w:val="32"/>
          <w:szCs w:val="32"/>
          <w:highlight w:val="none"/>
          <w:u w:val="single"/>
        </w:rPr>
        <w:t xml:space="preserve">        公司名称    </w:t>
      </w:r>
      <w:r>
        <w:rPr>
          <w:rFonts w:hint="eastAsia" w:ascii="宋体" w:hAnsi="宋体" w:eastAsia="宋体" w:cs="宋体"/>
          <w:b/>
          <w:color w:val="auto"/>
          <w:sz w:val="32"/>
          <w:szCs w:val="32"/>
          <w:highlight w:val="none"/>
          <w:u w:val="single"/>
          <w:lang w:val="en-US" w:eastAsia="zh-CN"/>
        </w:rPr>
        <w:t xml:space="preserve">  </w:t>
      </w:r>
      <w:r>
        <w:rPr>
          <w:rFonts w:hint="eastAsia" w:ascii="宋体" w:hAnsi="宋体" w:eastAsia="宋体" w:cs="宋体"/>
          <w:b/>
          <w:color w:val="auto"/>
          <w:sz w:val="32"/>
          <w:szCs w:val="32"/>
          <w:highlight w:val="none"/>
          <w:u w:val="single"/>
        </w:rPr>
        <w:t xml:space="preserve">    </w:t>
      </w:r>
      <w:r>
        <w:rPr>
          <w:rFonts w:hint="eastAsia" w:ascii="宋体" w:hAnsi="宋体" w:eastAsia="宋体" w:cs="宋体"/>
          <w:b/>
          <w:color w:val="auto"/>
          <w:sz w:val="32"/>
          <w:szCs w:val="32"/>
          <w:highlight w:val="none"/>
          <w:u w:val="single"/>
          <w:lang w:val="en-US" w:eastAsia="zh-CN"/>
        </w:rPr>
        <w:t xml:space="preserve">       </w:t>
      </w:r>
      <w:r>
        <w:rPr>
          <w:rFonts w:hint="eastAsia" w:ascii="宋体" w:hAnsi="宋体" w:eastAsia="宋体" w:cs="宋体"/>
          <w:b/>
          <w:color w:val="auto"/>
          <w:sz w:val="32"/>
          <w:szCs w:val="32"/>
          <w:highlight w:val="none"/>
          <w:u w:val="single"/>
        </w:rPr>
        <w:t xml:space="preserve">  </w:t>
      </w:r>
      <w:r>
        <w:rPr>
          <w:rFonts w:hint="eastAsia" w:ascii="宋体" w:hAnsi="宋体" w:eastAsia="宋体" w:cs="宋体"/>
          <w:b/>
          <w:color w:val="auto"/>
          <w:sz w:val="32"/>
          <w:szCs w:val="32"/>
          <w:highlight w:val="none"/>
        </w:rPr>
        <w:t>（公章)</w:t>
      </w:r>
    </w:p>
    <w:p w14:paraId="3DBB725E">
      <w:pPr>
        <w:pageBreakBefore w:val="0"/>
        <w:topLinePunct w:val="0"/>
        <w:bidi w:val="0"/>
        <w:spacing w:line="500" w:lineRule="exact"/>
        <w:ind w:left="0" w:leftChars="0" w:right="0"/>
        <w:jc w:val="center"/>
        <w:rPr>
          <w:rFonts w:hint="eastAsia" w:ascii="宋体" w:hAnsi="宋体" w:eastAsia="宋体" w:cs="宋体"/>
          <w:b/>
          <w:color w:val="auto"/>
          <w:sz w:val="32"/>
          <w:szCs w:val="32"/>
          <w:highlight w:val="none"/>
          <w:u w:val="single"/>
        </w:rPr>
      </w:pPr>
    </w:p>
    <w:p w14:paraId="18E212AF">
      <w:pPr>
        <w:pageBreakBefore w:val="0"/>
        <w:topLinePunct w:val="0"/>
        <w:bidi w:val="0"/>
        <w:spacing w:line="500" w:lineRule="exact"/>
        <w:ind w:left="0" w:leftChars="0" w:right="0"/>
        <w:jc w:val="left"/>
        <w:rPr>
          <w:rFonts w:hint="eastAsia" w:ascii="宋体" w:hAnsi="宋体" w:eastAsia="宋体" w:cs="宋体"/>
          <w:b/>
          <w:color w:val="auto"/>
          <w:sz w:val="32"/>
          <w:szCs w:val="32"/>
          <w:highlight w:val="none"/>
          <w:u w:val="single"/>
        </w:rPr>
      </w:pPr>
      <w:r>
        <w:rPr>
          <w:rFonts w:hint="eastAsia" w:ascii="宋体" w:hAnsi="宋体" w:eastAsia="宋体" w:cs="宋体"/>
          <w:b/>
          <w:color w:val="auto"/>
          <w:sz w:val="32"/>
          <w:szCs w:val="32"/>
          <w:highlight w:val="none"/>
        </w:rPr>
        <w:t>法定代表人或授权委托人（签字或盖章）：</w:t>
      </w:r>
      <w:r>
        <w:rPr>
          <w:rFonts w:hint="eastAsia" w:ascii="宋体" w:hAnsi="宋体" w:eastAsia="宋体" w:cs="宋体"/>
          <w:b/>
          <w:i/>
          <w:iCs/>
          <w:color w:val="auto"/>
          <w:sz w:val="32"/>
          <w:szCs w:val="32"/>
          <w:highlight w:val="none"/>
          <w:u w:val="single"/>
        </w:rPr>
        <w:t xml:space="preserve">  </w:t>
      </w:r>
      <w:r>
        <w:rPr>
          <w:rFonts w:hint="eastAsia" w:ascii="宋体" w:hAnsi="宋体" w:eastAsia="宋体" w:cs="宋体"/>
          <w:b/>
          <w:color w:val="auto"/>
          <w:sz w:val="32"/>
          <w:szCs w:val="32"/>
          <w:highlight w:val="none"/>
          <w:u w:val="single"/>
        </w:rPr>
        <w:t xml:space="preserve"> </w:t>
      </w:r>
      <w:r>
        <w:rPr>
          <w:rFonts w:hint="eastAsia" w:ascii="宋体" w:hAnsi="宋体" w:eastAsia="宋体" w:cs="宋体"/>
          <w:b/>
          <w:color w:val="auto"/>
          <w:sz w:val="32"/>
          <w:szCs w:val="32"/>
          <w:highlight w:val="none"/>
          <w:u w:val="single"/>
          <w:lang w:val="en-US" w:eastAsia="zh-CN"/>
        </w:rPr>
        <w:t xml:space="preserve">  </w:t>
      </w:r>
      <w:r>
        <w:rPr>
          <w:rFonts w:hint="eastAsia" w:ascii="宋体" w:hAnsi="宋体" w:eastAsia="宋体" w:cs="宋体"/>
          <w:b/>
          <w:color w:val="auto"/>
          <w:sz w:val="32"/>
          <w:szCs w:val="32"/>
          <w:highlight w:val="none"/>
          <w:u w:val="single"/>
        </w:rPr>
        <w:t xml:space="preserve">      </w:t>
      </w:r>
    </w:p>
    <w:p w14:paraId="48278E8E">
      <w:pPr>
        <w:pageBreakBefore w:val="0"/>
        <w:topLinePunct w:val="0"/>
        <w:bidi w:val="0"/>
        <w:spacing w:line="500" w:lineRule="exact"/>
        <w:ind w:left="0" w:leftChars="0" w:right="0"/>
        <w:jc w:val="left"/>
        <w:rPr>
          <w:rFonts w:hint="eastAsia" w:ascii="宋体" w:hAnsi="宋体" w:eastAsia="宋体" w:cs="宋体"/>
          <w:b/>
          <w:color w:val="auto"/>
          <w:sz w:val="32"/>
          <w:szCs w:val="32"/>
          <w:highlight w:val="none"/>
          <w:u w:val="single"/>
        </w:rPr>
      </w:pPr>
    </w:p>
    <w:p w14:paraId="32165181">
      <w:pPr>
        <w:pageBreakBefore w:val="0"/>
        <w:topLinePunct w:val="0"/>
        <w:bidi w:val="0"/>
        <w:spacing w:line="500" w:lineRule="exact"/>
        <w:ind w:left="0" w:leftChars="0" w:right="0"/>
        <w:jc w:val="left"/>
        <w:rPr>
          <w:rFonts w:hint="eastAsia" w:ascii="宋体" w:hAnsi="宋体" w:eastAsia="宋体" w:cs="宋体"/>
          <w:b/>
          <w:color w:val="auto"/>
          <w:sz w:val="32"/>
          <w:szCs w:val="32"/>
          <w:highlight w:val="none"/>
          <w:u w:val="single"/>
        </w:rPr>
      </w:pPr>
      <w:r>
        <w:rPr>
          <w:rFonts w:hint="eastAsia" w:ascii="宋体" w:hAnsi="宋体" w:eastAsia="宋体" w:cs="宋体"/>
          <w:b/>
          <w:color w:val="auto"/>
          <w:sz w:val="32"/>
          <w:szCs w:val="32"/>
          <w:highlight w:val="none"/>
        </w:rPr>
        <w:t>时  间：</w:t>
      </w:r>
      <w:r>
        <w:rPr>
          <w:rFonts w:hint="eastAsia" w:ascii="宋体" w:hAnsi="宋体" w:eastAsia="宋体" w:cs="宋体"/>
          <w:b/>
          <w:color w:val="auto"/>
          <w:sz w:val="32"/>
          <w:szCs w:val="32"/>
          <w:highlight w:val="none"/>
          <w:u w:val="single"/>
        </w:rPr>
        <w:t xml:space="preserve">            </w:t>
      </w:r>
      <w:r>
        <w:rPr>
          <w:rFonts w:hint="eastAsia" w:ascii="宋体" w:hAnsi="宋体" w:eastAsia="宋体" w:cs="宋体"/>
          <w:b/>
          <w:color w:val="auto"/>
          <w:sz w:val="32"/>
          <w:szCs w:val="32"/>
          <w:highlight w:val="none"/>
          <w:u w:val="single"/>
          <w:lang w:val="en-US" w:eastAsia="zh-CN"/>
        </w:rPr>
        <w:t xml:space="preserve">                    </w:t>
      </w:r>
      <w:r>
        <w:rPr>
          <w:rFonts w:hint="eastAsia" w:ascii="宋体" w:hAnsi="宋体" w:eastAsia="宋体" w:cs="宋体"/>
          <w:b/>
          <w:color w:val="auto"/>
          <w:sz w:val="32"/>
          <w:szCs w:val="32"/>
          <w:highlight w:val="none"/>
          <w:u w:val="single"/>
        </w:rPr>
        <w:t xml:space="preserve">  </w:t>
      </w:r>
      <w:r>
        <w:rPr>
          <w:rFonts w:hint="eastAsia" w:ascii="宋体" w:hAnsi="宋体" w:eastAsia="宋体" w:cs="宋体"/>
          <w:b/>
          <w:color w:val="auto"/>
          <w:sz w:val="32"/>
          <w:szCs w:val="32"/>
          <w:highlight w:val="none"/>
          <w:u w:val="single"/>
          <w:lang w:val="en-US" w:eastAsia="zh-CN"/>
        </w:rPr>
        <w:t xml:space="preserve">   </w:t>
      </w:r>
      <w:r>
        <w:rPr>
          <w:rFonts w:hint="eastAsia" w:ascii="宋体" w:hAnsi="宋体" w:eastAsia="宋体" w:cs="宋体"/>
          <w:b/>
          <w:color w:val="auto"/>
          <w:sz w:val="32"/>
          <w:szCs w:val="32"/>
          <w:highlight w:val="none"/>
          <w:u w:val="single"/>
        </w:rPr>
        <w:t xml:space="preserve">    </w:t>
      </w:r>
    </w:p>
    <w:p w14:paraId="73829192">
      <w:pPr>
        <w:pageBreakBefore w:val="0"/>
        <w:topLinePunct w:val="0"/>
        <w:bidi w:val="0"/>
        <w:spacing w:line="500" w:lineRule="exact"/>
        <w:ind w:left="0" w:leftChars="0" w:right="0"/>
        <w:rPr>
          <w:rFonts w:hint="eastAsia" w:ascii="宋体" w:hAnsi="宋体" w:eastAsia="宋体" w:cs="宋体"/>
          <w:b/>
          <w:bCs/>
          <w:color w:val="auto"/>
          <w:sz w:val="44"/>
          <w:szCs w:val="32"/>
          <w:highlight w:val="none"/>
          <w:lang w:val="en-US" w:eastAsia="zh-CN"/>
        </w:rPr>
      </w:pPr>
      <w:bookmarkStart w:id="249" w:name="_Toc21589"/>
      <w:bookmarkStart w:id="250" w:name="_Toc24885"/>
      <w:bookmarkStart w:id="251" w:name="_Toc22061"/>
      <w:bookmarkStart w:id="252" w:name="_Toc11086"/>
      <w:bookmarkStart w:id="253" w:name="_Toc15048"/>
      <w:bookmarkStart w:id="254" w:name="_Toc27723"/>
      <w:bookmarkStart w:id="255" w:name="_Toc15779"/>
      <w:bookmarkStart w:id="256" w:name="_Toc27299"/>
      <w:bookmarkStart w:id="257" w:name="_Toc13882"/>
      <w:r>
        <w:rPr>
          <w:rFonts w:hint="eastAsia" w:ascii="宋体" w:hAnsi="宋体" w:eastAsia="宋体" w:cs="宋体"/>
          <w:b/>
          <w:bCs/>
          <w:color w:val="auto"/>
          <w:sz w:val="44"/>
          <w:szCs w:val="32"/>
          <w:highlight w:val="none"/>
          <w:lang w:val="en-US" w:eastAsia="zh-CN"/>
        </w:rPr>
        <w:br w:type="page"/>
      </w:r>
    </w:p>
    <w:p w14:paraId="0E808529">
      <w:pPr>
        <w:pageBreakBefore w:val="0"/>
        <w:topLinePunct w:val="0"/>
        <w:bidi w:val="0"/>
        <w:spacing w:line="500" w:lineRule="exact"/>
        <w:ind w:left="0" w:leftChars="0" w:right="0"/>
        <w:jc w:val="center"/>
        <w:rPr>
          <w:rFonts w:hint="eastAsia" w:ascii="宋体" w:hAnsi="宋体" w:eastAsia="宋体" w:cs="宋体"/>
          <w:b/>
          <w:bCs/>
          <w:color w:val="auto"/>
          <w:sz w:val="44"/>
          <w:szCs w:val="32"/>
          <w:highlight w:val="none"/>
          <w:lang w:val="en-US" w:eastAsia="zh-CN"/>
        </w:rPr>
      </w:pPr>
      <w:r>
        <w:rPr>
          <w:rFonts w:hint="eastAsia" w:ascii="宋体" w:hAnsi="宋体" w:eastAsia="宋体" w:cs="宋体"/>
          <w:b/>
          <w:bCs/>
          <w:color w:val="auto"/>
          <w:sz w:val="44"/>
          <w:szCs w:val="32"/>
          <w:highlight w:val="none"/>
          <w:lang w:val="en-US" w:eastAsia="zh-CN"/>
        </w:rPr>
        <w:t>目  录</w:t>
      </w:r>
      <w:bookmarkEnd w:id="249"/>
      <w:bookmarkEnd w:id="250"/>
    </w:p>
    <w:p w14:paraId="291557BE">
      <w:pPr>
        <w:pageBreakBefore w:val="0"/>
        <w:topLinePunct w:val="0"/>
        <w:bidi w:val="0"/>
        <w:spacing w:line="500" w:lineRule="exact"/>
        <w:ind w:left="0" w:leftChars="0" w:right="0"/>
        <w:jc w:val="center"/>
        <w:rPr>
          <w:rFonts w:hint="eastAsia" w:ascii="宋体" w:hAnsi="宋体" w:eastAsia="宋体" w:cs="宋体"/>
          <w:color w:val="auto"/>
          <w:highlight w:val="none"/>
          <w:lang w:val="en-US" w:eastAsia="zh-CN"/>
        </w:rPr>
      </w:pPr>
      <w:bookmarkStart w:id="258" w:name="_Toc11689"/>
      <w:bookmarkStart w:id="259" w:name="_Toc19350"/>
      <w:r>
        <w:rPr>
          <w:rFonts w:hint="eastAsia" w:ascii="宋体" w:hAnsi="宋体" w:eastAsia="宋体" w:cs="宋体"/>
          <w:b/>
          <w:bCs/>
          <w:color w:val="auto"/>
          <w:sz w:val="32"/>
          <w:szCs w:val="32"/>
        </w:rPr>
        <w:t>（须自动索引目录）</w:t>
      </w:r>
    </w:p>
    <w:p w14:paraId="18C54474">
      <w:pPr>
        <w:pStyle w:val="3"/>
        <w:pageBreakBefore w:val="0"/>
        <w:topLinePunct w:val="0"/>
        <w:bidi w:val="0"/>
        <w:spacing w:before="0" w:after="0" w:line="500" w:lineRule="exact"/>
        <w:ind w:left="0" w:leftChars="0" w:right="0"/>
        <w:jc w:val="center"/>
        <w:rPr>
          <w:rFonts w:hint="eastAsia" w:ascii="宋体" w:hAnsi="宋体" w:eastAsia="宋体" w:cs="宋体"/>
          <w:color w:val="auto"/>
          <w:highlight w:val="none"/>
          <w:lang w:val="en-US" w:eastAsia="zh-CN"/>
        </w:rPr>
        <w:sectPr>
          <w:headerReference r:id="rId6" w:type="first"/>
          <w:footerReference r:id="rId8" w:type="first"/>
          <w:headerReference r:id="rId5" w:type="default"/>
          <w:footerReference r:id="rId7" w:type="default"/>
          <w:pgSz w:w="11905" w:h="16838"/>
          <w:pgMar w:top="1440" w:right="1080" w:bottom="1440" w:left="1080" w:header="1134" w:footer="1134" w:gutter="0"/>
          <w:pgBorders>
            <w:top w:val="none" w:sz="0" w:space="0"/>
            <w:left w:val="none" w:sz="0" w:space="0"/>
            <w:bottom w:val="none" w:sz="0" w:space="0"/>
            <w:right w:val="none" w:sz="0" w:space="0"/>
          </w:pgBorders>
          <w:pgNumType w:fmt="decimal"/>
          <w:cols w:space="0" w:num="1"/>
          <w:titlePg/>
          <w:docGrid w:linePitch="312" w:charSpace="0"/>
        </w:sectPr>
      </w:pPr>
      <w:bookmarkStart w:id="260" w:name="_Toc29416"/>
      <w:bookmarkStart w:id="261" w:name="_Toc18925"/>
      <w:bookmarkStart w:id="262" w:name="_Toc17844"/>
      <w:bookmarkStart w:id="263" w:name="_Toc17316"/>
      <w:bookmarkStart w:id="264" w:name="_Toc19381"/>
      <w:bookmarkStart w:id="265" w:name="_Toc12306"/>
    </w:p>
    <w:p w14:paraId="2D86A3F4">
      <w:pPr>
        <w:pStyle w:val="3"/>
        <w:pageBreakBefore w:val="0"/>
        <w:topLinePunct w:val="0"/>
        <w:bidi w:val="0"/>
        <w:spacing w:before="0" w:after="0" w:line="500" w:lineRule="exact"/>
        <w:ind w:left="0" w:leftChars="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一、响应函</w:t>
      </w:r>
      <w:bookmarkEnd w:id="260"/>
      <w:bookmarkEnd w:id="261"/>
      <w:bookmarkEnd w:id="262"/>
      <w:bookmarkEnd w:id="263"/>
      <w:bookmarkEnd w:id="264"/>
      <w:bookmarkEnd w:id="265"/>
    </w:p>
    <w:p w14:paraId="2E585258">
      <w:pPr>
        <w:pageBreakBefore w:val="0"/>
        <w:shd w:val="clear"/>
        <w:topLinePunct w:val="0"/>
        <w:bidi w:val="0"/>
        <w:spacing w:line="500" w:lineRule="exact"/>
        <w:ind w:left="0" w:leftChars="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u w:val="single"/>
        </w:rPr>
        <w:t>（采购人名称）</w:t>
      </w:r>
      <w:r>
        <w:rPr>
          <w:rFonts w:hint="eastAsia" w:ascii="宋体" w:hAnsi="宋体" w:eastAsia="宋体" w:cs="宋体"/>
          <w:color w:val="auto"/>
          <w:szCs w:val="21"/>
          <w:highlight w:val="none"/>
        </w:rPr>
        <w:t>：</w:t>
      </w:r>
    </w:p>
    <w:p w14:paraId="74EAC630">
      <w:pPr>
        <w:pageBreakBefore w:val="0"/>
        <w:shd w:val="clear"/>
        <w:topLinePunct w:val="0"/>
        <w:bidi w:val="0"/>
        <w:spacing w:line="500" w:lineRule="exact"/>
        <w:ind w:left="0" w:leftChars="0" w:right="0" w:firstLine="48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根据贵方</w:t>
      </w:r>
      <w:r>
        <w:rPr>
          <w:rFonts w:hint="eastAsia" w:ascii="宋体" w:hAnsi="宋体" w:eastAsia="宋体" w:cs="宋体"/>
          <w:color w:val="auto"/>
          <w:szCs w:val="21"/>
          <w:highlight w:val="none"/>
          <w:u w:val="single"/>
        </w:rPr>
        <w:t>（</w:t>
      </w:r>
      <w:r>
        <w:rPr>
          <w:rFonts w:hint="eastAsia" w:ascii="宋体" w:hAnsi="宋体" w:eastAsia="宋体" w:cs="宋体"/>
          <w:color w:val="auto"/>
          <w:szCs w:val="21"/>
          <w:highlight w:val="none"/>
          <w:u w:val="single"/>
          <w:lang w:eastAsia="zh-CN"/>
        </w:rPr>
        <w:t>采购</w:t>
      </w:r>
      <w:r>
        <w:rPr>
          <w:rFonts w:hint="eastAsia" w:ascii="宋体" w:hAnsi="宋体" w:eastAsia="宋体" w:cs="宋体"/>
          <w:color w:val="auto"/>
          <w:szCs w:val="21"/>
          <w:highlight w:val="none"/>
          <w:u w:val="single"/>
        </w:rPr>
        <w:t>项目名称）（</w:t>
      </w:r>
      <w:r>
        <w:rPr>
          <w:rFonts w:hint="eastAsia" w:ascii="宋体" w:hAnsi="宋体" w:eastAsia="宋体" w:cs="宋体"/>
          <w:color w:val="auto"/>
          <w:szCs w:val="21"/>
          <w:highlight w:val="none"/>
          <w:u w:val="single"/>
          <w:lang w:eastAsia="zh-CN"/>
        </w:rPr>
        <w:t>采购</w:t>
      </w:r>
      <w:r>
        <w:rPr>
          <w:rFonts w:hint="eastAsia" w:ascii="宋体" w:hAnsi="宋体" w:eastAsia="宋体" w:cs="宋体"/>
          <w:color w:val="auto"/>
          <w:szCs w:val="21"/>
          <w:highlight w:val="none"/>
          <w:u w:val="single"/>
        </w:rPr>
        <w:t>项目编号）</w:t>
      </w:r>
      <w:r>
        <w:rPr>
          <w:rFonts w:hint="eastAsia" w:ascii="宋体" w:hAnsi="宋体" w:eastAsia="宋体" w:cs="宋体"/>
          <w:color w:val="auto"/>
          <w:szCs w:val="21"/>
          <w:highlight w:val="none"/>
        </w:rPr>
        <w:t>磋商文件，签字代表</w:t>
      </w:r>
      <w:r>
        <w:rPr>
          <w:rFonts w:hint="eastAsia" w:ascii="宋体" w:hAnsi="宋体" w:eastAsia="宋体" w:cs="宋体"/>
          <w:color w:val="auto"/>
          <w:szCs w:val="21"/>
          <w:highlight w:val="none"/>
          <w:u w:val="single"/>
        </w:rPr>
        <w:t>(全名、职务)</w:t>
      </w:r>
      <w:r>
        <w:rPr>
          <w:rFonts w:hint="eastAsia" w:ascii="宋体" w:hAnsi="宋体" w:eastAsia="宋体" w:cs="宋体"/>
          <w:color w:val="auto"/>
          <w:szCs w:val="21"/>
          <w:highlight w:val="none"/>
        </w:rPr>
        <w:t>经正式授权并代表</w:t>
      </w:r>
      <w:r>
        <w:rPr>
          <w:rFonts w:hint="eastAsia" w:ascii="宋体" w:hAnsi="宋体" w:eastAsia="宋体" w:cs="宋体"/>
          <w:color w:val="auto"/>
          <w:szCs w:val="21"/>
          <w:highlight w:val="none"/>
          <w:u w:val="single"/>
        </w:rPr>
        <w:t>(供应商名称、地址）</w:t>
      </w:r>
      <w:r>
        <w:rPr>
          <w:rFonts w:hint="eastAsia" w:ascii="宋体" w:hAnsi="宋体" w:eastAsia="宋体" w:cs="宋体"/>
          <w:color w:val="auto"/>
          <w:szCs w:val="21"/>
          <w:highlight w:val="none"/>
        </w:rPr>
        <w:t>提交</w:t>
      </w:r>
      <w:r>
        <w:rPr>
          <w:rFonts w:hint="eastAsia" w:ascii="宋体" w:hAnsi="宋体" w:eastAsia="宋体" w:cs="宋体"/>
          <w:color w:val="auto"/>
          <w:szCs w:val="21"/>
          <w:highlight w:val="none"/>
          <w:lang w:eastAsia="zh-CN"/>
        </w:rPr>
        <w:t>纸质版</w:t>
      </w:r>
      <w:r>
        <w:rPr>
          <w:rFonts w:hint="eastAsia" w:ascii="宋体" w:hAnsi="宋体" w:eastAsia="宋体" w:cs="宋体"/>
          <w:color w:val="auto"/>
          <w:szCs w:val="21"/>
          <w:highlight w:val="none"/>
        </w:rPr>
        <w:t>响应文件正本</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份、副本一式</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份</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电子版</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lang w:val="en-US" w:eastAsia="zh-CN"/>
        </w:rPr>
        <w:t>份</w:t>
      </w:r>
      <w:r>
        <w:rPr>
          <w:rFonts w:hint="eastAsia" w:ascii="宋体" w:hAnsi="宋体" w:eastAsia="宋体" w:cs="宋体"/>
          <w:color w:val="auto"/>
          <w:szCs w:val="21"/>
          <w:highlight w:val="none"/>
        </w:rPr>
        <w:t>。</w:t>
      </w:r>
    </w:p>
    <w:p w14:paraId="6930B85C">
      <w:pPr>
        <w:pageBreakBefore w:val="0"/>
        <w:shd w:val="clear"/>
        <w:topLinePunct w:val="0"/>
        <w:bidi w:val="0"/>
        <w:spacing w:line="500" w:lineRule="exact"/>
        <w:ind w:left="0" w:leftChars="0" w:right="0" w:firstLine="42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1.愿意按照磋商文件中的一切要求，总报价为：人民币（大写）：</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；（小写）</w:t>
      </w:r>
      <w:r>
        <w:rPr>
          <w:rFonts w:hint="eastAsia" w:ascii="宋体" w:hAnsi="宋体" w:eastAsia="宋体" w:cs="宋体"/>
          <w:color w:val="auto"/>
          <w:szCs w:val="21"/>
          <w:highlight w:val="none"/>
          <w:u w:val="single"/>
        </w:rPr>
        <w:t>￥            元。</w:t>
      </w:r>
    </w:p>
    <w:p w14:paraId="428A9AEE">
      <w:pPr>
        <w:pageBreakBefore w:val="0"/>
        <w:shd w:val="clear"/>
        <w:topLinePunct w:val="0"/>
        <w:bidi w:val="0"/>
        <w:spacing w:line="500" w:lineRule="exact"/>
        <w:ind w:left="0" w:leftChars="0" w:right="0"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供应商将按磋商文件的规定履行合同责任和义务；</w:t>
      </w:r>
    </w:p>
    <w:p w14:paraId="4F46FD11">
      <w:pPr>
        <w:pageBreakBefore w:val="0"/>
        <w:shd w:val="clear"/>
        <w:topLinePunct w:val="0"/>
        <w:bidi w:val="0"/>
        <w:spacing w:line="500" w:lineRule="exact"/>
        <w:ind w:left="0" w:leftChars="0" w:right="0"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.供应商已详细审查全部磋商文件，包括修改文件（如有的话）以及全部参考资料和有关附件。我们完全理解并同意放弃对这方面有不明及误解的权利；</w:t>
      </w:r>
    </w:p>
    <w:p w14:paraId="6D7B072A">
      <w:pPr>
        <w:pageBreakBefore w:val="0"/>
        <w:shd w:val="clear"/>
        <w:topLinePunct w:val="0"/>
        <w:bidi w:val="0"/>
        <w:spacing w:line="500" w:lineRule="exact"/>
        <w:ind w:left="0" w:leftChars="0" w:right="0"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w:t>
      </w:r>
      <w:r>
        <w:rPr>
          <w:rFonts w:hint="eastAsia" w:ascii="宋体" w:hAnsi="宋体" w:eastAsia="宋体" w:cs="宋体"/>
          <w:b/>
          <w:bCs/>
          <w:color w:val="auto"/>
          <w:szCs w:val="21"/>
          <w:highlight w:val="none"/>
        </w:rPr>
        <w:t>供应商同意提供按照贵方可能要求的与其磋商有关的一切数据或资料，完全理解贵方不一定要接受最低价的报价或收到的任何其他报价；</w:t>
      </w:r>
    </w:p>
    <w:p w14:paraId="23BED07F">
      <w:pPr>
        <w:pageBreakBefore w:val="0"/>
        <w:shd w:val="clear"/>
        <w:topLinePunct w:val="0"/>
        <w:bidi w:val="0"/>
        <w:spacing w:line="500" w:lineRule="exact"/>
        <w:ind w:left="0" w:leftChars="0" w:right="0"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其他</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lang w:val="en-US" w:eastAsia="zh-CN"/>
        </w:rPr>
        <w:t>；</w:t>
      </w:r>
    </w:p>
    <w:p w14:paraId="6DEBEBDE">
      <w:pPr>
        <w:pageBreakBefore w:val="0"/>
        <w:shd w:val="clear"/>
        <w:topLinePunct w:val="0"/>
        <w:bidi w:val="0"/>
        <w:spacing w:line="500" w:lineRule="exact"/>
        <w:ind w:left="0" w:leftChars="0" w:right="0" w:firstLine="42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6.</w:t>
      </w:r>
      <w:r>
        <w:rPr>
          <w:rFonts w:hint="eastAsia" w:ascii="宋体" w:hAnsi="宋体" w:eastAsia="宋体" w:cs="宋体"/>
          <w:color w:val="auto"/>
          <w:sz w:val="24"/>
          <w:highlight w:val="none"/>
        </w:rPr>
        <w:t>我们同意在投标有效期内（</w:t>
      </w:r>
      <w:r>
        <w:rPr>
          <w:rFonts w:hint="eastAsia" w:ascii="宋体" w:hAnsi="宋体" w:eastAsia="宋体" w:cs="宋体"/>
          <w:color w:val="auto"/>
          <w:sz w:val="24"/>
          <w:highlight w:val="none"/>
          <w:u w:val="single"/>
        </w:rPr>
        <w:t>自开标之日起天内</w:t>
      </w:r>
      <w:r>
        <w:rPr>
          <w:rFonts w:hint="eastAsia" w:ascii="宋体" w:hAnsi="宋体" w:eastAsia="宋体" w:cs="宋体"/>
          <w:color w:val="auto"/>
          <w:sz w:val="24"/>
          <w:highlight w:val="none"/>
        </w:rPr>
        <w:t>），本投标函对我方具有约束力。</w:t>
      </w:r>
    </w:p>
    <w:p w14:paraId="3DAC36D7">
      <w:pPr>
        <w:pageBreakBefore w:val="0"/>
        <w:shd w:val="clear"/>
        <w:topLinePunct w:val="0"/>
        <w:bidi w:val="0"/>
        <w:spacing w:line="500" w:lineRule="exact"/>
        <w:ind w:left="0" w:leftChars="0" w:right="0" w:firstLine="42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.与本项目有关的一切正式往来通讯请寄</w:t>
      </w:r>
      <w:r>
        <w:rPr>
          <w:rFonts w:hint="eastAsia" w:ascii="宋体" w:hAnsi="宋体" w:eastAsia="宋体" w:cs="宋体"/>
          <w:color w:val="auto"/>
          <w:szCs w:val="21"/>
          <w:highlight w:val="none"/>
          <w:lang w:eastAsia="zh-CN"/>
        </w:rPr>
        <w:t>：</w:t>
      </w:r>
    </w:p>
    <w:p w14:paraId="74F08C08">
      <w:pPr>
        <w:pageBreakBefore w:val="0"/>
        <w:shd w:val="clear"/>
        <w:topLinePunct w:val="0"/>
        <w:bidi w:val="0"/>
        <w:spacing w:line="500" w:lineRule="exact"/>
        <w:ind w:left="0" w:leftChars="0" w:right="0" w:firstLine="42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地址：</w:t>
      </w:r>
      <w:r>
        <w:rPr>
          <w:rFonts w:hint="eastAsia" w:ascii="宋体" w:hAnsi="宋体" w:eastAsia="宋体" w:cs="宋体"/>
          <w:color w:val="auto"/>
          <w:szCs w:val="21"/>
          <w:highlight w:val="none"/>
          <w:u w:val="single"/>
        </w:rPr>
        <w:t xml:space="preserve">              </w:t>
      </w:r>
    </w:p>
    <w:p w14:paraId="5E703385">
      <w:pPr>
        <w:pageBreakBefore w:val="0"/>
        <w:shd w:val="clear"/>
        <w:topLinePunct w:val="0"/>
        <w:bidi w:val="0"/>
        <w:spacing w:line="500" w:lineRule="exact"/>
        <w:ind w:left="0" w:leftChars="0" w:right="0"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邮编：</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07D76A02">
      <w:pPr>
        <w:pageBreakBefore w:val="0"/>
        <w:shd w:val="clear"/>
        <w:topLinePunct w:val="0"/>
        <w:bidi w:val="0"/>
        <w:spacing w:line="500" w:lineRule="exact"/>
        <w:ind w:left="0" w:leftChars="0" w:right="0" w:firstLine="42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电话：</w:t>
      </w:r>
      <w:r>
        <w:rPr>
          <w:rFonts w:hint="eastAsia" w:ascii="宋体" w:hAnsi="宋体" w:eastAsia="宋体" w:cs="宋体"/>
          <w:color w:val="auto"/>
          <w:szCs w:val="21"/>
          <w:highlight w:val="none"/>
          <w:u w:val="single"/>
        </w:rPr>
        <w:t xml:space="preserve">            </w:t>
      </w:r>
    </w:p>
    <w:p w14:paraId="7283527B">
      <w:pPr>
        <w:pageBreakBefore w:val="0"/>
        <w:shd w:val="clear"/>
        <w:topLinePunct w:val="0"/>
        <w:bidi w:val="0"/>
        <w:spacing w:line="500" w:lineRule="exact"/>
        <w:ind w:left="0" w:leftChars="0" w:right="0" w:firstLine="42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传真：</w:t>
      </w:r>
      <w:r>
        <w:rPr>
          <w:rFonts w:hint="eastAsia" w:ascii="宋体" w:hAnsi="宋体" w:eastAsia="宋体" w:cs="宋体"/>
          <w:color w:val="auto"/>
          <w:szCs w:val="21"/>
          <w:highlight w:val="none"/>
          <w:u w:val="single"/>
        </w:rPr>
        <w:t xml:space="preserve">              </w:t>
      </w:r>
    </w:p>
    <w:p w14:paraId="7F2A1C5C">
      <w:pPr>
        <w:pageBreakBefore w:val="0"/>
        <w:shd w:val="clear"/>
        <w:topLinePunct w:val="0"/>
        <w:bidi w:val="0"/>
        <w:spacing w:line="500" w:lineRule="exact"/>
        <w:ind w:left="0" w:leftChars="0" w:right="0" w:firstLine="42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供应商代表姓名、职务（印刷体）：</w:t>
      </w:r>
      <w:r>
        <w:rPr>
          <w:rFonts w:hint="eastAsia" w:ascii="宋体" w:hAnsi="宋体" w:eastAsia="宋体" w:cs="宋体"/>
          <w:color w:val="auto"/>
          <w:szCs w:val="21"/>
          <w:highlight w:val="none"/>
          <w:u w:val="single"/>
        </w:rPr>
        <w:t xml:space="preserve">         </w:t>
      </w:r>
    </w:p>
    <w:p w14:paraId="55A7CD1A">
      <w:pPr>
        <w:pageBreakBefore w:val="0"/>
        <w:shd w:val="clear"/>
        <w:topLinePunct w:val="0"/>
        <w:bidi w:val="0"/>
        <w:spacing w:line="500" w:lineRule="exact"/>
        <w:ind w:left="0" w:leftChars="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t>供应商名称：</w:t>
      </w:r>
      <w:r>
        <w:rPr>
          <w:rFonts w:hint="eastAsia" w:ascii="宋体" w:hAnsi="宋体" w:eastAsia="宋体" w:cs="宋体"/>
          <w:color w:val="auto"/>
          <w:szCs w:val="21"/>
          <w:highlight w:val="none"/>
          <w:u w:val="single"/>
        </w:rPr>
        <w:t xml:space="preserve">              （公章） </w:t>
      </w:r>
    </w:p>
    <w:p w14:paraId="588E4BEC">
      <w:pPr>
        <w:pageBreakBefore w:val="0"/>
        <w:shd w:val="clear"/>
        <w:topLinePunct w:val="0"/>
        <w:bidi w:val="0"/>
        <w:spacing w:line="500" w:lineRule="exact"/>
        <w:ind w:left="0" w:leftChars="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t>法定代表人</w:t>
      </w:r>
      <w:r>
        <w:rPr>
          <w:rFonts w:hint="eastAsia" w:ascii="宋体" w:hAnsi="宋体" w:eastAsia="宋体" w:cs="宋体"/>
          <w:color w:val="auto"/>
          <w:szCs w:val="21"/>
          <w:highlight w:val="none"/>
          <w:lang w:val="en-US" w:eastAsia="zh-CN"/>
        </w:rPr>
        <w:t>或授权委托人</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（签字或盖章）</w:t>
      </w:r>
    </w:p>
    <w:p w14:paraId="0B97A4BC">
      <w:pPr>
        <w:pageBreakBefore w:val="0"/>
        <w:shd w:val="clear"/>
        <w:topLinePunct w:val="0"/>
        <w:bidi w:val="0"/>
        <w:spacing w:line="500" w:lineRule="exact"/>
        <w:ind w:left="0" w:leftChars="0" w:right="0" w:firstLine="364" w:firstLineChars="152"/>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     期：   年   月   日</w:t>
      </w:r>
      <w:bookmarkStart w:id="266" w:name="_Hlt491573407"/>
      <w:bookmarkEnd w:id="266"/>
    </w:p>
    <w:p w14:paraId="22FC6F10">
      <w:pPr>
        <w:pageBreakBefore w:val="0"/>
        <w:shd w:val="clear"/>
        <w:topLinePunct w:val="0"/>
        <w:bidi w:val="0"/>
        <w:spacing w:line="500" w:lineRule="exact"/>
        <w:ind w:left="0" w:leftChars="0" w:right="0"/>
        <w:rPr>
          <w:rFonts w:hint="eastAsia" w:ascii="宋体" w:hAnsi="宋体" w:eastAsia="宋体" w:cs="宋体"/>
          <w:color w:val="auto"/>
          <w:sz w:val="32"/>
          <w:szCs w:val="32"/>
          <w:highlight w:val="none"/>
        </w:rPr>
      </w:pPr>
    </w:p>
    <w:p w14:paraId="33BF86C7">
      <w:pPr>
        <w:pageBreakBefore w:val="0"/>
        <w:widowControl/>
        <w:shd w:val="clear"/>
        <w:topLinePunct w:val="0"/>
        <w:bidi w:val="0"/>
        <w:spacing w:line="500" w:lineRule="exact"/>
        <w:ind w:left="0" w:leftChars="0" w:right="0"/>
        <w:jc w:val="left"/>
        <w:rPr>
          <w:rFonts w:hint="eastAsia" w:ascii="宋体" w:hAnsi="宋体" w:eastAsia="宋体" w:cs="宋体"/>
          <w:b/>
          <w:bCs/>
          <w:color w:val="auto"/>
          <w:sz w:val="28"/>
          <w:szCs w:val="22"/>
          <w:highlight w:val="none"/>
        </w:rPr>
      </w:pPr>
      <w:r>
        <w:rPr>
          <w:rFonts w:hint="eastAsia" w:ascii="宋体" w:hAnsi="宋体" w:eastAsia="宋体" w:cs="宋体"/>
          <w:b/>
          <w:bCs/>
          <w:color w:val="auto"/>
          <w:sz w:val="28"/>
          <w:highlight w:val="none"/>
        </w:rPr>
        <w:br w:type="page"/>
      </w:r>
    </w:p>
    <w:p w14:paraId="032D6B08">
      <w:pPr>
        <w:pStyle w:val="3"/>
        <w:pageBreakBefore w:val="0"/>
        <w:topLinePunct w:val="0"/>
        <w:bidi w:val="0"/>
        <w:spacing w:before="0" w:after="0" w:line="500" w:lineRule="exact"/>
        <w:ind w:left="0" w:leftChars="0" w:right="0"/>
        <w:jc w:val="center"/>
        <w:rPr>
          <w:rFonts w:hint="eastAsia" w:ascii="宋体" w:hAnsi="宋体" w:eastAsia="宋体" w:cs="宋体"/>
          <w:color w:val="auto"/>
          <w:highlight w:val="none"/>
          <w:lang w:val="en-US" w:eastAsia="zh-CN"/>
        </w:rPr>
      </w:pPr>
      <w:bookmarkStart w:id="267" w:name="_Toc10127"/>
      <w:bookmarkStart w:id="268" w:name="_Toc24912"/>
      <w:bookmarkStart w:id="269" w:name="_Toc5025"/>
      <w:bookmarkStart w:id="270" w:name="_Toc28680"/>
      <w:bookmarkStart w:id="271" w:name="_Toc3275"/>
      <w:bookmarkStart w:id="272" w:name="_Toc13702"/>
      <w:bookmarkStart w:id="273" w:name="_Toc15351"/>
      <w:bookmarkStart w:id="274" w:name="_Toc31432"/>
      <w:bookmarkStart w:id="275" w:name="_Toc3365"/>
      <w:bookmarkStart w:id="276" w:name="_Toc11561"/>
      <w:bookmarkStart w:id="277" w:name="_Toc11250"/>
      <w:r>
        <w:rPr>
          <w:rFonts w:hint="eastAsia" w:ascii="宋体" w:hAnsi="宋体" w:eastAsia="宋体" w:cs="宋体"/>
          <w:color w:val="auto"/>
          <w:highlight w:val="none"/>
          <w:lang w:val="en-US" w:eastAsia="zh-CN"/>
        </w:rPr>
        <w:t>二、第一次磋商报价表</w:t>
      </w:r>
      <w:bookmarkEnd w:id="267"/>
      <w:bookmarkEnd w:id="268"/>
      <w:bookmarkEnd w:id="269"/>
      <w:bookmarkEnd w:id="270"/>
      <w:bookmarkEnd w:id="271"/>
      <w:bookmarkEnd w:id="272"/>
      <w:bookmarkEnd w:id="273"/>
      <w:bookmarkEnd w:id="274"/>
      <w:bookmarkEnd w:id="275"/>
      <w:bookmarkEnd w:id="276"/>
      <w:bookmarkEnd w:id="277"/>
    </w:p>
    <w:tbl>
      <w:tblPr>
        <w:tblStyle w:val="26"/>
        <w:tblW w:w="94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0"/>
        <w:gridCol w:w="6943"/>
      </w:tblGrid>
      <w:tr w14:paraId="2079C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530" w:type="dxa"/>
            <w:vAlign w:val="center"/>
          </w:tcPr>
          <w:p w14:paraId="1CB8F626">
            <w:pPr>
              <w:pageBreakBefore w:val="0"/>
              <w:shd w:val="clear"/>
              <w:topLinePunct w:val="0"/>
              <w:bidi w:val="0"/>
              <w:spacing w:line="500" w:lineRule="exact"/>
              <w:ind w:left="0" w:leftChars="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采购</w:t>
            </w:r>
            <w:r>
              <w:rPr>
                <w:rFonts w:hint="eastAsia" w:ascii="宋体" w:hAnsi="宋体" w:eastAsia="宋体" w:cs="宋体"/>
                <w:color w:val="auto"/>
                <w:szCs w:val="21"/>
                <w:highlight w:val="none"/>
              </w:rPr>
              <w:t>项目编号</w:t>
            </w:r>
          </w:p>
        </w:tc>
        <w:tc>
          <w:tcPr>
            <w:tcW w:w="6943" w:type="dxa"/>
            <w:vAlign w:val="center"/>
          </w:tcPr>
          <w:p w14:paraId="6CE416F7">
            <w:pPr>
              <w:pageBreakBefore w:val="0"/>
              <w:shd w:val="clear"/>
              <w:topLinePunct w:val="0"/>
              <w:bidi w:val="0"/>
              <w:spacing w:line="500" w:lineRule="exact"/>
              <w:ind w:left="0" w:leftChars="0" w:right="0"/>
              <w:jc w:val="center"/>
              <w:rPr>
                <w:rFonts w:hint="eastAsia" w:ascii="宋体" w:hAnsi="宋体" w:eastAsia="宋体" w:cs="宋体"/>
                <w:color w:val="auto"/>
                <w:szCs w:val="21"/>
                <w:highlight w:val="none"/>
              </w:rPr>
            </w:pPr>
          </w:p>
        </w:tc>
      </w:tr>
      <w:tr w14:paraId="32F8E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530" w:type="dxa"/>
            <w:vAlign w:val="center"/>
          </w:tcPr>
          <w:p w14:paraId="186E73CD">
            <w:pPr>
              <w:pageBreakBefore w:val="0"/>
              <w:shd w:val="clear"/>
              <w:topLinePunct w:val="0"/>
              <w:bidi w:val="0"/>
              <w:spacing w:line="500" w:lineRule="exact"/>
              <w:ind w:left="0" w:leftChars="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采购</w:t>
            </w:r>
            <w:r>
              <w:rPr>
                <w:rFonts w:hint="eastAsia" w:ascii="宋体" w:hAnsi="宋体" w:eastAsia="宋体" w:cs="宋体"/>
                <w:color w:val="auto"/>
                <w:szCs w:val="21"/>
                <w:highlight w:val="none"/>
              </w:rPr>
              <w:t>项目名称</w:t>
            </w:r>
          </w:p>
        </w:tc>
        <w:tc>
          <w:tcPr>
            <w:tcW w:w="6943" w:type="dxa"/>
            <w:vAlign w:val="center"/>
          </w:tcPr>
          <w:p w14:paraId="22ACC558">
            <w:pPr>
              <w:pageBreakBefore w:val="0"/>
              <w:shd w:val="clear"/>
              <w:topLinePunct w:val="0"/>
              <w:bidi w:val="0"/>
              <w:spacing w:line="500" w:lineRule="exact"/>
              <w:ind w:left="0" w:leftChars="0" w:right="0"/>
              <w:jc w:val="center"/>
              <w:rPr>
                <w:rFonts w:hint="eastAsia" w:ascii="宋体" w:hAnsi="宋体" w:eastAsia="宋体" w:cs="宋体"/>
                <w:color w:val="auto"/>
                <w:szCs w:val="21"/>
                <w:highlight w:val="none"/>
              </w:rPr>
            </w:pPr>
          </w:p>
        </w:tc>
      </w:tr>
      <w:tr w14:paraId="60C93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530" w:type="dxa"/>
            <w:vAlign w:val="center"/>
          </w:tcPr>
          <w:p w14:paraId="39752E93">
            <w:pPr>
              <w:pageBreakBefore w:val="0"/>
              <w:shd w:val="clear"/>
              <w:topLinePunct w:val="0"/>
              <w:bidi w:val="0"/>
              <w:spacing w:line="500" w:lineRule="exact"/>
              <w:ind w:left="0" w:leftChars="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总报价</w:t>
            </w:r>
          </w:p>
          <w:p w14:paraId="62A61D98">
            <w:pPr>
              <w:pageBreakBefore w:val="0"/>
              <w:shd w:val="clear"/>
              <w:topLinePunct w:val="0"/>
              <w:bidi w:val="0"/>
              <w:spacing w:line="500" w:lineRule="exact"/>
              <w:ind w:left="0" w:leftChars="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（人民币）</w:t>
            </w:r>
          </w:p>
        </w:tc>
        <w:tc>
          <w:tcPr>
            <w:tcW w:w="6943" w:type="dxa"/>
            <w:vAlign w:val="center"/>
          </w:tcPr>
          <w:p w14:paraId="5CECF7EB">
            <w:pPr>
              <w:pageBreakBefore w:val="0"/>
              <w:shd w:val="clear"/>
              <w:topLinePunct w:val="0"/>
              <w:bidi w:val="0"/>
              <w:spacing w:line="500" w:lineRule="exact"/>
              <w:ind w:left="0" w:leftChars="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小写金额：</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元。</w:t>
            </w:r>
          </w:p>
          <w:p w14:paraId="1577BAAC">
            <w:pPr>
              <w:pageBreakBefore w:val="0"/>
              <w:shd w:val="clear"/>
              <w:topLinePunct w:val="0"/>
              <w:bidi w:val="0"/>
              <w:spacing w:line="500" w:lineRule="exact"/>
              <w:ind w:left="0" w:leftChars="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大写金额：</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w:t>
            </w:r>
          </w:p>
        </w:tc>
      </w:tr>
      <w:tr w14:paraId="38AC9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530" w:type="dxa"/>
            <w:vAlign w:val="center"/>
          </w:tcPr>
          <w:p w14:paraId="6ED777BC">
            <w:pPr>
              <w:pageBreakBefore w:val="0"/>
              <w:shd w:val="clear"/>
              <w:topLinePunct w:val="0"/>
              <w:bidi w:val="0"/>
              <w:spacing w:line="500" w:lineRule="exact"/>
              <w:ind w:left="0" w:leftChars="0" w:right="0"/>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服务期</w:t>
            </w:r>
          </w:p>
        </w:tc>
        <w:tc>
          <w:tcPr>
            <w:tcW w:w="6943" w:type="dxa"/>
            <w:vAlign w:val="center"/>
          </w:tcPr>
          <w:p w14:paraId="7D344CED">
            <w:pPr>
              <w:pageBreakBefore w:val="0"/>
              <w:shd w:val="clear"/>
              <w:topLinePunct w:val="0"/>
              <w:bidi w:val="0"/>
              <w:spacing w:line="500" w:lineRule="exact"/>
              <w:ind w:left="0" w:leftChars="0" w:right="0"/>
              <w:jc w:val="center"/>
              <w:rPr>
                <w:rFonts w:hint="eastAsia" w:ascii="宋体" w:hAnsi="宋体" w:eastAsia="宋体" w:cs="宋体"/>
                <w:color w:val="auto"/>
                <w:szCs w:val="21"/>
                <w:highlight w:val="none"/>
              </w:rPr>
            </w:pPr>
          </w:p>
        </w:tc>
      </w:tr>
      <w:tr w14:paraId="63024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530" w:type="dxa"/>
            <w:vAlign w:val="center"/>
          </w:tcPr>
          <w:p w14:paraId="2BD74C51">
            <w:pPr>
              <w:pageBreakBefore w:val="0"/>
              <w:shd w:val="clear"/>
              <w:topLinePunct w:val="0"/>
              <w:bidi w:val="0"/>
              <w:spacing w:line="500" w:lineRule="exact"/>
              <w:ind w:left="0" w:leftChars="0" w:right="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质量标准</w:t>
            </w:r>
          </w:p>
        </w:tc>
        <w:tc>
          <w:tcPr>
            <w:tcW w:w="6943" w:type="dxa"/>
            <w:vAlign w:val="center"/>
          </w:tcPr>
          <w:p w14:paraId="0178B0D3">
            <w:pPr>
              <w:pageBreakBefore w:val="0"/>
              <w:shd w:val="clear"/>
              <w:topLinePunct w:val="0"/>
              <w:bidi w:val="0"/>
              <w:spacing w:line="500" w:lineRule="exact"/>
              <w:ind w:left="0" w:leftChars="0" w:right="0"/>
              <w:jc w:val="center"/>
              <w:rPr>
                <w:rFonts w:hint="eastAsia" w:ascii="宋体" w:hAnsi="宋体" w:eastAsia="宋体" w:cs="宋体"/>
                <w:color w:val="auto"/>
                <w:szCs w:val="21"/>
                <w:highlight w:val="none"/>
              </w:rPr>
            </w:pPr>
          </w:p>
        </w:tc>
      </w:tr>
      <w:tr w14:paraId="503A5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530" w:type="dxa"/>
            <w:vAlign w:val="center"/>
          </w:tcPr>
          <w:p w14:paraId="7B1AB560">
            <w:pPr>
              <w:pageBreakBefore w:val="0"/>
              <w:shd w:val="clear"/>
              <w:topLinePunct w:val="0"/>
              <w:bidi w:val="0"/>
              <w:spacing w:line="500" w:lineRule="exact"/>
              <w:ind w:left="0" w:leftChars="0" w:right="0"/>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其他声明</w:t>
            </w:r>
          </w:p>
        </w:tc>
        <w:tc>
          <w:tcPr>
            <w:tcW w:w="6943" w:type="dxa"/>
            <w:vAlign w:val="center"/>
          </w:tcPr>
          <w:p w14:paraId="24FE58A8">
            <w:pPr>
              <w:pageBreakBefore w:val="0"/>
              <w:shd w:val="clear"/>
              <w:topLinePunct w:val="0"/>
              <w:bidi w:val="0"/>
              <w:spacing w:line="500" w:lineRule="exact"/>
              <w:ind w:left="0" w:leftChars="0" w:right="0"/>
              <w:jc w:val="center"/>
              <w:rPr>
                <w:rFonts w:hint="eastAsia" w:ascii="宋体" w:hAnsi="宋体" w:eastAsia="宋体" w:cs="宋体"/>
                <w:color w:val="auto"/>
                <w:szCs w:val="21"/>
                <w:highlight w:val="none"/>
              </w:rPr>
            </w:pPr>
          </w:p>
        </w:tc>
      </w:tr>
      <w:tr w14:paraId="2A15D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9473" w:type="dxa"/>
            <w:gridSpan w:val="2"/>
            <w:vAlign w:val="center"/>
          </w:tcPr>
          <w:p w14:paraId="16CE6E53">
            <w:pPr>
              <w:pageBreakBefore w:val="0"/>
              <w:shd w:val="clear"/>
              <w:topLinePunct w:val="0"/>
              <w:bidi w:val="0"/>
              <w:spacing w:line="500" w:lineRule="exact"/>
              <w:ind w:left="0" w:leftChars="0" w:right="0"/>
              <w:jc w:val="left"/>
              <w:rPr>
                <w:rFonts w:hint="eastAsia" w:ascii="宋体" w:hAnsi="宋体" w:eastAsia="宋体" w:cs="宋体"/>
                <w:color w:val="auto"/>
                <w:szCs w:val="21"/>
                <w:highlight w:val="none"/>
              </w:rPr>
            </w:pPr>
            <w:r>
              <w:rPr>
                <w:rFonts w:hint="eastAsia" w:ascii="宋体" w:hAnsi="宋体" w:eastAsia="宋体" w:cs="宋体"/>
                <w:color w:val="auto"/>
                <w:highlight w:val="none"/>
              </w:rPr>
              <w:t>备注：表内报价内容以元为单位，保留小数点后两位。</w:t>
            </w:r>
          </w:p>
        </w:tc>
      </w:tr>
    </w:tbl>
    <w:p w14:paraId="22B4DDE0">
      <w:pPr>
        <w:pageBreakBefore w:val="0"/>
        <w:shd w:val="clear"/>
        <w:topLinePunct w:val="0"/>
        <w:bidi w:val="0"/>
        <w:spacing w:line="500" w:lineRule="exact"/>
        <w:ind w:left="0" w:leftChars="0" w:right="0"/>
        <w:rPr>
          <w:rFonts w:hint="eastAsia" w:ascii="宋体" w:hAnsi="宋体" w:eastAsia="宋体" w:cs="宋体"/>
          <w:color w:val="auto"/>
          <w:szCs w:val="21"/>
          <w:highlight w:val="none"/>
        </w:rPr>
      </w:pPr>
    </w:p>
    <w:p w14:paraId="69B593EB">
      <w:pPr>
        <w:pageBreakBefore w:val="0"/>
        <w:shd w:val="clear"/>
        <w:topLinePunct w:val="0"/>
        <w:bidi w:val="0"/>
        <w:spacing w:line="500" w:lineRule="exact"/>
        <w:ind w:left="0" w:leftChars="0" w:right="0"/>
        <w:rPr>
          <w:rFonts w:hint="eastAsia" w:ascii="宋体" w:hAnsi="宋体" w:eastAsia="宋体" w:cs="宋体"/>
          <w:color w:val="auto"/>
          <w:szCs w:val="21"/>
          <w:highlight w:val="none"/>
        </w:rPr>
      </w:pPr>
    </w:p>
    <w:p w14:paraId="0DD25459">
      <w:pPr>
        <w:pageBreakBefore w:val="0"/>
        <w:shd w:val="clear"/>
        <w:topLinePunct w:val="0"/>
        <w:bidi w:val="0"/>
        <w:spacing w:line="500" w:lineRule="exact"/>
        <w:ind w:left="0" w:leftChars="0" w:right="0"/>
        <w:rPr>
          <w:rFonts w:hint="eastAsia" w:ascii="宋体" w:hAnsi="宋体" w:eastAsia="宋体" w:cs="宋体"/>
          <w:color w:val="auto"/>
          <w:sz w:val="24"/>
          <w:highlight w:val="none"/>
          <w:u w:val="single"/>
        </w:rPr>
      </w:pPr>
      <w:bookmarkStart w:id="278" w:name="_Toc8368"/>
      <w:r>
        <w:rPr>
          <w:rFonts w:hint="eastAsia" w:ascii="宋体" w:hAnsi="宋体" w:eastAsia="宋体" w:cs="宋体"/>
          <w:color w:val="auto"/>
          <w:sz w:val="24"/>
          <w:szCs w:val="24"/>
          <w:highlight w:val="none"/>
          <w:lang w:eastAsia="zh-CN"/>
        </w:rPr>
        <w:t>供应商名称（</w:t>
      </w:r>
      <w:r>
        <w:rPr>
          <w:rFonts w:hint="eastAsia" w:ascii="宋体" w:hAnsi="宋体" w:eastAsia="宋体" w:cs="宋体"/>
          <w:color w:val="auto"/>
          <w:sz w:val="24"/>
          <w:szCs w:val="24"/>
          <w:highlight w:val="none"/>
        </w:rPr>
        <w:t>公章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u w:val="single"/>
          <w:lang w:val="en-US" w:eastAsia="zh-CN"/>
        </w:rPr>
        <w:t xml:space="preserve">                          </w:t>
      </w:r>
    </w:p>
    <w:p w14:paraId="4CCF9912">
      <w:pPr>
        <w:pageBreakBefore w:val="0"/>
        <w:shd w:val="clear"/>
        <w:topLinePunct w:val="0"/>
        <w:bidi w:val="0"/>
        <w:spacing w:line="500" w:lineRule="exact"/>
        <w:ind w:left="0" w:leftChars="0" w:right="0"/>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zh-CN"/>
        </w:rPr>
        <w:t>法定代表人</w:t>
      </w:r>
      <w:r>
        <w:rPr>
          <w:rFonts w:hint="eastAsia" w:ascii="宋体" w:hAnsi="宋体" w:eastAsia="宋体" w:cs="宋体"/>
          <w:color w:val="auto"/>
          <w:sz w:val="24"/>
          <w:szCs w:val="24"/>
          <w:highlight w:val="none"/>
          <w:lang w:val="en-US" w:eastAsia="zh-CN"/>
        </w:rPr>
        <w:t>或授权委托人</w:t>
      </w:r>
      <w:r>
        <w:rPr>
          <w:rFonts w:hint="eastAsia" w:ascii="宋体" w:hAnsi="宋体" w:eastAsia="宋体" w:cs="宋体"/>
          <w:color w:val="auto"/>
          <w:szCs w:val="24"/>
          <w:highlight w:val="none"/>
          <w:lang w:val="zh-CN"/>
        </w:rPr>
        <w:t>（签字或盖章）</w:t>
      </w:r>
      <w:r>
        <w:rPr>
          <w:rFonts w:hint="eastAsia" w:ascii="宋体" w:hAnsi="宋体" w:eastAsia="宋体" w:cs="宋体"/>
          <w:color w:val="auto"/>
          <w:szCs w:val="24"/>
          <w:highlight w:val="none"/>
        </w:rPr>
        <w:t>：</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u w:val="single"/>
          <w:lang w:val="en-US" w:eastAsia="zh-CN"/>
        </w:rPr>
        <w:t xml:space="preserve">  </w:t>
      </w:r>
      <w:r>
        <w:rPr>
          <w:rFonts w:hint="eastAsia" w:ascii="宋体" w:hAnsi="宋体" w:eastAsia="宋体" w:cs="宋体"/>
          <w:color w:val="auto"/>
          <w:szCs w:val="24"/>
          <w:highlight w:val="none"/>
          <w:u w:val="single"/>
        </w:rPr>
        <w:t xml:space="preserve">   </w:t>
      </w:r>
    </w:p>
    <w:p w14:paraId="30583EAE">
      <w:pPr>
        <w:pageBreakBefore w:val="0"/>
        <w:shd w:val="clear"/>
        <w:topLinePunct w:val="0"/>
        <w:bidi w:val="0"/>
        <w:spacing w:line="500" w:lineRule="exact"/>
        <w:ind w:left="0" w:leftChars="0" w:right="0"/>
        <w:rPr>
          <w:rFonts w:hint="eastAsia" w:ascii="宋体" w:hAnsi="宋体" w:eastAsia="宋体" w:cs="宋体"/>
          <w:color w:val="auto"/>
          <w:highlight w:val="none"/>
          <w:u w:val="single"/>
        </w:rPr>
      </w:pPr>
      <w:r>
        <w:rPr>
          <w:rFonts w:hint="eastAsia" w:ascii="宋体" w:hAnsi="宋体" w:eastAsia="宋体" w:cs="宋体"/>
          <w:color w:val="auto"/>
          <w:szCs w:val="24"/>
          <w:highlight w:val="none"/>
        </w:rPr>
        <w:t>日期：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bookmarkEnd w:id="278"/>
    <w:p w14:paraId="09732BAA">
      <w:pPr>
        <w:pageBreakBefore w:val="0"/>
        <w:topLinePunct w:val="0"/>
        <w:bidi w:val="0"/>
        <w:spacing w:line="500" w:lineRule="exact"/>
        <w:ind w:left="0" w:leftChars="0" w:right="0"/>
        <w:rPr>
          <w:rFonts w:hint="eastAsia" w:ascii="宋体" w:hAnsi="宋体" w:eastAsia="宋体" w:cs="宋体"/>
          <w:color w:val="auto"/>
          <w:highlight w:val="none"/>
          <w:lang w:eastAsia="zh-CN"/>
        </w:rPr>
      </w:pPr>
      <w:bookmarkStart w:id="279" w:name="_Toc24077"/>
      <w:bookmarkStart w:id="280" w:name="_Toc13402"/>
      <w:bookmarkStart w:id="281" w:name="_Toc18070"/>
      <w:bookmarkStart w:id="282" w:name="_Toc3747"/>
      <w:bookmarkStart w:id="283" w:name="_Toc22414"/>
      <w:bookmarkStart w:id="284" w:name="_Toc15642"/>
      <w:r>
        <w:rPr>
          <w:rFonts w:hint="eastAsia" w:ascii="宋体" w:hAnsi="宋体" w:eastAsia="宋体" w:cs="宋体"/>
          <w:color w:val="auto"/>
          <w:highlight w:val="none"/>
          <w:lang w:eastAsia="zh-CN"/>
        </w:rPr>
        <w:br w:type="page"/>
      </w:r>
    </w:p>
    <w:p w14:paraId="01816AF3">
      <w:pPr>
        <w:pStyle w:val="3"/>
        <w:pageBreakBefore w:val="0"/>
        <w:topLinePunct w:val="0"/>
        <w:bidi w:val="0"/>
        <w:spacing w:before="0" w:after="0" w:line="500" w:lineRule="exact"/>
        <w:ind w:left="0" w:leftChars="0" w:right="0"/>
        <w:jc w:val="center"/>
        <w:rPr>
          <w:rFonts w:hint="eastAsia" w:ascii="宋体" w:hAnsi="宋体" w:eastAsia="宋体" w:cs="宋体"/>
          <w:color w:val="auto"/>
          <w:highlight w:val="none"/>
          <w:lang w:val="en-US" w:eastAsia="zh-CN"/>
        </w:rPr>
      </w:pPr>
      <w:bookmarkStart w:id="285" w:name="_Toc15524"/>
      <w:r>
        <w:rPr>
          <w:rFonts w:hint="eastAsia" w:ascii="宋体" w:hAnsi="宋体" w:eastAsia="宋体" w:cs="宋体"/>
          <w:color w:val="auto"/>
          <w:highlight w:val="none"/>
          <w:lang w:val="en-US" w:eastAsia="zh-CN"/>
        </w:rPr>
        <w:t>三、投标分项报价表</w:t>
      </w:r>
      <w:bookmarkEnd w:id="279"/>
      <w:bookmarkEnd w:id="280"/>
      <w:bookmarkEnd w:id="281"/>
      <w:bookmarkEnd w:id="282"/>
      <w:bookmarkEnd w:id="283"/>
      <w:bookmarkEnd w:id="284"/>
      <w:bookmarkEnd w:id="285"/>
    </w:p>
    <w:p w14:paraId="75A125A9">
      <w:pPr>
        <w:pageBreakBefore w:val="0"/>
        <w:topLinePunct w:val="0"/>
        <w:bidi w:val="0"/>
        <w:spacing w:line="500" w:lineRule="exact"/>
        <w:ind w:left="0" w:leftChars="0" w:right="0"/>
        <w:jc w:val="center"/>
        <w:rPr>
          <w:rFonts w:hint="eastAsia" w:ascii="宋体" w:hAnsi="宋体" w:eastAsia="宋体" w:cs="宋体"/>
          <w:color w:val="auto"/>
          <w:highlight w:val="none"/>
        </w:rPr>
      </w:pPr>
    </w:p>
    <w:p w14:paraId="7E2E7D79">
      <w:pPr>
        <w:pageBreakBefore w:val="0"/>
        <w:topLinePunct w:val="0"/>
        <w:bidi w:val="0"/>
        <w:spacing w:line="500" w:lineRule="exact"/>
        <w:ind w:left="0" w:leftChars="0" w:right="0"/>
        <w:rPr>
          <w:rFonts w:hint="eastAsia" w:ascii="宋体" w:hAnsi="宋体" w:eastAsia="宋体" w:cs="宋体"/>
          <w:color w:val="auto"/>
          <w:highlight w:val="none"/>
        </w:rPr>
      </w:pPr>
      <w:r>
        <w:rPr>
          <w:rFonts w:hint="eastAsia" w:ascii="宋体" w:hAnsi="宋体" w:eastAsia="宋体" w:cs="宋体"/>
          <w:color w:val="auto"/>
          <w:highlight w:val="none"/>
          <w:lang w:eastAsia="zh-CN"/>
        </w:rPr>
        <w:t>采购</w:t>
      </w:r>
      <w:r>
        <w:rPr>
          <w:rFonts w:hint="eastAsia" w:ascii="宋体" w:hAnsi="宋体" w:eastAsia="宋体" w:cs="宋体"/>
          <w:color w:val="auto"/>
          <w:highlight w:val="none"/>
        </w:rPr>
        <w:t>项目名称：</w:t>
      </w:r>
    </w:p>
    <w:p w14:paraId="3B948630">
      <w:pPr>
        <w:pageBreakBefore w:val="0"/>
        <w:widowControl w:val="0"/>
        <w:topLinePunct w:val="0"/>
        <w:bidi w:val="0"/>
        <w:snapToGrid w:val="0"/>
        <w:spacing w:line="500" w:lineRule="exact"/>
        <w:ind w:left="0" w:leftChars="0" w:right="0"/>
        <w:jc w:val="left"/>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24"/>
          <w:szCs w:val="18"/>
          <w:highlight w:val="none"/>
          <w:lang w:val="en-US" w:eastAsia="zh-CN" w:bidi="ar-SA"/>
        </w:rPr>
        <w:t>采购项目编号：</w:t>
      </w:r>
    </w:p>
    <w:p w14:paraId="6714B4C0">
      <w:pPr>
        <w:pageBreakBefore w:val="0"/>
        <w:topLinePunct w:val="0"/>
        <w:bidi w:val="0"/>
        <w:spacing w:line="500" w:lineRule="exact"/>
        <w:ind w:left="0" w:leftChars="0" w:right="0"/>
        <w:jc w:val="center"/>
        <w:rPr>
          <w:rFonts w:hint="eastAsia" w:ascii="宋体" w:hAnsi="宋体" w:eastAsia="宋体" w:cs="宋体"/>
          <w:b/>
          <w:bCs/>
          <w:color w:val="auto"/>
          <w:highlight w:val="none"/>
        </w:rPr>
      </w:pPr>
    </w:p>
    <w:p w14:paraId="329624F5">
      <w:pPr>
        <w:pageBreakBefore w:val="0"/>
        <w:shd w:val="clear" w:color="auto" w:fill="auto"/>
        <w:topLinePunct w:val="0"/>
        <w:bidi w:val="0"/>
        <w:spacing w:line="500" w:lineRule="exact"/>
        <w:ind w:left="0" w:leftChars="0" w:right="0"/>
        <w:jc w:val="center"/>
        <w:rPr>
          <w:rFonts w:hint="eastAsia" w:ascii="宋体" w:hAnsi="宋体" w:eastAsia="宋体" w:cs="宋体"/>
          <w:color w:val="auto"/>
          <w:kern w:val="0"/>
          <w:highlight w:val="none"/>
          <w:lang w:eastAsia="zh-CN"/>
        </w:rPr>
      </w:pPr>
      <w:r>
        <w:rPr>
          <w:rFonts w:hint="eastAsia" w:ascii="宋体" w:hAnsi="宋体" w:eastAsia="宋体" w:cs="宋体"/>
          <w:b/>
          <w:color w:val="auto"/>
          <w:kern w:val="0"/>
          <w:sz w:val="24"/>
          <w:highlight w:val="none"/>
        </w:rPr>
        <w:t>（格式自拟，</w:t>
      </w:r>
      <w:r>
        <w:rPr>
          <w:rFonts w:hint="eastAsia" w:ascii="宋体" w:hAnsi="宋体" w:eastAsia="宋体" w:cs="宋体"/>
          <w:b/>
          <w:color w:val="auto"/>
          <w:kern w:val="0"/>
          <w:sz w:val="24"/>
          <w:highlight w:val="none"/>
          <w:lang w:eastAsia="zh-CN"/>
        </w:rPr>
        <w:t>供应商</w:t>
      </w:r>
      <w:r>
        <w:rPr>
          <w:rFonts w:hint="eastAsia" w:ascii="宋体" w:hAnsi="宋体" w:eastAsia="宋体" w:cs="宋体"/>
          <w:b/>
          <w:color w:val="auto"/>
          <w:kern w:val="0"/>
          <w:sz w:val="24"/>
          <w:highlight w:val="none"/>
        </w:rPr>
        <w:t>根据项目情况自行编制，须包含本项目的所有内容）</w:t>
      </w:r>
    </w:p>
    <w:p w14:paraId="2F5AB667">
      <w:pPr>
        <w:pageBreakBefore w:val="0"/>
        <w:shd w:val="clear" w:color="auto" w:fill="auto"/>
        <w:topLinePunct w:val="0"/>
        <w:bidi w:val="0"/>
        <w:spacing w:line="500" w:lineRule="exact"/>
        <w:ind w:left="0" w:leftChars="0" w:right="0"/>
        <w:jc w:val="center"/>
        <w:rPr>
          <w:rFonts w:hint="eastAsia" w:ascii="宋体" w:hAnsi="宋体" w:eastAsia="宋体" w:cs="宋体"/>
          <w:b/>
          <w:bCs/>
          <w:color w:val="auto"/>
          <w:kern w:val="0"/>
          <w:highlight w:val="none"/>
        </w:rPr>
      </w:pPr>
    </w:p>
    <w:p w14:paraId="681A6693">
      <w:pPr>
        <w:pageBreakBefore w:val="0"/>
        <w:shd w:val="clear" w:color="auto" w:fill="auto"/>
        <w:topLinePunct w:val="0"/>
        <w:bidi w:val="0"/>
        <w:spacing w:line="500" w:lineRule="exact"/>
        <w:ind w:left="0" w:leftChars="0" w:right="0"/>
        <w:rPr>
          <w:rFonts w:hint="eastAsia" w:ascii="宋体" w:hAnsi="宋体" w:eastAsia="宋体" w:cs="宋体"/>
          <w:color w:val="auto"/>
          <w:kern w:val="0"/>
          <w:highlight w:val="none"/>
        </w:rPr>
      </w:pPr>
    </w:p>
    <w:p w14:paraId="6A25727E">
      <w:pPr>
        <w:pageBreakBefore w:val="0"/>
        <w:shd w:val="clear" w:color="auto" w:fill="auto"/>
        <w:topLinePunct w:val="0"/>
        <w:bidi w:val="0"/>
        <w:spacing w:line="500" w:lineRule="exact"/>
        <w:ind w:left="0" w:leftChars="0" w:right="0"/>
        <w:rPr>
          <w:rFonts w:hint="eastAsia" w:ascii="宋体" w:hAnsi="宋体" w:eastAsia="宋体" w:cs="宋体"/>
          <w:color w:val="auto"/>
          <w:kern w:val="0"/>
          <w:highlight w:val="none"/>
        </w:rPr>
      </w:pPr>
    </w:p>
    <w:p w14:paraId="55C694A8">
      <w:pPr>
        <w:pageBreakBefore w:val="0"/>
        <w:shd w:val="clear" w:color="auto" w:fill="auto"/>
        <w:topLinePunct w:val="0"/>
        <w:bidi w:val="0"/>
        <w:spacing w:line="500" w:lineRule="exact"/>
        <w:ind w:left="0" w:leftChars="0" w:right="0"/>
        <w:rPr>
          <w:rFonts w:hint="eastAsia" w:ascii="宋体" w:hAnsi="宋体" w:eastAsia="宋体" w:cs="宋体"/>
          <w:color w:val="auto"/>
          <w:kern w:val="0"/>
          <w:highlight w:val="none"/>
        </w:rPr>
      </w:pPr>
    </w:p>
    <w:p w14:paraId="2EF26BD9">
      <w:pPr>
        <w:pageBreakBefore w:val="0"/>
        <w:shd w:val="clear" w:color="auto" w:fill="auto"/>
        <w:topLinePunct w:val="0"/>
        <w:bidi w:val="0"/>
        <w:spacing w:line="500" w:lineRule="exact"/>
        <w:ind w:left="0" w:leftChars="0" w:right="0"/>
        <w:rPr>
          <w:rFonts w:hint="eastAsia" w:ascii="宋体" w:hAnsi="宋体" w:eastAsia="宋体" w:cs="宋体"/>
          <w:color w:val="auto"/>
          <w:kern w:val="0"/>
          <w:highlight w:val="none"/>
        </w:rPr>
      </w:pPr>
    </w:p>
    <w:p w14:paraId="607CDFD3">
      <w:pPr>
        <w:pageBreakBefore w:val="0"/>
        <w:shd w:val="clear" w:color="auto" w:fill="auto"/>
        <w:topLinePunct w:val="0"/>
        <w:bidi w:val="0"/>
        <w:spacing w:line="500" w:lineRule="exact"/>
        <w:ind w:left="0" w:leftChars="0" w:right="0"/>
        <w:rPr>
          <w:rFonts w:hint="eastAsia" w:ascii="宋体" w:hAnsi="宋体" w:eastAsia="宋体" w:cs="宋体"/>
          <w:color w:val="auto"/>
          <w:kern w:val="0"/>
          <w:highlight w:val="none"/>
        </w:rPr>
      </w:pPr>
    </w:p>
    <w:p w14:paraId="741985A5">
      <w:pPr>
        <w:pageBreakBefore w:val="0"/>
        <w:shd w:val="clear" w:color="auto" w:fill="auto"/>
        <w:topLinePunct w:val="0"/>
        <w:bidi w:val="0"/>
        <w:spacing w:line="500" w:lineRule="exact"/>
        <w:ind w:left="0" w:leftChars="0" w:right="0"/>
        <w:rPr>
          <w:rFonts w:hint="eastAsia" w:ascii="宋体" w:hAnsi="宋体" w:eastAsia="宋体" w:cs="宋体"/>
          <w:color w:val="auto"/>
          <w:kern w:val="0"/>
          <w:highlight w:val="none"/>
        </w:rPr>
      </w:pPr>
    </w:p>
    <w:p w14:paraId="2A8CE1E2">
      <w:pPr>
        <w:pageBreakBefore w:val="0"/>
        <w:shd w:val="clear" w:color="auto" w:fill="auto"/>
        <w:topLinePunct w:val="0"/>
        <w:bidi w:val="0"/>
        <w:spacing w:line="500" w:lineRule="exact"/>
        <w:ind w:left="0" w:leftChars="0" w:right="0" w:firstLine="480" w:firstLineChars="200"/>
        <w:rPr>
          <w:rFonts w:hint="eastAsia" w:ascii="宋体" w:hAnsi="宋体" w:eastAsia="宋体" w:cs="宋体"/>
          <w:color w:val="auto"/>
          <w:kern w:val="0"/>
          <w:highlight w:val="none"/>
        </w:rPr>
      </w:pPr>
      <w:r>
        <w:rPr>
          <w:rFonts w:hint="eastAsia" w:ascii="宋体" w:hAnsi="宋体" w:eastAsia="宋体" w:cs="宋体"/>
          <w:color w:val="auto"/>
          <w:kern w:val="0"/>
          <w:highlight w:val="none"/>
        </w:rPr>
        <w:t>注：以上报价</w:t>
      </w:r>
      <w:r>
        <w:rPr>
          <w:rFonts w:hint="eastAsia" w:ascii="宋体" w:hAnsi="宋体" w:eastAsia="宋体" w:cs="宋体"/>
          <w:color w:val="auto"/>
          <w:kern w:val="0"/>
          <w:highlight w:val="none"/>
          <w:lang w:eastAsia="zh-CN"/>
        </w:rPr>
        <w:t>供应商</w:t>
      </w:r>
      <w:r>
        <w:rPr>
          <w:rFonts w:hint="eastAsia" w:ascii="宋体" w:hAnsi="宋体" w:eastAsia="宋体" w:cs="宋体"/>
          <w:color w:val="auto"/>
          <w:kern w:val="0"/>
          <w:highlight w:val="none"/>
        </w:rPr>
        <w:t>全面完成全部工作内容的全部</w:t>
      </w:r>
      <w:r>
        <w:rPr>
          <w:rFonts w:hint="eastAsia" w:ascii="宋体" w:hAnsi="宋体" w:eastAsia="宋体" w:cs="宋体"/>
          <w:color w:val="auto"/>
          <w:kern w:val="0"/>
          <w:highlight w:val="none"/>
          <w:lang w:eastAsia="zh-CN"/>
        </w:rPr>
        <w:t>费用</w:t>
      </w:r>
      <w:r>
        <w:rPr>
          <w:rFonts w:hint="eastAsia" w:ascii="宋体" w:hAnsi="宋体" w:eastAsia="宋体" w:cs="宋体"/>
          <w:color w:val="auto"/>
          <w:kern w:val="0"/>
          <w:highlight w:val="none"/>
        </w:rPr>
        <w:t>，</w:t>
      </w:r>
      <w:r>
        <w:rPr>
          <w:rFonts w:hint="eastAsia" w:ascii="宋体" w:hAnsi="宋体" w:eastAsia="宋体" w:cs="宋体"/>
          <w:color w:val="auto"/>
          <w:kern w:val="0"/>
          <w:highlight w:val="none"/>
          <w:lang w:eastAsia="zh-CN"/>
        </w:rPr>
        <w:t>供应商</w:t>
      </w:r>
      <w:r>
        <w:rPr>
          <w:rFonts w:hint="eastAsia" w:ascii="宋体" w:hAnsi="宋体" w:eastAsia="宋体" w:cs="宋体"/>
          <w:color w:val="auto"/>
          <w:kern w:val="0"/>
          <w:highlight w:val="none"/>
        </w:rPr>
        <w:t>自行考虑项目完成过程中可能会发生的一切费用。</w:t>
      </w:r>
      <w:r>
        <w:rPr>
          <w:rFonts w:hint="eastAsia" w:ascii="宋体" w:hAnsi="宋体" w:eastAsia="宋体" w:cs="宋体"/>
          <w:color w:val="auto"/>
          <w:kern w:val="0"/>
          <w:highlight w:val="none"/>
          <w:lang w:eastAsia="zh-CN"/>
        </w:rPr>
        <w:t>供应商</w:t>
      </w:r>
      <w:r>
        <w:rPr>
          <w:rFonts w:hint="eastAsia" w:ascii="宋体" w:hAnsi="宋体" w:eastAsia="宋体" w:cs="宋体"/>
          <w:color w:val="auto"/>
          <w:kern w:val="0"/>
          <w:highlight w:val="none"/>
        </w:rPr>
        <w:t>不得要求采购人在报价之外支付其它任何费用，否则费用由</w:t>
      </w:r>
      <w:r>
        <w:rPr>
          <w:rFonts w:hint="eastAsia" w:ascii="宋体" w:hAnsi="宋体" w:eastAsia="宋体" w:cs="宋体"/>
          <w:color w:val="auto"/>
          <w:kern w:val="0"/>
          <w:highlight w:val="none"/>
          <w:lang w:eastAsia="zh-CN"/>
        </w:rPr>
        <w:t>供应商</w:t>
      </w:r>
      <w:r>
        <w:rPr>
          <w:rFonts w:hint="eastAsia" w:ascii="宋体" w:hAnsi="宋体" w:eastAsia="宋体" w:cs="宋体"/>
          <w:color w:val="auto"/>
          <w:kern w:val="0"/>
          <w:highlight w:val="none"/>
        </w:rPr>
        <w:t>自行承担。</w:t>
      </w:r>
    </w:p>
    <w:p w14:paraId="396FDCF6">
      <w:pPr>
        <w:pageBreakBefore w:val="0"/>
        <w:shd w:val="clear" w:color="auto" w:fill="auto"/>
        <w:topLinePunct w:val="0"/>
        <w:bidi w:val="0"/>
        <w:spacing w:line="500" w:lineRule="exact"/>
        <w:ind w:left="0" w:leftChars="0" w:right="0"/>
        <w:rPr>
          <w:rFonts w:hint="eastAsia" w:ascii="宋体" w:hAnsi="宋体" w:eastAsia="宋体" w:cs="宋体"/>
          <w:color w:val="auto"/>
          <w:kern w:val="0"/>
          <w:highlight w:val="none"/>
        </w:rPr>
      </w:pPr>
    </w:p>
    <w:p w14:paraId="3D750DD5">
      <w:pPr>
        <w:pageBreakBefore w:val="0"/>
        <w:shd w:val="clear" w:color="auto" w:fill="auto"/>
        <w:topLinePunct w:val="0"/>
        <w:bidi w:val="0"/>
        <w:spacing w:line="500" w:lineRule="exact"/>
        <w:ind w:left="0" w:leftChars="0" w:right="0"/>
        <w:rPr>
          <w:rFonts w:hint="eastAsia" w:ascii="宋体" w:hAnsi="宋体" w:eastAsia="宋体" w:cs="宋体"/>
          <w:color w:val="auto"/>
          <w:kern w:val="0"/>
          <w:highlight w:val="none"/>
        </w:rPr>
      </w:pPr>
    </w:p>
    <w:p w14:paraId="15838C8D">
      <w:pPr>
        <w:pageBreakBefore w:val="0"/>
        <w:shd w:val="clear" w:color="auto" w:fill="auto"/>
        <w:topLinePunct w:val="0"/>
        <w:bidi w:val="0"/>
        <w:spacing w:line="500" w:lineRule="exact"/>
        <w:ind w:left="0" w:leftChars="0" w:right="0"/>
        <w:rPr>
          <w:rFonts w:hint="eastAsia" w:ascii="宋体" w:hAnsi="宋体" w:eastAsia="宋体" w:cs="宋体"/>
          <w:color w:val="auto"/>
          <w:kern w:val="0"/>
          <w:highlight w:val="none"/>
        </w:rPr>
      </w:pPr>
    </w:p>
    <w:p w14:paraId="7CDA7CEC">
      <w:pPr>
        <w:pageBreakBefore w:val="0"/>
        <w:shd w:val="clear"/>
        <w:topLinePunct w:val="0"/>
        <w:bidi w:val="0"/>
        <w:spacing w:line="500" w:lineRule="exact"/>
        <w:ind w:left="0" w:leftChars="0" w:right="0"/>
        <w:rPr>
          <w:rFonts w:hint="eastAsia" w:ascii="宋体" w:hAnsi="宋体" w:eastAsia="宋体" w:cs="宋体"/>
          <w:color w:val="auto"/>
          <w:sz w:val="24"/>
          <w:highlight w:val="none"/>
          <w:u w:val="single"/>
          <w:lang w:val="en-US" w:eastAsia="zh-CN"/>
        </w:rPr>
      </w:pPr>
      <w:r>
        <w:rPr>
          <w:rFonts w:hint="eastAsia" w:ascii="宋体" w:hAnsi="宋体" w:eastAsia="宋体" w:cs="宋体"/>
          <w:color w:val="auto"/>
          <w:sz w:val="24"/>
          <w:szCs w:val="24"/>
          <w:highlight w:val="none"/>
          <w:lang w:eastAsia="zh-CN"/>
        </w:rPr>
        <w:t>供应商名称（</w:t>
      </w:r>
      <w:r>
        <w:rPr>
          <w:rFonts w:hint="eastAsia" w:ascii="宋体" w:hAnsi="宋体" w:eastAsia="宋体" w:cs="宋体"/>
          <w:color w:val="auto"/>
          <w:sz w:val="24"/>
          <w:szCs w:val="24"/>
          <w:highlight w:val="none"/>
        </w:rPr>
        <w:t>公章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u w:val="single"/>
          <w:lang w:val="en-US" w:eastAsia="zh-CN"/>
        </w:rPr>
        <w:t xml:space="preserve">                           </w:t>
      </w:r>
    </w:p>
    <w:p w14:paraId="115AD207">
      <w:pPr>
        <w:pageBreakBefore w:val="0"/>
        <w:shd w:val="clear"/>
        <w:topLinePunct w:val="0"/>
        <w:bidi w:val="0"/>
        <w:spacing w:line="500" w:lineRule="exact"/>
        <w:ind w:left="0" w:leftChars="0" w:right="0"/>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zh-CN"/>
        </w:rPr>
        <w:t>法定代表人</w:t>
      </w:r>
      <w:r>
        <w:rPr>
          <w:rFonts w:hint="eastAsia" w:ascii="宋体" w:hAnsi="宋体" w:eastAsia="宋体" w:cs="宋体"/>
          <w:color w:val="auto"/>
          <w:szCs w:val="24"/>
          <w:highlight w:val="none"/>
          <w:lang w:val="zh-CN" w:eastAsia="zh-CN"/>
        </w:rPr>
        <w:t>或授权委托人</w:t>
      </w:r>
      <w:r>
        <w:rPr>
          <w:rFonts w:hint="eastAsia" w:ascii="宋体" w:hAnsi="宋体" w:eastAsia="宋体" w:cs="宋体"/>
          <w:color w:val="auto"/>
          <w:szCs w:val="24"/>
          <w:highlight w:val="none"/>
          <w:lang w:val="zh-CN"/>
        </w:rPr>
        <w:t>（签字或盖章）</w:t>
      </w:r>
      <w:r>
        <w:rPr>
          <w:rFonts w:hint="eastAsia" w:ascii="宋体" w:hAnsi="宋体" w:eastAsia="宋体" w:cs="宋体"/>
          <w:color w:val="auto"/>
          <w:szCs w:val="24"/>
          <w:highlight w:val="none"/>
        </w:rPr>
        <w:t>：</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u w:val="single"/>
          <w:lang w:val="en-US" w:eastAsia="zh-CN"/>
        </w:rPr>
        <w:t xml:space="preserve">   </w:t>
      </w:r>
      <w:r>
        <w:rPr>
          <w:rFonts w:hint="eastAsia" w:ascii="宋体" w:hAnsi="宋体" w:eastAsia="宋体" w:cs="宋体"/>
          <w:color w:val="auto"/>
          <w:szCs w:val="24"/>
          <w:highlight w:val="none"/>
          <w:u w:val="single"/>
        </w:rPr>
        <w:t xml:space="preserve">    </w:t>
      </w:r>
    </w:p>
    <w:p w14:paraId="02C0C1D9">
      <w:pPr>
        <w:pageBreakBefore w:val="0"/>
        <w:shd w:val="clear"/>
        <w:topLinePunct w:val="0"/>
        <w:bidi w:val="0"/>
        <w:spacing w:line="500" w:lineRule="exact"/>
        <w:ind w:left="0" w:leftChars="0" w:right="0"/>
        <w:rPr>
          <w:rFonts w:hint="eastAsia" w:ascii="宋体" w:hAnsi="宋体" w:eastAsia="宋体" w:cs="宋体"/>
          <w:color w:val="auto"/>
          <w:highlight w:val="none"/>
          <w:u w:val="single"/>
        </w:rPr>
      </w:pPr>
      <w:r>
        <w:rPr>
          <w:rFonts w:hint="eastAsia" w:ascii="宋体" w:hAnsi="宋体" w:eastAsia="宋体" w:cs="宋体"/>
          <w:color w:val="auto"/>
          <w:szCs w:val="24"/>
          <w:highlight w:val="none"/>
        </w:rPr>
        <w:t>日期：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14:paraId="35EC07F4">
      <w:pPr>
        <w:pageBreakBefore w:val="0"/>
        <w:widowControl w:val="0"/>
        <w:shd w:val="clear" w:color="auto" w:fill="auto"/>
        <w:topLinePunct w:val="0"/>
        <w:bidi w:val="0"/>
        <w:spacing w:line="500" w:lineRule="exact"/>
        <w:ind w:left="0" w:leftChars="0" w:right="0" w:firstLine="480" w:firstLineChars="200"/>
        <w:jc w:val="both"/>
        <w:rPr>
          <w:rFonts w:hint="eastAsia" w:ascii="宋体" w:hAnsi="宋体" w:eastAsia="宋体" w:cs="宋体"/>
          <w:color w:val="auto"/>
          <w:sz w:val="24"/>
          <w:szCs w:val="22"/>
          <w:highlight w:val="none"/>
          <w:lang w:val="zh-CN" w:eastAsia="zh-CN" w:bidi="ar-SA"/>
        </w:rPr>
      </w:pPr>
    </w:p>
    <w:p w14:paraId="664B079B">
      <w:pPr>
        <w:pageBreakBefore w:val="0"/>
        <w:shd w:val="clear" w:color="auto" w:fill="auto"/>
        <w:topLinePunct w:val="0"/>
        <w:bidi w:val="0"/>
        <w:spacing w:line="500" w:lineRule="exact"/>
        <w:ind w:left="0" w:leftChars="0" w:right="0"/>
        <w:rPr>
          <w:rFonts w:hint="eastAsia" w:ascii="宋体" w:hAnsi="宋体" w:eastAsia="宋体" w:cs="宋体"/>
          <w:color w:val="auto"/>
          <w:kern w:val="0"/>
          <w:highlight w:val="none"/>
        </w:rPr>
      </w:pPr>
    </w:p>
    <w:p w14:paraId="67B836F0">
      <w:pPr>
        <w:pageBreakBefore w:val="0"/>
        <w:widowControl w:val="0"/>
        <w:shd w:val="clear"/>
        <w:topLinePunct w:val="0"/>
        <w:bidi w:val="0"/>
        <w:snapToGrid w:val="0"/>
        <w:spacing w:line="500" w:lineRule="exact"/>
        <w:ind w:left="0" w:leftChars="0" w:right="0"/>
        <w:jc w:val="left"/>
        <w:rPr>
          <w:rFonts w:hint="eastAsia" w:ascii="宋体" w:hAnsi="宋体" w:eastAsia="宋体" w:cs="宋体"/>
          <w:color w:val="auto"/>
          <w:kern w:val="2"/>
          <w:sz w:val="18"/>
          <w:szCs w:val="21"/>
          <w:highlight w:val="none"/>
          <w:lang w:val="en-US" w:eastAsia="zh-CN" w:bidi="ar-SA"/>
        </w:rPr>
      </w:pPr>
    </w:p>
    <w:p w14:paraId="2B85B959">
      <w:pPr>
        <w:pageBreakBefore w:val="0"/>
        <w:widowControl w:val="0"/>
        <w:shd w:val="clear"/>
        <w:topLinePunct w:val="0"/>
        <w:bidi w:val="0"/>
        <w:snapToGrid w:val="0"/>
        <w:spacing w:line="500" w:lineRule="exact"/>
        <w:ind w:left="0" w:leftChars="0" w:right="0"/>
        <w:jc w:val="left"/>
        <w:rPr>
          <w:rFonts w:hint="eastAsia" w:ascii="宋体" w:hAnsi="宋体" w:eastAsia="宋体" w:cs="宋体"/>
          <w:color w:val="auto"/>
          <w:kern w:val="2"/>
          <w:sz w:val="18"/>
          <w:szCs w:val="21"/>
          <w:highlight w:val="none"/>
          <w:lang w:val="en-US" w:eastAsia="zh-CN" w:bidi="ar-SA"/>
        </w:rPr>
      </w:pPr>
    </w:p>
    <w:p w14:paraId="7C6A6F7E">
      <w:pPr>
        <w:pageBreakBefore w:val="0"/>
        <w:widowControl w:val="0"/>
        <w:shd w:val="clear"/>
        <w:topLinePunct w:val="0"/>
        <w:bidi w:val="0"/>
        <w:snapToGrid w:val="0"/>
        <w:spacing w:line="500" w:lineRule="exact"/>
        <w:ind w:left="0" w:leftChars="0" w:right="0"/>
        <w:jc w:val="left"/>
        <w:rPr>
          <w:rFonts w:hint="eastAsia" w:ascii="宋体" w:hAnsi="宋体" w:eastAsia="宋体" w:cs="宋体"/>
          <w:color w:val="auto"/>
          <w:kern w:val="2"/>
          <w:sz w:val="18"/>
          <w:szCs w:val="21"/>
          <w:highlight w:val="none"/>
          <w:lang w:val="en-US" w:eastAsia="zh-CN" w:bidi="ar-SA"/>
        </w:rPr>
      </w:pPr>
    </w:p>
    <w:p w14:paraId="4EFDF9DE">
      <w:pPr>
        <w:pStyle w:val="3"/>
        <w:spacing w:line="360" w:lineRule="auto"/>
        <w:jc w:val="center"/>
        <w:rPr>
          <w:rFonts w:hint="eastAsia" w:ascii="宋体" w:hAnsi="宋体" w:eastAsia="宋体" w:cs="宋体"/>
          <w:sz w:val="32"/>
          <w:szCs w:val="32"/>
        </w:rPr>
      </w:pPr>
      <w:bookmarkStart w:id="286" w:name="_Toc11840"/>
      <w:bookmarkStart w:id="287" w:name="_Toc3813"/>
      <w:bookmarkStart w:id="288" w:name="_Toc18990"/>
      <w:bookmarkStart w:id="289" w:name="_Toc13761"/>
      <w:bookmarkStart w:id="290" w:name="_Toc10782"/>
      <w:bookmarkStart w:id="291" w:name="_Toc17851"/>
      <w:bookmarkStart w:id="292" w:name="_Toc20817"/>
      <w:bookmarkStart w:id="293" w:name="_Toc14528"/>
      <w:r>
        <w:rPr>
          <w:rFonts w:hint="eastAsia" w:ascii="宋体" w:hAnsi="宋体" w:eastAsia="宋体" w:cs="宋体"/>
          <w:color w:val="auto"/>
          <w:sz w:val="28"/>
          <w:szCs w:val="28"/>
          <w:highlight w:val="none"/>
          <w:lang w:val="en-US" w:eastAsia="zh-CN"/>
        </w:rPr>
        <w:t>四、</w:t>
      </w:r>
      <w:bookmarkEnd w:id="286"/>
      <w:bookmarkEnd w:id="287"/>
      <w:bookmarkEnd w:id="288"/>
      <w:bookmarkEnd w:id="289"/>
      <w:bookmarkEnd w:id="290"/>
      <w:bookmarkEnd w:id="291"/>
      <w:bookmarkEnd w:id="292"/>
      <w:bookmarkEnd w:id="293"/>
      <w:bookmarkStart w:id="294" w:name="_Toc21657"/>
      <w:bookmarkStart w:id="295" w:name="_Toc5779"/>
      <w:bookmarkStart w:id="296" w:name="_Toc30662"/>
      <w:r>
        <w:rPr>
          <w:rFonts w:hint="eastAsia" w:ascii="宋体" w:hAnsi="宋体" w:eastAsia="宋体" w:cs="宋体"/>
          <w:sz w:val="32"/>
          <w:szCs w:val="32"/>
        </w:rPr>
        <w:t>法定代表人证明书及授权书</w:t>
      </w:r>
    </w:p>
    <w:p w14:paraId="688C9DFF">
      <w:pPr>
        <w:pStyle w:val="3"/>
        <w:spacing w:line="360" w:lineRule="auto"/>
        <w:jc w:val="center"/>
        <w:rPr>
          <w:rFonts w:hint="eastAsia" w:ascii="宋体" w:hAnsi="宋体" w:eastAsia="宋体" w:cs="宋体"/>
          <w:sz w:val="32"/>
          <w:szCs w:val="32"/>
        </w:rPr>
      </w:pPr>
      <w:r>
        <w:rPr>
          <w:rFonts w:hint="eastAsia" w:ascii="宋体" w:hAnsi="宋体" w:eastAsia="宋体" w:cs="宋体"/>
          <w:sz w:val="32"/>
          <w:szCs w:val="32"/>
          <w:lang w:eastAsia="zh-CN"/>
        </w:rPr>
        <w:t>（</w:t>
      </w:r>
      <w:r>
        <w:rPr>
          <w:rFonts w:hint="eastAsia" w:ascii="宋体" w:hAnsi="宋体" w:eastAsia="宋体" w:cs="宋体"/>
          <w:sz w:val="32"/>
          <w:szCs w:val="32"/>
          <w:lang w:val="en-US" w:eastAsia="zh-CN"/>
        </w:rPr>
        <w:t>一</w:t>
      </w:r>
      <w:r>
        <w:rPr>
          <w:rFonts w:hint="eastAsia" w:ascii="宋体" w:hAnsi="宋体" w:eastAsia="宋体" w:cs="宋体"/>
          <w:sz w:val="32"/>
          <w:szCs w:val="32"/>
          <w:lang w:eastAsia="zh-CN"/>
        </w:rPr>
        <w:t>）</w:t>
      </w:r>
      <w:r>
        <w:rPr>
          <w:rFonts w:hint="eastAsia" w:ascii="宋体" w:hAnsi="宋体" w:eastAsia="宋体" w:cs="宋体"/>
          <w:sz w:val="32"/>
          <w:szCs w:val="32"/>
        </w:rPr>
        <w:t>法定代表人证明书</w:t>
      </w:r>
      <w:bookmarkEnd w:id="294"/>
      <w:bookmarkEnd w:id="295"/>
      <w:bookmarkEnd w:id="296"/>
    </w:p>
    <w:tbl>
      <w:tblPr>
        <w:tblStyle w:val="26"/>
        <w:tblW w:w="88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529"/>
        <w:gridCol w:w="1713"/>
        <w:gridCol w:w="1757"/>
        <w:gridCol w:w="1354"/>
        <w:gridCol w:w="2413"/>
      </w:tblGrid>
      <w:tr w14:paraId="7C7BF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60" w:type="dxa"/>
            <w:gridSpan w:val="6"/>
            <w:noWrap w:val="0"/>
            <w:vAlign w:val="top"/>
          </w:tcPr>
          <w:p w14:paraId="3365FC9F">
            <w:pPr>
              <w:tabs>
                <w:tab w:val="right" w:leader="dot" w:pos="9022"/>
              </w:tabs>
              <w:autoSpaceDE w:val="0"/>
              <w:autoSpaceDN w:val="0"/>
              <w:adjustRightInd w:val="0"/>
              <w:spacing w:line="360" w:lineRule="auto"/>
              <w:jc w:val="left"/>
              <w:rPr>
                <w:rFonts w:hint="eastAsia" w:ascii="宋体" w:hAnsi="宋体" w:eastAsia="宋体" w:cs="宋体"/>
                <w:bCs/>
                <w:caps/>
                <w:color w:val="000000"/>
                <w:sz w:val="24"/>
                <w:szCs w:val="24"/>
              </w:rPr>
            </w:pPr>
            <w:r>
              <w:rPr>
                <w:rFonts w:hint="eastAsia" w:ascii="宋体" w:hAnsi="宋体" w:eastAsia="宋体" w:cs="宋体"/>
                <w:bCs/>
                <w:caps/>
                <w:color w:val="000000"/>
                <w:sz w:val="24"/>
                <w:szCs w:val="24"/>
              </w:rPr>
              <w:t>致：</w:t>
            </w:r>
            <w:r>
              <w:rPr>
                <w:rFonts w:hint="eastAsia" w:ascii="宋体" w:hAnsi="宋体" w:eastAsia="宋体" w:cs="宋体"/>
                <w:kern w:val="0"/>
                <w:sz w:val="22"/>
                <w:szCs w:val="22"/>
                <w:u w:val="single"/>
              </w:rPr>
              <w:t xml:space="preserve">　　　        </w:t>
            </w:r>
          </w:p>
        </w:tc>
      </w:tr>
      <w:tr w14:paraId="6111B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3" w:type="dxa"/>
            <w:gridSpan w:val="2"/>
            <w:noWrap w:val="0"/>
            <w:vAlign w:val="center"/>
          </w:tcPr>
          <w:p w14:paraId="5CEA9D6E">
            <w:pPr>
              <w:pageBreakBefore w:val="0"/>
              <w:tabs>
                <w:tab w:val="right" w:leader="dot" w:pos="9022"/>
              </w:tabs>
              <w:kinsoku/>
              <w:overflowPunct/>
              <w:topLinePunct w:val="0"/>
              <w:autoSpaceDE w:val="0"/>
              <w:autoSpaceDN w:val="0"/>
              <w:bidi w:val="0"/>
              <w:adjustRightInd w:val="0"/>
              <w:spacing w:line="360" w:lineRule="auto"/>
              <w:jc w:val="center"/>
              <w:rPr>
                <w:rFonts w:hint="eastAsia" w:ascii="宋体" w:hAnsi="宋体" w:eastAsia="宋体" w:cs="宋体"/>
                <w:bCs/>
                <w:caps/>
                <w:color w:val="000000"/>
                <w:sz w:val="24"/>
                <w:szCs w:val="24"/>
              </w:rPr>
            </w:pPr>
            <w:r>
              <w:rPr>
                <w:rFonts w:hint="eastAsia" w:ascii="宋体" w:hAnsi="宋体" w:eastAsia="宋体" w:cs="宋体"/>
                <w:bCs/>
                <w:caps/>
                <w:color w:val="auto"/>
                <w:sz w:val="24"/>
              </w:rPr>
              <w:t>项目名称</w:t>
            </w:r>
          </w:p>
        </w:tc>
        <w:tc>
          <w:tcPr>
            <w:tcW w:w="7237" w:type="dxa"/>
            <w:gridSpan w:val="4"/>
            <w:noWrap w:val="0"/>
            <w:vAlign w:val="top"/>
          </w:tcPr>
          <w:p w14:paraId="7E232C6E">
            <w:pPr>
              <w:tabs>
                <w:tab w:val="right" w:leader="dot" w:pos="9022"/>
              </w:tabs>
              <w:autoSpaceDE w:val="0"/>
              <w:autoSpaceDN w:val="0"/>
              <w:adjustRightInd w:val="0"/>
              <w:spacing w:line="360" w:lineRule="auto"/>
              <w:jc w:val="left"/>
              <w:rPr>
                <w:rFonts w:hint="eastAsia" w:ascii="宋体" w:hAnsi="宋体" w:eastAsia="宋体" w:cs="宋体"/>
                <w:bCs/>
                <w:caps/>
                <w:color w:val="000000"/>
                <w:sz w:val="24"/>
                <w:szCs w:val="24"/>
              </w:rPr>
            </w:pPr>
          </w:p>
        </w:tc>
      </w:tr>
      <w:tr w14:paraId="0264E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3" w:type="dxa"/>
            <w:gridSpan w:val="2"/>
            <w:noWrap w:val="0"/>
            <w:vAlign w:val="center"/>
          </w:tcPr>
          <w:p w14:paraId="429EA3F7">
            <w:pPr>
              <w:pageBreakBefore w:val="0"/>
              <w:tabs>
                <w:tab w:val="right" w:leader="dot" w:pos="9022"/>
              </w:tabs>
              <w:kinsoku/>
              <w:overflowPunct/>
              <w:topLinePunct w:val="0"/>
              <w:autoSpaceDE w:val="0"/>
              <w:autoSpaceDN w:val="0"/>
              <w:bidi w:val="0"/>
              <w:adjustRightInd w:val="0"/>
              <w:spacing w:line="360" w:lineRule="auto"/>
              <w:jc w:val="center"/>
              <w:rPr>
                <w:rFonts w:hint="eastAsia" w:ascii="宋体" w:hAnsi="宋体" w:eastAsia="宋体" w:cs="宋体"/>
                <w:bCs/>
                <w:caps/>
                <w:color w:val="000000"/>
                <w:sz w:val="24"/>
                <w:szCs w:val="24"/>
              </w:rPr>
            </w:pPr>
            <w:r>
              <w:rPr>
                <w:rFonts w:hint="eastAsia" w:ascii="宋体" w:hAnsi="宋体" w:eastAsia="宋体" w:cs="宋体"/>
                <w:bCs/>
                <w:caps/>
                <w:color w:val="auto"/>
                <w:sz w:val="24"/>
                <w:lang w:val="en-US" w:eastAsia="zh-CN"/>
              </w:rPr>
              <w:t>项目</w:t>
            </w:r>
            <w:r>
              <w:rPr>
                <w:rFonts w:hint="eastAsia" w:ascii="宋体" w:hAnsi="宋体" w:eastAsia="宋体" w:cs="宋体"/>
                <w:bCs/>
                <w:caps/>
                <w:color w:val="auto"/>
                <w:sz w:val="24"/>
              </w:rPr>
              <w:t>编号</w:t>
            </w:r>
          </w:p>
        </w:tc>
        <w:tc>
          <w:tcPr>
            <w:tcW w:w="7237" w:type="dxa"/>
            <w:gridSpan w:val="4"/>
            <w:noWrap w:val="0"/>
            <w:vAlign w:val="top"/>
          </w:tcPr>
          <w:p w14:paraId="574DD877">
            <w:pPr>
              <w:tabs>
                <w:tab w:val="right" w:leader="dot" w:pos="9022"/>
              </w:tabs>
              <w:autoSpaceDE w:val="0"/>
              <w:autoSpaceDN w:val="0"/>
              <w:adjustRightInd w:val="0"/>
              <w:spacing w:line="360" w:lineRule="auto"/>
              <w:jc w:val="left"/>
              <w:rPr>
                <w:rFonts w:hint="eastAsia" w:ascii="宋体" w:hAnsi="宋体" w:eastAsia="宋体" w:cs="宋体"/>
                <w:bCs/>
                <w:caps/>
                <w:color w:val="000000"/>
                <w:sz w:val="24"/>
                <w:szCs w:val="24"/>
              </w:rPr>
            </w:pPr>
          </w:p>
        </w:tc>
      </w:tr>
      <w:tr w14:paraId="53FC2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4" w:type="dxa"/>
            <w:vMerge w:val="restart"/>
            <w:noWrap w:val="0"/>
            <w:vAlign w:val="top"/>
          </w:tcPr>
          <w:p w14:paraId="0ED84AE5">
            <w:pPr>
              <w:tabs>
                <w:tab w:val="right" w:leader="dot" w:pos="9022"/>
              </w:tabs>
              <w:autoSpaceDE w:val="0"/>
              <w:autoSpaceDN w:val="0"/>
              <w:adjustRightInd w:val="0"/>
              <w:spacing w:line="360" w:lineRule="auto"/>
              <w:ind w:firstLine="240" w:firstLineChars="100"/>
              <w:jc w:val="left"/>
              <w:rPr>
                <w:rFonts w:hint="eastAsia" w:ascii="宋体" w:hAnsi="宋体" w:eastAsia="宋体" w:cs="宋体"/>
                <w:bCs/>
                <w:caps/>
                <w:color w:val="000000"/>
                <w:sz w:val="24"/>
                <w:szCs w:val="24"/>
              </w:rPr>
            </w:pPr>
          </w:p>
          <w:p w14:paraId="532B690C">
            <w:pPr>
              <w:tabs>
                <w:tab w:val="right" w:leader="dot" w:pos="9022"/>
              </w:tabs>
              <w:autoSpaceDE w:val="0"/>
              <w:autoSpaceDN w:val="0"/>
              <w:adjustRightInd w:val="0"/>
              <w:spacing w:line="360" w:lineRule="auto"/>
              <w:ind w:firstLine="240" w:firstLineChars="100"/>
              <w:jc w:val="left"/>
              <w:rPr>
                <w:rFonts w:hint="eastAsia" w:ascii="宋体" w:hAnsi="宋体" w:eastAsia="宋体" w:cs="宋体"/>
                <w:bCs/>
                <w:caps/>
                <w:color w:val="000000"/>
                <w:sz w:val="24"/>
                <w:szCs w:val="24"/>
              </w:rPr>
            </w:pPr>
          </w:p>
          <w:p w14:paraId="53511E1B">
            <w:pPr>
              <w:tabs>
                <w:tab w:val="right" w:leader="dot" w:pos="9022"/>
              </w:tabs>
              <w:autoSpaceDE w:val="0"/>
              <w:autoSpaceDN w:val="0"/>
              <w:adjustRightInd w:val="0"/>
              <w:spacing w:line="360" w:lineRule="auto"/>
              <w:ind w:firstLine="240" w:firstLineChars="100"/>
              <w:jc w:val="left"/>
              <w:rPr>
                <w:rFonts w:hint="eastAsia" w:ascii="宋体" w:hAnsi="宋体" w:eastAsia="宋体" w:cs="宋体"/>
                <w:bCs/>
                <w:caps/>
                <w:color w:val="000000"/>
                <w:sz w:val="24"/>
                <w:szCs w:val="24"/>
              </w:rPr>
            </w:pPr>
            <w:r>
              <w:rPr>
                <w:rFonts w:hint="eastAsia" w:ascii="宋体" w:hAnsi="宋体" w:eastAsia="宋体" w:cs="宋体"/>
                <w:bCs/>
                <w:caps/>
                <w:color w:val="000000"/>
                <w:sz w:val="24"/>
                <w:szCs w:val="24"/>
              </w:rPr>
              <w:t>企</w:t>
            </w:r>
          </w:p>
          <w:p w14:paraId="18A8C157">
            <w:pPr>
              <w:tabs>
                <w:tab w:val="right" w:leader="dot" w:pos="9022"/>
              </w:tabs>
              <w:autoSpaceDE w:val="0"/>
              <w:autoSpaceDN w:val="0"/>
              <w:adjustRightInd w:val="0"/>
              <w:spacing w:line="360" w:lineRule="auto"/>
              <w:ind w:firstLine="240" w:firstLineChars="100"/>
              <w:jc w:val="left"/>
              <w:rPr>
                <w:rFonts w:hint="eastAsia" w:ascii="宋体" w:hAnsi="宋体" w:eastAsia="宋体" w:cs="宋体"/>
                <w:bCs/>
                <w:caps/>
                <w:color w:val="000000"/>
                <w:sz w:val="24"/>
                <w:szCs w:val="24"/>
              </w:rPr>
            </w:pPr>
            <w:r>
              <w:rPr>
                <w:rFonts w:hint="eastAsia" w:ascii="宋体" w:hAnsi="宋体" w:eastAsia="宋体" w:cs="宋体"/>
                <w:bCs/>
                <w:caps/>
                <w:color w:val="000000"/>
                <w:sz w:val="24"/>
                <w:szCs w:val="24"/>
              </w:rPr>
              <w:t>业</w:t>
            </w:r>
          </w:p>
          <w:p w14:paraId="49DBC291">
            <w:pPr>
              <w:tabs>
                <w:tab w:val="right" w:leader="dot" w:pos="9022"/>
              </w:tabs>
              <w:autoSpaceDE w:val="0"/>
              <w:autoSpaceDN w:val="0"/>
              <w:adjustRightInd w:val="0"/>
              <w:spacing w:line="360" w:lineRule="auto"/>
              <w:ind w:firstLine="240" w:firstLineChars="100"/>
              <w:jc w:val="left"/>
              <w:rPr>
                <w:rFonts w:hint="eastAsia" w:ascii="宋体" w:hAnsi="宋体" w:eastAsia="宋体" w:cs="宋体"/>
                <w:bCs/>
                <w:caps/>
                <w:color w:val="000000"/>
                <w:sz w:val="24"/>
                <w:szCs w:val="24"/>
              </w:rPr>
            </w:pPr>
            <w:r>
              <w:rPr>
                <w:rFonts w:hint="eastAsia" w:ascii="宋体" w:hAnsi="宋体" w:eastAsia="宋体" w:cs="宋体"/>
                <w:bCs/>
                <w:caps/>
                <w:color w:val="000000"/>
                <w:sz w:val="24"/>
                <w:szCs w:val="24"/>
              </w:rPr>
              <w:t>法</w:t>
            </w:r>
          </w:p>
          <w:p w14:paraId="267D3AE6">
            <w:pPr>
              <w:tabs>
                <w:tab w:val="right" w:leader="dot" w:pos="9022"/>
              </w:tabs>
              <w:autoSpaceDE w:val="0"/>
              <w:autoSpaceDN w:val="0"/>
              <w:adjustRightInd w:val="0"/>
              <w:spacing w:line="360" w:lineRule="auto"/>
              <w:ind w:firstLine="240" w:firstLineChars="100"/>
              <w:jc w:val="left"/>
              <w:rPr>
                <w:rFonts w:hint="eastAsia" w:ascii="宋体" w:hAnsi="宋体" w:eastAsia="宋体" w:cs="宋体"/>
                <w:bCs/>
                <w:caps/>
                <w:color w:val="000000"/>
                <w:sz w:val="24"/>
                <w:szCs w:val="24"/>
              </w:rPr>
            </w:pPr>
            <w:r>
              <w:rPr>
                <w:rFonts w:hint="eastAsia" w:ascii="宋体" w:hAnsi="宋体" w:eastAsia="宋体" w:cs="宋体"/>
                <w:bCs/>
                <w:caps/>
                <w:color w:val="000000"/>
                <w:sz w:val="24"/>
                <w:szCs w:val="24"/>
              </w:rPr>
              <w:t>人</w:t>
            </w:r>
          </w:p>
        </w:tc>
        <w:tc>
          <w:tcPr>
            <w:tcW w:w="2242" w:type="dxa"/>
            <w:gridSpan w:val="2"/>
            <w:noWrap w:val="0"/>
            <w:vAlign w:val="top"/>
          </w:tcPr>
          <w:p w14:paraId="7006C6C7">
            <w:pPr>
              <w:tabs>
                <w:tab w:val="right" w:leader="dot" w:pos="9022"/>
              </w:tabs>
              <w:autoSpaceDE w:val="0"/>
              <w:autoSpaceDN w:val="0"/>
              <w:adjustRightInd w:val="0"/>
              <w:spacing w:line="360" w:lineRule="auto"/>
              <w:jc w:val="left"/>
              <w:rPr>
                <w:rFonts w:hint="eastAsia" w:ascii="宋体" w:hAnsi="宋体" w:eastAsia="宋体" w:cs="宋体"/>
                <w:bCs/>
                <w:caps/>
                <w:color w:val="000000"/>
                <w:sz w:val="24"/>
                <w:szCs w:val="24"/>
              </w:rPr>
            </w:pPr>
            <w:r>
              <w:rPr>
                <w:rFonts w:hint="eastAsia" w:ascii="宋体" w:hAnsi="宋体" w:eastAsia="宋体" w:cs="宋体"/>
                <w:bCs/>
                <w:caps/>
                <w:color w:val="000000"/>
                <w:sz w:val="24"/>
                <w:szCs w:val="24"/>
              </w:rPr>
              <w:t xml:space="preserve">企 业 名 称 </w:t>
            </w:r>
          </w:p>
        </w:tc>
        <w:tc>
          <w:tcPr>
            <w:tcW w:w="5524" w:type="dxa"/>
            <w:gridSpan w:val="3"/>
            <w:noWrap w:val="0"/>
            <w:vAlign w:val="top"/>
          </w:tcPr>
          <w:p w14:paraId="260AA937">
            <w:pPr>
              <w:tabs>
                <w:tab w:val="right" w:leader="dot" w:pos="9022"/>
              </w:tabs>
              <w:autoSpaceDE w:val="0"/>
              <w:autoSpaceDN w:val="0"/>
              <w:adjustRightInd w:val="0"/>
              <w:spacing w:line="360" w:lineRule="auto"/>
              <w:jc w:val="left"/>
              <w:rPr>
                <w:rFonts w:hint="eastAsia" w:ascii="宋体" w:hAnsi="宋体" w:eastAsia="宋体" w:cs="宋体"/>
                <w:bCs/>
                <w:caps/>
                <w:color w:val="000000"/>
                <w:sz w:val="24"/>
                <w:szCs w:val="24"/>
              </w:rPr>
            </w:pPr>
          </w:p>
        </w:tc>
      </w:tr>
      <w:tr w14:paraId="0A527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4" w:type="dxa"/>
            <w:vMerge w:val="continue"/>
            <w:noWrap w:val="0"/>
            <w:vAlign w:val="top"/>
          </w:tcPr>
          <w:p w14:paraId="21AE045D">
            <w:pPr>
              <w:tabs>
                <w:tab w:val="right" w:leader="dot" w:pos="9022"/>
              </w:tabs>
              <w:autoSpaceDE w:val="0"/>
              <w:autoSpaceDN w:val="0"/>
              <w:adjustRightInd w:val="0"/>
              <w:spacing w:line="360" w:lineRule="auto"/>
              <w:jc w:val="left"/>
              <w:rPr>
                <w:rFonts w:hint="eastAsia" w:ascii="宋体" w:hAnsi="宋体" w:eastAsia="宋体" w:cs="宋体"/>
                <w:bCs/>
                <w:caps/>
                <w:color w:val="000000"/>
                <w:sz w:val="24"/>
                <w:szCs w:val="24"/>
              </w:rPr>
            </w:pPr>
          </w:p>
        </w:tc>
        <w:tc>
          <w:tcPr>
            <w:tcW w:w="2242" w:type="dxa"/>
            <w:gridSpan w:val="2"/>
            <w:noWrap w:val="0"/>
            <w:vAlign w:val="top"/>
          </w:tcPr>
          <w:p w14:paraId="6C8B56EB">
            <w:pPr>
              <w:tabs>
                <w:tab w:val="right" w:leader="dot" w:pos="9022"/>
              </w:tabs>
              <w:autoSpaceDE w:val="0"/>
              <w:autoSpaceDN w:val="0"/>
              <w:adjustRightInd w:val="0"/>
              <w:spacing w:line="360" w:lineRule="auto"/>
              <w:jc w:val="left"/>
              <w:rPr>
                <w:rFonts w:hint="eastAsia" w:ascii="宋体" w:hAnsi="宋体" w:eastAsia="宋体" w:cs="宋体"/>
                <w:bCs/>
                <w:caps/>
                <w:color w:val="000000"/>
                <w:sz w:val="24"/>
                <w:szCs w:val="24"/>
              </w:rPr>
            </w:pPr>
            <w:r>
              <w:rPr>
                <w:rFonts w:hint="eastAsia" w:ascii="宋体" w:hAnsi="宋体" w:eastAsia="宋体" w:cs="宋体"/>
                <w:bCs/>
                <w:caps/>
                <w:color w:val="000000"/>
                <w:sz w:val="24"/>
                <w:szCs w:val="24"/>
              </w:rPr>
              <w:t>法 定 地 址</w:t>
            </w:r>
          </w:p>
        </w:tc>
        <w:tc>
          <w:tcPr>
            <w:tcW w:w="5524" w:type="dxa"/>
            <w:gridSpan w:val="3"/>
            <w:noWrap w:val="0"/>
            <w:vAlign w:val="top"/>
          </w:tcPr>
          <w:p w14:paraId="7FB568AC">
            <w:pPr>
              <w:tabs>
                <w:tab w:val="right" w:leader="dot" w:pos="9022"/>
              </w:tabs>
              <w:autoSpaceDE w:val="0"/>
              <w:autoSpaceDN w:val="0"/>
              <w:adjustRightInd w:val="0"/>
              <w:spacing w:line="360" w:lineRule="auto"/>
              <w:jc w:val="left"/>
              <w:rPr>
                <w:rFonts w:hint="eastAsia" w:ascii="宋体" w:hAnsi="宋体" w:eastAsia="宋体" w:cs="宋体"/>
                <w:bCs/>
                <w:caps/>
                <w:color w:val="000000"/>
                <w:sz w:val="24"/>
                <w:szCs w:val="24"/>
              </w:rPr>
            </w:pPr>
          </w:p>
        </w:tc>
      </w:tr>
      <w:tr w14:paraId="773DC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4" w:type="dxa"/>
            <w:vMerge w:val="continue"/>
            <w:noWrap w:val="0"/>
            <w:vAlign w:val="top"/>
          </w:tcPr>
          <w:p w14:paraId="61EFDD05">
            <w:pPr>
              <w:tabs>
                <w:tab w:val="right" w:leader="dot" w:pos="9022"/>
              </w:tabs>
              <w:autoSpaceDE w:val="0"/>
              <w:autoSpaceDN w:val="0"/>
              <w:adjustRightInd w:val="0"/>
              <w:spacing w:line="360" w:lineRule="auto"/>
              <w:jc w:val="left"/>
              <w:rPr>
                <w:rFonts w:hint="eastAsia" w:ascii="宋体" w:hAnsi="宋体" w:eastAsia="宋体" w:cs="宋体"/>
                <w:bCs/>
                <w:caps/>
                <w:color w:val="000000"/>
                <w:sz w:val="24"/>
                <w:szCs w:val="24"/>
              </w:rPr>
            </w:pPr>
          </w:p>
        </w:tc>
        <w:tc>
          <w:tcPr>
            <w:tcW w:w="2242" w:type="dxa"/>
            <w:gridSpan w:val="2"/>
            <w:noWrap w:val="0"/>
            <w:vAlign w:val="top"/>
          </w:tcPr>
          <w:p w14:paraId="6BF73B3F">
            <w:pPr>
              <w:tabs>
                <w:tab w:val="right" w:leader="dot" w:pos="9022"/>
              </w:tabs>
              <w:autoSpaceDE w:val="0"/>
              <w:autoSpaceDN w:val="0"/>
              <w:adjustRightInd w:val="0"/>
              <w:spacing w:line="360" w:lineRule="auto"/>
              <w:jc w:val="left"/>
              <w:rPr>
                <w:rFonts w:hint="eastAsia" w:ascii="宋体" w:hAnsi="宋体" w:eastAsia="宋体" w:cs="宋体"/>
                <w:bCs/>
                <w:caps/>
                <w:color w:val="000000"/>
                <w:sz w:val="24"/>
                <w:szCs w:val="24"/>
              </w:rPr>
            </w:pPr>
            <w:r>
              <w:rPr>
                <w:rFonts w:hint="eastAsia" w:ascii="宋体" w:hAnsi="宋体" w:eastAsia="宋体" w:cs="宋体"/>
                <w:bCs/>
                <w:caps/>
                <w:color w:val="000000"/>
                <w:sz w:val="24"/>
                <w:szCs w:val="24"/>
              </w:rPr>
              <w:t>邮 政 编 码</w:t>
            </w:r>
          </w:p>
        </w:tc>
        <w:tc>
          <w:tcPr>
            <w:tcW w:w="5524" w:type="dxa"/>
            <w:gridSpan w:val="3"/>
            <w:noWrap w:val="0"/>
            <w:vAlign w:val="top"/>
          </w:tcPr>
          <w:p w14:paraId="6CFFD810">
            <w:pPr>
              <w:tabs>
                <w:tab w:val="right" w:leader="dot" w:pos="9022"/>
              </w:tabs>
              <w:autoSpaceDE w:val="0"/>
              <w:autoSpaceDN w:val="0"/>
              <w:adjustRightInd w:val="0"/>
              <w:spacing w:line="360" w:lineRule="auto"/>
              <w:jc w:val="left"/>
              <w:rPr>
                <w:rFonts w:hint="eastAsia" w:ascii="宋体" w:hAnsi="宋体" w:eastAsia="宋体" w:cs="宋体"/>
                <w:bCs/>
                <w:caps/>
                <w:color w:val="000000"/>
                <w:sz w:val="24"/>
                <w:szCs w:val="24"/>
              </w:rPr>
            </w:pPr>
          </w:p>
        </w:tc>
      </w:tr>
      <w:tr w14:paraId="688B7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4" w:type="dxa"/>
            <w:vMerge w:val="continue"/>
            <w:noWrap w:val="0"/>
            <w:vAlign w:val="top"/>
          </w:tcPr>
          <w:p w14:paraId="605453CB">
            <w:pPr>
              <w:tabs>
                <w:tab w:val="right" w:leader="dot" w:pos="9022"/>
              </w:tabs>
              <w:autoSpaceDE w:val="0"/>
              <w:autoSpaceDN w:val="0"/>
              <w:adjustRightInd w:val="0"/>
              <w:spacing w:line="360" w:lineRule="auto"/>
              <w:jc w:val="left"/>
              <w:rPr>
                <w:rFonts w:hint="eastAsia" w:ascii="宋体" w:hAnsi="宋体" w:eastAsia="宋体" w:cs="宋体"/>
                <w:bCs/>
                <w:caps/>
                <w:color w:val="000000"/>
                <w:sz w:val="24"/>
                <w:szCs w:val="24"/>
              </w:rPr>
            </w:pPr>
          </w:p>
        </w:tc>
        <w:tc>
          <w:tcPr>
            <w:tcW w:w="2242" w:type="dxa"/>
            <w:gridSpan w:val="2"/>
            <w:noWrap w:val="0"/>
            <w:vAlign w:val="top"/>
          </w:tcPr>
          <w:p w14:paraId="71DAADE3">
            <w:pPr>
              <w:tabs>
                <w:tab w:val="right" w:leader="dot" w:pos="9022"/>
              </w:tabs>
              <w:autoSpaceDE w:val="0"/>
              <w:autoSpaceDN w:val="0"/>
              <w:adjustRightInd w:val="0"/>
              <w:spacing w:line="360" w:lineRule="auto"/>
              <w:jc w:val="left"/>
              <w:rPr>
                <w:rFonts w:hint="eastAsia" w:ascii="宋体" w:hAnsi="宋体" w:eastAsia="宋体" w:cs="宋体"/>
                <w:bCs/>
                <w:caps/>
                <w:color w:val="000000"/>
                <w:sz w:val="24"/>
                <w:szCs w:val="24"/>
              </w:rPr>
            </w:pPr>
            <w:r>
              <w:rPr>
                <w:rFonts w:hint="eastAsia" w:ascii="宋体" w:hAnsi="宋体" w:eastAsia="宋体" w:cs="宋体"/>
                <w:bCs/>
                <w:caps/>
                <w:color w:val="000000"/>
                <w:sz w:val="24"/>
                <w:szCs w:val="24"/>
              </w:rPr>
              <w:t>网       址</w:t>
            </w:r>
          </w:p>
        </w:tc>
        <w:tc>
          <w:tcPr>
            <w:tcW w:w="5524" w:type="dxa"/>
            <w:gridSpan w:val="3"/>
            <w:noWrap w:val="0"/>
            <w:vAlign w:val="top"/>
          </w:tcPr>
          <w:p w14:paraId="61201B06">
            <w:pPr>
              <w:tabs>
                <w:tab w:val="right" w:leader="dot" w:pos="9022"/>
              </w:tabs>
              <w:autoSpaceDE w:val="0"/>
              <w:autoSpaceDN w:val="0"/>
              <w:adjustRightInd w:val="0"/>
              <w:spacing w:line="360" w:lineRule="auto"/>
              <w:jc w:val="left"/>
              <w:rPr>
                <w:rFonts w:hint="eastAsia" w:ascii="宋体" w:hAnsi="宋体" w:eastAsia="宋体" w:cs="宋体"/>
                <w:bCs/>
                <w:caps/>
                <w:color w:val="000000"/>
                <w:sz w:val="24"/>
                <w:szCs w:val="24"/>
              </w:rPr>
            </w:pPr>
          </w:p>
        </w:tc>
      </w:tr>
      <w:tr w14:paraId="1B3D2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4" w:type="dxa"/>
            <w:vMerge w:val="continue"/>
            <w:noWrap w:val="0"/>
            <w:vAlign w:val="top"/>
          </w:tcPr>
          <w:p w14:paraId="642F539C">
            <w:pPr>
              <w:tabs>
                <w:tab w:val="right" w:leader="dot" w:pos="9022"/>
              </w:tabs>
              <w:autoSpaceDE w:val="0"/>
              <w:autoSpaceDN w:val="0"/>
              <w:adjustRightInd w:val="0"/>
              <w:spacing w:line="360" w:lineRule="auto"/>
              <w:jc w:val="left"/>
              <w:rPr>
                <w:rFonts w:hint="eastAsia" w:ascii="宋体" w:hAnsi="宋体" w:eastAsia="宋体" w:cs="宋体"/>
                <w:bCs/>
                <w:caps/>
                <w:color w:val="000000"/>
                <w:sz w:val="24"/>
                <w:szCs w:val="24"/>
              </w:rPr>
            </w:pPr>
          </w:p>
        </w:tc>
        <w:tc>
          <w:tcPr>
            <w:tcW w:w="2242" w:type="dxa"/>
            <w:gridSpan w:val="2"/>
            <w:noWrap w:val="0"/>
            <w:vAlign w:val="top"/>
          </w:tcPr>
          <w:p w14:paraId="36BAD88D">
            <w:pPr>
              <w:tabs>
                <w:tab w:val="right" w:leader="dot" w:pos="9022"/>
              </w:tabs>
              <w:autoSpaceDE w:val="0"/>
              <w:autoSpaceDN w:val="0"/>
              <w:adjustRightInd w:val="0"/>
              <w:spacing w:line="360" w:lineRule="auto"/>
              <w:jc w:val="left"/>
              <w:rPr>
                <w:rFonts w:hint="eastAsia" w:ascii="宋体" w:hAnsi="宋体" w:eastAsia="宋体" w:cs="宋体"/>
                <w:bCs/>
                <w:caps/>
                <w:color w:val="000000"/>
                <w:sz w:val="24"/>
                <w:szCs w:val="24"/>
              </w:rPr>
            </w:pPr>
            <w:r>
              <w:rPr>
                <w:rFonts w:hint="eastAsia" w:ascii="宋体" w:hAnsi="宋体" w:eastAsia="宋体" w:cs="宋体"/>
                <w:bCs/>
                <w:caps/>
                <w:color w:val="000000"/>
                <w:sz w:val="24"/>
                <w:szCs w:val="24"/>
              </w:rPr>
              <w:t>工商登记机关</w:t>
            </w:r>
          </w:p>
        </w:tc>
        <w:tc>
          <w:tcPr>
            <w:tcW w:w="5524" w:type="dxa"/>
            <w:gridSpan w:val="3"/>
            <w:noWrap w:val="0"/>
            <w:vAlign w:val="top"/>
          </w:tcPr>
          <w:p w14:paraId="09BD5C4F">
            <w:pPr>
              <w:tabs>
                <w:tab w:val="right" w:leader="dot" w:pos="9022"/>
              </w:tabs>
              <w:autoSpaceDE w:val="0"/>
              <w:autoSpaceDN w:val="0"/>
              <w:adjustRightInd w:val="0"/>
              <w:spacing w:line="360" w:lineRule="auto"/>
              <w:ind w:firstLine="2400" w:firstLineChars="1000"/>
              <w:jc w:val="left"/>
              <w:rPr>
                <w:rFonts w:hint="eastAsia" w:ascii="宋体" w:hAnsi="宋体" w:eastAsia="宋体" w:cs="宋体"/>
                <w:bCs/>
                <w:caps/>
                <w:color w:val="000000"/>
                <w:sz w:val="24"/>
                <w:szCs w:val="24"/>
              </w:rPr>
            </w:pPr>
          </w:p>
        </w:tc>
      </w:tr>
      <w:tr w14:paraId="39897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4" w:type="dxa"/>
            <w:vMerge w:val="continue"/>
            <w:noWrap w:val="0"/>
            <w:vAlign w:val="top"/>
          </w:tcPr>
          <w:p w14:paraId="3BF0A82C">
            <w:pPr>
              <w:tabs>
                <w:tab w:val="right" w:leader="dot" w:pos="9022"/>
              </w:tabs>
              <w:autoSpaceDE w:val="0"/>
              <w:autoSpaceDN w:val="0"/>
              <w:adjustRightInd w:val="0"/>
              <w:spacing w:line="360" w:lineRule="auto"/>
              <w:jc w:val="left"/>
              <w:rPr>
                <w:rFonts w:hint="eastAsia" w:ascii="宋体" w:hAnsi="宋体" w:eastAsia="宋体" w:cs="宋体"/>
                <w:bCs/>
                <w:caps/>
                <w:color w:val="000000"/>
                <w:sz w:val="24"/>
                <w:szCs w:val="24"/>
              </w:rPr>
            </w:pPr>
          </w:p>
        </w:tc>
        <w:tc>
          <w:tcPr>
            <w:tcW w:w="2242" w:type="dxa"/>
            <w:gridSpan w:val="2"/>
            <w:noWrap w:val="0"/>
            <w:vAlign w:val="top"/>
          </w:tcPr>
          <w:p w14:paraId="5B0AB164">
            <w:pPr>
              <w:tabs>
                <w:tab w:val="right" w:leader="dot" w:pos="9022"/>
              </w:tabs>
              <w:autoSpaceDE w:val="0"/>
              <w:autoSpaceDN w:val="0"/>
              <w:adjustRightInd w:val="0"/>
              <w:spacing w:line="360" w:lineRule="auto"/>
              <w:jc w:val="left"/>
              <w:rPr>
                <w:rFonts w:hint="eastAsia" w:ascii="宋体" w:hAnsi="宋体" w:eastAsia="宋体" w:cs="宋体"/>
                <w:bCs/>
                <w:caps/>
                <w:color w:val="000000"/>
                <w:sz w:val="24"/>
                <w:szCs w:val="24"/>
                <w:lang w:eastAsia="zh-CN"/>
              </w:rPr>
            </w:pPr>
            <w:r>
              <w:rPr>
                <w:rFonts w:hint="eastAsia" w:ascii="宋体" w:hAnsi="宋体" w:eastAsia="宋体" w:cs="宋体"/>
                <w:bCs/>
                <w:caps/>
                <w:color w:val="000000"/>
                <w:sz w:val="24"/>
                <w:szCs w:val="24"/>
                <w:lang w:eastAsia="zh-CN"/>
              </w:rPr>
              <w:t>统一社会信用代码</w:t>
            </w:r>
          </w:p>
        </w:tc>
        <w:tc>
          <w:tcPr>
            <w:tcW w:w="5524" w:type="dxa"/>
            <w:gridSpan w:val="3"/>
            <w:noWrap w:val="0"/>
            <w:vAlign w:val="top"/>
          </w:tcPr>
          <w:p w14:paraId="5A34DB30">
            <w:pPr>
              <w:tabs>
                <w:tab w:val="right" w:leader="dot" w:pos="9022"/>
              </w:tabs>
              <w:autoSpaceDE w:val="0"/>
              <w:autoSpaceDN w:val="0"/>
              <w:adjustRightInd w:val="0"/>
              <w:spacing w:line="360" w:lineRule="auto"/>
              <w:jc w:val="left"/>
              <w:rPr>
                <w:rFonts w:hint="eastAsia" w:ascii="宋体" w:hAnsi="宋体" w:eastAsia="宋体" w:cs="宋体"/>
                <w:bCs/>
                <w:caps/>
                <w:color w:val="000000"/>
                <w:sz w:val="24"/>
                <w:szCs w:val="24"/>
              </w:rPr>
            </w:pPr>
          </w:p>
        </w:tc>
      </w:tr>
      <w:tr w14:paraId="5BBDE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4" w:type="dxa"/>
            <w:vMerge w:val="restart"/>
            <w:noWrap w:val="0"/>
            <w:vAlign w:val="center"/>
          </w:tcPr>
          <w:p w14:paraId="47AD6D1F">
            <w:pPr>
              <w:tabs>
                <w:tab w:val="right" w:leader="dot" w:pos="9022"/>
              </w:tabs>
              <w:autoSpaceDE w:val="0"/>
              <w:autoSpaceDN w:val="0"/>
              <w:adjustRightInd w:val="0"/>
              <w:spacing w:line="360" w:lineRule="auto"/>
              <w:rPr>
                <w:rFonts w:hint="eastAsia" w:ascii="宋体" w:hAnsi="宋体" w:eastAsia="宋体" w:cs="宋体"/>
                <w:bCs/>
                <w:caps/>
                <w:color w:val="000000"/>
                <w:sz w:val="24"/>
                <w:szCs w:val="24"/>
              </w:rPr>
            </w:pPr>
            <w:r>
              <w:rPr>
                <w:rFonts w:hint="eastAsia" w:ascii="宋体" w:hAnsi="宋体" w:eastAsia="宋体" w:cs="宋体"/>
                <w:bCs/>
                <w:caps/>
                <w:color w:val="000000"/>
                <w:sz w:val="24"/>
                <w:szCs w:val="24"/>
              </w:rPr>
              <w:t>法 定</w:t>
            </w:r>
          </w:p>
          <w:p w14:paraId="65CD2B14">
            <w:pPr>
              <w:tabs>
                <w:tab w:val="right" w:leader="dot" w:pos="9022"/>
              </w:tabs>
              <w:autoSpaceDE w:val="0"/>
              <w:autoSpaceDN w:val="0"/>
              <w:adjustRightInd w:val="0"/>
              <w:spacing w:line="360" w:lineRule="auto"/>
              <w:rPr>
                <w:rFonts w:hint="eastAsia" w:ascii="宋体" w:hAnsi="宋体" w:eastAsia="宋体" w:cs="宋体"/>
                <w:bCs/>
                <w:caps/>
                <w:color w:val="000000"/>
                <w:sz w:val="24"/>
                <w:szCs w:val="24"/>
              </w:rPr>
            </w:pPr>
            <w:r>
              <w:rPr>
                <w:rFonts w:hint="eastAsia" w:ascii="宋体" w:hAnsi="宋体" w:eastAsia="宋体" w:cs="宋体"/>
                <w:bCs/>
                <w:caps/>
                <w:color w:val="000000"/>
                <w:sz w:val="24"/>
                <w:szCs w:val="24"/>
              </w:rPr>
              <w:t>代 表</w:t>
            </w:r>
          </w:p>
          <w:p w14:paraId="19EA54C5">
            <w:pPr>
              <w:tabs>
                <w:tab w:val="right" w:leader="dot" w:pos="9022"/>
              </w:tabs>
              <w:autoSpaceDE w:val="0"/>
              <w:autoSpaceDN w:val="0"/>
              <w:adjustRightInd w:val="0"/>
              <w:spacing w:line="360" w:lineRule="auto"/>
              <w:ind w:firstLine="240" w:firstLineChars="100"/>
              <w:rPr>
                <w:rFonts w:hint="eastAsia" w:ascii="宋体" w:hAnsi="宋体" w:eastAsia="宋体" w:cs="宋体"/>
                <w:bCs/>
                <w:caps/>
                <w:color w:val="000000"/>
                <w:sz w:val="24"/>
                <w:szCs w:val="24"/>
              </w:rPr>
            </w:pPr>
            <w:r>
              <w:rPr>
                <w:rFonts w:hint="eastAsia" w:ascii="宋体" w:hAnsi="宋体" w:eastAsia="宋体" w:cs="宋体"/>
                <w:bCs/>
                <w:caps/>
                <w:color w:val="000000"/>
                <w:sz w:val="24"/>
                <w:szCs w:val="24"/>
              </w:rPr>
              <w:t>人</w:t>
            </w:r>
          </w:p>
        </w:tc>
        <w:tc>
          <w:tcPr>
            <w:tcW w:w="2242" w:type="dxa"/>
            <w:gridSpan w:val="2"/>
            <w:noWrap w:val="0"/>
            <w:vAlign w:val="top"/>
          </w:tcPr>
          <w:p w14:paraId="347F92E9">
            <w:pPr>
              <w:tabs>
                <w:tab w:val="right" w:leader="dot" w:pos="9022"/>
              </w:tabs>
              <w:autoSpaceDE w:val="0"/>
              <w:autoSpaceDN w:val="0"/>
              <w:adjustRightInd w:val="0"/>
              <w:spacing w:line="360" w:lineRule="auto"/>
              <w:ind w:firstLine="240" w:firstLineChars="100"/>
              <w:jc w:val="left"/>
              <w:rPr>
                <w:rFonts w:hint="eastAsia" w:ascii="宋体" w:hAnsi="宋体" w:eastAsia="宋体" w:cs="宋体"/>
                <w:bCs/>
                <w:caps/>
                <w:color w:val="000000"/>
                <w:sz w:val="24"/>
                <w:szCs w:val="24"/>
              </w:rPr>
            </w:pPr>
            <w:r>
              <w:rPr>
                <w:rFonts w:hint="eastAsia" w:ascii="宋体" w:hAnsi="宋体" w:eastAsia="宋体" w:cs="宋体"/>
                <w:bCs/>
                <w:caps/>
                <w:color w:val="000000"/>
                <w:sz w:val="24"/>
                <w:szCs w:val="24"/>
              </w:rPr>
              <w:t>姓    名</w:t>
            </w:r>
          </w:p>
        </w:tc>
        <w:tc>
          <w:tcPr>
            <w:tcW w:w="1757" w:type="dxa"/>
            <w:noWrap w:val="0"/>
            <w:vAlign w:val="top"/>
          </w:tcPr>
          <w:p w14:paraId="7E52932B">
            <w:pPr>
              <w:tabs>
                <w:tab w:val="right" w:leader="dot" w:pos="9022"/>
              </w:tabs>
              <w:autoSpaceDE w:val="0"/>
              <w:autoSpaceDN w:val="0"/>
              <w:adjustRightInd w:val="0"/>
              <w:spacing w:line="360" w:lineRule="auto"/>
              <w:jc w:val="left"/>
              <w:rPr>
                <w:rFonts w:hint="eastAsia" w:ascii="宋体" w:hAnsi="宋体" w:eastAsia="宋体" w:cs="宋体"/>
                <w:bCs/>
                <w:caps/>
                <w:color w:val="000000"/>
                <w:sz w:val="24"/>
                <w:szCs w:val="24"/>
              </w:rPr>
            </w:pPr>
          </w:p>
        </w:tc>
        <w:tc>
          <w:tcPr>
            <w:tcW w:w="1354" w:type="dxa"/>
            <w:noWrap w:val="0"/>
            <w:vAlign w:val="top"/>
          </w:tcPr>
          <w:p w14:paraId="05894CB2">
            <w:pPr>
              <w:tabs>
                <w:tab w:val="right" w:leader="dot" w:pos="9022"/>
              </w:tabs>
              <w:autoSpaceDE w:val="0"/>
              <w:autoSpaceDN w:val="0"/>
              <w:adjustRightInd w:val="0"/>
              <w:spacing w:line="360" w:lineRule="auto"/>
              <w:jc w:val="left"/>
              <w:rPr>
                <w:rFonts w:hint="eastAsia" w:ascii="宋体" w:hAnsi="宋体" w:eastAsia="宋体" w:cs="宋体"/>
                <w:bCs/>
                <w:caps/>
                <w:color w:val="000000"/>
                <w:sz w:val="24"/>
                <w:szCs w:val="24"/>
              </w:rPr>
            </w:pPr>
            <w:r>
              <w:rPr>
                <w:rFonts w:hint="eastAsia" w:ascii="宋体" w:hAnsi="宋体" w:eastAsia="宋体" w:cs="宋体"/>
                <w:bCs/>
                <w:caps/>
                <w:color w:val="000000"/>
                <w:sz w:val="24"/>
                <w:szCs w:val="24"/>
              </w:rPr>
              <w:t>性    别</w:t>
            </w:r>
          </w:p>
        </w:tc>
        <w:tc>
          <w:tcPr>
            <w:tcW w:w="2413" w:type="dxa"/>
            <w:noWrap w:val="0"/>
            <w:vAlign w:val="top"/>
          </w:tcPr>
          <w:p w14:paraId="7B02873A">
            <w:pPr>
              <w:tabs>
                <w:tab w:val="right" w:leader="dot" w:pos="9022"/>
              </w:tabs>
              <w:autoSpaceDE w:val="0"/>
              <w:autoSpaceDN w:val="0"/>
              <w:adjustRightInd w:val="0"/>
              <w:spacing w:line="360" w:lineRule="auto"/>
              <w:jc w:val="left"/>
              <w:rPr>
                <w:rFonts w:hint="eastAsia" w:ascii="宋体" w:hAnsi="宋体" w:eastAsia="宋体" w:cs="宋体"/>
                <w:bCs/>
                <w:caps/>
                <w:color w:val="000000"/>
                <w:sz w:val="24"/>
                <w:szCs w:val="24"/>
              </w:rPr>
            </w:pPr>
          </w:p>
        </w:tc>
      </w:tr>
      <w:tr w14:paraId="2B424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4" w:type="dxa"/>
            <w:vMerge w:val="continue"/>
            <w:noWrap w:val="0"/>
            <w:vAlign w:val="top"/>
          </w:tcPr>
          <w:p w14:paraId="58F2A7C7">
            <w:pPr>
              <w:tabs>
                <w:tab w:val="right" w:leader="dot" w:pos="9022"/>
              </w:tabs>
              <w:autoSpaceDE w:val="0"/>
              <w:autoSpaceDN w:val="0"/>
              <w:adjustRightInd w:val="0"/>
              <w:spacing w:line="360" w:lineRule="auto"/>
              <w:jc w:val="left"/>
              <w:rPr>
                <w:rFonts w:hint="eastAsia" w:ascii="宋体" w:hAnsi="宋体" w:eastAsia="宋体" w:cs="宋体"/>
                <w:bCs/>
                <w:caps/>
                <w:color w:val="000000"/>
                <w:sz w:val="24"/>
                <w:szCs w:val="24"/>
              </w:rPr>
            </w:pPr>
          </w:p>
        </w:tc>
        <w:tc>
          <w:tcPr>
            <w:tcW w:w="2242" w:type="dxa"/>
            <w:gridSpan w:val="2"/>
            <w:noWrap w:val="0"/>
            <w:vAlign w:val="top"/>
          </w:tcPr>
          <w:p w14:paraId="4E9672E9">
            <w:pPr>
              <w:tabs>
                <w:tab w:val="right" w:leader="dot" w:pos="9022"/>
              </w:tabs>
              <w:autoSpaceDE w:val="0"/>
              <w:autoSpaceDN w:val="0"/>
              <w:adjustRightInd w:val="0"/>
              <w:spacing w:line="360" w:lineRule="auto"/>
              <w:ind w:firstLine="240" w:firstLineChars="100"/>
              <w:jc w:val="left"/>
              <w:rPr>
                <w:rFonts w:hint="eastAsia" w:ascii="宋体" w:hAnsi="宋体" w:eastAsia="宋体" w:cs="宋体"/>
                <w:bCs/>
                <w:caps/>
                <w:color w:val="000000"/>
                <w:sz w:val="24"/>
                <w:szCs w:val="24"/>
              </w:rPr>
            </w:pPr>
            <w:r>
              <w:rPr>
                <w:rFonts w:hint="eastAsia" w:ascii="宋体" w:hAnsi="宋体" w:eastAsia="宋体" w:cs="宋体"/>
                <w:bCs/>
                <w:caps/>
                <w:color w:val="000000"/>
                <w:sz w:val="24"/>
                <w:szCs w:val="24"/>
              </w:rPr>
              <w:t>职    务</w:t>
            </w:r>
          </w:p>
        </w:tc>
        <w:tc>
          <w:tcPr>
            <w:tcW w:w="1757" w:type="dxa"/>
            <w:noWrap w:val="0"/>
            <w:vAlign w:val="top"/>
          </w:tcPr>
          <w:p w14:paraId="603DCA33">
            <w:pPr>
              <w:tabs>
                <w:tab w:val="right" w:leader="dot" w:pos="9022"/>
              </w:tabs>
              <w:autoSpaceDE w:val="0"/>
              <w:autoSpaceDN w:val="0"/>
              <w:adjustRightInd w:val="0"/>
              <w:spacing w:line="360" w:lineRule="auto"/>
              <w:jc w:val="left"/>
              <w:rPr>
                <w:rFonts w:hint="eastAsia" w:ascii="宋体" w:hAnsi="宋体" w:eastAsia="宋体" w:cs="宋体"/>
                <w:bCs/>
                <w:caps/>
                <w:color w:val="000000"/>
                <w:sz w:val="24"/>
                <w:szCs w:val="24"/>
              </w:rPr>
            </w:pPr>
          </w:p>
        </w:tc>
        <w:tc>
          <w:tcPr>
            <w:tcW w:w="1354" w:type="dxa"/>
            <w:noWrap w:val="0"/>
            <w:vAlign w:val="top"/>
          </w:tcPr>
          <w:p w14:paraId="55D72A10">
            <w:pPr>
              <w:tabs>
                <w:tab w:val="right" w:leader="dot" w:pos="9022"/>
              </w:tabs>
              <w:autoSpaceDE w:val="0"/>
              <w:autoSpaceDN w:val="0"/>
              <w:adjustRightInd w:val="0"/>
              <w:spacing w:line="360" w:lineRule="auto"/>
              <w:jc w:val="left"/>
              <w:rPr>
                <w:rFonts w:hint="eastAsia" w:ascii="宋体" w:hAnsi="宋体" w:eastAsia="宋体" w:cs="宋体"/>
                <w:bCs/>
                <w:caps/>
                <w:color w:val="000000"/>
                <w:sz w:val="24"/>
                <w:szCs w:val="24"/>
              </w:rPr>
            </w:pPr>
            <w:r>
              <w:rPr>
                <w:rFonts w:hint="eastAsia" w:ascii="宋体" w:hAnsi="宋体" w:eastAsia="宋体" w:cs="宋体"/>
                <w:bCs/>
                <w:caps/>
                <w:color w:val="000000"/>
                <w:sz w:val="24"/>
                <w:szCs w:val="24"/>
              </w:rPr>
              <w:t>联系电话</w:t>
            </w:r>
          </w:p>
        </w:tc>
        <w:tc>
          <w:tcPr>
            <w:tcW w:w="2413" w:type="dxa"/>
            <w:noWrap w:val="0"/>
            <w:vAlign w:val="top"/>
          </w:tcPr>
          <w:p w14:paraId="5EEA2D1C">
            <w:pPr>
              <w:tabs>
                <w:tab w:val="right" w:leader="dot" w:pos="9022"/>
              </w:tabs>
              <w:autoSpaceDE w:val="0"/>
              <w:autoSpaceDN w:val="0"/>
              <w:adjustRightInd w:val="0"/>
              <w:spacing w:line="360" w:lineRule="auto"/>
              <w:jc w:val="left"/>
              <w:rPr>
                <w:rFonts w:hint="eastAsia" w:ascii="宋体" w:hAnsi="宋体" w:eastAsia="宋体" w:cs="宋体"/>
                <w:bCs/>
                <w:caps/>
                <w:color w:val="000000"/>
                <w:sz w:val="24"/>
                <w:szCs w:val="24"/>
              </w:rPr>
            </w:pPr>
          </w:p>
        </w:tc>
      </w:tr>
      <w:tr w14:paraId="0F337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4" w:type="dxa"/>
            <w:vMerge w:val="continue"/>
            <w:noWrap w:val="0"/>
            <w:vAlign w:val="top"/>
          </w:tcPr>
          <w:p w14:paraId="7D99F6E2">
            <w:pPr>
              <w:tabs>
                <w:tab w:val="right" w:leader="dot" w:pos="9022"/>
              </w:tabs>
              <w:autoSpaceDE w:val="0"/>
              <w:autoSpaceDN w:val="0"/>
              <w:adjustRightInd w:val="0"/>
              <w:spacing w:line="360" w:lineRule="auto"/>
              <w:jc w:val="left"/>
              <w:rPr>
                <w:rFonts w:hint="eastAsia" w:ascii="宋体" w:hAnsi="宋体" w:eastAsia="宋体" w:cs="宋体"/>
                <w:bCs/>
                <w:caps/>
                <w:color w:val="000000"/>
                <w:sz w:val="24"/>
                <w:szCs w:val="24"/>
              </w:rPr>
            </w:pPr>
          </w:p>
        </w:tc>
        <w:tc>
          <w:tcPr>
            <w:tcW w:w="2242" w:type="dxa"/>
            <w:gridSpan w:val="2"/>
            <w:noWrap w:val="0"/>
            <w:vAlign w:val="top"/>
          </w:tcPr>
          <w:p w14:paraId="47647803">
            <w:pPr>
              <w:tabs>
                <w:tab w:val="right" w:leader="dot" w:pos="9022"/>
              </w:tabs>
              <w:autoSpaceDE w:val="0"/>
              <w:autoSpaceDN w:val="0"/>
              <w:adjustRightInd w:val="0"/>
              <w:spacing w:line="360" w:lineRule="auto"/>
              <w:ind w:firstLine="240" w:firstLineChars="100"/>
              <w:jc w:val="left"/>
              <w:rPr>
                <w:rFonts w:hint="eastAsia" w:ascii="宋体" w:hAnsi="宋体" w:eastAsia="宋体" w:cs="宋体"/>
                <w:bCs/>
                <w:caps/>
                <w:color w:val="000000"/>
                <w:sz w:val="24"/>
                <w:szCs w:val="24"/>
              </w:rPr>
            </w:pPr>
            <w:r>
              <w:rPr>
                <w:rFonts w:hint="eastAsia" w:ascii="宋体" w:hAnsi="宋体" w:eastAsia="宋体" w:cs="宋体"/>
                <w:bCs/>
                <w:caps/>
                <w:color w:val="000000"/>
                <w:sz w:val="24"/>
                <w:szCs w:val="24"/>
              </w:rPr>
              <w:t>传    真</w:t>
            </w:r>
          </w:p>
        </w:tc>
        <w:tc>
          <w:tcPr>
            <w:tcW w:w="5524" w:type="dxa"/>
            <w:gridSpan w:val="3"/>
            <w:noWrap w:val="0"/>
            <w:vAlign w:val="top"/>
          </w:tcPr>
          <w:p w14:paraId="6DE0C6CC">
            <w:pPr>
              <w:tabs>
                <w:tab w:val="right" w:leader="dot" w:pos="9022"/>
              </w:tabs>
              <w:autoSpaceDE w:val="0"/>
              <w:autoSpaceDN w:val="0"/>
              <w:adjustRightInd w:val="0"/>
              <w:spacing w:line="360" w:lineRule="auto"/>
              <w:jc w:val="left"/>
              <w:rPr>
                <w:rFonts w:hint="eastAsia" w:ascii="宋体" w:hAnsi="宋体" w:eastAsia="宋体" w:cs="宋体"/>
                <w:bCs/>
                <w:caps/>
                <w:color w:val="000000"/>
                <w:sz w:val="24"/>
                <w:szCs w:val="24"/>
              </w:rPr>
            </w:pPr>
          </w:p>
        </w:tc>
      </w:tr>
      <w:tr w14:paraId="32783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4" w:type="dxa"/>
            <w:vMerge w:val="restart"/>
            <w:noWrap w:val="0"/>
            <w:vAlign w:val="top"/>
          </w:tcPr>
          <w:p w14:paraId="2ABAD77C">
            <w:pPr>
              <w:tabs>
                <w:tab w:val="right" w:leader="dot" w:pos="9022"/>
              </w:tabs>
              <w:autoSpaceDE w:val="0"/>
              <w:autoSpaceDN w:val="0"/>
              <w:adjustRightInd w:val="0"/>
              <w:spacing w:line="360" w:lineRule="auto"/>
              <w:jc w:val="left"/>
              <w:rPr>
                <w:rFonts w:hint="eastAsia" w:ascii="宋体" w:hAnsi="宋体" w:eastAsia="宋体" w:cs="宋体"/>
                <w:bCs/>
                <w:caps/>
                <w:color w:val="000000"/>
                <w:sz w:val="24"/>
                <w:szCs w:val="24"/>
              </w:rPr>
            </w:pPr>
          </w:p>
          <w:p w14:paraId="69B6EA4F">
            <w:pPr>
              <w:tabs>
                <w:tab w:val="right" w:leader="dot" w:pos="9022"/>
              </w:tabs>
              <w:autoSpaceDE w:val="0"/>
              <w:autoSpaceDN w:val="0"/>
              <w:adjustRightInd w:val="0"/>
              <w:spacing w:line="360" w:lineRule="auto"/>
              <w:jc w:val="left"/>
              <w:rPr>
                <w:rFonts w:hint="eastAsia" w:ascii="宋体" w:hAnsi="宋体" w:eastAsia="宋体" w:cs="宋体"/>
                <w:bCs/>
                <w:caps/>
                <w:color w:val="000000"/>
                <w:sz w:val="24"/>
                <w:szCs w:val="24"/>
              </w:rPr>
            </w:pPr>
          </w:p>
          <w:p w14:paraId="27E430C6">
            <w:pPr>
              <w:tabs>
                <w:tab w:val="right" w:leader="dot" w:pos="9022"/>
              </w:tabs>
              <w:autoSpaceDE w:val="0"/>
              <w:autoSpaceDN w:val="0"/>
              <w:adjustRightInd w:val="0"/>
              <w:spacing w:line="360" w:lineRule="auto"/>
              <w:jc w:val="left"/>
              <w:rPr>
                <w:rFonts w:hint="eastAsia" w:ascii="宋体" w:hAnsi="宋体" w:eastAsia="宋体" w:cs="宋体"/>
                <w:bCs/>
                <w:caps/>
                <w:color w:val="000000"/>
                <w:sz w:val="24"/>
                <w:szCs w:val="24"/>
              </w:rPr>
            </w:pPr>
          </w:p>
          <w:p w14:paraId="1B7316FB">
            <w:pPr>
              <w:tabs>
                <w:tab w:val="right" w:leader="dot" w:pos="9022"/>
              </w:tabs>
              <w:autoSpaceDE w:val="0"/>
              <w:autoSpaceDN w:val="0"/>
              <w:adjustRightInd w:val="0"/>
              <w:spacing w:line="360" w:lineRule="auto"/>
              <w:jc w:val="left"/>
              <w:rPr>
                <w:rFonts w:hint="eastAsia" w:ascii="宋体" w:hAnsi="宋体" w:eastAsia="宋体" w:cs="宋体"/>
                <w:bCs/>
                <w:caps/>
                <w:color w:val="000000"/>
                <w:sz w:val="24"/>
                <w:szCs w:val="24"/>
              </w:rPr>
            </w:pPr>
            <w:r>
              <w:rPr>
                <w:rFonts w:hint="eastAsia" w:ascii="宋体" w:hAnsi="宋体" w:eastAsia="宋体" w:cs="宋体"/>
                <w:bCs/>
                <w:caps/>
                <w:color w:val="000000"/>
                <w:sz w:val="24"/>
                <w:szCs w:val="24"/>
              </w:rPr>
              <w:t>法定代表人身份证复印件</w:t>
            </w:r>
          </w:p>
        </w:tc>
        <w:tc>
          <w:tcPr>
            <w:tcW w:w="3999" w:type="dxa"/>
            <w:gridSpan w:val="3"/>
            <w:vMerge w:val="restart"/>
            <w:noWrap w:val="0"/>
            <w:vAlign w:val="center"/>
          </w:tcPr>
          <w:p w14:paraId="23C62479">
            <w:pPr>
              <w:tabs>
                <w:tab w:val="right" w:leader="dot" w:pos="9022"/>
              </w:tabs>
              <w:autoSpaceDE w:val="0"/>
              <w:autoSpaceDN w:val="0"/>
              <w:adjustRightInd w:val="0"/>
              <w:spacing w:line="360" w:lineRule="auto"/>
              <w:jc w:val="center"/>
              <w:rPr>
                <w:rFonts w:hint="eastAsia" w:ascii="宋体" w:hAnsi="宋体" w:eastAsia="宋体" w:cs="宋体"/>
                <w:bCs/>
                <w:caps/>
                <w:color w:val="000000"/>
                <w:sz w:val="24"/>
                <w:szCs w:val="24"/>
              </w:rPr>
            </w:pPr>
          </w:p>
          <w:p w14:paraId="19D92B97">
            <w:pPr>
              <w:tabs>
                <w:tab w:val="right" w:leader="dot" w:pos="9022"/>
              </w:tabs>
              <w:autoSpaceDE w:val="0"/>
              <w:autoSpaceDN w:val="0"/>
              <w:adjustRightInd w:val="0"/>
              <w:spacing w:line="360" w:lineRule="auto"/>
              <w:jc w:val="center"/>
              <w:rPr>
                <w:rFonts w:hint="eastAsia" w:ascii="宋体" w:hAnsi="宋体" w:eastAsia="宋体" w:cs="宋体"/>
                <w:bCs/>
                <w:caps/>
                <w:color w:val="000000"/>
                <w:sz w:val="24"/>
                <w:szCs w:val="24"/>
              </w:rPr>
            </w:pPr>
          </w:p>
          <w:p w14:paraId="06560248">
            <w:pPr>
              <w:tabs>
                <w:tab w:val="right" w:leader="dot" w:pos="9022"/>
              </w:tabs>
              <w:autoSpaceDE w:val="0"/>
              <w:autoSpaceDN w:val="0"/>
              <w:adjustRightInd w:val="0"/>
              <w:spacing w:line="360" w:lineRule="auto"/>
              <w:jc w:val="center"/>
              <w:rPr>
                <w:rFonts w:hint="eastAsia" w:ascii="宋体" w:hAnsi="宋体" w:eastAsia="宋体" w:cs="宋体"/>
                <w:bCs/>
                <w:caps/>
                <w:color w:val="000000"/>
                <w:sz w:val="24"/>
                <w:szCs w:val="24"/>
              </w:rPr>
            </w:pPr>
            <w:r>
              <w:rPr>
                <w:rFonts w:hint="eastAsia" w:ascii="宋体" w:hAnsi="宋体" w:eastAsia="宋体" w:cs="宋体"/>
                <w:color w:val="000000"/>
                <w:spacing w:val="-4"/>
                <w:sz w:val="24"/>
                <w:szCs w:val="24"/>
              </w:rPr>
              <w:t>二代身份证正、反两面都需复印</w:t>
            </w:r>
          </w:p>
          <w:p w14:paraId="18A6458A">
            <w:pPr>
              <w:tabs>
                <w:tab w:val="right" w:leader="dot" w:pos="9022"/>
              </w:tabs>
              <w:autoSpaceDE w:val="0"/>
              <w:autoSpaceDN w:val="0"/>
              <w:adjustRightInd w:val="0"/>
              <w:spacing w:line="360" w:lineRule="auto"/>
              <w:ind w:firstLine="960" w:firstLineChars="400"/>
              <w:jc w:val="center"/>
              <w:rPr>
                <w:rFonts w:hint="eastAsia" w:ascii="宋体" w:hAnsi="宋体" w:eastAsia="宋体" w:cs="宋体"/>
                <w:bCs/>
                <w:caps/>
                <w:color w:val="000000"/>
                <w:sz w:val="24"/>
                <w:szCs w:val="24"/>
              </w:rPr>
            </w:pPr>
          </w:p>
          <w:p w14:paraId="7377FF32">
            <w:pPr>
              <w:tabs>
                <w:tab w:val="right" w:leader="dot" w:pos="9022"/>
              </w:tabs>
              <w:autoSpaceDE w:val="0"/>
              <w:autoSpaceDN w:val="0"/>
              <w:adjustRightInd w:val="0"/>
              <w:spacing w:line="360" w:lineRule="auto"/>
              <w:jc w:val="center"/>
              <w:rPr>
                <w:rFonts w:hint="eastAsia" w:ascii="宋体" w:hAnsi="宋体" w:eastAsia="宋体" w:cs="宋体"/>
                <w:bCs/>
                <w:caps/>
                <w:color w:val="000000"/>
                <w:sz w:val="24"/>
                <w:szCs w:val="24"/>
              </w:rPr>
            </w:pPr>
            <w:r>
              <w:rPr>
                <w:rFonts w:hint="eastAsia" w:ascii="宋体" w:hAnsi="宋体" w:eastAsia="宋体" w:cs="宋体"/>
                <w:bCs/>
                <w:caps/>
                <w:color w:val="000000"/>
                <w:sz w:val="24"/>
                <w:szCs w:val="24"/>
              </w:rPr>
              <w:t>（粘贴处）</w:t>
            </w:r>
          </w:p>
        </w:tc>
        <w:tc>
          <w:tcPr>
            <w:tcW w:w="3767" w:type="dxa"/>
            <w:gridSpan w:val="2"/>
            <w:noWrap w:val="0"/>
            <w:vAlign w:val="top"/>
          </w:tcPr>
          <w:p w14:paraId="33B3CDA2">
            <w:pPr>
              <w:tabs>
                <w:tab w:val="right" w:leader="dot" w:pos="9022"/>
              </w:tabs>
              <w:autoSpaceDE w:val="0"/>
              <w:autoSpaceDN w:val="0"/>
              <w:adjustRightInd w:val="0"/>
              <w:spacing w:line="360" w:lineRule="auto"/>
              <w:jc w:val="left"/>
              <w:rPr>
                <w:rFonts w:hint="eastAsia" w:ascii="宋体" w:hAnsi="宋体" w:eastAsia="宋体" w:cs="宋体"/>
                <w:bCs/>
                <w:caps/>
                <w:color w:val="000000"/>
                <w:sz w:val="24"/>
                <w:szCs w:val="24"/>
              </w:rPr>
            </w:pPr>
            <w:r>
              <w:rPr>
                <w:rFonts w:hint="eastAsia" w:ascii="宋体" w:hAnsi="宋体" w:eastAsia="宋体" w:cs="宋体"/>
                <w:bCs/>
                <w:caps/>
                <w:color w:val="000000"/>
                <w:sz w:val="24"/>
                <w:szCs w:val="24"/>
              </w:rPr>
              <w:t xml:space="preserve">  </w:t>
            </w:r>
          </w:p>
          <w:p w14:paraId="48D3A8E8">
            <w:pPr>
              <w:tabs>
                <w:tab w:val="right" w:leader="dot" w:pos="9022"/>
              </w:tabs>
              <w:autoSpaceDE w:val="0"/>
              <w:autoSpaceDN w:val="0"/>
              <w:adjustRightInd w:val="0"/>
              <w:spacing w:line="360" w:lineRule="auto"/>
              <w:jc w:val="center"/>
              <w:rPr>
                <w:rFonts w:hint="eastAsia" w:ascii="宋体" w:hAnsi="宋体" w:eastAsia="宋体" w:cs="宋体"/>
                <w:bCs/>
                <w:caps/>
                <w:color w:val="000000"/>
                <w:sz w:val="24"/>
                <w:szCs w:val="24"/>
              </w:rPr>
            </w:pPr>
            <w:r>
              <w:rPr>
                <w:rFonts w:hint="eastAsia" w:ascii="宋体" w:hAnsi="宋体" w:eastAsia="宋体" w:cs="宋体"/>
                <w:bCs/>
                <w:caps/>
                <w:color w:val="000000"/>
                <w:sz w:val="24"/>
                <w:szCs w:val="24"/>
              </w:rPr>
              <w:t>（法定代表人签章）</w:t>
            </w:r>
          </w:p>
        </w:tc>
      </w:tr>
      <w:tr w14:paraId="2C494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4" w:type="dxa"/>
            <w:vMerge w:val="continue"/>
            <w:noWrap w:val="0"/>
            <w:vAlign w:val="top"/>
          </w:tcPr>
          <w:p w14:paraId="2EB11845">
            <w:pPr>
              <w:tabs>
                <w:tab w:val="right" w:leader="dot" w:pos="9022"/>
              </w:tabs>
              <w:autoSpaceDE w:val="0"/>
              <w:autoSpaceDN w:val="0"/>
              <w:adjustRightInd w:val="0"/>
              <w:spacing w:line="360" w:lineRule="auto"/>
              <w:jc w:val="left"/>
              <w:rPr>
                <w:rFonts w:hint="eastAsia" w:ascii="宋体" w:hAnsi="宋体" w:eastAsia="宋体" w:cs="宋体"/>
                <w:bCs/>
                <w:caps/>
                <w:color w:val="000000"/>
                <w:sz w:val="24"/>
                <w:szCs w:val="24"/>
              </w:rPr>
            </w:pPr>
          </w:p>
        </w:tc>
        <w:tc>
          <w:tcPr>
            <w:tcW w:w="3999" w:type="dxa"/>
            <w:gridSpan w:val="3"/>
            <w:vMerge w:val="continue"/>
            <w:noWrap w:val="0"/>
            <w:vAlign w:val="top"/>
          </w:tcPr>
          <w:p w14:paraId="4938F688">
            <w:pPr>
              <w:tabs>
                <w:tab w:val="right" w:leader="dot" w:pos="9022"/>
              </w:tabs>
              <w:autoSpaceDE w:val="0"/>
              <w:autoSpaceDN w:val="0"/>
              <w:adjustRightInd w:val="0"/>
              <w:spacing w:line="360" w:lineRule="auto"/>
              <w:jc w:val="left"/>
              <w:rPr>
                <w:rFonts w:hint="eastAsia" w:ascii="宋体" w:hAnsi="宋体" w:eastAsia="宋体" w:cs="宋体"/>
                <w:bCs/>
                <w:caps/>
                <w:color w:val="000000"/>
                <w:sz w:val="24"/>
                <w:szCs w:val="24"/>
              </w:rPr>
            </w:pPr>
          </w:p>
        </w:tc>
        <w:tc>
          <w:tcPr>
            <w:tcW w:w="3767" w:type="dxa"/>
            <w:gridSpan w:val="2"/>
            <w:noWrap w:val="0"/>
            <w:vAlign w:val="top"/>
          </w:tcPr>
          <w:p w14:paraId="510A0541">
            <w:pPr>
              <w:tabs>
                <w:tab w:val="right" w:leader="dot" w:pos="9022"/>
              </w:tabs>
              <w:autoSpaceDE w:val="0"/>
              <w:autoSpaceDN w:val="0"/>
              <w:adjustRightInd w:val="0"/>
              <w:spacing w:line="360" w:lineRule="auto"/>
              <w:jc w:val="left"/>
              <w:rPr>
                <w:rFonts w:hint="eastAsia" w:ascii="宋体" w:hAnsi="宋体" w:eastAsia="宋体" w:cs="宋体"/>
                <w:bCs/>
                <w:caps/>
                <w:color w:val="000000"/>
                <w:sz w:val="24"/>
                <w:szCs w:val="24"/>
              </w:rPr>
            </w:pPr>
          </w:p>
          <w:p w14:paraId="3B5ECD16">
            <w:pPr>
              <w:tabs>
                <w:tab w:val="right" w:leader="dot" w:pos="9022"/>
              </w:tabs>
              <w:autoSpaceDE w:val="0"/>
              <w:autoSpaceDN w:val="0"/>
              <w:adjustRightInd w:val="0"/>
              <w:spacing w:line="360" w:lineRule="auto"/>
              <w:jc w:val="left"/>
              <w:rPr>
                <w:rFonts w:hint="eastAsia" w:ascii="宋体" w:hAnsi="宋体" w:eastAsia="宋体" w:cs="宋体"/>
                <w:bCs/>
                <w:caps/>
                <w:color w:val="000000"/>
                <w:sz w:val="24"/>
                <w:szCs w:val="24"/>
              </w:rPr>
            </w:pPr>
          </w:p>
          <w:p w14:paraId="12C52985">
            <w:pPr>
              <w:tabs>
                <w:tab w:val="right" w:leader="dot" w:pos="9022"/>
              </w:tabs>
              <w:autoSpaceDE w:val="0"/>
              <w:autoSpaceDN w:val="0"/>
              <w:adjustRightInd w:val="0"/>
              <w:spacing w:line="360" w:lineRule="auto"/>
              <w:jc w:val="left"/>
              <w:rPr>
                <w:rFonts w:hint="eastAsia" w:ascii="宋体" w:hAnsi="宋体" w:eastAsia="宋体" w:cs="宋体"/>
                <w:bCs/>
                <w:caps/>
                <w:color w:val="000000"/>
                <w:sz w:val="24"/>
                <w:szCs w:val="24"/>
              </w:rPr>
            </w:pPr>
          </w:p>
          <w:p w14:paraId="70DE959C">
            <w:pPr>
              <w:tabs>
                <w:tab w:val="right" w:leader="dot" w:pos="9022"/>
              </w:tabs>
              <w:autoSpaceDE w:val="0"/>
              <w:autoSpaceDN w:val="0"/>
              <w:adjustRightInd w:val="0"/>
              <w:spacing w:line="360" w:lineRule="auto"/>
              <w:ind w:firstLine="120" w:firstLineChars="50"/>
              <w:jc w:val="center"/>
              <w:rPr>
                <w:rFonts w:hint="eastAsia" w:ascii="宋体" w:hAnsi="宋体" w:eastAsia="宋体" w:cs="宋体"/>
                <w:bCs/>
                <w:caps/>
                <w:color w:val="000000"/>
                <w:sz w:val="24"/>
                <w:szCs w:val="24"/>
              </w:rPr>
            </w:pPr>
            <w:r>
              <w:rPr>
                <w:rFonts w:hint="eastAsia" w:ascii="宋体" w:hAnsi="宋体" w:eastAsia="宋体" w:cs="宋体"/>
                <w:bCs/>
                <w:caps/>
                <w:color w:val="000000"/>
                <w:sz w:val="24"/>
                <w:szCs w:val="24"/>
              </w:rPr>
              <w:t>（企业公章）</w:t>
            </w:r>
          </w:p>
          <w:p w14:paraId="72BD2C5D">
            <w:pPr>
              <w:tabs>
                <w:tab w:val="right" w:leader="dot" w:pos="9022"/>
              </w:tabs>
              <w:autoSpaceDE w:val="0"/>
              <w:autoSpaceDN w:val="0"/>
              <w:adjustRightInd w:val="0"/>
              <w:spacing w:line="360" w:lineRule="auto"/>
              <w:jc w:val="left"/>
              <w:rPr>
                <w:rFonts w:hint="eastAsia" w:ascii="宋体" w:hAnsi="宋体" w:eastAsia="宋体" w:cs="宋体"/>
                <w:bCs/>
                <w:caps/>
                <w:color w:val="000000"/>
                <w:sz w:val="24"/>
                <w:szCs w:val="24"/>
              </w:rPr>
            </w:pPr>
            <w:r>
              <w:rPr>
                <w:rFonts w:hint="eastAsia" w:ascii="宋体" w:hAnsi="宋体" w:eastAsia="宋体" w:cs="宋体"/>
                <w:bCs/>
                <w:caps/>
                <w:color w:val="000000"/>
                <w:sz w:val="24"/>
                <w:szCs w:val="24"/>
              </w:rPr>
              <w:t xml:space="preserve">    </w:t>
            </w:r>
          </w:p>
          <w:p w14:paraId="5C9020D4">
            <w:pPr>
              <w:tabs>
                <w:tab w:val="right" w:leader="dot" w:pos="9022"/>
              </w:tabs>
              <w:autoSpaceDE w:val="0"/>
              <w:autoSpaceDN w:val="0"/>
              <w:adjustRightInd w:val="0"/>
              <w:spacing w:line="360" w:lineRule="auto"/>
              <w:jc w:val="left"/>
              <w:rPr>
                <w:rFonts w:hint="eastAsia" w:ascii="宋体" w:hAnsi="宋体" w:eastAsia="宋体" w:cs="宋体"/>
                <w:bCs/>
                <w:caps/>
                <w:color w:val="000000"/>
                <w:sz w:val="24"/>
                <w:szCs w:val="24"/>
              </w:rPr>
            </w:pPr>
          </w:p>
          <w:p w14:paraId="25F1FCD0">
            <w:pPr>
              <w:tabs>
                <w:tab w:val="right" w:leader="dot" w:pos="9022"/>
              </w:tabs>
              <w:autoSpaceDE w:val="0"/>
              <w:autoSpaceDN w:val="0"/>
              <w:adjustRightInd w:val="0"/>
              <w:spacing w:line="360" w:lineRule="auto"/>
              <w:ind w:firstLine="1440" w:firstLineChars="600"/>
              <w:jc w:val="left"/>
              <w:rPr>
                <w:rFonts w:hint="eastAsia" w:ascii="宋体" w:hAnsi="宋体" w:eastAsia="宋体" w:cs="宋体"/>
                <w:bCs/>
                <w:caps/>
                <w:color w:val="000000"/>
                <w:sz w:val="24"/>
                <w:szCs w:val="24"/>
              </w:rPr>
            </w:pPr>
            <w:r>
              <w:rPr>
                <w:rFonts w:hint="eastAsia" w:ascii="宋体" w:hAnsi="宋体" w:eastAsia="宋体" w:cs="宋体"/>
                <w:bCs/>
                <w:caps/>
                <w:color w:val="000000"/>
                <w:sz w:val="24"/>
                <w:szCs w:val="24"/>
              </w:rPr>
              <w:t>年  月  日</w:t>
            </w:r>
          </w:p>
        </w:tc>
      </w:tr>
      <w:tr w14:paraId="576AF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60" w:type="dxa"/>
            <w:gridSpan w:val="6"/>
            <w:noWrap w:val="0"/>
            <w:vAlign w:val="top"/>
          </w:tcPr>
          <w:p w14:paraId="577D23E7">
            <w:pPr>
              <w:tabs>
                <w:tab w:val="right" w:leader="dot" w:pos="9022"/>
              </w:tabs>
              <w:autoSpaceDE w:val="0"/>
              <w:autoSpaceDN w:val="0"/>
              <w:adjustRightInd w:val="0"/>
              <w:spacing w:line="360" w:lineRule="auto"/>
              <w:jc w:val="left"/>
              <w:rPr>
                <w:rFonts w:hint="eastAsia" w:ascii="宋体" w:hAnsi="宋体" w:eastAsia="宋体" w:cs="宋体"/>
                <w:bCs/>
                <w:caps/>
                <w:color w:val="000000"/>
                <w:sz w:val="24"/>
                <w:szCs w:val="24"/>
              </w:rPr>
            </w:pPr>
            <w:r>
              <w:rPr>
                <w:rFonts w:hint="eastAsia" w:ascii="宋体" w:hAnsi="宋体" w:eastAsia="宋体" w:cs="宋体"/>
                <w:bCs/>
                <w:caps/>
                <w:color w:val="auto"/>
                <w:sz w:val="24"/>
              </w:rPr>
              <w:t>法定代表人签字并盖章：</w:t>
            </w:r>
          </w:p>
        </w:tc>
      </w:tr>
    </w:tbl>
    <w:p w14:paraId="569B0202">
      <w:pPr>
        <w:pageBreakBefore w:val="0"/>
        <w:kinsoku/>
        <w:overflowPunct/>
        <w:topLinePunct w:val="0"/>
        <w:bidi w:val="0"/>
        <w:spacing w:line="360" w:lineRule="auto"/>
        <w:rPr>
          <w:rFonts w:hint="eastAsia" w:ascii="宋体" w:hAnsi="宋体" w:eastAsia="宋体" w:cs="宋体"/>
          <w:color w:val="auto"/>
          <w:sz w:val="24"/>
          <w:lang w:val="en-US" w:eastAsia="zh-CN"/>
        </w:rPr>
      </w:pPr>
    </w:p>
    <w:p w14:paraId="3047C9D4">
      <w:pPr>
        <w:pageBreakBefore w:val="0"/>
        <w:kinsoku/>
        <w:overflowPunct/>
        <w:topLinePunct w:val="0"/>
        <w:bidi w:val="0"/>
        <w:spacing w:line="360" w:lineRule="auto"/>
        <w:rPr>
          <w:rFonts w:hint="eastAsia" w:ascii="宋体" w:hAnsi="宋体" w:eastAsia="宋体" w:cs="宋体"/>
          <w:color w:val="auto"/>
          <w:sz w:val="24"/>
        </w:rPr>
      </w:pPr>
      <w:r>
        <w:rPr>
          <w:rFonts w:hint="eastAsia" w:ascii="宋体" w:hAnsi="宋体" w:eastAsia="宋体" w:cs="宋体"/>
          <w:color w:val="auto"/>
          <w:sz w:val="24"/>
          <w:lang w:val="en-US"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（供应商单位公章） </w:t>
      </w:r>
    </w:p>
    <w:p w14:paraId="1BEDF280">
      <w:pPr>
        <w:pageBreakBefore w:val="0"/>
        <w:kinsoku/>
        <w:overflowPunct/>
        <w:topLinePunct w:val="0"/>
        <w:bidi w:val="0"/>
        <w:spacing w:line="360" w:lineRule="auto"/>
        <w:jc w:val="left"/>
        <w:rPr>
          <w:rFonts w:hint="eastAsia" w:ascii="宋体" w:hAnsi="宋体" w:eastAsia="宋体" w:cs="宋体"/>
          <w:color w:val="auto"/>
          <w:sz w:val="24"/>
          <w:u w:val="single"/>
        </w:rPr>
      </w:pPr>
      <w:r>
        <w:rPr>
          <w:rFonts w:hint="eastAsia" w:ascii="宋体" w:hAnsi="宋体" w:eastAsia="宋体" w:cs="宋体"/>
          <w:color w:val="auto"/>
          <w:sz w:val="24"/>
        </w:rPr>
        <w:t>日 期：</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14:paraId="25210F8A">
      <w:pPr>
        <w:pageBreakBefore w:val="0"/>
        <w:topLinePunct w:val="0"/>
        <w:bidi w:val="0"/>
        <w:spacing w:beforeAutospacing="0" w:afterAutospacing="0" w:line="500" w:lineRule="exact"/>
        <w:ind w:left="0" w:leftChars="0" w:right="0"/>
        <w:jc w:val="center"/>
        <w:rPr>
          <w:rStyle w:val="39"/>
          <w:rFonts w:hint="eastAsia" w:ascii="宋体" w:hAnsi="宋体" w:eastAsia="宋体" w:cs="宋体"/>
          <w:b/>
          <w:bCs/>
          <w:color w:val="auto"/>
          <w:sz w:val="28"/>
          <w:szCs w:val="28"/>
          <w:highlight w:val="none"/>
          <w:lang w:val="en-US" w:eastAsia="zh-CN"/>
        </w:rPr>
      </w:pPr>
      <w:bookmarkStart w:id="297" w:name="_Toc729"/>
      <w:bookmarkStart w:id="298" w:name="_Toc21264"/>
      <w:bookmarkStart w:id="299" w:name="_Toc16804"/>
      <w:bookmarkStart w:id="300" w:name="_Toc23845"/>
      <w:bookmarkStart w:id="301" w:name="_Toc8685"/>
      <w:bookmarkStart w:id="302" w:name="_Toc27694"/>
      <w:bookmarkStart w:id="303" w:name="_Toc6376"/>
      <w:r>
        <w:rPr>
          <w:rFonts w:hint="eastAsia" w:ascii="宋体" w:hAnsi="宋体" w:eastAsia="宋体" w:cs="宋体"/>
          <w:b/>
          <w:bCs/>
          <w:color w:val="auto"/>
          <w:kern w:val="2"/>
          <w:sz w:val="28"/>
          <w:szCs w:val="28"/>
          <w:highlight w:val="none"/>
          <w:lang w:val="en-US" w:eastAsia="zh-CN" w:bidi="ar-SA"/>
        </w:rPr>
        <w:t>法定代表人授权委托书</w:t>
      </w:r>
      <w:bookmarkEnd w:id="297"/>
      <w:bookmarkEnd w:id="298"/>
      <w:bookmarkEnd w:id="299"/>
      <w:bookmarkEnd w:id="300"/>
      <w:bookmarkEnd w:id="301"/>
      <w:bookmarkEnd w:id="302"/>
      <w:bookmarkEnd w:id="303"/>
    </w:p>
    <w:p w14:paraId="56030F0B">
      <w:pPr>
        <w:pageBreakBefore w:val="0"/>
        <w:shd w:val="clear"/>
        <w:tabs>
          <w:tab w:val="left" w:pos="8820"/>
        </w:tabs>
        <w:topLinePunct w:val="0"/>
        <w:bidi w:val="0"/>
        <w:spacing w:beforeAutospacing="0" w:line="500" w:lineRule="exact"/>
        <w:ind w:left="0" w:leftChars="0" w:right="0" w:firstLine="570"/>
        <w:rPr>
          <w:rFonts w:hint="eastAsia" w:ascii="宋体" w:hAnsi="宋体" w:eastAsia="宋体" w:cs="宋体"/>
          <w:color w:val="auto"/>
          <w:sz w:val="24"/>
          <w:highlight w:val="none"/>
          <w:u w:val="single"/>
        </w:rPr>
      </w:pPr>
      <w:bookmarkStart w:id="304" w:name="OLE_LINK7"/>
      <w:r>
        <w:rPr>
          <w:rFonts w:hint="eastAsia" w:ascii="宋体" w:hAnsi="宋体" w:eastAsia="宋体" w:cs="宋体"/>
          <w:color w:val="auto"/>
          <w:sz w:val="24"/>
          <w:highlight w:val="none"/>
        </w:rPr>
        <w:t>本授权委托书声明：我</w:t>
      </w:r>
      <w:r>
        <w:rPr>
          <w:rFonts w:hint="eastAsia" w:ascii="宋体" w:hAnsi="宋体" w:eastAsia="宋体" w:cs="宋体"/>
          <w:color w:val="auto"/>
          <w:sz w:val="24"/>
          <w:szCs w:val="22"/>
          <w:highlight w:val="none"/>
          <w:u w:val="single"/>
          <w:lang w:eastAsia="zh-CN"/>
        </w:rPr>
        <w:t>（法定代表人姓名）</w:t>
      </w:r>
      <w:r>
        <w:rPr>
          <w:rFonts w:hint="eastAsia" w:ascii="宋体" w:hAnsi="宋体" w:eastAsia="宋体" w:cs="宋体"/>
          <w:color w:val="auto"/>
          <w:sz w:val="24"/>
          <w:szCs w:val="22"/>
          <w:highlight w:val="none"/>
          <w:lang w:eastAsia="zh-CN"/>
        </w:rPr>
        <w:t>系注</w:t>
      </w:r>
      <w:r>
        <w:rPr>
          <w:rFonts w:hint="eastAsia" w:ascii="宋体" w:hAnsi="宋体" w:eastAsia="宋体" w:cs="宋体"/>
          <w:color w:val="auto"/>
          <w:sz w:val="24"/>
          <w:highlight w:val="none"/>
        </w:rPr>
        <w:t>册于</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u w:val="single"/>
          <w:lang w:eastAsia="zh-CN"/>
        </w:rPr>
        <w:t>供应商</w:t>
      </w:r>
      <w:r>
        <w:rPr>
          <w:rFonts w:hint="eastAsia" w:ascii="宋体" w:hAnsi="宋体" w:eastAsia="宋体" w:cs="宋体"/>
          <w:color w:val="auto"/>
          <w:sz w:val="24"/>
          <w:highlight w:val="none"/>
          <w:u w:val="single"/>
        </w:rPr>
        <w:t>地址）</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u w:val="single"/>
          <w:lang w:eastAsia="zh-CN"/>
        </w:rPr>
        <w:t>供应商</w:t>
      </w:r>
      <w:r>
        <w:rPr>
          <w:rFonts w:hint="eastAsia" w:ascii="宋体" w:hAnsi="宋体" w:eastAsia="宋体" w:cs="宋体"/>
          <w:color w:val="auto"/>
          <w:sz w:val="24"/>
          <w:highlight w:val="none"/>
          <w:u w:val="single"/>
        </w:rPr>
        <w:t>名称）</w:t>
      </w:r>
      <w:r>
        <w:rPr>
          <w:rFonts w:hint="eastAsia" w:ascii="宋体" w:hAnsi="宋体" w:eastAsia="宋体" w:cs="宋体"/>
          <w:color w:val="auto"/>
          <w:sz w:val="24"/>
          <w:highlight w:val="none"/>
        </w:rPr>
        <w:t>的法定代表人，现代表公司授权下面签字的</w:t>
      </w:r>
      <w:r>
        <w:rPr>
          <w:rFonts w:hint="eastAsia" w:ascii="宋体" w:hAnsi="宋体" w:eastAsia="宋体" w:cs="宋体"/>
          <w:color w:val="auto"/>
          <w:sz w:val="24"/>
          <w:highlight w:val="none"/>
          <w:u w:val="single"/>
        </w:rPr>
        <w:t>（被授权人的姓名、职务）</w:t>
      </w:r>
      <w:r>
        <w:rPr>
          <w:rFonts w:hint="eastAsia" w:ascii="宋体" w:hAnsi="宋体" w:eastAsia="宋体" w:cs="宋体"/>
          <w:color w:val="auto"/>
          <w:sz w:val="24"/>
          <w:highlight w:val="none"/>
        </w:rPr>
        <w:t>为我公司合法代理人，代表本公司参加</w:t>
      </w:r>
      <w:r>
        <w:rPr>
          <w:rFonts w:hint="eastAsia" w:ascii="宋体" w:hAnsi="宋体" w:eastAsia="宋体" w:cs="宋体"/>
          <w:color w:val="auto"/>
          <w:sz w:val="24"/>
          <w:highlight w:val="none"/>
          <w:u w:val="single"/>
        </w:rPr>
        <w:t>（采购项目名称）(采购项目编号)</w:t>
      </w:r>
      <w:r>
        <w:rPr>
          <w:rFonts w:hint="eastAsia" w:ascii="宋体" w:hAnsi="宋体" w:eastAsia="宋体" w:cs="宋体"/>
          <w:color w:val="auto"/>
          <w:sz w:val="24"/>
          <w:highlight w:val="none"/>
        </w:rPr>
        <w:t>的招标活动。代理人在本次投标、</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、签约中所签署的一切文件和处理的一切有关事物，我公司均予承认。</w:t>
      </w:r>
    </w:p>
    <w:p w14:paraId="6020CA0E">
      <w:pPr>
        <w:pageBreakBefore w:val="0"/>
        <w:shd w:val="clear"/>
        <w:topLinePunct w:val="0"/>
        <w:bidi w:val="0"/>
        <w:spacing w:line="500" w:lineRule="exact"/>
        <w:ind w:left="0" w:leftChars="0" w:right="0"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注：</w:t>
      </w:r>
      <w:r>
        <w:rPr>
          <w:rFonts w:hint="eastAsia" w:ascii="宋体" w:hAnsi="宋体" w:eastAsia="宋体" w:cs="宋体"/>
          <w:color w:val="auto"/>
          <w:sz w:val="24"/>
          <w:highlight w:val="none"/>
        </w:rPr>
        <w:t>此授权书的有效期与</w:t>
      </w:r>
      <w:r>
        <w:rPr>
          <w:rFonts w:hint="eastAsia" w:ascii="宋体" w:hAnsi="宋体" w:eastAsia="宋体" w:cs="宋体"/>
          <w:color w:val="auto"/>
          <w:sz w:val="24"/>
          <w:highlight w:val="none"/>
          <w:lang w:eastAsia="zh-CN"/>
        </w:rPr>
        <w:t>磋商响应</w:t>
      </w:r>
      <w:r>
        <w:rPr>
          <w:rFonts w:hint="eastAsia" w:ascii="宋体" w:hAnsi="宋体" w:eastAsia="宋体" w:cs="宋体"/>
          <w:color w:val="auto"/>
          <w:sz w:val="24"/>
          <w:highlight w:val="none"/>
        </w:rPr>
        <w:t>文件有效期一致</w:t>
      </w:r>
      <w:r>
        <w:rPr>
          <w:rFonts w:hint="eastAsia" w:ascii="宋体" w:hAnsi="宋体" w:eastAsia="宋体" w:cs="宋体"/>
          <w:color w:val="auto"/>
          <w:sz w:val="24"/>
          <w:highlight w:val="none"/>
          <w:lang w:eastAsia="zh-CN"/>
        </w:rPr>
        <w:t>、法人直接参加开标不需要填写此表。</w:t>
      </w:r>
    </w:p>
    <w:p w14:paraId="1A3B027D">
      <w:pPr>
        <w:pageBreakBefore w:val="0"/>
        <w:shd w:val="clear"/>
        <w:topLinePunct w:val="0"/>
        <w:bidi w:val="0"/>
        <w:spacing w:line="500" w:lineRule="exact"/>
        <w:ind w:left="0" w:leftChars="0" w:right="0"/>
        <w:rPr>
          <w:rFonts w:hint="eastAsia" w:ascii="宋体" w:hAnsi="宋体" w:eastAsia="宋体" w:cs="宋体"/>
          <w:color w:val="auto"/>
          <w:sz w:val="24"/>
          <w:highlight w:val="none"/>
          <w:lang w:eastAsia="zh-CN"/>
        </w:rPr>
      </w:pP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rPr>
        <w:t xml:space="preserve"> 附件：法定代表人身份证、被授权人身份证</w:t>
      </w:r>
      <w:r>
        <w:rPr>
          <w:rFonts w:hint="eastAsia" w:ascii="宋体" w:hAnsi="宋体" w:eastAsia="宋体" w:cs="宋体"/>
          <w:color w:val="auto"/>
          <w:sz w:val="24"/>
          <w:highlight w:val="none"/>
          <w:lang w:eastAsia="zh-CN"/>
        </w:rPr>
        <w:t>。</w:t>
      </w:r>
    </w:p>
    <w:tbl>
      <w:tblPr>
        <w:tblStyle w:val="27"/>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0"/>
        <w:gridCol w:w="4790"/>
      </w:tblGrid>
      <w:tr w14:paraId="7578A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0" w:hRule="atLeast"/>
          <w:jc w:val="center"/>
        </w:trPr>
        <w:tc>
          <w:tcPr>
            <w:tcW w:w="4790" w:type="dxa"/>
            <w:noWrap w:val="0"/>
            <w:vAlign w:val="center"/>
          </w:tcPr>
          <w:p w14:paraId="7D3EACDF">
            <w:pPr>
              <w:pageBreakBefore w:val="0"/>
              <w:shd w:val="clear"/>
              <w:topLinePunct w:val="0"/>
              <w:bidi w:val="0"/>
              <w:spacing w:line="500" w:lineRule="exact"/>
              <w:ind w:left="0" w:leftChars="0" w:right="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p w14:paraId="6CCEDC13">
            <w:pPr>
              <w:pageBreakBefore w:val="0"/>
              <w:shd w:val="clear"/>
              <w:topLinePunct w:val="0"/>
              <w:bidi w:val="0"/>
              <w:spacing w:line="500" w:lineRule="exact"/>
              <w:ind w:left="0" w:leftChars="0" w:right="0"/>
              <w:jc w:val="center"/>
              <w:rPr>
                <w:rFonts w:hint="eastAsia" w:ascii="宋体" w:hAnsi="宋体" w:eastAsia="宋体" w:cs="宋体"/>
                <w:color w:val="auto"/>
                <w:sz w:val="24"/>
                <w:highlight w:val="none"/>
              </w:rPr>
            </w:pPr>
          </w:p>
        </w:tc>
        <w:tc>
          <w:tcPr>
            <w:tcW w:w="4790" w:type="dxa"/>
            <w:noWrap w:val="0"/>
            <w:vAlign w:val="center"/>
          </w:tcPr>
          <w:p w14:paraId="12C8B113">
            <w:pPr>
              <w:pageBreakBefore w:val="0"/>
              <w:widowControl/>
              <w:shd w:val="clear"/>
              <w:topLinePunct w:val="0"/>
              <w:bidi w:val="0"/>
              <w:spacing w:line="500" w:lineRule="exact"/>
              <w:ind w:left="0" w:leftChars="0" w:right="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被授权人身份证复印件</w:t>
            </w:r>
          </w:p>
          <w:p w14:paraId="3900EA91">
            <w:pPr>
              <w:pageBreakBefore w:val="0"/>
              <w:shd w:val="clear"/>
              <w:topLinePunct w:val="0"/>
              <w:bidi w:val="0"/>
              <w:spacing w:line="500" w:lineRule="exact"/>
              <w:ind w:left="0" w:leftChars="0" w:right="0"/>
              <w:jc w:val="center"/>
              <w:rPr>
                <w:rFonts w:hint="eastAsia" w:ascii="宋体" w:hAnsi="宋体" w:eastAsia="宋体" w:cs="宋体"/>
                <w:color w:val="auto"/>
                <w:sz w:val="24"/>
                <w:highlight w:val="none"/>
              </w:rPr>
            </w:pPr>
          </w:p>
        </w:tc>
      </w:tr>
      <w:tr w14:paraId="2C439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8" w:hRule="atLeast"/>
          <w:jc w:val="center"/>
        </w:trPr>
        <w:tc>
          <w:tcPr>
            <w:tcW w:w="4790" w:type="dxa"/>
            <w:noWrap w:val="0"/>
            <w:vAlign w:val="center"/>
          </w:tcPr>
          <w:p w14:paraId="08249F1B">
            <w:pPr>
              <w:pageBreakBefore w:val="0"/>
              <w:shd w:val="clear"/>
              <w:topLinePunct w:val="0"/>
              <w:bidi w:val="0"/>
              <w:spacing w:line="500" w:lineRule="exact"/>
              <w:ind w:left="0" w:leftChars="0" w:right="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p w14:paraId="7B24C2D3">
            <w:pPr>
              <w:pageBreakBefore w:val="0"/>
              <w:shd w:val="clear"/>
              <w:topLinePunct w:val="0"/>
              <w:bidi w:val="0"/>
              <w:spacing w:line="500" w:lineRule="exact"/>
              <w:ind w:left="0" w:leftChars="0" w:right="0"/>
              <w:jc w:val="center"/>
              <w:rPr>
                <w:rFonts w:hint="eastAsia" w:ascii="宋体" w:hAnsi="宋体" w:eastAsia="宋体" w:cs="宋体"/>
                <w:color w:val="auto"/>
                <w:sz w:val="24"/>
                <w:highlight w:val="none"/>
              </w:rPr>
            </w:pPr>
          </w:p>
        </w:tc>
        <w:tc>
          <w:tcPr>
            <w:tcW w:w="4790" w:type="dxa"/>
            <w:noWrap w:val="0"/>
            <w:vAlign w:val="center"/>
          </w:tcPr>
          <w:p w14:paraId="2F706DB3">
            <w:pPr>
              <w:pageBreakBefore w:val="0"/>
              <w:widowControl/>
              <w:shd w:val="clear"/>
              <w:topLinePunct w:val="0"/>
              <w:bidi w:val="0"/>
              <w:spacing w:line="500" w:lineRule="exact"/>
              <w:ind w:left="0" w:leftChars="0" w:right="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被授权人身份证复印件</w:t>
            </w:r>
          </w:p>
          <w:p w14:paraId="735288D7">
            <w:pPr>
              <w:pageBreakBefore w:val="0"/>
              <w:shd w:val="clear"/>
              <w:topLinePunct w:val="0"/>
              <w:bidi w:val="0"/>
              <w:spacing w:line="500" w:lineRule="exact"/>
              <w:ind w:left="0" w:leftChars="0" w:right="0"/>
              <w:jc w:val="center"/>
              <w:rPr>
                <w:rFonts w:hint="eastAsia" w:ascii="宋体" w:hAnsi="宋体" w:eastAsia="宋体" w:cs="宋体"/>
                <w:color w:val="auto"/>
                <w:sz w:val="24"/>
                <w:highlight w:val="none"/>
              </w:rPr>
            </w:pPr>
          </w:p>
        </w:tc>
      </w:tr>
    </w:tbl>
    <w:p w14:paraId="05D1F60C">
      <w:pPr>
        <w:pageBreakBefore w:val="0"/>
        <w:shd w:val="clear"/>
        <w:topLinePunct w:val="0"/>
        <w:bidi w:val="0"/>
        <w:spacing w:line="500" w:lineRule="exact"/>
        <w:ind w:left="0" w:leftChars="0" w:right="0"/>
        <w:rPr>
          <w:rFonts w:hint="eastAsia" w:ascii="宋体" w:hAnsi="宋体" w:eastAsia="宋体" w:cs="宋体"/>
          <w:color w:val="auto"/>
          <w:highlight w:val="none"/>
        </w:rPr>
      </w:pPr>
    </w:p>
    <w:p w14:paraId="2554DE2F">
      <w:pPr>
        <w:pageBreakBefore w:val="0"/>
        <w:shd w:val="clear"/>
        <w:topLinePunct w:val="0"/>
        <w:bidi w:val="0"/>
        <w:spacing w:line="500" w:lineRule="exact"/>
        <w:ind w:left="0" w:leftChars="0" w:right="0"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（公章）</w:t>
      </w:r>
    </w:p>
    <w:p w14:paraId="2894EB4B">
      <w:pPr>
        <w:pageBreakBefore w:val="0"/>
        <w:shd w:val="clear"/>
        <w:topLinePunct w:val="0"/>
        <w:bidi w:val="0"/>
        <w:spacing w:line="500" w:lineRule="exact"/>
        <w:ind w:left="0" w:leftChars="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法定代表人（签字</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rPr>
        <w:t>盖章）：</w:t>
      </w:r>
      <w:r>
        <w:rPr>
          <w:rFonts w:hint="eastAsia" w:ascii="宋体" w:hAnsi="宋体" w:eastAsia="宋体" w:cs="宋体"/>
          <w:color w:val="auto"/>
          <w:sz w:val="24"/>
          <w:szCs w:val="24"/>
          <w:highlight w:val="none"/>
          <w:u w:val="single"/>
        </w:rPr>
        <w:t xml:space="preserve">                  </w:t>
      </w:r>
    </w:p>
    <w:p w14:paraId="669B341E">
      <w:pPr>
        <w:pageBreakBefore w:val="0"/>
        <w:shd w:val="clear"/>
        <w:topLinePunct w:val="0"/>
        <w:bidi w:val="0"/>
        <w:spacing w:line="500" w:lineRule="exact"/>
        <w:ind w:left="0" w:leftChars="0" w:right="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                            被 授 权人（签字确认）：</w:t>
      </w:r>
      <w:r>
        <w:rPr>
          <w:rFonts w:hint="eastAsia" w:ascii="宋体" w:hAnsi="宋体" w:eastAsia="宋体" w:cs="宋体"/>
          <w:color w:val="auto"/>
          <w:sz w:val="24"/>
          <w:szCs w:val="24"/>
          <w:highlight w:val="none"/>
          <w:u w:val="single"/>
        </w:rPr>
        <w:t xml:space="preserve">                      </w:t>
      </w:r>
      <w:bookmarkEnd w:id="304"/>
    </w:p>
    <w:p w14:paraId="4E5C2B92">
      <w:pPr>
        <w:pageBreakBefore w:val="0"/>
        <w:shd w:val="clear"/>
        <w:topLinePunct w:val="0"/>
        <w:bidi w:val="0"/>
        <w:spacing w:line="500" w:lineRule="exact"/>
        <w:ind w:left="0" w:leftChars="0" w:right="0" w:firstLine="3360" w:firstLineChars="1400"/>
        <w:rPr>
          <w:rFonts w:hint="eastAsia" w:ascii="宋体" w:hAnsi="宋体" w:eastAsia="宋体" w:cs="宋体"/>
          <w:color w:val="auto"/>
          <w:kern w:val="2"/>
          <w:sz w:val="24"/>
          <w:szCs w:val="24"/>
          <w:highlight w:val="none"/>
          <w:u w:val="single"/>
          <w:lang w:val="en-US" w:eastAsia="zh-CN" w:bidi="ar-SA"/>
        </w:rPr>
      </w:pPr>
      <w:r>
        <w:rPr>
          <w:rFonts w:hint="eastAsia" w:ascii="宋体" w:hAnsi="宋体" w:eastAsia="宋体" w:cs="宋体"/>
          <w:color w:val="auto"/>
          <w:kern w:val="2"/>
          <w:sz w:val="24"/>
          <w:szCs w:val="24"/>
          <w:highlight w:val="none"/>
          <w:u w:val="none"/>
          <w:lang w:val="en-US" w:eastAsia="zh-CN" w:bidi="ar-SA"/>
        </w:rPr>
        <w:t>日    期：</w:t>
      </w:r>
      <w:r>
        <w:rPr>
          <w:rFonts w:hint="eastAsia" w:ascii="宋体" w:hAnsi="宋体" w:eastAsia="宋体" w:cs="宋体"/>
          <w:color w:val="auto"/>
          <w:kern w:val="2"/>
          <w:sz w:val="24"/>
          <w:szCs w:val="24"/>
          <w:highlight w:val="none"/>
          <w:u w:val="single"/>
          <w:lang w:val="en-US" w:eastAsia="zh-CN" w:bidi="ar-SA"/>
        </w:rPr>
        <w:t xml:space="preserve">                   </w:t>
      </w:r>
    </w:p>
    <w:p w14:paraId="3DB7DDCA">
      <w:pPr>
        <w:pageBreakBefore w:val="0"/>
        <w:topLinePunct w:val="0"/>
        <w:bidi w:val="0"/>
        <w:spacing w:line="500" w:lineRule="exact"/>
        <w:ind w:left="0" w:leftChars="0" w:righ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br w:type="page"/>
      </w:r>
    </w:p>
    <w:p w14:paraId="00D3C332">
      <w:pPr>
        <w:pStyle w:val="3"/>
        <w:pageBreakBefore w:val="0"/>
        <w:topLinePunct w:val="0"/>
        <w:bidi w:val="0"/>
        <w:spacing w:before="0" w:after="0" w:line="500" w:lineRule="exact"/>
        <w:ind w:left="0" w:leftChars="0" w:right="0"/>
        <w:jc w:val="center"/>
        <w:rPr>
          <w:rFonts w:hint="eastAsia" w:ascii="宋体" w:hAnsi="宋体" w:eastAsia="宋体" w:cs="宋体"/>
          <w:color w:val="auto"/>
          <w:highlight w:val="none"/>
          <w:lang w:val="en-US" w:eastAsia="zh-CN"/>
        </w:rPr>
      </w:pPr>
      <w:bookmarkStart w:id="305" w:name="_Toc20176"/>
      <w:r>
        <w:rPr>
          <w:rFonts w:hint="eastAsia" w:ascii="宋体" w:hAnsi="宋体" w:eastAsia="宋体" w:cs="宋体"/>
          <w:color w:val="auto"/>
          <w:highlight w:val="none"/>
          <w:lang w:val="en-US" w:eastAsia="zh-CN"/>
        </w:rPr>
        <w:t>五、资格证明文件</w:t>
      </w:r>
      <w:bookmarkEnd w:id="251"/>
      <w:bookmarkEnd w:id="252"/>
      <w:bookmarkEnd w:id="253"/>
      <w:bookmarkEnd w:id="254"/>
      <w:bookmarkEnd w:id="258"/>
      <w:bookmarkEnd w:id="259"/>
      <w:bookmarkEnd w:id="305"/>
    </w:p>
    <w:p w14:paraId="10B89202">
      <w:pPr>
        <w:keepNext w:val="0"/>
        <w:keepLines w:val="0"/>
        <w:pageBreakBefore w:val="0"/>
        <w:widowControl/>
        <w:suppressLineNumbers w:val="0"/>
        <w:topLinePunct w:val="0"/>
        <w:bidi w:val="0"/>
        <w:spacing w:line="500" w:lineRule="exact"/>
        <w:ind w:left="0" w:leftChars="0" w:right="0" w:firstLine="482" w:firstLineChars="200"/>
        <w:jc w:val="left"/>
        <w:rPr>
          <w:rFonts w:hint="eastAsia" w:ascii="宋体" w:hAnsi="宋体" w:eastAsia="宋体" w:cs="宋体"/>
          <w:b/>
          <w:bCs/>
          <w:color w:val="auto"/>
          <w:kern w:val="0"/>
          <w:sz w:val="24"/>
          <w:szCs w:val="24"/>
          <w:highlight w:val="none"/>
          <w:lang w:val="en-US" w:eastAsia="zh-CN" w:bidi="ar"/>
        </w:rPr>
      </w:pPr>
      <w:bookmarkStart w:id="306" w:name="_Toc10236"/>
      <w:r>
        <w:rPr>
          <w:rFonts w:hint="eastAsia" w:ascii="宋体" w:hAnsi="宋体" w:eastAsia="宋体" w:cs="宋体"/>
          <w:b/>
          <w:bCs/>
          <w:color w:val="auto"/>
          <w:kern w:val="0"/>
          <w:sz w:val="24"/>
          <w:szCs w:val="24"/>
          <w:highlight w:val="none"/>
          <w:lang w:val="en-US" w:eastAsia="zh-CN" w:bidi="ar"/>
        </w:rPr>
        <w:t>供应商应按照磋商文件“供应商资格要求”逐一提供全部资格证明文件。缺少其中任何一项，其响应文件将被视为无效文件。</w:t>
      </w:r>
    </w:p>
    <w:p w14:paraId="4F03CA0B">
      <w:pPr>
        <w:keepNext w:val="0"/>
        <w:keepLines w:val="0"/>
        <w:pageBreakBefore w:val="0"/>
        <w:widowControl/>
        <w:suppressLineNumbers w:val="0"/>
        <w:topLinePunct w:val="0"/>
        <w:bidi w:val="0"/>
        <w:spacing w:line="500" w:lineRule="exact"/>
        <w:ind w:left="0" w:leftChars="0" w:right="0" w:firstLine="482" w:firstLineChars="200"/>
        <w:jc w:val="left"/>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特别说明，法定代表人亲自参加磋商的，可不提供法定代表人授权委托书，但须提供法定代表人身份证明书及其本人身份证（正反面）加盖公章的复印件。</w:t>
      </w:r>
      <w:bookmarkEnd w:id="255"/>
      <w:bookmarkEnd w:id="306"/>
      <w:bookmarkStart w:id="307" w:name="_Toc14617"/>
      <w:bookmarkStart w:id="308" w:name="_Toc15424"/>
      <w:bookmarkStart w:id="309" w:name="_Toc23792"/>
      <w:bookmarkStart w:id="310" w:name="_Toc16018"/>
      <w:bookmarkStart w:id="311" w:name="_Toc27001"/>
      <w:bookmarkStart w:id="312" w:name="_Toc4474"/>
      <w:bookmarkStart w:id="313" w:name="_Toc10018"/>
    </w:p>
    <w:p w14:paraId="3C8A4CD3">
      <w:pPr>
        <w:keepNext w:val="0"/>
        <w:keepLines w:val="0"/>
        <w:pageBreakBefore w:val="0"/>
        <w:widowControl/>
        <w:numPr>
          <w:ilvl w:val="0"/>
          <w:numId w:val="5"/>
        </w:numPr>
        <w:suppressLineNumbers w:val="0"/>
        <w:topLinePunct w:val="0"/>
        <w:bidi w:val="0"/>
        <w:spacing w:line="500" w:lineRule="exact"/>
        <w:ind w:left="0" w:leftChars="0" w:right="0" w:firstLine="480" w:firstLineChars="200"/>
        <w:jc w:val="lef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营业执照等主体资格证明文件</w:t>
      </w:r>
      <w:bookmarkEnd w:id="307"/>
      <w:bookmarkEnd w:id="308"/>
      <w:bookmarkEnd w:id="309"/>
      <w:bookmarkEnd w:id="310"/>
      <w:bookmarkEnd w:id="311"/>
      <w:bookmarkEnd w:id="312"/>
      <w:bookmarkEnd w:id="313"/>
      <w:bookmarkStart w:id="314" w:name="_Toc15382"/>
      <w:bookmarkStart w:id="315" w:name="_Toc9306"/>
      <w:bookmarkStart w:id="316" w:name="_Toc11459"/>
      <w:bookmarkStart w:id="317" w:name="_Toc25405"/>
      <w:bookmarkStart w:id="318" w:name="_Toc25487"/>
      <w:bookmarkStart w:id="319" w:name="_Toc17801"/>
      <w:bookmarkStart w:id="320" w:name="_Toc14790"/>
      <w:bookmarkStart w:id="321" w:name="_Toc2716"/>
      <w:bookmarkStart w:id="322" w:name="_Toc20210"/>
      <w:bookmarkStart w:id="323" w:name="_Toc30842"/>
      <w:bookmarkStart w:id="324" w:name="_Toc1285"/>
    </w:p>
    <w:p w14:paraId="21E40916">
      <w:pPr>
        <w:keepNext w:val="0"/>
        <w:keepLines w:val="0"/>
        <w:pageBreakBefore w:val="0"/>
        <w:widowControl/>
        <w:numPr>
          <w:ilvl w:val="0"/>
          <w:numId w:val="5"/>
        </w:numPr>
        <w:suppressLineNumbers w:val="0"/>
        <w:topLinePunct w:val="0"/>
        <w:bidi w:val="0"/>
        <w:spacing w:line="500" w:lineRule="exact"/>
        <w:ind w:left="0" w:leftChars="0" w:right="0" w:rightChars="0" w:firstLine="480" w:firstLineChars="200"/>
        <w:jc w:val="lef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财务状况报告</w:t>
      </w:r>
      <w:bookmarkEnd w:id="314"/>
      <w:bookmarkEnd w:id="315"/>
      <w:bookmarkEnd w:id="316"/>
      <w:bookmarkEnd w:id="317"/>
      <w:bookmarkEnd w:id="318"/>
      <w:bookmarkEnd w:id="319"/>
      <w:bookmarkEnd w:id="320"/>
      <w:bookmarkEnd w:id="321"/>
      <w:bookmarkEnd w:id="322"/>
      <w:bookmarkStart w:id="325" w:name="_Toc17188"/>
      <w:bookmarkStart w:id="326" w:name="_Toc3802"/>
      <w:bookmarkStart w:id="327" w:name="_Toc19221"/>
      <w:bookmarkStart w:id="328" w:name="_Toc28700"/>
      <w:bookmarkStart w:id="329" w:name="_Toc6201"/>
      <w:bookmarkStart w:id="330" w:name="_Toc27177"/>
      <w:bookmarkStart w:id="331" w:name="_Toc23272"/>
    </w:p>
    <w:p w14:paraId="288E9557">
      <w:pPr>
        <w:keepNext w:val="0"/>
        <w:keepLines w:val="0"/>
        <w:pageBreakBefore w:val="0"/>
        <w:widowControl/>
        <w:numPr>
          <w:ilvl w:val="0"/>
          <w:numId w:val="5"/>
        </w:numPr>
        <w:suppressLineNumbers w:val="0"/>
        <w:topLinePunct w:val="0"/>
        <w:bidi w:val="0"/>
        <w:spacing w:line="500" w:lineRule="exact"/>
        <w:ind w:left="0" w:leftChars="0" w:right="0" w:rightChars="0" w:firstLine="480" w:firstLineChars="200"/>
        <w:jc w:val="lef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社保缴纳证明</w:t>
      </w:r>
      <w:bookmarkEnd w:id="323"/>
      <w:bookmarkEnd w:id="324"/>
      <w:bookmarkEnd w:id="325"/>
      <w:bookmarkEnd w:id="326"/>
      <w:bookmarkEnd w:id="327"/>
      <w:bookmarkEnd w:id="328"/>
      <w:bookmarkEnd w:id="329"/>
      <w:bookmarkEnd w:id="330"/>
      <w:bookmarkEnd w:id="331"/>
      <w:bookmarkStart w:id="332" w:name="_Toc10916"/>
      <w:bookmarkStart w:id="333" w:name="_Toc4621"/>
      <w:bookmarkStart w:id="334" w:name="_Toc6624"/>
      <w:bookmarkStart w:id="335" w:name="_Toc27590"/>
      <w:bookmarkStart w:id="336" w:name="_Toc2288"/>
      <w:bookmarkStart w:id="337" w:name="_Toc20979"/>
      <w:bookmarkStart w:id="338" w:name="_Toc16494"/>
      <w:bookmarkStart w:id="339" w:name="_Toc527"/>
      <w:bookmarkStart w:id="340" w:name="_Toc25423"/>
    </w:p>
    <w:p w14:paraId="45C85B76">
      <w:pPr>
        <w:keepNext w:val="0"/>
        <w:keepLines w:val="0"/>
        <w:pageBreakBefore w:val="0"/>
        <w:widowControl/>
        <w:numPr>
          <w:ilvl w:val="0"/>
          <w:numId w:val="5"/>
        </w:numPr>
        <w:suppressLineNumbers w:val="0"/>
        <w:topLinePunct w:val="0"/>
        <w:bidi w:val="0"/>
        <w:spacing w:line="500" w:lineRule="exact"/>
        <w:ind w:left="0" w:leftChars="0" w:right="0" w:rightChars="0" w:firstLine="480" w:firstLineChars="200"/>
        <w:jc w:val="lef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税收缴纳证明</w:t>
      </w:r>
      <w:bookmarkEnd w:id="332"/>
      <w:bookmarkEnd w:id="333"/>
      <w:bookmarkEnd w:id="334"/>
      <w:bookmarkEnd w:id="335"/>
      <w:bookmarkEnd w:id="336"/>
      <w:bookmarkEnd w:id="337"/>
      <w:bookmarkEnd w:id="338"/>
      <w:bookmarkEnd w:id="339"/>
      <w:bookmarkEnd w:id="340"/>
      <w:bookmarkStart w:id="341" w:name="_Toc31557"/>
      <w:bookmarkStart w:id="342" w:name="_Toc4916"/>
      <w:bookmarkStart w:id="343" w:name="_Toc10559"/>
      <w:bookmarkStart w:id="344" w:name="_Toc23187"/>
      <w:bookmarkStart w:id="345" w:name="_Toc24456"/>
      <w:bookmarkStart w:id="346" w:name="_Toc2967"/>
      <w:bookmarkStart w:id="347" w:name="_Toc31725"/>
      <w:bookmarkStart w:id="348" w:name="_Toc27984"/>
      <w:bookmarkStart w:id="349" w:name="_Toc21735"/>
    </w:p>
    <w:p w14:paraId="4C9F78B4">
      <w:pPr>
        <w:keepNext w:val="0"/>
        <w:keepLines w:val="0"/>
        <w:pageBreakBefore w:val="0"/>
        <w:widowControl/>
        <w:numPr>
          <w:ilvl w:val="0"/>
          <w:numId w:val="0"/>
        </w:numPr>
        <w:suppressLineNumbers w:val="0"/>
        <w:topLinePunct w:val="0"/>
        <w:bidi w:val="0"/>
        <w:spacing w:line="500" w:lineRule="exact"/>
        <w:ind w:leftChars="200" w:right="0" w:rightChars="0"/>
        <w:jc w:val="left"/>
        <w:rPr>
          <w:rFonts w:hint="eastAsia" w:ascii="宋体" w:hAnsi="宋体" w:eastAsia="宋体" w:cs="宋体"/>
          <w:b/>
          <w:bCs w:val="0"/>
          <w:color w:val="auto"/>
          <w:kern w:val="0"/>
          <w:sz w:val="30"/>
          <w:szCs w:val="32"/>
          <w:highlight w:val="none"/>
          <w:lang w:val="en-US" w:eastAsia="zh-CN" w:bidi="ar"/>
        </w:rPr>
      </w:pPr>
      <w:r>
        <w:rPr>
          <w:rFonts w:hint="eastAsia" w:ascii="宋体" w:hAnsi="宋体" w:eastAsia="宋体" w:cs="宋体"/>
          <w:color w:val="auto"/>
          <w:highlight w:val="none"/>
          <w:lang w:val="en-US" w:eastAsia="zh-CN"/>
        </w:rPr>
        <w:t>6、书面声明函</w:t>
      </w:r>
      <w:bookmarkEnd w:id="341"/>
      <w:bookmarkEnd w:id="342"/>
      <w:bookmarkEnd w:id="343"/>
      <w:bookmarkEnd w:id="344"/>
      <w:bookmarkEnd w:id="345"/>
      <w:bookmarkEnd w:id="346"/>
      <w:bookmarkEnd w:id="347"/>
      <w:bookmarkEnd w:id="348"/>
      <w:bookmarkEnd w:id="349"/>
      <w:bookmarkStart w:id="350" w:name="_Toc26447"/>
      <w:bookmarkStart w:id="351" w:name="_Toc26217"/>
      <w:bookmarkStart w:id="352" w:name="_Toc28122"/>
      <w:bookmarkStart w:id="353" w:name="_Toc10769"/>
      <w:bookmarkStart w:id="354" w:name="_Toc29937"/>
      <w:bookmarkStart w:id="355" w:name="_Toc27143"/>
      <w:bookmarkStart w:id="356" w:name="_Toc1003"/>
      <w:bookmarkStart w:id="357" w:name="_Toc23995"/>
      <w:bookmarkStart w:id="358" w:name="_Toc21794"/>
      <w:bookmarkStart w:id="359" w:name="_Toc16242"/>
      <w:bookmarkStart w:id="360" w:name="_Toc11890"/>
      <w:bookmarkStart w:id="361" w:name="_Toc11518"/>
      <w:bookmarkStart w:id="362" w:name="_Toc22243"/>
      <w:bookmarkStart w:id="363" w:name="_Toc14334"/>
      <w:bookmarkStart w:id="364" w:name="_Toc21967"/>
    </w:p>
    <w:p w14:paraId="3F1B4E52">
      <w:pPr>
        <w:pStyle w:val="40"/>
        <w:pageBreakBefore w:val="0"/>
        <w:widowControl/>
        <w:topLinePunct w:val="0"/>
        <w:bidi w:val="0"/>
        <w:spacing w:before="0" w:beforeAutospacing="0" w:after="0" w:afterAutospacing="0" w:line="500" w:lineRule="exact"/>
        <w:ind w:left="0" w:leftChars="0" w:right="0"/>
        <w:jc w:val="center"/>
        <w:outlineLvl w:val="9"/>
        <w:rPr>
          <w:rFonts w:hint="eastAsia" w:ascii="宋体" w:hAnsi="宋体" w:eastAsia="宋体" w:cs="宋体"/>
          <w:b/>
          <w:bCs w:val="0"/>
          <w:color w:val="auto"/>
          <w:kern w:val="0"/>
          <w:sz w:val="30"/>
          <w:szCs w:val="32"/>
          <w:highlight w:val="none"/>
          <w:lang w:val="en-US" w:eastAsia="zh-CN" w:bidi="ar"/>
        </w:rPr>
      </w:pPr>
    </w:p>
    <w:p w14:paraId="53851CEF">
      <w:pPr>
        <w:pStyle w:val="40"/>
        <w:pageBreakBefore w:val="0"/>
        <w:widowControl/>
        <w:topLinePunct w:val="0"/>
        <w:bidi w:val="0"/>
        <w:spacing w:before="0" w:beforeAutospacing="0" w:after="0" w:afterAutospacing="0" w:line="500" w:lineRule="exact"/>
        <w:ind w:left="0" w:leftChars="0" w:right="0"/>
        <w:jc w:val="center"/>
        <w:outlineLvl w:val="9"/>
        <w:rPr>
          <w:rFonts w:hint="eastAsia" w:ascii="宋体" w:hAnsi="宋体" w:eastAsia="宋体" w:cs="宋体"/>
          <w:b/>
          <w:bCs w:val="0"/>
          <w:color w:val="auto"/>
          <w:kern w:val="0"/>
          <w:sz w:val="30"/>
          <w:szCs w:val="32"/>
          <w:highlight w:val="none"/>
          <w:lang w:val="en-US" w:eastAsia="zh-CN" w:bidi="ar"/>
        </w:rPr>
      </w:pPr>
      <w:r>
        <w:rPr>
          <w:rFonts w:hint="eastAsia" w:ascii="宋体" w:hAnsi="宋体" w:eastAsia="宋体" w:cs="宋体"/>
          <w:b/>
          <w:bCs w:val="0"/>
          <w:color w:val="auto"/>
          <w:kern w:val="0"/>
          <w:sz w:val="30"/>
          <w:szCs w:val="32"/>
          <w:highlight w:val="none"/>
          <w:lang w:val="en-US" w:eastAsia="zh-CN" w:bidi="ar"/>
        </w:rPr>
        <w:t>书面声明函</w:t>
      </w:r>
      <w:bookmarkEnd w:id="350"/>
      <w:bookmarkEnd w:id="351"/>
      <w:bookmarkEnd w:id="352"/>
      <w:bookmarkEnd w:id="353"/>
      <w:bookmarkEnd w:id="354"/>
      <w:bookmarkEnd w:id="355"/>
      <w:bookmarkEnd w:id="356"/>
      <w:bookmarkEnd w:id="357"/>
      <w:bookmarkEnd w:id="358"/>
      <w:bookmarkEnd w:id="359"/>
      <w:bookmarkEnd w:id="360"/>
      <w:bookmarkEnd w:id="361"/>
      <w:bookmarkEnd w:id="362"/>
    </w:p>
    <w:p w14:paraId="5452CAAE">
      <w:pPr>
        <w:pageBreakBefore w:val="0"/>
        <w:widowControl/>
        <w:topLinePunct w:val="0"/>
        <w:bidi w:val="0"/>
        <w:spacing w:line="500" w:lineRule="exact"/>
        <w:ind w:left="0" w:leftChars="0" w:right="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榆林腾达建诚信息咨询有限公司</w:t>
      </w:r>
      <w:r>
        <w:rPr>
          <w:rFonts w:hint="eastAsia" w:ascii="宋体" w:hAnsi="宋体" w:eastAsia="宋体" w:cs="宋体"/>
          <w:color w:val="auto"/>
          <w:sz w:val="24"/>
          <w:szCs w:val="24"/>
          <w:highlight w:val="none"/>
        </w:rPr>
        <w:t>：</w:t>
      </w:r>
    </w:p>
    <w:p w14:paraId="63F40D3E">
      <w:pPr>
        <w:pageBreakBefore w:val="0"/>
        <w:widowControl/>
        <w:topLinePunct w:val="0"/>
        <w:bidi w:val="0"/>
        <w:spacing w:line="500" w:lineRule="exact"/>
        <w:ind w:left="0" w:leftChars="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我方作为</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项目名称</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）的投标供应商，在此郑重声明：</w:t>
      </w:r>
    </w:p>
    <w:p w14:paraId="2C8E1386">
      <w:pPr>
        <w:pageBreakBefore w:val="0"/>
        <w:widowControl/>
        <w:topLinePunct w:val="0"/>
        <w:bidi w:val="0"/>
        <w:spacing w:line="500" w:lineRule="exact"/>
        <w:ind w:left="0" w:leftChars="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1、在参加政府采购活动前3年内的经营活动中____（填“没有”或“有”）重大违法记录。供应商</w:t>
      </w:r>
      <w:r>
        <w:rPr>
          <w:rFonts w:hint="eastAsia" w:ascii="宋体" w:hAnsi="宋体" w:eastAsia="宋体" w:cs="宋体"/>
          <w:b/>
          <w:bCs/>
          <w:color w:val="auto"/>
          <w:sz w:val="24"/>
          <w:szCs w:val="24"/>
          <w:highlight w:val="none"/>
        </w:rPr>
        <w:t>在参加政府采购活动前3年内因违法经营被禁止在一定期限内参加政府采购活动，期限届满的，可以参加政府采购活动，但应提供期限届满的证明材料。</w:t>
      </w:r>
    </w:p>
    <w:p w14:paraId="36C24F05">
      <w:pPr>
        <w:pageBreakBefore w:val="0"/>
        <w:widowControl/>
        <w:topLinePunct w:val="0"/>
        <w:bidi w:val="0"/>
        <w:spacing w:line="500" w:lineRule="exact"/>
        <w:ind w:left="0" w:leftChars="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2、我方______（填“未被列入”或“被列入”）失信被执行人名单。</w:t>
      </w:r>
    </w:p>
    <w:p w14:paraId="1C9B4FFE">
      <w:pPr>
        <w:pageBreakBefore w:val="0"/>
        <w:widowControl/>
        <w:topLinePunct w:val="0"/>
        <w:bidi w:val="0"/>
        <w:spacing w:line="500" w:lineRule="exact"/>
        <w:ind w:left="0" w:leftChars="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3、我方______（填“未被列入”或“被列入”）重大税收违法案件当事人名单。</w:t>
      </w:r>
    </w:p>
    <w:p w14:paraId="1BB5098B">
      <w:pPr>
        <w:pageBreakBefore w:val="0"/>
        <w:widowControl/>
        <w:topLinePunct w:val="0"/>
        <w:bidi w:val="0"/>
        <w:spacing w:line="500" w:lineRule="exact"/>
        <w:ind w:left="0" w:leftChars="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4、我方______（填“未被列入”或“被列入”）政府采购严重违法失信行为记录名单。</w:t>
      </w:r>
    </w:p>
    <w:p w14:paraId="598AA269">
      <w:pPr>
        <w:pageBreakBefore w:val="0"/>
        <w:widowControl/>
        <w:topLinePunct w:val="0"/>
        <w:bidi w:val="0"/>
        <w:spacing w:line="500" w:lineRule="exact"/>
        <w:ind w:left="0" w:leftChars="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如有不实，我方将无条件地退出本项目的采购活动，并遵照《政府采购法》有关“提供虚假材料的规定”接受处罚。</w:t>
      </w:r>
    </w:p>
    <w:p w14:paraId="127D4E82">
      <w:pPr>
        <w:pageBreakBefore w:val="0"/>
        <w:widowControl/>
        <w:topLinePunct w:val="0"/>
        <w:bidi w:val="0"/>
        <w:spacing w:line="500" w:lineRule="exact"/>
        <w:ind w:left="0" w:leftChars="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特此声明。</w:t>
      </w:r>
    </w:p>
    <w:p w14:paraId="3AE81082">
      <w:pPr>
        <w:pageBreakBefore w:val="0"/>
        <w:widowControl/>
        <w:topLinePunct w:val="0"/>
        <w:bidi w:val="0"/>
        <w:spacing w:line="500" w:lineRule="exact"/>
        <w:ind w:left="0" w:leftChars="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      （盖公章）</w:t>
      </w:r>
    </w:p>
    <w:p w14:paraId="7383075C">
      <w:pPr>
        <w:pageBreakBefore w:val="0"/>
        <w:widowControl/>
        <w:topLinePunct w:val="0"/>
        <w:bidi w:val="0"/>
        <w:spacing w:line="500" w:lineRule="exact"/>
        <w:ind w:left="0" w:leftChars="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法定代表人或授权代表：</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（签字或盖章）</w:t>
      </w:r>
    </w:p>
    <w:p w14:paraId="069E6AF0">
      <w:pPr>
        <w:pageBreakBefore w:val="0"/>
        <w:widowControl/>
        <w:topLinePunct w:val="0"/>
        <w:bidi w:val="0"/>
        <w:spacing w:line="500" w:lineRule="exact"/>
        <w:ind w:left="0" w:leftChars="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　　年　月　日</w:t>
      </w:r>
    </w:p>
    <w:bookmarkEnd w:id="363"/>
    <w:bookmarkEnd w:id="364"/>
    <w:p w14:paraId="0018F8B9">
      <w:pPr>
        <w:pStyle w:val="4"/>
        <w:keepNext/>
        <w:keepLines/>
        <w:pageBreakBefore w:val="0"/>
        <w:widowControl w:val="0"/>
        <w:numPr>
          <w:ilvl w:val="0"/>
          <w:numId w:val="0"/>
        </w:numPr>
        <w:kinsoku/>
        <w:wordWrap/>
        <w:overflowPunct/>
        <w:topLinePunct w:val="0"/>
        <w:autoSpaceDE/>
        <w:autoSpaceDN/>
        <w:bidi w:val="0"/>
        <w:adjustRightInd/>
        <w:snapToGrid/>
        <w:spacing w:before="0" w:after="0" w:line="500" w:lineRule="exact"/>
        <w:ind w:left="0" w:leftChars="0" w:right="0"/>
        <w:textAlignment w:val="auto"/>
        <w:rPr>
          <w:rFonts w:hint="eastAsia" w:ascii="宋体" w:hAnsi="宋体" w:eastAsia="宋体" w:cs="宋体"/>
          <w:color w:val="auto"/>
          <w:highlight w:val="none"/>
          <w:lang w:val="en-US" w:eastAsia="zh-CN"/>
        </w:rPr>
      </w:pPr>
      <w:bookmarkStart w:id="365" w:name="_Toc4502"/>
      <w:bookmarkStart w:id="366" w:name="_Toc15231"/>
      <w:bookmarkStart w:id="367" w:name="_Toc4418"/>
      <w:bookmarkStart w:id="368" w:name="_Toc16355"/>
      <w:bookmarkStart w:id="369" w:name="_Toc30777"/>
      <w:bookmarkStart w:id="370" w:name="_Toc32391"/>
      <w:bookmarkStart w:id="371" w:name="_Toc9029"/>
      <w:r>
        <w:rPr>
          <w:rFonts w:hint="eastAsia" w:ascii="宋体" w:hAnsi="宋体" w:eastAsia="宋体" w:cs="宋体"/>
          <w:color w:val="auto"/>
          <w:highlight w:val="none"/>
          <w:lang w:val="en-US" w:eastAsia="zh-CN"/>
        </w:rPr>
        <w:t>7、信用查询</w:t>
      </w:r>
      <w:bookmarkEnd w:id="365"/>
      <w:bookmarkEnd w:id="366"/>
      <w:bookmarkEnd w:id="367"/>
      <w:bookmarkEnd w:id="368"/>
      <w:bookmarkEnd w:id="369"/>
    </w:p>
    <w:bookmarkEnd w:id="370"/>
    <w:bookmarkEnd w:id="371"/>
    <w:p w14:paraId="3E2705AF">
      <w:pPr>
        <w:pStyle w:val="4"/>
        <w:keepNext/>
        <w:keepLines/>
        <w:pageBreakBefore w:val="0"/>
        <w:widowControl w:val="0"/>
        <w:numPr>
          <w:ilvl w:val="0"/>
          <w:numId w:val="0"/>
        </w:numPr>
        <w:kinsoku/>
        <w:wordWrap/>
        <w:overflowPunct/>
        <w:topLinePunct w:val="0"/>
        <w:autoSpaceDE/>
        <w:autoSpaceDN/>
        <w:bidi w:val="0"/>
        <w:adjustRightInd/>
        <w:snapToGrid/>
        <w:spacing w:before="0" w:after="0" w:line="500" w:lineRule="exact"/>
        <w:ind w:left="0" w:leftChars="0" w:right="0"/>
        <w:textAlignment w:val="auto"/>
        <w:rPr>
          <w:rFonts w:hint="eastAsia" w:ascii="宋体" w:hAnsi="宋体" w:eastAsia="宋体" w:cs="宋体"/>
          <w:color w:val="auto"/>
          <w:highlight w:val="none"/>
          <w:lang w:val="en-US" w:eastAsia="zh-CN"/>
        </w:rPr>
      </w:pPr>
      <w:bookmarkStart w:id="372" w:name="_Toc3539"/>
      <w:bookmarkStart w:id="373" w:name="_Toc29689"/>
      <w:bookmarkStart w:id="374" w:name="_Toc9034"/>
      <w:bookmarkStart w:id="375" w:name="_Toc8990"/>
      <w:bookmarkStart w:id="376" w:name="_Toc19880"/>
      <w:bookmarkStart w:id="377" w:name="_Toc7295"/>
      <w:bookmarkStart w:id="378" w:name="_Toc31166"/>
      <w:r>
        <w:rPr>
          <w:rFonts w:hint="eastAsia" w:ascii="宋体" w:hAnsi="宋体" w:eastAsia="宋体" w:cs="宋体"/>
          <w:color w:val="auto"/>
          <w:highlight w:val="none"/>
          <w:lang w:val="en-US" w:eastAsia="zh-CN"/>
        </w:rPr>
        <w:t>8、提供具有履行合同所必需的设备和专业技术能力的证明资料或承诺书</w:t>
      </w:r>
    </w:p>
    <w:p w14:paraId="5E81E2C0">
      <w:pPr>
        <w:pStyle w:val="4"/>
        <w:keepNext/>
        <w:keepLines/>
        <w:pageBreakBefore w:val="0"/>
        <w:widowControl w:val="0"/>
        <w:numPr>
          <w:ilvl w:val="0"/>
          <w:numId w:val="0"/>
        </w:numPr>
        <w:kinsoku/>
        <w:wordWrap/>
        <w:overflowPunct/>
        <w:topLinePunct w:val="0"/>
        <w:autoSpaceDE/>
        <w:autoSpaceDN/>
        <w:bidi w:val="0"/>
        <w:adjustRightInd/>
        <w:snapToGrid/>
        <w:spacing w:before="0" w:after="0" w:line="500" w:lineRule="exact"/>
        <w:ind w:left="0" w:leftChars="0" w:right="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9、投标信用承诺书（保证金）（承诺书效力和作用等同投标保证金）</w:t>
      </w:r>
      <w:bookmarkEnd w:id="372"/>
      <w:bookmarkEnd w:id="373"/>
      <w:bookmarkEnd w:id="374"/>
      <w:bookmarkEnd w:id="375"/>
      <w:bookmarkEnd w:id="376"/>
    </w:p>
    <w:p w14:paraId="60294AA1">
      <w:pPr>
        <w:pageBreakBefore w:val="0"/>
        <w:topLinePunct w:val="0"/>
        <w:bidi w:val="0"/>
        <w:spacing w:line="500" w:lineRule="exact"/>
        <w:ind w:left="0" w:leftChars="0" w:right="0"/>
        <w:jc w:val="center"/>
        <w:rPr>
          <w:rFonts w:hint="eastAsia" w:ascii="宋体" w:hAnsi="宋体" w:eastAsia="宋体" w:cs="宋体"/>
          <w:color w:val="auto"/>
          <w:kern w:val="0"/>
          <w:sz w:val="24"/>
          <w:highlight w:val="none"/>
        </w:rPr>
      </w:pPr>
      <w:r>
        <w:rPr>
          <w:rFonts w:hint="eastAsia" w:ascii="宋体" w:hAnsi="宋体" w:eastAsia="宋体" w:cs="宋体"/>
          <w:b/>
          <w:color w:val="auto"/>
          <w:sz w:val="32"/>
          <w:szCs w:val="32"/>
          <w:highlight w:val="none"/>
        </w:rPr>
        <w:t>投标信用承诺书（保证金）</w:t>
      </w:r>
    </w:p>
    <w:p w14:paraId="58F055E9">
      <w:pPr>
        <w:keepNext w:val="0"/>
        <w:keepLines w:val="0"/>
        <w:pageBreakBefore w:val="0"/>
        <w:widowControl w:val="0"/>
        <w:kinsoku/>
        <w:wordWrap/>
        <w:overflowPunct/>
        <w:topLinePunct w:val="0"/>
        <w:autoSpaceDE/>
        <w:autoSpaceDN/>
        <w:bidi w:val="0"/>
        <w:spacing w:line="500" w:lineRule="exact"/>
        <w:ind w:left="0" w:leftChars="0" w:right="0"/>
        <w:jc w:val="left"/>
        <w:textAlignment w:val="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项目</w:t>
      </w:r>
      <w:r>
        <w:rPr>
          <w:rFonts w:hint="eastAsia" w:ascii="宋体" w:hAnsi="宋体" w:eastAsia="宋体" w:cs="宋体"/>
          <w:color w:val="auto"/>
          <w:kern w:val="0"/>
          <w:sz w:val="24"/>
          <w:szCs w:val="24"/>
          <w:highlight w:val="none"/>
          <w:lang w:val="en-US" w:eastAsia="zh-CN"/>
        </w:rPr>
        <w:t>名称</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u w:val="single"/>
        </w:rPr>
        <w:t xml:space="preserve">                                              </w:t>
      </w:r>
    </w:p>
    <w:p w14:paraId="3F484003">
      <w:pPr>
        <w:keepNext w:val="0"/>
        <w:keepLines w:val="0"/>
        <w:pageBreakBefore w:val="0"/>
        <w:widowControl w:val="0"/>
        <w:kinsoku/>
        <w:wordWrap/>
        <w:overflowPunct/>
        <w:topLinePunct w:val="0"/>
        <w:autoSpaceDE/>
        <w:autoSpaceDN/>
        <w:bidi w:val="0"/>
        <w:spacing w:line="500" w:lineRule="exact"/>
        <w:ind w:left="0" w:leftChars="0" w:right="0"/>
        <w:jc w:val="left"/>
        <w:textAlignment w:val="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供应商：</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p>
    <w:p w14:paraId="2E23E6E8">
      <w:pPr>
        <w:keepNext w:val="0"/>
        <w:keepLines w:val="0"/>
        <w:pageBreakBefore w:val="0"/>
        <w:widowControl w:val="0"/>
        <w:kinsoku/>
        <w:wordWrap/>
        <w:overflowPunct/>
        <w:topLinePunct w:val="0"/>
        <w:autoSpaceDE/>
        <w:autoSpaceDN/>
        <w:bidi w:val="0"/>
        <w:spacing w:line="500" w:lineRule="exact"/>
        <w:ind w:left="0" w:leftChars="0" w:right="0"/>
        <w:jc w:val="left"/>
        <w:textAlignment w:val="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统一社会信用代码：</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法人代表：</w:t>
      </w:r>
      <w:r>
        <w:rPr>
          <w:rFonts w:hint="eastAsia" w:ascii="宋体" w:hAnsi="宋体" w:eastAsia="宋体" w:cs="宋体"/>
          <w:color w:val="auto"/>
          <w:kern w:val="0"/>
          <w:sz w:val="24"/>
          <w:szCs w:val="24"/>
          <w:highlight w:val="none"/>
          <w:u w:val="single"/>
        </w:rPr>
        <w:t xml:space="preserve">          </w:t>
      </w:r>
    </w:p>
    <w:p w14:paraId="7316128D">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在本项目标段招投标活动中，我公司（单位）自愿作出以下投标信用承诺：</w:t>
      </w:r>
    </w:p>
    <w:p w14:paraId="7320E123">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（一）能严格遵守法律法规、职业道德和行业规范。</w:t>
      </w:r>
    </w:p>
    <w:p w14:paraId="30EF6F7C">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不得有以下违法违规行为：1.围标串标；以他人名义或者其他方式弄虚作假投标；出让出租资格、资质证书供他人投标；恶意竞标；以暴力、威胁、利诱等手段阻止或者控制其他潜在供应商参与招投标活动。2.向监督部门、交易中心、采购人、招标代理机构、评审委员会及其成员等当事主体赠送财物。3.投标截止后至中标人确定前，修改或者撤销投标文件。4.在被确定为中标人后无正当理由：不按照招标文件和投标文件与采购人签订合同；在签订合同时向采购人提出附加条件、或者改变投标文件的实质性内容；收到中标通知书后，30日内未将合同原件送至招标代理机构备案；放弃中标；不按照招标文件的规定提交履约保证金。5.招投标法规定的其它违法违规行为。</w:t>
      </w:r>
    </w:p>
    <w:p w14:paraId="3AF8085C">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3B18DA4E">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firstLine="480" w:firstLineChars="200"/>
        <w:jc w:val="left"/>
        <w:textAlignment w:val="auto"/>
        <w:rPr>
          <w:rFonts w:hint="eastAsia" w:ascii="宋体" w:hAnsi="宋体" w:eastAsia="宋体" w:cs="宋体"/>
          <w:color w:val="auto"/>
          <w:kern w:val="0"/>
          <w:sz w:val="24"/>
          <w:szCs w:val="24"/>
          <w:highlight w:val="none"/>
        </w:rPr>
      </w:pPr>
    </w:p>
    <w:p w14:paraId="6F406E27">
      <w:pPr>
        <w:keepNext w:val="0"/>
        <w:keepLines w:val="0"/>
        <w:pageBreakBefore w:val="0"/>
        <w:widowControl w:val="0"/>
        <w:tabs>
          <w:tab w:val="left" w:pos="4395"/>
        </w:tabs>
        <w:kinsoku/>
        <w:wordWrap/>
        <w:overflowPunct/>
        <w:topLinePunct w:val="0"/>
        <w:autoSpaceDE/>
        <w:autoSpaceDN/>
        <w:bidi w:val="0"/>
        <w:adjustRightInd w:val="0"/>
        <w:snapToGrid w:val="0"/>
        <w:spacing w:line="500" w:lineRule="exact"/>
        <w:ind w:left="0" w:leftChars="0" w:right="0"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w:t>
      </w:r>
      <w:r>
        <w:rPr>
          <w:rFonts w:hint="eastAsia" w:ascii="宋体" w:hAnsi="宋体" w:eastAsia="宋体" w:cs="宋体"/>
          <w:color w:val="auto"/>
          <w:szCs w:val="24"/>
          <w:highlight w:val="none"/>
          <w:lang w:val="zh-CN"/>
        </w:rPr>
        <w:t>（签字或盖章）</w:t>
      </w:r>
      <w:r>
        <w:rPr>
          <w:rFonts w:hint="eastAsia" w:ascii="宋体" w:hAnsi="宋体" w:eastAsia="宋体" w:cs="宋体"/>
          <w:color w:val="auto"/>
          <w:kern w:val="0"/>
          <w:sz w:val="24"/>
          <w:szCs w:val="24"/>
          <w:highlight w:val="none"/>
        </w:rPr>
        <w:t xml:space="preserve">：          </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 xml:space="preserve">   供应商（盖章）：</w:t>
      </w:r>
    </w:p>
    <w:p w14:paraId="3B41A410">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textAlignment w:val="auto"/>
        <w:rPr>
          <w:rFonts w:hint="eastAsia" w:ascii="宋体" w:hAnsi="宋体" w:eastAsia="宋体" w:cs="宋体"/>
          <w:b/>
          <w:color w:val="auto"/>
          <w:kern w:val="0"/>
          <w:sz w:val="24"/>
          <w:szCs w:val="24"/>
          <w:highlight w:val="none"/>
        </w:rPr>
      </w:pPr>
    </w:p>
    <w:p w14:paraId="4A0F43A3">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jc w:val="righ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承诺时间：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日</w:t>
      </w:r>
    </w:p>
    <w:p w14:paraId="62395D5E">
      <w:pPr>
        <w:keepNext w:val="0"/>
        <w:keepLines w:val="0"/>
        <w:pageBreakBefore w:val="0"/>
        <w:widowControl w:val="0"/>
        <w:kinsoku/>
        <w:wordWrap/>
        <w:overflowPunct/>
        <w:topLinePunct w:val="0"/>
        <w:autoSpaceDE/>
        <w:autoSpaceDN/>
        <w:bidi w:val="0"/>
        <w:spacing w:line="500" w:lineRule="exact"/>
        <w:ind w:left="0" w:leftChars="0" w:right="0"/>
        <w:textAlignment w:val="auto"/>
        <w:rPr>
          <w:rFonts w:hint="eastAsia" w:ascii="宋体" w:hAnsi="宋体" w:eastAsia="宋体" w:cs="宋体"/>
          <w:b/>
          <w:color w:val="auto"/>
          <w:kern w:val="0"/>
          <w:sz w:val="24"/>
          <w:szCs w:val="24"/>
          <w:highlight w:val="none"/>
        </w:rPr>
      </w:pPr>
    </w:p>
    <w:p w14:paraId="1AAA9268">
      <w:pPr>
        <w:pStyle w:val="25"/>
        <w:keepNext w:val="0"/>
        <w:keepLines w:val="0"/>
        <w:pageBreakBefore w:val="0"/>
        <w:widowControl w:val="0"/>
        <w:kinsoku/>
        <w:wordWrap/>
        <w:overflowPunct/>
        <w:topLinePunct w:val="0"/>
        <w:autoSpaceDE/>
        <w:autoSpaceDN/>
        <w:bidi w:val="0"/>
        <w:spacing w:after="0" w:line="500" w:lineRule="exact"/>
        <w:ind w:left="0" w:leftChars="0" w:right="0" w:firstLine="214"/>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说明：本承诺书效力和作用等同投标保证金，其有效期与投标有效期一致。</w:t>
      </w:r>
    </w:p>
    <w:p w14:paraId="21679BE7">
      <w:pPr>
        <w:pageBreakBefore w:val="0"/>
        <w:topLinePunct w:val="0"/>
        <w:bidi w:val="0"/>
        <w:spacing w:line="500" w:lineRule="exact"/>
        <w:ind w:left="0" w:leftChars="0" w:right="0"/>
        <w:rPr>
          <w:rFonts w:hint="eastAsia" w:ascii="宋体" w:hAnsi="宋体" w:eastAsia="宋体" w:cs="宋体"/>
          <w:color w:val="auto"/>
          <w:highlight w:val="none"/>
          <w:lang w:val="en-US" w:eastAsia="zh-CN"/>
        </w:rPr>
      </w:pPr>
      <w:bookmarkStart w:id="379" w:name="_Toc17400"/>
      <w:bookmarkStart w:id="380" w:name="_Toc8788"/>
      <w:bookmarkStart w:id="381" w:name="_Toc14597"/>
      <w:bookmarkStart w:id="382" w:name="_Toc7766"/>
      <w:bookmarkStart w:id="383" w:name="_Toc13713"/>
      <w:bookmarkStart w:id="384" w:name="_Toc211"/>
      <w:r>
        <w:rPr>
          <w:rFonts w:hint="eastAsia" w:ascii="宋体" w:hAnsi="宋体" w:eastAsia="宋体" w:cs="宋体"/>
          <w:color w:val="auto"/>
          <w:highlight w:val="none"/>
          <w:lang w:val="en-US" w:eastAsia="zh-CN"/>
        </w:rPr>
        <w:br w:type="page"/>
      </w:r>
    </w:p>
    <w:bookmarkEnd w:id="377"/>
    <w:bookmarkEnd w:id="378"/>
    <w:bookmarkEnd w:id="379"/>
    <w:p w14:paraId="5268094C">
      <w:pPr>
        <w:pStyle w:val="4"/>
        <w:keepNext/>
        <w:keepLines/>
        <w:pageBreakBefore w:val="0"/>
        <w:widowControl w:val="0"/>
        <w:kinsoku/>
        <w:wordWrap/>
        <w:overflowPunct/>
        <w:topLinePunct w:val="0"/>
        <w:autoSpaceDE/>
        <w:autoSpaceDN/>
        <w:bidi w:val="0"/>
        <w:adjustRightInd/>
        <w:snapToGrid/>
        <w:spacing w:before="0" w:after="0" w:line="500" w:lineRule="exact"/>
        <w:ind w:left="0" w:leftChars="0" w:right="0"/>
        <w:textAlignment w:val="auto"/>
        <w:rPr>
          <w:rFonts w:hint="eastAsia" w:ascii="宋体" w:hAnsi="宋体" w:eastAsia="宋体" w:cs="宋体"/>
          <w:color w:val="auto"/>
          <w:highlight w:val="none"/>
          <w:lang w:val="en-US" w:eastAsia="zh-CN"/>
        </w:rPr>
      </w:pPr>
      <w:bookmarkStart w:id="385" w:name="_Toc19829"/>
      <w:bookmarkStart w:id="386" w:name="_Toc10544"/>
      <w:bookmarkStart w:id="387" w:name="_Toc32463"/>
      <w:bookmarkStart w:id="388" w:name="_Toc27379"/>
      <w:r>
        <w:rPr>
          <w:rFonts w:hint="eastAsia" w:ascii="宋体" w:hAnsi="宋体" w:eastAsia="宋体" w:cs="宋体"/>
          <w:color w:val="auto"/>
          <w:highlight w:val="none"/>
          <w:lang w:val="en-US" w:eastAsia="zh-CN"/>
        </w:rPr>
        <w:t>10、提供榆林市政府釆购服务类项目供应商信用承诺书原件。</w:t>
      </w:r>
      <w:bookmarkEnd w:id="380"/>
      <w:bookmarkEnd w:id="381"/>
      <w:bookmarkEnd w:id="382"/>
      <w:bookmarkEnd w:id="383"/>
      <w:bookmarkEnd w:id="384"/>
      <w:bookmarkEnd w:id="385"/>
    </w:p>
    <w:p w14:paraId="47D97277">
      <w:pPr>
        <w:pStyle w:val="8"/>
        <w:keepNext w:val="0"/>
        <w:keepLines w:val="0"/>
        <w:pageBreakBefore w:val="0"/>
        <w:shd w:val="clear" w:color="auto"/>
        <w:kinsoku/>
        <w:wordWrap/>
        <w:overflowPunct/>
        <w:topLinePunct w:val="0"/>
        <w:autoSpaceDE/>
        <w:autoSpaceDN/>
        <w:bidi w:val="0"/>
        <w:adjustRightInd/>
        <w:snapToGrid/>
        <w:spacing w:beforeAutospacing="0" w:afterAutospacing="0" w:line="500" w:lineRule="exact"/>
        <w:ind w:left="0" w:leftChars="0" w:right="0" w:firstLine="480"/>
        <w:jc w:val="center"/>
        <w:textAlignment w:val="auto"/>
        <w:rPr>
          <w:rFonts w:hint="eastAsia" w:ascii="宋体" w:hAnsi="宋体" w:eastAsia="宋体" w:cs="宋体"/>
          <w:b/>
          <w:bCs/>
          <w:color w:val="auto"/>
          <w:sz w:val="32"/>
          <w:szCs w:val="32"/>
          <w:highlight w:val="none"/>
          <w:shd w:val="clear" w:color="auto" w:fill="FFFFFF"/>
        </w:rPr>
      </w:pPr>
      <w:r>
        <w:rPr>
          <w:rFonts w:hint="eastAsia" w:ascii="宋体" w:hAnsi="宋体" w:eastAsia="宋体" w:cs="宋体"/>
          <w:b/>
          <w:bCs/>
          <w:color w:val="auto"/>
          <w:sz w:val="32"/>
          <w:szCs w:val="32"/>
          <w:highlight w:val="none"/>
          <w:shd w:val="clear" w:color="auto" w:fill="FFFFFF"/>
          <w:lang w:val="en-US" w:eastAsia="zh-CN"/>
        </w:rPr>
        <w:t>榆林市</w:t>
      </w:r>
      <w:r>
        <w:rPr>
          <w:rFonts w:hint="eastAsia" w:ascii="宋体" w:hAnsi="宋体" w:eastAsia="宋体" w:cs="宋体"/>
          <w:b/>
          <w:bCs/>
          <w:color w:val="auto"/>
          <w:sz w:val="32"/>
          <w:szCs w:val="32"/>
          <w:highlight w:val="none"/>
          <w:shd w:val="clear" w:color="auto" w:fill="FFFFFF"/>
        </w:rPr>
        <w:t>政府采购</w:t>
      </w:r>
      <w:r>
        <w:rPr>
          <w:rFonts w:hint="eastAsia" w:ascii="宋体" w:hAnsi="宋体" w:eastAsia="宋体" w:cs="宋体"/>
          <w:b/>
          <w:bCs/>
          <w:color w:val="auto"/>
          <w:sz w:val="32"/>
          <w:szCs w:val="32"/>
          <w:highlight w:val="none"/>
          <w:shd w:val="clear" w:color="auto" w:fill="FFFFFF"/>
          <w:lang w:val="en-US" w:eastAsia="zh-CN"/>
        </w:rPr>
        <w:t>工程类/货物类/服务类项目</w:t>
      </w:r>
      <w:r>
        <w:rPr>
          <w:rFonts w:hint="eastAsia" w:ascii="宋体" w:hAnsi="宋体" w:eastAsia="宋体" w:cs="宋体"/>
          <w:b/>
          <w:bCs/>
          <w:color w:val="auto"/>
          <w:sz w:val="32"/>
          <w:szCs w:val="32"/>
          <w:highlight w:val="none"/>
          <w:shd w:val="clear" w:color="auto" w:fill="FFFFFF"/>
        </w:rPr>
        <w:t>供应商信用承诺书</w:t>
      </w:r>
    </w:p>
    <w:p w14:paraId="52DDC468">
      <w:pPr>
        <w:pStyle w:val="8"/>
        <w:keepNext w:val="0"/>
        <w:keepLines w:val="0"/>
        <w:pageBreakBefore w:val="0"/>
        <w:shd w:val="clear" w:color="auto"/>
        <w:kinsoku/>
        <w:wordWrap/>
        <w:overflowPunct/>
        <w:topLinePunct w:val="0"/>
        <w:autoSpaceDE/>
        <w:autoSpaceDN/>
        <w:bidi w:val="0"/>
        <w:adjustRightInd/>
        <w:snapToGrid/>
        <w:spacing w:beforeAutospacing="0" w:afterAutospacing="0" w:line="500" w:lineRule="exact"/>
        <w:ind w:left="0" w:leftChars="0" w:right="0" w:firstLine="48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市场主体名称：</w:t>
      </w:r>
    </w:p>
    <w:p w14:paraId="2150A1C4">
      <w:pPr>
        <w:pStyle w:val="8"/>
        <w:keepNext w:val="0"/>
        <w:keepLines w:val="0"/>
        <w:pageBreakBefore w:val="0"/>
        <w:shd w:val="clear" w:color="auto"/>
        <w:kinsoku/>
        <w:wordWrap/>
        <w:overflowPunct/>
        <w:topLinePunct w:val="0"/>
        <w:autoSpaceDE/>
        <w:autoSpaceDN/>
        <w:bidi w:val="0"/>
        <w:adjustRightInd/>
        <w:snapToGrid/>
        <w:spacing w:beforeAutospacing="0" w:afterAutospacing="0" w:line="500" w:lineRule="exact"/>
        <w:ind w:left="0" w:leftChars="0" w:right="0" w:firstLine="48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证件类型：统一社会信用代码</w:t>
      </w:r>
    </w:p>
    <w:p w14:paraId="3A224A8C">
      <w:pPr>
        <w:pStyle w:val="8"/>
        <w:keepNext w:val="0"/>
        <w:keepLines w:val="0"/>
        <w:pageBreakBefore w:val="0"/>
        <w:shd w:val="clear" w:color="auto"/>
        <w:kinsoku/>
        <w:wordWrap/>
        <w:overflowPunct/>
        <w:topLinePunct w:val="0"/>
        <w:autoSpaceDE/>
        <w:autoSpaceDN/>
        <w:bidi w:val="0"/>
        <w:adjustRightInd/>
        <w:snapToGrid/>
        <w:spacing w:beforeAutospacing="0" w:afterAutospacing="0" w:line="500" w:lineRule="exact"/>
        <w:ind w:left="0" w:leftChars="0" w:right="0" w:firstLine="480"/>
        <w:jc w:val="both"/>
        <w:textAlignment w:val="auto"/>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证件号码：</w:t>
      </w:r>
    </w:p>
    <w:p w14:paraId="621B3AE7">
      <w:pPr>
        <w:pStyle w:val="8"/>
        <w:keepNext w:val="0"/>
        <w:keepLines w:val="0"/>
        <w:pageBreakBefore w:val="0"/>
        <w:shd w:val="clear" w:color="auto"/>
        <w:kinsoku/>
        <w:wordWrap/>
        <w:overflowPunct/>
        <w:topLinePunct w:val="0"/>
        <w:autoSpaceDE/>
        <w:autoSpaceDN/>
        <w:bidi w:val="0"/>
        <w:adjustRightInd/>
        <w:snapToGrid/>
        <w:spacing w:beforeAutospacing="0" w:afterAutospacing="0" w:line="500" w:lineRule="exact"/>
        <w:ind w:left="0" w:leftChars="0" w:right="0" w:firstLine="480"/>
        <w:jc w:val="both"/>
        <w:textAlignment w:val="auto"/>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法人代表：</w:t>
      </w:r>
    </w:p>
    <w:p w14:paraId="4839CBB7">
      <w:pPr>
        <w:pStyle w:val="8"/>
        <w:keepNext w:val="0"/>
        <w:keepLines w:val="0"/>
        <w:pageBreakBefore w:val="0"/>
        <w:shd w:val="clear" w:color="auto"/>
        <w:kinsoku/>
        <w:wordWrap/>
        <w:overflowPunct/>
        <w:topLinePunct w:val="0"/>
        <w:autoSpaceDE/>
        <w:autoSpaceDN/>
        <w:bidi w:val="0"/>
        <w:adjustRightInd/>
        <w:snapToGrid/>
        <w:spacing w:beforeAutospacing="0" w:afterAutospacing="0" w:line="500" w:lineRule="exact"/>
        <w:ind w:left="0" w:leftChars="0" w:right="0" w:firstLine="480"/>
        <w:jc w:val="both"/>
        <w:textAlignment w:val="auto"/>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承诺有效期限：   年  月  日—   年  月  日</w:t>
      </w:r>
    </w:p>
    <w:p w14:paraId="69E0853D">
      <w:pPr>
        <w:pStyle w:val="8"/>
        <w:keepNext w:val="0"/>
        <w:keepLines w:val="0"/>
        <w:pageBreakBefore w:val="0"/>
        <w:shd w:val="clear" w:color="auto"/>
        <w:kinsoku/>
        <w:wordWrap/>
        <w:overflowPunct/>
        <w:topLinePunct w:val="0"/>
        <w:autoSpaceDE/>
        <w:autoSpaceDN/>
        <w:bidi w:val="0"/>
        <w:adjustRightInd/>
        <w:snapToGrid/>
        <w:spacing w:beforeAutospacing="0" w:afterAutospacing="0" w:line="500" w:lineRule="exact"/>
        <w:ind w:left="0" w:leftChars="0" w:right="0" w:firstLine="48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承诺内容：</w:t>
      </w:r>
    </w:p>
    <w:p w14:paraId="6C554324">
      <w:pPr>
        <w:pStyle w:val="8"/>
        <w:keepNext w:val="0"/>
        <w:keepLines w:val="0"/>
        <w:pageBreakBefore w:val="0"/>
        <w:shd w:val="clear" w:color="auto"/>
        <w:kinsoku/>
        <w:wordWrap/>
        <w:overflowPunct/>
        <w:topLinePunct w:val="0"/>
        <w:autoSpaceDE/>
        <w:autoSpaceDN/>
        <w:bidi w:val="0"/>
        <w:adjustRightInd/>
        <w:snapToGrid/>
        <w:spacing w:beforeAutospacing="0" w:afterAutospacing="0" w:line="500" w:lineRule="exact"/>
        <w:ind w:left="0" w:leftChars="0" w:right="0" w:firstLine="48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为维护公开、公平、公正的政府采购市场秩序，树立诚实守信的政府采购供应商形象，本单位自愿做出以下承诺：</w:t>
      </w:r>
    </w:p>
    <w:p w14:paraId="271F3186">
      <w:pPr>
        <w:pStyle w:val="8"/>
        <w:keepNext w:val="0"/>
        <w:keepLines w:val="0"/>
        <w:pageBreakBefore w:val="0"/>
        <w:shd w:val="clear" w:color="auto"/>
        <w:kinsoku/>
        <w:wordWrap/>
        <w:overflowPunct/>
        <w:topLinePunct w:val="0"/>
        <w:autoSpaceDE/>
        <w:autoSpaceDN/>
        <w:bidi w:val="0"/>
        <w:adjustRightInd/>
        <w:snapToGrid/>
        <w:spacing w:beforeAutospacing="0" w:afterAutospacing="0" w:line="500" w:lineRule="exact"/>
        <w:ind w:left="0" w:leftChars="0" w:right="0" w:firstLine="48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一、承诺本单位严格遵守国家法律、法规和规章，全面履行应尽的责任和义务，全面做到履约守信，具备《政府采购法》第二十二条第一款规定的条件;</w:t>
      </w:r>
    </w:p>
    <w:p w14:paraId="58E7D1CE">
      <w:pPr>
        <w:pStyle w:val="8"/>
        <w:keepNext w:val="0"/>
        <w:keepLines w:val="0"/>
        <w:pageBreakBefore w:val="0"/>
        <w:shd w:val="clear" w:color="auto"/>
        <w:kinsoku/>
        <w:wordWrap/>
        <w:overflowPunct/>
        <w:topLinePunct w:val="0"/>
        <w:autoSpaceDE/>
        <w:autoSpaceDN/>
        <w:bidi w:val="0"/>
        <w:adjustRightInd/>
        <w:snapToGrid/>
        <w:spacing w:beforeAutospacing="0" w:afterAutospacing="0" w:line="500" w:lineRule="exact"/>
        <w:ind w:left="0" w:leftChars="0" w:right="0" w:firstLine="48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二、承诺本单位提供给注册登记部门、行业管理部门、司法部门、行业组织以及在政府采购活动中提交的所有资料均合法、真实、有效，无任何伪造、修改、虚假成份，并对所提供资料的真实性负责；</w:t>
      </w:r>
    </w:p>
    <w:p w14:paraId="1971A989">
      <w:pPr>
        <w:pStyle w:val="8"/>
        <w:keepNext w:val="0"/>
        <w:keepLines w:val="0"/>
        <w:pageBreakBefore w:val="0"/>
        <w:shd w:val="clear" w:color="auto"/>
        <w:kinsoku/>
        <w:wordWrap/>
        <w:overflowPunct/>
        <w:topLinePunct w:val="0"/>
        <w:autoSpaceDE/>
        <w:autoSpaceDN/>
        <w:bidi w:val="0"/>
        <w:adjustRightInd/>
        <w:snapToGrid/>
        <w:spacing w:beforeAutospacing="0" w:afterAutospacing="0" w:line="500" w:lineRule="exact"/>
        <w:ind w:left="0" w:leftChars="0" w:right="0" w:firstLine="48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三、承诺本单位严格依法开展生产经营活动，主动接受行业监管，自愿接受依法开展的日常检查；违法失信经营后将自愿接受约束和惩戒，并依法承担相应责任；</w:t>
      </w:r>
    </w:p>
    <w:p w14:paraId="7AD37703">
      <w:pPr>
        <w:pStyle w:val="8"/>
        <w:keepNext w:val="0"/>
        <w:keepLines w:val="0"/>
        <w:pageBreakBefore w:val="0"/>
        <w:shd w:val="clear" w:color="auto"/>
        <w:kinsoku/>
        <w:wordWrap/>
        <w:overflowPunct/>
        <w:topLinePunct w:val="0"/>
        <w:autoSpaceDE/>
        <w:autoSpaceDN/>
        <w:bidi w:val="0"/>
        <w:adjustRightInd/>
        <w:snapToGrid/>
        <w:spacing w:beforeAutospacing="0" w:afterAutospacing="0" w:line="500" w:lineRule="exact"/>
        <w:ind w:left="0" w:leftChars="0" w:right="0" w:firstLine="48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四、承诺本单位自觉接受行政管理部门、行业组织、社会公众、新闻舆论的监督；</w:t>
      </w:r>
    </w:p>
    <w:p w14:paraId="345867A5">
      <w:pPr>
        <w:pStyle w:val="8"/>
        <w:keepNext w:val="0"/>
        <w:keepLines w:val="0"/>
        <w:pageBreakBefore w:val="0"/>
        <w:shd w:val="clear" w:color="auto"/>
        <w:kinsoku/>
        <w:wordWrap/>
        <w:overflowPunct/>
        <w:topLinePunct w:val="0"/>
        <w:autoSpaceDE/>
        <w:autoSpaceDN/>
        <w:bidi w:val="0"/>
        <w:adjustRightInd/>
        <w:snapToGrid/>
        <w:spacing w:beforeAutospacing="0" w:afterAutospacing="0" w:line="500" w:lineRule="exact"/>
        <w:ind w:left="0" w:leftChars="0" w:right="0" w:firstLine="48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五、承诺本单位自我约束、自我管理，重合同、守信用，不制假售假、商标侵权、虚假宣传、违约毁约、恶意逃债、偷税漏税、价格欺诈、垄断和不正当竞争，维护经营者、消费者的合法权益；</w:t>
      </w:r>
    </w:p>
    <w:p w14:paraId="1BE569E5">
      <w:pPr>
        <w:pStyle w:val="8"/>
        <w:keepNext w:val="0"/>
        <w:keepLines w:val="0"/>
        <w:pageBreakBefore w:val="0"/>
        <w:shd w:val="clear" w:color="auto"/>
        <w:kinsoku/>
        <w:wordWrap/>
        <w:overflowPunct/>
        <w:topLinePunct w:val="0"/>
        <w:autoSpaceDE/>
        <w:autoSpaceDN/>
        <w:bidi w:val="0"/>
        <w:adjustRightInd/>
        <w:snapToGrid/>
        <w:spacing w:beforeAutospacing="0" w:afterAutospacing="0" w:line="500" w:lineRule="exact"/>
        <w:ind w:left="0" w:leftChars="0" w:right="0" w:firstLine="48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六、承诺本单位提出政府采购质疑和投诉坚持依法依规、诚实信用原则，在全国范围12个月内没有三次以上查无实据的政府采购投诉；</w:t>
      </w:r>
    </w:p>
    <w:p w14:paraId="6100C682">
      <w:pPr>
        <w:pStyle w:val="8"/>
        <w:keepNext w:val="0"/>
        <w:keepLines w:val="0"/>
        <w:pageBreakBefore w:val="0"/>
        <w:shd w:val="clear" w:color="auto"/>
        <w:kinsoku/>
        <w:wordWrap/>
        <w:overflowPunct/>
        <w:topLinePunct w:val="0"/>
        <w:autoSpaceDE/>
        <w:autoSpaceDN/>
        <w:bidi w:val="0"/>
        <w:adjustRightInd/>
        <w:snapToGrid/>
        <w:spacing w:beforeAutospacing="0" w:afterAutospacing="0" w:line="500" w:lineRule="exact"/>
        <w:ind w:left="0" w:leftChars="0" w:right="0" w:firstLine="480" w:firstLineChars="200"/>
        <w:jc w:val="both"/>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shd w:val="clear" w:color="auto" w:fill="FFFFFF"/>
        </w:rPr>
        <w:t>七、根据政府采购相关法律法规的规定需要作出的其他承诺：</w:t>
      </w:r>
      <w:r>
        <w:rPr>
          <w:rFonts w:hint="eastAsia" w:ascii="宋体" w:hAnsi="宋体" w:eastAsia="宋体" w:cs="宋体"/>
          <w:color w:val="auto"/>
          <w:highlight w:val="none"/>
          <w:u w:val="single"/>
          <w:shd w:val="clear" w:color="auto" w:fill="FFFFFF"/>
        </w:rPr>
        <w:t>          </w:t>
      </w:r>
      <w:r>
        <w:rPr>
          <w:rFonts w:hint="eastAsia" w:ascii="宋体" w:hAnsi="宋体" w:eastAsia="宋体" w:cs="宋体"/>
          <w:color w:val="auto"/>
          <w:highlight w:val="none"/>
          <w:u w:val="single"/>
          <w:shd w:val="clear" w:color="auto" w:fill="FFFFFF"/>
          <w:lang w:eastAsia="zh-CN"/>
        </w:rPr>
        <w:t>；</w:t>
      </w:r>
    </w:p>
    <w:p w14:paraId="474C2D65">
      <w:pPr>
        <w:pStyle w:val="8"/>
        <w:keepNext w:val="0"/>
        <w:keepLines w:val="0"/>
        <w:pageBreakBefore w:val="0"/>
        <w:shd w:val="clear" w:color="auto"/>
        <w:kinsoku/>
        <w:wordWrap/>
        <w:overflowPunct/>
        <w:topLinePunct w:val="0"/>
        <w:autoSpaceDE/>
        <w:autoSpaceDN/>
        <w:bidi w:val="0"/>
        <w:adjustRightInd/>
        <w:snapToGrid/>
        <w:spacing w:beforeAutospacing="0" w:afterAutospacing="0" w:line="500" w:lineRule="exact"/>
        <w:ind w:left="0" w:leftChars="0" w:right="0" w:firstLine="48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0072D661">
      <w:pPr>
        <w:pStyle w:val="8"/>
        <w:keepNext w:val="0"/>
        <w:keepLines w:val="0"/>
        <w:pageBreakBefore w:val="0"/>
        <w:shd w:val="clear" w:color="auto"/>
        <w:kinsoku/>
        <w:wordWrap/>
        <w:overflowPunct/>
        <w:topLinePunct w:val="0"/>
        <w:autoSpaceDE/>
        <w:autoSpaceDN/>
        <w:bidi w:val="0"/>
        <w:adjustRightInd/>
        <w:snapToGrid/>
        <w:spacing w:beforeAutospacing="0" w:afterAutospacing="0" w:line="500" w:lineRule="exact"/>
        <w:ind w:left="0" w:leftChars="0" w:right="0" w:firstLine="640"/>
        <w:jc w:val="both"/>
        <w:textAlignment w:val="auto"/>
        <w:rPr>
          <w:rFonts w:hint="eastAsia" w:ascii="宋体" w:hAnsi="宋体" w:eastAsia="宋体" w:cs="宋体"/>
          <w:color w:val="auto"/>
          <w:highlight w:val="none"/>
          <w:shd w:val="clear" w:color="auto" w:fill="FFFFFF"/>
        </w:rPr>
      </w:pPr>
    </w:p>
    <w:p w14:paraId="304F38D5">
      <w:pPr>
        <w:keepNext w:val="0"/>
        <w:keepLines w:val="0"/>
        <w:pageBreakBefore w:val="0"/>
        <w:shd w:val="clear"/>
        <w:kinsoku/>
        <w:wordWrap/>
        <w:overflowPunct/>
        <w:topLinePunct w:val="0"/>
        <w:autoSpaceDE/>
        <w:autoSpaceDN/>
        <w:bidi w:val="0"/>
        <w:adjustRightInd/>
        <w:snapToGrid/>
        <w:spacing w:beforeAutospacing="0" w:afterAutospacing="0" w:line="500" w:lineRule="exact"/>
        <w:ind w:left="0" w:leftChars="0" w:right="0" w:firstLine="3840" w:firstLineChars="16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承诺单位（盖章）：</w:t>
      </w:r>
    </w:p>
    <w:p w14:paraId="58EA499D">
      <w:pPr>
        <w:keepNext w:val="0"/>
        <w:keepLines w:val="0"/>
        <w:pageBreakBefore w:val="0"/>
        <w:shd w:val="clear"/>
        <w:kinsoku/>
        <w:wordWrap/>
        <w:overflowPunct/>
        <w:topLinePunct w:val="0"/>
        <w:autoSpaceDE/>
        <w:autoSpaceDN/>
        <w:bidi w:val="0"/>
        <w:adjustRightInd/>
        <w:snapToGrid/>
        <w:spacing w:beforeAutospacing="0" w:afterAutospacing="0" w:line="500" w:lineRule="exact"/>
        <w:ind w:left="0" w:leftChars="0" w:right="0" w:firstLine="3840" w:firstLineChars="16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法定代表人</w:t>
      </w:r>
      <w:r>
        <w:rPr>
          <w:rFonts w:hint="eastAsia" w:ascii="宋体" w:hAnsi="宋体" w:eastAsia="宋体" w:cs="宋体"/>
          <w:color w:val="auto"/>
          <w:szCs w:val="24"/>
          <w:highlight w:val="none"/>
          <w:lang w:val="zh-CN"/>
        </w:rPr>
        <w:t>（签字或盖章）</w:t>
      </w:r>
      <w:r>
        <w:rPr>
          <w:rFonts w:hint="eastAsia" w:ascii="宋体" w:hAnsi="宋体" w:eastAsia="宋体" w:cs="宋体"/>
          <w:color w:val="auto"/>
          <w:sz w:val="24"/>
          <w:szCs w:val="22"/>
          <w:highlight w:val="none"/>
        </w:rPr>
        <w:t>：</w:t>
      </w:r>
    </w:p>
    <w:p w14:paraId="0FC572CA">
      <w:pPr>
        <w:keepNext w:val="0"/>
        <w:keepLines w:val="0"/>
        <w:pageBreakBefore w:val="0"/>
        <w:shd w:val="clear"/>
        <w:kinsoku/>
        <w:wordWrap/>
        <w:overflowPunct/>
        <w:topLinePunct w:val="0"/>
        <w:autoSpaceDE/>
        <w:autoSpaceDN/>
        <w:bidi w:val="0"/>
        <w:adjustRightInd/>
        <w:snapToGrid/>
        <w:spacing w:beforeAutospacing="0" w:afterAutospacing="0" w:line="500" w:lineRule="exact"/>
        <w:ind w:left="0" w:leftChars="0" w:right="0" w:firstLine="3840" w:firstLineChars="16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法定代表人身份证号：</w:t>
      </w:r>
    </w:p>
    <w:p w14:paraId="640AFF03">
      <w:pPr>
        <w:keepNext w:val="0"/>
        <w:keepLines w:val="0"/>
        <w:pageBreakBefore w:val="0"/>
        <w:shd w:val="clear"/>
        <w:kinsoku/>
        <w:wordWrap/>
        <w:overflowPunct/>
        <w:topLinePunct w:val="0"/>
        <w:autoSpaceDE/>
        <w:autoSpaceDN/>
        <w:bidi w:val="0"/>
        <w:adjustRightInd/>
        <w:snapToGrid/>
        <w:spacing w:beforeAutospacing="0" w:afterAutospacing="0" w:line="500" w:lineRule="exact"/>
        <w:ind w:left="0" w:leftChars="0" w:right="0" w:firstLine="3840" w:firstLineChars="16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承诺日期：</w:t>
      </w:r>
    </w:p>
    <w:p w14:paraId="523FE412">
      <w:pPr>
        <w:pStyle w:val="8"/>
        <w:keepNext w:val="0"/>
        <w:keepLines w:val="0"/>
        <w:pageBreakBefore w:val="0"/>
        <w:shd w:val="clear" w:color="auto"/>
        <w:kinsoku/>
        <w:wordWrap/>
        <w:overflowPunct/>
        <w:topLinePunct w:val="0"/>
        <w:autoSpaceDE/>
        <w:autoSpaceDN/>
        <w:bidi w:val="0"/>
        <w:adjustRightInd/>
        <w:snapToGrid/>
        <w:spacing w:beforeAutospacing="0" w:afterAutospacing="0" w:line="500" w:lineRule="exact"/>
        <w:ind w:left="0" w:leftChars="0" w:right="0" w:firstLine="640"/>
        <w:jc w:val="both"/>
        <w:textAlignment w:val="auto"/>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注：法定代表人、主体名称发生变更的应当重新做出承诺；承诺书标题按照工程类、货物类、服务类确定。</w:t>
      </w:r>
    </w:p>
    <w:p w14:paraId="07D34E8F">
      <w:pPr>
        <w:pageBreakBefore w:val="0"/>
        <w:topLinePunct w:val="0"/>
        <w:bidi w:val="0"/>
        <w:spacing w:line="500" w:lineRule="exact"/>
        <w:ind w:left="0" w:leftChars="0" w:right="0"/>
        <w:jc w:val="both"/>
        <w:rPr>
          <w:rFonts w:hint="eastAsia" w:ascii="宋体" w:hAnsi="宋体" w:eastAsia="宋体" w:cs="宋体"/>
          <w:b/>
          <w:color w:val="auto"/>
          <w:kern w:val="2"/>
          <w:sz w:val="28"/>
          <w:highlight w:val="none"/>
          <w:lang w:val="en-US" w:eastAsia="zh-CN" w:bidi="ar-SA"/>
        </w:rPr>
      </w:pPr>
    </w:p>
    <w:p w14:paraId="04E6C499">
      <w:pPr>
        <w:pageBreakBefore w:val="0"/>
        <w:topLinePunct w:val="0"/>
        <w:bidi w:val="0"/>
        <w:spacing w:line="500" w:lineRule="exact"/>
        <w:ind w:left="0" w:leftChars="0" w:right="0"/>
        <w:rPr>
          <w:rFonts w:hint="eastAsia" w:ascii="宋体" w:hAnsi="宋体" w:eastAsia="宋体" w:cs="宋体"/>
          <w:color w:val="auto"/>
          <w:highlight w:val="none"/>
          <w:lang w:val="en-US" w:eastAsia="zh-CN"/>
        </w:rPr>
      </w:pPr>
      <w:r>
        <w:rPr>
          <w:rFonts w:hint="eastAsia" w:ascii="宋体" w:hAnsi="宋体" w:eastAsia="宋体" w:cs="宋体"/>
          <w:b/>
          <w:color w:val="auto"/>
          <w:kern w:val="2"/>
          <w:sz w:val="28"/>
          <w:highlight w:val="none"/>
          <w:lang w:val="en-US" w:eastAsia="zh-CN" w:bidi="ar-SA"/>
        </w:rPr>
        <w:br w:type="page"/>
      </w:r>
    </w:p>
    <w:bookmarkEnd w:id="386"/>
    <w:bookmarkEnd w:id="387"/>
    <w:bookmarkEnd w:id="388"/>
    <w:p w14:paraId="45213E2F">
      <w:pPr>
        <w:pStyle w:val="4"/>
        <w:keepNext/>
        <w:keepLines/>
        <w:pageBreakBefore w:val="0"/>
        <w:widowControl w:val="0"/>
        <w:kinsoku/>
        <w:wordWrap/>
        <w:overflowPunct/>
        <w:topLinePunct w:val="0"/>
        <w:autoSpaceDE/>
        <w:autoSpaceDN/>
        <w:bidi w:val="0"/>
        <w:adjustRightInd/>
        <w:snapToGrid/>
        <w:spacing w:before="0" w:after="0" w:afterAutospacing="0" w:line="500" w:lineRule="exact"/>
        <w:ind w:left="0" w:leftChars="0" w:right="0"/>
        <w:textAlignment w:val="auto"/>
        <w:rPr>
          <w:rFonts w:hint="eastAsia" w:ascii="宋体" w:hAnsi="宋体" w:eastAsia="宋体" w:cs="宋体"/>
          <w:b/>
          <w:bCs/>
          <w:color w:val="auto"/>
          <w:kern w:val="0"/>
          <w:sz w:val="24"/>
          <w:szCs w:val="24"/>
          <w:highlight w:val="none"/>
          <w:lang w:val="en-US" w:eastAsia="zh-CN" w:bidi="ar"/>
        </w:rPr>
      </w:pPr>
      <w:bookmarkStart w:id="389" w:name="_Toc26089"/>
      <w:bookmarkStart w:id="390" w:name="_Toc13955"/>
      <w:bookmarkStart w:id="391" w:name="_Toc22446"/>
      <w:bookmarkStart w:id="392" w:name="_Toc15272"/>
      <w:bookmarkStart w:id="393" w:name="_Toc22274"/>
      <w:bookmarkStart w:id="394" w:name="_Toc27301"/>
      <w:r>
        <w:rPr>
          <w:rFonts w:hint="eastAsia" w:ascii="宋体" w:hAnsi="宋体" w:eastAsia="宋体" w:cs="宋体"/>
          <w:color w:val="auto"/>
          <w:highlight w:val="none"/>
          <w:lang w:val="en-US" w:eastAsia="zh-CN"/>
        </w:rPr>
        <w:t>11、非联合体投标声明</w:t>
      </w:r>
      <w:bookmarkEnd w:id="389"/>
      <w:bookmarkEnd w:id="390"/>
      <w:bookmarkEnd w:id="391"/>
      <w:bookmarkEnd w:id="392"/>
      <w:bookmarkEnd w:id="393"/>
      <w:bookmarkEnd w:id="394"/>
    </w:p>
    <w:p w14:paraId="38B705A6">
      <w:pPr>
        <w:pageBreakBefore w:val="0"/>
        <w:topLinePunct w:val="0"/>
        <w:bidi w:val="0"/>
        <w:spacing w:beforeAutospacing="0" w:afterAutospacing="0" w:line="500" w:lineRule="exact"/>
        <w:ind w:left="0" w:leftChars="0" w:right="0" w:firstLine="0" w:firstLineChars="0"/>
        <w:jc w:val="center"/>
        <w:rPr>
          <w:rFonts w:hint="eastAsia" w:ascii="宋体" w:hAnsi="宋体" w:eastAsia="宋体" w:cs="宋体"/>
          <w:color w:val="auto"/>
          <w:spacing w:val="10"/>
          <w:sz w:val="29"/>
          <w:szCs w:val="29"/>
          <w:highlight w:val="none"/>
          <w14:textOutline w14:w="5448" w14:cap="sq" w14:cmpd="sng">
            <w14:solidFill>
              <w14:srgbClr w14:val="000000"/>
            </w14:solidFill>
            <w14:prstDash w14:val="solid"/>
            <w14:bevel/>
          </w14:textOutline>
        </w:rPr>
      </w:pPr>
      <w:r>
        <w:rPr>
          <w:rFonts w:hint="eastAsia" w:ascii="宋体" w:hAnsi="宋体" w:eastAsia="宋体" w:cs="宋体"/>
          <w:color w:val="auto"/>
          <w:spacing w:val="10"/>
          <w:sz w:val="29"/>
          <w:szCs w:val="29"/>
          <w:highlight w:val="none"/>
          <w:lang w:val="en-US" w:eastAsia="zh-CN"/>
          <w14:textOutline w14:w="5448" w14:cap="sq" w14:cmpd="sng">
            <w14:solidFill>
              <w14:srgbClr w14:val="000000"/>
            </w14:solidFill>
            <w14:prstDash w14:val="solid"/>
            <w14:bevel/>
          </w14:textOutline>
        </w:rPr>
        <w:t>非联合体投标声明（格式）</w:t>
      </w:r>
    </w:p>
    <w:p w14:paraId="20C54802">
      <w:pPr>
        <w:keepNext w:val="0"/>
        <w:keepLines w:val="0"/>
        <w:pageBreakBefore w:val="0"/>
        <w:widowControl/>
        <w:suppressLineNumbers w:val="0"/>
        <w:topLinePunct w:val="0"/>
        <w:bidi w:val="0"/>
        <w:spacing w:beforeAutospacing="0" w:line="500" w:lineRule="exact"/>
        <w:ind w:left="0" w:leftChars="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本单位郑重声明，参加</w:t>
      </w:r>
      <w:r>
        <w:rPr>
          <w:rFonts w:hint="eastAsia" w:ascii="宋体" w:hAnsi="宋体" w:cs="宋体"/>
          <w:color w:val="auto"/>
          <w:kern w:val="0"/>
          <w:sz w:val="24"/>
          <w:szCs w:val="24"/>
          <w:highlight w:val="none"/>
          <w:lang w:val="en-US" w:eastAsia="zh-CN" w:bidi="ar"/>
        </w:rPr>
        <w:t>榆林腾达建诚信息咨询有限公司</w:t>
      </w:r>
      <w:r>
        <w:rPr>
          <w:rFonts w:hint="eastAsia" w:ascii="宋体" w:hAnsi="宋体" w:eastAsia="宋体" w:cs="宋体"/>
          <w:color w:val="auto"/>
          <w:kern w:val="0"/>
          <w:sz w:val="24"/>
          <w:szCs w:val="24"/>
          <w:highlight w:val="none"/>
          <w:lang w:val="en-US" w:eastAsia="zh-CN" w:bidi="ar"/>
        </w:rPr>
        <w:t>的项目名称:</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 xml:space="preserve">（项目编号：______）采购活动，为非联合体投标，本项目实施过程由本单位独立承担。 </w:t>
      </w:r>
    </w:p>
    <w:p w14:paraId="1971838E">
      <w:pPr>
        <w:keepNext w:val="0"/>
        <w:keepLines w:val="0"/>
        <w:pageBreakBefore w:val="0"/>
        <w:widowControl/>
        <w:suppressLineNumbers w:val="0"/>
        <w:topLinePunct w:val="0"/>
        <w:bidi w:val="0"/>
        <w:spacing w:line="500" w:lineRule="exact"/>
        <w:ind w:left="0" w:leftChars="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本单位对上述声明的真实性负责。如有虚假，将依法承担相应责任。 </w:t>
      </w:r>
    </w:p>
    <w:p w14:paraId="6930A01D">
      <w:pPr>
        <w:keepNext w:val="0"/>
        <w:keepLines w:val="0"/>
        <w:pageBreakBefore w:val="0"/>
        <w:widowControl/>
        <w:suppressLineNumbers w:val="0"/>
        <w:topLinePunct w:val="0"/>
        <w:bidi w:val="0"/>
        <w:spacing w:line="500" w:lineRule="exact"/>
        <w:ind w:left="0" w:leftChars="0" w:right="0" w:firstLine="480" w:firstLineChars="200"/>
        <w:jc w:val="left"/>
        <w:rPr>
          <w:rFonts w:hint="eastAsia" w:ascii="宋体" w:hAnsi="宋体" w:eastAsia="宋体" w:cs="宋体"/>
          <w:color w:val="auto"/>
          <w:kern w:val="0"/>
          <w:sz w:val="24"/>
          <w:szCs w:val="24"/>
          <w:highlight w:val="none"/>
          <w:lang w:val="en-US" w:eastAsia="zh-CN" w:bidi="ar"/>
        </w:rPr>
      </w:pPr>
    </w:p>
    <w:p w14:paraId="2AC2C32C">
      <w:pPr>
        <w:keepNext w:val="0"/>
        <w:keepLines w:val="0"/>
        <w:pageBreakBefore w:val="0"/>
        <w:widowControl w:val="0"/>
        <w:suppressLineNumbers w:val="0"/>
        <w:wordWrap w:val="0"/>
        <w:topLinePunct w:val="0"/>
        <w:bidi w:val="0"/>
        <w:spacing w:beforeAutospacing="0" w:afterAutospacing="0" w:line="500" w:lineRule="exact"/>
        <w:ind w:left="0" w:leftChars="0" w:right="0" w:firstLine="3840" w:firstLineChars="1600"/>
        <w:jc w:val="both"/>
        <w:rPr>
          <w:rFonts w:hint="eastAsia" w:ascii="宋体" w:hAnsi="宋体" w:eastAsia="宋体" w:cs="宋体"/>
          <w:color w:val="auto"/>
          <w:kern w:val="2"/>
          <w:sz w:val="24"/>
          <w:szCs w:val="20"/>
          <w:highlight w:val="none"/>
          <w:u w:val="single"/>
          <w:lang w:val="en-US" w:eastAsia="zh-CN" w:bidi="ar"/>
        </w:rPr>
      </w:pPr>
      <w:r>
        <w:rPr>
          <w:rFonts w:hint="eastAsia" w:ascii="宋体" w:hAnsi="宋体" w:eastAsia="宋体" w:cs="宋体"/>
          <w:color w:val="auto"/>
          <w:kern w:val="2"/>
          <w:sz w:val="24"/>
          <w:szCs w:val="20"/>
          <w:highlight w:val="none"/>
          <w:lang w:val="en-US" w:eastAsia="zh-CN" w:bidi="ar"/>
        </w:rPr>
        <w:t>供应商：</w:t>
      </w:r>
      <w:r>
        <w:rPr>
          <w:rFonts w:hint="eastAsia" w:ascii="宋体" w:hAnsi="宋体" w:eastAsia="宋体" w:cs="宋体"/>
          <w:color w:val="auto"/>
          <w:kern w:val="2"/>
          <w:sz w:val="24"/>
          <w:szCs w:val="20"/>
          <w:highlight w:val="none"/>
          <w:u w:val="single"/>
          <w:lang w:val="en-US" w:eastAsia="zh-CN" w:bidi="ar"/>
        </w:rPr>
        <w:t xml:space="preserve">      （盖公章）</w:t>
      </w:r>
    </w:p>
    <w:p w14:paraId="5910827D">
      <w:pPr>
        <w:keepNext w:val="0"/>
        <w:keepLines w:val="0"/>
        <w:pageBreakBefore w:val="0"/>
        <w:widowControl w:val="0"/>
        <w:suppressLineNumbers w:val="0"/>
        <w:topLinePunct w:val="0"/>
        <w:bidi w:val="0"/>
        <w:spacing w:beforeAutospacing="0" w:afterAutospacing="0" w:line="500" w:lineRule="exact"/>
        <w:ind w:left="0" w:leftChars="0" w:right="0"/>
        <w:jc w:val="both"/>
        <w:rPr>
          <w:rFonts w:hint="eastAsia" w:ascii="宋体" w:hAnsi="宋体" w:eastAsia="宋体" w:cs="宋体"/>
          <w:color w:val="auto"/>
          <w:kern w:val="2"/>
          <w:sz w:val="21"/>
          <w:szCs w:val="20"/>
          <w:highlight w:val="none"/>
          <w:lang w:val="en-US" w:eastAsia="zh-CN" w:bidi="ar"/>
        </w:rPr>
      </w:pPr>
    </w:p>
    <w:p w14:paraId="74C67866">
      <w:pPr>
        <w:keepNext w:val="0"/>
        <w:keepLines w:val="0"/>
        <w:pageBreakBefore w:val="0"/>
        <w:widowControl w:val="0"/>
        <w:suppressLineNumbers w:val="0"/>
        <w:wordWrap w:val="0"/>
        <w:topLinePunct w:val="0"/>
        <w:bidi w:val="0"/>
        <w:spacing w:beforeAutospacing="0" w:afterAutospacing="0" w:line="500" w:lineRule="exact"/>
        <w:ind w:left="0" w:leftChars="0" w:right="0" w:firstLine="3840" w:firstLineChars="1600"/>
        <w:jc w:val="both"/>
        <w:rPr>
          <w:rFonts w:hint="eastAsia" w:ascii="宋体" w:hAnsi="宋体" w:eastAsia="宋体" w:cs="宋体"/>
          <w:color w:val="auto"/>
          <w:kern w:val="2"/>
          <w:sz w:val="24"/>
          <w:szCs w:val="20"/>
          <w:highlight w:val="none"/>
          <w:lang w:val="en-US" w:eastAsia="zh-CN" w:bidi="ar"/>
        </w:rPr>
      </w:pPr>
      <w:r>
        <w:rPr>
          <w:rFonts w:hint="eastAsia" w:ascii="宋体" w:hAnsi="宋体" w:eastAsia="宋体" w:cs="宋体"/>
          <w:color w:val="auto"/>
          <w:kern w:val="2"/>
          <w:sz w:val="24"/>
          <w:szCs w:val="20"/>
          <w:highlight w:val="none"/>
          <w:lang w:val="en-US" w:eastAsia="zh-CN" w:bidi="ar"/>
        </w:rPr>
        <w:t>日期：   年   月   日</w:t>
      </w:r>
    </w:p>
    <w:p w14:paraId="72C50ABE">
      <w:pPr>
        <w:pageBreakBefore w:val="0"/>
        <w:topLinePunct w:val="0"/>
        <w:bidi w:val="0"/>
        <w:spacing w:line="500" w:lineRule="exact"/>
        <w:ind w:left="0" w:leftChars="0" w:right="0"/>
        <w:rPr>
          <w:rFonts w:hint="eastAsia" w:ascii="宋体" w:hAnsi="宋体" w:eastAsia="宋体" w:cs="宋体"/>
          <w:color w:val="auto"/>
          <w:kern w:val="2"/>
          <w:sz w:val="24"/>
          <w:szCs w:val="20"/>
          <w:highlight w:val="none"/>
          <w:lang w:val="en-US" w:eastAsia="zh-CN" w:bidi="ar"/>
        </w:rPr>
      </w:pPr>
      <w:r>
        <w:rPr>
          <w:rFonts w:hint="eastAsia" w:ascii="宋体" w:hAnsi="宋体" w:eastAsia="宋体" w:cs="宋体"/>
          <w:color w:val="auto"/>
          <w:kern w:val="2"/>
          <w:sz w:val="24"/>
          <w:szCs w:val="20"/>
          <w:highlight w:val="none"/>
          <w:lang w:val="en-US" w:eastAsia="zh-CN" w:bidi="ar"/>
        </w:rPr>
        <w:br w:type="page"/>
      </w:r>
    </w:p>
    <w:p w14:paraId="2DA5CA94">
      <w:pPr>
        <w:pageBreakBefore w:val="0"/>
        <w:topLinePunct w:val="0"/>
        <w:bidi w:val="0"/>
        <w:spacing w:line="500" w:lineRule="exact"/>
        <w:ind w:left="0" w:leftChars="0" w:right="0"/>
        <w:jc w:val="center"/>
        <w:rPr>
          <w:rFonts w:hint="eastAsia" w:ascii="宋体" w:hAnsi="宋体" w:eastAsia="宋体" w:cs="宋体"/>
          <w:color w:val="auto"/>
          <w:sz w:val="21"/>
          <w:highlight w:val="none"/>
        </w:rPr>
      </w:pPr>
      <w:r>
        <w:rPr>
          <w:rFonts w:hint="eastAsia" w:ascii="宋体" w:hAnsi="宋体" w:eastAsia="宋体" w:cs="宋体"/>
          <w:color w:val="auto"/>
          <w:spacing w:val="10"/>
          <w:sz w:val="29"/>
          <w:szCs w:val="29"/>
          <w:highlight w:val="none"/>
          <w14:textOutline w14:w="5448" w14:cap="sq" w14:cmpd="sng">
            <w14:solidFill>
              <w14:srgbClr w14:val="000000"/>
            </w14:solidFill>
            <w14:prstDash w14:val="solid"/>
            <w14:bevel/>
          </w14:textOutline>
        </w:rPr>
        <w:t>供应商企业关系关联承诺书</w:t>
      </w:r>
    </w:p>
    <w:p w14:paraId="7AD131EC">
      <w:pPr>
        <w:pageBreakBefore w:val="0"/>
        <w:topLinePunct w:val="0"/>
        <w:bidi w:val="0"/>
        <w:spacing w:line="500" w:lineRule="exact"/>
        <w:ind w:left="0" w:leftChars="0" w:right="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1、供应商股东及股权证明。</w:t>
      </w:r>
    </w:p>
    <w:p w14:paraId="0D2A8E84">
      <w:pPr>
        <w:pageBreakBefore w:val="0"/>
        <w:topLinePunct w:val="0"/>
        <w:bidi w:val="0"/>
        <w:spacing w:line="500" w:lineRule="exact"/>
        <w:ind w:right="0"/>
        <w:rPr>
          <w:rFonts w:hint="eastAsia" w:ascii="宋体" w:hAnsi="宋体" w:eastAsia="宋体" w:cs="宋体"/>
          <w:color w:val="auto"/>
          <w:sz w:val="24"/>
          <w:szCs w:val="24"/>
          <w:highlight w:val="none"/>
        </w:rPr>
      </w:pPr>
      <w:r>
        <w:rPr>
          <w:rFonts w:hint="eastAsia" w:ascii="宋体" w:hAnsi="宋体" w:eastAsia="宋体" w:cs="宋体"/>
          <w:color w:val="auto"/>
          <w:spacing w:val="21"/>
          <w:sz w:val="24"/>
          <w:szCs w:val="24"/>
          <w:highlight w:val="none"/>
        </w:rPr>
        <w:t>2</w:t>
      </w:r>
      <w:r>
        <w:rPr>
          <w:rFonts w:hint="eastAsia" w:ascii="宋体" w:hAnsi="宋体" w:eastAsia="宋体" w:cs="宋体"/>
          <w:color w:val="auto"/>
          <w:spacing w:val="11"/>
          <w:sz w:val="24"/>
          <w:szCs w:val="24"/>
          <w:highlight w:val="none"/>
        </w:rPr>
        <w:t>、供应商在本项目</w:t>
      </w:r>
      <w:r>
        <w:rPr>
          <w:rFonts w:hint="eastAsia" w:ascii="宋体" w:hAnsi="宋体" w:eastAsia="宋体" w:cs="宋体"/>
          <w:color w:val="auto"/>
          <w:spacing w:val="11"/>
          <w:sz w:val="24"/>
          <w:szCs w:val="24"/>
          <w:highlight w:val="none"/>
          <w:lang w:val="en-US" w:eastAsia="zh-CN"/>
        </w:rPr>
        <w:t>磋商</w:t>
      </w:r>
      <w:r>
        <w:rPr>
          <w:rFonts w:hint="eastAsia" w:ascii="宋体" w:hAnsi="宋体" w:eastAsia="宋体" w:cs="宋体"/>
          <w:color w:val="auto"/>
          <w:spacing w:val="11"/>
          <w:sz w:val="24"/>
          <w:szCs w:val="24"/>
          <w:highlight w:val="none"/>
        </w:rPr>
        <w:t>中，不存在与其它供应商负责人为同一人，有控股、管理等</w:t>
      </w:r>
      <w:r>
        <w:rPr>
          <w:rFonts w:hint="eastAsia" w:ascii="宋体" w:hAnsi="宋体" w:eastAsia="宋体" w:cs="宋体"/>
          <w:color w:val="auto"/>
          <w:spacing w:val="10"/>
          <w:sz w:val="24"/>
          <w:szCs w:val="24"/>
          <w:highlight w:val="none"/>
        </w:rPr>
        <w:t>关</w:t>
      </w:r>
      <w:r>
        <w:rPr>
          <w:rFonts w:hint="eastAsia" w:ascii="宋体" w:hAnsi="宋体" w:eastAsia="宋体" w:cs="宋体"/>
          <w:color w:val="auto"/>
          <w:spacing w:val="6"/>
          <w:sz w:val="24"/>
          <w:szCs w:val="24"/>
          <w:highlight w:val="none"/>
        </w:rPr>
        <w:t>联关系承诺。</w:t>
      </w:r>
    </w:p>
    <w:p w14:paraId="091C9468">
      <w:pPr>
        <w:pageBreakBefore w:val="0"/>
        <w:topLinePunct w:val="0"/>
        <w:bidi w:val="0"/>
        <w:spacing w:afterAutospacing="0" w:line="500" w:lineRule="exact"/>
        <w:ind w:left="0" w:leftChars="0" w:right="0"/>
        <w:rPr>
          <w:rFonts w:hint="eastAsia" w:ascii="宋体" w:hAnsi="宋体" w:eastAsia="宋体" w:cs="宋体"/>
          <w:color w:val="auto"/>
          <w:sz w:val="24"/>
          <w:szCs w:val="24"/>
          <w:highlight w:val="none"/>
        </w:rPr>
      </w:pPr>
      <w:r>
        <w:rPr>
          <w:rFonts w:hint="eastAsia" w:ascii="宋体" w:hAnsi="宋体" w:eastAsia="宋体" w:cs="宋体"/>
          <w:color w:val="auto"/>
          <w:spacing w:val="12"/>
          <w:position w:val="1"/>
          <w:sz w:val="24"/>
          <w:szCs w:val="24"/>
          <w:highlight w:val="none"/>
        </w:rPr>
        <w:t>2</w:t>
      </w:r>
      <w:r>
        <w:rPr>
          <w:rFonts w:hint="eastAsia" w:ascii="宋体" w:hAnsi="宋体" w:eastAsia="宋体" w:cs="宋体"/>
          <w:color w:val="auto"/>
          <w:spacing w:val="6"/>
          <w:position w:val="1"/>
          <w:sz w:val="24"/>
          <w:szCs w:val="24"/>
          <w:highlight w:val="none"/>
        </w:rPr>
        <w:t>-1、管理关系说明：</w:t>
      </w:r>
    </w:p>
    <w:p w14:paraId="47B3926C">
      <w:pPr>
        <w:pageBreakBefore w:val="0"/>
        <w:topLinePunct w:val="0"/>
        <w:bidi w:val="0"/>
        <w:spacing w:beforeAutospacing="0" w:line="500" w:lineRule="exact"/>
        <w:ind w:left="0" w:leftChars="0" w:right="0" w:firstLine="484"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我单位管理的具有独立法人的下属单位有：</w:t>
      </w:r>
      <w:r>
        <w:rPr>
          <w:rFonts w:hint="eastAsia" w:ascii="宋体" w:hAnsi="宋体" w:eastAsia="宋体" w:cs="宋体"/>
          <w:color w:val="auto"/>
          <w:spacing w:val="1"/>
          <w:sz w:val="24"/>
          <w:szCs w:val="24"/>
          <w:highlight w:val="none"/>
          <w:u w:val="single" w:color="auto"/>
        </w:rPr>
        <w:t xml:space="preserve"> </w:t>
      </w:r>
      <w:r>
        <w:rPr>
          <w:rFonts w:hint="eastAsia" w:ascii="宋体" w:hAnsi="宋体" w:eastAsia="宋体" w:cs="宋体"/>
          <w:color w:val="auto"/>
          <w:sz w:val="24"/>
          <w:szCs w:val="24"/>
          <w:highlight w:val="none"/>
          <w:u w:val="single" w:color="auto"/>
        </w:rPr>
        <w:t xml:space="preserve">               </w:t>
      </w:r>
      <w:r>
        <w:rPr>
          <w:rFonts w:hint="eastAsia" w:ascii="宋体" w:hAnsi="宋体" w:eastAsia="宋体" w:cs="宋体"/>
          <w:color w:val="auto"/>
          <w:sz w:val="24"/>
          <w:szCs w:val="24"/>
          <w:highlight w:val="none"/>
        </w:rPr>
        <w:t>。</w:t>
      </w:r>
    </w:p>
    <w:p w14:paraId="6C5A6D72">
      <w:pPr>
        <w:pageBreakBefore w:val="0"/>
        <w:topLinePunct w:val="0"/>
        <w:bidi w:val="0"/>
        <w:spacing w:afterAutospacing="0" w:line="500" w:lineRule="exact"/>
        <w:ind w:left="0" w:leftChars="0" w:right="0" w:firstLine="528"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我单</w:t>
      </w:r>
      <w:r>
        <w:rPr>
          <w:rFonts w:hint="eastAsia" w:ascii="宋体" w:hAnsi="宋体" w:eastAsia="宋体" w:cs="宋体"/>
          <w:color w:val="auto"/>
          <w:spacing w:val="6"/>
          <w:sz w:val="24"/>
          <w:szCs w:val="24"/>
          <w:highlight w:val="none"/>
        </w:rPr>
        <w:t>位的上级管理单位有</w:t>
      </w:r>
      <w:r>
        <w:rPr>
          <w:rFonts w:hint="eastAsia" w:ascii="宋体" w:hAnsi="宋体" w:eastAsia="宋体" w:cs="宋体"/>
          <w:color w:val="auto"/>
          <w:spacing w:val="6"/>
          <w:sz w:val="24"/>
          <w:szCs w:val="24"/>
          <w:highlight w:val="none"/>
          <w:u w:val="single" w:color="auto"/>
        </w:rPr>
        <w:t xml:space="preserve">              </w:t>
      </w:r>
      <w:r>
        <w:rPr>
          <w:rFonts w:hint="eastAsia" w:ascii="宋体" w:hAnsi="宋体" w:eastAsia="宋体" w:cs="宋体"/>
          <w:color w:val="auto"/>
          <w:spacing w:val="6"/>
          <w:sz w:val="24"/>
          <w:szCs w:val="24"/>
          <w:highlight w:val="none"/>
        </w:rPr>
        <w:t>。</w:t>
      </w:r>
    </w:p>
    <w:p w14:paraId="1FCD0415">
      <w:pPr>
        <w:pageBreakBefore w:val="0"/>
        <w:topLinePunct w:val="0"/>
        <w:bidi w:val="0"/>
        <w:spacing w:beforeAutospacing="0" w:afterAutospacing="0" w:line="500" w:lineRule="exact"/>
        <w:ind w:left="0" w:leftChars="0" w:right="0"/>
        <w:rPr>
          <w:rFonts w:hint="eastAsia" w:ascii="宋体" w:hAnsi="宋体" w:eastAsia="宋体" w:cs="宋体"/>
          <w:color w:val="auto"/>
          <w:sz w:val="24"/>
          <w:szCs w:val="24"/>
          <w:highlight w:val="none"/>
        </w:rPr>
      </w:pPr>
      <w:r>
        <w:rPr>
          <w:rFonts w:hint="eastAsia" w:ascii="宋体" w:hAnsi="宋体" w:eastAsia="宋体" w:cs="宋体"/>
          <w:color w:val="auto"/>
          <w:spacing w:val="12"/>
          <w:position w:val="1"/>
          <w:sz w:val="24"/>
          <w:szCs w:val="24"/>
          <w:highlight w:val="none"/>
        </w:rPr>
        <w:t>2</w:t>
      </w:r>
      <w:r>
        <w:rPr>
          <w:rFonts w:hint="eastAsia" w:ascii="宋体" w:hAnsi="宋体" w:eastAsia="宋体" w:cs="宋体"/>
          <w:color w:val="auto"/>
          <w:spacing w:val="6"/>
          <w:position w:val="1"/>
          <w:sz w:val="24"/>
          <w:szCs w:val="24"/>
          <w:highlight w:val="none"/>
        </w:rPr>
        <w:t>-2、股权关系说明：</w:t>
      </w:r>
    </w:p>
    <w:p w14:paraId="3C91AAC7">
      <w:pPr>
        <w:pageBreakBefore w:val="0"/>
        <w:topLinePunct w:val="0"/>
        <w:bidi w:val="0"/>
        <w:spacing w:beforeAutospacing="0" w:afterAutospacing="0" w:line="500" w:lineRule="exact"/>
        <w:ind w:left="0" w:leftChars="0" w:right="0" w:firstLine="520"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我</w:t>
      </w:r>
      <w:r>
        <w:rPr>
          <w:rFonts w:hint="eastAsia" w:ascii="宋体" w:hAnsi="宋体" w:eastAsia="宋体" w:cs="宋体"/>
          <w:color w:val="auto"/>
          <w:spacing w:val="6"/>
          <w:sz w:val="24"/>
          <w:szCs w:val="24"/>
          <w:highlight w:val="none"/>
        </w:rPr>
        <w:t>单位控股的单位有</w:t>
      </w:r>
      <w:r>
        <w:rPr>
          <w:rFonts w:hint="eastAsia" w:ascii="宋体" w:hAnsi="宋体" w:eastAsia="宋体" w:cs="宋体"/>
          <w:color w:val="auto"/>
          <w:spacing w:val="6"/>
          <w:sz w:val="24"/>
          <w:szCs w:val="24"/>
          <w:highlight w:val="none"/>
          <w:u w:val="single" w:color="auto"/>
        </w:rPr>
        <w:t xml:space="preserve">              </w:t>
      </w:r>
      <w:r>
        <w:rPr>
          <w:rFonts w:hint="eastAsia" w:ascii="宋体" w:hAnsi="宋体" w:eastAsia="宋体" w:cs="宋体"/>
          <w:color w:val="auto"/>
          <w:spacing w:val="6"/>
          <w:sz w:val="24"/>
          <w:szCs w:val="24"/>
          <w:highlight w:val="none"/>
        </w:rPr>
        <w:t>。</w:t>
      </w:r>
    </w:p>
    <w:p w14:paraId="6A58A46B">
      <w:pPr>
        <w:pageBreakBefore w:val="0"/>
        <w:topLinePunct w:val="0"/>
        <w:bidi w:val="0"/>
        <w:spacing w:beforeAutospacing="0" w:line="500" w:lineRule="exact"/>
        <w:ind w:left="0" w:leftChars="0" w:right="0" w:firstLine="484"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我单位被</w:t>
      </w:r>
      <w:r>
        <w:rPr>
          <w:rFonts w:hint="eastAsia" w:ascii="宋体" w:hAnsi="宋体" w:eastAsia="宋体" w:cs="宋体"/>
          <w:color w:val="auto"/>
          <w:spacing w:val="1"/>
          <w:sz w:val="24"/>
          <w:szCs w:val="24"/>
          <w:highlight w:val="none"/>
          <w:u w:val="single" w:color="auto"/>
        </w:rPr>
        <w:t xml:space="preserve">              </w:t>
      </w:r>
      <w:r>
        <w:rPr>
          <w:rFonts w:hint="eastAsia" w:ascii="宋体" w:hAnsi="宋体" w:eastAsia="宋体" w:cs="宋体"/>
          <w:color w:val="auto"/>
          <w:spacing w:val="1"/>
          <w:sz w:val="24"/>
          <w:szCs w:val="24"/>
          <w:highlight w:val="none"/>
        </w:rPr>
        <w:t xml:space="preserve"> 单位控股</w:t>
      </w:r>
      <w:r>
        <w:rPr>
          <w:rFonts w:hint="eastAsia" w:ascii="宋体" w:hAnsi="宋体" w:eastAsia="宋体" w:cs="宋体"/>
          <w:color w:val="auto"/>
          <w:sz w:val="24"/>
          <w:szCs w:val="24"/>
          <w:highlight w:val="none"/>
        </w:rPr>
        <w:t>。</w:t>
      </w:r>
    </w:p>
    <w:p w14:paraId="4A0A47DB">
      <w:pPr>
        <w:pageBreakBefore w:val="0"/>
        <w:topLinePunct w:val="0"/>
        <w:bidi w:val="0"/>
        <w:spacing w:afterAutospacing="0" w:line="500" w:lineRule="exact"/>
        <w:ind w:left="0" w:leftChars="0" w:right="0"/>
        <w:rPr>
          <w:rFonts w:hint="eastAsia" w:ascii="宋体" w:hAnsi="宋体" w:eastAsia="宋体" w:cs="宋体"/>
          <w:color w:val="auto"/>
          <w:sz w:val="24"/>
          <w:szCs w:val="24"/>
          <w:highlight w:val="none"/>
        </w:rPr>
      </w:pPr>
      <w:r>
        <w:rPr>
          <w:rFonts w:hint="eastAsia" w:ascii="宋体" w:hAnsi="宋体" w:eastAsia="宋体" w:cs="宋体"/>
          <w:color w:val="auto"/>
          <w:spacing w:val="8"/>
          <w:position w:val="1"/>
          <w:sz w:val="24"/>
          <w:szCs w:val="24"/>
          <w:highlight w:val="none"/>
        </w:rPr>
        <w:t>2</w:t>
      </w:r>
      <w:r>
        <w:rPr>
          <w:rFonts w:hint="eastAsia" w:ascii="宋体" w:hAnsi="宋体" w:eastAsia="宋体" w:cs="宋体"/>
          <w:color w:val="auto"/>
          <w:spacing w:val="6"/>
          <w:position w:val="1"/>
          <w:sz w:val="24"/>
          <w:szCs w:val="24"/>
          <w:highlight w:val="none"/>
        </w:rPr>
        <w:t>-3、单位负责人：</w:t>
      </w:r>
    </w:p>
    <w:p w14:paraId="501A496B">
      <w:pPr>
        <w:pageBreakBefore w:val="0"/>
        <w:topLinePunct w:val="0"/>
        <w:bidi w:val="0"/>
        <w:spacing w:beforeAutospacing="0" w:afterAutospacing="0" w:line="500" w:lineRule="exact"/>
        <w:ind w:left="0" w:leftChars="0" w:right="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pacing w:val="14"/>
          <w:position w:val="1"/>
          <w:sz w:val="24"/>
          <w:szCs w:val="24"/>
          <w:highlight w:val="none"/>
        </w:rPr>
        <w:t>3</w:t>
      </w:r>
      <w:r>
        <w:rPr>
          <w:rFonts w:hint="eastAsia" w:ascii="宋体" w:hAnsi="宋体" w:eastAsia="宋体" w:cs="宋体"/>
          <w:color w:val="auto"/>
          <w:spacing w:val="8"/>
          <w:position w:val="1"/>
          <w:sz w:val="24"/>
          <w:szCs w:val="24"/>
          <w:highlight w:val="none"/>
        </w:rPr>
        <w:t>、其他与本项目有关的利害关系说明：</w:t>
      </w:r>
    </w:p>
    <w:p w14:paraId="55299A43">
      <w:pPr>
        <w:pageBreakBefore w:val="0"/>
        <w:topLinePunct w:val="0"/>
        <w:bidi w:val="0"/>
        <w:spacing w:beforeAutospacing="0" w:line="500" w:lineRule="exact"/>
        <w:ind w:left="0" w:leftChars="0" w:right="0" w:firstLine="520"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我</w:t>
      </w:r>
      <w:r>
        <w:rPr>
          <w:rFonts w:hint="eastAsia" w:ascii="宋体" w:hAnsi="宋体" w:eastAsia="宋体" w:cs="宋体"/>
          <w:color w:val="auto"/>
          <w:spacing w:val="9"/>
          <w:sz w:val="24"/>
          <w:szCs w:val="24"/>
          <w:highlight w:val="none"/>
        </w:rPr>
        <w:t>单位承诺以上说明真实有效，无虚假内容或隐瞒。</w:t>
      </w:r>
    </w:p>
    <w:p w14:paraId="412027F5">
      <w:pPr>
        <w:pageBreakBefore w:val="0"/>
        <w:topLinePunct w:val="0"/>
        <w:bidi w:val="0"/>
        <w:spacing w:line="500" w:lineRule="exact"/>
        <w:ind w:left="0" w:leftChars="0" w:right="0"/>
        <w:rPr>
          <w:rFonts w:hint="eastAsia" w:ascii="宋体" w:hAnsi="宋体" w:eastAsia="宋体" w:cs="宋体"/>
          <w:color w:val="auto"/>
          <w:sz w:val="24"/>
          <w:szCs w:val="24"/>
          <w:highlight w:val="none"/>
        </w:rPr>
      </w:pPr>
    </w:p>
    <w:p w14:paraId="3054E8D0">
      <w:pPr>
        <w:pageBreakBefore w:val="0"/>
        <w:topLinePunct w:val="0"/>
        <w:bidi w:val="0"/>
        <w:spacing w:line="500" w:lineRule="exact"/>
        <w:ind w:left="0" w:leftChars="0" w:right="0"/>
        <w:rPr>
          <w:rFonts w:hint="eastAsia" w:ascii="宋体" w:hAnsi="宋体" w:eastAsia="宋体" w:cs="宋体"/>
          <w:color w:val="auto"/>
          <w:sz w:val="24"/>
          <w:szCs w:val="24"/>
          <w:highlight w:val="none"/>
        </w:rPr>
      </w:pPr>
    </w:p>
    <w:p w14:paraId="3308899D">
      <w:pPr>
        <w:pageBreakBefore w:val="0"/>
        <w:topLinePunct w:val="0"/>
        <w:bidi w:val="0"/>
        <w:spacing w:line="500" w:lineRule="exact"/>
        <w:ind w:left="0" w:leftChars="0" w:right="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lang w:val="en-US" w:eastAsia="zh-CN"/>
        </w:rPr>
        <w:t>供应商</w:t>
      </w:r>
      <w:r>
        <w:rPr>
          <w:rFonts w:hint="eastAsia" w:ascii="宋体" w:hAnsi="宋体" w:eastAsia="宋体" w:cs="宋体"/>
          <w:color w:val="auto"/>
          <w:spacing w:val="-3"/>
          <w:sz w:val="24"/>
          <w:szCs w:val="24"/>
          <w:highlight w:val="none"/>
        </w:rPr>
        <w:t>：(公章</w:t>
      </w:r>
      <w:r>
        <w:rPr>
          <w:rFonts w:hint="eastAsia" w:ascii="宋体" w:hAnsi="宋体" w:eastAsia="宋体" w:cs="宋体"/>
          <w:color w:val="auto"/>
          <w:spacing w:val="-2"/>
          <w:sz w:val="24"/>
          <w:szCs w:val="24"/>
          <w:highlight w:val="none"/>
        </w:rPr>
        <w:t>)</w:t>
      </w:r>
    </w:p>
    <w:p w14:paraId="1A798873">
      <w:pPr>
        <w:pageBreakBefore w:val="0"/>
        <w:topLinePunct w:val="0"/>
        <w:bidi w:val="0"/>
        <w:spacing w:line="500" w:lineRule="exact"/>
        <w:ind w:left="0" w:leftChars="0" w:right="0"/>
        <w:rPr>
          <w:rFonts w:hint="eastAsia" w:ascii="宋体" w:hAnsi="宋体" w:eastAsia="宋体" w:cs="宋体"/>
          <w:color w:val="auto"/>
          <w:sz w:val="24"/>
          <w:szCs w:val="24"/>
          <w:highlight w:val="none"/>
        </w:rPr>
      </w:pPr>
    </w:p>
    <w:p w14:paraId="5218364D">
      <w:pPr>
        <w:pageBreakBefore w:val="0"/>
        <w:topLinePunct w:val="0"/>
        <w:bidi w:val="0"/>
        <w:spacing w:line="500" w:lineRule="exact"/>
        <w:ind w:left="0" w:leftChars="0" w:right="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日期：</w:t>
      </w:r>
      <w:r>
        <w:rPr>
          <w:rFonts w:hint="eastAsia" w:ascii="宋体" w:hAnsi="宋体" w:eastAsia="宋体" w:cs="宋体"/>
          <w:color w:val="auto"/>
          <w:spacing w:val="-1"/>
          <w:sz w:val="24"/>
          <w:szCs w:val="24"/>
          <w:highlight w:val="none"/>
        </w:rPr>
        <w:t xml:space="preserve">    年    月    日</w:t>
      </w:r>
    </w:p>
    <w:p w14:paraId="60CA7D2E">
      <w:pPr>
        <w:keepNext w:val="0"/>
        <w:keepLines w:val="0"/>
        <w:pageBreakBefore w:val="0"/>
        <w:widowControl w:val="0"/>
        <w:suppressLineNumbers w:val="0"/>
        <w:wordWrap w:val="0"/>
        <w:topLinePunct w:val="0"/>
        <w:bidi w:val="0"/>
        <w:spacing w:beforeAutospacing="0" w:afterAutospacing="0" w:line="500" w:lineRule="exact"/>
        <w:ind w:left="0" w:leftChars="0" w:right="0" w:firstLine="3840" w:firstLineChars="1600"/>
        <w:jc w:val="both"/>
        <w:rPr>
          <w:rFonts w:hint="eastAsia" w:ascii="宋体" w:hAnsi="宋体" w:eastAsia="宋体" w:cs="宋体"/>
          <w:color w:val="auto"/>
          <w:kern w:val="2"/>
          <w:sz w:val="24"/>
          <w:szCs w:val="20"/>
          <w:highlight w:val="none"/>
          <w:lang w:val="en-US" w:eastAsia="zh-CN" w:bidi="ar"/>
        </w:rPr>
      </w:pPr>
    </w:p>
    <w:p w14:paraId="3FE1EDB1">
      <w:pPr>
        <w:pageBreakBefore w:val="0"/>
        <w:topLinePunct w:val="0"/>
        <w:bidi w:val="0"/>
        <w:spacing w:line="500" w:lineRule="exact"/>
        <w:ind w:left="0" w:leftChars="0" w:right="0"/>
        <w:rPr>
          <w:rFonts w:hint="eastAsia" w:ascii="宋体" w:hAnsi="宋体" w:eastAsia="宋体" w:cs="宋体"/>
          <w:color w:val="auto"/>
          <w:kern w:val="2"/>
          <w:sz w:val="24"/>
          <w:szCs w:val="20"/>
          <w:highlight w:val="none"/>
          <w:lang w:val="en-US" w:eastAsia="zh-CN" w:bidi="ar"/>
        </w:rPr>
      </w:pPr>
      <w:r>
        <w:rPr>
          <w:rFonts w:hint="eastAsia" w:ascii="宋体" w:hAnsi="宋体" w:eastAsia="宋体" w:cs="宋体"/>
          <w:color w:val="auto"/>
          <w:kern w:val="2"/>
          <w:sz w:val="24"/>
          <w:szCs w:val="20"/>
          <w:highlight w:val="none"/>
          <w:lang w:val="en-US" w:eastAsia="zh-CN" w:bidi="ar"/>
        </w:rPr>
        <w:br w:type="page"/>
      </w:r>
    </w:p>
    <w:bookmarkEnd w:id="256"/>
    <w:bookmarkEnd w:id="257"/>
    <w:p w14:paraId="13379DAA">
      <w:pPr>
        <w:keepNext w:val="0"/>
        <w:keepLines w:val="0"/>
        <w:pageBreakBefore w:val="0"/>
        <w:widowControl w:val="0"/>
        <w:kinsoku/>
        <w:wordWrap/>
        <w:overflowPunct/>
        <w:topLinePunct w:val="0"/>
        <w:autoSpaceDE/>
        <w:autoSpaceDN/>
        <w:bidi w:val="0"/>
        <w:adjustRightInd/>
        <w:snapToGrid/>
        <w:spacing w:line="500" w:lineRule="exact"/>
        <w:ind w:left="0" w:leftChars="0" w:right="0"/>
        <w:jc w:val="center"/>
        <w:textAlignment w:val="auto"/>
        <w:rPr>
          <w:rFonts w:hint="eastAsia" w:ascii="宋体" w:hAnsi="宋体" w:eastAsia="宋体" w:cs="宋体"/>
          <w:color w:val="auto"/>
          <w:sz w:val="40"/>
          <w:szCs w:val="40"/>
          <w:highlight w:val="none"/>
        </w:rPr>
      </w:pPr>
      <w:bookmarkStart w:id="395" w:name="_Toc25962"/>
      <w:bookmarkStart w:id="396" w:name="_Toc22735"/>
      <w:bookmarkStart w:id="397" w:name="_Toc19151"/>
      <w:bookmarkStart w:id="398" w:name="_Toc23920"/>
      <w:bookmarkStart w:id="399" w:name="_Toc12700"/>
      <w:bookmarkStart w:id="400" w:name="_Toc20182"/>
      <w:bookmarkStart w:id="401" w:name="_Toc4766"/>
      <w:bookmarkStart w:id="402" w:name="_Toc311415658"/>
      <w:bookmarkStart w:id="403" w:name="_Toc2908"/>
      <w:bookmarkStart w:id="404" w:name="_Toc347478747"/>
      <w:bookmarkStart w:id="405" w:name="_Toc12277"/>
      <w:bookmarkStart w:id="406" w:name="_Toc12268"/>
      <w:bookmarkStart w:id="407" w:name="_Toc283240497"/>
      <w:bookmarkStart w:id="408" w:name="_Toc334522292"/>
      <w:bookmarkStart w:id="409" w:name="_Toc19883"/>
      <w:bookmarkStart w:id="410" w:name="_Toc356814675"/>
      <w:bookmarkStart w:id="411" w:name="_Toc19460"/>
      <w:bookmarkStart w:id="412" w:name="_Toc30946"/>
      <w:bookmarkStart w:id="413" w:name="_Toc312789404"/>
      <w:r>
        <w:rPr>
          <w:rFonts w:hint="eastAsia" w:ascii="宋体" w:hAnsi="宋体" w:eastAsia="宋体" w:cs="宋体"/>
          <w:b/>
          <w:bCs/>
          <w:color w:val="auto"/>
          <w:sz w:val="32"/>
          <w:szCs w:val="32"/>
          <w:highlight w:val="none"/>
          <w:lang w:val="en-US" w:eastAsia="zh-CN"/>
        </w:rPr>
        <w:t>供应商</w:t>
      </w:r>
      <w:r>
        <w:rPr>
          <w:rFonts w:hint="eastAsia" w:ascii="宋体" w:hAnsi="宋体" w:eastAsia="宋体" w:cs="宋体"/>
          <w:b/>
          <w:bCs/>
          <w:color w:val="auto"/>
          <w:sz w:val="32"/>
          <w:szCs w:val="32"/>
          <w:highlight w:val="none"/>
        </w:rPr>
        <w:t>信用承诺书</w:t>
      </w:r>
    </w:p>
    <w:p w14:paraId="336449C9">
      <w:pPr>
        <w:keepNext w:val="0"/>
        <w:keepLines w:val="0"/>
        <w:pageBreakBefore w:val="0"/>
        <w:widowControl/>
        <w:kinsoku/>
        <w:wordWrap/>
        <w:overflowPunct/>
        <w:topLinePunct w:val="0"/>
        <w:autoSpaceDE/>
        <w:autoSpaceDN/>
        <w:bidi w:val="0"/>
        <w:spacing w:line="500" w:lineRule="exact"/>
        <w:ind w:left="0" w:leftChars="0" w:right="0"/>
        <w:jc w:val="left"/>
        <w:textAlignment w:val="auto"/>
        <w:rPr>
          <w:rFonts w:hint="eastAsia" w:ascii="宋体" w:hAnsi="宋体" w:eastAsia="宋体" w:cs="宋体"/>
          <w:color w:val="auto"/>
          <w:kern w:val="0"/>
          <w:sz w:val="24"/>
          <w:highlight w:val="none"/>
          <w:u w:val="none"/>
          <w:lang w:val="en-US" w:eastAsia="zh-CN"/>
        </w:rPr>
      </w:pPr>
      <w:r>
        <w:rPr>
          <w:rFonts w:hint="eastAsia" w:ascii="宋体" w:hAnsi="宋体" w:eastAsia="宋体" w:cs="宋体"/>
          <w:color w:val="auto"/>
          <w:kern w:val="0"/>
          <w:sz w:val="24"/>
          <w:highlight w:val="none"/>
          <w:lang w:val="en-US" w:eastAsia="zh-CN"/>
        </w:rPr>
        <w:t>供应商</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u w:val="none"/>
          <w:lang w:val="en-US" w:eastAsia="zh-CN"/>
        </w:rPr>
        <w:t xml:space="preserve">      </w:t>
      </w:r>
    </w:p>
    <w:p w14:paraId="75888E36">
      <w:pPr>
        <w:keepNext w:val="0"/>
        <w:keepLines w:val="0"/>
        <w:pageBreakBefore w:val="0"/>
        <w:widowControl/>
        <w:kinsoku/>
        <w:wordWrap/>
        <w:overflowPunct/>
        <w:topLinePunct w:val="0"/>
        <w:autoSpaceDE/>
        <w:autoSpaceDN/>
        <w:bidi w:val="0"/>
        <w:spacing w:line="500" w:lineRule="exact"/>
        <w:ind w:left="0" w:leftChars="0" w:right="0"/>
        <w:jc w:val="left"/>
        <w:textAlignment w:val="auto"/>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统一社会信用代码：</w:t>
      </w:r>
      <w:r>
        <w:rPr>
          <w:rFonts w:hint="eastAsia" w:ascii="宋体" w:hAnsi="宋体" w:eastAsia="宋体" w:cs="宋体"/>
          <w:color w:val="auto"/>
          <w:kern w:val="0"/>
          <w:sz w:val="24"/>
          <w:highlight w:val="none"/>
          <w:lang w:val="en-US" w:eastAsia="zh-CN"/>
        </w:rPr>
        <w:t xml:space="preserve">                   </w:t>
      </w:r>
      <w:r>
        <w:rPr>
          <w:rFonts w:hint="eastAsia" w:ascii="宋体" w:hAnsi="宋体" w:eastAsia="宋体" w:cs="宋体"/>
          <w:color w:val="auto"/>
          <w:kern w:val="0"/>
          <w:sz w:val="24"/>
          <w:highlight w:val="none"/>
        </w:rPr>
        <w:t>法人代表：</w:t>
      </w:r>
    </w:p>
    <w:p w14:paraId="6746B1ED">
      <w:pPr>
        <w:keepNext w:val="0"/>
        <w:keepLines w:val="0"/>
        <w:pageBreakBefore w:val="0"/>
        <w:widowControl/>
        <w:kinsoku/>
        <w:wordWrap/>
        <w:overflowPunct/>
        <w:topLinePunct w:val="0"/>
        <w:autoSpaceDE/>
        <w:autoSpaceDN/>
        <w:bidi w:val="0"/>
        <w:spacing w:line="500" w:lineRule="exact"/>
        <w:ind w:left="0" w:leftChars="0" w:right="0"/>
        <w:jc w:val="left"/>
        <w:textAlignment w:val="auto"/>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承诺有效期限：</w:t>
      </w:r>
      <w:r>
        <w:rPr>
          <w:rFonts w:hint="eastAsia" w:ascii="宋体" w:hAnsi="宋体" w:eastAsia="宋体" w:cs="宋体"/>
          <w:color w:val="auto"/>
          <w:kern w:val="0"/>
          <w:sz w:val="24"/>
          <w:highlight w:val="none"/>
          <w:u w:val="single"/>
        </w:rPr>
        <w:t>202</w:t>
      </w:r>
      <w:r>
        <w:rPr>
          <w:rFonts w:hint="eastAsia" w:ascii="宋体" w:hAnsi="宋体" w:eastAsia="宋体" w:cs="宋体"/>
          <w:color w:val="auto"/>
          <w:kern w:val="0"/>
          <w:sz w:val="24"/>
          <w:highlight w:val="none"/>
          <w:u w:val="single"/>
          <w:lang w:val="en-US" w:eastAsia="zh-CN"/>
        </w:rPr>
        <w:t>5</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u w:val="single"/>
        </w:rPr>
        <w:t>月</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u w:val="single"/>
        </w:rPr>
        <w:t>日</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u w:val="single"/>
        </w:rPr>
        <w:t>202</w:t>
      </w:r>
      <w:r>
        <w:rPr>
          <w:rFonts w:hint="eastAsia" w:ascii="宋体" w:hAnsi="宋体" w:eastAsia="宋体" w:cs="宋体"/>
          <w:color w:val="auto"/>
          <w:kern w:val="0"/>
          <w:sz w:val="24"/>
          <w:highlight w:val="none"/>
          <w:u w:val="single"/>
          <w:lang w:val="en-US" w:eastAsia="zh-CN"/>
        </w:rPr>
        <w:t>6</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u w:val="single"/>
        </w:rPr>
        <w:t>月</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u w:val="single"/>
        </w:rPr>
        <w:t>日</w:t>
      </w:r>
    </w:p>
    <w:p w14:paraId="63F097F4">
      <w:pPr>
        <w:keepNext w:val="0"/>
        <w:keepLines w:val="0"/>
        <w:pageBreakBefore w:val="0"/>
        <w:widowControl/>
        <w:kinsoku/>
        <w:wordWrap/>
        <w:overflowPunct/>
        <w:topLinePunct w:val="0"/>
        <w:autoSpaceDE/>
        <w:autoSpaceDN/>
        <w:bidi w:val="0"/>
        <w:spacing w:line="500" w:lineRule="exact"/>
        <w:ind w:left="0" w:leftChars="0" w:right="0" w:firstLine="480" w:firstLineChars="200"/>
        <w:jc w:val="left"/>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在</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sz w:val="24"/>
          <w:highlight w:val="none"/>
          <w:u w:val="single"/>
        </w:rPr>
        <w:t>项目</w:t>
      </w:r>
      <w:r>
        <w:rPr>
          <w:rFonts w:hint="eastAsia" w:ascii="宋体" w:hAnsi="宋体" w:eastAsia="宋体" w:cs="宋体"/>
          <w:color w:val="auto"/>
          <w:sz w:val="24"/>
          <w:highlight w:val="none"/>
          <w:u w:val="single"/>
          <w:lang w:val="en-US" w:eastAsia="zh-CN"/>
        </w:rPr>
        <w:t xml:space="preserve">名称  </w:t>
      </w:r>
      <w:r>
        <w:rPr>
          <w:rFonts w:hint="eastAsia" w:ascii="宋体" w:hAnsi="宋体" w:eastAsia="宋体" w:cs="宋体"/>
          <w:color w:val="auto"/>
          <w:kern w:val="0"/>
          <w:sz w:val="24"/>
          <w:highlight w:val="none"/>
        </w:rPr>
        <w:t>招投标活动中，我公司（单位）郑重作出以下信用承诺：</w:t>
      </w:r>
    </w:p>
    <w:p w14:paraId="74C1310F">
      <w:pPr>
        <w:keepNext w:val="0"/>
        <w:keepLines w:val="0"/>
        <w:pageBreakBefore w:val="0"/>
        <w:widowControl/>
        <w:kinsoku/>
        <w:wordWrap/>
        <w:overflowPunct/>
        <w:topLinePunct w:val="0"/>
        <w:autoSpaceDE/>
        <w:autoSpaceDN/>
        <w:bidi w:val="0"/>
        <w:adjustRightInd w:val="0"/>
        <w:snapToGrid w:val="0"/>
        <w:spacing w:line="500" w:lineRule="exact"/>
        <w:ind w:left="0" w:leftChars="0" w:right="0" w:firstLine="480"/>
        <w:jc w:val="left"/>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5FFB2B8E">
      <w:pPr>
        <w:keepNext w:val="0"/>
        <w:keepLines w:val="0"/>
        <w:pageBreakBefore w:val="0"/>
        <w:widowControl/>
        <w:kinsoku/>
        <w:wordWrap/>
        <w:overflowPunct/>
        <w:topLinePunct w:val="0"/>
        <w:autoSpaceDE/>
        <w:autoSpaceDN/>
        <w:bidi w:val="0"/>
        <w:adjustRightInd w:val="0"/>
        <w:snapToGrid w:val="0"/>
        <w:spacing w:line="500" w:lineRule="exact"/>
        <w:ind w:left="0" w:leftChars="0" w:right="0" w:firstLine="480"/>
        <w:jc w:val="left"/>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（二）不得有以下违法违规行为：1.围标串标；以他人名义或者其他方式弄虚作假投标；出让出租资格、资质证书供他人投标；恶意竞标、强揽工程；以暴力、威胁、利诱等手段阻止或者控制其他潜在</w:t>
      </w:r>
      <w:r>
        <w:rPr>
          <w:rFonts w:hint="eastAsia" w:ascii="宋体" w:hAnsi="宋体" w:eastAsia="宋体" w:cs="宋体"/>
          <w:color w:val="auto"/>
          <w:kern w:val="0"/>
          <w:sz w:val="24"/>
          <w:highlight w:val="none"/>
          <w:lang w:eastAsia="zh-CN"/>
        </w:rPr>
        <w:t>供应商</w:t>
      </w:r>
      <w:r>
        <w:rPr>
          <w:rFonts w:hint="eastAsia" w:ascii="宋体" w:hAnsi="宋体" w:eastAsia="宋体" w:cs="宋体"/>
          <w:color w:val="auto"/>
          <w:kern w:val="0"/>
          <w:sz w:val="24"/>
          <w:highlight w:val="none"/>
        </w:rPr>
        <w:t>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0D584706">
      <w:pPr>
        <w:keepNext w:val="0"/>
        <w:keepLines w:val="0"/>
        <w:pageBreakBefore w:val="0"/>
        <w:widowControl/>
        <w:kinsoku/>
        <w:wordWrap/>
        <w:overflowPunct/>
        <w:topLinePunct w:val="0"/>
        <w:autoSpaceDE/>
        <w:autoSpaceDN/>
        <w:bidi w:val="0"/>
        <w:adjustRightInd w:val="0"/>
        <w:snapToGrid w:val="0"/>
        <w:spacing w:line="500" w:lineRule="exact"/>
        <w:ind w:left="0" w:leftChars="0" w:right="0" w:firstLine="480"/>
        <w:jc w:val="left"/>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（三）自愿接受招投标监督部门和有关行政监督部门的依法检查。</w:t>
      </w:r>
    </w:p>
    <w:p w14:paraId="19194042">
      <w:pPr>
        <w:keepNext w:val="0"/>
        <w:keepLines w:val="0"/>
        <w:pageBreakBefore w:val="0"/>
        <w:widowControl/>
        <w:kinsoku/>
        <w:wordWrap/>
        <w:overflowPunct/>
        <w:topLinePunct w:val="0"/>
        <w:autoSpaceDE/>
        <w:autoSpaceDN/>
        <w:bidi w:val="0"/>
        <w:adjustRightInd w:val="0"/>
        <w:snapToGrid w:val="0"/>
        <w:spacing w:line="500" w:lineRule="exact"/>
        <w:ind w:left="0" w:leftChars="0" w:right="0" w:firstLine="480"/>
        <w:jc w:val="left"/>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（四）同意将此信用承诺纳入陕西省公共信用信息平台和榆林市公共信用信息共享平台，并上网公示，接受社会监督。</w:t>
      </w:r>
    </w:p>
    <w:p w14:paraId="0D87831B">
      <w:pPr>
        <w:keepNext w:val="0"/>
        <w:keepLines w:val="0"/>
        <w:pageBreakBefore w:val="0"/>
        <w:widowControl/>
        <w:kinsoku/>
        <w:wordWrap/>
        <w:overflowPunct/>
        <w:topLinePunct w:val="0"/>
        <w:autoSpaceDE/>
        <w:autoSpaceDN/>
        <w:bidi w:val="0"/>
        <w:adjustRightInd w:val="0"/>
        <w:snapToGrid w:val="0"/>
        <w:spacing w:line="500" w:lineRule="exact"/>
        <w:ind w:left="0" w:leftChars="0" w:right="0" w:firstLine="480"/>
        <w:jc w:val="left"/>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73DCFF3B">
      <w:pPr>
        <w:keepNext w:val="0"/>
        <w:keepLines w:val="0"/>
        <w:pageBreakBefore w:val="0"/>
        <w:widowControl/>
        <w:tabs>
          <w:tab w:val="left" w:pos="4395"/>
        </w:tabs>
        <w:kinsoku/>
        <w:wordWrap/>
        <w:overflowPunct/>
        <w:topLinePunct w:val="0"/>
        <w:autoSpaceDE/>
        <w:autoSpaceDN/>
        <w:bidi w:val="0"/>
        <w:adjustRightInd w:val="0"/>
        <w:snapToGrid w:val="0"/>
        <w:spacing w:line="500" w:lineRule="exact"/>
        <w:ind w:left="0" w:leftChars="0" w:right="0"/>
        <w:jc w:val="left"/>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w:t>
      </w:r>
      <w:r>
        <w:rPr>
          <w:rFonts w:hint="eastAsia" w:ascii="宋体" w:hAnsi="宋体" w:eastAsia="宋体" w:cs="宋体"/>
          <w:color w:val="auto"/>
          <w:szCs w:val="24"/>
          <w:highlight w:val="none"/>
          <w:lang w:val="zh-CN"/>
        </w:rPr>
        <w:t>（签字或盖章）</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 xml:space="preserve">                    </w:t>
      </w:r>
      <w:r>
        <w:rPr>
          <w:rFonts w:hint="eastAsia" w:ascii="宋体" w:hAnsi="宋体" w:eastAsia="宋体" w:cs="宋体"/>
          <w:color w:val="auto"/>
          <w:kern w:val="0"/>
          <w:sz w:val="24"/>
          <w:highlight w:val="none"/>
          <w:lang w:eastAsia="zh-CN"/>
        </w:rPr>
        <w:t>供应商</w:t>
      </w:r>
      <w:r>
        <w:rPr>
          <w:rFonts w:hint="eastAsia" w:ascii="宋体" w:hAnsi="宋体" w:eastAsia="宋体" w:cs="宋体"/>
          <w:color w:val="auto"/>
          <w:kern w:val="0"/>
          <w:sz w:val="24"/>
          <w:highlight w:val="none"/>
        </w:rPr>
        <w:t>（盖章）：</w:t>
      </w:r>
    </w:p>
    <w:p w14:paraId="2927E4E7">
      <w:pPr>
        <w:keepNext w:val="0"/>
        <w:keepLines w:val="0"/>
        <w:pageBreakBefore w:val="0"/>
        <w:kinsoku/>
        <w:wordWrap/>
        <w:overflowPunct/>
        <w:topLinePunct w:val="0"/>
        <w:autoSpaceDE/>
        <w:autoSpaceDN/>
        <w:bidi w:val="0"/>
        <w:adjustRightInd w:val="0"/>
        <w:snapToGrid w:val="0"/>
        <w:spacing w:line="500" w:lineRule="exact"/>
        <w:ind w:left="0" w:leftChars="0" w:right="0"/>
        <w:jc w:val="center"/>
        <w:textAlignment w:val="auto"/>
        <w:rPr>
          <w:rFonts w:hint="eastAsia" w:ascii="宋体" w:hAnsi="宋体" w:eastAsia="宋体" w:cs="宋体"/>
          <w:color w:val="auto"/>
          <w:highlight w:val="none"/>
        </w:rPr>
      </w:pPr>
      <w:r>
        <w:rPr>
          <w:rFonts w:hint="eastAsia" w:ascii="宋体" w:hAnsi="宋体" w:eastAsia="宋体" w:cs="宋体"/>
          <w:color w:val="auto"/>
          <w:kern w:val="0"/>
          <w:sz w:val="24"/>
          <w:highlight w:val="none"/>
        </w:rPr>
        <w:t xml:space="preserve">                             承诺时间：</w:t>
      </w:r>
      <w:r>
        <w:rPr>
          <w:rFonts w:hint="eastAsia" w:ascii="宋体" w:hAnsi="宋体" w:eastAsia="宋体" w:cs="宋体"/>
          <w:color w:val="auto"/>
          <w:kern w:val="0"/>
          <w:sz w:val="24"/>
          <w:highlight w:val="none"/>
          <w:u w:val="single"/>
        </w:rPr>
        <w:t>202</w:t>
      </w:r>
      <w:r>
        <w:rPr>
          <w:rFonts w:hint="eastAsia" w:ascii="宋体" w:hAnsi="宋体" w:eastAsia="宋体" w:cs="宋体"/>
          <w:color w:val="auto"/>
          <w:kern w:val="0"/>
          <w:sz w:val="24"/>
          <w:highlight w:val="none"/>
          <w:u w:val="single"/>
          <w:lang w:val="en-US" w:eastAsia="zh-CN"/>
        </w:rPr>
        <w:t>5</w:t>
      </w:r>
      <w:r>
        <w:rPr>
          <w:rFonts w:hint="eastAsia" w:ascii="宋体" w:hAnsi="宋体" w:eastAsia="宋体" w:cs="宋体"/>
          <w:color w:val="auto"/>
          <w:kern w:val="0"/>
          <w:sz w:val="24"/>
          <w:highlight w:val="none"/>
          <w:u w:val="single"/>
        </w:rPr>
        <w:t>年</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u w:val="single"/>
        </w:rPr>
        <w:t>月</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u w:val="single"/>
        </w:rPr>
        <w:t>日</w:t>
      </w:r>
    </w:p>
    <w:p w14:paraId="775C43D9">
      <w:pPr>
        <w:pStyle w:val="14"/>
        <w:pageBreakBefore w:val="0"/>
        <w:topLinePunct w:val="0"/>
        <w:bidi w:val="0"/>
        <w:spacing w:line="500" w:lineRule="exact"/>
        <w:ind w:left="0" w:leftChars="0" w:right="0"/>
        <w:rPr>
          <w:rFonts w:hint="eastAsia" w:ascii="宋体" w:hAnsi="宋体" w:eastAsia="宋体" w:cs="宋体"/>
          <w:color w:val="auto"/>
          <w:kern w:val="0"/>
          <w:sz w:val="24"/>
          <w:highlight w:val="none"/>
          <w:u w:val="single"/>
        </w:rPr>
      </w:pPr>
    </w:p>
    <w:p w14:paraId="5EC9BECA">
      <w:pPr>
        <w:pageBreakBefore w:val="0"/>
        <w:topLinePunct w:val="0"/>
        <w:bidi w:val="0"/>
        <w:spacing w:line="500" w:lineRule="exact"/>
        <w:ind w:left="0" w:leftChars="0" w:right="0"/>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br w:type="page"/>
      </w:r>
    </w:p>
    <w:p w14:paraId="69493738">
      <w:pPr>
        <w:keepNext w:val="0"/>
        <w:keepLines w:val="0"/>
        <w:pageBreakBefore w:val="0"/>
        <w:widowControl w:val="0"/>
        <w:kinsoku/>
        <w:wordWrap/>
        <w:overflowPunct/>
        <w:topLinePunct w:val="0"/>
        <w:autoSpaceDE/>
        <w:autoSpaceDN/>
        <w:bidi w:val="0"/>
        <w:adjustRightInd/>
        <w:snapToGrid/>
        <w:spacing w:line="500" w:lineRule="exact"/>
        <w:ind w:left="0" w:leftChars="0" w:right="0"/>
        <w:jc w:val="center"/>
        <w:textAlignment w:val="auto"/>
        <w:rPr>
          <w:rFonts w:hint="eastAsia" w:ascii="宋体" w:hAnsi="宋体" w:eastAsia="宋体" w:cs="宋体"/>
          <w:color w:val="auto"/>
          <w:kern w:val="0"/>
          <w:sz w:val="24"/>
          <w:highlight w:val="none"/>
        </w:rPr>
      </w:pPr>
      <w:r>
        <w:rPr>
          <w:rFonts w:hint="eastAsia" w:ascii="宋体" w:hAnsi="宋体" w:eastAsia="宋体" w:cs="宋体"/>
          <w:b/>
          <w:bCs/>
          <w:color w:val="auto"/>
          <w:sz w:val="32"/>
          <w:szCs w:val="32"/>
          <w:highlight w:val="none"/>
          <w:lang w:val="en-US" w:eastAsia="zh-CN"/>
        </w:rPr>
        <w:t>供应商</w:t>
      </w:r>
      <w:r>
        <w:rPr>
          <w:rFonts w:hint="eastAsia" w:ascii="宋体" w:hAnsi="宋体" w:eastAsia="宋体" w:cs="宋体"/>
          <w:b/>
          <w:bCs/>
          <w:color w:val="auto"/>
          <w:sz w:val="32"/>
          <w:szCs w:val="32"/>
          <w:highlight w:val="none"/>
        </w:rPr>
        <w:t>委托代理人员信用承诺书</w:t>
      </w:r>
    </w:p>
    <w:p w14:paraId="08BC0CB4">
      <w:pPr>
        <w:keepNext w:val="0"/>
        <w:keepLines w:val="0"/>
        <w:pageBreakBefore w:val="0"/>
        <w:widowControl/>
        <w:kinsoku/>
        <w:wordWrap/>
        <w:overflowPunct/>
        <w:topLinePunct w:val="0"/>
        <w:autoSpaceDE/>
        <w:autoSpaceDN/>
        <w:bidi w:val="0"/>
        <w:spacing w:line="500" w:lineRule="exact"/>
        <w:ind w:left="0" w:leftChars="0" w:right="0" w:firstLine="480" w:firstLineChars="200"/>
        <w:jc w:val="left"/>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在</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sz w:val="24"/>
          <w:highlight w:val="none"/>
          <w:u w:val="single"/>
        </w:rPr>
        <w:t>项目</w:t>
      </w:r>
      <w:r>
        <w:rPr>
          <w:rFonts w:hint="eastAsia" w:ascii="宋体" w:hAnsi="宋体" w:eastAsia="宋体" w:cs="宋体"/>
          <w:color w:val="auto"/>
          <w:sz w:val="24"/>
          <w:highlight w:val="none"/>
          <w:u w:val="single"/>
          <w:lang w:val="en-US" w:eastAsia="zh-CN"/>
        </w:rPr>
        <w:t xml:space="preserve">名称 </w:t>
      </w:r>
      <w:r>
        <w:rPr>
          <w:rFonts w:hint="eastAsia" w:ascii="宋体" w:hAnsi="宋体" w:eastAsia="宋体" w:cs="宋体"/>
          <w:color w:val="auto"/>
          <w:kern w:val="0"/>
          <w:sz w:val="24"/>
          <w:highlight w:val="none"/>
        </w:rPr>
        <w:t>招投标活动中，我个人郑重作出以下信用承诺：</w:t>
      </w:r>
    </w:p>
    <w:p w14:paraId="39C24FE6">
      <w:pPr>
        <w:keepNext w:val="0"/>
        <w:keepLines w:val="0"/>
        <w:pageBreakBefore w:val="0"/>
        <w:widowControl/>
        <w:kinsoku/>
        <w:wordWrap/>
        <w:overflowPunct/>
        <w:topLinePunct w:val="0"/>
        <w:autoSpaceDE/>
        <w:autoSpaceDN/>
        <w:bidi w:val="0"/>
        <w:adjustRightInd w:val="0"/>
        <w:snapToGrid w:val="0"/>
        <w:spacing w:line="500" w:lineRule="exact"/>
        <w:ind w:left="0" w:leftChars="0" w:right="0" w:firstLine="480"/>
        <w:jc w:val="left"/>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（一）能严格遵守法律法规、职业道德和行业规范，具有独立承担民事责任的能力；无法律法规规定禁止开展从业活动情形。我所递交的文件资料合法、真实、准确、完整、有效，无弄虚作假等情形。</w:t>
      </w:r>
    </w:p>
    <w:p w14:paraId="27475D2A">
      <w:pPr>
        <w:keepNext w:val="0"/>
        <w:keepLines w:val="0"/>
        <w:pageBreakBefore w:val="0"/>
        <w:widowControl/>
        <w:kinsoku/>
        <w:wordWrap/>
        <w:overflowPunct/>
        <w:topLinePunct w:val="0"/>
        <w:autoSpaceDE/>
        <w:autoSpaceDN/>
        <w:bidi w:val="0"/>
        <w:adjustRightInd w:val="0"/>
        <w:snapToGrid w:val="0"/>
        <w:spacing w:line="500" w:lineRule="exact"/>
        <w:ind w:left="0" w:leftChars="0" w:right="0" w:firstLine="480"/>
        <w:jc w:val="left"/>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（二）不得有以下违法违规行为：1.围标串标；以他人名义或者其他方式弄虚作假投标；出让出租资格、资质证书供他人投标；恶意竞标、强揽工程；以暴力、威胁、利诱等手段阻止或者控制其他潜在</w:t>
      </w:r>
      <w:r>
        <w:rPr>
          <w:rFonts w:hint="eastAsia" w:ascii="宋体" w:hAnsi="宋体" w:eastAsia="宋体" w:cs="宋体"/>
          <w:color w:val="auto"/>
          <w:kern w:val="0"/>
          <w:sz w:val="24"/>
          <w:highlight w:val="none"/>
          <w:lang w:eastAsia="zh-CN"/>
        </w:rPr>
        <w:t>供应商</w:t>
      </w:r>
      <w:r>
        <w:rPr>
          <w:rFonts w:hint="eastAsia" w:ascii="宋体" w:hAnsi="宋体" w:eastAsia="宋体" w:cs="宋体"/>
          <w:color w:val="auto"/>
          <w:kern w:val="0"/>
          <w:sz w:val="24"/>
          <w:highlight w:val="none"/>
        </w:rPr>
        <w:t>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3E984154">
      <w:pPr>
        <w:keepNext w:val="0"/>
        <w:keepLines w:val="0"/>
        <w:pageBreakBefore w:val="0"/>
        <w:widowControl/>
        <w:kinsoku/>
        <w:wordWrap/>
        <w:overflowPunct/>
        <w:topLinePunct w:val="0"/>
        <w:autoSpaceDE/>
        <w:autoSpaceDN/>
        <w:bidi w:val="0"/>
        <w:adjustRightInd w:val="0"/>
        <w:snapToGrid w:val="0"/>
        <w:spacing w:line="500" w:lineRule="exact"/>
        <w:ind w:left="0" w:leftChars="0" w:right="0" w:firstLine="480"/>
        <w:jc w:val="left"/>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（三）自愿接受招投标监督部门和有关行政监督部门的依法检查。</w:t>
      </w:r>
    </w:p>
    <w:p w14:paraId="4752E21E">
      <w:pPr>
        <w:keepNext w:val="0"/>
        <w:keepLines w:val="0"/>
        <w:pageBreakBefore w:val="0"/>
        <w:widowControl/>
        <w:kinsoku/>
        <w:wordWrap/>
        <w:overflowPunct/>
        <w:topLinePunct w:val="0"/>
        <w:autoSpaceDE/>
        <w:autoSpaceDN/>
        <w:bidi w:val="0"/>
        <w:adjustRightInd w:val="0"/>
        <w:snapToGrid w:val="0"/>
        <w:spacing w:line="500" w:lineRule="exact"/>
        <w:ind w:left="0" w:leftChars="0" w:right="0" w:firstLine="480"/>
        <w:jc w:val="left"/>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（四）同意将此信用承诺纳入陕西省公共信用信息平台和榆林市公共信用信息共享平台，并接受社会监督。</w:t>
      </w:r>
    </w:p>
    <w:p w14:paraId="012B3FED">
      <w:pPr>
        <w:keepNext w:val="0"/>
        <w:keepLines w:val="0"/>
        <w:pageBreakBefore w:val="0"/>
        <w:widowControl/>
        <w:kinsoku/>
        <w:wordWrap/>
        <w:overflowPunct/>
        <w:topLinePunct w:val="0"/>
        <w:autoSpaceDE/>
        <w:autoSpaceDN/>
        <w:bidi w:val="0"/>
        <w:adjustRightInd w:val="0"/>
        <w:snapToGrid w:val="0"/>
        <w:spacing w:line="500" w:lineRule="exact"/>
        <w:ind w:left="0" w:leftChars="0" w:right="0" w:firstLine="480"/>
        <w:jc w:val="left"/>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4EC76F31">
      <w:pPr>
        <w:keepNext w:val="0"/>
        <w:keepLines w:val="0"/>
        <w:pageBreakBefore w:val="0"/>
        <w:widowControl/>
        <w:kinsoku/>
        <w:wordWrap/>
        <w:overflowPunct/>
        <w:topLinePunct w:val="0"/>
        <w:autoSpaceDE/>
        <w:autoSpaceDN/>
        <w:bidi w:val="0"/>
        <w:spacing w:line="500" w:lineRule="exact"/>
        <w:ind w:left="0" w:leftChars="0" w:right="0" w:firstLine="482"/>
        <w:jc w:val="left"/>
        <w:textAlignment w:val="auto"/>
        <w:rPr>
          <w:rFonts w:hint="eastAsia" w:ascii="宋体" w:hAnsi="宋体" w:eastAsia="宋体" w:cs="宋体"/>
          <w:color w:val="auto"/>
          <w:kern w:val="0"/>
          <w:sz w:val="24"/>
          <w:highlight w:val="none"/>
        </w:rPr>
      </w:pPr>
    </w:p>
    <w:p w14:paraId="56DD263A">
      <w:pPr>
        <w:keepNext w:val="0"/>
        <w:keepLines w:val="0"/>
        <w:pageBreakBefore w:val="0"/>
        <w:widowControl/>
        <w:kinsoku/>
        <w:wordWrap/>
        <w:overflowPunct/>
        <w:topLinePunct w:val="0"/>
        <w:autoSpaceDE/>
        <w:autoSpaceDN/>
        <w:bidi w:val="0"/>
        <w:spacing w:line="500" w:lineRule="exact"/>
        <w:ind w:left="0" w:leftChars="0" w:right="0" w:firstLine="482"/>
        <w:jc w:val="left"/>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承诺有效期限：202</w:t>
      </w:r>
      <w:r>
        <w:rPr>
          <w:rFonts w:hint="eastAsia" w:ascii="宋体" w:hAnsi="宋体" w:eastAsia="宋体" w:cs="宋体"/>
          <w:color w:val="auto"/>
          <w:kern w:val="0"/>
          <w:sz w:val="24"/>
          <w:highlight w:val="none"/>
          <w:lang w:val="en-US" w:eastAsia="zh-CN"/>
        </w:rPr>
        <w:t>5</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u w:val="single"/>
        </w:rPr>
        <w:t>月</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u w:val="single"/>
        </w:rPr>
        <w:t>日</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u w:val="single"/>
        </w:rPr>
        <w:t>202</w:t>
      </w:r>
      <w:r>
        <w:rPr>
          <w:rFonts w:hint="eastAsia" w:ascii="宋体" w:hAnsi="宋体" w:eastAsia="宋体" w:cs="宋体"/>
          <w:color w:val="auto"/>
          <w:kern w:val="0"/>
          <w:sz w:val="24"/>
          <w:highlight w:val="none"/>
          <w:u w:val="single"/>
          <w:lang w:val="en-US" w:eastAsia="zh-CN"/>
        </w:rPr>
        <w:t>6</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u w:val="single"/>
        </w:rPr>
        <w:t>月</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u w:val="single"/>
        </w:rPr>
        <w:t>日</w:t>
      </w:r>
    </w:p>
    <w:p w14:paraId="2F4A2912">
      <w:pPr>
        <w:keepNext w:val="0"/>
        <w:keepLines w:val="0"/>
        <w:pageBreakBefore w:val="0"/>
        <w:widowControl/>
        <w:kinsoku/>
        <w:wordWrap/>
        <w:overflowPunct/>
        <w:topLinePunct w:val="0"/>
        <w:autoSpaceDE/>
        <w:autoSpaceDN/>
        <w:bidi w:val="0"/>
        <w:spacing w:line="500" w:lineRule="exact"/>
        <w:ind w:left="0" w:leftChars="0" w:right="0" w:firstLine="482"/>
        <w:jc w:val="left"/>
        <w:textAlignment w:val="auto"/>
        <w:rPr>
          <w:rFonts w:hint="eastAsia" w:ascii="宋体" w:hAnsi="宋体" w:eastAsia="宋体" w:cs="宋体"/>
          <w:color w:val="auto"/>
          <w:kern w:val="0"/>
          <w:sz w:val="24"/>
          <w:highlight w:val="none"/>
          <w:u w:val="single"/>
          <w:lang w:val="en-US" w:eastAsia="zh-CN"/>
        </w:rPr>
      </w:pPr>
      <w:r>
        <w:rPr>
          <w:rFonts w:hint="eastAsia" w:ascii="宋体" w:hAnsi="宋体" w:eastAsia="宋体" w:cs="宋体"/>
          <w:color w:val="auto"/>
          <w:kern w:val="0"/>
          <w:sz w:val="24"/>
          <w:highlight w:val="none"/>
          <w:lang w:eastAsia="zh-CN"/>
        </w:rPr>
        <w:t>供应商</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u w:val="single"/>
          <w:lang w:val="en-US" w:eastAsia="zh-CN"/>
        </w:rPr>
        <w:t xml:space="preserve">                 </w:t>
      </w:r>
    </w:p>
    <w:p w14:paraId="780D81BA">
      <w:pPr>
        <w:keepNext w:val="0"/>
        <w:keepLines w:val="0"/>
        <w:pageBreakBefore w:val="0"/>
        <w:widowControl/>
        <w:kinsoku/>
        <w:wordWrap/>
        <w:overflowPunct/>
        <w:topLinePunct w:val="0"/>
        <w:autoSpaceDE/>
        <w:autoSpaceDN/>
        <w:bidi w:val="0"/>
        <w:spacing w:line="500" w:lineRule="exact"/>
        <w:ind w:left="0" w:leftChars="0" w:right="0" w:firstLine="482"/>
        <w:jc w:val="left"/>
        <w:textAlignment w:val="auto"/>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承诺人（签字）：</w:t>
      </w:r>
    </w:p>
    <w:p w14:paraId="70B9B306">
      <w:pPr>
        <w:keepNext w:val="0"/>
        <w:keepLines w:val="0"/>
        <w:pageBreakBefore w:val="0"/>
        <w:widowControl/>
        <w:kinsoku/>
        <w:wordWrap/>
        <w:overflowPunct/>
        <w:topLinePunct w:val="0"/>
        <w:autoSpaceDE/>
        <w:autoSpaceDN/>
        <w:bidi w:val="0"/>
        <w:spacing w:line="500" w:lineRule="exact"/>
        <w:ind w:left="0" w:leftChars="0" w:right="0" w:firstLine="482"/>
        <w:jc w:val="left"/>
        <w:textAlignment w:val="auto"/>
        <w:rPr>
          <w:rFonts w:hint="eastAsia" w:ascii="宋体" w:hAnsi="宋体" w:eastAsia="宋体" w:cs="宋体"/>
          <w:color w:val="auto"/>
          <w:kern w:val="0"/>
          <w:sz w:val="24"/>
          <w:highlight w:val="none"/>
          <w:u w:val="single"/>
        </w:rPr>
        <w:sectPr>
          <w:pgSz w:w="11905" w:h="16838"/>
          <w:pgMar w:top="1440" w:right="1080" w:bottom="1440" w:left="1080" w:header="1134" w:footer="1134" w:gutter="0"/>
          <w:pgBorders>
            <w:top w:val="none" w:sz="0" w:space="0"/>
            <w:left w:val="none" w:sz="0" w:space="0"/>
            <w:bottom w:val="none" w:sz="0" w:space="0"/>
            <w:right w:val="none" w:sz="0" w:space="0"/>
          </w:pgBorders>
          <w:pgNumType w:fmt="decimal"/>
          <w:cols w:space="0" w:num="1"/>
          <w:titlePg/>
          <w:docGrid w:linePitch="312" w:charSpace="0"/>
        </w:sectPr>
      </w:pPr>
      <w:r>
        <w:rPr>
          <w:rFonts w:hint="eastAsia" w:ascii="宋体" w:hAnsi="宋体" w:eastAsia="宋体" w:cs="宋体"/>
          <w:color w:val="auto"/>
          <w:kern w:val="0"/>
          <w:sz w:val="24"/>
          <w:highlight w:val="none"/>
        </w:rPr>
        <w:t>承诺时间：</w:t>
      </w:r>
      <w:r>
        <w:rPr>
          <w:rFonts w:hint="eastAsia" w:ascii="宋体" w:hAnsi="宋体" w:eastAsia="宋体" w:cs="宋体"/>
          <w:color w:val="auto"/>
          <w:kern w:val="0"/>
          <w:sz w:val="24"/>
          <w:highlight w:val="none"/>
          <w:u w:val="single"/>
        </w:rPr>
        <w:t>202</w:t>
      </w:r>
      <w:r>
        <w:rPr>
          <w:rFonts w:hint="eastAsia" w:ascii="宋体" w:hAnsi="宋体" w:eastAsia="宋体" w:cs="宋体"/>
          <w:color w:val="auto"/>
          <w:kern w:val="0"/>
          <w:sz w:val="24"/>
          <w:highlight w:val="none"/>
          <w:u w:val="single"/>
          <w:lang w:val="en-US" w:eastAsia="zh-CN"/>
        </w:rPr>
        <w:t>5</w:t>
      </w:r>
      <w:r>
        <w:rPr>
          <w:rFonts w:hint="eastAsia" w:ascii="宋体" w:hAnsi="宋体" w:eastAsia="宋体" w:cs="宋体"/>
          <w:color w:val="auto"/>
          <w:kern w:val="0"/>
          <w:sz w:val="24"/>
          <w:highlight w:val="none"/>
          <w:u w:val="single"/>
        </w:rPr>
        <w:t>年</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u w:val="single"/>
        </w:rPr>
        <w:t>月</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u w:val="single"/>
        </w:rPr>
        <w:t>日</w:t>
      </w:r>
    </w:p>
    <w:p w14:paraId="1EF832F9">
      <w:pPr>
        <w:pStyle w:val="3"/>
        <w:pageBreakBefore w:val="0"/>
        <w:topLinePunct w:val="0"/>
        <w:bidi w:val="0"/>
        <w:spacing w:before="0" w:after="0" w:line="500" w:lineRule="exact"/>
        <w:ind w:left="0" w:leftChars="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六、供应商承诺书</w:t>
      </w:r>
      <w:bookmarkEnd w:id="395"/>
      <w:bookmarkEnd w:id="396"/>
      <w:bookmarkEnd w:id="397"/>
      <w:bookmarkEnd w:id="398"/>
      <w:bookmarkEnd w:id="399"/>
      <w:bookmarkEnd w:id="400"/>
    </w:p>
    <w:p w14:paraId="021DDF7E">
      <w:pPr>
        <w:pageBreakBefore w:val="0"/>
        <w:topLinePunct w:val="0"/>
        <w:bidi w:val="0"/>
        <w:spacing w:afterAutospacing="0" w:line="500" w:lineRule="exact"/>
        <w:ind w:left="0" w:leftChars="0" w:right="0"/>
        <w:jc w:val="center"/>
        <w:rPr>
          <w:rFonts w:hint="eastAsia" w:ascii="宋体" w:hAnsi="宋体" w:eastAsia="宋体" w:cs="宋体"/>
          <w:b/>
          <w:bCs/>
          <w:color w:val="auto"/>
          <w:sz w:val="32"/>
          <w:szCs w:val="22"/>
          <w:highlight w:val="none"/>
          <w:lang w:val="en-US" w:eastAsia="zh-CN"/>
        </w:rPr>
      </w:pPr>
      <w:bookmarkStart w:id="414" w:name="_Toc19114"/>
      <w:bookmarkStart w:id="415" w:name="_Toc25526"/>
      <w:bookmarkStart w:id="416" w:name="_Toc1011"/>
      <w:bookmarkStart w:id="417" w:name="_Toc949"/>
      <w:bookmarkStart w:id="418" w:name="_Toc10728"/>
      <w:bookmarkStart w:id="419" w:name="_Toc15960"/>
      <w:bookmarkStart w:id="420" w:name="_Toc21986"/>
      <w:r>
        <w:rPr>
          <w:rFonts w:hint="eastAsia" w:ascii="宋体" w:hAnsi="宋体" w:eastAsia="宋体" w:cs="宋体"/>
          <w:b/>
          <w:bCs/>
          <w:color w:val="auto"/>
          <w:sz w:val="32"/>
          <w:szCs w:val="22"/>
          <w:highlight w:val="none"/>
          <w:lang w:val="en-US" w:eastAsia="zh-CN"/>
        </w:rPr>
        <w:t>陕西省政府采购供应商拒绝政府采购领域商业贿赂承诺书</w:t>
      </w:r>
      <w:bookmarkEnd w:id="414"/>
      <w:bookmarkEnd w:id="415"/>
      <w:bookmarkEnd w:id="416"/>
      <w:bookmarkEnd w:id="417"/>
      <w:bookmarkEnd w:id="418"/>
      <w:bookmarkEnd w:id="419"/>
      <w:bookmarkEnd w:id="420"/>
    </w:p>
    <w:p w14:paraId="17CFD0E5">
      <w:pPr>
        <w:pageBreakBefore w:val="0"/>
        <w:topLinePunct w:val="0"/>
        <w:bidi w:val="0"/>
        <w:spacing w:beforeAutospacing="0" w:afterAutospacing="0" w:line="500" w:lineRule="exact"/>
        <w:ind w:left="0" w:leftChars="0" w:right="0"/>
        <w:jc w:val="center"/>
        <w:rPr>
          <w:rFonts w:hint="eastAsia" w:ascii="宋体" w:hAnsi="宋体" w:eastAsia="宋体" w:cs="宋体"/>
          <w:b/>
          <w:bCs/>
          <w:color w:val="auto"/>
          <w:sz w:val="32"/>
          <w:szCs w:val="22"/>
          <w:highlight w:val="none"/>
          <w:lang w:val="en-US" w:eastAsia="zh-CN"/>
        </w:rPr>
      </w:pPr>
      <w:bookmarkStart w:id="421" w:name="_Toc28894"/>
      <w:bookmarkStart w:id="422" w:name="_Toc9568"/>
      <w:bookmarkStart w:id="423" w:name="_Toc1476"/>
      <w:bookmarkStart w:id="424" w:name="_Toc28410"/>
      <w:bookmarkStart w:id="425" w:name="_Toc16007"/>
      <w:bookmarkStart w:id="426" w:name="_Toc10986"/>
      <w:bookmarkStart w:id="427" w:name="_Toc5630"/>
      <w:r>
        <w:rPr>
          <w:rFonts w:hint="eastAsia" w:ascii="宋体" w:hAnsi="宋体" w:eastAsia="宋体" w:cs="宋体"/>
          <w:b/>
          <w:bCs/>
          <w:color w:val="auto"/>
          <w:sz w:val="32"/>
          <w:szCs w:val="22"/>
          <w:highlight w:val="none"/>
          <w:lang w:val="en-US" w:eastAsia="zh-CN"/>
        </w:rPr>
        <w:t>承诺书（一）</w:t>
      </w:r>
      <w:bookmarkEnd w:id="421"/>
      <w:bookmarkEnd w:id="422"/>
      <w:bookmarkEnd w:id="423"/>
      <w:bookmarkEnd w:id="424"/>
      <w:bookmarkEnd w:id="425"/>
      <w:bookmarkEnd w:id="426"/>
      <w:bookmarkEnd w:id="427"/>
    </w:p>
    <w:p w14:paraId="691CAD1D">
      <w:pPr>
        <w:pageBreakBefore w:val="0"/>
        <w:widowControl/>
        <w:shd w:val="clear"/>
        <w:topLinePunct w:val="0"/>
        <w:bidi w:val="0"/>
        <w:spacing w:beforeAutospacing="0" w:line="500" w:lineRule="exact"/>
        <w:ind w:left="0" w:leftChars="0" w:right="0"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为响应党中央、国务院关于治理政府采购领域商业贿赂行为的号召，我公司在此庄严承诺：</w:t>
      </w:r>
    </w:p>
    <w:p w14:paraId="594D6922">
      <w:pPr>
        <w:pageBreakBefore w:val="0"/>
        <w:widowControl/>
        <w:shd w:val="clear"/>
        <w:topLinePunct w:val="0"/>
        <w:bidi w:val="0"/>
        <w:spacing w:line="500" w:lineRule="exact"/>
        <w:ind w:left="0" w:leftChars="0" w:right="0"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 xml:space="preserve">  1、在参与政府采购活动中遵纪守法、诚信经营、公平竞标。</w:t>
      </w:r>
    </w:p>
    <w:p w14:paraId="7B47104C">
      <w:pPr>
        <w:pageBreakBefore w:val="0"/>
        <w:widowControl/>
        <w:shd w:val="clear"/>
        <w:topLinePunct w:val="0"/>
        <w:bidi w:val="0"/>
        <w:spacing w:line="500" w:lineRule="exact"/>
        <w:ind w:left="0" w:leftChars="0" w:right="0"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 xml:space="preserve">  2、不向政府采购人、采购代理机构和政府采购评审专家进行任何形式的商业贿赂以谋取交易机会。</w:t>
      </w:r>
    </w:p>
    <w:p w14:paraId="7B7EADE3">
      <w:pPr>
        <w:pageBreakBefore w:val="0"/>
        <w:widowControl/>
        <w:shd w:val="clear"/>
        <w:topLinePunct w:val="0"/>
        <w:bidi w:val="0"/>
        <w:spacing w:line="500" w:lineRule="exact"/>
        <w:ind w:left="0" w:leftChars="0" w:right="0"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 xml:space="preserve">  3、不向政府采购代理机构和采购人提供虚假资质文件或采用虚假应标方式参与政府采购市场竞争并谋取中标、成交。</w:t>
      </w:r>
    </w:p>
    <w:p w14:paraId="108D6150">
      <w:pPr>
        <w:pageBreakBefore w:val="0"/>
        <w:widowControl/>
        <w:shd w:val="clear"/>
        <w:topLinePunct w:val="0"/>
        <w:bidi w:val="0"/>
        <w:spacing w:line="500" w:lineRule="exact"/>
        <w:ind w:left="0" w:leftChars="0" w:right="0"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 xml:space="preserve">  4、不采取“围标、陪标”等商业欺诈手段获得政府采购定单。</w:t>
      </w:r>
    </w:p>
    <w:p w14:paraId="6994EC9D">
      <w:pPr>
        <w:pageBreakBefore w:val="0"/>
        <w:widowControl/>
        <w:shd w:val="clear"/>
        <w:topLinePunct w:val="0"/>
        <w:bidi w:val="0"/>
        <w:spacing w:line="500" w:lineRule="exact"/>
        <w:ind w:left="0" w:leftChars="0" w:right="0"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 xml:space="preserve">  5、不采取不正当手段诋毁、排挤其他供应商。</w:t>
      </w:r>
    </w:p>
    <w:p w14:paraId="55F4D09C">
      <w:pPr>
        <w:pageBreakBefore w:val="0"/>
        <w:widowControl/>
        <w:shd w:val="clear"/>
        <w:topLinePunct w:val="0"/>
        <w:bidi w:val="0"/>
        <w:spacing w:line="500" w:lineRule="exact"/>
        <w:ind w:left="0" w:leftChars="0" w:right="0"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 xml:space="preserve">  6、不在提供商品和服务时“偷梁换柱、以次充好”损害采购人的合法权益。</w:t>
      </w:r>
    </w:p>
    <w:p w14:paraId="4947E7E4">
      <w:pPr>
        <w:pageBreakBefore w:val="0"/>
        <w:widowControl/>
        <w:shd w:val="clear"/>
        <w:topLinePunct w:val="0"/>
        <w:bidi w:val="0"/>
        <w:spacing w:line="500" w:lineRule="exact"/>
        <w:ind w:left="0" w:leftChars="0" w:right="0"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 xml:space="preserve">  7、不与采购人、采购代理机构政府采购评审专家或其它供应商恶意串通，进行质疑和投诉，维护政府采购市场秩序。</w:t>
      </w:r>
    </w:p>
    <w:p w14:paraId="4034E697">
      <w:pPr>
        <w:pageBreakBefore w:val="0"/>
        <w:widowControl/>
        <w:shd w:val="clear"/>
        <w:topLinePunct w:val="0"/>
        <w:bidi w:val="0"/>
        <w:spacing w:line="500" w:lineRule="exact"/>
        <w:ind w:left="0" w:leftChars="0" w:right="0"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 xml:space="preserve">  8、尊重和接受政府采购监督管理部门的监督和政府采购代理机构招标采购要求，承担因违约行为给采购人造成的损失。</w:t>
      </w:r>
    </w:p>
    <w:p w14:paraId="2543D318">
      <w:pPr>
        <w:pageBreakBefore w:val="0"/>
        <w:widowControl/>
        <w:shd w:val="clear"/>
        <w:topLinePunct w:val="0"/>
        <w:bidi w:val="0"/>
        <w:spacing w:line="500" w:lineRule="exact"/>
        <w:ind w:left="0" w:leftChars="0" w:right="0" w:firstLine="480" w:firstLineChars="200"/>
        <w:jc w:val="left"/>
        <w:rPr>
          <w:rFonts w:hint="eastAsia" w:ascii="宋体" w:hAnsi="宋体" w:eastAsia="宋体" w:cs="宋体"/>
          <w:color w:val="auto"/>
          <w:highlight w:val="none"/>
          <w:lang w:eastAsia="zh-CN"/>
        </w:rPr>
      </w:pPr>
      <w:r>
        <w:rPr>
          <w:rFonts w:hint="eastAsia" w:ascii="宋体" w:hAnsi="宋体" w:eastAsia="宋体" w:cs="宋体"/>
          <w:color w:val="auto"/>
          <w:kern w:val="0"/>
          <w:sz w:val="24"/>
          <w:szCs w:val="20"/>
          <w:highlight w:val="none"/>
        </w:rPr>
        <w:t xml:space="preserve">  9、不发生其他有悖于政府采购公开、公平、公正和诚信原则的行为。</w:t>
      </w:r>
    </w:p>
    <w:p w14:paraId="3BACB6AB">
      <w:pPr>
        <w:pageBreakBefore w:val="0"/>
        <w:widowControl/>
        <w:shd w:val="clear"/>
        <w:topLinePunct w:val="0"/>
        <w:bidi w:val="0"/>
        <w:spacing w:line="500" w:lineRule="exact"/>
        <w:ind w:left="0" w:leftChars="0" w:right="0"/>
        <w:jc w:val="left"/>
        <w:rPr>
          <w:rFonts w:hint="eastAsia" w:ascii="宋体" w:hAnsi="宋体" w:eastAsia="宋体" w:cs="宋体"/>
          <w:color w:val="auto"/>
          <w:kern w:val="0"/>
          <w:sz w:val="24"/>
          <w:szCs w:val="20"/>
          <w:highlight w:val="none"/>
        </w:rPr>
      </w:pPr>
    </w:p>
    <w:p w14:paraId="02CAF956">
      <w:pPr>
        <w:pageBreakBefore w:val="0"/>
        <w:widowControl/>
        <w:shd w:val="clear"/>
        <w:topLinePunct w:val="0"/>
        <w:bidi w:val="0"/>
        <w:spacing w:line="500" w:lineRule="exact"/>
        <w:ind w:left="0" w:leftChars="0" w:right="0"/>
        <w:jc w:val="left"/>
        <w:rPr>
          <w:rFonts w:hint="eastAsia" w:ascii="宋体" w:hAnsi="宋体" w:eastAsia="宋体" w:cs="宋体"/>
          <w:color w:val="auto"/>
          <w:kern w:val="0"/>
          <w:sz w:val="24"/>
          <w:szCs w:val="20"/>
          <w:highlight w:val="none"/>
        </w:rPr>
      </w:pPr>
    </w:p>
    <w:p w14:paraId="1F1B8C50">
      <w:pPr>
        <w:pageBreakBefore w:val="0"/>
        <w:widowControl/>
        <w:shd w:val="clear"/>
        <w:topLinePunct w:val="0"/>
        <w:bidi w:val="0"/>
        <w:spacing w:line="500" w:lineRule="exact"/>
        <w:ind w:left="0" w:leftChars="0" w:right="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承诺单位名称：</w:t>
      </w:r>
      <w:r>
        <w:rPr>
          <w:rFonts w:hint="eastAsia" w:ascii="宋体" w:hAnsi="宋体" w:eastAsia="宋体" w:cs="宋体"/>
          <w:color w:val="auto"/>
          <w:kern w:val="0"/>
          <w:sz w:val="24"/>
          <w:szCs w:val="20"/>
          <w:highlight w:val="none"/>
          <w:u w:val="single"/>
        </w:rPr>
        <w:t xml:space="preserve">             </w:t>
      </w:r>
      <w:r>
        <w:rPr>
          <w:rFonts w:hint="eastAsia" w:ascii="宋体" w:hAnsi="宋体" w:eastAsia="宋体" w:cs="宋体"/>
          <w:color w:val="auto"/>
          <w:kern w:val="0"/>
          <w:sz w:val="24"/>
          <w:szCs w:val="20"/>
          <w:highlight w:val="none"/>
        </w:rPr>
        <w:t>（盖章）</w:t>
      </w:r>
    </w:p>
    <w:p w14:paraId="7AE3D3E4">
      <w:pPr>
        <w:pageBreakBefore w:val="0"/>
        <w:widowControl/>
        <w:shd w:val="clear"/>
        <w:topLinePunct w:val="0"/>
        <w:bidi w:val="0"/>
        <w:spacing w:line="500" w:lineRule="exact"/>
        <w:ind w:left="0" w:leftChars="0" w:right="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sz w:val="24"/>
          <w:szCs w:val="24"/>
          <w:highlight w:val="none"/>
        </w:rPr>
        <w:t>法定代表人或被授权人：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kern w:val="0"/>
          <w:sz w:val="24"/>
          <w:szCs w:val="20"/>
          <w:highlight w:val="none"/>
        </w:rPr>
        <w:t>（签字）</w:t>
      </w:r>
    </w:p>
    <w:p w14:paraId="4B3DA518">
      <w:pPr>
        <w:pageBreakBefore w:val="0"/>
        <w:widowControl/>
        <w:shd w:val="clear"/>
        <w:topLinePunct w:val="0"/>
        <w:bidi w:val="0"/>
        <w:spacing w:line="500" w:lineRule="exact"/>
        <w:ind w:left="0" w:leftChars="0" w:right="0"/>
        <w:jc w:val="left"/>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地址：</w:t>
      </w:r>
      <w:r>
        <w:rPr>
          <w:rFonts w:hint="eastAsia" w:ascii="宋体" w:hAnsi="宋体" w:eastAsia="宋体" w:cs="宋体"/>
          <w:color w:val="auto"/>
          <w:kern w:val="0"/>
          <w:sz w:val="24"/>
          <w:szCs w:val="20"/>
          <w:highlight w:val="none"/>
          <w:u w:val="single"/>
        </w:rPr>
        <w:t xml:space="preserve">             </w:t>
      </w:r>
    </w:p>
    <w:p w14:paraId="1C43DD2B">
      <w:pPr>
        <w:pageBreakBefore w:val="0"/>
        <w:widowControl/>
        <w:shd w:val="clear"/>
        <w:topLinePunct w:val="0"/>
        <w:bidi w:val="0"/>
        <w:spacing w:line="500" w:lineRule="exact"/>
        <w:ind w:left="0" w:leftChars="0" w:right="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邮编：</w:t>
      </w:r>
      <w:r>
        <w:rPr>
          <w:rFonts w:hint="eastAsia" w:ascii="宋体" w:hAnsi="宋体" w:eastAsia="宋体" w:cs="宋体"/>
          <w:color w:val="auto"/>
          <w:kern w:val="0"/>
          <w:sz w:val="24"/>
          <w:szCs w:val="20"/>
          <w:highlight w:val="none"/>
          <w:u w:val="single"/>
        </w:rPr>
        <w:t xml:space="preserve">             </w:t>
      </w:r>
    </w:p>
    <w:p w14:paraId="0470CA2F">
      <w:pPr>
        <w:pageBreakBefore w:val="0"/>
        <w:widowControl/>
        <w:shd w:val="clear"/>
        <w:topLinePunct w:val="0"/>
        <w:bidi w:val="0"/>
        <w:spacing w:line="500" w:lineRule="exact"/>
        <w:ind w:left="0" w:leftChars="0" w:right="0"/>
        <w:jc w:val="left"/>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电话：</w:t>
      </w:r>
      <w:r>
        <w:rPr>
          <w:rFonts w:hint="eastAsia" w:ascii="宋体" w:hAnsi="宋体" w:eastAsia="宋体" w:cs="宋体"/>
          <w:color w:val="auto"/>
          <w:kern w:val="0"/>
          <w:sz w:val="24"/>
          <w:szCs w:val="20"/>
          <w:highlight w:val="none"/>
          <w:u w:val="single"/>
        </w:rPr>
        <w:t xml:space="preserve">             </w:t>
      </w:r>
    </w:p>
    <w:p w14:paraId="1AD58A33">
      <w:pPr>
        <w:pageBreakBefore w:val="0"/>
        <w:widowControl/>
        <w:shd w:val="clear"/>
        <w:topLinePunct w:val="0"/>
        <w:bidi w:val="0"/>
        <w:spacing w:line="500" w:lineRule="exact"/>
        <w:ind w:left="0" w:leftChars="0" w:right="0"/>
        <w:jc w:val="left"/>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日期：</w:t>
      </w:r>
      <w:r>
        <w:rPr>
          <w:rFonts w:hint="eastAsia" w:ascii="宋体" w:hAnsi="宋体" w:eastAsia="宋体" w:cs="宋体"/>
          <w:color w:val="auto"/>
          <w:kern w:val="0"/>
          <w:sz w:val="24"/>
          <w:szCs w:val="20"/>
          <w:highlight w:val="none"/>
          <w:u w:val="single"/>
        </w:rPr>
        <w:t xml:space="preserve">             </w:t>
      </w:r>
    </w:p>
    <w:p w14:paraId="3117BE09">
      <w:pPr>
        <w:pageBreakBefore w:val="0"/>
        <w:topLinePunct w:val="0"/>
        <w:bidi w:val="0"/>
        <w:spacing w:line="500" w:lineRule="exact"/>
        <w:ind w:left="0" w:leftChars="0" w:right="0"/>
        <w:rPr>
          <w:rFonts w:hint="eastAsia" w:ascii="宋体" w:hAnsi="宋体" w:eastAsia="宋体" w:cs="宋体"/>
          <w:b/>
          <w:bCs/>
          <w:color w:val="auto"/>
          <w:sz w:val="32"/>
          <w:szCs w:val="22"/>
          <w:highlight w:val="none"/>
          <w:lang w:val="en-US" w:eastAsia="zh-CN"/>
        </w:rPr>
      </w:pPr>
      <w:bookmarkStart w:id="428" w:name="_Toc29291"/>
      <w:bookmarkStart w:id="429" w:name="_Toc32034"/>
      <w:bookmarkStart w:id="430" w:name="_Toc23094"/>
      <w:bookmarkStart w:id="431" w:name="_Toc1713"/>
      <w:bookmarkStart w:id="432" w:name="_Toc24969"/>
      <w:bookmarkStart w:id="433" w:name="_Toc32039"/>
      <w:bookmarkStart w:id="434" w:name="_Toc26673"/>
      <w:r>
        <w:rPr>
          <w:rFonts w:hint="eastAsia" w:ascii="宋体" w:hAnsi="宋体" w:eastAsia="宋体" w:cs="宋体"/>
          <w:b/>
          <w:bCs/>
          <w:color w:val="auto"/>
          <w:sz w:val="32"/>
          <w:szCs w:val="22"/>
          <w:highlight w:val="none"/>
          <w:lang w:val="en-US" w:eastAsia="zh-CN"/>
        </w:rPr>
        <w:br w:type="page"/>
      </w:r>
    </w:p>
    <w:p w14:paraId="0F6C9240">
      <w:pPr>
        <w:pageBreakBefore w:val="0"/>
        <w:topLinePunct w:val="0"/>
        <w:bidi w:val="0"/>
        <w:spacing w:beforeAutospacing="0" w:afterAutospacing="0" w:line="500" w:lineRule="exact"/>
        <w:ind w:left="0" w:leftChars="0" w:right="0"/>
        <w:jc w:val="center"/>
        <w:rPr>
          <w:rFonts w:hint="eastAsia" w:ascii="宋体" w:hAnsi="宋体" w:eastAsia="宋体" w:cs="宋体"/>
          <w:b/>
          <w:bCs/>
          <w:color w:val="auto"/>
          <w:sz w:val="32"/>
          <w:szCs w:val="22"/>
          <w:highlight w:val="none"/>
          <w:lang w:val="en-US" w:eastAsia="zh-CN"/>
        </w:rPr>
      </w:pPr>
      <w:r>
        <w:rPr>
          <w:rFonts w:hint="eastAsia" w:ascii="宋体" w:hAnsi="宋体" w:eastAsia="宋体" w:cs="宋体"/>
          <w:b/>
          <w:bCs/>
          <w:color w:val="auto"/>
          <w:sz w:val="32"/>
          <w:szCs w:val="22"/>
          <w:highlight w:val="none"/>
          <w:lang w:val="en-US" w:eastAsia="zh-CN"/>
        </w:rPr>
        <w:t>承诺书（二）</w:t>
      </w:r>
      <w:bookmarkEnd w:id="428"/>
      <w:bookmarkEnd w:id="429"/>
      <w:bookmarkEnd w:id="430"/>
      <w:bookmarkEnd w:id="431"/>
      <w:bookmarkEnd w:id="432"/>
      <w:bookmarkEnd w:id="433"/>
      <w:bookmarkEnd w:id="434"/>
    </w:p>
    <w:tbl>
      <w:tblPr>
        <w:tblStyle w:val="26"/>
        <w:tblW w:w="9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2"/>
        <w:gridCol w:w="3465"/>
        <w:gridCol w:w="2371"/>
      </w:tblGrid>
      <w:tr w14:paraId="798A2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9118" w:type="dxa"/>
            <w:gridSpan w:val="3"/>
            <w:vAlign w:val="center"/>
          </w:tcPr>
          <w:p w14:paraId="1877731B">
            <w:pPr>
              <w:pageBreakBefore w:val="0"/>
              <w:shd w:val="clear"/>
              <w:topLinePunct w:val="0"/>
              <w:bidi w:val="0"/>
              <w:spacing w:line="500" w:lineRule="exact"/>
              <w:ind w:left="0" w:leftChars="0" w:right="0"/>
              <w:rPr>
                <w:rFonts w:hint="eastAsia" w:ascii="宋体" w:hAnsi="宋体" w:eastAsia="宋体" w:cs="宋体"/>
                <w:color w:val="auto"/>
                <w:sz w:val="24"/>
                <w:szCs w:val="20"/>
                <w:highlight w:val="none"/>
                <w:lang w:eastAsia="zh-CN"/>
              </w:rPr>
            </w:pPr>
            <w:r>
              <w:rPr>
                <w:rFonts w:hint="eastAsia" w:ascii="宋体" w:hAnsi="宋体" w:eastAsia="宋体" w:cs="宋体"/>
                <w:color w:val="auto"/>
                <w:sz w:val="24"/>
                <w:szCs w:val="20"/>
                <w:highlight w:val="none"/>
              </w:rPr>
              <w:t>致：</w:t>
            </w:r>
            <w:r>
              <w:rPr>
                <w:rFonts w:hint="eastAsia" w:ascii="宋体" w:hAnsi="宋体" w:cs="宋体"/>
                <w:color w:val="auto"/>
                <w:sz w:val="24"/>
                <w:szCs w:val="20"/>
                <w:highlight w:val="none"/>
                <w:lang w:eastAsia="zh-CN"/>
              </w:rPr>
              <w:t>榆林腾达建诚信息咨询有限公司</w:t>
            </w:r>
          </w:p>
        </w:tc>
      </w:tr>
      <w:tr w14:paraId="06047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1" w:hRule="atLeast"/>
          <w:jc w:val="center"/>
        </w:trPr>
        <w:tc>
          <w:tcPr>
            <w:tcW w:w="9118" w:type="dxa"/>
            <w:gridSpan w:val="3"/>
            <w:vAlign w:val="center"/>
          </w:tcPr>
          <w:p w14:paraId="449EF9D3">
            <w:pPr>
              <w:pageBreakBefore w:val="0"/>
              <w:shd w:val="clear"/>
              <w:topLinePunct w:val="0"/>
              <w:bidi w:val="0"/>
              <w:spacing w:line="500" w:lineRule="exact"/>
              <w:ind w:left="0" w:leftChars="0" w:right="0" w:firstLine="480" w:firstLineChars="200"/>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作为参加贵公司组织的本次招标项目的供应商，本公司承诺：在参加本项目招标之前不存在被依法禁止经营行为、财产被接管或冻结的情况，如有隐瞒实情，愿承担一切责任及后果。</w:t>
            </w:r>
          </w:p>
        </w:tc>
      </w:tr>
      <w:tr w14:paraId="22A73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3282" w:type="dxa"/>
            <w:vAlign w:val="center"/>
          </w:tcPr>
          <w:p w14:paraId="007B9D6C">
            <w:pPr>
              <w:pageBreakBefore w:val="0"/>
              <w:shd w:val="clear"/>
              <w:topLinePunct w:val="0"/>
              <w:bidi w:val="0"/>
              <w:spacing w:line="500" w:lineRule="exact"/>
              <w:ind w:left="0" w:leftChars="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供应商</w:t>
            </w:r>
          </w:p>
        </w:tc>
        <w:tc>
          <w:tcPr>
            <w:tcW w:w="3465" w:type="dxa"/>
            <w:vAlign w:val="center"/>
          </w:tcPr>
          <w:p w14:paraId="4BA06494">
            <w:pPr>
              <w:pageBreakBefore w:val="0"/>
              <w:shd w:val="clear"/>
              <w:topLinePunct w:val="0"/>
              <w:bidi w:val="0"/>
              <w:spacing w:line="500" w:lineRule="exact"/>
              <w:ind w:left="0" w:leftChars="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法定代表人</w:t>
            </w:r>
          </w:p>
        </w:tc>
        <w:tc>
          <w:tcPr>
            <w:tcW w:w="2371" w:type="dxa"/>
            <w:vAlign w:val="center"/>
          </w:tcPr>
          <w:p w14:paraId="4E70CBC0">
            <w:pPr>
              <w:pageBreakBefore w:val="0"/>
              <w:shd w:val="clear"/>
              <w:topLinePunct w:val="0"/>
              <w:bidi w:val="0"/>
              <w:spacing w:line="500" w:lineRule="exact"/>
              <w:ind w:left="0" w:leftChars="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日  期</w:t>
            </w:r>
          </w:p>
        </w:tc>
      </w:tr>
      <w:tr w14:paraId="0370A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2" w:hRule="atLeast"/>
          <w:jc w:val="center"/>
        </w:trPr>
        <w:tc>
          <w:tcPr>
            <w:tcW w:w="3282" w:type="dxa"/>
            <w:vAlign w:val="center"/>
          </w:tcPr>
          <w:p w14:paraId="089FD963">
            <w:pPr>
              <w:pageBreakBefore w:val="0"/>
              <w:shd w:val="clear"/>
              <w:topLinePunct w:val="0"/>
              <w:bidi w:val="0"/>
              <w:spacing w:line="500" w:lineRule="exact"/>
              <w:ind w:left="0" w:leftChars="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（供应商名称）（公章）</w:t>
            </w:r>
          </w:p>
        </w:tc>
        <w:tc>
          <w:tcPr>
            <w:tcW w:w="3465" w:type="dxa"/>
            <w:vAlign w:val="center"/>
          </w:tcPr>
          <w:p w14:paraId="13E60367">
            <w:pPr>
              <w:pageBreakBefore w:val="0"/>
              <w:shd w:val="clear"/>
              <w:topLinePunct w:val="0"/>
              <w:bidi w:val="0"/>
              <w:spacing w:line="500" w:lineRule="exact"/>
              <w:ind w:left="0" w:leftChars="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（签字或盖章）</w:t>
            </w:r>
          </w:p>
        </w:tc>
        <w:tc>
          <w:tcPr>
            <w:tcW w:w="2371" w:type="dxa"/>
            <w:vAlign w:val="center"/>
          </w:tcPr>
          <w:p w14:paraId="3E5A6654">
            <w:pPr>
              <w:pageBreakBefore w:val="0"/>
              <w:shd w:val="clear"/>
              <w:topLinePunct w:val="0"/>
              <w:bidi w:val="0"/>
              <w:spacing w:line="500" w:lineRule="exact"/>
              <w:ind w:left="0" w:leftChars="0" w:right="0" w:firstLine="240" w:firstLineChars="10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年  月  日</w:t>
            </w:r>
          </w:p>
        </w:tc>
      </w:tr>
    </w:tbl>
    <w:p w14:paraId="7755074B">
      <w:pPr>
        <w:pageBreakBefore w:val="0"/>
        <w:topLinePunct w:val="0"/>
        <w:bidi w:val="0"/>
        <w:spacing w:beforeAutospacing="0" w:afterAutospacing="0" w:line="500" w:lineRule="exact"/>
        <w:ind w:left="0" w:leftChars="0" w:right="0"/>
        <w:jc w:val="center"/>
        <w:rPr>
          <w:rFonts w:hint="eastAsia" w:ascii="宋体" w:hAnsi="宋体" w:eastAsia="宋体" w:cs="宋体"/>
          <w:b/>
          <w:bCs/>
          <w:color w:val="auto"/>
          <w:sz w:val="32"/>
          <w:szCs w:val="22"/>
          <w:highlight w:val="none"/>
          <w:lang w:val="en-US" w:eastAsia="zh-CN"/>
        </w:rPr>
      </w:pPr>
      <w:bookmarkStart w:id="435" w:name="_Toc9733"/>
      <w:bookmarkStart w:id="436" w:name="_Toc22805"/>
      <w:bookmarkStart w:id="437" w:name="_Toc9114"/>
      <w:bookmarkStart w:id="438" w:name="_Toc678"/>
      <w:bookmarkStart w:id="439" w:name="_Toc21023"/>
      <w:bookmarkStart w:id="440" w:name="_Toc2901"/>
      <w:bookmarkStart w:id="441" w:name="_Toc3494"/>
    </w:p>
    <w:p w14:paraId="20E7021B">
      <w:pPr>
        <w:pageBreakBefore w:val="0"/>
        <w:topLinePunct w:val="0"/>
        <w:bidi w:val="0"/>
        <w:spacing w:beforeAutospacing="0" w:afterAutospacing="0" w:line="500" w:lineRule="exact"/>
        <w:ind w:left="0" w:leftChars="0" w:right="0"/>
        <w:jc w:val="center"/>
        <w:rPr>
          <w:rFonts w:hint="eastAsia" w:ascii="宋体" w:hAnsi="宋体" w:eastAsia="宋体" w:cs="宋体"/>
          <w:b/>
          <w:bCs/>
          <w:color w:val="auto"/>
          <w:sz w:val="32"/>
          <w:szCs w:val="22"/>
          <w:highlight w:val="none"/>
          <w:lang w:val="en-US" w:eastAsia="zh-CN"/>
        </w:rPr>
      </w:pPr>
      <w:r>
        <w:rPr>
          <w:rFonts w:hint="eastAsia" w:ascii="宋体" w:hAnsi="宋体" w:eastAsia="宋体" w:cs="宋体"/>
          <w:b/>
          <w:bCs/>
          <w:color w:val="auto"/>
          <w:sz w:val="32"/>
          <w:szCs w:val="22"/>
          <w:highlight w:val="none"/>
          <w:lang w:val="en-US" w:eastAsia="zh-CN"/>
        </w:rPr>
        <w:t>承诺书（三）</w:t>
      </w:r>
      <w:bookmarkEnd w:id="435"/>
      <w:bookmarkEnd w:id="436"/>
      <w:bookmarkEnd w:id="437"/>
      <w:bookmarkEnd w:id="438"/>
      <w:bookmarkEnd w:id="439"/>
      <w:bookmarkEnd w:id="440"/>
      <w:bookmarkEnd w:id="441"/>
    </w:p>
    <w:tbl>
      <w:tblPr>
        <w:tblStyle w:val="26"/>
        <w:tblW w:w="92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3"/>
        <w:gridCol w:w="3497"/>
        <w:gridCol w:w="2392"/>
      </w:tblGrid>
      <w:tr w14:paraId="724A5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9202" w:type="dxa"/>
            <w:gridSpan w:val="3"/>
            <w:vAlign w:val="center"/>
          </w:tcPr>
          <w:p w14:paraId="1DDA8897">
            <w:pPr>
              <w:pageBreakBefore w:val="0"/>
              <w:shd w:val="clear"/>
              <w:topLinePunct w:val="0"/>
              <w:bidi w:val="0"/>
              <w:spacing w:line="500" w:lineRule="exact"/>
              <w:ind w:left="0" w:leftChars="0" w:right="0"/>
              <w:rPr>
                <w:rFonts w:hint="eastAsia" w:ascii="宋体" w:hAnsi="宋体" w:eastAsia="宋体" w:cs="宋体"/>
                <w:color w:val="auto"/>
                <w:sz w:val="24"/>
                <w:szCs w:val="20"/>
                <w:highlight w:val="none"/>
                <w:lang w:eastAsia="zh-CN"/>
              </w:rPr>
            </w:pPr>
            <w:r>
              <w:rPr>
                <w:rFonts w:hint="eastAsia" w:ascii="宋体" w:hAnsi="宋体" w:eastAsia="宋体" w:cs="宋体"/>
                <w:color w:val="auto"/>
                <w:sz w:val="24"/>
                <w:szCs w:val="20"/>
                <w:highlight w:val="none"/>
              </w:rPr>
              <w:t>致：</w:t>
            </w:r>
            <w:r>
              <w:rPr>
                <w:rFonts w:hint="eastAsia" w:ascii="宋体" w:hAnsi="宋体" w:cs="宋体"/>
                <w:color w:val="auto"/>
                <w:sz w:val="24"/>
                <w:szCs w:val="20"/>
                <w:highlight w:val="none"/>
                <w:lang w:eastAsia="zh-CN"/>
              </w:rPr>
              <w:t>榆林腾达建诚信息咨询有限公司</w:t>
            </w:r>
          </w:p>
        </w:tc>
      </w:tr>
      <w:tr w14:paraId="16DA7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6" w:hRule="atLeast"/>
          <w:jc w:val="center"/>
        </w:trPr>
        <w:tc>
          <w:tcPr>
            <w:tcW w:w="9202" w:type="dxa"/>
            <w:gridSpan w:val="3"/>
            <w:vAlign w:val="center"/>
          </w:tcPr>
          <w:p w14:paraId="785B3F2C">
            <w:pPr>
              <w:pageBreakBefore w:val="0"/>
              <w:shd w:val="clear"/>
              <w:topLinePunct w:val="0"/>
              <w:bidi w:val="0"/>
              <w:spacing w:line="500" w:lineRule="exact"/>
              <w:ind w:left="0" w:leftChars="0" w:right="0" w:firstLine="480" w:firstLineChars="200"/>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作为参加贵公司组织的本次招标项目的供应商，本公司郑重申告并承诺：近三年受到有关行政主管部门的行政处理、不良行为记录为次（没有填零），如有隐瞒实情，愿承担一切责任及后果。</w:t>
            </w:r>
          </w:p>
        </w:tc>
      </w:tr>
      <w:tr w14:paraId="0DD3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3313" w:type="dxa"/>
            <w:vAlign w:val="center"/>
          </w:tcPr>
          <w:p w14:paraId="7D939BF1">
            <w:pPr>
              <w:pageBreakBefore w:val="0"/>
              <w:shd w:val="clear"/>
              <w:topLinePunct w:val="0"/>
              <w:bidi w:val="0"/>
              <w:spacing w:line="500" w:lineRule="exact"/>
              <w:ind w:left="0" w:leftChars="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供应商</w:t>
            </w:r>
          </w:p>
        </w:tc>
        <w:tc>
          <w:tcPr>
            <w:tcW w:w="3497" w:type="dxa"/>
            <w:vAlign w:val="center"/>
          </w:tcPr>
          <w:p w14:paraId="19E42C9E">
            <w:pPr>
              <w:pageBreakBefore w:val="0"/>
              <w:shd w:val="clear"/>
              <w:topLinePunct w:val="0"/>
              <w:bidi w:val="0"/>
              <w:spacing w:line="500" w:lineRule="exact"/>
              <w:ind w:left="0" w:leftChars="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法定代表人</w:t>
            </w:r>
          </w:p>
        </w:tc>
        <w:tc>
          <w:tcPr>
            <w:tcW w:w="2392" w:type="dxa"/>
            <w:vAlign w:val="center"/>
          </w:tcPr>
          <w:p w14:paraId="08C32963">
            <w:pPr>
              <w:pageBreakBefore w:val="0"/>
              <w:shd w:val="clear"/>
              <w:topLinePunct w:val="0"/>
              <w:bidi w:val="0"/>
              <w:spacing w:line="500" w:lineRule="exact"/>
              <w:ind w:left="0" w:leftChars="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日  期</w:t>
            </w:r>
          </w:p>
        </w:tc>
      </w:tr>
      <w:tr w14:paraId="34993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0" w:hRule="atLeast"/>
          <w:jc w:val="center"/>
        </w:trPr>
        <w:tc>
          <w:tcPr>
            <w:tcW w:w="3313" w:type="dxa"/>
            <w:vAlign w:val="center"/>
          </w:tcPr>
          <w:p w14:paraId="7AA872EF">
            <w:pPr>
              <w:pageBreakBefore w:val="0"/>
              <w:shd w:val="clear"/>
              <w:topLinePunct w:val="0"/>
              <w:bidi w:val="0"/>
              <w:spacing w:line="500" w:lineRule="exact"/>
              <w:ind w:left="0" w:leftChars="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（供应商名称）（公章）</w:t>
            </w:r>
          </w:p>
        </w:tc>
        <w:tc>
          <w:tcPr>
            <w:tcW w:w="3497" w:type="dxa"/>
            <w:vAlign w:val="center"/>
          </w:tcPr>
          <w:p w14:paraId="15B5C0F1">
            <w:pPr>
              <w:pageBreakBefore w:val="0"/>
              <w:shd w:val="clear"/>
              <w:topLinePunct w:val="0"/>
              <w:bidi w:val="0"/>
              <w:spacing w:line="500" w:lineRule="exact"/>
              <w:ind w:left="0" w:leftChars="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（签字或盖章）</w:t>
            </w:r>
          </w:p>
        </w:tc>
        <w:tc>
          <w:tcPr>
            <w:tcW w:w="2392" w:type="dxa"/>
            <w:vAlign w:val="center"/>
          </w:tcPr>
          <w:p w14:paraId="44FC9091">
            <w:pPr>
              <w:pageBreakBefore w:val="0"/>
              <w:shd w:val="clear"/>
              <w:topLinePunct w:val="0"/>
              <w:bidi w:val="0"/>
              <w:spacing w:line="500" w:lineRule="exact"/>
              <w:ind w:left="0" w:leftChars="0" w:right="0" w:firstLine="240" w:firstLineChars="10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年  月  日</w:t>
            </w:r>
          </w:p>
        </w:tc>
      </w:tr>
    </w:tbl>
    <w:p w14:paraId="1ACC5ED8">
      <w:pPr>
        <w:pageBreakBefore w:val="0"/>
        <w:shd w:val="clear"/>
        <w:topLinePunct w:val="0"/>
        <w:bidi w:val="0"/>
        <w:spacing w:line="500" w:lineRule="exact"/>
        <w:ind w:left="0" w:leftChars="0" w:right="0"/>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br w:type="page"/>
      </w:r>
    </w:p>
    <w:p w14:paraId="782765F9">
      <w:pPr>
        <w:pageBreakBefore w:val="0"/>
        <w:topLinePunct w:val="0"/>
        <w:bidi w:val="0"/>
        <w:spacing w:beforeAutospacing="0" w:afterAutospacing="0" w:line="500" w:lineRule="exact"/>
        <w:ind w:left="0" w:leftChars="0" w:right="0"/>
        <w:jc w:val="center"/>
        <w:rPr>
          <w:rFonts w:hint="eastAsia" w:ascii="宋体" w:hAnsi="宋体" w:eastAsia="宋体" w:cs="宋体"/>
          <w:b/>
          <w:color w:val="auto"/>
          <w:sz w:val="24"/>
          <w:szCs w:val="20"/>
          <w:highlight w:val="none"/>
        </w:rPr>
      </w:pPr>
      <w:bookmarkStart w:id="442" w:name="_Toc23303"/>
      <w:bookmarkStart w:id="443" w:name="_Toc18481"/>
      <w:bookmarkStart w:id="444" w:name="_Toc27234"/>
      <w:bookmarkStart w:id="445" w:name="_Toc13124"/>
      <w:bookmarkStart w:id="446" w:name="_Toc12990"/>
      <w:bookmarkStart w:id="447" w:name="_Toc24273"/>
      <w:bookmarkStart w:id="448" w:name="_Toc22104"/>
      <w:r>
        <w:rPr>
          <w:rFonts w:hint="eastAsia" w:ascii="宋体" w:hAnsi="宋体" w:eastAsia="宋体" w:cs="宋体"/>
          <w:b/>
          <w:bCs/>
          <w:color w:val="auto"/>
          <w:sz w:val="32"/>
          <w:szCs w:val="22"/>
          <w:highlight w:val="none"/>
          <w:lang w:val="en-US" w:eastAsia="zh-CN"/>
        </w:rPr>
        <w:t>承诺书（四）</w:t>
      </w:r>
      <w:bookmarkEnd w:id="442"/>
      <w:bookmarkEnd w:id="443"/>
      <w:bookmarkEnd w:id="444"/>
      <w:bookmarkEnd w:id="445"/>
      <w:bookmarkEnd w:id="446"/>
      <w:bookmarkEnd w:id="447"/>
      <w:bookmarkEnd w:id="448"/>
    </w:p>
    <w:tbl>
      <w:tblPr>
        <w:tblStyle w:val="26"/>
        <w:tblW w:w="91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8"/>
        <w:gridCol w:w="3471"/>
        <w:gridCol w:w="2376"/>
      </w:tblGrid>
      <w:tr w14:paraId="76965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9135" w:type="dxa"/>
            <w:gridSpan w:val="3"/>
            <w:vAlign w:val="center"/>
          </w:tcPr>
          <w:p w14:paraId="0BF987BF">
            <w:pPr>
              <w:pageBreakBefore w:val="0"/>
              <w:shd w:val="clear"/>
              <w:topLinePunct w:val="0"/>
              <w:bidi w:val="0"/>
              <w:spacing w:line="500" w:lineRule="exact"/>
              <w:ind w:left="0" w:leftChars="0" w:right="0"/>
              <w:rPr>
                <w:rFonts w:hint="eastAsia" w:ascii="宋体" w:hAnsi="宋体" w:eastAsia="宋体" w:cs="宋体"/>
                <w:color w:val="auto"/>
                <w:sz w:val="24"/>
                <w:szCs w:val="20"/>
                <w:highlight w:val="none"/>
                <w:lang w:eastAsia="zh-CN"/>
              </w:rPr>
            </w:pPr>
            <w:r>
              <w:rPr>
                <w:rFonts w:hint="eastAsia" w:ascii="宋体" w:hAnsi="宋体" w:eastAsia="宋体" w:cs="宋体"/>
                <w:color w:val="auto"/>
                <w:sz w:val="24"/>
                <w:szCs w:val="20"/>
                <w:highlight w:val="none"/>
              </w:rPr>
              <w:t>致：</w:t>
            </w:r>
            <w:r>
              <w:rPr>
                <w:rFonts w:hint="eastAsia" w:ascii="宋体" w:hAnsi="宋体" w:cs="宋体"/>
                <w:color w:val="auto"/>
                <w:sz w:val="24"/>
                <w:szCs w:val="20"/>
                <w:highlight w:val="none"/>
                <w:lang w:eastAsia="zh-CN"/>
              </w:rPr>
              <w:t>榆林腾达建诚信息咨询有限公司</w:t>
            </w:r>
          </w:p>
        </w:tc>
      </w:tr>
      <w:tr w14:paraId="475FD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7" w:hRule="atLeast"/>
          <w:jc w:val="center"/>
        </w:trPr>
        <w:tc>
          <w:tcPr>
            <w:tcW w:w="9135" w:type="dxa"/>
            <w:gridSpan w:val="3"/>
            <w:vAlign w:val="center"/>
          </w:tcPr>
          <w:p w14:paraId="27FB4598">
            <w:pPr>
              <w:pageBreakBefore w:val="0"/>
              <w:shd w:val="clear"/>
              <w:topLinePunct w:val="0"/>
              <w:bidi w:val="0"/>
              <w:spacing w:line="500" w:lineRule="exact"/>
              <w:ind w:left="0" w:leftChars="0" w:right="0" w:firstLine="480" w:firstLineChars="200"/>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作为参加贵公司组织的本次招标项目的供应商，本公司郑重申告：近三年因服务问题的不法行为记录为次（没有填零），如有隐瞒实情，愿承担一切责任及后果。</w:t>
            </w:r>
          </w:p>
          <w:p w14:paraId="3B9B6B33">
            <w:pPr>
              <w:pageBreakBefore w:val="0"/>
              <w:shd w:val="clear"/>
              <w:topLinePunct w:val="0"/>
              <w:bidi w:val="0"/>
              <w:spacing w:line="500" w:lineRule="exact"/>
              <w:ind w:left="0" w:leftChars="0" w:right="0" w:firstLine="480" w:firstLineChars="200"/>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本公司承诺：本次招标标的物为正品行货。</w:t>
            </w:r>
          </w:p>
        </w:tc>
      </w:tr>
      <w:tr w14:paraId="022B6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3288" w:type="dxa"/>
            <w:vAlign w:val="center"/>
          </w:tcPr>
          <w:p w14:paraId="070EC362">
            <w:pPr>
              <w:pageBreakBefore w:val="0"/>
              <w:shd w:val="clear"/>
              <w:topLinePunct w:val="0"/>
              <w:bidi w:val="0"/>
              <w:spacing w:line="500" w:lineRule="exact"/>
              <w:ind w:left="0" w:leftChars="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供应商</w:t>
            </w:r>
          </w:p>
        </w:tc>
        <w:tc>
          <w:tcPr>
            <w:tcW w:w="3471" w:type="dxa"/>
            <w:vAlign w:val="center"/>
          </w:tcPr>
          <w:p w14:paraId="6D96FB0E">
            <w:pPr>
              <w:pageBreakBefore w:val="0"/>
              <w:shd w:val="clear"/>
              <w:topLinePunct w:val="0"/>
              <w:bidi w:val="0"/>
              <w:spacing w:line="500" w:lineRule="exact"/>
              <w:ind w:left="0" w:leftChars="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法定代表人</w:t>
            </w:r>
          </w:p>
        </w:tc>
        <w:tc>
          <w:tcPr>
            <w:tcW w:w="2376" w:type="dxa"/>
            <w:vAlign w:val="center"/>
          </w:tcPr>
          <w:p w14:paraId="09394671">
            <w:pPr>
              <w:pageBreakBefore w:val="0"/>
              <w:shd w:val="clear"/>
              <w:topLinePunct w:val="0"/>
              <w:bidi w:val="0"/>
              <w:spacing w:line="500" w:lineRule="exact"/>
              <w:ind w:left="0" w:leftChars="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日   期</w:t>
            </w:r>
          </w:p>
        </w:tc>
      </w:tr>
      <w:tr w14:paraId="10F41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6" w:hRule="atLeast"/>
          <w:jc w:val="center"/>
        </w:trPr>
        <w:tc>
          <w:tcPr>
            <w:tcW w:w="3288" w:type="dxa"/>
            <w:vAlign w:val="center"/>
          </w:tcPr>
          <w:p w14:paraId="156B5F41">
            <w:pPr>
              <w:pageBreakBefore w:val="0"/>
              <w:shd w:val="clear"/>
              <w:topLinePunct w:val="0"/>
              <w:bidi w:val="0"/>
              <w:spacing w:line="500" w:lineRule="exact"/>
              <w:ind w:left="0" w:leftChars="0" w:right="0" w:firstLine="52" w:firstLineChars="22"/>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（供应商名称）（公章）</w:t>
            </w:r>
          </w:p>
        </w:tc>
        <w:tc>
          <w:tcPr>
            <w:tcW w:w="3471" w:type="dxa"/>
            <w:vAlign w:val="center"/>
          </w:tcPr>
          <w:p w14:paraId="70D7B56D">
            <w:pPr>
              <w:pageBreakBefore w:val="0"/>
              <w:shd w:val="clear"/>
              <w:topLinePunct w:val="0"/>
              <w:bidi w:val="0"/>
              <w:spacing w:line="500" w:lineRule="exact"/>
              <w:ind w:left="0" w:leftChars="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（签字或盖章）</w:t>
            </w:r>
          </w:p>
        </w:tc>
        <w:tc>
          <w:tcPr>
            <w:tcW w:w="2376" w:type="dxa"/>
            <w:vAlign w:val="center"/>
          </w:tcPr>
          <w:p w14:paraId="47EFFABD">
            <w:pPr>
              <w:pageBreakBefore w:val="0"/>
              <w:shd w:val="clear"/>
              <w:topLinePunct w:val="0"/>
              <w:bidi w:val="0"/>
              <w:spacing w:line="500" w:lineRule="exact"/>
              <w:ind w:left="0" w:leftChars="0" w:right="0" w:firstLine="240" w:firstLineChars="10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年  月  日</w:t>
            </w:r>
          </w:p>
        </w:tc>
      </w:tr>
    </w:tbl>
    <w:p w14:paraId="7AC2A459">
      <w:pPr>
        <w:pageBreakBefore w:val="0"/>
        <w:topLinePunct w:val="0"/>
        <w:bidi w:val="0"/>
        <w:spacing w:beforeAutospacing="0" w:afterAutospacing="0" w:line="500" w:lineRule="exact"/>
        <w:ind w:left="0" w:leftChars="0" w:right="0"/>
        <w:jc w:val="center"/>
        <w:rPr>
          <w:rFonts w:hint="eastAsia" w:ascii="宋体" w:hAnsi="宋体" w:eastAsia="宋体" w:cs="宋体"/>
          <w:b/>
          <w:bCs/>
          <w:color w:val="auto"/>
          <w:sz w:val="32"/>
          <w:szCs w:val="22"/>
          <w:highlight w:val="none"/>
          <w:lang w:val="en-US" w:eastAsia="zh-CN"/>
        </w:rPr>
      </w:pPr>
      <w:bookmarkStart w:id="449" w:name="_Toc26506"/>
      <w:bookmarkStart w:id="450" w:name="_Toc30478"/>
      <w:bookmarkStart w:id="451" w:name="_Toc16997"/>
      <w:bookmarkStart w:id="452" w:name="_Toc7119"/>
      <w:bookmarkStart w:id="453" w:name="_Toc32559"/>
      <w:bookmarkStart w:id="454" w:name="_Toc26339"/>
      <w:bookmarkStart w:id="455" w:name="_Toc18425"/>
    </w:p>
    <w:p w14:paraId="1B5E8DAF">
      <w:pPr>
        <w:pageBreakBefore w:val="0"/>
        <w:topLinePunct w:val="0"/>
        <w:bidi w:val="0"/>
        <w:spacing w:beforeAutospacing="0" w:afterAutospacing="0" w:line="500" w:lineRule="exact"/>
        <w:ind w:left="0" w:leftChars="0" w:right="0"/>
        <w:jc w:val="center"/>
        <w:rPr>
          <w:rFonts w:hint="eastAsia" w:ascii="宋体" w:hAnsi="宋体" w:eastAsia="宋体" w:cs="宋体"/>
          <w:b/>
          <w:bCs/>
          <w:color w:val="auto"/>
          <w:sz w:val="32"/>
          <w:szCs w:val="22"/>
          <w:highlight w:val="none"/>
          <w:lang w:val="en-US" w:eastAsia="zh-CN"/>
        </w:rPr>
      </w:pPr>
      <w:r>
        <w:rPr>
          <w:rFonts w:hint="eastAsia" w:ascii="宋体" w:hAnsi="宋体" w:eastAsia="宋体" w:cs="宋体"/>
          <w:b/>
          <w:bCs/>
          <w:color w:val="auto"/>
          <w:sz w:val="32"/>
          <w:szCs w:val="22"/>
          <w:highlight w:val="none"/>
          <w:lang w:val="en-US" w:eastAsia="zh-CN"/>
        </w:rPr>
        <w:t>承诺书（五）</w:t>
      </w:r>
      <w:bookmarkEnd w:id="449"/>
      <w:bookmarkEnd w:id="450"/>
      <w:bookmarkEnd w:id="451"/>
      <w:bookmarkEnd w:id="452"/>
      <w:bookmarkEnd w:id="453"/>
      <w:bookmarkEnd w:id="454"/>
      <w:bookmarkEnd w:id="455"/>
    </w:p>
    <w:tbl>
      <w:tblPr>
        <w:tblStyle w:val="26"/>
        <w:tblpPr w:leftFromText="180" w:rightFromText="180" w:vertAnchor="text" w:horzAnchor="margin" w:tblpXSpec="center" w:tblpY="115"/>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8"/>
        <w:gridCol w:w="3524"/>
        <w:gridCol w:w="2761"/>
      </w:tblGrid>
      <w:tr w14:paraId="32AE7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1" w:hRule="atLeast"/>
          <w:jc w:val="center"/>
        </w:trPr>
        <w:tc>
          <w:tcPr>
            <w:tcW w:w="9073" w:type="dxa"/>
            <w:gridSpan w:val="3"/>
            <w:vAlign w:val="center"/>
          </w:tcPr>
          <w:p w14:paraId="3F78603D">
            <w:pPr>
              <w:pageBreakBefore w:val="0"/>
              <w:shd w:val="clear"/>
              <w:topLinePunct w:val="0"/>
              <w:bidi w:val="0"/>
              <w:spacing w:line="500" w:lineRule="exact"/>
              <w:ind w:left="0" w:leftChars="0" w:right="0"/>
              <w:rPr>
                <w:rFonts w:hint="eastAsia" w:ascii="宋体" w:hAnsi="宋体" w:eastAsia="宋体" w:cs="宋体"/>
                <w:color w:val="auto"/>
                <w:sz w:val="24"/>
                <w:szCs w:val="20"/>
                <w:highlight w:val="none"/>
                <w:lang w:eastAsia="zh-CN"/>
              </w:rPr>
            </w:pPr>
            <w:r>
              <w:rPr>
                <w:rFonts w:hint="eastAsia" w:ascii="宋体" w:hAnsi="宋体" w:eastAsia="宋体" w:cs="宋体"/>
                <w:color w:val="auto"/>
                <w:sz w:val="24"/>
                <w:szCs w:val="20"/>
                <w:highlight w:val="none"/>
              </w:rPr>
              <w:t>致：</w:t>
            </w:r>
            <w:r>
              <w:rPr>
                <w:rFonts w:hint="eastAsia" w:ascii="宋体" w:hAnsi="宋体" w:cs="宋体"/>
                <w:color w:val="auto"/>
                <w:sz w:val="24"/>
                <w:szCs w:val="20"/>
                <w:highlight w:val="none"/>
                <w:lang w:eastAsia="zh-CN"/>
              </w:rPr>
              <w:t>榆林腾达建诚信息咨询有限公司</w:t>
            </w:r>
          </w:p>
        </w:tc>
      </w:tr>
      <w:tr w14:paraId="1A99D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4" w:hRule="atLeast"/>
          <w:jc w:val="center"/>
        </w:trPr>
        <w:tc>
          <w:tcPr>
            <w:tcW w:w="9073" w:type="dxa"/>
            <w:gridSpan w:val="3"/>
            <w:vAlign w:val="center"/>
          </w:tcPr>
          <w:p w14:paraId="3E8FDB8F">
            <w:pPr>
              <w:pageBreakBefore w:val="0"/>
              <w:shd w:val="clear"/>
              <w:topLinePunct w:val="0"/>
              <w:bidi w:val="0"/>
              <w:spacing w:line="500" w:lineRule="exact"/>
              <w:ind w:left="0" w:leftChars="0" w:right="0" w:firstLine="480" w:firstLineChars="200"/>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作为参加贵公司组织的本次招标项目的供应商，本公司承诺：参加本次招标提交的所有资质证明文件及业绩证明文件是真实的、有效的，如有隐瞒实情，愿承担一切责任及后果。</w:t>
            </w:r>
          </w:p>
        </w:tc>
      </w:tr>
      <w:tr w14:paraId="2C846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2788" w:type="dxa"/>
            <w:vAlign w:val="center"/>
          </w:tcPr>
          <w:p w14:paraId="5F2610F1">
            <w:pPr>
              <w:pageBreakBefore w:val="0"/>
              <w:shd w:val="clear"/>
              <w:topLinePunct w:val="0"/>
              <w:bidi w:val="0"/>
              <w:spacing w:line="500" w:lineRule="exact"/>
              <w:ind w:left="0" w:leftChars="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供应商</w:t>
            </w:r>
          </w:p>
        </w:tc>
        <w:tc>
          <w:tcPr>
            <w:tcW w:w="3524" w:type="dxa"/>
            <w:vAlign w:val="center"/>
          </w:tcPr>
          <w:p w14:paraId="4F6DF6CE">
            <w:pPr>
              <w:pageBreakBefore w:val="0"/>
              <w:shd w:val="clear"/>
              <w:topLinePunct w:val="0"/>
              <w:bidi w:val="0"/>
              <w:spacing w:line="500" w:lineRule="exact"/>
              <w:ind w:left="0" w:leftChars="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法定代表人</w:t>
            </w:r>
          </w:p>
        </w:tc>
        <w:tc>
          <w:tcPr>
            <w:tcW w:w="2761" w:type="dxa"/>
            <w:vAlign w:val="center"/>
          </w:tcPr>
          <w:p w14:paraId="61D19526">
            <w:pPr>
              <w:pageBreakBefore w:val="0"/>
              <w:shd w:val="clear"/>
              <w:topLinePunct w:val="0"/>
              <w:bidi w:val="0"/>
              <w:spacing w:line="500" w:lineRule="exact"/>
              <w:ind w:left="0" w:leftChars="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日   期</w:t>
            </w:r>
          </w:p>
        </w:tc>
      </w:tr>
      <w:tr w14:paraId="067EF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2788" w:type="dxa"/>
            <w:vAlign w:val="center"/>
          </w:tcPr>
          <w:p w14:paraId="4E0F169B">
            <w:pPr>
              <w:pageBreakBefore w:val="0"/>
              <w:shd w:val="clear"/>
              <w:topLinePunct w:val="0"/>
              <w:bidi w:val="0"/>
              <w:spacing w:line="500" w:lineRule="exact"/>
              <w:ind w:left="0" w:leftChars="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（供应商名称）（公章）</w:t>
            </w:r>
          </w:p>
        </w:tc>
        <w:tc>
          <w:tcPr>
            <w:tcW w:w="3524" w:type="dxa"/>
            <w:vAlign w:val="center"/>
          </w:tcPr>
          <w:p w14:paraId="437AE6E1">
            <w:pPr>
              <w:pageBreakBefore w:val="0"/>
              <w:shd w:val="clear"/>
              <w:topLinePunct w:val="0"/>
              <w:bidi w:val="0"/>
              <w:spacing w:line="500" w:lineRule="exact"/>
              <w:ind w:left="0" w:leftChars="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（签字或盖章）</w:t>
            </w:r>
          </w:p>
        </w:tc>
        <w:tc>
          <w:tcPr>
            <w:tcW w:w="2761" w:type="dxa"/>
            <w:vAlign w:val="center"/>
          </w:tcPr>
          <w:p w14:paraId="2AA56F56">
            <w:pPr>
              <w:pageBreakBefore w:val="0"/>
              <w:shd w:val="clear"/>
              <w:topLinePunct w:val="0"/>
              <w:bidi w:val="0"/>
              <w:spacing w:line="500" w:lineRule="exact"/>
              <w:ind w:left="0" w:leftChars="0" w:right="0" w:firstLine="240" w:firstLineChars="10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年  月  日</w:t>
            </w:r>
          </w:p>
        </w:tc>
      </w:tr>
    </w:tbl>
    <w:p w14:paraId="1D8D7706">
      <w:pPr>
        <w:pageBreakBefore w:val="0"/>
        <w:topLinePunct w:val="0"/>
        <w:bidi w:val="0"/>
        <w:spacing w:line="500" w:lineRule="exact"/>
        <w:ind w:left="0" w:leftChars="0" w:right="0"/>
        <w:rPr>
          <w:rStyle w:val="39"/>
          <w:rFonts w:hint="eastAsia" w:ascii="宋体" w:hAnsi="宋体" w:eastAsia="宋体" w:cs="宋体"/>
          <w:color w:val="auto"/>
          <w:highlight w:val="none"/>
          <w:lang w:val="en-US" w:eastAsia="zh-CN"/>
        </w:rPr>
      </w:pPr>
      <w:bookmarkStart w:id="456" w:name="_Toc12070"/>
      <w:bookmarkStart w:id="457" w:name="_Toc11997"/>
      <w:bookmarkStart w:id="458" w:name="_Toc31021"/>
      <w:bookmarkStart w:id="459" w:name="_Toc24960"/>
    </w:p>
    <w:p w14:paraId="0A718C6D">
      <w:pPr>
        <w:pageBreakBefore w:val="0"/>
        <w:topLinePunct w:val="0"/>
        <w:bidi w:val="0"/>
        <w:spacing w:line="500" w:lineRule="exact"/>
        <w:ind w:left="0" w:leftChars="0" w:righ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br w:type="page"/>
      </w:r>
    </w:p>
    <w:p w14:paraId="27CFD254">
      <w:pPr>
        <w:pStyle w:val="3"/>
        <w:pageBreakBefore w:val="0"/>
        <w:topLinePunct w:val="0"/>
        <w:bidi w:val="0"/>
        <w:spacing w:before="0" w:after="0" w:line="500" w:lineRule="exact"/>
        <w:ind w:left="0" w:leftChars="0" w:right="0"/>
        <w:jc w:val="center"/>
        <w:rPr>
          <w:rFonts w:hint="eastAsia" w:ascii="宋体" w:hAnsi="宋体" w:eastAsia="宋体" w:cs="宋体"/>
          <w:color w:val="auto"/>
          <w:highlight w:val="none"/>
          <w:lang w:val="en-US" w:eastAsia="zh-CN"/>
        </w:rPr>
      </w:pPr>
      <w:bookmarkStart w:id="460" w:name="_Toc15119"/>
      <w:r>
        <w:rPr>
          <w:rFonts w:hint="eastAsia" w:ascii="宋体" w:hAnsi="宋体" w:eastAsia="宋体" w:cs="宋体"/>
          <w:color w:val="auto"/>
          <w:highlight w:val="none"/>
          <w:lang w:val="en-US" w:eastAsia="zh-CN"/>
        </w:rPr>
        <w:t>七、响应偏离表</w:t>
      </w:r>
      <w:bookmarkEnd w:id="401"/>
      <w:bookmarkEnd w:id="456"/>
      <w:bookmarkEnd w:id="457"/>
      <w:bookmarkEnd w:id="458"/>
      <w:bookmarkEnd w:id="459"/>
      <w:bookmarkEnd w:id="460"/>
    </w:p>
    <w:p w14:paraId="2D9AF89F">
      <w:pPr>
        <w:pStyle w:val="4"/>
        <w:pageBreakBefore w:val="0"/>
        <w:topLinePunct w:val="0"/>
        <w:bidi w:val="0"/>
        <w:spacing w:before="0" w:after="0" w:line="500" w:lineRule="exact"/>
        <w:ind w:left="0" w:leftChars="0" w:right="0"/>
        <w:jc w:val="center"/>
        <w:rPr>
          <w:rFonts w:hint="eastAsia" w:ascii="宋体" w:hAnsi="宋体" w:eastAsia="宋体" w:cs="宋体"/>
          <w:color w:val="auto"/>
          <w:highlight w:val="none"/>
        </w:rPr>
      </w:pPr>
      <w:bookmarkStart w:id="461" w:name="_Toc22056"/>
      <w:bookmarkStart w:id="462" w:name="_Toc16393"/>
      <w:bookmarkStart w:id="463" w:name="_Toc17695"/>
      <w:bookmarkStart w:id="464" w:name="_Toc6742"/>
      <w:bookmarkStart w:id="465" w:name="_Toc25231"/>
      <w:bookmarkStart w:id="466" w:name="_Toc23522"/>
      <w:bookmarkStart w:id="467" w:name="_Toc5351"/>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一</w:t>
      </w:r>
      <w:r>
        <w:rPr>
          <w:rFonts w:hint="eastAsia" w:ascii="宋体" w:hAnsi="宋体" w:eastAsia="宋体" w:cs="宋体"/>
          <w:color w:val="auto"/>
          <w:highlight w:val="none"/>
        </w:rPr>
        <w:t>）技术偏离表</w:t>
      </w:r>
      <w:bookmarkEnd w:id="461"/>
      <w:bookmarkEnd w:id="462"/>
      <w:bookmarkEnd w:id="463"/>
      <w:bookmarkEnd w:id="464"/>
      <w:bookmarkEnd w:id="465"/>
      <w:bookmarkEnd w:id="466"/>
      <w:bookmarkEnd w:id="467"/>
    </w:p>
    <w:tbl>
      <w:tblPr>
        <w:tblStyle w:val="2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8"/>
        <w:gridCol w:w="2877"/>
        <w:gridCol w:w="2807"/>
        <w:gridCol w:w="2079"/>
      </w:tblGrid>
      <w:tr w14:paraId="28041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pct"/>
            <w:noWrap w:val="0"/>
            <w:vAlign w:val="center"/>
          </w:tcPr>
          <w:p w14:paraId="1ED94B76">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445" w:type="pct"/>
            <w:noWrap w:val="0"/>
            <w:vAlign w:val="center"/>
          </w:tcPr>
          <w:p w14:paraId="12A70C8D">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lang w:eastAsia="zh-CN"/>
              </w:rPr>
              <w:t>文件</w:t>
            </w:r>
            <w:r>
              <w:rPr>
                <w:rFonts w:hint="eastAsia" w:ascii="宋体" w:hAnsi="宋体" w:eastAsia="宋体" w:cs="宋体"/>
                <w:color w:val="auto"/>
                <w:sz w:val="24"/>
                <w:szCs w:val="24"/>
                <w:highlight w:val="none"/>
              </w:rPr>
              <w:t>章节及条款号</w:t>
            </w:r>
          </w:p>
        </w:tc>
        <w:tc>
          <w:tcPr>
            <w:tcW w:w="1410" w:type="pct"/>
            <w:noWrap w:val="0"/>
            <w:vAlign w:val="center"/>
          </w:tcPr>
          <w:p w14:paraId="6546B898">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文件章节及条款号</w:t>
            </w:r>
          </w:p>
        </w:tc>
        <w:tc>
          <w:tcPr>
            <w:tcW w:w="1044" w:type="pct"/>
            <w:noWrap w:val="0"/>
            <w:vAlign w:val="center"/>
          </w:tcPr>
          <w:p w14:paraId="40AF3069">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偏差说明</w:t>
            </w:r>
          </w:p>
        </w:tc>
      </w:tr>
      <w:tr w14:paraId="7FA35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pct"/>
            <w:noWrap w:val="0"/>
            <w:vAlign w:val="center"/>
          </w:tcPr>
          <w:p w14:paraId="2E5121B1">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445" w:type="pct"/>
            <w:noWrap w:val="0"/>
            <w:vAlign w:val="center"/>
          </w:tcPr>
          <w:p w14:paraId="5248644A">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p>
        </w:tc>
        <w:tc>
          <w:tcPr>
            <w:tcW w:w="1410" w:type="pct"/>
            <w:noWrap w:val="0"/>
            <w:vAlign w:val="center"/>
          </w:tcPr>
          <w:p w14:paraId="5ED1F55B">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p>
        </w:tc>
        <w:tc>
          <w:tcPr>
            <w:tcW w:w="1044" w:type="pct"/>
            <w:noWrap w:val="0"/>
            <w:vAlign w:val="center"/>
          </w:tcPr>
          <w:p w14:paraId="6700F150">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p>
        </w:tc>
      </w:tr>
      <w:tr w14:paraId="58C91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pct"/>
            <w:noWrap w:val="0"/>
            <w:vAlign w:val="center"/>
          </w:tcPr>
          <w:p w14:paraId="33411724">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445" w:type="pct"/>
            <w:noWrap w:val="0"/>
            <w:vAlign w:val="center"/>
          </w:tcPr>
          <w:p w14:paraId="49AB2901">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p>
        </w:tc>
        <w:tc>
          <w:tcPr>
            <w:tcW w:w="1410" w:type="pct"/>
            <w:noWrap w:val="0"/>
            <w:vAlign w:val="center"/>
          </w:tcPr>
          <w:p w14:paraId="3D251E38">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p>
        </w:tc>
        <w:tc>
          <w:tcPr>
            <w:tcW w:w="1044" w:type="pct"/>
            <w:noWrap w:val="0"/>
            <w:vAlign w:val="center"/>
          </w:tcPr>
          <w:p w14:paraId="05757F9C">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p>
        </w:tc>
      </w:tr>
      <w:tr w14:paraId="39A7B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pct"/>
            <w:noWrap w:val="0"/>
            <w:vAlign w:val="center"/>
          </w:tcPr>
          <w:p w14:paraId="59A243CF">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445" w:type="pct"/>
            <w:noWrap w:val="0"/>
            <w:vAlign w:val="center"/>
          </w:tcPr>
          <w:p w14:paraId="641C88C0">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b/>
                <w:color w:val="auto"/>
                <w:sz w:val="24"/>
                <w:szCs w:val="24"/>
                <w:highlight w:val="none"/>
              </w:rPr>
            </w:pPr>
          </w:p>
        </w:tc>
        <w:tc>
          <w:tcPr>
            <w:tcW w:w="1410" w:type="pct"/>
            <w:noWrap w:val="0"/>
            <w:vAlign w:val="center"/>
          </w:tcPr>
          <w:p w14:paraId="4CF5C97C">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b/>
                <w:color w:val="auto"/>
                <w:sz w:val="24"/>
                <w:szCs w:val="24"/>
                <w:highlight w:val="none"/>
              </w:rPr>
            </w:pPr>
          </w:p>
        </w:tc>
        <w:tc>
          <w:tcPr>
            <w:tcW w:w="1044" w:type="pct"/>
            <w:noWrap w:val="0"/>
            <w:vAlign w:val="center"/>
          </w:tcPr>
          <w:p w14:paraId="2F244D57">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b/>
                <w:color w:val="auto"/>
                <w:sz w:val="24"/>
                <w:szCs w:val="24"/>
                <w:highlight w:val="none"/>
              </w:rPr>
            </w:pPr>
          </w:p>
        </w:tc>
      </w:tr>
      <w:tr w14:paraId="5D3BA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pct"/>
            <w:noWrap w:val="0"/>
            <w:vAlign w:val="center"/>
          </w:tcPr>
          <w:p w14:paraId="23CD0EC2">
            <w:pPr>
              <w:pageBreakBefore w:val="0"/>
              <w:shd w:val="clear" w:color="auto" w:fill="auto"/>
              <w:topLinePunct w:val="0"/>
              <w:bidi w:val="0"/>
              <w:spacing w:line="500" w:lineRule="exact"/>
              <w:ind w:left="0" w:leftChars="0" w:right="0" w:firstLine="0" w:firstLineChars="0"/>
              <w:jc w:val="left"/>
              <w:rPr>
                <w:rFonts w:hint="eastAsia" w:ascii="宋体" w:hAnsi="宋体" w:eastAsia="宋体" w:cs="宋体"/>
                <w:b/>
                <w:color w:val="auto"/>
                <w:sz w:val="24"/>
                <w:szCs w:val="24"/>
                <w:highlight w:val="none"/>
              </w:rPr>
            </w:pPr>
          </w:p>
        </w:tc>
        <w:tc>
          <w:tcPr>
            <w:tcW w:w="1445" w:type="pct"/>
            <w:noWrap w:val="0"/>
            <w:vAlign w:val="center"/>
          </w:tcPr>
          <w:p w14:paraId="6DA3C744">
            <w:pPr>
              <w:pageBreakBefore w:val="0"/>
              <w:shd w:val="clear" w:color="auto" w:fill="auto"/>
              <w:topLinePunct w:val="0"/>
              <w:bidi w:val="0"/>
              <w:spacing w:line="500" w:lineRule="exact"/>
              <w:ind w:left="0" w:leftChars="0" w:right="0" w:firstLine="0" w:firstLineChars="0"/>
              <w:jc w:val="left"/>
              <w:rPr>
                <w:rFonts w:hint="eastAsia" w:ascii="宋体" w:hAnsi="宋体" w:eastAsia="宋体" w:cs="宋体"/>
                <w:b/>
                <w:color w:val="auto"/>
                <w:sz w:val="24"/>
                <w:szCs w:val="24"/>
                <w:highlight w:val="none"/>
              </w:rPr>
            </w:pPr>
          </w:p>
        </w:tc>
        <w:tc>
          <w:tcPr>
            <w:tcW w:w="1410" w:type="pct"/>
            <w:noWrap w:val="0"/>
            <w:vAlign w:val="center"/>
          </w:tcPr>
          <w:p w14:paraId="62760B40">
            <w:pPr>
              <w:pageBreakBefore w:val="0"/>
              <w:shd w:val="clear" w:color="auto" w:fill="auto"/>
              <w:topLinePunct w:val="0"/>
              <w:bidi w:val="0"/>
              <w:spacing w:line="500" w:lineRule="exact"/>
              <w:ind w:left="0" w:leftChars="0" w:right="0" w:firstLine="0" w:firstLineChars="0"/>
              <w:jc w:val="left"/>
              <w:rPr>
                <w:rFonts w:hint="eastAsia" w:ascii="宋体" w:hAnsi="宋体" w:eastAsia="宋体" w:cs="宋体"/>
                <w:b/>
                <w:color w:val="auto"/>
                <w:sz w:val="24"/>
                <w:szCs w:val="24"/>
                <w:highlight w:val="none"/>
              </w:rPr>
            </w:pPr>
          </w:p>
        </w:tc>
        <w:tc>
          <w:tcPr>
            <w:tcW w:w="1044" w:type="pct"/>
            <w:noWrap w:val="0"/>
            <w:vAlign w:val="center"/>
          </w:tcPr>
          <w:p w14:paraId="5EA57B2C">
            <w:pPr>
              <w:pageBreakBefore w:val="0"/>
              <w:shd w:val="clear" w:color="auto" w:fill="auto"/>
              <w:topLinePunct w:val="0"/>
              <w:bidi w:val="0"/>
              <w:spacing w:line="500" w:lineRule="exact"/>
              <w:ind w:left="0" w:leftChars="0" w:right="0" w:firstLine="0" w:firstLineChars="0"/>
              <w:jc w:val="left"/>
              <w:rPr>
                <w:rFonts w:hint="eastAsia" w:ascii="宋体" w:hAnsi="宋体" w:eastAsia="宋体" w:cs="宋体"/>
                <w:b/>
                <w:color w:val="auto"/>
                <w:sz w:val="24"/>
                <w:szCs w:val="24"/>
                <w:highlight w:val="none"/>
              </w:rPr>
            </w:pPr>
          </w:p>
        </w:tc>
      </w:tr>
      <w:tr w14:paraId="4F5BE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pct"/>
            <w:noWrap w:val="0"/>
            <w:vAlign w:val="center"/>
          </w:tcPr>
          <w:p w14:paraId="6E78A4FA">
            <w:pPr>
              <w:pageBreakBefore w:val="0"/>
              <w:shd w:val="clear" w:color="auto" w:fill="auto"/>
              <w:topLinePunct w:val="0"/>
              <w:bidi w:val="0"/>
              <w:spacing w:line="500" w:lineRule="exact"/>
              <w:ind w:left="0" w:leftChars="0" w:right="0" w:firstLine="0" w:firstLineChars="0"/>
              <w:jc w:val="left"/>
              <w:rPr>
                <w:rFonts w:hint="eastAsia" w:ascii="宋体" w:hAnsi="宋体" w:eastAsia="宋体" w:cs="宋体"/>
                <w:b/>
                <w:color w:val="auto"/>
                <w:sz w:val="24"/>
                <w:szCs w:val="24"/>
                <w:highlight w:val="none"/>
              </w:rPr>
            </w:pPr>
          </w:p>
        </w:tc>
        <w:tc>
          <w:tcPr>
            <w:tcW w:w="1445" w:type="pct"/>
            <w:noWrap w:val="0"/>
            <w:vAlign w:val="center"/>
          </w:tcPr>
          <w:p w14:paraId="1980CF4B">
            <w:pPr>
              <w:pageBreakBefore w:val="0"/>
              <w:shd w:val="clear" w:color="auto" w:fill="auto"/>
              <w:topLinePunct w:val="0"/>
              <w:bidi w:val="0"/>
              <w:spacing w:line="500" w:lineRule="exact"/>
              <w:ind w:left="0" w:leftChars="0" w:right="0" w:firstLine="0" w:firstLineChars="0"/>
              <w:jc w:val="left"/>
              <w:rPr>
                <w:rFonts w:hint="eastAsia" w:ascii="宋体" w:hAnsi="宋体" w:eastAsia="宋体" w:cs="宋体"/>
                <w:b/>
                <w:color w:val="auto"/>
                <w:sz w:val="24"/>
                <w:szCs w:val="24"/>
                <w:highlight w:val="none"/>
              </w:rPr>
            </w:pPr>
          </w:p>
        </w:tc>
        <w:tc>
          <w:tcPr>
            <w:tcW w:w="1410" w:type="pct"/>
            <w:noWrap w:val="0"/>
            <w:vAlign w:val="center"/>
          </w:tcPr>
          <w:p w14:paraId="6387550D">
            <w:pPr>
              <w:pageBreakBefore w:val="0"/>
              <w:shd w:val="clear" w:color="auto" w:fill="auto"/>
              <w:topLinePunct w:val="0"/>
              <w:bidi w:val="0"/>
              <w:spacing w:line="500" w:lineRule="exact"/>
              <w:ind w:left="0" w:leftChars="0" w:right="0" w:firstLine="0" w:firstLineChars="0"/>
              <w:jc w:val="left"/>
              <w:rPr>
                <w:rFonts w:hint="eastAsia" w:ascii="宋体" w:hAnsi="宋体" w:eastAsia="宋体" w:cs="宋体"/>
                <w:b/>
                <w:color w:val="auto"/>
                <w:sz w:val="24"/>
                <w:szCs w:val="24"/>
                <w:highlight w:val="none"/>
              </w:rPr>
            </w:pPr>
          </w:p>
        </w:tc>
        <w:tc>
          <w:tcPr>
            <w:tcW w:w="1044" w:type="pct"/>
            <w:noWrap w:val="0"/>
            <w:vAlign w:val="center"/>
          </w:tcPr>
          <w:p w14:paraId="37F7B867">
            <w:pPr>
              <w:pageBreakBefore w:val="0"/>
              <w:shd w:val="clear" w:color="auto" w:fill="auto"/>
              <w:topLinePunct w:val="0"/>
              <w:bidi w:val="0"/>
              <w:spacing w:line="500" w:lineRule="exact"/>
              <w:ind w:left="0" w:leftChars="0" w:right="0" w:firstLine="0" w:firstLineChars="0"/>
              <w:jc w:val="left"/>
              <w:rPr>
                <w:rFonts w:hint="eastAsia" w:ascii="宋体" w:hAnsi="宋体" w:eastAsia="宋体" w:cs="宋体"/>
                <w:b/>
                <w:color w:val="auto"/>
                <w:sz w:val="24"/>
                <w:szCs w:val="24"/>
                <w:highlight w:val="none"/>
              </w:rPr>
            </w:pPr>
          </w:p>
        </w:tc>
      </w:tr>
      <w:tr w14:paraId="685C1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pct"/>
            <w:noWrap w:val="0"/>
            <w:vAlign w:val="center"/>
          </w:tcPr>
          <w:p w14:paraId="29285C62">
            <w:pPr>
              <w:pageBreakBefore w:val="0"/>
              <w:shd w:val="clear" w:color="auto" w:fill="auto"/>
              <w:topLinePunct w:val="0"/>
              <w:bidi w:val="0"/>
              <w:spacing w:line="500" w:lineRule="exact"/>
              <w:ind w:left="0" w:leftChars="0" w:right="0" w:firstLine="0" w:firstLineChars="0"/>
              <w:jc w:val="left"/>
              <w:rPr>
                <w:rFonts w:hint="eastAsia" w:ascii="宋体" w:hAnsi="宋体" w:eastAsia="宋体" w:cs="宋体"/>
                <w:b/>
                <w:color w:val="auto"/>
                <w:sz w:val="24"/>
                <w:szCs w:val="24"/>
                <w:highlight w:val="none"/>
              </w:rPr>
            </w:pPr>
          </w:p>
        </w:tc>
        <w:tc>
          <w:tcPr>
            <w:tcW w:w="1445" w:type="pct"/>
            <w:noWrap w:val="0"/>
            <w:vAlign w:val="center"/>
          </w:tcPr>
          <w:p w14:paraId="07B35036">
            <w:pPr>
              <w:pageBreakBefore w:val="0"/>
              <w:shd w:val="clear" w:color="auto" w:fill="auto"/>
              <w:topLinePunct w:val="0"/>
              <w:bidi w:val="0"/>
              <w:spacing w:line="500" w:lineRule="exact"/>
              <w:ind w:left="0" w:leftChars="0" w:right="0" w:firstLine="0" w:firstLineChars="0"/>
              <w:jc w:val="left"/>
              <w:rPr>
                <w:rFonts w:hint="eastAsia" w:ascii="宋体" w:hAnsi="宋体" w:eastAsia="宋体" w:cs="宋体"/>
                <w:b/>
                <w:color w:val="auto"/>
                <w:sz w:val="24"/>
                <w:szCs w:val="24"/>
                <w:highlight w:val="none"/>
              </w:rPr>
            </w:pPr>
          </w:p>
        </w:tc>
        <w:tc>
          <w:tcPr>
            <w:tcW w:w="1410" w:type="pct"/>
            <w:noWrap w:val="0"/>
            <w:vAlign w:val="center"/>
          </w:tcPr>
          <w:p w14:paraId="0D6C9D81">
            <w:pPr>
              <w:pageBreakBefore w:val="0"/>
              <w:shd w:val="clear" w:color="auto" w:fill="auto"/>
              <w:topLinePunct w:val="0"/>
              <w:bidi w:val="0"/>
              <w:spacing w:line="500" w:lineRule="exact"/>
              <w:ind w:left="0" w:leftChars="0" w:right="0" w:firstLine="0" w:firstLineChars="0"/>
              <w:jc w:val="left"/>
              <w:rPr>
                <w:rFonts w:hint="eastAsia" w:ascii="宋体" w:hAnsi="宋体" w:eastAsia="宋体" w:cs="宋体"/>
                <w:b/>
                <w:color w:val="auto"/>
                <w:sz w:val="24"/>
                <w:szCs w:val="24"/>
                <w:highlight w:val="none"/>
              </w:rPr>
            </w:pPr>
          </w:p>
        </w:tc>
        <w:tc>
          <w:tcPr>
            <w:tcW w:w="1044" w:type="pct"/>
            <w:noWrap w:val="0"/>
            <w:vAlign w:val="center"/>
          </w:tcPr>
          <w:p w14:paraId="49A49B6E">
            <w:pPr>
              <w:pageBreakBefore w:val="0"/>
              <w:shd w:val="clear" w:color="auto" w:fill="auto"/>
              <w:topLinePunct w:val="0"/>
              <w:bidi w:val="0"/>
              <w:spacing w:line="500" w:lineRule="exact"/>
              <w:ind w:left="0" w:leftChars="0" w:right="0" w:firstLine="0" w:firstLineChars="0"/>
              <w:jc w:val="left"/>
              <w:rPr>
                <w:rFonts w:hint="eastAsia" w:ascii="宋体" w:hAnsi="宋体" w:eastAsia="宋体" w:cs="宋体"/>
                <w:b/>
                <w:color w:val="auto"/>
                <w:sz w:val="24"/>
                <w:szCs w:val="24"/>
                <w:highlight w:val="none"/>
              </w:rPr>
            </w:pPr>
          </w:p>
        </w:tc>
      </w:tr>
      <w:tr w14:paraId="096FB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pct"/>
            <w:noWrap w:val="0"/>
            <w:vAlign w:val="center"/>
          </w:tcPr>
          <w:p w14:paraId="15CAE5E6">
            <w:pPr>
              <w:pageBreakBefore w:val="0"/>
              <w:shd w:val="clear" w:color="auto" w:fill="auto"/>
              <w:topLinePunct w:val="0"/>
              <w:bidi w:val="0"/>
              <w:spacing w:line="500" w:lineRule="exact"/>
              <w:ind w:left="0" w:leftChars="0" w:right="0" w:firstLine="0" w:firstLineChars="0"/>
              <w:jc w:val="left"/>
              <w:rPr>
                <w:rFonts w:hint="eastAsia" w:ascii="宋体" w:hAnsi="宋体" w:eastAsia="宋体" w:cs="宋体"/>
                <w:b/>
                <w:color w:val="auto"/>
                <w:sz w:val="24"/>
                <w:szCs w:val="24"/>
                <w:highlight w:val="none"/>
              </w:rPr>
            </w:pPr>
          </w:p>
        </w:tc>
        <w:tc>
          <w:tcPr>
            <w:tcW w:w="1445" w:type="pct"/>
            <w:noWrap w:val="0"/>
            <w:vAlign w:val="center"/>
          </w:tcPr>
          <w:p w14:paraId="60DDEB2B">
            <w:pPr>
              <w:pageBreakBefore w:val="0"/>
              <w:shd w:val="clear" w:color="auto" w:fill="auto"/>
              <w:topLinePunct w:val="0"/>
              <w:bidi w:val="0"/>
              <w:spacing w:line="500" w:lineRule="exact"/>
              <w:ind w:left="0" w:leftChars="0" w:right="0" w:firstLine="0" w:firstLineChars="0"/>
              <w:jc w:val="left"/>
              <w:rPr>
                <w:rFonts w:hint="eastAsia" w:ascii="宋体" w:hAnsi="宋体" w:eastAsia="宋体" w:cs="宋体"/>
                <w:b/>
                <w:color w:val="auto"/>
                <w:sz w:val="24"/>
                <w:szCs w:val="24"/>
                <w:highlight w:val="none"/>
              </w:rPr>
            </w:pPr>
          </w:p>
        </w:tc>
        <w:tc>
          <w:tcPr>
            <w:tcW w:w="1410" w:type="pct"/>
            <w:noWrap w:val="0"/>
            <w:vAlign w:val="center"/>
          </w:tcPr>
          <w:p w14:paraId="1D3CF103">
            <w:pPr>
              <w:pageBreakBefore w:val="0"/>
              <w:shd w:val="clear" w:color="auto" w:fill="auto"/>
              <w:topLinePunct w:val="0"/>
              <w:bidi w:val="0"/>
              <w:spacing w:line="500" w:lineRule="exact"/>
              <w:ind w:left="0" w:leftChars="0" w:right="0" w:firstLine="0" w:firstLineChars="0"/>
              <w:jc w:val="left"/>
              <w:rPr>
                <w:rFonts w:hint="eastAsia" w:ascii="宋体" w:hAnsi="宋体" w:eastAsia="宋体" w:cs="宋体"/>
                <w:b/>
                <w:color w:val="auto"/>
                <w:sz w:val="24"/>
                <w:szCs w:val="24"/>
                <w:highlight w:val="none"/>
              </w:rPr>
            </w:pPr>
          </w:p>
        </w:tc>
        <w:tc>
          <w:tcPr>
            <w:tcW w:w="1044" w:type="pct"/>
            <w:noWrap w:val="0"/>
            <w:vAlign w:val="center"/>
          </w:tcPr>
          <w:p w14:paraId="5EA6BB7B">
            <w:pPr>
              <w:pageBreakBefore w:val="0"/>
              <w:shd w:val="clear" w:color="auto" w:fill="auto"/>
              <w:topLinePunct w:val="0"/>
              <w:bidi w:val="0"/>
              <w:spacing w:line="500" w:lineRule="exact"/>
              <w:ind w:left="0" w:leftChars="0" w:right="0" w:firstLine="0" w:firstLineChars="0"/>
              <w:jc w:val="left"/>
              <w:rPr>
                <w:rFonts w:hint="eastAsia" w:ascii="宋体" w:hAnsi="宋体" w:eastAsia="宋体" w:cs="宋体"/>
                <w:b/>
                <w:color w:val="auto"/>
                <w:sz w:val="24"/>
                <w:szCs w:val="24"/>
                <w:highlight w:val="none"/>
              </w:rPr>
            </w:pPr>
          </w:p>
        </w:tc>
      </w:tr>
      <w:tr w14:paraId="36054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pct"/>
            <w:noWrap w:val="0"/>
            <w:vAlign w:val="center"/>
          </w:tcPr>
          <w:p w14:paraId="195754E9">
            <w:pPr>
              <w:pageBreakBefore w:val="0"/>
              <w:shd w:val="clear" w:color="auto" w:fill="auto"/>
              <w:topLinePunct w:val="0"/>
              <w:bidi w:val="0"/>
              <w:spacing w:line="500" w:lineRule="exact"/>
              <w:ind w:left="0" w:leftChars="0" w:right="0" w:firstLine="0" w:firstLineChars="0"/>
              <w:jc w:val="left"/>
              <w:rPr>
                <w:rFonts w:hint="eastAsia" w:ascii="宋体" w:hAnsi="宋体" w:eastAsia="宋体" w:cs="宋体"/>
                <w:b/>
                <w:color w:val="auto"/>
                <w:sz w:val="24"/>
                <w:szCs w:val="24"/>
                <w:highlight w:val="none"/>
              </w:rPr>
            </w:pPr>
          </w:p>
        </w:tc>
        <w:tc>
          <w:tcPr>
            <w:tcW w:w="1445" w:type="pct"/>
            <w:noWrap w:val="0"/>
            <w:vAlign w:val="center"/>
          </w:tcPr>
          <w:p w14:paraId="5F1A1851">
            <w:pPr>
              <w:pageBreakBefore w:val="0"/>
              <w:shd w:val="clear" w:color="auto" w:fill="auto"/>
              <w:topLinePunct w:val="0"/>
              <w:bidi w:val="0"/>
              <w:spacing w:line="500" w:lineRule="exact"/>
              <w:ind w:left="0" w:leftChars="0" w:right="0" w:firstLine="0" w:firstLineChars="0"/>
              <w:jc w:val="left"/>
              <w:rPr>
                <w:rFonts w:hint="eastAsia" w:ascii="宋体" w:hAnsi="宋体" w:eastAsia="宋体" w:cs="宋体"/>
                <w:b/>
                <w:color w:val="auto"/>
                <w:sz w:val="24"/>
                <w:szCs w:val="24"/>
                <w:highlight w:val="none"/>
              </w:rPr>
            </w:pPr>
          </w:p>
        </w:tc>
        <w:tc>
          <w:tcPr>
            <w:tcW w:w="1410" w:type="pct"/>
            <w:noWrap w:val="0"/>
            <w:vAlign w:val="center"/>
          </w:tcPr>
          <w:p w14:paraId="49805F32">
            <w:pPr>
              <w:pageBreakBefore w:val="0"/>
              <w:shd w:val="clear" w:color="auto" w:fill="auto"/>
              <w:topLinePunct w:val="0"/>
              <w:bidi w:val="0"/>
              <w:spacing w:line="500" w:lineRule="exact"/>
              <w:ind w:left="0" w:leftChars="0" w:right="0" w:firstLine="0" w:firstLineChars="0"/>
              <w:jc w:val="left"/>
              <w:rPr>
                <w:rFonts w:hint="eastAsia" w:ascii="宋体" w:hAnsi="宋体" w:eastAsia="宋体" w:cs="宋体"/>
                <w:b/>
                <w:color w:val="auto"/>
                <w:sz w:val="24"/>
                <w:szCs w:val="24"/>
                <w:highlight w:val="none"/>
              </w:rPr>
            </w:pPr>
          </w:p>
        </w:tc>
        <w:tc>
          <w:tcPr>
            <w:tcW w:w="1044" w:type="pct"/>
            <w:noWrap w:val="0"/>
            <w:vAlign w:val="center"/>
          </w:tcPr>
          <w:p w14:paraId="14B55A18">
            <w:pPr>
              <w:pageBreakBefore w:val="0"/>
              <w:shd w:val="clear" w:color="auto" w:fill="auto"/>
              <w:topLinePunct w:val="0"/>
              <w:bidi w:val="0"/>
              <w:spacing w:line="500" w:lineRule="exact"/>
              <w:ind w:left="0" w:leftChars="0" w:right="0" w:firstLine="0" w:firstLineChars="0"/>
              <w:jc w:val="left"/>
              <w:rPr>
                <w:rFonts w:hint="eastAsia" w:ascii="宋体" w:hAnsi="宋体" w:eastAsia="宋体" w:cs="宋体"/>
                <w:b/>
                <w:color w:val="auto"/>
                <w:sz w:val="24"/>
                <w:szCs w:val="24"/>
                <w:highlight w:val="none"/>
              </w:rPr>
            </w:pPr>
          </w:p>
        </w:tc>
      </w:tr>
      <w:tr w14:paraId="09437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pct"/>
            <w:noWrap w:val="0"/>
            <w:vAlign w:val="center"/>
          </w:tcPr>
          <w:p w14:paraId="5787D66E">
            <w:pPr>
              <w:pageBreakBefore w:val="0"/>
              <w:shd w:val="clear" w:color="auto" w:fill="auto"/>
              <w:topLinePunct w:val="0"/>
              <w:bidi w:val="0"/>
              <w:spacing w:line="500" w:lineRule="exact"/>
              <w:ind w:left="0" w:leftChars="0" w:right="0" w:firstLine="0" w:firstLineChars="0"/>
              <w:jc w:val="left"/>
              <w:rPr>
                <w:rFonts w:hint="eastAsia" w:ascii="宋体" w:hAnsi="宋体" w:eastAsia="宋体" w:cs="宋体"/>
                <w:b/>
                <w:color w:val="auto"/>
                <w:sz w:val="24"/>
                <w:szCs w:val="24"/>
                <w:highlight w:val="none"/>
              </w:rPr>
            </w:pPr>
          </w:p>
        </w:tc>
        <w:tc>
          <w:tcPr>
            <w:tcW w:w="1445" w:type="pct"/>
            <w:noWrap w:val="0"/>
            <w:vAlign w:val="center"/>
          </w:tcPr>
          <w:p w14:paraId="64A8D144">
            <w:pPr>
              <w:pageBreakBefore w:val="0"/>
              <w:shd w:val="clear" w:color="auto" w:fill="auto"/>
              <w:topLinePunct w:val="0"/>
              <w:bidi w:val="0"/>
              <w:spacing w:line="500" w:lineRule="exact"/>
              <w:ind w:left="0" w:leftChars="0" w:right="0" w:firstLine="0" w:firstLineChars="0"/>
              <w:jc w:val="left"/>
              <w:rPr>
                <w:rFonts w:hint="eastAsia" w:ascii="宋体" w:hAnsi="宋体" w:eastAsia="宋体" w:cs="宋体"/>
                <w:b/>
                <w:color w:val="auto"/>
                <w:sz w:val="24"/>
                <w:szCs w:val="24"/>
                <w:highlight w:val="none"/>
              </w:rPr>
            </w:pPr>
          </w:p>
        </w:tc>
        <w:tc>
          <w:tcPr>
            <w:tcW w:w="1410" w:type="pct"/>
            <w:noWrap w:val="0"/>
            <w:vAlign w:val="center"/>
          </w:tcPr>
          <w:p w14:paraId="5E93D872">
            <w:pPr>
              <w:pageBreakBefore w:val="0"/>
              <w:shd w:val="clear" w:color="auto" w:fill="auto"/>
              <w:topLinePunct w:val="0"/>
              <w:bidi w:val="0"/>
              <w:spacing w:line="500" w:lineRule="exact"/>
              <w:ind w:left="0" w:leftChars="0" w:right="0" w:firstLine="0" w:firstLineChars="0"/>
              <w:jc w:val="left"/>
              <w:rPr>
                <w:rFonts w:hint="eastAsia" w:ascii="宋体" w:hAnsi="宋体" w:eastAsia="宋体" w:cs="宋体"/>
                <w:b/>
                <w:color w:val="auto"/>
                <w:sz w:val="24"/>
                <w:szCs w:val="24"/>
                <w:highlight w:val="none"/>
              </w:rPr>
            </w:pPr>
          </w:p>
        </w:tc>
        <w:tc>
          <w:tcPr>
            <w:tcW w:w="1044" w:type="pct"/>
            <w:noWrap w:val="0"/>
            <w:vAlign w:val="center"/>
          </w:tcPr>
          <w:p w14:paraId="04703549">
            <w:pPr>
              <w:pageBreakBefore w:val="0"/>
              <w:shd w:val="clear" w:color="auto" w:fill="auto"/>
              <w:topLinePunct w:val="0"/>
              <w:bidi w:val="0"/>
              <w:spacing w:line="500" w:lineRule="exact"/>
              <w:ind w:left="0" w:leftChars="0" w:right="0" w:firstLine="0" w:firstLineChars="0"/>
              <w:jc w:val="left"/>
              <w:rPr>
                <w:rFonts w:hint="eastAsia" w:ascii="宋体" w:hAnsi="宋体" w:eastAsia="宋体" w:cs="宋体"/>
                <w:b/>
                <w:color w:val="auto"/>
                <w:sz w:val="24"/>
                <w:szCs w:val="24"/>
                <w:highlight w:val="none"/>
              </w:rPr>
            </w:pPr>
          </w:p>
        </w:tc>
      </w:tr>
      <w:tr w14:paraId="3E6CA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pct"/>
            <w:noWrap w:val="0"/>
            <w:vAlign w:val="center"/>
          </w:tcPr>
          <w:p w14:paraId="3F2D2630">
            <w:pPr>
              <w:pageBreakBefore w:val="0"/>
              <w:shd w:val="clear" w:color="auto" w:fill="auto"/>
              <w:topLinePunct w:val="0"/>
              <w:bidi w:val="0"/>
              <w:spacing w:line="500" w:lineRule="exact"/>
              <w:ind w:left="0" w:leftChars="0" w:right="0" w:firstLine="0" w:firstLineChars="0"/>
              <w:jc w:val="left"/>
              <w:rPr>
                <w:rFonts w:hint="eastAsia" w:ascii="宋体" w:hAnsi="宋体" w:eastAsia="宋体" w:cs="宋体"/>
                <w:b/>
                <w:color w:val="auto"/>
                <w:sz w:val="24"/>
                <w:szCs w:val="24"/>
                <w:highlight w:val="none"/>
              </w:rPr>
            </w:pPr>
          </w:p>
        </w:tc>
        <w:tc>
          <w:tcPr>
            <w:tcW w:w="1445" w:type="pct"/>
            <w:noWrap w:val="0"/>
            <w:vAlign w:val="center"/>
          </w:tcPr>
          <w:p w14:paraId="37FA88F4">
            <w:pPr>
              <w:pageBreakBefore w:val="0"/>
              <w:shd w:val="clear" w:color="auto" w:fill="auto"/>
              <w:topLinePunct w:val="0"/>
              <w:bidi w:val="0"/>
              <w:spacing w:line="500" w:lineRule="exact"/>
              <w:ind w:left="0" w:leftChars="0" w:right="0" w:firstLine="0" w:firstLineChars="0"/>
              <w:jc w:val="left"/>
              <w:rPr>
                <w:rFonts w:hint="eastAsia" w:ascii="宋体" w:hAnsi="宋体" w:eastAsia="宋体" w:cs="宋体"/>
                <w:b/>
                <w:color w:val="auto"/>
                <w:sz w:val="24"/>
                <w:szCs w:val="24"/>
                <w:highlight w:val="none"/>
              </w:rPr>
            </w:pPr>
          </w:p>
        </w:tc>
        <w:tc>
          <w:tcPr>
            <w:tcW w:w="1410" w:type="pct"/>
            <w:noWrap w:val="0"/>
            <w:vAlign w:val="center"/>
          </w:tcPr>
          <w:p w14:paraId="40E307E0">
            <w:pPr>
              <w:pageBreakBefore w:val="0"/>
              <w:shd w:val="clear" w:color="auto" w:fill="auto"/>
              <w:topLinePunct w:val="0"/>
              <w:bidi w:val="0"/>
              <w:spacing w:line="500" w:lineRule="exact"/>
              <w:ind w:left="0" w:leftChars="0" w:right="0" w:firstLine="0" w:firstLineChars="0"/>
              <w:jc w:val="left"/>
              <w:rPr>
                <w:rFonts w:hint="eastAsia" w:ascii="宋体" w:hAnsi="宋体" w:eastAsia="宋体" w:cs="宋体"/>
                <w:b/>
                <w:color w:val="auto"/>
                <w:sz w:val="24"/>
                <w:szCs w:val="24"/>
                <w:highlight w:val="none"/>
              </w:rPr>
            </w:pPr>
          </w:p>
        </w:tc>
        <w:tc>
          <w:tcPr>
            <w:tcW w:w="1044" w:type="pct"/>
            <w:noWrap w:val="0"/>
            <w:vAlign w:val="center"/>
          </w:tcPr>
          <w:p w14:paraId="69BCC821">
            <w:pPr>
              <w:pageBreakBefore w:val="0"/>
              <w:shd w:val="clear" w:color="auto" w:fill="auto"/>
              <w:topLinePunct w:val="0"/>
              <w:bidi w:val="0"/>
              <w:spacing w:line="500" w:lineRule="exact"/>
              <w:ind w:left="0" w:leftChars="0" w:right="0" w:firstLine="0" w:firstLineChars="0"/>
              <w:jc w:val="left"/>
              <w:rPr>
                <w:rFonts w:hint="eastAsia" w:ascii="宋体" w:hAnsi="宋体" w:eastAsia="宋体" w:cs="宋体"/>
                <w:b/>
                <w:color w:val="auto"/>
                <w:sz w:val="24"/>
                <w:szCs w:val="24"/>
                <w:highlight w:val="none"/>
              </w:rPr>
            </w:pPr>
          </w:p>
        </w:tc>
      </w:tr>
      <w:tr w14:paraId="2D51A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pct"/>
            <w:noWrap w:val="0"/>
            <w:vAlign w:val="center"/>
          </w:tcPr>
          <w:p w14:paraId="2B6B2DD9">
            <w:pPr>
              <w:pageBreakBefore w:val="0"/>
              <w:shd w:val="clear" w:color="auto" w:fill="auto"/>
              <w:topLinePunct w:val="0"/>
              <w:bidi w:val="0"/>
              <w:spacing w:line="500" w:lineRule="exact"/>
              <w:ind w:left="0" w:leftChars="0" w:right="0" w:firstLine="0" w:firstLineChars="0"/>
              <w:jc w:val="left"/>
              <w:rPr>
                <w:rFonts w:hint="eastAsia" w:ascii="宋体" w:hAnsi="宋体" w:eastAsia="宋体" w:cs="宋体"/>
                <w:b/>
                <w:color w:val="auto"/>
                <w:sz w:val="24"/>
                <w:szCs w:val="24"/>
                <w:highlight w:val="none"/>
              </w:rPr>
            </w:pPr>
          </w:p>
        </w:tc>
        <w:tc>
          <w:tcPr>
            <w:tcW w:w="1445" w:type="pct"/>
            <w:noWrap w:val="0"/>
            <w:vAlign w:val="center"/>
          </w:tcPr>
          <w:p w14:paraId="688E6898">
            <w:pPr>
              <w:pageBreakBefore w:val="0"/>
              <w:shd w:val="clear" w:color="auto" w:fill="auto"/>
              <w:topLinePunct w:val="0"/>
              <w:bidi w:val="0"/>
              <w:spacing w:line="500" w:lineRule="exact"/>
              <w:ind w:left="0" w:leftChars="0" w:right="0" w:firstLine="0" w:firstLineChars="0"/>
              <w:jc w:val="left"/>
              <w:rPr>
                <w:rFonts w:hint="eastAsia" w:ascii="宋体" w:hAnsi="宋体" w:eastAsia="宋体" w:cs="宋体"/>
                <w:b/>
                <w:color w:val="auto"/>
                <w:sz w:val="24"/>
                <w:szCs w:val="24"/>
                <w:highlight w:val="none"/>
              </w:rPr>
            </w:pPr>
          </w:p>
        </w:tc>
        <w:tc>
          <w:tcPr>
            <w:tcW w:w="1410" w:type="pct"/>
            <w:noWrap w:val="0"/>
            <w:vAlign w:val="center"/>
          </w:tcPr>
          <w:p w14:paraId="5729705B">
            <w:pPr>
              <w:pageBreakBefore w:val="0"/>
              <w:shd w:val="clear" w:color="auto" w:fill="auto"/>
              <w:topLinePunct w:val="0"/>
              <w:bidi w:val="0"/>
              <w:spacing w:line="500" w:lineRule="exact"/>
              <w:ind w:left="0" w:leftChars="0" w:right="0" w:firstLine="0" w:firstLineChars="0"/>
              <w:jc w:val="left"/>
              <w:rPr>
                <w:rFonts w:hint="eastAsia" w:ascii="宋体" w:hAnsi="宋体" w:eastAsia="宋体" w:cs="宋体"/>
                <w:b/>
                <w:color w:val="auto"/>
                <w:sz w:val="24"/>
                <w:szCs w:val="24"/>
                <w:highlight w:val="none"/>
              </w:rPr>
            </w:pPr>
          </w:p>
        </w:tc>
        <w:tc>
          <w:tcPr>
            <w:tcW w:w="1044" w:type="pct"/>
            <w:noWrap w:val="0"/>
            <w:vAlign w:val="center"/>
          </w:tcPr>
          <w:p w14:paraId="33DC351E">
            <w:pPr>
              <w:pageBreakBefore w:val="0"/>
              <w:shd w:val="clear" w:color="auto" w:fill="auto"/>
              <w:topLinePunct w:val="0"/>
              <w:bidi w:val="0"/>
              <w:spacing w:line="500" w:lineRule="exact"/>
              <w:ind w:left="0" w:leftChars="0" w:right="0" w:firstLine="0" w:firstLineChars="0"/>
              <w:jc w:val="left"/>
              <w:rPr>
                <w:rFonts w:hint="eastAsia" w:ascii="宋体" w:hAnsi="宋体" w:eastAsia="宋体" w:cs="宋体"/>
                <w:b/>
                <w:color w:val="auto"/>
                <w:sz w:val="24"/>
                <w:szCs w:val="24"/>
                <w:highlight w:val="none"/>
              </w:rPr>
            </w:pPr>
          </w:p>
        </w:tc>
      </w:tr>
      <w:tr w14:paraId="54DE4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pct"/>
            <w:noWrap w:val="0"/>
            <w:vAlign w:val="center"/>
          </w:tcPr>
          <w:p w14:paraId="5D8E23EC">
            <w:pPr>
              <w:pageBreakBefore w:val="0"/>
              <w:shd w:val="clear" w:color="auto" w:fill="auto"/>
              <w:topLinePunct w:val="0"/>
              <w:bidi w:val="0"/>
              <w:spacing w:line="500" w:lineRule="exact"/>
              <w:ind w:left="0" w:leftChars="0" w:right="0" w:firstLine="0" w:firstLineChars="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w:t>
            </w:r>
          </w:p>
        </w:tc>
        <w:tc>
          <w:tcPr>
            <w:tcW w:w="1445" w:type="pct"/>
            <w:noWrap w:val="0"/>
            <w:vAlign w:val="center"/>
          </w:tcPr>
          <w:p w14:paraId="77010F15">
            <w:pPr>
              <w:pageBreakBefore w:val="0"/>
              <w:shd w:val="clear" w:color="auto" w:fill="auto"/>
              <w:topLinePunct w:val="0"/>
              <w:bidi w:val="0"/>
              <w:spacing w:line="500" w:lineRule="exact"/>
              <w:ind w:left="0" w:leftChars="0" w:right="0" w:firstLine="0" w:firstLineChars="0"/>
              <w:jc w:val="left"/>
              <w:rPr>
                <w:rFonts w:hint="eastAsia" w:ascii="宋体" w:hAnsi="宋体" w:eastAsia="宋体" w:cs="宋体"/>
                <w:b/>
                <w:color w:val="auto"/>
                <w:sz w:val="24"/>
                <w:szCs w:val="24"/>
                <w:highlight w:val="none"/>
              </w:rPr>
            </w:pPr>
          </w:p>
        </w:tc>
        <w:tc>
          <w:tcPr>
            <w:tcW w:w="1410" w:type="pct"/>
            <w:noWrap w:val="0"/>
            <w:vAlign w:val="center"/>
          </w:tcPr>
          <w:p w14:paraId="5CBC6930">
            <w:pPr>
              <w:pageBreakBefore w:val="0"/>
              <w:shd w:val="clear" w:color="auto" w:fill="auto"/>
              <w:topLinePunct w:val="0"/>
              <w:bidi w:val="0"/>
              <w:spacing w:line="500" w:lineRule="exact"/>
              <w:ind w:left="0" w:leftChars="0" w:right="0" w:firstLine="0" w:firstLineChars="0"/>
              <w:jc w:val="left"/>
              <w:rPr>
                <w:rFonts w:hint="eastAsia" w:ascii="宋体" w:hAnsi="宋体" w:eastAsia="宋体" w:cs="宋体"/>
                <w:b/>
                <w:color w:val="auto"/>
                <w:sz w:val="24"/>
                <w:szCs w:val="24"/>
                <w:highlight w:val="none"/>
              </w:rPr>
            </w:pPr>
          </w:p>
        </w:tc>
        <w:tc>
          <w:tcPr>
            <w:tcW w:w="1044" w:type="pct"/>
            <w:noWrap w:val="0"/>
            <w:vAlign w:val="center"/>
          </w:tcPr>
          <w:p w14:paraId="4F85AB48">
            <w:pPr>
              <w:pageBreakBefore w:val="0"/>
              <w:shd w:val="clear" w:color="auto" w:fill="auto"/>
              <w:topLinePunct w:val="0"/>
              <w:bidi w:val="0"/>
              <w:spacing w:line="500" w:lineRule="exact"/>
              <w:ind w:left="0" w:leftChars="0" w:right="0" w:firstLine="0" w:firstLineChars="0"/>
              <w:jc w:val="left"/>
              <w:rPr>
                <w:rFonts w:hint="eastAsia" w:ascii="宋体" w:hAnsi="宋体" w:eastAsia="宋体" w:cs="宋体"/>
                <w:b/>
                <w:color w:val="auto"/>
                <w:sz w:val="24"/>
                <w:szCs w:val="24"/>
                <w:highlight w:val="none"/>
              </w:rPr>
            </w:pPr>
          </w:p>
        </w:tc>
      </w:tr>
    </w:tbl>
    <w:p w14:paraId="0E40B281">
      <w:pPr>
        <w:pageBreakBefore w:val="0"/>
        <w:widowControl/>
        <w:shd w:val="clear" w:color="auto" w:fill="auto"/>
        <w:topLinePunct w:val="0"/>
        <w:bidi w:val="0"/>
        <w:spacing w:line="500" w:lineRule="exact"/>
        <w:ind w:left="0" w:leftChars="0" w:right="0" w:firstLine="0" w:firstLineChars="0"/>
        <w:rPr>
          <w:rFonts w:hint="eastAsia" w:ascii="宋体" w:hAnsi="宋体" w:eastAsia="宋体" w:cs="宋体"/>
          <w:color w:val="auto"/>
          <w:kern w:val="0"/>
          <w:sz w:val="24"/>
          <w:szCs w:val="24"/>
          <w:highlight w:val="none"/>
          <w:lang w:eastAsia="zh-CN"/>
        </w:rPr>
      </w:pPr>
    </w:p>
    <w:p w14:paraId="3C45F036">
      <w:pPr>
        <w:pageBreakBefore w:val="0"/>
        <w:widowControl/>
        <w:shd w:val="clear" w:color="auto" w:fill="auto"/>
        <w:topLinePunct w:val="0"/>
        <w:bidi w:val="0"/>
        <w:spacing w:line="500" w:lineRule="exact"/>
        <w:ind w:left="0" w:leftChars="0" w:right="0" w:firstLine="480" w:firstLineChars="200"/>
        <w:rPr>
          <w:rFonts w:hint="eastAsia" w:ascii="宋体" w:hAnsi="宋体" w:eastAsia="宋体" w:cs="宋体"/>
          <w:color w:val="auto"/>
          <w:spacing w:val="0"/>
          <w:kern w:val="0"/>
          <w:sz w:val="24"/>
          <w:szCs w:val="24"/>
          <w:highlight w:val="none"/>
        </w:rPr>
      </w:pPr>
      <w:r>
        <w:rPr>
          <w:rFonts w:hint="eastAsia" w:ascii="宋体" w:hAnsi="宋体" w:eastAsia="宋体" w:cs="宋体"/>
          <w:color w:val="auto"/>
          <w:kern w:val="0"/>
          <w:sz w:val="24"/>
          <w:szCs w:val="24"/>
          <w:highlight w:val="none"/>
          <w:lang w:val="en-US" w:eastAsia="zh-CN"/>
        </w:rPr>
        <w:t>供应商</w:t>
      </w:r>
      <w:r>
        <w:rPr>
          <w:rFonts w:hint="eastAsia" w:ascii="宋体" w:hAnsi="宋体" w:eastAsia="宋体" w:cs="宋体"/>
          <w:color w:val="auto"/>
          <w:kern w:val="0"/>
          <w:sz w:val="24"/>
          <w:szCs w:val="24"/>
          <w:highlight w:val="none"/>
        </w:rPr>
        <w:t>保证：除技术偏差表列出的偏差外，</w:t>
      </w:r>
      <w:r>
        <w:rPr>
          <w:rFonts w:hint="eastAsia" w:ascii="宋体" w:hAnsi="宋体" w:eastAsia="宋体" w:cs="宋体"/>
          <w:color w:val="auto"/>
          <w:kern w:val="0"/>
          <w:sz w:val="24"/>
          <w:szCs w:val="24"/>
          <w:highlight w:val="none"/>
          <w:lang w:val="en-US" w:eastAsia="zh-CN"/>
        </w:rPr>
        <w:t>供应商响应竞争性磋商</w:t>
      </w:r>
      <w:r>
        <w:rPr>
          <w:rFonts w:hint="eastAsia" w:ascii="宋体" w:hAnsi="宋体" w:eastAsia="宋体" w:cs="宋体"/>
          <w:color w:val="auto"/>
          <w:kern w:val="0"/>
          <w:sz w:val="24"/>
          <w:szCs w:val="24"/>
          <w:highlight w:val="none"/>
          <w:lang w:eastAsia="zh-CN"/>
        </w:rPr>
        <w:t>文件</w:t>
      </w:r>
      <w:r>
        <w:rPr>
          <w:rFonts w:hint="eastAsia" w:ascii="宋体" w:hAnsi="宋体" w:eastAsia="宋体" w:cs="宋体"/>
          <w:color w:val="auto"/>
          <w:kern w:val="0"/>
          <w:sz w:val="24"/>
          <w:szCs w:val="24"/>
          <w:highlight w:val="none"/>
        </w:rPr>
        <w:t>的全部要求。如未填写此表，则视为无偏离。</w:t>
      </w:r>
    </w:p>
    <w:p w14:paraId="19C9B306">
      <w:pPr>
        <w:pageBreakBefore w:val="0"/>
        <w:shd w:val="clear"/>
        <w:topLinePunct w:val="0"/>
        <w:bidi w:val="0"/>
        <w:spacing w:line="500" w:lineRule="exact"/>
        <w:ind w:left="0" w:leftChars="0" w:right="0" w:firstLine="3360" w:firstLineChars="1400"/>
        <w:rPr>
          <w:rFonts w:hint="eastAsia" w:ascii="宋体" w:hAnsi="宋体" w:eastAsia="宋体" w:cs="宋体"/>
          <w:color w:val="auto"/>
          <w:szCs w:val="24"/>
          <w:highlight w:val="none"/>
          <w:u w:val="single"/>
        </w:rPr>
      </w:pPr>
      <w:r>
        <w:rPr>
          <w:rFonts w:hint="eastAsia" w:ascii="宋体" w:hAnsi="宋体" w:eastAsia="宋体" w:cs="宋体"/>
          <w:color w:val="auto"/>
          <w:szCs w:val="24"/>
          <w:highlight w:val="none"/>
          <w:lang w:val="zh-CN"/>
        </w:rPr>
        <w:t>法定代表人或被授权人（签字或盖章）</w:t>
      </w:r>
      <w:r>
        <w:rPr>
          <w:rFonts w:hint="eastAsia" w:ascii="宋体" w:hAnsi="宋体" w:eastAsia="宋体" w:cs="宋体"/>
          <w:color w:val="auto"/>
          <w:szCs w:val="24"/>
          <w:highlight w:val="none"/>
        </w:rPr>
        <w:t>：</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u w:val="single"/>
          <w:lang w:val="en-US" w:eastAsia="zh-CN"/>
        </w:rPr>
        <w:t xml:space="preserve"> </w:t>
      </w:r>
      <w:r>
        <w:rPr>
          <w:rFonts w:hint="eastAsia" w:ascii="宋体" w:hAnsi="宋体" w:eastAsia="宋体" w:cs="宋体"/>
          <w:color w:val="auto"/>
          <w:szCs w:val="24"/>
          <w:highlight w:val="none"/>
          <w:u w:val="single"/>
        </w:rPr>
        <w:t xml:space="preserve">   </w:t>
      </w:r>
    </w:p>
    <w:p w14:paraId="2E5EBE10">
      <w:pPr>
        <w:pageBreakBefore w:val="0"/>
        <w:shd w:val="clear"/>
        <w:topLinePunct w:val="0"/>
        <w:bidi w:val="0"/>
        <w:spacing w:line="500" w:lineRule="exact"/>
        <w:ind w:left="0" w:leftChars="0" w:right="0" w:firstLine="3360" w:firstLineChars="1400"/>
        <w:rPr>
          <w:rFonts w:hint="eastAsia" w:ascii="宋体" w:hAnsi="宋体" w:eastAsia="宋体" w:cs="宋体"/>
          <w:color w:val="auto"/>
          <w:szCs w:val="24"/>
          <w:highlight w:val="none"/>
        </w:rPr>
      </w:pPr>
      <w:r>
        <w:rPr>
          <w:rFonts w:hint="eastAsia" w:ascii="宋体" w:hAnsi="宋体" w:eastAsia="宋体" w:cs="宋体"/>
          <w:color w:val="auto"/>
          <w:sz w:val="24"/>
          <w:szCs w:val="24"/>
          <w:highlight w:val="none"/>
          <w:lang w:eastAsia="zh-CN"/>
        </w:rPr>
        <w:t>供应商名称（</w:t>
      </w:r>
      <w:r>
        <w:rPr>
          <w:rFonts w:hint="eastAsia" w:ascii="宋体" w:hAnsi="宋体" w:eastAsia="宋体" w:cs="宋体"/>
          <w:color w:val="auto"/>
          <w:sz w:val="24"/>
          <w:szCs w:val="24"/>
          <w:highlight w:val="none"/>
        </w:rPr>
        <w:t>公章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u w:val="single"/>
        </w:rPr>
        <w:t>        </w:t>
      </w:r>
      <w:r>
        <w:rPr>
          <w:rFonts w:hint="eastAsia" w:ascii="宋体" w:hAnsi="宋体" w:eastAsia="宋体" w:cs="宋体"/>
          <w:color w:val="auto"/>
          <w:szCs w:val="24"/>
          <w:highlight w:val="none"/>
        </w:rPr>
        <w:t xml:space="preserve">  </w:t>
      </w:r>
    </w:p>
    <w:p w14:paraId="22A82DF5">
      <w:pPr>
        <w:pageBreakBefore w:val="0"/>
        <w:shd w:val="clear"/>
        <w:topLinePunct w:val="0"/>
        <w:bidi w:val="0"/>
        <w:spacing w:line="500" w:lineRule="exact"/>
        <w:ind w:left="0" w:leftChars="0" w:right="0" w:firstLine="3360" w:firstLineChars="1400"/>
        <w:rPr>
          <w:rFonts w:hint="eastAsia" w:ascii="宋体" w:hAnsi="宋体" w:eastAsia="宋体" w:cs="宋体"/>
          <w:color w:val="auto"/>
          <w:highlight w:val="none"/>
          <w:u w:val="single"/>
        </w:rPr>
      </w:pPr>
      <w:r>
        <w:rPr>
          <w:rFonts w:hint="eastAsia" w:ascii="宋体" w:hAnsi="宋体" w:eastAsia="宋体" w:cs="宋体"/>
          <w:color w:val="auto"/>
          <w:szCs w:val="24"/>
          <w:highlight w:val="none"/>
        </w:rPr>
        <w:t>日 期：</w:t>
      </w:r>
      <w:r>
        <w:rPr>
          <w:rFonts w:hint="eastAsia" w:ascii="宋体" w:hAnsi="宋体" w:eastAsia="宋体" w:cs="宋体"/>
          <w:color w:val="auto"/>
          <w:highlight w:val="none"/>
          <w:u w:val="single"/>
        </w:rPr>
        <w:t xml:space="preserve">            </w:t>
      </w:r>
    </w:p>
    <w:p w14:paraId="1161D1FC">
      <w:pPr>
        <w:pageBreakBefore w:val="0"/>
        <w:topLinePunct w:val="0"/>
        <w:bidi w:val="0"/>
        <w:spacing w:line="500" w:lineRule="exact"/>
        <w:ind w:left="0" w:leftChars="0" w:right="0"/>
        <w:rPr>
          <w:rFonts w:hint="eastAsia" w:ascii="宋体" w:hAnsi="宋体" w:eastAsia="宋体" w:cs="宋体"/>
          <w:color w:val="auto"/>
          <w:highlight w:val="none"/>
          <w:u w:val="single"/>
        </w:rPr>
      </w:pPr>
      <w:r>
        <w:rPr>
          <w:rFonts w:hint="eastAsia" w:ascii="宋体" w:hAnsi="宋体" w:eastAsia="宋体" w:cs="宋体"/>
          <w:color w:val="auto"/>
          <w:highlight w:val="none"/>
          <w:u w:val="single"/>
        </w:rPr>
        <w:br w:type="page"/>
      </w:r>
    </w:p>
    <w:p w14:paraId="47D01580">
      <w:pPr>
        <w:pStyle w:val="4"/>
        <w:pageBreakBefore w:val="0"/>
        <w:topLinePunct w:val="0"/>
        <w:bidi w:val="0"/>
        <w:spacing w:before="0" w:after="0" w:line="500" w:lineRule="exact"/>
        <w:ind w:left="0" w:leftChars="0" w:right="0"/>
        <w:jc w:val="center"/>
        <w:rPr>
          <w:rFonts w:hint="eastAsia" w:ascii="宋体" w:hAnsi="宋体" w:eastAsia="宋体" w:cs="宋体"/>
          <w:color w:val="auto"/>
          <w:highlight w:val="none"/>
        </w:rPr>
      </w:pPr>
      <w:bookmarkStart w:id="468" w:name="_Toc18052"/>
      <w:bookmarkStart w:id="469" w:name="_Toc12703"/>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二</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商务偏离表</w:t>
      </w:r>
      <w:bookmarkEnd w:id="468"/>
      <w:bookmarkEnd w:id="469"/>
    </w:p>
    <w:tbl>
      <w:tblPr>
        <w:tblStyle w:val="2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7"/>
        <w:gridCol w:w="3001"/>
        <w:gridCol w:w="3196"/>
        <w:gridCol w:w="2489"/>
      </w:tblGrid>
      <w:tr w14:paraId="2D720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pct"/>
            <w:noWrap w:val="0"/>
            <w:vAlign w:val="center"/>
          </w:tcPr>
          <w:p w14:paraId="119111E1">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507" w:type="pct"/>
            <w:noWrap w:val="0"/>
            <w:vAlign w:val="center"/>
          </w:tcPr>
          <w:p w14:paraId="770F15FB">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lang w:eastAsia="zh-CN"/>
              </w:rPr>
              <w:t>文件</w:t>
            </w:r>
            <w:r>
              <w:rPr>
                <w:rFonts w:hint="eastAsia" w:ascii="宋体" w:hAnsi="宋体" w:eastAsia="宋体" w:cs="宋体"/>
                <w:color w:val="auto"/>
                <w:sz w:val="24"/>
                <w:szCs w:val="24"/>
                <w:highlight w:val="none"/>
              </w:rPr>
              <w:t>章节及条款号</w:t>
            </w:r>
          </w:p>
        </w:tc>
        <w:tc>
          <w:tcPr>
            <w:tcW w:w="1605" w:type="pct"/>
            <w:noWrap w:val="0"/>
            <w:vAlign w:val="center"/>
          </w:tcPr>
          <w:p w14:paraId="404CAF4B">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文件章节及条款号</w:t>
            </w:r>
          </w:p>
        </w:tc>
        <w:tc>
          <w:tcPr>
            <w:tcW w:w="1250" w:type="pct"/>
            <w:noWrap w:val="0"/>
            <w:vAlign w:val="center"/>
          </w:tcPr>
          <w:p w14:paraId="407F0E1C">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偏差说明</w:t>
            </w:r>
          </w:p>
        </w:tc>
      </w:tr>
      <w:tr w14:paraId="6EB62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pct"/>
            <w:noWrap w:val="0"/>
            <w:vAlign w:val="center"/>
          </w:tcPr>
          <w:p w14:paraId="3E2FBBF9">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507" w:type="pct"/>
            <w:noWrap w:val="0"/>
            <w:vAlign w:val="center"/>
          </w:tcPr>
          <w:p w14:paraId="064DAB06">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p>
        </w:tc>
        <w:tc>
          <w:tcPr>
            <w:tcW w:w="1605" w:type="pct"/>
            <w:noWrap w:val="0"/>
            <w:vAlign w:val="center"/>
          </w:tcPr>
          <w:p w14:paraId="1143C634">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p>
        </w:tc>
        <w:tc>
          <w:tcPr>
            <w:tcW w:w="1250" w:type="pct"/>
            <w:noWrap w:val="0"/>
            <w:vAlign w:val="center"/>
          </w:tcPr>
          <w:p w14:paraId="64994C75">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p>
        </w:tc>
      </w:tr>
      <w:tr w14:paraId="342CD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pct"/>
            <w:noWrap w:val="0"/>
            <w:vAlign w:val="center"/>
          </w:tcPr>
          <w:p w14:paraId="03FB0542">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507" w:type="pct"/>
            <w:noWrap w:val="0"/>
            <w:vAlign w:val="center"/>
          </w:tcPr>
          <w:p w14:paraId="769F633F">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p>
        </w:tc>
        <w:tc>
          <w:tcPr>
            <w:tcW w:w="1605" w:type="pct"/>
            <w:noWrap w:val="0"/>
            <w:vAlign w:val="center"/>
          </w:tcPr>
          <w:p w14:paraId="67568DE7">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p>
        </w:tc>
        <w:tc>
          <w:tcPr>
            <w:tcW w:w="1250" w:type="pct"/>
            <w:noWrap w:val="0"/>
            <w:vAlign w:val="center"/>
          </w:tcPr>
          <w:p w14:paraId="7CA90B53">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p>
        </w:tc>
      </w:tr>
      <w:tr w14:paraId="2A1EA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pct"/>
            <w:noWrap w:val="0"/>
            <w:vAlign w:val="center"/>
          </w:tcPr>
          <w:p w14:paraId="595788EF">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507" w:type="pct"/>
            <w:noWrap w:val="0"/>
            <w:vAlign w:val="center"/>
          </w:tcPr>
          <w:p w14:paraId="04B2E612">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p>
        </w:tc>
        <w:tc>
          <w:tcPr>
            <w:tcW w:w="1605" w:type="pct"/>
            <w:noWrap w:val="0"/>
            <w:vAlign w:val="center"/>
          </w:tcPr>
          <w:p w14:paraId="33F2613A">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p>
        </w:tc>
        <w:tc>
          <w:tcPr>
            <w:tcW w:w="1250" w:type="pct"/>
            <w:noWrap w:val="0"/>
            <w:vAlign w:val="center"/>
          </w:tcPr>
          <w:p w14:paraId="3E193F70">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p>
        </w:tc>
      </w:tr>
      <w:tr w14:paraId="7E1BE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pct"/>
            <w:noWrap w:val="0"/>
            <w:vAlign w:val="center"/>
          </w:tcPr>
          <w:p w14:paraId="472F6667">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1507" w:type="pct"/>
            <w:noWrap w:val="0"/>
            <w:vAlign w:val="center"/>
          </w:tcPr>
          <w:p w14:paraId="66044BA9">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p>
        </w:tc>
        <w:tc>
          <w:tcPr>
            <w:tcW w:w="1605" w:type="pct"/>
            <w:noWrap w:val="0"/>
            <w:vAlign w:val="center"/>
          </w:tcPr>
          <w:p w14:paraId="182F6157">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p>
        </w:tc>
        <w:tc>
          <w:tcPr>
            <w:tcW w:w="1250" w:type="pct"/>
            <w:noWrap w:val="0"/>
            <w:vAlign w:val="center"/>
          </w:tcPr>
          <w:p w14:paraId="3813BDCB">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p>
        </w:tc>
      </w:tr>
      <w:tr w14:paraId="5E257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pct"/>
            <w:noWrap w:val="0"/>
            <w:vAlign w:val="center"/>
          </w:tcPr>
          <w:p w14:paraId="6290F2F2">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507" w:type="pct"/>
            <w:noWrap w:val="0"/>
            <w:vAlign w:val="center"/>
          </w:tcPr>
          <w:p w14:paraId="005E760F">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p>
        </w:tc>
        <w:tc>
          <w:tcPr>
            <w:tcW w:w="1605" w:type="pct"/>
            <w:noWrap w:val="0"/>
            <w:vAlign w:val="center"/>
          </w:tcPr>
          <w:p w14:paraId="6C121B48">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p>
        </w:tc>
        <w:tc>
          <w:tcPr>
            <w:tcW w:w="1250" w:type="pct"/>
            <w:noWrap w:val="0"/>
            <w:vAlign w:val="center"/>
          </w:tcPr>
          <w:p w14:paraId="67D0AC71">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p>
        </w:tc>
      </w:tr>
      <w:tr w14:paraId="086F7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pct"/>
            <w:noWrap w:val="0"/>
            <w:vAlign w:val="center"/>
          </w:tcPr>
          <w:p w14:paraId="36AE73B3">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1507" w:type="pct"/>
            <w:noWrap w:val="0"/>
            <w:vAlign w:val="center"/>
          </w:tcPr>
          <w:p w14:paraId="33773C34">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p>
        </w:tc>
        <w:tc>
          <w:tcPr>
            <w:tcW w:w="1605" w:type="pct"/>
            <w:noWrap w:val="0"/>
            <w:vAlign w:val="center"/>
          </w:tcPr>
          <w:p w14:paraId="31C102FC">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p>
        </w:tc>
        <w:tc>
          <w:tcPr>
            <w:tcW w:w="1250" w:type="pct"/>
            <w:noWrap w:val="0"/>
            <w:vAlign w:val="center"/>
          </w:tcPr>
          <w:p w14:paraId="75AFB803">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p>
        </w:tc>
      </w:tr>
      <w:tr w14:paraId="39951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pct"/>
            <w:noWrap w:val="0"/>
            <w:vAlign w:val="center"/>
          </w:tcPr>
          <w:p w14:paraId="5D197A6E">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p>
        </w:tc>
        <w:tc>
          <w:tcPr>
            <w:tcW w:w="1507" w:type="pct"/>
            <w:noWrap w:val="0"/>
            <w:vAlign w:val="center"/>
          </w:tcPr>
          <w:p w14:paraId="1D8BF5E9">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p>
        </w:tc>
        <w:tc>
          <w:tcPr>
            <w:tcW w:w="1605" w:type="pct"/>
            <w:noWrap w:val="0"/>
            <w:vAlign w:val="center"/>
          </w:tcPr>
          <w:p w14:paraId="422509D3">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p>
        </w:tc>
        <w:tc>
          <w:tcPr>
            <w:tcW w:w="1250" w:type="pct"/>
            <w:noWrap w:val="0"/>
            <w:vAlign w:val="center"/>
          </w:tcPr>
          <w:p w14:paraId="3BA1CF9B">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p>
        </w:tc>
      </w:tr>
      <w:tr w14:paraId="1549E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pct"/>
            <w:noWrap w:val="0"/>
            <w:vAlign w:val="center"/>
          </w:tcPr>
          <w:p w14:paraId="25AE5DA4">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p>
        </w:tc>
        <w:tc>
          <w:tcPr>
            <w:tcW w:w="1507" w:type="pct"/>
            <w:noWrap w:val="0"/>
            <w:vAlign w:val="center"/>
          </w:tcPr>
          <w:p w14:paraId="5EEE0AB8">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p>
        </w:tc>
        <w:tc>
          <w:tcPr>
            <w:tcW w:w="1605" w:type="pct"/>
            <w:noWrap w:val="0"/>
            <w:vAlign w:val="center"/>
          </w:tcPr>
          <w:p w14:paraId="35434070">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p>
        </w:tc>
        <w:tc>
          <w:tcPr>
            <w:tcW w:w="1250" w:type="pct"/>
            <w:noWrap w:val="0"/>
            <w:vAlign w:val="center"/>
          </w:tcPr>
          <w:p w14:paraId="6F6D58BE">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p>
        </w:tc>
      </w:tr>
      <w:tr w14:paraId="40D49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pct"/>
            <w:noWrap w:val="0"/>
            <w:vAlign w:val="center"/>
          </w:tcPr>
          <w:p w14:paraId="5755805E">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p>
        </w:tc>
        <w:tc>
          <w:tcPr>
            <w:tcW w:w="1507" w:type="pct"/>
            <w:noWrap w:val="0"/>
            <w:vAlign w:val="center"/>
          </w:tcPr>
          <w:p w14:paraId="14416FA2">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p>
        </w:tc>
        <w:tc>
          <w:tcPr>
            <w:tcW w:w="1605" w:type="pct"/>
            <w:noWrap w:val="0"/>
            <w:vAlign w:val="center"/>
          </w:tcPr>
          <w:p w14:paraId="5031FF8A">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p>
        </w:tc>
        <w:tc>
          <w:tcPr>
            <w:tcW w:w="1250" w:type="pct"/>
            <w:noWrap w:val="0"/>
            <w:vAlign w:val="center"/>
          </w:tcPr>
          <w:p w14:paraId="3AD56DF4">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p>
        </w:tc>
      </w:tr>
      <w:tr w14:paraId="19D3F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pct"/>
            <w:noWrap w:val="0"/>
            <w:vAlign w:val="center"/>
          </w:tcPr>
          <w:p w14:paraId="6DE8D40A">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p>
        </w:tc>
        <w:tc>
          <w:tcPr>
            <w:tcW w:w="1507" w:type="pct"/>
            <w:noWrap w:val="0"/>
            <w:vAlign w:val="center"/>
          </w:tcPr>
          <w:p w14:paraId="562BEB8B">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p>
        </w:tc>
        <w:tc>
          <w:tcPr>
            <w:tcW w:w="1605" w:type="pct"/>
            <w:noWrap w:val="0"/>
            <w:vAlign w:val="center"/>
          </w:tcPr>
          <w:p w14:paraId="50817B29">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p>
        </w:tc>
        <w:tc>
          <w:tcPr>
            <w:tcW w:w="1250" w:type="pct"/>
            <w:noWrap w:val="0"/>
            <w:vAlign w:val="center"/>
          </w:tcPr>
          <w:p w14:paraId="28F28CCA">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p>
        </w:tc>
      </w:tr>
      <w:tr w14:paraId="0C790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pct"/>
            <w:noWrap w:val="0"/>
            <w:vAlign w:val="center"/>
          </w:tcPr>
          <w:p w14:paraId="483F4203">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p>
        </w:tc>
        <w:tc>
          <w:tcPr>
            <w:tcW w:w="1507" w:type="pct"/>
            <w:noWrap w:val="0"/>
            <w:vAlign w:val="center"/>
          </w:tcPr>
          <w:p w14:paraId="366048D5">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p>
        </w:tc>
        <w:tc>
          <w:tcPr>
            <w:tcW w:w="1605" w:type="pct"/>
            <w:noWrap w:val="0"/>
            <w:vAlign w:val="center"/>
          </w:tcPr>
          <w:p w14:paraId="232E5219">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p>
        </w:tc>
        <w:tc>
          <w:tcPr>
            <w:tcW w:w="1250" w:type="pct"/>
            <w:noWrap w:val="0"/>
            <w:vAlign w:val="center"/>
          </w:tcPr>
          <w:p w14:paraId="6EA9A1AF">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p>
        </w:tc>
      </w:tr>
      <w:tr w14:paraId="3F87E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pct"/>
            <w:noWrap w:val="0"/>
            <w:vAlign w:val="center"/>
          </w:tcPr>
          <w:p w14:paraId="5A983998">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1507" w:type="pct"/>
            <w:noWrap w:val="0"/>
            <w:vAlign w:val="center"/>
          </w:tcPr>
          <w:p w14:paraId="6BE98E8E">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p>
        </w:tc>
        <w:tc>
          <w:tcPr>
            <w:tcW w:w="1605" w:type="pct"/>
            <w:noWrap w:val="0"/>
            <w:vAlign w:val="center"/>
          </w:tcPr>
          <w:p w14:paraId="4C0CA2A5">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p>
        </w:tc>
        <w:tc>
          <w:tcPr>
            <w:tcW w:w="1250" w:type="pct"/>
            <w:noWrap w:val="0"/>
            <w:vAlign w:val="center"/>
          </w:tcPr>
          <w:p w14:paraId="5431DB71">
            <w:pPr>
              <w:pageBreakBefore w:val="0"/>
              <w:shd w:val="clear" w:color="auto" w:fill="auto"/>
              <w:topLinePunct w:val="0"/>
              <w:bidi w:val="0"/>
              <w:spacing w:line="500" w:lineRule="exact"/>
              <w:ind w:left="0" w:leftChars="0" w:right="0" w:firstLine="0" w:firstLineChars="0"/>
              <w:jc w:val="center"/>
              <w:rPr>
                <w:rFonts w:hint="eastAsia" w:ascii="宋体" w:hAnsi="宋体" w:eastAsia="宋体" w:cs="宋体"/>
                <w:color w:val="auto"/>
                <w:sz w:val="24"/>
                <w:szCs w:val="24"/>
                <w:highlight w:val="none"/>
              </w:rPr>
            </w:pPr>
          </w:p>
        </w:tc>
      </w:tr>
    </w:tbl>
    <w:p w14:paraId="1C2A9764">
      <w:pPr>
        <w:pageBreakBefore w:val="0"/>
        <w:widowControl/>
        <w:shd w:val="clear" w:color="auto" w:fill="auto"/>
        <w:topLinePunct w:val="0"/>
        <w:bidi w:val="0"/>
        <w:spacing w:line="500" w:lineRule="exact"/>
        <w:ind w:left="0" w:leftChars="0" w:right="0" w:firstLine="210"/>
        <w:rPr>
          <w:rFonts w:hint="eastAsia" w:ascii="宋体" w:hAnsi="宋体" w:eastAsia="宋体" w:cs="宋体"/>
          <w:color w:val="auto"/>
          <w:kern w:val="0"/>
          <w:sz w:val="24"/>
          <w:szCs w:val="24"/>
          <w:highlight w:val="none"/>
          <w:lang w:eastAsia="zh-CN"/>
        </w:rPr>
      </w:pPr>
    </w:p>
    <w:p w14:paraId="1E2451A3">
      <w:pPr>
        <w:pageBreakBefore w:val="0"/>
        <w:widowControl/>
        <w:shd w:val="clear" w:color="auto" w:fill="auto"/>
        <w:topLinePunct w:val="0"/>
        <w:bidi w:val="0"/>
        <w:spacing w:line="500" w:lineRule="exact"/>
        <w:ind w:left="0" w:leftChars="0" w:right="0" w:firstLine="21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供应商</w:t>
      </w:r>
      <w:r>
        <w:rPr>
          <w:rFonts w:hint="eastAsia" w:ascii="宋体" w:hAnsi="宋体" w:eastAsia="宋体" w:cs="宋体"/>
          <w:color w:val="auto"/>
          <w:kern w:val="0"/>
          <w:sz w:val="24"/>
          <w:szCs w:val="24"/>
          <w:highlight w:val="none"/>
        </w:rPr>
        <w:t>保证：除商务偏差表列出的偏差外，</w:t>
      </w:r>
      <w:r>
        <w:rPr>
          <w:rFonts w:hint="eastAsia" w:ascii="宋体" w:hAnsi="宋体" w:eastAsia="宋体" w:cs="宋体"/>
          <w:color w:val="auto"/>
          <w:kern w:val="0"/>
          <w:sz w:val="24"/>
          <w:szCs w:val="24"/>
          <w:highlight w:val="none"/>
          <w:lang w:val="en-US" w:eastAsia="zh-CN"/>
        </w:rPr>
        <w:t>供应商响应竞争性磋商</w:t>
      </w:r>
      <w:r>
        <w:rPr>
          <w:rFonts w:hint="eastAsia" w:ascii="宋体" w:hAnsi="宋体" w:eastAsia="宋体" w:cs="宋体"/>
          <w:color w:val="auto"/>
          <w:kern w:val="0"/>
          <w:sz w:val="24"/>
          <w:szCs w:val="24"/>
          <w:highlight w:val="none"/>
          <w:lang w:eastAsia="zh-CN"/>
        </w:rPr>
        <w:t>文件</w:t>
      </w:r>
      <w:r>
        <w:rPr>
          <w:rFonts w:hint="eastAsia" w:ascii="宋体" w:hAnsi="宋体" w:eastAsia="宋体" w:cs="宋体"/>
          <w:color w:val="auto"/>
          <w:kern w:val="0"/>
          <w:sz w:val="24"/>
          <w:szCs w:val="24"/>
          <w:highlight w:val="none"/>
        </w:rPr>
        <w:t>的全部要求。如未填写此表，则视为无偏离。</w:t>
      </w:r>
    </w:p>
    <w:p w14:paraId="085CD78E">
      <w:pPr>
        <w:pageBreakBefore w:val="0"/>
        <w:shd w:val="clear"/>
        <w:topLinePunct w:val="0"/>
        <w:bidi w:val="0"/>
        <w:spacing w:line="500" w:lineRule="exact"/>
        <w:ind w:left="0" w:leftChars="0" w:right="0" w:firstLine="3360" w:firstLineChars="1400"/>
        <w:rPr>
          <w:rFonts w:hint="eastAsia" w:ascii="宋体" w:hAnsi="宋体" w:eastAsia="宋体" w:cs="宋体"/>
          <w:color w:val="auto"/>
          <w:szCs w:val="24"/>
          <w:highlight w:val="none"/>
          <w:u w:val="single"/>
        </w:rPr>
      </w:pPr>
      <w:r>
        <w:rPr>
          <w:rFonts w:hint="eastAsia" w:ascii="宋体" w:hAnsi="宋体" w:eastAsia="宋体" w:cs="宋体"/>
          <w:color w:val="auto"/>
          <w:szCs w:val="24"/>
          <w:highlight w:val="none"/>
          <w:lang w:val="zh-CN"/>
        </w:rPr>
        <w:t>法定代表人或被授权人（签字或盖章）</w:t>
      </w:r>
      <w:r>
        <w:rPr>
          <w:rFonts w:hint="eastAsia" w:ascii="宋体" w:hAnsi="宋体" w:eastAsia="宋体" w:cs="宋体"/>
          <w:color w:val="auto"/>
          <w:szCs w:val="24"/>
          <w:highlight w:val="none"/>
        </w:rPr>
        <w:t>：</w:t>
      </w:r>
      <w:r>
        <w:rPr>
          <w:rFonts w:hint="eastAsia" w:ascii="宋体" w:hAnsi="宋体" w:eastAsia="宋体" w:cs="宋体"/>
          <w:color w:val="auto"/>
          <w:szCs w:val="24"/>
          <w:highlight w:val="none"/>
          <w:u w:val="single"/>
        </w:rPr>
        <w:t xml:space="preserve">      </w:t>
      </w:r>
    </w:p>
    <w:p w14:paraId="24E3DDD0">
      <w:pPr>
        <w:pageBreakBefore w:val="0"/>
        <w:shd w:val="clear"/>
        <w:topLinePunct w:val="0"/>
        <w:bidi w:val="0"/>
        <w:spacing w:line="500" w:lineRule="exact"/>
        <w:ind w:left="0" w:leftChars="0" w:right="0" w:firstLine="3360" w:firstLineChars="1400"/>
        <w:rPr>
          <w:rFonts w:hint="eastAsia" w:ascii="宋体" w:hAnsi="宋体" w:eastAsia="宋体" w:cs="宋体"/>
          <w:color w:val="auto"/>
          <w:szCs w:val="24"/>
          <w:highlight w:val="none"/>
        </w:rPr>
      </w:pPr>
      <w:r>
        <w:rPr>
          <w:rFonts w:hint="eastAsia" w:ascii="宋体" w:hAnsi="宋体" w:eastAsia="宋体" w:cs="宋体"/>
          <w:color w:val="auto"/>
          <w:sz w:val="24"/>
          <w:szCs w:val="24"/>
          <w:highlight w:val="none"/>
          <w:lang w:eastAsia="zh-CN"/>
        </w:rPr>
        <w:t>供应商名称（</w:t>
      </w:r>
      <w:r>
        <w:rPr>
          <w:rFonts w:hint="eastAsia" w:ascii="宋体" w:hAnsi="宋体" w:eastAsia="宋体" w:cs="宋体"/>
          <w:color w:val="auto"/>
          <w:sz w:val="24"/>
          <w:szCs w:val="24"/>
          <w:highlight w:val="none"/>
        </w:rPr>
        <w:t>公章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u w:val="single"/>
        </w:rPr>
        <w:t>        </w:t>
      </w:r>
      <w:r>
        <w:rPr>
          <w:rFonts w:hint="eastAsia" w:ascii="宋体" w:hAnsi="宋体" w:eastAsia="宋体" w:cs="宋体"/>
          <w:color w:val="auto"/>
          <w:szCs w:val="24"/>
          <w:highlight w:val="none"/>
        </w:rPr>
        <w:t xml:space="preserve">  </w:t>
      </w:r>
    </w:p>
    <w:p w14:paraId="67826676">
      <w:pPr>
        <w:pageBreakBefore w:val="0"/>
        <w:shd w:val="clear"/>
        <w:topLinePunct w:val="0"/>
        <w:bidi w:val="0"/>
        <w:spacing w:line="500" w:lineRule="exact"/>
        <w:ind w:left="0" w:leftChars="0" w:right="0" w:firstLine="3360" w:firstLineChars="1400"/>
        <w:rPr>
          <w:rFonts w:hint="eastAsia" w:ascii="宋体" w:hAnsi="宋体" w:eastAsia="宋体" w:cs="宋体"/>
          <w:color w:val="auto"/>
          <w:highlight w:val="none"/>
          <w:u w:val="single"/>
        </w:rPr>
      </w:pPr>
      <w:r>
        <w:rPr>
          <w:rFonts w:hint="eastAsia" w:ascii="宋体" w:hAnsi="宋体" w:eastAsia="宋体" w:cs="宋体"/>
          <w:color w:val="auto"/>
          <w:szCs w:val="24"/>
          <w:highlight w:val="none"/>
        </w:rPr>
        <w:t>日 期：</w:t>
      </w:r>
      <w:r>
        <w:rPr>
          <w:rFonts w:hint="eastAsia" w:ascii="宋体" w:hAnsi="宋体" w:eastAsia="宋体" w:cs="宋体"/>
          <w:color w:val="auto"/>
          <w:highlight w:val="none"/>
          <w:u w:val="single"/>
        </w:rPr>
        <w:t xml:space="preserve">            </w:t>
      </w:r>
    </w:p>
    <w:p w14:paraId="48EB16BC">
      <w:pPr>
        <w:pStyle w:val="12"/>
        <w:pageBreakBefore w:val="0"/>
        <w:topLinePunct w:val="0"/>
        <w:bidi w:val="0"/>
        <w:spacing w:after="0" w:line="500" w:lineRule="exact"/>
        <w:ind w:left="0" w:leftChars="0" w:right="0"/>
        <w:rPr>
          <w:rFonts w:hint="eastAsia" w:ascii="宋体" w:hAnsi="宋体" w:eastAsia="宋体" w:cs="宋体"/>
          <w:b/>
          <w:bCs/>
          <w:color w:val="auto"/>
          <w:highlight w:val="none"/>
        </w:rPr>
      </w:pPr>
    </w:p>
    <w:bookmarkEnd w:id="402"/>
    <w:bookmarkEnd w:id="403"/>
    <w:bookmarkEnd w:id="404"/>
    <w:bookmarkEnd w:id="405"/>
    <w:bookmarkEnd w:id="406"/>
    <w:bookmarkEnd w:id="407"/>
    <w:bookmarkEnd w:id="408"/>
    <w:bookmarkEnd w:id="409"/>
    <w:bookmarkEnd w:id="410"/>
    <w:bookmarkEnd w:id="411"/>
    <w:bookmarkEnd w:id="412"/>
    <w:bookmarkEnd w:id="413"/>
    <w:p w14:paraId="6193D79E">
      <w:pPr>
        <w:pageBreakBefore w:val="0"/>
        <w:topLinePunct w:val="0"/>
        <w:bidi w:val="0"/>
        <w:spacing w:line="500" w:lineRule="exact"/>
        <w:ind w:left="0" w:leftChars="0" w:right="0"/>
        <w:rPr>
          <w:rFonts w:hint="eastAsia" w:ascii="宋体" w:hAnsi="宋体" w:eastAsia="宋体" w:cs="宋体"/>
          <w:color w:val="auto"/>
          <w:highlight w:val="none"/>
        </w:rPr>
      </w:pPr>
      <w:bookmarkStart w:id="470" w:name="_Toc4163"/>
      <w:r>
        <w:rPr>
          <w:rFonts w:hint="eastAsia" w:ascii="宋体" w:hAnsi="宋体" w:eastAsia="宋体" w:cs="宋体"/>
          <w:color w:val="auto"/>
          <w:highlight w:val="none"/>
        </w:rPr>
        <w:br w:type="page"/>
      </w:r>
    </w:p>
    <w:p w14:paraId="24A56AF8">
      <w:pPr>
        <w:pStyle w:val="3"/>
        <w:pageBreakBefore w:val="0"/>
        <w:topLinePunct w:val="0"/>
        <w:bidi w:val="0"/>
        <w:spacing w:before="0" w:after="0" w:line="240" w:lineRule="auto"/>
        <w:ind w:left="0" w:leftChars="0" w:right="0"/>
        <w:jc w:val="center"/>
        <w:rPr>
          <w:rFonts w:hint="eastAsia" w:ascii="宋体" w:hAnsi="宋体" w:eastAsia="宋体" w:cs="宋体"/>
          <w:color w:val="auto"/>
          <w:highlight w:val="none"/>
          <w:lang w:val="en-US" w:eastAsia="zh-CN"/>
        </w:rPr>
      </w:pPr>
      <w:bookmarkStart w:id="471" w:name="_Toc8570"/>
      <w:bookmarkStart w:id="472" w:name="_Toc11780"/>
      <w:r>
        <w:rPr>
          <w:rFonts w:hint="eastAsia" w:ascii="宋体" w:hAnsi="宋体" w:eastAsia="宋体" w:cs="宋体"/>
          <w:color w:val="auto"/>
          <w:highlight w:val="none"/>
          <w:lang w:val="en-US" w:eastAsia="zh-CN"/>
        </w:rPr>
        <w:t>八、</w:t>
      </w:r>
      <w:bookmarkEnd w:id="471"/>
      <w:bookmarkStart w:id="473" w:name="_Toc6481"/>
      <w:bookmarkStart w:id="474" w:name="_Toc6671"/>
      <w:bookmarkStart w:id="475" w:name="_Toc17648"/>
      <w:bookmarkStart w:id="476" w:name="_Toc276"/>
      <w:bookmarkStart w:id="477" w:name="_Toc27810"/>
      <w:bookmarkStart w:id="478" w:name="_Toc31503"/>
      <w:r>
        <w:rPr>
          <w:rFonts w:hint="eastAsia" w:ascii="宋体" w:hAnsi="宋体" w:eastAsia="宋体" w:cs="宋体"/>
          <w:color w:val="auto"/>
          <w:highlight w:val="none"/>
          <w:lang w:val="en-US" w:eastAsia="zh-CN"/>
        </w:rPr>
        <w:t>投标响应方案</w:t>
      </w:r>
      <w:bookmarkEnd w:id="472"/>
      <w:bookmarkEnd w:id="473"/>
      <w:bookmarkEnd w:id="474"/>
      <w:bookmarkEnd w:id="475"/>
      <w:bookmarkEnd w:id="476"/>
      <w:bookmarkEnd w:id="477"/>
      <w:bookmarkEnd w:id="478"/>
    </w:p>
    <w:p w14:paraId="04FFA0A9">
      <w:pPr>
        <w:spacing w:before="163" w:beforeLines="50" w:after="163" w:afterLines="50" w:line="500" w:lineRule="exact"/>
        <w:jc w:val="center"/>
        <w:rPr>
          <w:rFonts w:hAnsi="宋体" w:cs="宋体"/>
          <w:b/>
          <w:color w:val="auto"/>
          <w:sz w:val="21"/>
          <w:szCs w:val="21"/>
        </w:rPr>
      </w:pPr>
      <w:bookmarkStart w:id="479" w:name="_Toc2986"/>
      <w:bookmarkStart w:id="480" w:name="_Toc18730"/>
      <w:r>
        <w:rPr>
          <w:rFonts w:hint="eastAsia" w:hAnsi="宋体" w:cs="宋体"/>
          <w:b/>
          <w:bCs/>
          <w:color w:val="auto"/>
          <w:sz w:val="28"/>
          <w:szCs w:val="28"/>
        </w:rPr>
        <w:t>一、</w:t>
      </w:r>
      <w:r>
        <w:rPr>
          <w:rFonts w:hint="eastAsia" w:hAnsi="宋体" w:cs="宋体"/>
          <w:b/>
          <w:color w:val="auto"/>
          <w:sz w:val="28"/>
          <w:szCs w:val="28"/>
        </w:rPr>
        <w:t>投标人基本信息</w:t>
      </w:r>
    </w:p>
    <w:tbl>
      <w:tblPr>
        <w:tblStyle w:val="26"/>
        <w:tblW w:w="918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86"/>
        <w:gridCol w:w="1586"/>
        <w:gridCol w:w="1533"/>
        <w:gridCol w:w="1417"/>
        <w:gridCol w:w="1560"/>
        <w:gridCol w:w="1398"/>
      </w:tblGrid>
      <w:tr w14:paraId="0523F2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top w:val="single" w:color="auto" w:sz="12" w:space="0"/>
              <w:left w:val="single" w:color="auto" w:sz="12" w:space="0"/>
              <w:bottom w:val="single" w:color="auto" w:sz="6" w:space="0"/>
              <w:right w:val="single" w:color="auto" w:sz="12" w:space="0"/>
            </w:tcBorders>
            <w:shd w:val="clear" w:color="auto" w:fill="E5B8B7"/>
            <w:noWrap w:val="0"/>
            <w:vAlign w:val="center"/>
          </w:tcPr>
          <w:p w14:paraId="55A999A7">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r>
              <w:rPr>
                <w:rFonts w:hint="eastAsia" w:hAnsi="宋体" w:cs="宋体"/>
                <w:color w:val="auto"/>
                <w:sz w:val="24"/>
                <w:szCs w:val="24"/>
              </w:rPr>
              <w:t>单位基本情况</w:t>
            </w:r>
          </w:p>
        </w:tc>
      </w:tr>
      <w:tr w14:paraId="5892BBD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bottom w:val="single" w:color="auto" w:sz="6" w:space="0"/>
            </w:tcBorders>
            <w:noWrap w:val="0"/>
            <w:vAlign w:val="center"/>
          </w:tcPr>
          <w:p w14:paraId="0FCEFBB9">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r>
              <w:rPr>
                <w:rFonts w:hint="eastAsia" w:hAnsi="宋体" w:cs="宋体"/>
                <w:color w:val="auto"/>
                <w:sz w:val="24"/>
                <w:szCs w:val="24"/>
              </w:rPr>
              <w:t>投标人全称</w:t>
            </w:r>
          </w:p>
        </w:tc>
        <w:tc>
          <w:tcPr>
            <w:tcW w:w="7494" w:type="dxa"/>
            <w:gridSpan w:val="5"/>
            <w:tcBorders>
              <w:top w:val="single" w:color="auto" w:sz="6" w:space="0"/>
              <w:bottom w:val="single" w:color="auto" w:sz="6" w:space="0"/>
              <w:right w:val="single" w:color="auto" w:sz="12" w:space="0"/>
            </w:tcBorders>
            <w:noWrap w:val="0"/>
            <w:vAlign w:val="center"/>
          </w:tcPr>
          <w:p w14:paraId="79B56E73">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p>
        </w:tc>
      </w:tr>
      <w:tr w14:paraId="3613D7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tcBorders>
            <w:noWrap w:val="0"/>
            <w:vAlign w:val="center"/>
          </w:tcPr>
          <w:p w14:paraId="4F90C754">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r>
              <w:rPr>
                <w:rFonts w:hint="eastAsia" w:hAnsi="宋体" w:cs="宋体"/>
                <w:color w:val="auto"/>
                <w:sz w:val="24"/>
                <w:szCs w:val="24"/>
              </w:rPr>
              <w:t>注册地址</w:t>
            </w:r>
          </w:p>
        </w:tc>
        <w:tc>
          <w:tcPr>
            <w:tcW w:w="3119" w:type="dxa"/>
            <w:gridSpan w:val="2"/>
            <w:tcBorders>
              <w:top w:val="single" w:color="auto" w:sz="6" w:space="0"/>
            </w:tcBorders>
            <w:noWrap w:val="0"/>
            <w:vAlign w:val="center"/>
          </w:tcPr>
          <w:p w14:paraId="219A1CEA">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p>
        </w:tc>
        <w:tc>
          <w:tcPr>
            <w:tcW w:w="1417" w:type="dxa"/>
            <w:tcBorders>
              <w:top w:val="single" w:color="auto" w:sz="6" w:space="0"/>
            </w:tcBorders>
            <w:noWrap w:val="0"/>
            <w:vAlign w:val="center"/>
          </w:tcPr>
          <w:p w14:paraId="6ADC5877">
            <w:pPr>
              <w:keepNext w:val="0"/>
              <w:keepLines w:val="0"/>
              <w:suppressLineNumbers w:val="0"/>
              <w:autoSpaceDE w:val="0"/>
              <w:autoSpaceDN w:val="0"/>
              <w:adjustRightInd w:val="0"/>
              <w:spacing w:before="0" w:beforeAutospacing="0" w:after="0" w:afterAutospacing="0" w:line="320" w:lineRule="exact"/>
              <w:ind w:left="0" w:right="0"/>
              <w:jc w:val="center"/>
              <w:rPr>
                <w:rFonts w:hint="default" w:hAnsi="宋体" w:cs="宋体"/>
                <w:color w:val="auto"/>
                <w:sz w:val="24"/>
                <w:szCs w:val="24"/>
              </w:rPr>
            </w:pPr>
            <w:r>
              <w:rPr>
                <w:rFonts w:hint="eastAsia" w:hAnsi="宋体" w:cs="宋体"/>
                <w:color w:val="auto"/>
                <w:sz w:val="24"/>
                <w:szCs w:val="24"/>
              </w:rPr>
              <w:t>成立时间</w:t>
            </w:r>
          </w:p>
        </w:tc>
        <w:tc>
          <w:tcPr>
            <w:tcW w:w="2958" w:type="dxa"/>
            <w:gridSpan w:val="2"/>
            <w:tcBorders>
              <w:top w:val="single" w:color="auto" w:sz="6" w:space="0"/>
              <w:right w:val="single" w:color="auto" w:sz="12" w:space="0"/>
            </w:tcBorders>
            <w:noWrap w:val="0"/>
            <w:vAlign w:val="center"/>
          </w:tcPr>
          <w:p w14:paraId="2CF817E7">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p>
        </w:tc>
      </w:tr>
      <w:tr w14:paraId="203F6B6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59E224BF">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r>
              <w:rPr>
                <w:rFonts w:hint="eastAsia" w:hAnsi="宋体" w:cs="宋体"/>
                <w:color w:val="auto"/>
                <w:sz w:val="24"/>
                <w:szCs w:val="24"/>
              </w:rPr>
              <w:t>登记证号</w:t>
            </w:r>
          </w:p>
        </w:tc>
        <w:tc>
          <w:tcPr>
            <w:tcW w:w="3119" w:type="dxa"/>
            <w:gridSpan w:val="2"/>
            <w:noWrap w:val="0"/>
            <w:vAlign w:val="center"/>
          </w:tcPr>
          <w:p w14:paraId="3280771A">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p>
        </w:tc>
        <w:tc>
          <w:tcPr>
            <w:tcW w:w="1417" w:type="dxa"/>
            <w:noWrap w:val="0"/>
            <w:vAlign w:val="center"/>
          </w:tcPr>
          <w:p w14:paraId="7B8F8509">
            <w:pPr>
              <w:keepNext w:val="0"/>
              <w:keepLines w:val="0"/>
              <w:suppressLineNumbers w:val="0"/>
              <w:autoSpaceDE w:val="0"/>
              <w:autoSpaceDN w:val="0"/>
              <w:adjustRightInd w:val="0"/>
              <w:spacing w:before="0" w:beforeAutospacing="0" w:after="0" w:afterAutospacing="0" w:line="320" w:lineRule="exact"/>
              <w:ind w:left="0" w:right="0"/>
              <w:jc w:val="center"/>
              <w:rPr>
                <w:rFonts w:hint="default" w:hAnsi="宋体" w:cs="宋体"/>
                <w:color w:val="auto"/>
                <w:sz w:val="24"/>
                <w:szCs w:val="24"/>
              </w:rPr>
            </w:pPr>
            <w:r>
              <w:rPr>
                <w:rFonts w:hint="eastAsia" w:hAnsi="宋体" w:cs="宋体"/>
                <w:color w:val="auto"/>
                <w:sz w:val="24"/>
                <w:szCs w:val="24"/>
              </w:rPr>
              <w:t>单位性质</w:t>
            </w:r>
          </w:p>
        </w:tc>
        <w:tc>
          <w:tcPr>
            <w:tcW w:w="2958" w:type="dxa"/>
            <w:gridSpan w:val="2"/>
            <w:tcBorders>
              <w:right w:val="single" w:color="auto" w:sz="12" w:space="0"/>
            </w:tcBorders>
            <w:noWrap w:val="0"/>
            <w:vAlign w:val="center"/>
          </w:tcPr>
          <w:p w14:paraId="2CCAE8F9">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p>
        </w:tc>
      </w:tr>
      <w:tr w14:paraId="6D0DA7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66911C66">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r>
              <w:rPr>
                <w:rFonts w:hint="eastAsia" w:hAnsi="宋体" w:cs="宋体"/>
                <w:color w:val="auto"/>
                <w:sz w:val="24"/>
                <w:szCs w:val="24"/>
              </w:rPr>
              <w:t>法定代表人</w:t>
            </w:r>
          </w:p>
          <w:p w14:paraId="51A4821E">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r>
              <w:rPr>
                <w:rFonts w:hint="eastAsia" w:hAnsi="宋体" w:cs="宋体"/>
                <w:color w:val="auto"/>
                <w:sz w:val="24"/>
                <w:szCs w:val="24"/>
              </w:rPr>
              <w:t>(主要负责人)</w:t>
            </w:r>
          </w:p>
        </w:tc>
        <w:tc>
          <w:tcPr>
            <w:tcW w:w="3119" w:type="dxa"/>
            <w:gridSpan w:val="2"/>
            <w:noWrap w:val="0"/>
            <w:vAlign w:val="center"/>
          </w:tcPr>
          <w:p w14:paraId="4979A2E7">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p>
        </w:tc>
        <w:tc>
          <w:tcPr>
            <w:tcW w:w="1417" w:type="dxa"/>
            <w:noWrap w:val="0"/>
            <w:vAlign w:val="center"/>
          </w:tcPr>
          <w:p w14:paraId="7F06C9C1">
            <w:pPr>
              <w:keepNext w:val="0"/>
              <w:keepLines w:val="0"/>
              <w:suppressLineNumbers w:val="0"/>
              <w:autoSpaceDE w:val="0"/>
              <w:autoSpaceDN w:val="0"/>
              <w:adjustRightInd w:val="0"/>
              <w:spacing w:before="0" w:beforeAutospacing="0" w:after="0" w:afterAutospacing="0" w:line="320" w:lineRule="exact"/>
              <w:ind w:left="0" w:right="0"/>
              <w:jc w:val="center"/>
              <w:rPr>
                <w:rFonts w:hint="default" w:hAnsi="宋体" w:cs="宋体"/>
                <w:color w:val="auto"/>
                <w:sz w:val="24"/>
                <w:szCs w:val="24"/>
              </w:rPr>
            </w:pPr>
            <w:r>
              <w:rPr>
                <w:rFonts w:hint="eastAsia" w:hAnsi="宋体" w:cs="宋体"/>
                <w:color w:val="auto"/>
                <w:sz w:val="24"/>
                <w:szCs w:val="24"/>
              </w:rPr>
              <w:t>所属行业</w:t>
            </w:r>
          </w:p>
        </w:tc>
        <w:tc>
          <w:tcPr>
            <w:tcW w:w="2958" w:type="dxa"/>
            <w:gridSpan w:val="2"/>
            <w:tcBorders>
              <w:right w:val="single" w:color="auto" w:sz="12" w:space="0"/>
            </w:tcBorders>
            <w:noWrap w:val="0"/>
            <w:vAlign w:val="center"/>
          </w:tcPr>
          <w:p w14:paraId="0047DC0A">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p>
        </w:tc>
      </w:tr>
      <w:tr w14:paraId="7BEA447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75CA8596">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r>
              <w:rPr>
                <w:rFonts w:hint="eastAsia" w:hAnsi="宋体" w:cs="宋体"/>
                <w:color w:val="auto"/>
                <w:sz w:val="24"/>
                <w:szCs w:val="24"/>
              </w:rPr>
              <w:t>上年度</w:t>
            </w:r>
          </w:p>
          <w:p w14:paraId="30347A0E">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r>
              <w:rPr>
                <w:rFonts w:hint="eastAsia" w:hAnsi="宋体" w:cs="宋体"/>
                <w:color w:val="auto"/>
                <w:sz w:val="24"/>
                <w:szCs w:val="24"/>
              </w:rPr>
              <w:t>营业收入</w:t>
            </w:r>
          </w:p>
        </w:tc>
        <w:tc>
          <w:tcPr>
            <w:tcW w:w="3119" w:type="dxa"/>
            <w:gridSpan w:val="2"/>
            <w:noWrap w:val="0"/>
            <w:vAlign w:val="center"/>
          </w:tcPr>
          <w:p w14:paraId="2B092BDE">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p>
        </w:tc>
        <w:tc>
          <w:tcPr>
            <w:tcW w:w="1417" w:type="dxa"/>
            <w:noWrap w:val="0"/>
            <w:vAlign w:val="center"/>
          </w:tcPr>
          <w:p w14:paraId="115B2CCE">
            <w:pPr>
              <w:keepNext w:val="0"/>
              <w:keepLines w:val="0"/>
              <w:suppressLineNumbers w:val="0"/>
              <w:autoSpaceDE w:val="0"/>
              <w:autoSpaceDN w:val="0"/>
              <w:adjustRightInd w:val="0"/>
              <w:spacing w:before="0" w:beforeAutospacing="0" w:after="0" w:afterAutospacing="0" w:line="320" w:lineRule="exact"/>
              <w:ind w:left="0" w:right="0"/>
              <w:jc w:val="center"/>
              <w:rPr>
                <w:rFonts w:hint="default" w:hAnsi="宋体" w:cs="宋体"/>
                <w:color w:val="auto"/>
                <w:sz w:val="24"/>
                <w:szCs w:val="24"/>
              </w:rPr>
            </w:pPr>
            <w:r>
              <w:rPr>
                <w:rFonts w:hint="eastAsia" w:hAnsi="宋体" w:cs="宋体"/>
                <w:color w:val="auto"/>
                <w:sz w:val="24"/>
                <w:szCs w:val="24"/>
              </w:rPr>
              <w:t>资产总额</w:t>
            </w:r>
          </w:p>
        </w:tc>
        <w:tc>
          <w:tcPr>
            <w:tcW w:w="2958" w:type="dxa"/>
            <w:gridSpan w:val="2"/>
            <w:tcBorders>
              <w:right w:val="single" w:color="auto" w:sz="12" w:space="0"/>
            </w:tcBorders>
            <w:noWrap w:val="0"/>
            <w:vAlign w:val="center"/>
          </w:tcPr>
          <w:p w14:paraId="6510F904">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p>
        </w:tc>
      </w:tr>
      <w:tr w14:paraId="56F17D7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99" w:hRule="atLeast"/>
          <w:jc w:val="center"/>
        </w:trPr>
        <w:tc>
          <w:tcPr>
            <w:tcW w:w="1686" w:type="dxa"/>
            <w:tcBorders>
              <w:left w:val="single" w:color="auto" w:sz="12" w:space="0"/>
            </w:tcBorders>
            <w:noWrap w:val="0"/>
            <w:vAlign w:val="center"/>
          </w:tcPr>
          <w:p w14:paraId="09FE97FF">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r>
              <w:rPr>
                <w:rFonts w:hint="eastAsia" w:hAnsi="宋体" w:cs="宋体"/>
                <w:color w:val="auto"/>
                <w:sz w:val="24"/>
                <w:szCs w:val="24"/>
              </w:rPr>
              <w:t>所获得资质及等级(国家行政部门颁发)</w:t>
            </w:r>
          </w:p>
        </w:tc>
        <w:tc>
          <w:tcPr>
            <w:tcW w:w="7494" w:type="dxa"/>
            <w:gridSpan w:val="5"/>
            <w:tcBorders>
              <w:right w:val="single" w:color="auto" w:sz="12" w:space="0"/>
            </w:tcBorders>
            <w:noWrap w:val="0"/>
            <w:vAlign w:val="center"/>
          </w:tcPr>
          <w:p w14:paraId="554E4088">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p>
          <w:p w14:paraId="403DD7FC">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p>
        </w:tc>
      </w:tr>
      <w:tr w14:paraId="6CD17A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958" w:hRule="atLeast"/>
          <w:jc w:val="center"/>
        </w:trPr>
        <w:tc>
          <w:tcPr>
            <w:tcW w:w="1686" w:type="dxa"/>
            <w:tcBorders>
              <w:left w:val="single" w:color="auto" w:sz="12" w:space="0"/>
            </w:tcBorders>
            <w:noWrap w:val="0"/>
            <w:vAlign w:val="center"/>
          </w:tcPr>
          <w:p w14:paraId="0C1506EB">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r>
              <w:rPr>
                <w:rFonts w:hint="eastAsia" w:hAnsi="宋体" w:cs="宋体"/>
                <w:color w:val="auto"/>
                <w:sz w:val="24"/>
                <w:szCs w:val="24"/>
              </w:rPr>
              <w:t>经营范围</w:t>
            </w:r>
          </w:p>
        </w:tc>
        <w:tc>
          <w:tcPr>
            <w:tcW w:w="7494" w:type="dxa"/>
            <w:gridSpan w:val="5"/>
            <w:tcBorders>
              <w:right w:val="single" w:color="auto" w:sz="12" w:space="0"/>
            </w:tcBorders>
            <w:noWrap w:val="0"/>
            <w:vAlign w:val="center"/>
          </w:tcPr>
          <w:p w14:paraId="697A315D">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p>
        </w:tc>
      </w:tr>
      <w:tr w14:paraId="602E1A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left w:val="single" w:color="auto" w:sz="12" w:space="0"/>
              <w:right w:val="single" w:color="auto" w:sz="12" w:space="0"/>
            </w:tcBorders>
            <w:shd w:val="clear" w:color="auto" w:fill="E5B8B7"/>
            <w:noWrap w:val="0"/>
            <w:vAlign w:val="center"/>
          </w:tcPr>
          <w:p w14:paraId="547AB87D">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r>
              <w:rPr>
                <w:rFonts w:hint="eastAsia" w:hAnsi="宋体" w:cs="宋体"/>
                <w:color w:val="auto"/>
                <w:sz w:val="24"/>
                <w:szCs w:val="24"/>
              </w:rPr>
              <w:t>人员情况</w:t>
            </w:r>
          </w:p>
        </w:tc>
      </w:tr>
      <w:tr w14:paraId="3CBC8BD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restart"/>
            <w:tcBorders>
              <w:left w:val="single" w:color="auto" w:sz="12" w:space="0"/>
            </w:tcBorders>
            <w:noWrap w:val="0"/>
            <w:vAlign w:val="center"/>
          </w:tcPr>
          <w:p w14:paraId="60B84B6C">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r>
              <w:rPr>
                <w:rFonts w:hint="eastAsia" w:hAnsi="宋体" w:cs="宋体"/>
                <w:color w:val="auto"/>
                <w:sz w:val="24"/>
                <w:szCs w:val="24"/>
              </w:rPr>
              <w:t>从业人员总数</w:t>
            </w:r>
          </w:p>
        </w:tc>
        <w:tc>
          <w:tcPr>
            <w:tcW w:w="1586" w:type="dxa"/>
            <w:vMerge w:val="restart"/>
            <w:noWrap w:val="0"/>
            <w:vAlign w:val="center"/>
          </w:tcPr>
          <w:p w14:paraId="42F49932">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p>
        </w:tc>
        <w:tc>
          <w:tcPr>
            <w:tcW w:w="1533" w:type="dxa"/>
            <w:noWrap w:val="0"/>
            <w:vAlign w:val="center"/>
          </w:tcPr>
          <w:p w14:paraId="6B33D3A3">
            <w:pPr>
              <w:keepNext w:val="0"/>
              <w:keepLines w:val="0"/>
              <w:suppressLineNumbers w:val="0"/>
              <w:autoSpaceDE w:val="0"/>
              <w:autoSpaceDN w:val="0"/>
              <w:adjustRightInd w:val="0"/>
              <w:spacing w:before="0" w:beforeAutospacing="0" w:after="0" w:afterAutospacing="0" w:line="320" w:lineRule="exact"/>
              <w:ind w:left="0" w:right="0"/>
              <w:jc w:val="center"/>
              <w:rPr>
                <w:rFonts w:hint="default" w:hAnsi="宋体" w:cs="宋体"/>
                <w:color w:val="auto"/>
                <w:sz w:val="24"/>
                <w:szCs w:val="24"/>
              </w:rPr>
            </w:pPr>
            <w:r>
              <w:rPr>
                <w:rFonts w:hint="eastAsia" w:hAnsi="宋体" w:cs="宋体"/>
                <w:color w:val="auto"/>
                <w:sz w:val="24"/>
                <w:szCs w:val="24"/>
              </w:rPr>
              <w:t>管理人员</w:t>
            </w:r>
          </w:p>
          <w:p w14:paraId="708A979F">
            <w:pPr>
              <w:keepNext w:val="0"/>
              <w:keepLines w:val="0"/>
              <w:suppressLineNumbers w:val="0"/>
              <w:autoSpaceDE w:val="0"/>
              <w:autoSpaceDN w:val="0"/>
              <w:adjustRightInd w:val="0"/>
              <w:spacing w:before="0" w:beforeAutospacing="0" w:after="0" w:afterAutospacing="0" w:line="320" w:lineRule="exact"/>
              <w:ind w:left="0" w:right="0"/>
              <w:jc w:val="center"/>
              <w:rPr>
                <w:rFonts w:hint="default" w:hAnsi="宋体" w:cs="宋体"/>
                <w:color w:val="auto"/>
                <w:sz w:val="24"/>
                <w:szCs w:val="24"/>
              </w:rPr>
            </w:pPr>
            <w:r>
              <w:rPr>
                <w:rFonts w:hint="eastAsia" w:hAnsi="宋体" w:cs="宋体"/>
                <w:color w:val="auto"/>
                <w:sz w:val="24"/>
                <w:szCs w:val="24"/>
              </w:rPr>
              <w:t>数量</w:t>
            </w:r>
          </w:p>
        </w:tc>
        <w:tc>
          <w:tcPr>
            <w:tcW w:w="1417" w:type="dxa"/>
            <w:noWrap w:val="0"/>
            <w:vAlign w:val="center"/>
          </w:tcPr>
          <w:p w14:paraId="05480B27">
            <w:pPr>
              <w:keepNext w:val="0"/>
              <w:keepLines w:val="0"/>
              <w:suppressLineNumbers w:val="0"/>
              <w:autoSpaceDE w:val="0"/>
              <w:autoSpaceDN w:val="0"/>
              <w:adjustRightInd w:val="0"/>
              <w:spacing w:before="0" w:beforeAutospacing="0" w:after="0" w:afterAutospacing="0" w:line="320" w:lineRule="exact"/>
              <w:ind w:left="0" w:right="0"/>
              <w:jc w:val="center"/>
              <w:rPr>
                <w:rFonts w:hint="default" w:hAnsi="宋体" w:cs="宋体"/>
                <w:color w:val="auto"/>
                <w:sz w:val="24"/>
                <w:szCs w:val="24"/>
              </w:rPr>
            </w:pPr>
          </w:p>
        </w:tc>
        <w:tc>
          <w:tcPr>
            <w:tcW w:w="1560" w:type="dxa"/>
            <w:noWrap w:val="0"/>
            <w:vAlign w:val="center"/>
          </w:tcPr>
          <w:p w14:paraId="2A3106C1">
            <w:pPr>
              <w:keepNext w:val="0"/>
              <w:keepLines w:val="0"/>
              <w:suppressLineNumbers w:val="0"/>
              <w:autoSpaceDE w:val="0"/>
              <w:autoSpaceDN w:val="0"/>
              <w:adjustRightInd w:val="0"/>
              <w:spacing w:before="0" w:beforeAutospacing="0" w:after="0" w:afterAutospacing="0" w:line="320" w:lineRule="exact"/>
              <w:ind w:left="0" w:right="0"/>
              <w:jc w:val="center"/>
              <w:rPr>
                <w:rFonts w:hint="default" w:hAnsi="宋体" w:cs="宋体"/>
                <w:color w:val="auto"/>
                <w:sz w:val="24"/>
                <w:szCs w:val="24"/>
              </w:rPr>
            </w:pPr>
            <w:r>
              <w:rPr>
                <w:rFonts w:hint="eastAsia" w:hAnsi="宋体" w:cs="宋体"/>
                <w:color w:val="auto"/>
                <w:sz w:val="24"/>
                <w:szCs w:val="24"/>
              </w:rPr>
              <w:t>专业技术人员数量</w:t>
            </w:r>
          </w:p>
        </w:tc>
        <w:tc>
          <w:tcPr>
            <w:tcW w:w="1398" w:type="dxa"/>
            <w:tcBorders>
              <w:right w:val="single" w:color="auto" w:sz="12" w:space="0"/>
            </w:tcBorders>
            <w:noWrap w:val="0"/>
            <w:vAlign w:val="center"/>
          </w:tcPr>
          <w:p w14:paraId="29484501">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bCs/>
                <w:color w:val="auto"/>
                <w:sz w:val="24"/>
                <w:szCs w:val="24"/>
              </w:rPr>
            </w:pPr>
          </w:p>
        </w:tc>
      </w:tr>
      <w:tr w14:paraId="603B67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continue"/>
            <w:tcBorders>
              <w:left w:val="single" w:color="auto" w:sz="12" w:space="0"/>
              <w:bottom w:val="single" w:color="auto" w:sz="4" w:space="0"/>
            </w:tcBorders>
            <w:noWrap w:val="0"/>
            <w:vAlign w:val="center"/>
          </w:tcPr>
          <w:p w14:paraId="2474858F">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p>
        </w:tc>
        <w:tc>
          <w:tcPr>
            <w:tcW w:w="1586" w:type="dxa"/>
            <w:vMerge w:val="continue"/>
            <w:tcBorders>
              <w:bottom w:val="single" w:color="auto" w:sz="4" w:space="0"/>
            </w:tcBorders>
            <w:noWrap w:val="0"/>
            <w:vAlign w:val="center"/>
          </w:tcPr>
          <w:p w14:paraId="0862C263">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p>
        </w:tc>
        <w:tc>
          <w:tcPr>
            <w:tcW w:w="1533" w:type="dxa"/>
            <w:tcBorders>
              <w:bottom w:val="single" w:color="auto" w:sz="4" w:space="0"/>
            </w:tcBorders>
            <w:noWrap w:val="0"/>
            <w:vAlign w:val="center"/>
          </w:tcPr>
          <w:p w14:paraId="2629E1B2">
            <w:pPr>
              <w:keepNext w:val="0"/>
              <w:keepLines w:val="0"/>
              <w:suppressLineNumbers w:val="0"/>
              <w:autoSpaceDE w:val="0"/>
              <w:autoSpaceDN w:val="0"/>
              <w:adjustRightInd w:val="0"/>
              <w:spacing w:before="0" w:beforeAutospacing="0" w:after="0" w:afterAutospacing="0" w:line="320" w:lineRule="exact"/>
              <w:ind w:left="0" w:right="0"/>
              <w:jc w:val="center"/>
              <w:rPr>
                <w:rFonts w:hint="default" w:hAnsi="宋体" w:cs="宋体"/>
                <w:color w:val="auto"/>
                <w:sz w:val="24"/>
                <w:szCs w:val="24"/>
              </w:rPr>
            </w:pPr>
            <w:r>
              <w:rPr>
                <w:rFonts w:hint="eastAsia" w:hAnsi="宋体" w:cs="宋体"/>
                <w:color w:val="auto"/>
                <w:sz w:val="24"/>
                <w:szCs w:val="24"/>
              </w:rPr>
              <w:t>残疾人人数</w:t>
            </w:r>
          </w:p>
        </w:tc>
        <w:tc>
          <w:tcPr>
            <w:tcW w:w="1417" w:type="dxa"/>
            <w:tcBorders>
              <w:bottom w:val="single" w:color="auto" w:sz="4" w:space="0"/>
            </w:tcBorders>
            <w:noWrap w:val="0"/>
            <w:vAlign w:val="center"/>
          </w:tcPr>
          <w:p w14:paraId="0D032434">
            <w:pPr>
              <w:keepNext w:val="0"/>
              <w:keepLines w:val="0"/>
              <w:suppressLineNumbers w:val="0"/>
              <w:autoSpaceDE w:val="0"/>
              <w:autoSpaceDN w:val="0"/>
              <w:adjustRightInd w:val="0"/>
              <w:spacing w:before="0" w:beforeAutospacing="0" w:after="0" w:afterAutospacing="0" w:line="320" w:lineRule="exact"/>
              <w:ind w:left="0" w:right="0"/>
              <w:jc w:val="center"/>
              <w:rPr>
                <w:rFonts w:hint="default" w:hAnsi="宋体" w:cs="宋体"/>
                <w:color w:val="auto"/>
                <w:sz w:val="24"/>
                <w:szCs w:val="24"/>
              </w:rPr>
            </w:pPr>
          </w:p>
        </w:tc>
        <w:tc>
          <w:tcPr>
            <w:tcW w:w="1560" w:type="dxa"/>
            <w:tcBorders>
              <w:bottom w:val="single" w:color="auto" w:sz="4" w:space="0"/>
            </w:tcBorders>
            <w:noWrap w:val="0"/>
            <w:vAlign w:val="center"/>
          </w:tcPr>
          <w:p w14:paraId="7A3DE1B9">
            <w:pPr>
              <w:keepNext w:val="0"/>
              <w:keepLines w:val="0"/>
              <w:suppressLineNumbers w:val="0"/>
              <w:autoSpaceDE w:val="0"/>
              <w:autoSpaceDN w:val="0"/>
              <w:adjustRightInd w:val="0"/>
              <w:spacing w:before="0" w:beforeAutospacing="0" w:after="0" w:afterAutospacing="0" w:line="320" w:lineRule="exact"/>
              <w:ind w:left="0" w:right="0"/>
              <w:jc w:val="center"/>
              <w:rPr>
                <w:rFonts w:hint="default" w:hAnsi="宋体" w:cs="宋体"/>
                <w:color w:val="auto"/>
                <w:sz w:val="24"/>
                <w:szCs w:val="24"/>
              </w:rPr>
            </w:pPr>
            <w:r>
              <w:rPr>
                <w:rFonts w:hint="eastAsia" w:hAnsi="宋体" w:cs="宋体"/>
                <w:color w:val="auto"/>
                <w:sz w:val="24"/>
                <w:szCs w:val="24"/>
              </w:rPr>
              <w:t>少数民族</w:t>
            </w:r>
          </w:p>
          <w:p w14:paraId="56D7A6D6">
            <w:pPr>
              <w:keepNext w:val="0"/>
              <w:keepLines w:val="0"/>
              <w:suppressLineNumbers w:val="0"/>
              <w:autoSpaceDE w:val="0"/>
              <w:autoSpaceDN w:val="0"/>
              <w:adjustRightInd w:val="0"/>
              <w:spacing w:before="0" w:beforeAutospacing="0" w:after="0" w:afterAutospacing="0" w:line="320" w:lineRule="exact"/>
              <w:ind w:left="0" w:right="0"/>
              <w:jc w:val="center"/>
              <w:rPr>
                <w:rFonts w:hint="default" w:hAnsi="宋体" w:cs="宋体"/>
                <w:color w:val="auto"/>
                <w:sz w:val="24"/>
                <w:szCs w:val="24"/>
              </w:rPr>
            </w:pPr>
            <w:r>
              <w:rPr>
                <w:rFonts w:hint="eastAsia" w:hAnsi="宋体" w:cs="宋体"/>
                <w:color w:val="auto"/>
                <w:sz w:val="24"/>
                <w:szCs w:val="24"/>
              </w:rPr>
              <w:t>人数</w:t>
            </w:r>
          </w:p>
        </w:tc>
        <w:tc>
          <w:tcPr>
            <w:tcW w:w="1398" w:type="dxa"/>
            <w:tcBorders>
              <w:bottom w:val="single" w:color="auto" w:sz="4" w:space="0"/>
              <w:right w:val="single" w:color="auto" w:sz="12" w:space="0"/>
            </w:tcBorders>
            <w:noWrap w:val="0"/>
            <w:vAlign w:val="center"/>
          </w:tcPr>
          <w:p w14:paraId="5E340189">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bCs/>
                <w:color w:val="auto"/>
                <w:sz w:val="24"/>
                <w:szCs w:val="24"/>
              </w:rPr>
            </w:pPr>
          </w:p>
        </w:tc>
      </w:tr>
      <w:tr w14:paraId="3BD39C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551" w:hRule="atLeast"/>
          <w:jc w:val="center"/>
        </w:trPr>
        <w:tc>
          <w:tcPr>
            <w:tcW w:w="1686" w:type="dxa"/>
            <w:tcBorders>
              <w:left w:val="single" w:color="auto" w:sz="12" w:space="0"/>
              <w:bottom w:val="single" w:color="auto" w:sz="12" w:space="0"/>
            </w:tcBorders>
            <w:noWrap w:val="0"/>
            <w:vAlign w:val="center"/>
          </w:tcPr>
          <w:p w14:paraId="73E754B5">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r>
              <w:rPr>
                <w:rFonts w:hint="eastAsia" w:hAnsi="宋体" w:cs="宋体"/>
                <w:color w:val="auto"/>
                <w:sz w:val="24"/>
                <w:szCs w:val="24"/>
              </w:rPr>
              <w:t>说明</w:t>
            </w:r>
          </w:p>
        </w:tc>
        <w:tc>
          <w:tcPr>
            <w:tcW w:w="7494" w:type="dxa"/>
            <w:gridSpan w:val="5"/>
            <w:tcBorders>
              <w:bottom w:val="single" w:color="auto" w:sz="12" w:space="0"/>
              <w:right w:val="single" w:color="auto" w:sz="12" w:space="0"/>
            </w:tcBorders>
            <w:noWrap w:val="0"/>
            <w:vAlign w:val="center"/>
          </w:tcPr>
          <w:p w14:paraId="1FD7A905">
            <w:pPr>
              <w:keepNext w:val="0"/>
              <w:keepLines w:val="0"/>
              <w:suppressLineNumbers w:val="0"/>
              <w:spacing w:before="0" w:beforeAutospacing="0" w:after="0" w:afterAutospacing="0" w:line="320" w:lineRule="exact"/>
              <w:ind w:left="360" w:right="0" w:hanging="360"/>
              <w:rPr>
                <w:rFonts w:hint="default" w:hAnsi="宋体" w:cs="宋体"/>
                <w:color w:val="auto"/>
                <w:sz w:val="24"/>
                <w:szCs w:val="24"/>
              </w:rPr>
            </w:pPr>
            <w:r>
              <w:rPr>
                <w:rFonts w:hint="eastAsia" w:hAnsi="宋体" w:cs="宋体"/>
                <w:color w:val="auto"/>
                <w:sz w:val="24"/>
                <w:szCs w:val="24"/>
              </w:rPr>
              <w:t>1、登记证号指营业执照/事业单位法人证书/专业服务机构执业许可证/民办非企业单位登记证书中的登记号。</w:t>
            </w:r>
          </w:p>
          <w:p w14:paraId="71DDF041">
            <w:pPr>
              <w:keepNext w:val="0"/>
              <w:keepLines w:val="0"/>
              <w:suppressLineNumbers w:val="0"/>
              <w:spacing w:before="0" w:beforeAutospacing="0" w:after="0" w:afterAutospacing="0" w:line="320" w:lineRule="exact"/>
              <w:ind w:left="360" w:right="0" w:hanging="360"/>
              <w:rPr>
                <w:rFonts w:hint="default" w:hAnsi="宋体" w:cs="宋体"/>
                <w:color w:val="auto"/>
                <w:sz w:val="24"/>
                <w:szCs w:val="24"/>
              </w:rPr>
            </w:pPr>
            <w:r>
              <w:rPr>
                <w:rFonts w:hint="eastAsia" w:hAnsi="宋体" w:cs="宋体"/>
                <w:color w:val="auto"/>
                <w:sz w:val="24"/>
                <w:szCs w:val="24"/>
              </w:rPr>
              <w:t>2、成立时间至提交投标文件截止时间不足一年的可不提供“上年度营业收入”。</w:t>
            </w:r>
          </w:p>
          <w:p w14:paraId="5492420C">
            <w:pPr>
              <w:keepNext w:val="0"/>
              <w:keepLines w:val="0"/>
              <w:suppressLineNumbers w:val="0"/>
              <w:spacing w:before="0" w:beforeAutospacing="0" w:after="0" w:afterAutospacing="0" w:line="320" w:lineRule="exact"/>
              <w:ind w:left="360" w:right="0" w:hanging="360"/>
              <w:rPr>
                <w:rFonts w:hint="default" w:hAnsi="宋体" w:cs="宋体"/>
                <w:color w:val="auto"/>
                <w:sz w:val="24"/>
                <w:szCs w:val="24"/>
              </w:rPr>
            </w:pPr>
            <w:r>
              <w:rPr>
                <w:rFonts w:hint="eastAsia" w:hAnsi="宋体" w:cs="宋体"/>
                <w:color w:val="auto"/>
                <w:sz w:val="24"/>
                <w:szCs w:val="24"/>
              </w:rPr>
              <w:t>3、投标人应如实填写上述信息。</w:t>
            </w:r>
            <w:bookmarkStart w:id="481" w:name="■AcceptUnion_CH5_A■"/>
            <w:r>
              <w:rPr>
                <w:rFonts w:hint="eastAsia" w:hAnsi="宋体" w:cs="宋体"/>
                <w:color w:val="auto"/>
                <w:sz w:val="24"/>
                <w:szCs w:val="24"/>
              </w:rPr>
              <w:t>招标文件允许联合体投标的，联合体各方均应提供。</w:t>
            </w:r>
            <w:bookmarkEnd w:id="481"/>
          </w:p>
        </w:tc>
      </w:tr>
    </w:tbl>
    <w:p w14:paraId="24D32595">
      <w:pPr>
        <w:rPr>
          <w:rFonts w:hAnsi="宋体" w:cs="宋体"/>
          <w:b/>
          <w:color w:val="auto"/>
          <w:sz w:val="21"/>
          <w:szCs w:val="21"/>
        </w:rPr>
      </w:pPr>
    </w:p>
    <w:p w14:paraId="6382B41A">
      <w:pPr>
        <w:pStyle w:val="12"/>
        <w:rPr>
          <w:color w:val="auto"/>
        </w:rPr>
      </w:pPr>
    </w:p>
    <w:p w14:paraId="44E9934F">
      <w:pPr>
        <w:rPr>
          <w:rFonts w:hint="eastAsia" w:hAnsi="宋体" w:cs="宋体"/>
          <w:b/>
          <w:color w:val="auto"/>
          <w:sz w:val="28"/>
          <w:szCs w:val="28"/>
        </w:rPr>
      </w:pPr>
      <w:r>
        <w:rPr>
          <w:rFonts w:hint="eastAsia" w:hAnsi="宋体" w:cs="宋体"/>
          <w:b/>
          <w:color w:val="auto"/>
          <w:sz w:val="28"/>
          <w:szCs w:val="28"/>
        </w:rPr>
        <w:br w:type="page"/>
      </w:r>
    </w:p>
    <w:p w14:paraId="546288E7">
      <w:pPr>
        <w:jc w:val="center"/>
        <w:rPr>
          <w:rFonts w:hAnsi="宋体" w:cs="宋体"/>
          <w:b/>
          <w:color w:val="auto"/>
          <w:sz w:val="21"/>
          <w:szCs w:val="21"/>
        </w:rPr>
      </w:pPr>
      <w:r>
        <w:rPr>
          <w:rFonts w:hint="eastAsia" w:hAnsi="宋体" w:cs="宋体"/>
          <w:b/>
          <w:color w:val="auto"/>
          <w:sz w:val="28"/>
          <w:szCs w:val="28"/>
          <w:lang w:val="en-US" w:eastAsia="zh-CN"/>
        </w:rPr>
        <w:t>二</w:t>
      </w:r>
      <w:r>
        <w:rPr>
          <w:rFonts w:hint="eastAsia" w:hAnsi="宋体" w:cs="宋体"/>
          <w:b/>
          <w:color w:val="auto"/>
          <w:sz w:val="28"/>
          <w:szCs w:val="28"/>
        </w:rPr>
        <w:t>、投标人性质</w:t>
      </w:r>
    </w:p>
    <w:p w14:paraId="369DC5AB">
      <w:pPr>
        <w:pStyle w:val="12"/>
        <w:ind w:firstLine="420" w:firstLineChars="200"/>
        <w:rPr>
          <w:color w:val="auto"/>
        </w:rPr>
      </w:pPr>
    </w:p>
    <w:p w14:paraId="08A0613F">
      <w:pPr>
        <w:pStyle w:val="12"/>
        <w:spacing w:line="360" w:lineRule="auto"/>
        <w:ind w:firstLine="480" w:firstLineChars="200"/>
        <w:rPr>
          <w:color w:val="auto"/>
          <w:sz w:val="24"/>
          <w:szCs w:val="24"/>
        </w:rPr>
      </w:pPr>
      <w:r>
        <w:rPr>
          <w:rFonts w:hint="eastAsia"/>
          <w:color w:val="auto"/>
          <w:sz w:val="24"/>
          <w:szCs w:val="24"/>
          <w:lang w:val="en-US" w:eastAsia="zh-CN"/>
        </w:rPr>
        <w:t>中/</w:t>
      </w:r>
      <w:r>
        <w:rPr>
          <w:rFonts w:hint="eastAsia"/>
          <w:color w:val="auto"/>
          <w:sz w:val="24"/>
          <w:szCs w:val="24"/>
        </w:rPr>
        <w:t>小/微型企业、残疾人福利性单位投标时，应提供声明函（按下文给定格式）。未提供或未按给定格式提供声明函或声明函填写错误的，将视同为大型企业，作否决投标处理。</w:t>
      </w:r>
    </w:p>
    <w:p w14:paraId="1AB41296">
      <w:pPr>
        <w:pageBreakBefore w:val="0"/>
        <w:shd w:val="clear"/>
        <w:topLinePunct w:val="0"/>
        <w:bidi w:val="0"/>
        <w:spacing w:line="500" w:lineRule="exact"/>
        <w:ind w:left="0" w:leftChars="0" w:right="0"/>
        <w:rPr>
          <w:rFonts w:hint="eastAsia" w:ascii="宋体" w:hAnsi="宋体" w:eastAsia="宋体" w:cs="宋体"/>
          <w:color w:val="auto"/>
          <w:highlight w:val="none"/>
          <w:lang w:eastAsia="zh-CN"/>
        </w:rPr>
      </w:pPr>
      <w:r>
        <w:rPr>
          <w:rFonts w:hint="eastAsia"/>
          <w:color w:val="auto"/>
          <w:sz w:val="24"/>
          <w:szCs w:val="24"/>
        </w:rPr>
        <w:t>监狱企业投标时，应当提供由省级以上监狱管理局、戒毒管理局（含新疆生产建设兵团）出具的属于监狱企业的证明文件（格式不做要求）。</w:t>
      </w:r>
      <w:r>
        <w:rPr>
          <w:rFonts w:hint="eastAsia" w:ascii="宋体" w:hAnsi="宋体" w:eastAsia="宋体" w:cs="宋体"/>
          <w:color w:val="auto"/>
          <w:highlight w:val="none"/>
          <w:lang w:eastAsia="zh-CN"/>
        </w:rPr>
        <w:br w:type="page"/>
      </w:r>
    </w:p>
    <w:p w14:paraId="27235842">
      <w:pPr>
        <w:pageBreakBefore w:val="0"/>
        <w:topLinePunct w:val="0"/>
        <w:bidi w:val="0"/>
        <w:spacing w:line="500" w:lineRule="exact"/>
        <w:ind w:left="0" w:leftChars="0" w:right="0"/>
        <w:jc w:val="center"/>
        <w:rPr>
          <w:rFonts w:hint="eastAsia" w:ascii="宋体" w:hAnsi="宋体" w:eastAsia="宋体" w:cs="宋体"/>
          <w:b/>
          <w:bCs/>
          <w:kern w:val="0"/>
          <w:sz w:val="28"/>
          <w:szCs w:val="28"/>
        </w:rPr>
      </w:pPr>
      <w:r>
        <w:rPr>
          <w:rFonts w:hint="eastAsia" w:ascii="宋体" w:hAnsi="宋体" w:cs="宋体"/>
          <w:b/>
          <w:bCs/>
          <w:kern w:val="0"/>
          <w:sz w:val="28"/>
          <w:szCs w:val="28"/>
          <w:lang w:val="en-US" w:eastAsia="zh-CN"/>
        </w:rPr>
        <w:t>中</w:t>
      </w:r>
      <w:r>
        <w:rPr>
          <w:rFonts w:hint="eastAsia" w:ascii="宋体" w:hAnsi="宋体" w:eastAsia="宋体" w:cs="宋体"/>
          <w:b/>
          <w:bCs/>
          <w:kern w:val="0"/>
          <w:sz w:val="28"/>
          <w:szCs w:val="28"/>
        </w:rPr>
        <w:t>小企业声明函（</w:t>
      </w:r>
      <w:r>
        <w:rPr>
          <w:rFonts w:hint="eastAsia" w:ascii="宋体" w:hAnsi="宋体" w:eastAsia="宋体" w:cs="宋体"/>
          <w:b/>
          <w:bCs/>
          <w:kern w:val="0"/>
          <w:sz w:val="28"/>
          <w:szCs w:val="28"/>
          <w:lang w:val="en-US" w:eastAsia="zh-CN"/>
        </w:rPr>
        <w:t>服务</w:t>
      </w:r>
      <w:r>
        <w:rPr>
          <w:rFonts w:hint="eastAsia" w:ascii="宋体" w:hAnsi="宋体" w:eastAsia="宋体" w:cs="宋体"/>
          <w:b/>
          <w:bCs/>
          <w:kern w:val="0"/>
          <w:sz w:val="28"/>
          <w:szCs w:val="28"/>
        </w:rPr>
        <w:t>）</w:t>
      </w:r>
    </w:p>
    <w:p w14:paraId="54CB671D">
      <w:pPr>
        <w:pageBreakBefore w:val="0"/>
        <w:topLinePunct w:val="0"/>
        <w:bidi w:val="0"/>
        <w:adjustRightInd w:val="0"/>
        <w:snapToGrid w:val="0"/>
        <w:spacing w:line="500" w:lineRule="exact"/>
        <w:ind w:left="480" w:leftChars="0" w:right="0" w:hanging="480" w:hangingChars="200"/>
        <w:jc w:val="left"/>
        <w:rPr>
          <w:rFonts w:hint="eastAsia" w:ascii="宋体" w:hAnsi="宋体" w:eastAsia="宋体" w:cs="宋体"/>
          <w:sz w:val="24"/>
          <w:szCs w:val="24"/>
        </w:rPr>
      </w:pPr>
    </w:p>
    <w:p w14:paraId="342F5127">
      <w:pPr>
        <w:pageBreakBefore w:val="0"/>
        <w:topLinePunct w:val="0"/>
        <w:bidi w:val="0"/>
        <w:adjustRightInd w:val="0"/>
        <w:snapToGrid w:val="0"/>
        <w:spacing w:line="500" w:lineRule="exact"/>
        <w:ind w:left="0" w:leftChars="0" w:right="0" w:firstLine="616" w:firstLineChars="257"/>
        <w:jc w:val="left"/>
        <w:rPr>
          <w:rFonts w:hint="eastAsia" w:ascii="宋体" w:hAnsi="宋体" w:eastAsia="宋体" w:cs="宋体"/>
          <w:sz w:val="24"/>
          <w:szCs w:val="24"/>
          <w:lang w:eastAsia="zh-CN"/>
        </w:rPr>
      </w:pPr>
      <w:r>
        <w:rPr>
          <w:rFonts w:hint="eastAsia" w:ascii="宋体" w:hAnsi="宋体" w:eastAsia="宋体" w:cs="宋体"/>
          <w:sz w:val="24"/>
          <w:szCs w:val="24"/>
        </w:rPr>
        <w:t>本公司郑重声明，根据《政府采购促进中小企业发展管理办法》（财库﹝2020﹞46 号）的规定，本公司参加</w:t>
      </w:r>
      <w:r>
        <w:rPr>
          <w:rFonts w:hint="eastAsia" w:ascii="宋体" w:hAnsi="宋体" w:eastAsia="宋体" w:cs="宋体"/>
          <w:sz w:val="24"/>
          <w:szCs w:val="24"/>
          <w:u w:val="single" w:color="auto"/>
        </w:rPr>
        <w:t>（单位名称）的（项目名称）</w:t>
      </w:r>
      <w:r>
        <w:rPr>
          <w:rFonts w:hint="eastAsia" w:ascii="宋体" w:hAnsi="宋体" w:eastAsia="宋体" w:cs="宋体"/>
          <w:sz w:val="24"/>
          <w:szCs w:val="24"/>
        </w:rPr>
        <w:t>采购活动，服务全部由符合政策要求的中小企业承接。相关企业（含联合体中的中小企业、签订分包意向协议的中小企业）的具体情况如下：</w:t>
      </w:r>
    </w:p>
    <w:p w14:paraId="1374BD03">
      <w:pPr>
        <w:pageBreakBefore w:val="0"/>
        <w:topLinePunct w:val="0"/>
        <w:bidi w:val="0"/>
        <w:adjustRightInd w:val="0"/>
        <w:snapToGrid w:val="0"/>
        <w:spacing w:line="500" w:lineRule="exact"/>
        <w:ind w:left="0" w:leftChars="0" w:right="0" w:firstLine="616" w:firstLineChars="257"/>
        <w:jc w:val="left"/>
        <w:rPr>
          <w:rFonts w:hint="eastAsia" w:ascii="宋体" w:hAnsi="宋体" w:eastAsia="宋体" w:cs="宋体"/>
          <w:sz w:val="24"/>
          <w:szCs w:val="24"/>
          <w:lang w:eastAsia="zh-CN"/>
        </w:rPr>
      </w:pPr>
      <w:r>
        <w:rPr>
          <w:rFonts w:hint="eastAsia" w:ascii="宋体" w:hAnsi="宋体" w:eastAsia="宋体" w:cs="宋体"/>
          <w:sz w:val="24"/>
          <w:szCs w:val="24"/>
        </w:rPr>
        <w:t xml:space="preserve"> 1.</w:t>
      </w:r>
      <w:r>
        <w:rPr>
          <w:rFonts w:hint="eastAsia" w:ascii="宋体" w:hAnsi="宋体" w:eastAsia="宋体" w:cs="宋体"/>
          <w:sz w:val="24"/>
          <w:szCs w:val="24"/>
          <w:u w:val="single"/>
        </w:rPr>
        <w:t xml:space="preserve"> </w:t>
      </w:r>
      <w:r>
        <w:rPr>
          <w:rFonts w:hint="eastAsia" w:ascii="宋体" w:hAnsi="宋体" w:eastAsia="宋体" w:cs="宋体"/>
          <w:sz w:val="24"/>
          <w:szCs w:val="24"/>
          <w:u w:val="single" w:color="auto"/>
        </w:rPr>
        <w:t xml:space="preserve">（标的名称） </w:t>
      </w:r>
      <w:r>
        <w:rPr>
          <w:rFonts w:hint="eastAsia" w:ascii="宋体" w:hAnsi="宋体" w:eastAsia="宋体" w:cs="宋体"/>
          <w:sz w:val="24"/>
          <w:szCs w:val="24"/>
        </w:rPr>
        <w:t>，属于</w:t>
      </w:r>
      <w:r>
        <w:rPr>
          <w:rFonts w:hint="eastAsia" w:ascii="宋体" w:hAnsi="宋体" w:eastAsia="宋体" w:cs="宋体"/>
          <w:sz w:val="24"/>
          <w:szCs w:val="24"/>
          <w:u w:val="single" w:color="auto"/>
        </w:rPr>
        <w:t>（采购文件中明确的所属行业）</w:t>
      </w:r>
      <w:r>
        <w:rPr>
          <w:rFonts w:hint="eastAsia" w:ascii="宋体" w:hAnsi="宋体" w:eastAsia="宋体" w:cs="宋体"/>
          <w:sz w:val="24"/>
          <w:szCs w:val="24"/>
        </w:rPr>
        <w:t>；承建（承接）企业为</w:t>
      </w:r>
      <w:r>
        <w:rPr>
          <w:rFonts w:hint="eastAsia" w:ascii="宋体" w:hAnsi="宋体" w:eastAsia="宋体" w:cs="宋体"/>
          <w:sz w:val="24"/>
          <w:szCs w:val="24"/>
          <w:u w:val="single"/>
        </w:rPr>
        <w:t>（企业名称）</w:t>
      </w:r>
      <w:r>
        <w:rPr>
          <w:rFonts w:hint="eastAsia" w:ascii="宋体" w:hAnsi="宋体" w:eastAsia="宋体" w:cs="宋体"/>
          <w:sz w:val="24"/>
          <w:szCs w:val="24"/>
        </w:rPr>
        <w:t>，从业人员</w:t>
      </w:r>
      <w:r>
        <w:rPr>
          <w:rFonts w:hint="eastAsia" w:ascii="宋体" w:hAnsi="宋体" w:eastAsia="宋体" w:cs="宋体"/>
          <w:sz w:val="24"/>
          <w:szCs w:val="24"/>
          <w:u w:val="single"/>
        </w:rPr>
        <w:t xml:space="preserve">    </w:t>
      </w:r>
      <w:r>
        <w:rPr>
          <w:rFonts w:hint="eastAsia" w:ascii="宋体" w:hAnsi="宋体" w:eastAsia="宋体" w:cs="宋体"/>
          <w:sz w:val="24"/>
          <w:szCs w:val="24"/>
        </w:rPr>
        <w:t>人，营业收入为</w:t>
      </w:r>
      <w:r>
        <w:rPr>
          <w:rFonts w:hint="eastAsia" w:ascii="宋体" w:hAnsi="宋体" w:eastAsia="宋体" w:cs="宋体"/>
          <w:sz w:val="24"/>
          <w:szCs w:val="24"/>
          <w:u w:val="single"/>
        </w:rPr>
        <w:t xml:space="preserve">    </w:t>
      </w:r>
      <w:r>
        <w:rPr>
          <w:rFonts w:hint="eastAsia" w:ascii="宋体" w:hAnsi="宋体" w:eastAsia="宋体" w:cs="宋体"/>
          <w:sz w:val="24"/>
          <w:szCs w:val="24"/>
        </w:rPr>
        <w:t>万元，资产总额为</w:t>
      </w:r>
      <w:r>
        <w:rPr>
          <w:rFonts w:hint="eastAsia" w:ascii="宋体" w:hAnsi="宋体" w:eastAsia="宋体" w:cs="宋体"/>
          <w:sz w:val="24"/>
          <w:szCs w:val="24"/>
          <w:u w:val="single"/>
        </w:rPr>
        <w:t xml:space="preserve">    </w:t>
      </w:r>
      <w:r>
        <w:rPr>
          <w:rFonts w:hint="eastAsia" w:ascii="宋体" w:hAnsi="宋体" w:eastAsia="宋体" w:cs="宋体"/>
          <w:sz w:val="24"/>
          <w:szCs w:val="24"/>
        </w:rPr>
        <w:t>万元</w:t>
      </w:r>
      <w:r>
        <w:rPr>
          <w:rFonts w:hint="eastAsia" w:ascii="宋体" w:hAnsi="宋体" w:eastAsia="宋体" w:cs="宋体"/>
          <w:sz w:val="24"/>
          <w:szCs w:val="24"/>
          <w:vertAlign w:val="superscript"/>
        </w:rPr>
        <w:t>1</w:t>
      </w:r>
      <w:r>
        <w:rPr>
          <w:rFonts w:hint="eastAsia" w:ascii="宋体" w:hAnsi="宋体" w:eastAsia="宋体" w:cs="宋体"/>
          <w:sz w:val="24"/>
          <w:szCs w:val="24"/>
        </w:rPr>
        <w:t>，属于</w:t>
      </w:r>
      <w:r>
        <w:rPr>
          <w:rFonts w:hint="eastAsia" w:ascii="宋体" w:hAnsi="宋体" w:eastAsia="宋体" w:cs="宋体"/>
          <w:sz w:val="24"/>
          <w:szCs w:val="24"/>
          <w:u w:val="single" w:color="auto"/>
        </w:rPr>
        <w:t>（中小企业</w:t>
      </w:r>
      <w:r>
        <w:rPr>
          <w:rFonts w:hint="eastAsia" w:ascii="宋体" w:hAnsi="宋体" w:cs="宋体"/>
          <w:sz w:val="24"/>
          <w:szCs w:val="24"/>
          <w:u w:val="single" w:color="auto"/>
          <w:lang w:eastAsia="zh-CN"/>
        </w:rPr>
        <w:t>、</w:t>
      </w:r>
      <w:r>
        <w:rPr>
          <w:rFonts w:hint="eastAsia" w:ascii="宋体" w:hAnsi="宋体" w:eastAsia="宋体" w:cs="宋体"/>
          <w:sz w:val="24"/>
          <w:szCs w:val="24"/>
          <w:u w:val="single" w:color="auto"/>
        </w:rPr>
        <w:t>小型企业、微型企业）</w:t>
      </w:r>
      <w:r>
        <w:rPr>
          <w:rFonts w:hint="eastAsia" w:ascii="宋体" w:hAnsi="宋体" w:eastAsia="宋体" w:cs="宋体"/>
          <w:sz w:val="24"/>
          <w:szCs w:val="24"/>
        </w:rPr>
        <w:t>；</w:t>
      </w:r>
    </w:p>
    <w:p w14:paraId="554628CA">
      <w:pPr>
        <w:pageBreakBefore w:val="0"/>
        <w:topLinePunct w:val="0"/>
        <w:bidi w:val="0"/>
        <w:adjustRightInd w:val="0"/>
        <w:snapToGrid w:val="0"/>
        <w:spacing w:line="500" w:lineRule="exact"/>
        <w:ind w:left="0" w:leftChars="0" w:right="0" w:firstLine="616" w:firstLineChars="257"/>
        <w:jc w:val="left"/>
        <w:rPr>
          <w:rFonts w:hint="eastAsia" w:ascii="宋体" w:hAnsi="宋体" w:eastAsia="宋体" w:cs="宋体"/>
          <w:sz w:val="24"/>
          <w:szCs w:val="24"/>
          <w:lang w:eastAsia="zh-CN"/>
        </w:rPr>
      </w:pPr>
      <w:r>
        <w:rPr>
          <w:rFonts w:hint="eastAsia" w:ascii="宋体" w:hAnsi="宋体" w:eastAsia="宋体" w:cs="宋体"/>
          <w:sz w:val="24"/>
          <w:szCs w:val="24"/>
        </w:rPr>
        <w:t xml:space="preserve"> 2.</w:t>
      </w:r>
      <w:r>
        <w:rPr>
          <w:rFonts w:hint="eastAsia" w:ascii="宋体" w:hAnsi="宋体" w:eastAsia="宋体" w:cs="宋体"/>
          <w:sz w:val="24"/>
          <w:szCs w:val="24"/>
          <w:u w:val="single"/>
        </w:rPr>
        <w:t xml:space="preserve"> </w:t>
      </w:r>
      <w:r>
        <w:rPr>
          <w:rFonts w:hint="eastAsia" w:ascii="宋体" w:hAnsi="宋体" w:eastAsia="宋体" w:cs="宋体"/>
          <w:sz w:val="24"/>
          <w:szCs w:val="24"/>
          <w:u w:val="single" w:color="auto"/>
        </w:rPr>
        <w:t>（标的名称）</w:t>
      </w:r>
      <w:r>
        <w:rPr>
          <w:rFonts w:hint="eastAsia" w:ascii="宋体" w:hAnsi="宋体" w:eastAsia="宋体" w:cs="宋体"/>
          <w:i/>
          <w:sz w:val="24"/>
          <w:szCs w:val="24"/>
          <w:u w:val="single"/>
        </w:rPr>
        <w:t xml:space="preserve"> </w:t>
      </w:r>
      <w:r>
        <w:rPr>
          <w:rFonts w:hint="eastAsia" w:ascii="宋体" w:hAnsi="宋体" w:eastAsia="宋体" w:cs="宋体"/>
          <w:sz w:val="24"/>
          <w:szCs w:val="24"/>
        </w:rPr>
        <w:t>，属于</w:t>
      </w:r>
      <w:r>
        <w:rPr>
          <w:rFonts w:hint="eastAsia" w:ascii="宋体" w:hAnsi="宋体" w:eastAsia="宋体" w:cs="宋体"/>
          <w:sz w:val="24"/>
          <w:szCs w:val="24"/>
          <w:u w:val="single" w:color="auto"/>
        </w:rPr>
        <w:t>（采购文件中明确的所属行业）</w:t>
      </w:r>
      <w:r>
        <w:rPr>
          <w:rFonts w:hint="eastAsia" w:ascii="宋体" w:hAnsi="宋体" w:eastAsia="宋体" w:cs="宋体"/>
          <w:sz w:val="24"/>
          <w:szCs w:val="24"/>
        </w:rPr>
        <w:t>；承建（承接）企业为</w:t>
      </w:r>
      <w:r>
        <w:rPr>
          <w:rFonts w:hint="eastAsia" w:ascii="宋体" w:hAnsi="宋体" w:eastAsia="宋体" w:cs="宋体"/>
          <w:sz w:val="24"/>
          <w:szCs w:val="24"/>
          <w:u w:val="single"/>
        </w:rPr>
        <w:t>（企业名称）</w:t>
      </w:r>
      <w:r>
        <w:rPr>
          <w:rFonts w:hint="eastAsia" w:ascii="宋体" w:hAnsi="宋体" w:eastAsia="宋体" w:cs="宋体"/>
          <w:sz w:val="24"/>
          <w:szCs w:val="24"/>
        </w:rPr>
        <w:t>，从业人员</w:t>
      </w:r>
      <w:r>
        <w:rPr>
          <w:rFonts w:hint="eastAsia" w:ascii="宋体" w:hAnsi="宋体" w:eastAsia="宋体" w:cs="宋体"/>
          <w:sz w:val="24"/>
          <w:szCs w:val="24"/>
          <w:u w:val="single"/>
        </w:rPr>
        <w:t xml:space="preserve">    </w:t>
      </w:r>
      <w:r>
        <w:rPr>
          <w:rFonts w:hint="eastAsia" w:ascii="宋体" w:hAnsi="宋体" w:eastAsia="宋体" w:cs="宋体"/>
          <w:sz w:val="24"/>
          <w:szCs w:val="24"/>
        </w:rPr>
        <w:t>人，营业收入为</w:t>
      </w:r>
      <w:r>
        <w:rPr>
          <w:rFonts w:hint="eastAsia" w:ascii="宋体" w:hAnsi="宋体" w:eastAsia="宋体" w:cs="宋体"/>
          <w:sz w:val="24"/>
          <w:szCs w:val="24"/>
          <w:u w:val="single"/>
        </w:rPr>
        <w:t xml:space="preserve">    </w:t>
      </w:r>
      <w:r>
        <w:rPr>
          <w:rFonts w:hint="eastAsia" w:ascii="宋体" w:hAnsi="宋体" w:eastAsia="宋体" w:cs="宋体"/>
          <w:sz w:val="24"/>
          <w:szCs w:val="24"/>
        </w:rPr>
        <w:t>万元，资产总额为</w:t>
      </w:r>
      <w:r>
        <w:rPr>
          <w:rFonts w:hint="eastAsia" w:ascii="宋体" w:hAnsi="宋体" w:eastAsia="宋体" w:cs="宋体"/>
          <w:sz w:val="24"/>
          <w:szCs w:val="24"/>
          <w:u w:val="single"/>
        </w:rPr>
        <w:t xml:space="preserve">    </w:t>
      </w:r>
      <w:r>
        <w:rPr>
          <w:rFonts w:hint="eastAsia" w:ascii="宋体" w:hAnsi="宋体" w:eastAsia="宋体" w:cs="宋体"/>
          <w:sz w:val="24"/>
          <w:szCs w:val="24"/>
        </w:rPr>
        <w:t>万元，属于</w:t>
      </w:r>
      <w:r>
        <w:rPr>
          <w:rFonts w:hint="eastAsia" w:ascii="宋体" w:hAnsi="宋体" w:eastAsia="宋体" w:cs="宋体"/>
          <w:sz w:val="24"/>
          <w:szCs w:val="24"/>
          <w:u w:val="single" w:color="auto"/>
        </w:rPr>
        <w:t>（中小企业</w:t>
      </w:r>
      <w:r>
        <w:rPr>
          <w:rFonts w:hint="eastAsia" w:ascii="宋体" w:hAnsi="宋体" w:eastAsia="宋体" w:cs="宋体"/>
          <w:sz w:val="24"/>
          <w:szCs w:val="24"/>
          <w:u w:val="single" w:color="auto"/>
          <w:lang w:eastAsia="zh-CN"/>
        </w:rPr>
        <w:t>、</w:t>
      </w:r>
      <w:r>
        <w:rPr>
          <w:rFonts w:hint="eastAsia" w:ascii="宋体" w:hAnsi="宋体" w:eastAsia="宋体" w:cs="宋体"/>
          <w:sz w:val="24"/>
          <w:szCs w:val="24"/>
          <w:u w:val="single" w:color="auto"/>
        </w:rPr>
        <w:t>小型企业、微型企业）</w:t>
      </w:r>
      <w:r>
        <w:rPr>
          <w:rFonts w:hint="eastAsia" w:ascii="宋体" w:hAnsi="宋体" w:eastAsia="宋体" w:cs="宋体"/>
          <w:sz w:val="24"/>
          <w:szCs w:val="24"/>
        </w:rPr>
        <w:t>；</w:t>
      </w:r>
    </w:p>
    <w:p w14:paraId="1DD9BA42">
      <w:pPr>
        <w:pageBreakBefore w:val="0"/>
        <w:topLinePunct w:val="0"/>
        <w:bidi w:val="0"/>
        <w:adjustRightInd w:val="0"/>
        <w:snapToGrid w:val="0"/>
        <w:spacing w:line="500" w:lineRule="exact"/>
        <w:ind w:left="0" w:leftChars="0" w:right="0" w:firstLine="616" w:firstLineChars="257"/>
        <w:jc w:val="left"/>
        <w:rPr>
          <w:rFonts w:hint="eastAsia" w:ascii="宋体" w:hAnsi="宋体" w:eastAsia="宋体" w:cs="宋体"/>
          <w:sz w:val="24"/>
          <w:szCs w:val="24"/>
          <w:lang w:eastAsia="zh-CN"/>
        </w:rPr>
      </w:pPr>
      <w:r>
        <w:rPr>
          <w:rFonts w:hint="eastAsia" w:ascii="宋体" w:hAnsi="宋体" w:eastAsia="宋体" w:cs="宋体"/>
          <w:sz w:val="24"/>
          <w:szCs w:val="24"/>
        </w:rPr>
        <w:t xml:space="preserve"> ……</w:t>
      </w:r>
    </w:p>
    <w:p w14:paraId="7CA2D62E">
      <w:pPr>
        <w:pageBreakBefore w:val="0"/>
        <w:topLinePunct w:val="0"/>
        <w:bidi w:val="0"/>
        <w:adjustRightInd w:val="0"/>
        <w:snapToGrid w:val="0"/>
        <w:spacing w:line="500" w:lineRule="exact"/>
        <w:ind w:left="0" w:leftChars="0" w:right="0" w:firstLine="616" w:firstLineChars="257"/>
        <w:jc w:val="left"/>
        <w:rPr>
          <w:rFonts w:hint="eastAsia" w:ascii="宋体" w:hAnsi="宋体" w:eastAsia="宋体" w:cs="宋体"/>
          <w:sz w:val="24"/>
          <w:szCs w:val="24"/>
          <w:lang w:eastAsia="zh-CN"/>
        </w:rPr>
      </w:pPr>
      <w:r>
        <w:rPr>
          <w:rFonts w:hint="eastAsia" w:ascii="宋体" w:hAnsi="宋体" w:eastAsia="宋体" w:cs="宋体"/>
          <w:sz w:val="24"/>
          <w:szCs w:val="24"/>
        </w:rPr>
        <w:t xml:space="preserve"> 以上企业，不属于大企业的分支机构，不存在控股股东为大企业的情形，也不存在与大企业的负责人为同一人的情形。</w:t>
      </w:r>
    </w:p>
    <w:p w14:paraId="37B6BB20">
      <w:pPr>
        <w:pageBreakBefore w:val="0"/>
        <w:topLinePunct w:val="0"/>
        <w:bidi w:val="0"/>
        <w:adjustRightInd w:val="0"/>
        <w:snapToGrid w:val="0"/>
        <w:spacing w:line="500" w:lineRule="exact"/>
        <w:ind w:left="0" w:leftChars="0" w:right="0" w:firstLine="616" w:firstLineChars="257"/>
        <w:jc w:val="left"/>
        <w:rPr>
          <w:rFonts w:hint="eastAsia" w:ascii="宋体" w:hAnsi="宋体" w:eastAsia="宋体" w:cs="宋体"/>
          <w:sz w:val="24"/>
          <w:szCs w:val="24"/>
          <w:lang w:eastAsia="zh-CN"/>
        </w:rPr>
      </w:pPr>
      <w:r>
        <w:rPr>
          <w:rFonts w:hint="eastAsia" w:ascii="宋体" w:hAnsi="宋体" w:eastAsia="宋体" w:cs="宋体"/>
          <w:sz w:val="24"/>
          <w:szCs w:val="24"/>
        </w:rPr>
        <w:t>本企业对上述声明内容的真实性负责。如有虚假，将依法承担相应责任。</w:t>
      </w:r>
    </w:p>
    <w:p w14:paraId="2D41BDE2">
      <w:pPr>
        <w:pageBreakBefore w:val="0"/>
        <w:topLinePunct w:val="0"/>
        <w:bidi w:val="0"/>
        <w:adjustRightInd w:val="0"/>
        <w:snapToGrid w:val="0"/>
        <w:spacing w:line="500" w:lineRule="exact"/>
        <w:ind w:left="0" w:leftChars="0" w:right="0" w:firstLine="962" w:firstLineChars="401"/>
        <w:jc w:val="left"/>
        <w:rPr>
          <w:rFonts w:hint="eastAsia" w:ascii="宋体" w:hAnsi="宋体" w:eastAsia="宋体" w:cs="宋体"/>
          <w:sz w:val="24"/>
          <w:szCs w:val="24"/>
        </w:rPr>
      </w:pPr>
      <w:r>
        <w:rPr>
          <w:rFonts w:hint="eastAsia" w:ascii="宋体" w:hAnsi="宋体" w:eastAsia="宋体" w:cs="宋体"/>
          <w:sz w:val="24"/>
          <w:szCs w:val="24"/>
        </w:rPr>
        <w:t xml:space="preserve"> </w:t>
      </w:r>
    </w:p>
    <w:p w14:paraId="1FA5A8FE">
      <w:pPr>
        <w:pageBreakBefore w:val="0"/>
        <w:topLinePunct w:val="0"/>
        <w:bidi w:val="0"/>
        <w:spacing w:line="500" w:lineRule="exact"/>
        <w:ind w:left="0" w:leftChars="0" w:right="0"/>
        <w:rPr>
          <w:rFonts w:hint="eastAsia" w:ascii="宋体" w:hAnsi="宋体" w:eastAsia="宋体" w:cs="宋体"/>
          <w:sz w:val="24"/>
          <w:szCs w:val="24"/>
          <w:lang w:eastAsia="zh-CN"/>
        </w:rPr>
      </w:pPr>
      <w:r>
        <w:rPr>
          <w:rFonts w:hint="eastAsia" w:ascii="宋体" w:hAnsi="宋体" w:eastAsia="宋体" w:cs="宋体"/>
          <w:sz w:val="24"/>
          <w:szCs w:val="24"/>
        </w:rPr>
        <w:t>企业名称（盖章）：</w:t>
      </w:r>
    </w:p>
    <w:p w14:paraId="0EBC67A7">
      <w:pPr>
        <w:pageBreakBefore w:val="0"/>
        <w:topLinePunct w:val="0"/>
        <w:bidi w:val="0"/>
        <w:spacing w:line="500" w:lineRule="exact"/>
        <w:ind w:left="0" w:leftChars="0" w:right="0"/>
        <w:rPr>
          <w:rFonts w:hint="eastAsia" w:ascii="宋体" w:hAnsi="宋体" w:eastAsia="宋体" w:cs="宋体"/>
          <w:sz w:val="24"/>
          <w:szCs w:val="24"/>
        </w:rPr>
      </w:pPr>
      <w:r>
        <w:rPr>
          <w:rFonts w:hint="eastAsia" w:ascii="宋体" w:hAnsi="宋体" w:eastAsia="宋体" w:cs="宋体"/>
          <w:sz w:val="24"/>
          <w:szCs w:val="24"/>
        </w:rPr>
        <w:t>日期：</w:t>
      </w:r>
    </w:p>
    <w:p w14:paraId="16F52D4D">
      <w:pPr>
        <w:pageBreakBefore w:val="0"/>
        <w:topLinePunct w:val="0"/>
        <w:bidi w:val="0"/>
        <w:spacing w:line="500" w:lineRule="exact"/>
        <w:ind w:left="0" w:leftChars="0" w:right="0"/>
        <w:rPr>
          <w:rFonts w:hint="eastAsia" w:ascii="宋体" w:hAnsi="宋体" w:eastAsia="宋体" w:cs="宋体"/>
          <w:sz w:val="24"/>
          <w:szCs w:val="24"/>
        </w:rPr>
      </w:pPr>
    </w:p>
    <w:p w14:paraId="580BAEFC">
      <w:pPr>
        <w:keepNext w:val="0"/>
        <w:keepLines w:val="0"/>
        <w:pageBreakBefore w:val="0"/>
        <w:widowControl w:val="0"/>
        <w:tabs>
          <w:tab w:val="left" w:pos="5670"/>
        </w:tabs>
        <w:kinsoku/>
        <w:wordWrap/>
        <w:overflowPunct/>
        <w:topLinePunct w:val="0"/>
        <w:autoSpaceDE/>
        <w:autoSpaceDN/>
        <w:bidi w:val="0"/>
        <w:adjustRightInd/>
        <w:snapToGrid/>
        <w:spacing w:line="500" w:lineRule="exact"/>
        <w:ind w:left="0" w:leftChars="0" w:right="0" w:firstLine="567"/>
        <w:textAlignment w:val="auto"/>
        <w:rPr>
          <w:rFonts w:hint="eastAsia" w:ascii="宋体" w:hAnsi="宋体" w:eastAsia="宋体" w:cs="宋体"/>
          <w:color w:val="auto"/>
          <w:sz w:val="24"/>
          <w:szCs w:val="24"/>
          <w:highlight w:val="none"/>
        </w:rPr>
      </w:pPr>
      <w:r>
        <w:rPr>
          <w:rFonts w:hint="eastAsia" w:ascii="宋体" w:hAnsi="宋体" w:eastAsia="宋体" w:cs="宋体"/>
          <w:spacing w:val="13"/>
          <w:sz w:val="24"/>
          <w:szCs w:val="24"/>
        </w:rPr>
        <w:t>备注</w:t>
      </w:r>
      <w:r>
        <w:rPr>
          <w:rFonts w:hint="eastAsia" w:ascii="宋体" w:hAnsi="宋体" w:eastAsia="宋体" w:cs="宋体"/>
          <w:spacing w:val="14"/>
          <w:sz w:val="24"/>
          <w:szCs w:val="24"/>
        </w:rPr>
        <w:t>：</w:t>
      </w:r>
      <w:r>
        <w:rPr>
          <w:rFonts w:hint="eastAsia" w:ascii="宋体" w:hAnsi="宋体" w:eastAsia="宋体" w:cs="宋体"/>
          <w:sz w:val="24"/>
          <w:szCs w:val="24"/>
        </w:rPr>
        <w:t xml:space="preserve"> </w:t>
      </w:r>
      <w:r>
        <w:rPr>
          <w:rFonts w:hint="eastAsia" w:ascii="宋体" w:hAnsi="宋体" w:eastAsia="宋体" w:cs="宋体"/>
          <w:spacing w:val="13"/>
          <w:sz w:val="24"/>
          <w:szCs w:val="24"/>
        </w:rPr>
        <w:t>从业人员</w:t>
      </w:r>
      <w:r>
        <w:rPr>
          <w:rFonts w:hint="eastAsia" w:ascii="宋体" w:hAnsi="宋体" w:eastAsia="宋体" w:cs="宋体"/>
          <w:spacing w:val="14"/>
          <w:sz w:val="24"/>
          <w:szCs w:val="24"/>
        </w:rPr>
        <w:t>、</w:t>
      </w:r>
      <w:r>
        <w:rPr>
          <w:rFonts w:hint="eastAsia" w:ascii="宋体" w:hAnsi="宋体" w:eastAsia="宋体" w:cs="宋体"/>
          <w:spacing w:val="13"/>
          <w:sz w:val="24"/>
          <w:szCs w:val="24"/>
        </w:rPr>
        <w:t>营业收入</w:t>
      </w:r>
      <w:r>
        <w:rPr>
          <w:rFonts w:hint="eastAsia" w:ascii="宋体" w:hAnsi="宋体" w:eastAsia="宋体" w:cs="宋体"/>
          <w:spacing w:val="14"/>
          <w:sz w:val="24"/>
          <w:szCs w:val="24"/>
        </w:rPr>
        <w:t>、</w:t>
      </w:r>
      <w:r>
        <w:rPr>
          <w:rFonts w:hint="eastAsia" w:ascii="宋体" w:hAnsi="宋体" w:eastAsia="宋体" w:cs="宋体"/>
          <w:spacing w:val="13"/>
          <w:sz w:val="24"/>
          <w:szCs w:val="24"/>
        </w:rPr>
        <w:t>资产总额填报上</w:t>
      </w:r>
      <w:r>
        <w:rPr>
          <w:rFonts w:hint="eastAsia" w:ascii="宋体" w:hAnsi="宋体" w:eastAsia="宋体" w:cs="宋体"/>
          <w:spacing w:val="12"/>
          <w:sz w:val="24"/>
          <w:szCs w:val="24"/>
        </w:rPr>
        <w:t>一年度数据</w:t>
      </w:r>
      <w:r>
        <w:rPr>
          <w:rFonts w:hint="eastAsia" w:ascii="宋体" w:hAnsi="宋体" w:eastAsia="宋体" w:cs="宋体"/>
          <w:spacing w:val="14"/>
          <w:sz w:val="24"/>
          <w:szCs w:val="24"/>
        </w:rPr>
        <w:t>，</w:t>
      </w:r>
      <w:r>
        <w:rPr>
          <w:rFonts w:hint="eastAsia" w:ascii="宋体" w:hAnsi="宋体" w:eastAsia="宋体" w:cs="宋体"/>
          <w:spacing w:val="12"/>
          <w:sz w:val="24"/>
          <w:szCs w:val="24"/>
        </w:rPr>
        <w:t>无上一年度数据的新成立企</w:t>
      </w:r>
      <w:r>
        <w:rPr>
          <w:rFonts w:hint="eastAsia" w:ascii="宋体" w:hAnsi="宋体" w:eastAsia="宋体" w:cs="宋体"/>
          <w:sz w:val="24"/>
          <w:szCs w:val="24"/>
        </w:rPr>
        <w:t xml:space="preserve"> </w:t>
      </w:r>
      <w:r>
        <w:rPr>
          <w:rFonts w:hint="eastAsia" w:ascii="宋体" w:hAnsi="宋体" w:eastAsia="宋体" w:cs="宋体"/>
          <w:spacing w:val="9"/>
          <w:sz w:val="24"/>
          <w:szCs w:val="24"/>
        </w:rPr>
        <w:t>业可不</w:t>
      </w:r>
      <w:r>
        <w:rPr>
          <w:rFonts w:hint="eastAsia" w:ascii="宋体" w:hAnsi="宋体" w:eastAsia="宋体" w:cs="宋体"/>
          <w:spacing w:val="8"/>
          <w:sz w:val="24"/>
          <w:szCs w:val="24"/>
        </w:rPr>
        <w:t>填报</w:t>
      </w:r>
      <w:r>
        <w:rPr>
          <w:rFonts w:hint="eastAsia" w:ascii="宋体" w:hAnsi="宋体" w:eastAsia="宋体" w:cs="宋体"/>
          <w:spacing w:val="12"/>
          <w:sz w:val="24"/>
          <w:szCs w:val="24"/>
        </w:rPr>
        <w:t>。</w:t>
      </w:r>
      <w:r>
        <w:rPr>
          <w:rFonts w:hint="eastAsia" w:ascii="宋体" w:hAnsi="宋体" w:eastAsia="宋体" w:cs="宋体"/>
          <w:color w:val="auto"/>
          <w:sz w:val="28"/>
          <w:szCs w:val="28"/>
          <w:highlight w:val="none"/>
        </w:rPr>
        <w:br w:type="page"/>
      </w:r>
    </w:p>
    <w:p w14:paraId="5D02A720">
      <w:pPr>
        <w:pageBreakBefore w:val="0"/>
        <w:topLinePunct w:val="0"/>
        <w:bidi w:val="0"/>
        <w:spacing w:afterAutospacing="0" w:line="500" w:lineRule="exact"/>
        <w:ind w:left="0" w:leftChars="0" w:right="0"/>
        <w:jc w:val="center"/>
        <w:rPr>
          <w:rFonts w:hint="eastAsia" w:ascii="宋体" w:hAnsi="宋体" w:eastAsia="宋体" w:cs="宋体"/>
          <w:b/>
          <w:color w:val="auto"/>
          <w:spacing w:val="6"/>
          <w:sz w:val="24"/>
          <w:szCs w:val="24"/>
          <w:highlight w:val="none"/>
        </w:rPr>
      </w:pPr>
      <w:bookmarkStart w:id="482" w:name="OLE_LINK13"/>
      <w:r>
        <w:rPr>
          <w:rFonts w:hint="eastAsia" w:ascii="宋体" w:hAnsi="宋体" w:eastAsia="宋体" w:cs="宋体"/>
          <w:b/>
          <w:bCs/>
          <w:color w:val="auto"/>
          <w:sz w:val="28"/>
          <w:szCs w:val="28"/>
          <w:highlight w:val="none"/>
        </w:rPr>
        <w:t>残疾人福利性单位声明函（如用）</w:t>
      </w:r>
      <w:bookmarkEnd w:id="482"/>
    </w:p>
    <w:p w14:paraId="00540887">
      <w:pPr>
        <w:pageBreakBefore w:val="0"/>
        <w:topLinePunct w:val="0"/>
        <w:bidi w:val="0"/>
        <w:spacing w:line="500" w:lineRule="exact"/>
        <w:ind w:left="0" w:leftChars="0" w:right="0" w:firstLine="504"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本单位郑重声明，根据《财政部 民政部 中国残疾人联合会关于促进残疾人就业政府采购政策的通知》（财库</w:t>
      </w:r>
      <w:r>
        <w:rPr>
          <w:rFonts w:hint="eastAsia" w:ascii="宋体" w:hAnsi="宋体" w:eastAsia="宋体" w:cs="宋体"/>
          <w:color w:val="auto"/>
          <w:sz w:val="24"/>
          <w:szCs w:val="24"/>
          <w:highlight w:val="none"/>
        </w:rPr>
        <w:t>〔2017〕 141</w:t>
      </w:r>
      <w:r>
        <w:rPr>
          <w:rFonts w:hint="eastAsia" w:ascii="宋体" w:hAnsi="宋体" w:eastAsia="宋体" w:cs="宋体"/>
          <w:color w:val="auto"/>
          <w:spacing w:val="6"/>
          <w:sz w:val="24"/>
          <w:szCs w:val="24"/>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3B5A0F26">
      <w:pPr>
        <w:pageBreakBefore w:val="0"/>
        <w:topLinePunct w:val="0"/>
        <w:bidi w:val="0"/>
        <w:spacing w:line="500" w:lineRule="exact"/>
        <w:ind w:left="0" w:leftChars="0" w:right="0" w:firstLine="504"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本单位对上述声明的真实性负责。如有虚假，将依法承担相应责任。</w:t>
      </w:r>
    </w:p>
    <w:p w14:paraId="51E23F6F">
      <w:pPr>
        <w:pageBreakBefore w:val="0"/>
        <w:topLinePunct w:val="0"/>
        <w:bidi w:val="0"/>
        <w:spacing w:line="500" w:lineRule="exact"/>
        <w:ind w:left="0" w:leftChars="0" w:right="0" w:firstLine="504" w:firstLineChars="200"/>
        <w:rPr>
          <w:rFonts w:hint="eastAsia" w:ascii="宋体" w:hAnsi="宋体" w:eastAsia="宋体" w:cs="宋体"/>
          <w:color w:val="auto"/>
          <w:spacing w:val="6"/>
          <w:sz w:val="24"/>
          <w:szCs w:val="24"/>
          <w:highlight w:val="none"/>
        </w:rPr>
      </w:pPr>
    </w:p>
    <w:p w14:paraId="0CCB5B96">
      <w:pPr>
        <w:pageBreakBefore w:val="0"/>
        <w:topLinePunct w:val="0"/>
        <w:bidi w:val="0"/>
        <w:spacing w:line="500" w:lineRule="exact"/>
        <w:ind w:left="0" w:leftChars="0" w:right="0" w:firstLine="504" w:firstLineChars="200"/>
        <w:rPr>
          <w:rFonts w:hint="eastAsia" w:ascii="宋体" w:hAnsi="宋体" w:eastAsia="宋体" w:cs="宋体"/>
          <w:color w:val="auto"/>
          <w:spacing w:val="6"/>
          <w:sz w:val="24"/>
          <w:szCs w:val="24"/>
          <w:highlight w:val="none"/>
        </w:rPr>
      </w:pPr>
    </w:p>
    <w:p w14:paraId="492CA36C">
      <w:pPr>
        <w:pageBreakBefore w:val="0"/>
        <w:tabs>
          <w:tab w:val="left" w:pos="4860"/>
        </w:tabs>
        <w:topLinePunct w:val="0"/>
        <w:bidi w:val="0"/>
        <w:spacing w:line="500" w:lineRule="exact"/>
        <w:ind w:left="0" w:leftChars="0" w:right="0" w:firstLine="504" w:firstLineChars="200"/>
        <w:jc w:val="center"/>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6"/>
          <w:sz w:val="24"/>
          <w:szCs w:val="24"/>
          <w:highlight w:val="none"/>
          <w:lang w:val="en-US" w:eastAsia="zh-CN"/>
        </w:rPr>
        <w:t>供应商</w:t>
      </w:r>
      <w:r>
        <w:rPr>
          <w:rFonts w:hint="eastAsia" w:ascii="宋体" w:hAnsi="宋体" w:eastAsia="宋体" w:cs="宋体"/>
          <w:color w:val="auto"/>
          <w:spacing w:val="6"/>
          <w:sz w:val="24"/>
          <w:szCs w:val="24"/>
          <w:highlight w:val="none"/>
        </w:rPr>
        <w:t>（盖章）：</w:t>
      </w:r>
    </w:p>
    <w:p w14:paraId="26DC247E">
      <w:pPr>
        <w:pageBreakBefore w:val="0"/>
        <w:tabs>
          <w:tab w:val="left" w:pos="4860"/>
        </w:tabs>
        <w:topLinePunct w:val="0"/>
        <w:bidi w:val="0"/>
        <w:spacing w:line="500" w:lineRule="exact"/>
        <w:ind w:left="0" w:leftChars="0" w:right="0" w:firstLine="504" w:firstLineChars="200"/>
        <w:jc w:val="center"/>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 xml:space="preserve">       日  期：</w:t>
      </w:r>
    </w:p>
    <w:p w14:paraId="37E2512A">
      <w:pPr>
        <w:pageBreakBefore w:val="0"/>
        <w:topLinePunct w:val="0"/>
        <w:bidi w:val="0"/>
        <w:spacing w:line="500" w:lineRule="exact"/>
        <w:ind w:left="0" w:leftChars="0" w:right="0"/>
        <w:rPr>
          <w:rFonts w:hint="eastAsia" w:ascii="宋体" w:hAnsi="宋体" w:eastAsia="宋体" w:cs="宋体"/>
          <w:b/>
          <w:color w:val="auto"/>
          <w:sz w:val="32"/>
          <w:szCs w:val="32"/>
          <w:highlight w:val="none"/>
        </w:rPr>
      </w:pPr>
      <w:r>
        <w:rPr>
          <w:rFonts w:hint="eastAsia" w:ascii="宋体" w:hAnsi="宋体" w:eastAsia="宋体" w:cs="宋体"/>
          <w:color w:val="auto"/>
          <w:spacing w:val="6"/>
          <w:sz w:val="24"/>
          <w:szCs w:val="24"/>
          <w:highlight w:val="none"/>
        </w:rPr>
        <w:br w:type="page"/>
      </w:r>
    </w:p>
    <w:p w14:paraId="54653CE7">
      <w:pPr>
        <w:pageBreakBefore w:val="0"/>
        <w:topLinePunct w:val="0"/>
        <w:bidi w:val="0"/>
        <w:spacing w:afterAutospacing="0" w:line="500" w:lineRule="exact"/>
        <w:ind w:left="0" w:leftChars="0" w:right="0"/>
        <w:jc w:val="center"/>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监狱、戒毒企业声明函（如用）</w:t>
      </w:r>
    </w:p>
    <w:p w14:paraId="0AC32455">
      <w:pPr>
        <w:pageBreakBefore w:val="0"/>
        <w:topLinePunct w:val="0"/>
        <w:bidi w:val="0"/>
        <w:spacing w:line="500" w:lineRule="exact"/>
        <w:ind w:left="0" w:leftChars="0" w:righ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本单位郑重声明，根据《</w:t>
      </w:r>
      <w:r>
        <w:rPr>
          <w:rFonts w:hint="eastAsia" w:ascii="宋体" w:hAnsi="宋体" w:eastAsia="宋体" w:cs="宋体"/>
          <w:color w:val="auto"/>
          <w:spacing w:val="-4"/>
          <w:kern w:val="0"/>
          <w:sz w:val="24"/>
          <w:highlight w:val="none"/>
        </w:rPr>
        <w:t>财政部 司法部 关于政府采购支持监狱企业发展有关问题的通知</w:t>
      </w:r>
      <w:r>
        <w:rPr>
          <w:rFonts w:hint="eastAsia" w:ascii="宋体" w:hAnsi="宋体" w:eastAsia="宋体" w:cs="宋体"/>
          <w:color w:val="auto"/>
          <w:sz w:val="24"/>
          <w:highlight w:val="none"/>
        </w:rPr>
        <w:t>》（财库〔2014〕 68号）的规定，本单位为符合条件的监狱、戒毒企业，且本单位参加的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项目采购活动提供本单位制造的货物（由本单位承担工程/提供服务），或者提供其他监狱、戒毒企业制造的货物（不包括使用非监狱、戒毒企业注册商标的货物）。</w:t>
      </w:r>
    </w:p>
    <w:p w14:paraId="3E765B70">
      <w:pPr>
        <w:pageBreakBefore w:val="0"/>
        <w:topLinePunct w:val="0"/>
        <w:bidi w:val="0"/>
        <w:spacing w:line="500" w:lineRule="exact"/>
        <w:ind w:left="0" w:leftChars="0" w:righ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本单位对上述声明的真实性负责。如有虚假，将依法承担相应责任。</w:t>
      </w:r>
    </w:p>
    <w:p w14:paraId="47392571">
      <w:pPr>
        <w:pageBreakBefore w:val="0"/>
        <w:topLinePunct w:val="0"/>
        <w:bidi w:val="0"/>
        <w:spacing w:line="500" w:lineRule="exact"/>
        <w:ind w:left="0" w:leftChars="0" w:right="0" w:firstLine="480" w:firstLineChars="200"/>
        <w:rPr>
          <w:rFonts w:hint="eastAsia" w:ascii="宋体" w:hAnsi="宋体" w:eastAsia="宋体" w:cs="宋体"/>
          <w:color w:val="auto"/>
          <w:sz w:val="24"/>
          <w:highlight w:val="none"/>
        </w:rPr>
      </w:pPr>
    </w:p>
    <w:p w14:paraId="30306FEA">
      <w:pPr>
        <w:pageBreakBefore w:val="0"/>
        <w:topLinePunct w:val="0"/>
        <w:bidi w:val="0"/>
        <w:spacing w:line="500" w:lineRule="exact"/>
        <w:ind w:left="0" w:leftChars="0" w:right="0" w:firstLine="480" w:firstLineChars="200"/>
        <w:rPr>
          <w:rFonts w:hint="eastAsia" w:ascii="宋体" w:hAnsi="宋体" w:eastAsia="宋体" w:cs="宋体"/>
          <w:color w:val="auto"/>
          <w:sz w:val="24"/>
          <w:highlight w:val="none"/>
        </w:rPr>
      </w:pPr>
    </w:p>
    <w:p w14:paraId="7F586490">
      <w:pPr>
        <w:pageBreakBefore w:val="0"/>
        <w:tabs>
          <w:tab w:val="left" w:pos="4860"/>
          <w:tab w:val="left" w:pos="8040"/>
          <w:tab w:val="left" w:pos="8160"/>
        </w:tabs>
        <w:topLinePunct w:val="0"/>
        <w:bidi w:val="0"/>
        <w:spacing w:line="500" w:lineRule="exact"/>
        <w:ind w:left="0" w:leftChars="0" w:right="0" w:firstLine="3360" w:firstLineChars="1400"/>
        <w:jc w:val="both"/>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（公章）：</w:t>
      </w:r>
    </w:p>
    <w:p w14:paraId="317E7D71">
      <w:pPr>
        <w:pageBreakBefore w:val="0"/>
        <w:tabs>
          <w:tab w:val="left" w:pos="4860"/>
        </w:tabs>
        <w:topLinePunct w:val="0"/>
        <w:bidi w:val="0"/>
        <w:spacing w:line="500" w:lineRule="exact"/>
        <w:ind w:left="0" w:leftChars="0" w:right="0" w:firstLine="480" w:firstLineChars="200"/>
        <w:jc w:val="center"/>
        <w:rPr>
          <w:rFonts w:hint="eastAsia" w:ascii="宋体" w:hAnsi="宋体" w:eastAsia="宋体" w:cs="宋体"/>
          <w:color w:val="auto"/>
          <w:sz w:val="24"/>
          <w:highlight w:val="none"/>
        </w:rPr>
      </w:pPr>
    </w:p>
    <w:p w14:paraId="744D4555">
      <w:pPr>
        <w:pageBreakBefore w:val="0"/>
        <w:tabs>
          <w:tab w:val="left" w:pos="4860"/>
        </w:tabs>
        <w:topLinePunct w:val="0"/>
        <w:bidi w:val="0"/>
        <w:spacing w:line="500" w:lineRule="exact"/>
        <w:ind w:left="0" w:leftChars="0" w:right="0" w:firstLine="3360" w:firstLineChars="14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日</w:t>
      </w:r>
    </w:p>
    <w:p w14:paraId="53B2D554">
      <w:pPr>
        <w:pageBreakBefore w:val="0"/>
        <w:topLinePunct w:val="0"/>
        <w:bidi w:val="0"/>
        <w:spacing w:line="500" w:lineRule="exact"/>
        <w:ind w:left="0" w:leftChars="0" w:right="0" w:firstLine="506" w:firstLineChars="200"/>
        <w:rPr>
          <w:rFonts w:hint="eastAsia" w:ascii="宋体" w:hAnsi="宋体" w:eastAsia="宋体" w:cs="宋体"/>
          <w:b/>
          <w:color w:val="auto"/>
          <w:spacing w:val="6"/>
          <w:sz w:val="24"/>
          <w:highlight w:val="none"/>
          <w:shd w:val="pct10" w:color="auto" w:fill="FFFFFF"/>
        </w:rPr>
      </w:pPr>
    </w:p>
    <w:p w14:paraId="07817784">
      <w:pPr>
        <w:pageBreakBefore w:val="0"/>
        <w:topLinePunct w:val="0"/>
        <w:bidi w:val="0"/>
        <w:spacing w:line="500" w:lineRule="exact"/>
        <w:ind w:left="0" w:leftChars="0" w:right="0" w:firstLine="506" w:firstLineChars="200"/>
        <w:rPr>
          <w:rFonts w:hint="eastAsia" w:ascii="宋体" w:hAnsi="宋体" w:eastAsia="宋体" w:cs="宋体"/>
          <w:b/>
          <w:color w:val="auto"/>
          <w:spacing w:val="6"/>
          <w:sz w:val="24"/>
          <w:highlight w:val="none"/>
          <w:shd w:val="pct10" w:color="auto" w:fill="FFFFFF"/>
        </w:rPr>
      </w:pPr>
    </w:p>
    <w:p w14:paraId="2FB3CE0E">
      <w:pPr>
        <w:pageBreakBefore w:val="0"/>
        <w:topLinePunct w:val="0"/>
        <w:bidi w:val="0"/>
        <w:spacing w:line="500" w:lineRule="exact"/>
        <w:ind w:left="0" w:leftChars="0" w:right="0"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备注：供应商提供的《</w:t>
      </w:r>
      <w:r>
        <w:rPr>
          <w:rFonts w:hint="eastAsia" w:ascii="宋体" w:hAnsi="宋体" w:eastAsia="宋体" w:cs="宋体"/>
          <w:color w:val="auto"/>
          <w:sz w:val="24"/>
          <w:highlight w:val="none"/>
        </w:rPr>
        <w:t>监狱、戒毒企业</w:t>
      </w:r>
      <w:r>
        <w:rPr>
          <w:rFonts w:hint="eastAsia" w:ascii="宋体" w:hAnsi="宋体" w:eastAsia="宋体" w:cs="宋体"/>
          <w:color w:val="auto"/>
          <w:kern w:val="0"/>
          <w:sz w:val="24"/>
          <w:highlight w:val="none"/>
          <w:lang w:val="zh-CN"/>
        </w:rPr>
        <w:t>声明函》必须真实有效，</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应当提供由省级以上监狱管理局、戒毒管理局(含新疆生产建设兵团)出具的属于监狱企业的证明文件。</w:t>
      </w:r>
    </w:p>
    <w:p w14:paraId="12DC2E44">
      <w:pPr>
        <w:pStyle w:val="14"/>
        <w:pageBreakBefore w:val="0"/>
        <w:topLinePunct w:val="0"/>
        <w:bidi w:val="0"/>
        <w:spacing w:line="500" w:lineRule="exact"/>
        <w:ind w:left="0" w:leftChars="0" w:right="0"/>
        <w:rPr>
          <w:rFonts w:hint="eastAsia" w:ascii="宋体" w:hAnsi="宋体" w:eastAsia="宋体" w:cs="宋体"/>
          <w:color w:val="auto"/>
          <w:highlight w:val="none"/>
          <w:lang w:eastAsia="zh-CN"/>
        </w:rPr>
      </w:pPr>
      <w:r>
        <w:rPr>
          <w:rFonts w:hint="eastAsia" w:ascii="宋体" w:hAnsi="宋体" w:eastAsia="宋体" w:cs="宋体"/>
          <w:b/>
          <w:bCs/>
          <w:color w:val="auto"/>
          <w:kern w:val="44"/>
          <w:sz w:val="36"/>
          <w:szCs w:val="44"/>
          <w:highlight w:val="none"/>
          <w:lang w:val="en-US" w:eastAsia="zh-CN" w:bidi="ar-SA"/>
        </w:rPr>
        <w:br w:type="page"/>
      </w:r>
    </w:p>
    <w:p w14:paraId="7323B16D">
      <w:pPr>
        <w:pageBreakBefore w:val="0"/>
        <w:topLinePunct w:val="0"/>
        <w:bidi w:val="0"/>
        <w:spacing w:beforeAutospacing="0" w:afterAutospacing="0" w:line="500" w:lineRule="exact"/>
        <w:ind w:left="0" w:leftChars="0" w:right="0"/>
        <w:jc w:val="center"/>
        <w:rPr>
          <w:rFonts w:hint="eastAsia" w:ascii="宋体" w:hAnsi="宋体" w:eastAsia="宋体" w:cs="宋体"/>
          <w:b/>
          <w:bCs/>
          <w:color w:val="auto"/>
          <w:sz w:val="28"/>
          <w:szCs w:val="28"/>
          <w:highlight w:val="none"/>
          <w:lang w:val="en-US" w:eastAsia="zh-CN"/>
        </w:rPr>
      </w:pPr>
      <w:bookmarkStart w:id="483" w:name="_Toc28403"/>
      <w:bookmarkStart w:id="484" w:name="_Toc11676"/>
      <w:bookmarkStart w:id="485" w:name="_Toc10993"/>
      <w:bookmarkStart w:id="486" w:name="_Toc19137"/>
      <w:bookmarkStart w:id="487" w:name="_Toc9802"/>
      <w:bookmarkStart w:id="488" w:name="_Toc22399"/>
      <w:bookmarkStart w:id="489" w:name="_Toc9283"/>
      <w:bookmarkStart w:id="490" w:name="_Toc24061"/>
      <w:bookmarkStart w:id="491" w:name="_Toc4462"/>
      <w:bookmarkStart w:id="492" w:name="_Toc27335"/>
      <w:r>
        <w:rPr>
          <w:rFonts w:hint="eastAsia" w:ascii="宋体" w:hAnsi="宋体" w:eastAsia="宋体" w:cs="宋体"/>
          <w:b/>
          <w:bCs/>
          <w:color w:val="auto"/>
          <w:sz w:val="28"/>
          <w:szCs w:val="28"/>
          <w:highlight w:val="none"/>
          <w:lang w:val="en-US" w:eastAsia="zh-CN"/>
        </w:rPr>
        <w:t>响应</w:t>
      </w:r>
      <w:bookmarkEnd w:id="483"/>
      <w:bookmarkEnd w:id="484"/>
      <w:bookmarkEnd w:id="485"/>
      <w:bookmarkEnd w:id="486"/>
      <w:bookmarkEnd w:id="487"/>
      <w:bookmarkEnd w:id="488"/>
      <w:bookmarkEnd w:id="489"/>
      <w:bookmarkEnd w:id="490"/>
      <w:r>
        <w:rPr>
          <w:rFonts w:hint="eastAsia" w:ascii="宋体" w:hAnsi="宋体" w:eastAsia="宋体" w:cs="宋体"/>
          <w:b/>
          <w:bCs/>
          <w:color w:val="auto"/>
          <w:sz w:val="28"/>
          <w:szCs w:val="28"/>
          <w:highlight w:val="none"/>
          <w:lang w:val="en-US" w:eastAsia="zh-CN"/>
        </w:rPr>
        <w:t>方案说明</w:t>
      </w:r>
    </w:p>
    <w:bookmarkEnd w:id="479"/>
    <w:bookmarkEnd w:id="480"/>
    <w:bookmarkEnd w:id="491"/>
    <w:bookmarkEnd w:id="492"/>
    <w:p w14:paraId="0396D47C">
      <w:pPr>
        <w:pageBreakBefore w:val="0"/>
        <w:kinsoku w:val="0"/>
        <w:topLinePunct w:val="0"/>
        <w:bidi w:val="0"/>
        <w:spacing w:beforeAutospacing="0" w:line="500" w:lineRule="exact"/>
        <w:ind w:left="0" w:leftChars="0" w:right="0" w:firstLine="480" w:firstLineChars="200"/>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按照磋商文件的要求编制的响应方案说明书，参照磋商文件《评标方法》各条款的要求，结合采购内容及</w:t>
      </w:r>
      <w:r>
        <w:rPr>
          <w:rFonts w:hint="eastAsia" w:ascii="宋体" w:hAnsi="宋体" w:eastAsia="宋体" w:cs="宋体"/>
          <w:color w:val="auto"/>
          <w:szCs w:val="24"/>
          <w:highlight w:val="none"/>
          <w:lang w:val="en-US" w:eastAsia="zh-CN"/>
        </w:rPr>
        <w:t>技术</w:t>
      </w:r>
      <w:r>
        <w:rPr>
          <w:rFonts w:hint="eastAsia" w:ascii="宋体" w:hAnsi="宋体" w:eastAsia="宋体" w:cs="宋体"/>
          <w:color w:val="auto"/>
          <w:szCs w:val="24"/>
          <w:highlight w:val="none"/>
        </w:rPr>
        <w:t>要求编制磋商响应方案。</w:t>
      </w:r>
    </w:p>
    <w:p w14:paraId="35DBE27D">
      <w:pPr>
        <w:pageBreakBefore w:val="0"/>
        <w:topLinePunct w:val="0"/>
        <w:bidi w:val="0"/>
        <w:spacing w:line="500" w:lineRule="exact"/>
        <w:ind w:left="0" w:leftChars="0" w:right="0"/>
        <w:jc w:val="left"/>
        <w:rPr>
          <w:rFonts w:hint="eastAsia" w:ascii="宋体" w:hAnsi="宋体" w:eastAsia="宋体" w:cs="宋体"/>
          <w:color w:val="auto"/>
          <w:szCs w:val="22"/>
          <w:highlight w:val="none"/>
          <w:lang w:val="en-US" w:eastAsia="zh-CN"/>
        </w:rPr>
      </w:pPr>
    </w:p>
    <w:p w14:paraId="168C4185">
      <w:pPr>
        <w:pageBreakBefore w:val="0"/>
        <w:topLinePunct w:val="0"/>
        <w:bidi w:val="0"/>
        <w:spacing w:line="500" w:lineRule="exact"/>
        <w:ind w:left="0" w:leftChars="0" w:right="0"/>
        <w:jc w:val="left"/>
        <w:rPr>
          <w:rFonts w:hint="eastAsia" w:ascii="宋体" w:hAnsi="宋体" w:eastAsia="宋体" w:cs="宋体"/>
          <w:color w:val="auto"/>
          <w:szCs w:val="22"/>
          <w:highlight w:val="none"/>
          <w:lang w:val="en-US" w:eastAsia="zh-CN"/>
        </w:rPr>
      </w:pPr>
    </w:p>
    <w:p w14:paraId="7E29EF94">
      <w:pPr>
        <w:pageBreakBefore w:val="0"/>
        <w:topLinePunct w:val="0"/>
        <w:bidi w:val="0"/>
        <w:spacing w:line="500" w:lineRule="exact"/>
        <w:ind w:left="0" w:leftChars="0" w:right="0"/>
        <w:jc w:val="left"/>
        <w:rPr>
          <w:rFonts w:hint="eastAsia" w:ascii="宋体" w:hAnsi="宋体" w:eastAsia="宋体" w:cs="宋体"/>
          <w:color w:val="auto"/>
          <w:szCs w:val="22"/>
          <w:highlight w:val="none"/>
          <w:lang w:val="en-US" w:eastAsia="zh-CN"/>
        </w:rPr>
      </w:pPr>
    </w:p>
    <w:p w14:paraId="0C15580C">
      <w:pPr>
        <w:pageBreakBefore w:val="0"/>
        <w:topLinePunct w:val="0"/>
        <w:bidi w:val="0"/>
        <w:spacing w:line="500" w:lineRule="exact"/>
        <w:ind w:left="0" w:leftChars="0" w:right="0"/>
        <w:jc w:val="left"/>
        <w:rPr>
          <w:rFonts w:hint="eastAsia" w:ascii="宋体" w:hAnsi="宋体" w:eastAsia="宋体" w:cs="宋体"/>
          <w:color w:val="auto"/>
          <w:szCs w:val="22"/>
          <w:highlight w:val="none"/>
          <w:lang w:val="en-US" w:eastAsia="zh-CN"/>
        </w:rPr>
      </w:pPr>
    </w:p>
    <w:p w14:paraId="33A31B15">
      <w:pPr>
        <w:pageBreakBefore w:val="0"/>
        <w:topLinePunct w:val="0"/>
        <w:bidi w:val="0"/>
        <w:spacing w:line="500" w:lineRule="exact"/>
        <w:ind w:left="0" w:leftChars="0" w:right="0"/>
        <w:jc w:val="center"/>
        <w:rPr>
          <w:rFonts w:hint="eastAsia" w:ascii="宋体" w:hAnsi="宋体" w:eastAsia="宋体" w:cs="宋体"/>
          <w:color w:val="auto"/>
          <w:szCs w:val="22"/>
          <w:highlight w:val="none"/>
          <w:lang w:val="en-US" w:eastAsia="zh-CN"/>
        </w:rPr>
      </w:pPr>
      <w:r>
        <w:rPr>
          <w:rFonts w:hint="eastAsia" w:ascii="宋体" w:hAnsi="宋体" w:eastAsia="宋体" w:cs="宋体"/>
          <w:color w:val="auto"/>
          <w:szCs w:val="22"/>
          <w:highlight w:val="none"/>
          <w:lang w:val="en-US" w:eastAsia="zh-CN"/>
        </w:rPr>
        <w:t>投标方案自拟</w:t>
      </w:r>
    </w:p>
    <w:p w14:paraId="618D5907">
      <w:pPr>
        <w:keepNext w:val="0"/>
        <w:keepLines w:val="0"/>
        <w:pageBreakBefore w:val="0"/>
        <w:widowControl w:val="0"/>
        <w:kinsoku/>
        <w:wordWrap/>
        <w:overflowPunct/>
        <w:topLinePunct w:val="0"/>
        <w:autoSpaceDE/>
        <w:autoSpaceDN/>
        <w:bidi w:val="0"/>
        <w:adjustRightInd/>
        <w:snapToGrid/>
        <w:spacing w:line="500" w:lineRule="exact"/>
        <w:ind w:left="0" w:leftChars="0" w:right="0" w:firstLine="482" w:firstLineChars="200"/>
        <w:jc w:val="left"/>
        <w:textAlignment w:val="auto"/>
        <w:outlineLvl w:val="9"/>
        <w:rPr>
          <w:rFonts w:hint="eastAsia" w:ascii="宋体" w:hAnsi="宋体" w:eastAsia="宋体" w:cs="宋体"/>
          <w:b/>
          <w:bCs/>
          <w:color w:val="auto"/>
          <w:highlight w:val="none"/>
        </w:rPr>
      </w:pPr>
      <w:bookmarkStart w:id="493" w:name="_Toc6384"/>
    </w:p>
    <w:p w14:paraId="650CB347">
      <w:pPr>
        <w:keepNext w:val="0"/>
        <w:keepLines w:val="0"/>
        <w:pageBreakBefore w:val="0"/>
        <w:widowControl w:val="0"/>
        <w:kinsoku/>
        <w:wordWrap/>
        <w:overflowPunct/>
        <w:topLinePunct w:val="0"/>
        <w:autoSpaceDE/>
        <w:autoSpaceDN/>
        <w:bidi w:val="0"/>
        <w:adjustRightInd/>
        <w:snapToGrid/>
        <w:spacing w:line="500" w:lineRule="exact"/>
        <w:ind w:left="0" w:leftChars="0" w:right="0" w:firstLine="482" w:firstLineChars="200"/>
        <w:jc w:val="left"/>
        <w:textAlignment w:val="auto"/>
        <w:outlineLvl w:val="9"/>
        <w:rPr>
          <w:rFonts w:hint="eastAsia" w:ascii="宋体" w:hAnsi="宋体" w:eastAsia="宋体" w:cs="宋体"/>
          <w:b/>
          <w:bCs/>
          <w:color w:val="auto"/>
          <w:highlight w:val="none"/>
        </w:rPr>
      </w:pPr>
    </w:p>
    <w:p w14:paraId="0A459462">
      <w:pPr>
        <w:keepNext w:val="0"/>
        <w:keepLines w:val="0"/>
        <w:pageBreakBefore w:val="0"/>
        <w:widowControl w:val="0"/>
        <w:kinsoku/>
        <w:wordWrap/>
        <w:overflowPunct/>
        <w:topLinePunct w:val="0"/>
        <w:autoSpaceDE/>
        <w:autoSpaceDN/>
        <w:bidi w:val="0"/>
        <w:adjustRightInd/>
        <w:snapToGrid/>
        <w:spacing w:line="500" w:lineRule="exact"/>
        <w:ind w:left="0" w:leftChars="0" w:right="0" w:firstLine="482" w:firstLineChars="200"/>
        <w:jc w:val="left"/>
        <w:textAlignment w:val="auto"/>
        <w:outlineLvl w:val="9"/>
        <w:rPr>
          <w:rFonts w:hint="eastAsia" w:ascii="宋体" w:hAnsi="宋体" w:eastAsia="宋体" w:cs="宋体"/>
          <w:b/>
          <w:bCs/>
          <w:color w:val="auto"/>
          <w:highlight w:val="none"/>
        </w:rPr>
      </w:pPr>
    </w:p>
    <w:p w14:paraId="65A50E54">
      <w:pPr>
        <w:keepNext w:val="0"/>
        <w:keepLines w:val="0"/>
        <w:pageBreakBefore w:val="0"/>
        <w:widowControl w:val="0"/>
        <w:kinsoku/>
        <w:wordWrap/>
        <w:overflowPunct/>
        <w:topLinePunct w:val="0"/>
        <w:autoSpaceDE/>
        <w:autoSpaceDN/>
        <w:bidi w:val="0"/>
        <w:adjustRightInd/>
        <w:snapToGrid/>
        <w:spacing w:line="500" w:lineRule="exact"/>
        <w:ind w:left="0" w:leftChars="0" w:right="0" w:firstLine="482" w:firstLineChars="200"/>
        <w:jc w:val="left"/>
        <w:textAlignment w:val="auto"/>
        <w:outlineLvl w:val="9"/>
        <w:rPr>
          <w:rFonts w:hint="eastAsia" w:ascii="宋体" w:hAnsi="宋体" w:eastAsia="宋体" w:cs="宋体"/>
          <w:b/>
          <w:bCs/>
          <w:color w:val="auto"/>
          <w:sz w:val="28"/>
          <w:highlight w:val="none"/>
        </w:rPr>
      </w:pPr>
      <w:r>
        <w:rPr>
          <w:rFonts w:hint="eastAsia" w:ascii="宋体" w:hAnsi="宋体" w:eastAsia="宋体" w:cs="宋体"/>
          <w:b/>
          <w:bCs/>
          <w:color w:val="auto"/>
          <w:highlight w:val="none"/>
        </w:rPr>
        <w:t>注：供应商根据本项目实际情况编写，后附</w:t>
      </w:r>
      <w:r>
        <w:rPr>
          <w:rFonts w:hint="eastAsia" w:ascii="宋体" w:hAnsi="宋体" w:eastAsia="宋体" w:cs="宋体"/>
          <w:b/>
          <w:bCs/>
          <w:color w:val="auto"/>
          <w:highlight w:val="none"/>
          <w:lang w:val="en-US" w:eastAsia="zh-CN"/>
        </w:rPr>
        <w:t>部分</w:t>
      </w:r>
      <w:r>
        <w:rPr>
          <w:rFonts w:hint="eastAsia" w:ascii="宋体" w:hAnsi="宋体" w:eastAsia="宋体" w:cs="宋体"/>
          <w:b/>
          <w:bCs/>
          <w:color w:val="auto"/>
          <w:highlight w:val="none"/>
        </w:rPr>
        <w:t>格式，其余格式自拟。</w:t>
      </w:r>
      <w:bookmarkEnd w:id="493"/>
    </w:p>
    <w:p w14:paraId="13E2B013">
      <w:pPr>
        <w:pageBreakBefore w:val="0"/>
        <w:shd w:val="clear"/>
        <w:topLinePunct w:val="0"/>
        <w:bidi w:val="0"/>
        <w:spacing w:line="500" w:lineRule="exact"/>
        <w:ind w:left="0" w:leftChars="0" w:right="0"/>
        <w:rPr>
          <w:rFonts w:hint="eastAsia" w:ascii="宋体" w:hAnsi="宋体" w:eastAsia="宋体" w:cs="宋体"/>
          <w:color w:val="auto"/>
          <w:sz w:val="24"/>
          <w:szCs w:val="24"/>
          <w:highlight w:val="none"/>
          <w:lang w:eastAsia="zh-CN"/>
        </w:rPr>
      </w:pPr>
    </w:p>
    <w:p w14:paraId="39C9B604">
      <w:pPr>
        <w:pageBreakBefore w:val="0"/>
        <w:shd w:val="clear"/>
        <w:topLinePunct w:val="0"/>
        <w:bidi w:val="0"/>
        <w:spacing w:line="500" w:lineRule="exact"/>
        <w:ind w:left="0" w:leftChars="0" w:right="0"/>
        <w:rPr>
          <w:rFonts w:hint="eastAsia" w:ascii="宋体" w:hAnsi="宋体" w:eastAsia="宋体" w:cs="宋体"/>
          <w:color w:val="auto"/>
          <w:sz w:val="24"/>
          <w:szCs w:val="24"/>
          <w:highlight w:val="none"/>
          <w:lang w:eastAsia="zh-CN"/>
        </w:rPr>
      </w:pPr>
    </w:p>
    <w:p w14:paraId="1DE187D5">
      <w:pPr>
        <w:pageBreakBefore w:val="0"/>
        <w:shd w:val="clear"/>
        <w:topLinePunct w:val="0"/>
        <w:bidi w:val="0"/>
        <w:spacing w:line="500" w:lineRule="exact"/>
        <w:ind w:left="0" w:leftChars="0" w:right="0"/>
        <w:rPr>
          <w:rFonts w:hint="eastAsia" w:ascii="宋体" w:hAnsi="宋体" w:eastAsia="宋体" w:cs="宋体"/>
          <w:color w:val="auto"/>
          <w:sz w:val="24"/>
          <w:szCs w:val="24"/>
          <w:highlight w:val="none"/>
          <w:lang w:eastAsia="zh-CN"/>
        </w:rPr>
      </w:pPr>
    </w:p>
    <w:p w14:paraId="6EB36FA4">
      <w:pPr>
        <w:pageBreakBefore w:val="0"/>
        <w:shd w:val="clear"/>
        <w:topLinePunct w:val="0"/>
        <w:bidi w:val="0"/>
        <w:spacing w:line="500" w:lineRule="exact"/>
        <w:ind w:left="0" w:leftChars="0" w:right="0"/>
        <w:rPr>
          <w:rFonts w:hint="eastAsia" w:ascii="宋体" w:hAnsi="宋体" w:eastAsia="宋体" w:cs="宋体"/>
          <w:color w:val="auto"/>
          <w:sz w:val="24"/>
          <w:szCs w:val="24"/>
          <w:highlight w:val="none"/>
          <w:lang w:eastAsia="zh-CN"/>
        </w:rPr>
      </w:pPr>
    </w:p>
    <w:p w14:paraId="2BED8347">
      <w:pPr>
        <w:pageBreakBefore w:val="0"/>
        <w:shd w:val="clear"/>
        <w:topLinePunct w:val="0"/>
        <w:bidi w:val="0"/>
        <w:spacing w:line="500" w:lineRule="exact"/>
        <w:ind w:left="0" w:leftChars="0" w:right="0"/>
        <w:rPr>
          <w:rFonts w:hint="eastAsia" w:ascii="宋体" w:hAnsi="宋体" w:eastAsia="宋体" w:cs="宋体"/>
          <w:color w:val="auto"/>
          <w:sz w:val="24"/>
          <w:highlight w:val="none"/>
          <w:u w:val="single"/>
        </w:rPr>
      </w:pPr>
      <w:r>
        <w:rPr>
          <w:rFonts w:hint="eastAsia" w:ascii="宋体" w:hAnsi="宋体" w:eastAsia="宋体" w:cs="宋体"/>
          <w:color w:val="auto"/>
          <w:sz w:val="24"/>
          <w:szCs w:val="24"/>
          <w:highlight w:val="none"/>
          <w:lang w:eastAsia="zh-CN"/>
        </w:rPr>
        <w:t>供应商名称（</w:t>
      </w:r>
      <w:r>
        <w:rPr>
          <w:rFonts w:hint="eastAsia" w:ascii="宋体" w:hAnsi="宋体" w:eastAsia="宋体" w:cs="宋体"/>
          <w:color w:val="auto"/>
          <w:sz w:val="24"/>
          <w:szCs w:val="24"/>
          <w:highlight w:val="none"/>
        </w:rPr>
        <w:t>公章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u w:val="single"/>
        </w:rPr>
        <w:t>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w:t>
      </w:r>
    </w:p>
    <w:p w14:paraId="5EC2AC9C">
      <w:pPr>
        <w:pageBreakBefore w:val="0"/>
        <w:shd w:val="clear"/>
        <w:topLinePunct w:val="0"/>
        <w:bidi w:val="0"/>
        <w:spacing w:line="500" w:lineRule="exact"/>
        <w:ind w:left="0" w:leftChars="0" w:right="0"/>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zh-CN"/>
        </w:rPr>
        <w:t>法定代表人或被授权人（签字或盖章）</w:t>
      </w:r>
      <w:r>
        <w:rPr>
          <w:rFonts w:hint="eastAsia" w:ascii="宋体" w:hAnsi="宋体" w:eastAsia="宋体" w:cs="宋体"/>
          <w:color w:val="auto"/>
          <w:szCs w:val="24"/>
          <w:highlight w:val="none"/>
        </w:rPr>
        <w:t>：</w:t>
      </w:r>
      <w:r>
        <w:rPr>
          <w:rFonts w:hint="eastAsia" w:ascii="宋体" w:hAnsi="宋体" w:eastAsia="宋体" w:cs="宋体"/>
          <w:color w:val="auto"/>
          <w:szCs w:val="24"/>
          <w:highlight w:val="none"/>
          <w:u w:val="single"/>
        </w:rPr>
        <w:t xml:space="preserve">      </w:t>
      </w:r>
    </w:p>
    <w:p w14:paraId="369A71F4">
      <w:pPr>
        <w:pageBreakBefore w:val="0"/>
        <w:shd w:val="clear"/>
        <w:topLinePunct w:val="0"/>
        <w:bidi w:val="0"/>
        <w:spacing w:line="500" w:lineRule="exact"/>
        <w:ind w:left="0" w:leftChars="0" w:right="0"/>
        <w:rPr>
          <w:rFonts w:hint="eastAsia" w:ascii="宋体" w:hAnsi="宋体" w:eastAsia="宋体" w:cs="宋体"/>
          <w:color w:val="auto"/>
          <w:highlight w:val="none"/>
          <w:u w:val="single"/>
        </w:rPr>
      </w:pPr>
      <w:r>
        <w:rPr>
          <w:rFonts w:hint="eastAsia" w:ascii="宋体" w:hAnsi="宋体" w:eastAsia="宋体" w:cs="宋体"/>
          <w:color w:val="auto"/>
          <w:szCs w:val="24"/>
          <w:highlight w:val="none"/>
        </w:rPr>
        <w:t>日 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14:paraId="32336CC5">
      <w:pPr>
        <w:pageBreakBefore w:val="0"/>
        <w:widowControl w:val="0"/>
        <w:topLinePunct w:val="0"/>
        <w:bidi w:val="0"/>
        <w:spacing w:line="500" w:lineRule="exact"/>
        <w:ind w:left="0" w:leftChars="0" w:right="0"/>
        <w:jc w:val="both"/>
        <w:rPr>
          <w:rFonts w:hint="eastAsia" w:ascii="宋体" w:hAnsi="宋体" w:eastAsia="宋体" w:cs="宋体"/>
          <w:color w:val="auto"/>
          <w:kern w:val="2"/>
          <w:sz w:val="24"/>
          <w:highlight w:val="none"/>
          <w:lang w:val="en-US" w:eastAsia="zh-CN" w:bidi="ar-SA"/>
        </w:rPr>
      </w:pPr>
    </w:p>
    <w:p w14:paraId="77F6B981">
      <w:pPr>
        <w:pageBreakBefore w:val="0"/>
        <w:topLinePunct w:val="0"/>
        <w:bidi w:val="0"/>
        <w:spacing w:line="500" w:lineRule="exact"/>
        <w:ind w:left="0" w:leftChars="0" w:right="0"/>
        <w:rPr>
          <w:rFonts w:hint="eastAsia" w:ascii="宋体" w:hAnsi="宋体" w:eastAsia="宋体" w:cs="宋体"/>
          <w:b/>
          <w:bCs/>
          <w:color w:val="auto"/>
          <w:kern w:val="2"/>
          <w:sz w:val="24"/>
          <w:szCs w:val="24"/>
          <w:highlight w:val="none"/>
          <w:lang w:val="en-US" w:eastAsia="zh-CN" w:bidi="ar-SA"/>
        </w:rPr>
      </w:pPr>
      <w:bookmarkStart w:id="494" w:name="_Toc8097"/>
      <w:bookmarkStart w:id="495" w:name="_Toc210"/>
      <w:bookmarkStart w:id="496" w:name="_Toc14088"/>
      <w:bookmarkStart w:id="497" w:name="_Toc23676"/>
      <w:bookmarkStart w:id="498" w:name="_Toc11111"/>
      <w:r>
        <w:rPr>
          <w:rFonts w:hint="eastAsia" w:ascii="宋体" w:hAnsi="宋体" w:eastAsia="宋体" w:cs="宋体"/>
          <w:b/>
          <w:bCs/>
          <w:color w:val="auto"/>
          <w:kern w:val="2"/>
          <w:sz w:val="24"/>
          <w:szCs w:val="24"/>
          <w:highlight w:val="none"/>
          <w:lang w:val="en-US" w:eastAsia="zh-CN" w:bidi="ar-SA"/>
        </w:rPr>
        <w:br w:type="page"/>
      </w:r>
    </w:p>
    <w:p w14:paraId="63A99C35">
      <w:pPr>
        <w:pageBreakBefore w:val="0"/>
        <w:topLinePunct w:val="0"/>
        <w:bidi w:val="0"/>
        <w:spacing w:afterAutospacing="0" w:line="500" w:lineRule="exact"/>
        <w:ind w:left="0" w:leftChars="0" w:right="0"/>
        <w:jc w:val="left"/>
        <w:rPr>
          <w:rFonts w:hint="eastAsia" w:ascii="宋体" w:hAnsi="宋体" w:eastAsia="宋体" w:cs="宋体"/>
          <w:b/>
          <w:bCs/>
          <w:color w:val="auto"/>
          <w:sz w:val="24"/>
          <w:szCs w:val="24"/>
          <w:highlight w:val="none"/>
          <w:lang w:val="en-US" w:eastAsia="zh-CN"/>
        </w:rPr>
      </w:pPr>
      <w:bookmarkStart w:id="499" w:name="_Toc21369"/>
      <w:bookmarkStart w:id="500" w:name="_Toc20858"/>
      <w:bookmarkStart w:id="501" w:name="_Toc11679"/>
      <w:bookmarkStart w:id="502" w:name="_Toc20921"/>
      <w:bookmarkStart w:id="503" w:name="_Toc13976"/>
      <w:bookmarkStart w:id="504" w:name="_Toc28816"/>
      <w:bookmarkStart w:id="505" w:name="_Toc12734"/>
      <w:r>
        <w:rPr>
          <w:rFonts w:hint="eastAsia" w:ascii="宋体" w:hAnsi="宋体" w:eastAsia="宋体" w:cs="宋体"/>
          <w:b/>
          <w:bCs/>
          <w:color w:val="auto"/>
          <w:sz w:val="24"/>
          <w:szCs w:val="24"/>
          <w:highlight w:val="none"/>
          <w:lang w:val="en-US" w:eastAsia="zh-CN"/>
        </w:rPr>
        <w:t>附件1：</w:t>
      </w:r>
      <w:bookmarkStart w:id="506" w:name="_Toc5731"/>
      <w:r>
        <w:rPr>
          <w:rFonts w:hint="eastAsia" w:ascii="宋体" w:hAnsi="宋体" w:eastAsia="宋体" w:cs="宋体"/>
          <w:b/>
          <w:bCs/>
          <w:color w:val="auto"/>
          <w:sz w:val="24"/>
          <w:szCs w:val="24"/>
          <w:highlight w:val="none"/>
          <w:lang w:val="en-US" w:eastAsia="zh-CN"/>
        </w:rPr>
        <w:t>拟投入本项目管理人员汇总表</w:t>
      </w:r>
      <w:bookmarkEnd w:id="494"/>
      <w:bookmarkEnd w:id="495"/>
      <w:bookmarkEnd w:id="496"/>
      <w:bookmarkEnd w:id="497"/>
      <w:bookmarkEnd w:id="498"/>
      <w:bookmarkEnd w:id="499"/>
      <w:bookmarkEnd w:id="500"/>
      <w:bookmarkEnd w:id="501"/>
      <w:bookmarkEnd w:id="502"/>
      <w:bookmarkEnd w:id="503"/>
      <w:bookmarkEnd w:id="504"/>
      <w:bookmarkEnd w:id="505"/>
      <w:bookmarkEnd w:id="506"/>
    </w:p>
    <w:p w14:paraId="120DBBC2">
      <w:pPr>
        <w:pageBreakBefore w:val="0"/>
        <w:shd w:val="clear"/>
        <w:topLinePunct w:val="0"/>
        <w:bidi w:val="0"/>
        <w:spacing w:line="500" w:lineRule="exact"/>
        <w:ind w:left="0" w:leftChars="0" w:right="0"/>
        <w:rPr>
          <w:rFonts w:hint="eastAsia" w:ascii="宋体" w:hAnsi="宋体" w:eastAsia="宋体" w:cs="宋体"/>
          <w:color w:val="auto"/>
          <w:highlight w:val="none"/>
          <w:u w:val="single"/>
        </w:rPr>
      </w:pPr>
      <w:r>
        <w:rPr>
          <w:rFonts w:hint="eastAsia" w:ascii="宋体" w:hAnsi="宋体" w:eastAsia="宋体" w:cs="宋体"/>
          <w:color w:val="auto"/>
          <w:highlight w:val="none"/>
        </w:rPr>
        <w:t xml:space="preserve">采购项目名称： </w:t>
      </w:r>
      <w:r>
        <w:rPr>
          <w:rFonts w:hint="eastAsia" w:ascii="宋体" w:hAnsi="宋体" w:eastAsia="宋体" w:cs="宋体"/>
          <w:color w:val="auto"/>
          <w:highlight w:val="none"/>
          <w:u w:val="single"/>
        </w:rPr>
        <w:t xml:space="preserve">                            </w:t>
      </w:r>
    </w:p>
    <w:p w14:paraId="4CEF5ACB">
      <w:pPr>
        <w:pageBreakBefore w:val="0"/>
        <w:shd w:val="clear"/>
        <w:topLinePunct w:val="0"/>
        <w:bidi w:val="0"/>
        <w:spacing w:line="500" w:lineRule="exact"/>
        <w:ind w:left="0" w:leftChars="0" w:right="0"/>
        <w:rPr>
          <w:rFonts w:hint="eastAsia" w:ascii="宋体" w:hAnsi="宋体" w:eastAsia="宋体" w:cs="宋体"/>
          <w:color w:val="auto"/>
          <w:highlight w:val="none"/>
          <w:u w:val="single"/>
        </w:rPr>
      </w:pPr>
      <w:r>
        <w:rPr>
          <w:rFonts w:hint="eastAsia" w:ascii="宋体" w:hAnsi="宋体" w:eastAsia="宋体" w:cs="宋体"/>
          <w:color w:val="auto"/>
          <w:highlight w:val="none"/>
        </w:rPr>
        <w:t xml:space="preserve">采购项目编号： </w:t>
      </w:r>
      <w:r>
        <w:rPr>
          <w:rFonts w:hint="eastAsia" w:ascii="宋体" w:hAnsi="宋体" w:eastAsia="宋体" w:cs="宋体"/>
          <w:color w:val="auto"/>
          <w:highlight w:val="none"/>
          <w:u w:val="single"/>
        </w:rPr>
        <w:t xml:space="preserve">                            </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
        <w:gridCol w:w="1642"/>
        <w:gridCol w:w="819"/>
        <w:gridCol w:w="929"/>
        <w:gridCol w:w="1120"/>
        <w:gridCol w:w="929"/>
        <w:gridCol w:w="1004"/>
        <w:gridCol w:w="2594"/>
      </w:tblGrid>
      <w:tr w14:paraId="2EF3C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61" w:type="pct"/>
          </w:tcPr>
          <w:p w14:paraId="4895D2FE">
            <w:pPr>
              <w:pageBreakBefore w:val="0"/>
              <w:shd w:val="clear"/>
              <w:topLinePunct w:val="0"/>
              <w:bidi w:val="0"/>
              <w:spacing w:line="500" w:lineRule="exact"/>
              <w:ind w:left="0" w:leftChars="0" w:right="0"/>
              <w:rPr>
                <w:rFonts w:hint="eastAsia" w:ascii="宋体" w:hAnsi="宋体" w:eastAsia="宋体" w:cs="宋体"/>
                <w:color w:val="auto"/>
                <w:highlight w:val="none"/>
              </w:rPr>
            </w:pPr>
            <w:r>
              <w:rPr>
                <w:rFonts w:hint="eastAsia" w:ascii="宋体" w:hAnsi="宋体" w:eastAsia="宋体" w:cs="宋体"/>
                <w:color w:val="auto"/>
                <w:highlight w:val="none"/>
              </w:rPr>
              <w:t>序号</w:t>
            </w:r>
          </w:p>
        </w:tc>
        <w:tc>
          <w:tcPr>
            <w:tcW w:w="824" w:type="pct"/>
          </w:tcPr>
          <w:p w14:paraId="6F616796">
            <w:pPr>
              <w:pageBreakBefore w:val="0"/>
              <w:shd w:val="clear"/>
              <w:topLinePunct w:val="0"/>
              <w:bidi w:val="0"/>
              <w:spacing w:line="500" w:lineRule="exact"/>
              <w:ind w:left="0" w:leftChars="0" w:right="0" w:firstLine="240"/>
              <w:rPr>
                <w:rFonts w:hint="eastAsia" w:ascii="宋体" w:hAnsi="宋体" w:eastAsia="宋体" w:cs="宋体"/>
                <w:color w:val="auto"/>
                <w:highlight w:val="none"/>
              </w:rPr>
            </w:pPr>
            <w:r>
              <w:rPr>
                <w:rFonts w:hint="eastAsia" w:ascii="宋体" w:hAnsi="宋体" w:eastAsia="宋体" w:cs="宋体"/>
                <w:color w:val="auto"/>
                <w:highlight w:val="none"/>
              </w:rPr>
              <w:t>姓   名</w:t>
            </w:r>
          </w:p>
        </w:tc>
        <w:tc>
          <w:tcPr>
            <w:tcW w:w="411" w:type="pct"/>
          </w:tcPr>
          <w:p w14:paraId="2D0B3DF9">
            <w:pPr>
              <w:pageBreakBefore w:val="0"/>
              <w:shd w:val="clear"/>
              <w:topLinePunct w:val="0"/>
              <w:bidi w:val="0"/>
              <w:spacing w:line="500" w:lineRule="exact"/>
              <w:ind w:left="0" w:leftChars="0" w:right="0"/>
              <w:rPr>
                <w:rFonts w:hint="eastAsia" w:ascii="宋体" w:hAnsi="宋体" w:eastAsia="宋体" w:cs="宋体"/>
                <w:color w:val="auto"/>
                <w:highlight w:val="none"/>
              </w:rPr>
            </w:pPr>
            <w:r>
              <w:rPr>
                <w:rFonts w:hint="eastAsia" w:ascii="宋体" w:hAnsi="宋体" w:eastAsia="宋体" w:cs="宋体"/>
                <w:color w:val="auto"/>
                <w:highlight w:val="none"/>
              </w:rPr>
              <w:t>年龄</w:t>
            </w:r>
          </w:p>
        </w:tc>
        <w:tc>
          <w:tcPr>
            <w:tcW w:w="466" w:type="pct"/>
          </w:tcPr>
          <w:p w14:paraId="3E588385">
            <w:pPr>
              <w:pageBreakBefore w:val="0"/>
              <w:shd w:val="clear"/>
              <w:topLinePunct w:val="0"/>
              <w:bidi w:val="0"/>
              <w:spacing w:line="500" w:lineRule="exact"/>
              <w:ind w:left="0" w:leftChars="0" w:right="0"/>
              <w:rPr>
                <w:rFonts w:hint="eastAsia" w:ascii="宋体" w:hAnsi="宋体" w:eastAsia="宋体" w:cs="宋体"/>
                <w:color w:val="auto"/>
                <w:highlight w:val="none"/>
              </w:rPr>
            </w:pPr>
            <w:r>
              <w:rPr>
                <w:rFonts w:hint="eastAsia" w:ascii="宋体" w:hAnsi="宋体" w:eastAsia="宋体" w:cs="宋体"/>
                <w:color w:val="auto"/>
                <w:highlight w:val="none"/>
              </w:rPr>
              <w:t>性别</w:t>
            </w:r>
          </w:p>
        </w:tc>
        <w:tc>
          <w:tcPr>
            <w:tcW w:w="562" w:type="pct"/>
          </w:tcPr>
          <w:p w14:paraId="0B17D457">
            <w:pPr>
              <w:pageBreakBefore w:val="0"/>
              <w:shd w:val="clear"/>
              <w:topLinePunct w:val="0"/>
              <w:bidi w:val="0"/>
              <w:spacing w:line="500" w:lineRule="exact"/>
              <w:ind w:left="0" w:leftChars="0" w:right="0"/>
              <w:rPr>
                <w:rFonts w:hint="eastAsia" w:ascii="宋体" w:hAnsi="宋体" w:eastAsia="宋体" w:cs="宋体"/>
                <w:color w:val="auto"/>
                <w:highlight w:val="none"/>
              </w:rPr>
            </w:pPr>
            <w:r>
              <w:rPr>
                <w:rFonts w:hint="eastAsia" w:ascii="宋体" w:hAnsi="宋体" w:eastAsia="宋体" w:cs="宋体"/>
                <w:color w:val="auto"/>
                <w:highlight w:val="none"/>
              </w:rPr>
              <w:t>学 历</w:t>
            </w:r>
          </w:p>
        </w:tc>
        <w:tc>
          <w:tcPr>
            <w:tcW w:w="466" w:type="pct"/>
          </w:tcPr>
          <w:p w14:paraId="7ECEDB69">
            <w:pPr>
              <w:pageBreakBefore w:val="0"/>
              <w:shd w:val="clear"/>
              <w:topLinePunct w:val="0"/>
              <w:bidi w:val="0"/>
              <w:spacing w:line="500" w:lineRule="exact"/>
              <w:ind w:left="0" w:leftChars="0" w:right="0"/>
              <w:rPr>
                <w:rFonts w:hint="eastAsia" w:ascii="宋体" w:hAnsi="宋体" w:eastAsia="宋体" w:cs="宋体"/>
                <w:color w:val="auto"/>
                <w:highlight w:val="none"/>
              </w:rPr>
            </w:pPr>
            <w:r>
              <w:rPr>
                <w:rFonts w:hint="eastAsia" w:ascii="宋体" w:hAnsi="宋体" w:eastAsia="宋体" w:cs="宋体"/>
                <w:color w:val="auto"/>
                <w:highlight w:val="none"/>
              </w:rPr>
              <w:t>专业</w:t>
            </w:r>
          </w:p>
        </w:tc>
        <w:tc>
          <w:tcPr>
            <w:tcW w:w="504" w:type="pct"/>
          </w:tcPr>
          <w:p w14:paraId="6F7365DF">
            <w:pPr>
              <w:pageBreakBefore w:val="0"/>
              <w:shd w:val="clear"/>
              <w:topLinePunct w:val="0"/>
              <w:bidi w:val="0"/>
              <w:spacing w:line="500" w:lineRule="exact"/>
              <w:ind w:left="0" w:leftChars="0" w:right="0"/>
              <w:rPr>
                <w:rFonts w:hint="eastAsia" w:ascii="宋体" w:hAnsi="宋体" w:eastAsia="宋体" w:cs="宋体"/>
                <w:color w:val="auto"/>
                <w:highlight w:val="none"/>
              </w:rPr>
            </w:pPr>
            <w:r>
              <w:rPr>
                <w:rFonts w:hint="eastAsia" w:ascii="宋体" w:hAnsi="宋体" w:eastAsia="宋体" w:cs="宋体"/>
                <w:color w:val="auto"/>
                <w:highlight w:val="none"/>
              </w:rPr>
              <w:t>职称</w:t>
            </w:r>
          </w:p>
        </w:tc>
        <w:tc>
          <w:tcPr>
            <w:tcW w:w="1302" w:type="pct"/>
          </w:tcPr>
          <w:p w14:paraId="037F4E59">
            <w:pPr>
              <w:pageBreakBefore w:val="0"/>
              <w:shd w:val="clear"/>
              <w:topLinePunct w:val="0"/>
              <w:bidi w:val="0"/>
              <w:spacing w:line="500" w:lineRule="exact"/>
              <w:ind w:left="0" w:leftChars="0" w:right="0"/>
              <w:rPr>
                <w:rFonts w:hint="eastAsia" w:ascii="宋体" w:hAnsi="宋体" w:eastAsia="宋体" w:cs="宋体"/>
                <w:color w:val="auto"/>
                <w:highlight w:val="none"/>
              </w:rPr>
            </w:pPr>
            <w:r>
              <w:rPr>
                <w:rFonts w:hint="eastAsia" w:ascii="宋体" w:hAnsi="宋体" w:eastAsia="宋体" w:cs="宋体"/>
                <w:color w:val="auto"/>
                <w:highlight w:val="none"/>
              </w:rPr>
              <w:t>在本项目拟任职务</w:t>
            </w:r>
          </w:p>
        </w:tc>
      </w:tr>
      <w:tr w14:paraId="0F396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tcPr>
          <w:p w14:paraId="745E2EB3">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824" w:type="pct"/>
          </w:tcPr>
          <w:p w14:paraId="01E0D222">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411" w:type="pct"/>
          </w:tcPr>
          <w:p w14:paraId="66DACD33">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466" w:type="pct"/>
          </w:tcPr>
          <w:p w14:paraId="5811E3D0">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562" w:type="pct"/>
          </w:tcPr>
          <w:p w14:paraId="59470F41">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466" w:type="pct"/>
          </w:tcPr>
          <w:p w14:paraId="0041C6D1">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504" w:type="pct"/>
          </w:tcPr>
          <w:p w14:paraId="0B2B4C4D">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1302" w:type="pct"/>
          </w:tcPr>
          <w:p w14:paraId="68FEA0CA">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r>
      <w:tr w14:paraId="2A853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tcPr>
          <w:p w14:paraId="27FE8A5F">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824" w:type="pct"/>
          </w:tcPr>
          <w:p w14:paraId="676744E0">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411" w:type="pct"/>
          </w:tcPr>
          <w:p w14:paraId="0C098F33">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466" w:type="pct"/>
          </w:tcPr>
          <w:p w14:paraId="1EE24ADA">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562" w:type="pct"/>
          </w:tcPr>
          <w:p w14:paraId="45279FA2">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466" w:type="pct"/>
          </w:tcPr>
          <w:p w14:paraId="7C405850">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504" w:type="pct"/>
          </w:tcPr>
          <w:p w14:paraId="3802B879">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1302" w:type="pct"/>
          </w:tcPr>
          <w:p w14:paraId="39A59DA9">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r>
      <w:tr w14:paraId="0EB1A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tcPr>
          <w:p w14:paraId="226A613C">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824" w:type="pct"/>
          </w:tcPr>
          <w:p w14:paraId="1110FD3B">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411" w:type="pct"/>
          </w:tcPr>
          <w:p w14:paraId="3202C174">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466" w:type="pct"/>
          </w:tcPr>
          <w:p w14:paraId="49C867C0">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562" w:type="pct"/>
          </w:tcPr>
          <w:p w14:paraId="5ABF73B1">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466" w:type="pct"/>
          </w:tcPr>
          <w:p w14:paraId="1947654F">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504" w:type="pct"/>
          </w:tcPr>
          <w:p w14:paraId="237DED9E">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1302" w:type="pct"/>
          </w:tcPr>
          <w:p w14:paraId="47E91C8F">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r>
      <w:tr w14:paraId="1F966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tcPr>
          <w:p w14:paraId="021542AC">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824" w:type="pct"/>
          </w:tcPr>
          <w:p w14:paraId="3975AE2D">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411" w:type="pct"/>
          </w:tcPr>
          <w:p w14:paraId="266F5125">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466" w:type="pct"/>
          </w:tcPr>
          <w:p w14:paraId="6DF26803">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562" w:type="pct"/>
          </w:tcPr>
          <w:p w14:paraId="7E1F4FD1">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466" w:type="pct"/>
          </w:tcPr>
          <w:p w14:paraId="4EB507A1">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504" w:type="pct"/>
          </w:tcPr>
          <w:p w14:paraId="690B9C07">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1302" w:type="pct"/>
          </w:tcPr>
          <w:p w14:paraId="1F98FFD2">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r>
      <w:tr w14:paraId="5952E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tcPr>
          <w:p w14:paraId="7F0730A6">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824" w:type="pct"/>
          </w:tcPr>
          <w:p w14:paraId="78EF3E07">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411" w:type="pct"/>
          </w:tcPr>
          <w:p w14:paraId="7BA141AB">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466" w:type="pct"/>
          </w:tcPr>
          <w:p w14:paraId="340ED843">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562" w:type="pct"/>
          </w:tcPr>
          <w:p w14:paraId="3EE751C0">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466" w:type="pct"/>
          </w:tcPr>
          <w:p w14:paraId="56E6BCFB">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504" w:type="pct"/>
          </w:tcPr>
          <w:p w14:paraId="4BFA2B4B">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1302" w:type="pct"/>
          </w:tcPr>
          <w:p w14:paraId="17930F83">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r>
      <w:tr w14:paraId="410E7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tcPr>
          <w:p w14:paraId="40BDAA06">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824" w:type="pct"/>
          </w:tcPr>
          <w:p w14:paraId="777E19BA">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411" w:type="pct"/>
          </w:tcPr>
          <w:p w14:paraId="65257757">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466" w:type="pct"/>
          </w:tcPr>
          <w:p w14:paraId="421037BA">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562" w:type="pct"/>
          </w:tcPr>
          <w:p w14:paraId="20E565CD">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466" w:type="pct"/>
          </w:tcPr>
          <w:p w14:paraId="5E33EBA9">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504" w:type="pct"/>
          </w:tcPr>
          <w:p w14:paraId="0DFD85FC">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1302" w:type="pct"/>
          </w:tcPr>
          <w:p w14:paraId="779B5E35">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r>
      <w:tr w14:paraId="09E1E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tcPr>
          <w:p w14:paraId="4223F53B">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824" w:type="pct"/>
          </w:tcPr>
          <w:p w14:paraId="2E105795">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411" w:type="pct"/>
          </w:tcPr>
          <w:p w14:paraId="7B59E477">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466" w:type="pct"/>
          </w:tcPr>
          <w:p w14:paraId="7849700D">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562" w:type="pct"/>
          </w:tcPr>
          <w:p w14:paraId="07383841">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466" w:type="pct"/>
          </w:tcPr>
          <w:p w14:paraId="2E32C14A">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504" w:type="pct"/>
          </w:tcPr>
          <w:p w14:paraId="4DED6A9B">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1302" w:type="pct"/>
          </w:tcPr>
          <w:p w14:paraId="12C12B7A">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r>
      <w:tr w14:paraId="4F7DF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tcPr>
          <w:p w14:paraId="131298D0">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824" w:type="pct"/>
          </w:tcPr>
          <w:p w14:paraId="712B8613">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411" w:type="pct"/>
          </w:tcPr>
          <w:p w14:paraId="67DF7F3C">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466" w:type="pct"/>
          </w:tcPr>
          <w:p w14:paraId="53485D75">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562" w:type="pct"/>
          </w:tcPr>
          <w:p w14:paraId="002D9B9E">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466" w:type="pct"/>
          </w:tcPr>
          <w:p w14:paraId="2D8F60ED">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504" w:type="pct"/>
          </w:tcPr>
          <w:p w14:paraId="71F77E52">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1302" w:type="pct"/>
          </w:tcPr>
          <w:p w14:paraId="43C5DB46">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r>
      <w:tr w14:paraId="69ED5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tcPr>
          <w:p w14:paraId="625836F5">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824" w:type="pct"/>
          </w:tcPr>
          <w:p w14:paraId="7CF1F70B">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411" w:type="pct"/>
          </w:tcPr>
          <w:p w14:paraId="2D7D5DCE">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466" w:type="pct"/>
          </w:tcPr>
          <w:p w14:paraId="0F63DEA5">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562" w:type="pct"/>
          </w:tcPr>
          <w:p w14:paraId="1C3189ED">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466" w:type="pct"/>
          </w:tcPr>
          <w:p w14:paraId="3274E30A">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504" w:type="pct"/>
          </w:tcPr>
          <w:p w14:paraId="0F10FC97">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1302" w:type="pct"/>
          </w:tcPr>
          <w:p w14:paraId="42125CCE">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r>
      <w:tr w14:paraId="1027C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tcPr>
          <w:p w14:paraId="4A247A56">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824" w:type="pct"/>
          </w:tcPr>
          <w:p w14:paraId="22579678">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411" w:type="pct"/>
          </w:tcPr>
          <w:p w14:paraId="23EDF5E3">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466" w:type="pct"/>
          </w:tcPr>
          <w:p w14:paraId="20895B72">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562" w:type="pct"/>
          </w:tcPr>
          <w:p w14:paraId="7622F3AC">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466" w:type="pct"/>
          </w:tcPr>
          <w:p w14:paraId="7C355B1A">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504" w:type="pct"/>
          </w:tcPr>
          <w:p w14:paraId="73E438FA">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1302" w:type="pct"/>
          </w:tcPr>
          <w:p w14:paraId="63EDFE78">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r>
      <w:tr w14:paraId="7E3BF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tcPr>
          <w:p w14:paraId="4FD760EA">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824" w:type="pct"/>
          </w:tcPr>
          <w:p w14:paraId="079C1A0D">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411" w:type="pct"/>
          </w:tcPr>
          <w:p w14:paraId="10F59AE6">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466" w:type="pct"/>
          </w:tcPr>
          <w:p w14:paraId="534E36CD">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562" w:type="pct"/>
          </w:tcPr>
          <w:p w14:paraId="71EF6A56">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466" w:type="pct"/>
          </w:tcPr>
          <w:p w14:paraId="12AA3298">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504" w:type="pct"/>
          </w:tcPr>
          <w:p w14:paraId="322DE9C2">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1302" w:type="pct"/>
          </w:tcPr>
          <w:p w14:paraId="419E85C0">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r>
      <w:tr w14:paraId="33FCF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tcPr>
          <w:p w14:paraId="3104E305">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824" w:type="pct"/>
          </w:tcPr>
          <w:p w14:paraId="4BA5443E">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411" w:type="pct"/>
          </w:tcPr>
          <w:p w14:paraId="65A03108">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466" w:type="pct"/>
          </w:tcPr>
          <w:p w14:paraId="7288F5E7">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562" w:type="pct"/>
          </w:tcPr>
          <w:p w14:paraId="519DE26C">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466" w:type="pct"/>
          </w:tcPr>
          <w:p w14:paraId="21781CAB">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504" w:type="pct"/>
          </w:tcPr>
          <w:p w14:paraId="6DEF75A4">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1302" w:type="pct"/>
          </w:tcPr>
          <w:p w14:paraId="71349255">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r>
      <w:tr w14:paraId="5F071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tcPr>
          <w:p w14:paraId="1FC415D8">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824" w:type="pct"/>
          </w:tcPr>
          <w:p w14:paraId="22CAF2D3">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411" w:type="pct"/>
          </w:tcPr>
          <w:p w14:paraId="38B045A8">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466" w:type="pct"/>
          </w:tcPr>
          <w:p w14:paraId="7138D7FA">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562" w:type="pct"/>
          </w:tcPr>
          <w:p w14:paraId="1BDA6107">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466" w:type="pct"/>
          </w:tcPr>
          <w:p w14:paraId="3E6B07F0">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504" w:type="pct"/>
          </w:tcPr>
          <w:p w14:paraId="6CC5DBA5">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1302" w:type="pct"/>
          </w:tcPr>
          <w:p w14:paraId="5C9DDDE9">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r>
      <w:tr w14:paraId="5DE7A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tcPr>
          <w:p w14:paraId="0BEB0AD2">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824" w:type="pct"/>
          </w:tcPr>
          <w:p w14:paraId="05677CA8">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411" w:type="pct"/>
          </w:tcPr>
          <w:p w14:paraId="56B24199">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466" w:type="pct"/>
          </w:tcPr>
          <w:p w14:paraId="4B907658">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562" w:type="pct"/>
          </w:tcPr>
          <w:p w14:paraId="09A84891">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466" w:type="pct"/>
          </w:tcPr>
          <w:p w14:paraId="52F03764">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504" w:type="pct"/>
          </w:tcPr>
          <w:p w14:paraId="61D47F29">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1302" w:type="pct"/>
          </w:tcPr>
          <w:p w14:paraId="0C34A831">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r>
      <w:tr w14:paraId="69E39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tcPr>
          <w:p w14:paraId="36061D5D">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824" w:type="pct"/>
          </w:tcPr>
          <w:p w14:paraId="74C2F568">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411" w:type="pct"/>
          </w:tcPr>
          <w:p w14:paraId="1EE2B0AE">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466" w:type="pct"/>
          </w:tcPr>
          <w:p w14:paraId="49C0B32A">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562" w:type="pct"/>
          </w:tcPr>
          <w:p w14:paraId="64016687">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466" w:type="pct"/>
          </w:tcPr>
          <w:p w14:paraId="22F9CC03">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504" w:type="pct"/>
          </w:tcPr>
          <w:p w14:paraId="0AD96CBB">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1302" w:type="pct"/>
          </w:tcPr>
          <w:p w14:paraId="01E28D3A">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r>
      <w:tr w14:paraId="6F700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tcPr>
          <w:p w14:paraId="18FA68EE">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824" w:type="pct"/>
          </w:tcPr>
          <w:p w14:paraId="09CEF9AA">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411" w:type="pct"/>
          </w:tcPr>
          <w:p w14:paraId="51879AA9">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466" w:type="pct"/>
          </w:tcPr>
          <w:p w14:paraId="7D86D4F9">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562" w:type="pct"/>
          </w:tcPr>
          <w:p w14:paraId="6C511B11">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466" w:type="pct"/>
          </w:tcPr>
          <w:p w14:paraId="6D08BE21">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504" w:type="pct"/>
          </w:tcPr>
          <w:p w14:paraId="2854A26A">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1302" w:type="pct"/>
          </w:tcPr>
          <w:p w14:paraId="07872160">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r>
      <w:tr w14:paraId="4DA2F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tcPr>
          <w:p w14:paraId="614485D4">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824" w:type="pct"/>
          </w:tcPr>
          <w:p w14:paraId="0D28FC1D">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411" w:type="pct"/>
          </w:tcPr>
          <w:p w14:paraId="55FAE059">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466" w:type="pct"/>
          </w:tcPr>
          <w:p w14:paraId="2F22A066">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562" w:type="pct"/>
          </w:tcPr>
          <w:p w14:paraId="099BFD36">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466" w:type="pct"/>
          </w:tcPr>
          <w:p w14:paraId="4EA32FD3">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504" w:type="pct"/>
          </w:tcPr>
          <w:p w14:paraId="03C925AF">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1302" w:type="pct"/>
          </w:tcPr>
          <w:p w14:paraId="0A302F00">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r>
    </w:tbl>
    <w:p w14:paraId="5AB54A1C">
      <w:pPr>
        <w:pStyle w:val="42"/>
        <w:pageBreakBefore w:val="0"/>
        <w:tabs>
          <w:tab w:val="left" w:pos="2040"/>
        </w:tabs>
        <w:topLinePunct w:val="0"/>
        <w:bidi w:val="0"/>
        <w:spacing w:beforeLines="0" w:line="500" w:lineRule="exact"/>
        <w:ind w:left="840" w:leftChars="0" w:right="0"/>
        <w:rPr>
          <w:rFonts w:hint="eastAsia" w:ascii="宋体" w:hAnsi="宋体" w:eastAsia="宋体" w:cs="宋体"/>
          <w:color w:val="auto"/>
          <w:sz w:val="24"/>
          <w:highlight w:val="none"/>
        </w:rPr>
      </w:pPr>
      <w:r>
        <w:rPr>
          <w:rFonts w:hint="eastAsia" w:ascii="宋体" w:hAnsi="宋体" w:eastAsia="宋体" w:cs="宋体"/>
          <w:color w:val="auto"/>
          <w:sz w:val="24"/>
          <w:highlight w:val="none"/>
        </w:rPr>
        <w:t>注：1.供应商可适当调整该表格式，但不得减少信息内容。</w:t>
      </w:r>
    </w:p>
    <w:p w14:paraId="457E502B">
      <w:pPr>
        <w:pStyle w:val="42"/>
        <w:keepNext w:val="0"/>
        <w:keepLines w:val="0"/>
        <w:pageBreakBefore w:val="0"/>
        <w:widowControl w:val="0"/>
        <w:numPr>
          <w:ilvl w:val="0"/>
          <w:numId w:val="0"/>
        </w:numPr>
        <w:tabs>
          <w:tab w:val="left" w:pos="2040"/>
        </w:tabs>
        <w:kinsoku/>
        <w:wordWrap/>
        <w:overflowPunct/>
        <w:topLinePunct w:val="0"/>
        <w:autoSpaceDE/>
        <w:autoSpaceDN/>
        <w:bidi w:val="0"/>
        <w:adjustRightInd w:val="0"/>
        <w:snapToGrid w:val="0"/>
        <w:spacing w:beforeLines="0" w:line="500" w:lineRule="exact"/>
        <w:ind w:left="840" w:leftChars="0" w:right="0"/>
        <w:textAlignment w:val="auto"/>
        <w:rPr>
          <w:rFonts w:hint="eastAsia" w:ascii="宋体" w:hAnsi="宋体" w:eastAsia="宋体" w:cs="宋体"/>
          <w:color w:val="auto"/>
          <w:szCs w:val="24"/>
          <w:highlight w:val="none"/>
          <w:lang w:val="zh-CN"/>
        </w:rPr>
      </w:pPr>
      <w:bookmarkStart w:id="507" w:name="_Toc19329"/>
      <w:bookmarkStart w:id="508" w:name="_Toc7322"/>
      <w:bookmarkStart w:id="509" w:name="_Toc25376"/>
    </w:p>
    <w:p w14:paraId="3858D33B">
      <w:pPr>
        <w:pageBreakBefore w:val="0"/>
        <w:shd w:val="clear"/>
        <w:topLinePunct w:val="0"/>
        <w:bidi w:val="0"/>
        <w:spacing w:line="500" w:lineRule="exact"/>
        <w:ind w:left="0" w:leftChars="0" w:right="0"/>
        <w:rPr>
          <w:rFonts w:hint="eastAsia" w:ascii="宋体" w:hAnsi="宋体" w:eastAsia="宋体" w:cs="宋体"/>
          <w:color w:val="auto"/>
          <w:sz w:val="24"/>
          <w:highlight w:val="none"/>
          <w:u w:val="single"/>
        </w:rPr>
      </w:pPr>
      <w:bookmarkStart w:id="510" w:name="_Toc11343"/>
      <w:bookmarkStart w:id="511" w:name="_Toc311"/>
      <w:bookmarkStart w:id="512" w:name="_Toc5724"/>
      <w:r>
        <w:rPr>
          <w:rFonts w:hint="eastAsia" w:ascii="宋体" w:hAnsi="宋体" w:eastAsia="宋体" w:cs="宋体"/>
          <w:color w:val="auto"/>
          <w:sz w:val="24"/>
          <w:szCs w:val="24"/>
          <w:highlight w:val="none"/>
          <w:lang w:eastAsia="zh-CN"/>
        </w:rPr>
        <w:t>供应商名称（</w:t>
      </w:r>
      <w:r>
        <w:rPr>
          <w:rFonts w:hint="eastAsia" w:ascii="宋体" w:hAnsi="宋体" w:eastAsia="宋体" w:cs="宋体"/>
          <w:color w:val="auto"/>
          <w:sz w:val="24"/>
          <w:szCs w:val="24"/>
          <w:highlight w:val="none"/>
        </w:rPr>
        <w:t>公章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u w:val="single"/>
        </w:rPr>
        <w:t>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w:t>
      </w:r>
    </w:p>
    <w:p w14:paraId="5FABA114">
      <w:pPr>
        <w:pageBreakBefore w:val="0"/>
        <w:shd w:val="clear"/>
        <w:topLinePunct w:val="0"/>
        <w:bidi w:val="0"/>
        <w:spacing w:line="500" w:lineRule="exact"/>
        <w:ind w:left="0" w:leftChars="0" w:right="0"/>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zh-CN"/>
        </w:rPr>
        <w:t>法定代表人或被授权人（签字或盖章）</w:t>
      </w:r>
      <w:r>
        <w:rPr>
          <w:rFonts w:hint="eastAsia" w:ascii="宋体" w:hAnsi="宋体" w:eastAsia="宋体" w:cs="宋体"/>
          <w:color w:val="auto"/>
          <w:szCs w:val="24"/>
          <w:highlight w:val="none"/>
        </w:rPr>
        <w:t>：</w:t>
      </w:r>
      <w:r>
        <w:rPr>
          <w:rFonts w:hint="eastAsia" w:ascii="宋体" w:hAnsi="宋体" w:eastAsia="宋体" w:cs="宋体"/>
          <w:color w:val="auto"/>
          <w:szCs w:val="24"/>
          <w:highlight w:val="none"/>
          <w:u w:val="single"/>
        </w:rPr>
        <w:t xml:space="preserve">      </w:t>
      </w:r>
    </w:p>
    <w:p w14:paraId="421CA77E">
      <w:pPr>
        <w:pageBreakBefore w:val="0"/>
        <w:shd w:val="clear"/>
        <w:topLinePunct w:val="0"/>
        <w:bidi w:val="0"/>
        <w:spacing w:line="500" w:lineRule="exact"/>
        <w:ind w:left="0" w:leftChars="0" w:right="0"/>
        <w:rPr>
          <w:rFonts w:hint="eastAsia" w:ascii="宋体" w:hAnsi="宋体" w:eastAsia="宋体" w:cs="宋体"/>
          <w:color w:val="auto"/>
          <w:highlight w:val="none"/>
          <w:u w:val="single"/>
        </w:rPr>
      </w:pPr>
      <w:r>
        <w:rPr>
          <w:rFonts w:hint="eastAsia" w:ascii="宋体" w:hAnsi="宋体" w:eastAsia="宋体" w:cs="宋体"/>
          <w:color w:val="auto"/>
          <w:szCs w:val="24"/>
          <w:highlight w:val="none"/>
        </w:rPr>
        <w:t>日 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14:paraId="631718FE">
      <w:pPr>
        <w:keepNext w:val="0"/>
        <w:keepLines w:val="0"/>
        <w:pageBreakBefore w:val="0"/>
        <w:widowControl w:val="0"/>
        <w:kinsoku/>
        <w:wordWrap/>
        <w:overflowPunct/>
        <w:topLinePunct w:val="0"/>
        <w:autoSpaceDE/>
        <w:autoSpaceDN/>
        <w:bidi w:val="0"/>
        <w:spacing w:line="500" w:lineRule="exact"/>
        <w:ind w:left="0" w:leftChars="0" w:right="0"/>
        <w:textAlignment w:val="auto"/>
        <w:rPr>
          <w:rFonts w:hint="eastAsia" w:ascii="宋体" w:hAnsi="宋体" w:eastAsia="宋体" w:cs="宋体"/>
          <w:b/>
          <w:color w:val="auto"/>
          <w:kern w:val="2"/>
          <w:sz w:val="24"/>
          <w:szCs w:val="18"/>
          <w:highlight w:val="none"/>
          <w:lang w:val="en-US" w:eastAsia="zh-CN" w:bidi="ar-SA"/>
        </w:rPr>
      </w:pPr>
      <w:r>
        <w:rPr>
          <w:rFonts w:hint="eastAsia" w:ascii="宋体" w:hAnsi="宋体" w:eastAsia="宋体" w:cs="宋体"/>
          <w:b/>
          <w:color w:val="auto"/>
          <w:kern w:val="2"/>
          <w:sz w:val="24"/>
          <w:szCs w:val="18"/>
          <w:highlight w:val="none"/>
          <w:lang w:val="en-US" w:eastAsia="zh-CN" w:bidi="ar-SA"/>
        </w:rPr>
        <w:br w:type="page"/>
      </w:r>
    </w:p>
    <w:p w14:paraId="652BEFAF">
      <w:pPr>
        <w:pageBreakBefore w:val="0"/>
        <w:topLinePunct w:val="0"/>
        <w:bidi w:val="0"/>
        <w:spacing w:afterAutospacing="0" w:line="500" w:lineRule="exact"/>
        <w:ind w:left="0" w:leftChars="0" w:right="0"/>
        <w:jc w:val="left"/>
        <w:rPr>
          <w:rFonts w:hint="eastAsia" w:ascii="宋体" w:hAnsi="宋体" w:eastAsia="宋体" w:cs="宋体"/>
          <w:b/>
          <w:bCs/>
          <w:color w:val="auto"/>
          <w:sz w:val="24"/>
          <w:szCs w:val="24"/>
          <w:highlight w:val="none"/>
          <w:lang w:val="en-US" w:eastAsia="zh-CN"/>
        </w:rPr>
      </w:pPr>
      <w:bookmarkStart w:id="513" w:name="_Toc26272"/>
      <w:bookmarkStart w:id="514" w:name="_Toc12081"/>
      <w:bookmarkStart w:id="515" w:name="_Toc17048"/>
      <w:bookmarkStart w:id="516" w:name="_Toc27227"/>
      <w:bookmarkStart w:id="517" w:name="_Toc15414"/>
      <w:bookmarkStart w:id="518" w:name="_Toc16966"/>
      <w:bookmarkStart w:id="519" w:name="_Toc21538"/>
      <w:r>
        <w:rPr>
          <w:rFonts w:hint="eastAsia" w:ascii="宋体" w:hAnsi="宋体" w:eastAsia="宋体" w:cs="宋体"/>
          <w:b/>
          <w:bCs/>
          <w:color w:val="auto"/>
          <w:sz w:val="24"/>
          <w:szCs w:val="24"/>
          <w:highlight w:val="none"/>
          <w:lang w:val="en-US" w:eastAsia="zh-CN"/>
        </w:rPr>
        <w:t>附件2：拟投入本项目</w:t>
      </w:r>
      <w:bookmarkStart w:id="520" w:name="_Toc225410808"/>
      <w:bookmarkStart w:id="521" w:name="_Toc225409966"/>
      <w:bookmarkStart w:id="522" w:name="_Toc225566702"/>
      <w:bookmarkStart w:id="523" w:name="_Toc21036"/>
      <w:bookmarkStart w:id="524" w:name="_Toc225416062"/>
      <w:bookmarkStart w:id="525" w:name="_Toc225410182"/>
      <w:bookmarkStart w:id="526" w:name="_Toc225567482"/>
      <w:bookmarkStart w:id="527" w:name="_Toc225415861"/>
      <w:bookmarkStart w:id="528" w:name="_Toc4691"/>
      <w:bookmarkStart w:id="529" w:name="_Toc225412374"/>
      <w:bookmarkStart w:id="530" w:name="_Toc341541376"/>
      <w:bookmarkStart w:id="531" w:name="_Toc396304715"/>
      <w:bookmarkStart w:id="532" w:name="_Toc225412172"/>
      <w:bookmarkStart w:id="533" w:name="_Toc403077653"/>
      <w:bookmarkStart w:id="534" w:name="_Toc225566883"/>
      <w:bookmarkStart w:id="535" w:name="_Toc10862"/>
      <w:bookmarkStart w:id="536" w:name="_Toc225415660"/>
      <w:r>
        <w:rPr>
          <w:rFonts w:hint="eastAsia" w:ascii="宋体" w:hAnsi="宋体" w:eastAsia="宋体" w:cs="宋体"/>
          <w:b/>
          <w:bCs/>
          <w:color w:val="auto"/>
          <w:sz w:val="24"/>
          <w:szCs w:val="24"/>
          <w:highlight w:val="none"/>
          <w:lang w:val="en-US" w:eastAsia="zh-CN"/>
        </w:rPr>
        <w:t>主要人员简历表</w:t>
      </w:r>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8"/>
        <w:gridCol w:w="298"/>
        <w:gridCol w:w="1735"/>
        <w:gridCol w:w="1677"/>
        <w:gridCol w:w="1412"/>
        <w:gridCol w:w="52"/>
        <w:gridCol w:w="1880"/>
        <w:gridCol w:w="4"/>
        <w:gridCol w:w="1251"/>
      </w:tblGrid>
      <w:tr w14:paraId="4F90E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978" w:type="pct"/>
            <w:gridSpan w:val="2"/>
            <w:vAlign w:val="center"/>
          </w:tcPr>
          <w:p w14:paraId="124EEB92">
            <w:pPr>
              <w:pageBreakBefore w:val="0"/>
              <w:widowControl w:val="0"/>
              <w:shd w:val="clear"/>
              <w:topLinePunct w:val="0"/>
              <w:bidi w:val="0"/>
              <w:adjustRightInd w:val="0"/>
              <w:snapToGrid w:val="0"/>
              <w:spacing w:line="500" w:lineRule="exact"/>
              <w:ind w:left="0" w:leftChars="0" w:right="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姓  名</w:t>
            </w:r>
          </w:p>
        </w:tc>
        <w:tc>
          <w:tcPr>
            <w:tcW w:w="871" w:type="pct"/>
            <w:vAlign w:val="center"/>
          </w:tcPr>
          <w:p w14:paraId="30A8AF84">
            <w:pPr>
              <w:pageBreakBefore w:val="0"/>
              <w:widowControl w:val="0"/>
              <w:shd w:val="clear"/>
              <w:topLinePunct w:val="0"/>
              <w:bidi w:val="0"/>
              <w:adjustRightInd w:val="0"/>
              <w:snapToGrid w:val="0"/>
              <w:spacing w:line="500" w:lineRule="exact"/>
              <w:ind w:left="0" w:leftChars="0" w:right="0"/>
              <w:jc w:val="center"/>
              <w:rPr>
                <w:rFonts w:hint="eastAsia" w:ascii="宋体" w:hAnsi="宋体" w:eastAsia="宋体" w:cs="宋体"/>
                <w:color w:val="auto"/>
                <w:kern w:val="0"/>
                <w:sz w:val="24"/>
                <w:szCs w:val="24"/>
                <w:highlight w:val="none"/>
                <w:lang w:val="en-US" w:eastAsia="zh-CN" w:bidi="ar-SA"/>
              </w:rPr>
            </w:pPr>
          </w:p>
        </w:tc>
        <w:tc>
          <w:tcPr>
            <w:tcW w:w="842" w:type="pct"/>
            <w:vAlign w:val="center"/>
          </w:tcPr>
          <w:p w14:paraId="6E495949">
            <w:pPr>
              <w:pageBreakBefore w:val="0"/>
              <w:widowControl w:val="0"/>
              <w:shd w:val="clear"/>
              <w:topLinePunct w:val="0"/>
              <w:bidi w:val="0"/>
              <w:adjustRightInd w:val="0"/>
              <w:snapToGrid w:val="0"/>
              <w:spacing w:line="500" w:lineRule="exact"/>
              <w:ind w:left="0" w:leftChars="0" w:right="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性 别</w:t>
            </w:r>
          </w:p>
        </w:tc>
        <w:tc>
          <w:tcPr>
            <w:tcW w:w="735" w:type="pct"/>
            <w:gridSpan w:val="2"/>
            <w:vAlign w:val="center"/>
          </w:tcPr>
          <w:p w14:paraId="4A67ADED">
            <w:pPr>
              <w:pageBreakBefore w:val="0"/>
              <w:widowControl w:val="0"/>
              <w:shd w:val="clear"/>
              <w:topLinePunct w:val="0"/>
              <w:bidi w:val="0"/>
              <w:adjustRightInd w:val="0"/>
              <w:snapToGrid w:val="0"/>
              <w:spacing w:line="500" w:lineRule="exact"/>
              <w:ind w:left="0" w:leftChars="0" w:right="0"/>
              <w:jc w:val="center"/>
              <w:rPr>
                <w:rFonts w:hint="eastAsia" w:ascii="宋体" w:hAnsi="宋体" w:eastAsia="宋体" w:cs="宋体"/>
                <w:color w:val="auto"/>
                <w:kern w:val="0"/>
                <w:sz w:val="24"/>
                <w:szCs w:val="24"/>
                <w:highlight w:val="none"/>
                <w:lang w:val="en-US" w:eastAsia="zh-CN" w:bidi="ar-SA"/>
              </w:rPr>
            </w:pPr>
          </w:p>
        </w:tc>
        <w:tc>
          <w:tcPr>
            <w:tcW w:w="943" w:type="pct"/>
            <w:vAlign w:val="center"/>
          </w:tcPr>
          <w:p w14:paraId="4A3F3AAD">
            <w:pPr>
              <w:pageBreakBefore w:val="0"/>
              <w:widowControl w:val="0"/>
              <w:shd w:val="clear"/>
              <w:topLinePunct w:val="0"/>
              <w:bidi w:val="0"/>
              <w:adjustRightInd w:val="0"/>
              <w:snapToGrid w:val="0"/>
              <w:spacing w:line="500" w:lineRule="exact"/>
              <w:ind w:left="0" w:leftChars="0" w:right="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年 龄</w:t>
            </w:r>
          </w:p>
        </w:tc>
        <w:tc>
          <w:tcPr>
            <w:tcW w:w="629" w:type="pct"/>
            <w:gridSpan w:val="2"/>
            <w:vAlign w:val="center"/>
          </w:tcPr>
          <w:p w14:paraId="51CE0C31">
            <w:pPr>
              <w:pageBreakBefore w:val="0"/>
              <w:widowControl w:val="0"/>
              <w:shd w:val="clear"/>
              <w:topLinePunct w:val="0"/>
              <w:bidi w:val="0"/>
              <w:adjustRightInd w:val="0"/>
              <w:snapToGrid w:val="0"/>
              <w:spacing w:line="500" w:lineRule="exact"/>
              <w:ind w:left="0" w:leftChars="0" w:right="0" w:firstLine="480" w:firstLineChars="200"/>
              <w:jc w:val="center"/>
              <w:rPr>
                <w:rFonts w:hint="eastAsia" w:ascii="宋体" w:hAnsi="宋体" w:eastAsia="宋体" w:cs="宋体"/>
                <w:color w:val="auto"/>
                <w:kern w:val="0"/>
                <w:sz w:val="24"/>
                <w:szCs w:val="24"/>
                <w:highlight w:val="none"/>
                <w:lang w:val="en-US" w:eastAsia="zh-CN" w:bidi="ar-SA"/>
              </w:rPr>
            </w:pPr>
          </w:p>
        </w:tc>
      </w:tr>
      <w:tr w14:paraId="3EE22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978" w:type="pct"/>
            <w:gridSpan w:val="2"/>
            <w:vAlign w:val="center"/>
          </w:tcPr>
          <w:p w14:paraId="5437AA27">
            <w:pPr>
              <w:pageBreakBefore w:val="0"/>
              <w:widowControl w:val="0"/>
              <w:shd w:val="clear"/>
              <w:topLinePunct w:val="0"/>
              <w:bidi w:val="0"/>
              <w:adjustRightInd w:val="0"/>
              <w:snapToGrid w:val="0"/>
              <w:spacing w:line="500" w:lineRule="exact"/>
              <w:ind w:left="0" w:leftChars="0" w:right="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职  称</w:t>
            </w:r>
          </w:p>
        </w:tc>
        <w:tc>
          <w:tcPr>
            <w:tcW w:w="871" w:type="pct"/>
            <w:vAlign w:val="center"/>
          </w:tcPr>
          <w:p w14:paraId="178A6F9F">
            <w:pPr>
              <w:pageBreakBefore w:val="0"/>
              <w:widowControl w:val="0"/>
              <w:shd w:val="clear"/>
              <w:topLinePunct w:val="0"/>
              <w:bidi w:val="0"/>
              <w:adjustRightInd w:val="0"/>
              <w:snapToGrid w:val="0"/>
              <w:spacing w:line="500" w:lineRule="exact"/>
              <w:ind w:left="0" w:leftChars="0" w:right="0"/>
              <w:jc w:val="center"/>
              <w:rPr>
                <w:rFonts w:hint="eastAsia" w:ascii="宋体" w:hAnsi="宋体" w:eastAsia="宋体" w:cs="宋体"/>
                <w:color w:val="auto"/>
                <w:kern w:val="0"/>
                <w:sz w:val="24"/>
                <w:szCs w:val="24"/>
                <w:highlight w:val="none"/>
                <w:lang w:val="en-US" w:eastAsia="zh-CN" w:bidi="ar-SA"/>
              </w:rPr>
            </w:pPr>
          </w:p>
        </w:tc>
        <w:tc>
          <w:tcPr>
            <w:tcW w:w="842" w:type="pct"/>
            <w:vAlign w:val="center"/>
          </w:tcPr>
          <w:p w14:paraId="1E937675">
            <w:pPr>
              <w:pageBreakBefore w:val="0"/>
              <w:widowControl w:val="0"/>
              <w:shd w:val="clear"/>
              <w:topLinePunct w:val="0"/>
              <w:bidi w:val="0"/>
              <w:adjustRightInd w:val="0"/>
              <w:snapToGrid w:val="0"/>
              <w:spacing w:line="500" w:lineRule="exact"/>
              <w:ind w:left="0" w:leftChars="0" w:right="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身份证号</w:t>
            </w:r>
          </w:p>
        </w:tc>
        <w:tc>
          <w:tcPr>
            <w:tcW w:w="735" w:type="pct"/>
            <w:gridSpan w:val="2"/>
            <w:vAlign w:val="center"/>
          </w:tcPr>
          <w:p w14:paraId="5A7FB6F2">
            <w:pPr>
              <w:pageBreakBefore w:val="0"/>
              <w:widowControl w:val="0"/>
              <w:shd w:val="clear"/>
              <w:topLinePunct w:val="0"/>
              <w:bidi w:val="0"/>
              <w:adjustRightInd w:val="0"/>
              <w:snapToGrid w:val="0"/>
              <w:spacing w:line="500" w:lineRule="exact"/>
              <w:ind w:left="0" w:leftChars="0" w:right="0"/>
              <w:jc w:val="center"/>
              <w:rPr>
                <w:rFonts w:hint="eastAsia" w:ascii="宋体" w:hAnsi="宋体" w:eastAsia="宋体" w:cs="宋体"/>
                <w:color w:val="auto"/>
                <w:kern w:val="0"/>
                <w:sz w:val="24"/>
                <w:szCs w:val="24"/>
                <w:highlight w:val="none"/>
                <w:lang w:val="en-US" w:eastAsia="zh-CN" w:bidi="ar-SA"/>
              </w:rPr>
            </w:pPr>
          </w:p>
        </w:tc>
        <w:tc>
          <w:tcPr>
            <w:tcW w:w="943" w:type="pct"/>
            <w:vAlign w:val="center"/>
          </w:tcPr>
          <w:p w14:paraId="75B006B4">
            <w:pPr>
              <w:pageBreakBefore w:val="0"/>
              <w:widowControl w:val="0"/>
              <w:shd w:val="clear"/>
              <w:topLinePunct w:val="0"/>
              <w:bidi w:val="0"/>
              <w:adjustRightInd w:val="0"/>
              <w:snapToGrid w:val="0"/>
              <w:spacing w:line="500" w:lineRule="exact"/>
              <w:ind w:left="0" w:leftChars="0" w:right="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专业/年限</w:t>
            </w:r>
          </w:p>
        </w:tc>
        <w:tc>
          <w:tcPr>
            <w:tcW w:w="629" w:type="pct"/>
            <w:gridSpan w:val="2"/>
            <w:vAlign w:val="center"/>
          </w:tcPr>
          <w:p w14:paraId="4FD403FD">
            <w:pPr>
              <w:pageBreakBefore w:val="0"/>
              <w:widowControl w:val="0"/>
              <w:shd w:val="clear"/>
              <w:topLinePunct w:val="0"/>
              <w:bidi w:val="0"/>
              <w:adjustRightInd w:val="0"/>
              <w:snapToGrid w:val="0"/>
              <w:spacing w:line="500" w:lineRule="exact"/>
              <w:ind w:left="0" w:leftChars="0" w:right="0" w:firstLine="480" w:firstLineChars="200"/>
              <w:jc w:val="center"/>
              <w:rPr>
                <w:rFonts w:hint="eastAsia" w:ascii="宋体" w:hAnsi="宋体" w:eastAsia="宋体" w:cs="宋体"/>
                <w:color w:val="auto"/>
                <w:kern w:val="0"/>
                <w:sz w:val="24"/>
                <w:szCs w:val="24"/>
                <w:highlight w:val="none"/>
                <w:lang w:val="en-US" w:eastAsia="zh-CN" w:bidi="ar-SA"/>
              </w:rPr>
            </w:pPr>
          </w:p>
        </w:tc>
      </w:tr>
      <w:tr w14:paraId="3B394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978" w:type="pct"/>
            <w:gridSpan w:val="2"/>
            <w:vAlign w:val="center"/>
          </w:tcPr>
          <w:p w14:paraId="4BBBDD7F">
            <w:pPr>
              <w:pageBreakBefore w:val="0"/>
              <w:widowControl w:val="0"/>
              <w:shd w:val="clear"/>
              <w:topLinePunct w:val="0"/>
              <w:bidi w:val="0"/>
              <w:adjustRightInd w:val="0"/>
              <w:snapToGrid w:val="0"/>
              <w:spacing w:line="500" w:lineRule="exact"/>
              <w:ind w:left="0" w:leftChars="0" w:right="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毕业时间</w:t>
            </w:r>
          </w:p>
        </w:tc>
        <w:tc>
          <w:tcPr>
            <w:tcW w:w="871" w:type="pct"/>
            <w:vAlign w:val="center"/>
          </w:tcPr>
          <w:p w14:paraId="7D652854">
            <w:pPr>
              <w:pageBreakBefore w:val="0"/>
              <w:widowControl w:val="0"/>
              <w:shd w:val="clear"/>
              <w:topLinePunct w:val="0"/>
              <w:bidi w:val="0"/>
              <w:adjustRightInd w:val="0"/>
              <w:snapToGrid w:val="0"/>
              <w:spacing w:line="500" w:lineRule="exact"/>
              <w:ind w:left="0" w:leftChars="0" w:right="0"/>
              <w:jc w:val="center"/>
              <w:rPr>
                <w:rFonts w:hint="eastAsia" w:ascii="宋体" w:hAnsi="宋体" w:eastAsia="宋体" w:cs="宋体"/>
                <w:color w:val="auto"/>
                <w:kern w:val="0"/>
                <w:sz w:val="24"/>
                <w:szCs w:val="24"/>
                <w:highlight w:val="none"/>
                <w:lang w:val="en-US" w:eastAsia="zh-CN" w:bidi="ar-SA"/>
              </w:rPr>
            </w:pPr>
          </w:p>
        </w:tc>
        <w:tc>
          <w:tcPr>
            <w:tcW w:w="842" w:type="pct"/>
            <w:vAlign w:val="center"/>
          </w:tcPr>
          <w:p w14:paraId="2AE578A8">
            <w:pPr>
              <w:pageBreakBefore w:val="0"/>
              <w:widowControl w:val="0"/>
              <w:shd w:val="clear"/>
              <w:topLinePunct w:val="0"/>
              <w:bidi w:val="0"/>
              <w:adjustRightInd w:val="0"/>
              <w:snapToGrid w:val="0"/>
              <w:spacing w:line="500" w:lineRule="exact"/>
              <w:ind w:left="0" w:leftChars="0" w:right="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毕业学校</w:t>
            </w:r>
          </w:p>
        </w:tc>
        <w:tc>
          <w:tcPr>
            <w:tcW w:w="735" w:type="pct"/>
            <w:gridSpan w:val="2"/>
            <w:vAlign w:val="center"/>
          </w:tcPr>
          <w:p w14:paraId="125A40AE">
            <w:pPr>
              <w:pageBreakBefore w:val="0"/>
              <w:widowControl w:val="0"/>
              <w:shd w:val="clear"/>
              <w:topLinePunct w:val="0"/>
              <w:bidi w:val="0"/>
              <w:adjustRightInd w:val="0"/>
              <w:snapToGrid w:val="0"/>
              <w:spacing w:line="500" w:lineRule="exact"/>
              <w:ind w:left="0" w:leftChars="0" w:right="0"/>
              <w:jc w:val="center"/>
              <w:rPr>
                <w:rFonts w:hint="eastAsia" w:ascii="宋体" w:hAnsi="宋体" w:eastAsia="宋体" w:cs="宋体"/>
                <w:color w:val="auto"/>
                <w:kern w:val="0"/>
                <w:sz w:val="24"/>
                <w:szCs w:val="24"/>
                <w:highlight w:val="none"/>
                <w:lang w:val="en-US" w:eastAsia="zh-CN" w:bidi="ar-SA"/>
              </w:rPr>
            </w:pPr>
          </w:p>
        </w:tc>
        <w:tc>
          <w:tcPr>
            <w:tcW w:w="943" w:type="pct"/>
            <w:vAlign w:val="center"/>
          </w:tcPr>
          <w:p w14:paraId="788F7A88">
            <w:pPr>
              <w:pageBreakBefore w:val="0"/>
              <w:widowControl w:val="0"/>
              <w:shd w:val="clear"/>
              <w:topLinePunct w:val="0"/>
              <w:bidi w:val="0"/>
              <w:adjustRightInd w:val="0"/>
              <w:snapToGrid w:val="0"/>
              <w:spacing w:line="500" w:lineRule="exact"/>
              <w:ind w:left="0" w:leftChars="0" w:right="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学历/专业</w:t>
            </w:r>
          </w:p>
        </w:tc>
        <w:tc>
          <w:tcPr>
            <w:tcW w:w="629" w:type="pct"/>
            <w:gridSpan w:val="2"/>
            <w:vAlign w:val="center"/>
          </w:tcPr>
          <w:p w14:paraId="6D70E47F">
            <w:pPr>
              <w:pageBreakBefore w:val="0"/>
              <w:widowControl w:val="0"/>
              <w:shd w:val="clear"/>
              <w:topLinePunct w:val="0"/>
              <w:bidi w:val="0"/>
              <w:adjustRightInd w:val="0"/>
              <w:snapToGrid w:val="0"/>
              <w:spacing w:line="500" w:lineRule="exact"/>
              <w:ind w:left="0" w:leftChars="0" w:right="0" w:firstLine="480" w:firstLineChars="200"/>
              <w:jc w:val="center"/>
              <w:rPr>
                <w:rFonts w:hint="eastAsia" w:ascii="宋体" w:hAnsi="宋体" w:eastAsia="宋体" w:cs="宋体"/>
                <w:color w:val="auto"/>
                <w:kern w:val="0"/>
                <w:sz w:val="24"/>
                <w:szCs w:val="24"/>
                <w:highlight w:val="none"/>
                <w:lang w:val="en-US" w:eastAsia="zh-CN" w:bidi="ar-SA"/>
              </w:rPr>
            </w:pPr>
          </w:p>
        </w:tc>
      </w:tr>
      <w:tr w14:paraId="41E5F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978" w:type="pct"/>
            <w:gridSpan w:val="2"/>
            <w:vAlign w:val="center"/>
          </w:tcPr>
          <w:p w14:paraId="415D80B0">
            <w:pPr>
              <w:pageBreakBefore w:val="0"/>
              <w:widowControl w:val="0"/>
              <w:shd w:val="clear"/>
              <w:topLinePunct w:val="0"/>
              <w:bidi w:val="0"/>
              <w:adjustRightInd w:val="0"/>
              <w:snapToGrid w:val="0"/>
              <w:spacing w:line="500" w:lineRule="exact"/>
              <w:ind w:left="0" w:leftChars="0" w:right="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资格证书</w:t>
            </w:r>
          </w:p>
        </w:tc>
        <w:tc>
          <w:tcPr>
            <w:tcW w:w="871" w:type="pct"/>
            <w:vAlign w:val="center"/>
          </w:tcPr>
          <w:p w14:paraId="2FA993F5">
            <w:pPr>
              <w:pageBreakBefore w:val="0"/>
              <w:widowControl w:val="0"/>
              <w:shd w:val="clear"/>
              <w:topLinePunct w:val="0"/>
              <w:bidi w:val="0"/>
              <w:adjustRightInd w:val="0"/>
              <w:snapToGrid w:val="0"/>
              <w:spacing w:line="500" w:lineRule="exact"/>
              <w:ind w:left="0" w:leftChars="0" w:right="0"/>
              <w:jc w:val="center"/>
              <w:rPr>
                <w:rFonts w:hint="eastAsia" w:ascii="宋体" w:hAnsi="宋体" w:eastAsia="宋体" w:cs="宋体"/>
                <w:color w:val="auto"/>
                <w:kern w:val="0"/>
                <w:sz w:val="24"/>
                <w:szCs w:val="24"/>
                <w:highlight w:val="none"/>
                <w:lang w:val="en-US" w:eastAsia="zh-CN" w:bidi="ar-SA"/>
              </w:rPr>
            </w:pPr>
          </w:p>
        </w:tc>
        <w:tc>
          <w:tcPr>
            <w:tcW w:w="842" w:type="pct"/>
            <w:vAlign w:val="center"/>
          </w:tcPr>
          <w:p w14:paraId="403E73A2">
            <w:pPr>
              <w:pageBreakBefore w:val="0"/>
              <w:widowControl w:val="0"/>
              <w:shd w:val="clear"/>
              <w:topLinePunct w:val="0"/>
              <w:bidi w:val="0"/>
              <w:adjustRightInd w:val="0"/>
              <w:snapToGrid w:val="0"/>
              <w:spacing w:line="500" w:lineRule="exact"/>
              <w:ind w:left="0" w:leftChars="0" w:right="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注册时间</w:t>
            </w:r>
          </w:p>
        </w:tc>
        <w:tc>
          <w:tcPr>
            <w:tcW w:w="735" w:type="pct"/>
            <w:gridSpan w:val="2"/>
            <w:vAlign w:val="center"/>
          </w:tcPr>
          <w:p w14:paraId="03D266E3">
            <w:pPr>
              <w:pageBreakBefore w:val="0"/>
              <w:widowControl w:val="0"/>
              <w:shd w:val="clear"/>
              <w:topLinePunct w:val="0"/>
              <w:bidi w:val="0"/>
              <w:adjustRightInd w:val="0"/>
              <w:snapToGrid w:val="0"/>
              <w:spacing w:line="500" w:lineRule="exact"/>
              <w:ind w:left="0" w:leftChars="0" w:right="0"/>
              <w:jc w:val="center"/>
              <w:rPr>
                <w:rFonts w:hint="eastAsia" w:ascii="宋体" w:hAnsi="宋体" w:eastAsia="宋体" w:cs="宋体"/>
                <w:color w:val="auto"/>
                <w:kern w:val="0"/>
                <w:sz w:val="24"/>
                <w:szCs w:val="24"/>
                <w:highlight w:val="none"/>
                <w:lang w:val="en-US" w:eastAsia="zh-CN" w:bidi="ar-SA"/>
              </w:rPr>
            </w:pPr>
          </w:p>
        </w:tc>
        <w:tc>
          <w:tcPr>
            <w:tcW w:w="943" w:type="pct"/>
            <w:vAlign w:val="center"/>
          </w:tcPr>
          <w:p w14:paraId="0E9AD77A">
            <w:pPr>
              <w:pageBreakBefore w:val="0"/>
              <w:widowControl w:val="0"/>
              <w:shd w:val="clear"/>
              <w:topLinePunct w:val="0"/>
              <w:bidi w:val="0"/>
              <w:adjustRightInd w:val="0"/>
              <w:snapToGrid w:val="0"/>
              <w:spacing w:line="500" w:lineRule="exact"/>
              <w:ind w:left="0" w:leftChars="0" w:right="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从业时间</w:t>
            </w:r>
          </w:p>
        </w:tc>
        <w:tc>
          <w:tcPr>
            <w:tcW w:w="629" w:type="pct"/>
            <w:gridSpan w:val="2"/>
            <w:vAlign w:val="center"/>
          </w:tcPr>
          <w:p w14:paraId="56963B5A">
            <w:pPr>
              <w:pageBreakBefore w:val="0"/>
              <w:widowControl w:val="0"/>
              <w:shd w:val="clear"/>
              <w:topLinePunct w:val="0"/>
              <w:bidi w:val="0"/>
              <w:adjustRightInd w:val="0"/>
              <w:snapToGrid w:val="0"/>
              <w:spacing w:line="500" w:lineRule="exact"/>
              <w:ind w:left="0" w:leftChars="0" w:right="0" w:firstLine="480" w:firstLineChars="200"/>
              <w:jc w:val="center"/>
              <w:rPr>
                <w:rFonts w:hint="eastAsia" w:ascii="宋体" w:hAnsi="宋体" w:eastAsia="宋体" w:cs="宋体"/>
                <w:color w:val="auto"/>
                <w:kern w:val="0"/>
                <w:sz w:val="24"/>
                <w:szCs w:val="24"/>
                <w:highlight w:val="none"/>
                <w:lang w:val="en-US" w:eastAsia="zh-CN" w:bidi="ar-SA"/>
              </w:rPr>
            </w:pPr>
          </w:p>
        </w:tc>
      </w:tr>
      <w:tr w14:paraId="22F65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849" w:type="pct"/>
            <w:gridSpan w:val="3"/>
            <w:vAlign w:val="center"/>
          </w:tcPr>
          <w:p w14:paraId="5BBDE56B">
            <w:pPr>
              <w:pageBreakBefore w:val="0"/>
              <w:widowControl w:val="0"/>
              <w:shd w:val="clear"/>
              <w:topLinePunct w:val="0"/>
              <w:bidi w:val="0"/>
              <w:adjustRightInd w:val="0"/>
              <w:snapToGrid w:val="0"/>
              <w:spacing w:line="500" w:lineRule="exact"/>
              <w:ind w:left="0" w:leftChars="0" w:right="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是否属供应商固定雇员</w:t>
            </w:r>
          </w:p>
        </w:tc>
        <w:tc>
          <w:tcPr>
            <w:tcW w:w="842" w:type="pct"/>
            <w:vAlign w:val="center"/>
          </w:tcPr>
          <w:p w14:paraId="2D94F19C">
            <w:pPr>
              <w:pageBreakBefore w:val="0"/>
              <w:widowControl w:val="0"/>
              <w:shd w:val="clear"/>
              <w:topLinePunct w:val="0"/>
              <w:bidi w:val="0"/>
              <w:adjustRightInd w:val="0"/>
              <w:snapToGrid w:val="0"/>
              <w:spacing w:line="500" w:lineRule="exact"/>
              <w:ind w:left="0" w:leftChars="0" w:right="0"/>
              <w:jc w:val="center"/>
              <w:rPr>
                <w:rFonts w:hint="eastAsia" w:ascii="宋体" w:hAnsi="宋体" w:eastAsia="宋体" w:cs="宋体"/>
                <w:color w:val="auto"/>
                <w:kern w:val="0"/>
                <w:sz w:val="24"/>
                <w:szCs w:val="24"/>
                <w:highlight w:val="none"/>
                <w:lang w:val="en-US" w:eastAsia="zh-CN" w:bidi="ar-SA"/>
              </w:rPr>
            </w:pPr>
          </w:p>
        </w:tc>
        <w:tc>
          <w:tcPr>
            <w:tcW w:w="1679" w:type="pct"/>
            <w:gridSpan w:val="3"/>
            <w:vAlign w:val="center"/>
          </w:tcPr>
          <w:p w14:paraId="04DB0B2D">
            <w:pPr>
              <w:pageBreakBefore w:val="0"/>
              <w:widowControl w:val="0"/>
              <w:shd w:val="clear"/>
              <w:topLinePunct w:val="0"/>
              <w:bidi w:val="0"/>
              <w:adjustRightInd w:val="0"/>
              <w:snapToGrid w:val="0"/>
              <w:spacing w:line="500" w:lineRule="exact"/>
              <w:ind w:left="0" w:leftChars="0" w:right="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为供应商服务时间</w:t>
            </w:r>
          </w:p>
        </w:tc>
        <w:tc>
          <w:tcPr>
            <w:tcW w:w="629" w:type="pct"/>
            <w:gridSpan w:val="2"/>
            <w:vAlign w:val="center"/>
          </w:tcPr>
          <w:p w14:paraId="5424A41B">
            <w:pPr>
              <w:pageBreakBefore w:val="0"/>
              <w:widowControl w:val="0"/>
              <w:shd w:val="clear"/>
              <w:topLinePunct w:val="0"/>
              <w:bidi w:val="0"/>
              <w:adjustRightInd w:val="0"/>
              <w:snapToGrid w:val="0"/>
              <w:spacing w:line="500" w:lineRule="exact"/>
              <w:ind w:left="0" w:leftChars="0" w:right="0" w:firstLine="480" w:firstLineChars="200"/>
              <w:jc w:val="center"/>
              <w:rPr>
                <w:rFonts w:hint="eastAsia" w:ascii="宋体" w:hAnsi="宋体" w:eastAsia="宋体" w:cs="宋体"/>
                <w:color w:val="auto"/>
                <w:kern w:val="0"/>
                <w:sz w:val="24"/>
                <w:szCs w:val="24"/>
                <w:highlight w:val="none"/>
                <w:lang w:val="en-US" w:eastAsia="zh-CN" w:bidi="ar-SA"/>
              </w:rPr>
            </w:pPr>
          </w:p>
        </w:tc>
      </w:tr>
      <w:tr w14:paraId="33C06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849" w:type="pct"/>
            <w:gridSpan w:val="3"/>
            <w:vAlign w:val="center"/>
          </w:tcPr>
          <w:p w14:paraId="75B4DAD8">
            <w:pPr>
              <w:pageBreakBefore w:val="0"/>
              <w:widowControl w:val="0"/>
              <w:shd w:val="clear"/>
              <w:topLinePunct w:val="0"/>
              <w:bidi w:val="0"/>
              <w:adjustRightInd w:val="0"/>
              <w:snapToGrid w:val="0"/>
              <w:spacing w:line="500" w:lineRule="exact"/>
              <w:ind w:left="0" w:leftChars="0" w:right="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拟在本项目担任职务</w:t>
            </w:r>
          </w:p>
        </w:tc>
        <w:tc>
          <w:tcPr>
            <w:tcW w:w="3150" w:type="pct"/>
            <w:gridSpan w:val="6"/>
            <w:vAlign w:val="center"/>
          </w:tcPr>
          <w:p w14:paraId="6067C7F6">
            <w:pPr>
              <w:pageBreakBefore w:val="0"/>
              <w:widowControl w:val="0"/>
              <w:shd w:val="clear"/>
              <w:topLinePunct w:val="0"/>
              <w:bidi w:val="0"/>
              <w:adjustRightInd w:val="0"/>
              <w:snapToGrid w:val="0"/>
              <w:spacing w:line="500" w:lineRule="exact"/>
              <w:ind w:left="0" w:leftChars="0" w:right="0"/>
              <w:jc w:val="center"/>
              <w:rPr>
                <w:rFonts w:hint="eastAsia" w:ascii="宋体" w:hAnsi="宋体" w:eastAsia="宋体" w:cs="宋体"/>
                <w:color w:val="auto"/>
                <w:kern w:val="0"/>
                <w:sz w:val="24"/>
                <w:szCs w:val="24"/>
                <w:highlight w:val="none"/>
                <w:lang w:val="en-US" w:eastAsia="zh-CN" w:bidi="ar-SA"/>
              </w:rPr>
            </w:pPr>
          </w:p>
        </w:tc>
      </w:tr>
      <w:tr w14:paraId="5EC7A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5000" w:type="pct"/>
            <w:gridSpan w:val="9"/>
            <w:vAlign w:val="center"/>
          </w:tcPr>
          <w:p w14:paraId="62392981">
            <w:pPr>
              <w:pageBreakBefore w:val="0"/>
              <w:widowControl w:val="0"/>
              <w:shd w:val="clear"/>
              <w:topLinePunct w:val="0"/>
              <w:bidi w:val="0"/>
              <w:adjustRightInd w:val="0"/>
              <w:snapToGrid w:val="0"/>
              <w:spacing w:line="500" w:lineRule="exact"/>
              <w:ind w:left="0" w:leftChars="0" w:right="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教育和培训背景</w:t>
            </w:r>
          </w:p>
        </w:tc>
      </w:tr>
      <w:tr w14:paraId="31AC7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0" w:hRule="atLeast"/>
        </w:trPr>
        <w:tc>
          <w:tcPr>
            <w:tcW w:w="5000" w:type="pct"/>
            <w:gridSpan w:val="9"/>
          </w:tcPr>
          <w:p w14:paraId="48623B69">
            <w:pPr>
              <w:pageBreakBefore w:val="0"/>
              <w:widowControl w:val="0"/>
              <w:shd w:val="clear"/>
              <w:topLinePunct w:val="0"/>
              <w:bidi w:val="0"/>
              <w:adjustRightInd w:val="0"/>
              <w:snapToGrid w:val="0"/>
              <w:spacing w:line="500" w:lineRule="exact"/>
              <w:ind w:left="0" w:leftChars="0" w:right="0"/>
              <w:jc w:val="both"/>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（教育背景从大学开始，包括毕业院校名称、专业、起始时间。培训填写与专业技术、业务有关的内容）</w:t>
            </w:r>
          </w:p>
        </w:tc>
      </w:tr>
      <w:tr w14:paraId="13456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5000" w:type="pct"/>
            <w:gridSpan w:val="9"/>
            <w:vAlign w:val="center"/>
          </w:tcPr>
          <w:p w14:paraId="74053589">
            <w:pPr>
              <w:pageBreakBefore w:val="0"/>
              <w:widowControl w:val="0"/>
              <w:shd w:val="clear"/>
              <w:topLinePunct w:val="0"/>
              <w:bidi w:val="0"/>
              <w:adjustRightInd w:val="0"/>
              <w:snapToGrid w:val="0"/>
              <w:spacing w:line="500" w:lineRule="exact"/>
              <w:ind w:left="0" w:leftChars="0" w:right="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工作经历</w:t>
            </w:r>
          </w:p>
        </w:tc>
      </w:tr>
      <w:tr w14:paraId="541F5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828" w:type="pct"/>
            <w:vAlign w:val="center"/>
          </w:tcPr>
          <w:p w14:paraId="7A498C08">
            <w:pPr>
              <w:pageBreakBefore w:val="0"/>
              <w:widowControl w:val="0"/>
              <w:shd w:val="clear"/>
              <w:topLinePunct w:val="0"/>
              <w:bidi w:val="0"/>
              <w:adjustRightInd w:val="0"/>
              <w:snapToGrid w:val="0"/>
              <w:spacing w:line="500" w:lineRule="exact"/>
              <w:ind w:left="0" w:leftChars="0" w:right="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时  间</w:t>
            </w:r>
          </w:p>
        </w:tc>
        <w:tc>
          <w:tcPr>
            <w:tcW w:w="1863" w:type="pct"/>
            <w:gridSpan w:val="3"/>
            <w:vAlign w:val="center"/>
          </w:tcPr>
          <w:p w14:paraId="68BDCD37">
            <w:pPr>
              <w:pageBreakBefore w:val="0"/>
              <w:widowControl w:val="0"/>
              <w:shd w:val="clear"/>
              <w:topLinePunct w:val="0"/>
              <w:bidi w:val="0"/>
              <w:adjustRightInd w:val="0"/>
              <w:snapToGrid w:val="0"/>
              <w:spacing w:line="500" w:lineRule="exact"/>
              <w:ind w:left="0" w:leftChars="0" w:right="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参加过的项目名称</w:t>
            </w:r>
          </w:p>
          <w:p w14:paraId="195E0E26">
            <w:pPr>
              <w:pageBreakBefore w:val="0"/>
              <w:widowControl w:val="0"/>
              <w:shd w:val="clear"/>
              <w:topLinePunct w:val="0"/>
              <w:bidi w:val="0"/>
              <w:adjustRightInd w:val="0"/>
              <w:snapToGrid w:val="0"/>
              <w:spacing w:line="500" w:lineRule="exact"/>
              <w:ind w:left="0" w:leftChars="0" w:right="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及当时所在单位</w:t>
            </w:r>
          </w:p>
        </w:tc>
        <w:tc>
          <w:tcPr>
            <w:tcW w:w="709" w:type="pct"/>
            <w:vAlign w:val="center"/>
          </w:tcPr>
          <w:p w14:paraId="7CEBA3C3">
            <w:pPr>
              <w:pageBreakBefore w:val="0"/>
              <w:widowControl w:val="0"/>
              <w:shd w:val="clear"/>
              <w:topLinePunct w:val="0"/>
              <w:bidi w:val="0"/>
              <w:adjustRightInd w:val="0"/>
              <w:snapToGrid w:val="0"/>
              <w:spacing w:line="500" w:lineRule="exact"/>
              <w:ind w:left="0" w:leftChars="0" w:right="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担任何职</w:t>
            </w:r>
          </w:p>
        </w:tc>
        <w:tc>
          <w:tcPr>
            <w:tcW w:w="972" w:type="pct"/>
            <w:gridSpan w:val="3"/>
            <w:vAlign w:val="center"/>
          </w:tcPr>
          <w:p w14:paraId="4DFAFD0D">
            <w:pPr>
              <w:pageBreakBefore w:val="0"/>
              <w:widowControl w:val="0"/>
              <w:shd w:val="clear"/>
              <w:topLinePunct w:val="0"/>
              <w:bidi w:val="0"/>
              <w:adjustRightInd w:val="0"/>
              <w:snapToGrid w:val="0"/>
              <w:spacing w:line="500" w:lineRule="exact"/>
              <w:ind w:left="0" w:leftChars="0" w:right="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主要工作内容</w:t>
            </w:r>
          </w:p>
        </w:tc>
        <w:tc>
          <w:tcPr>
            <w:tcW w:w="625" w:type="pct"/>
            <w:vAlign w:val="center"/>
          </w:tcPr>
          <w:p w14:paraId="75B5BD5F">
            <w:pPr>
              <w:pageBreakBefore w:val="0"/>
              <w:widowControl w:val="0"/>
              <w:shd w:val="clear"/>
              <w:topLinePunct w:val="0"/>
              <w:bidi w:val="0"/>
              <w:adjustRightInd w:val="0"/>
              <w:snapToGrid w:val="0"/>
              <w:spacing w:line="500" w:lineRule="exact"/>
              <w:ind w:left="0" w:leftChars="0" w:right="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备注</w:t>
            </w:r>
          </w:p>
        </w:tc>
      </w:tr>
      <w:tr w14:paraId="7819F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828" w:type="pct"/>
            <w:vAlign w:val="center"/>
          </w:tcPr>
          <w:p w14:paraId="6F4201BE">
            <w:pPr>
              <w:pageBreakBefore w:val="0"/>
              <w:widowControl w:val="0"/>
              <w:shd w:val="clear"/>
              <w:topLinePunct w:val="0"/>
              <w:bidi w:val="0"/>
              <w:adjustRightInd w:val="0"/>
              <w:snapToGrid w:val="0"/>
              <w:spacing w:line="500" w:lineRule="exact"/>
              <w:ind w:left="0" w:leftChars="0" w:right="0"/>
              <w:jc w:val="both"/>
              <w:rPr>
                <w:rFonts w:hint="eastAsia" w:ascii="宋体" w:hAnsi="宋体" w:eastAsia="宋体" w:cs="宋体"/>
                <w:color w:val="auto"/>
                <w:kern w:val="0"/>
                <w:sz w:val="24"/>
                <w:szCs w:val="24"/>
                <w:highlight w:val="none"/>
                <w:lang w:val="en-US" w:eastAsia="zh-CN" w:bidi="ar-SA"/>
              </w:rPr>
            </w:pPr>
          </w:p>
        </w:tc>
        <w:tc>
          <w:tcPr>
            <w:tcW w:w="1863" w:type="pct"/>
            <w:gridSpan w:val="3"/>
            <w:vAlign w:val="center"/>
          </w:tcPr>
          <w:p w14:paraId="7DE909D9">
            <w:pPr>
              <w:pageBreakBefore w:val="0"/>
              <w:widowControl w:val="0"/>
              <w:shd w:val="clear"/>
              <w:topLinePunct w:val="0"/>
              <w:bidi w:val="0"/>
              <w:adjustRightInd w:val="0"/>
              <w:snapToGrid w:val="0"/>
              <w:spacing w:line="500" w:lineRule="exact"/>
              <w:ind w:left="0" w:leftChars="0" w:right="0"/>
              <w:jc w:val="both"/>
              <w:rPr>
                <w:rFonts w:hint="eastAsia" w:ascii="宋体" w:hAnsi="宋体" w:eastAsia="宋体" w:cs="宋体"/>
                <w:color w:val="auto"/>
                <w:kern w:val="0"/>
                <w:sz w:val="24"/>
                <w:szCs w:val="24"/>
                <w:highlight w:val="none"/>
                <w:lang w:val="en-US" w:eastAsia="zh-CN" w:bidi="ar-SA"/>
              </w:rPr>
            </w:pPr>
          </w:p>
        </w:tc>
        <w:tc>
          <w:tcPr>
            <w:tcW w:w="709" w:type="pct"/>
            <w:vAlign w:val="center"/>
          </w:tcPr>
          <w:p w14:paraId="2DEE970E">
            <w:pPr>
              <w:pageBreakBefore w:val="0"/>
              <w:widowControl w:val="0"/>
              <w:shd w:val="clear"/>
              <w:topLinePunct w:val="0"/>
              <w:bidi w:val="0"/>
              <w:adjustRightInd w:val="0"/>
              <w:snapToGrid w:val="0"/>
              <w:spacing w:line="500" w:lineRule="exact"/>
              <w:ind w:left="0" w:leftChars="0" w:right="0"/>
              <w:jc w:val="both"/>
              <w:rPr>
                <w:rFonts w:hint="eastAsia" w:ascii="宋体" w:hAnsi="宋体" w:eastAsia="宋体" w:cs="宋体"/>
                <w:color w:val="auto"/>
                <w:kern w:val="0"/>
                <w:sz w:val="24"/>
                <w:szCs w:val="24"/>
                <w:highlight w:val="none"/>
                <w:lang w:val="en-US" w:eastAsia="zh-CN" w:bidi="ar-SA"/>
              </w:rPr>
            </w:pPr>
          </w:p>
        </w:tc>
        <w:tc>
          <w:tcPr>
            <w:tcW w:w="972" w:type="pct"/>
            <w:gridSpan w:val="3"/>
            <w:vAlign w:val="center"/>
          </w:tcPr>
          <w:p w14:paraId="5AB15B2B">
            <w:pPr>
              <w:pageBreakBefore w:val="0"/>
              <w:widowControl w:val="0"/>
              <w:shd w:val="clear"/>
              <w:topLinePunct w:val="0"/>
              <w:bidi w:val="0"/>
              <w:adjustRightInd w:val="0"/>
              <w:snapToGrid w:val="0"/>
              <w:spacing w:line="500" w:lineRule="exact"/>
              <w:ind w:left="0" w:leftChars="0" w:right="0"/>
              <w:jc w:val="both"/>
              <w:rPr>
                <w:rFonts w:hint="eastAsia" w:ascii="宋体" w:hAnsi="宋体" w:eastAsia="宋体" w:cs="宋体"/>
                <w:color w:val="auto"/>
                <w:kern w:val="0"/>
                <w:sz w:val="24"/>
                <w:szCs w:val="24"/>
                <w:highlight w:val="none"/>
                <w:lang w:val="en-US" w:eastAsia="zh-CN" w:bidi="ar-SA"/>
              </w:rPr>
            </w:pPr>
          </w:p>
        </w:tc>
        <w:tc>
          <w:tcPr>
            <w:tcW w:w="625" w:type="pct"/>
            <w:vAlign w:val="center"/>
          </w:tcPr>
          <w:p w14:paraId="5C6819FD">
            <w:pPr>
              <w:pageBreakBefore w:val="0"/>
              <w:widowControl w:val="0"/>
              <w:shd w:val="clear"/>
              <w:topLinePunct w:val="0"/>
              <w:bidi w:val="0"/>
              <w:adjustRightInd w:val="0"/>
              <w:snapToGrid w:val="0"/>
              <w:spacing w:line="500" w:lineRule="exact"/>
              <w:ind w:left="0" w:leftChars="0" w:right="0"/>
              <w:jc w:val="both"/>
              <w:rPr>
                <w:rFonts w:hint="eastAsia" w:ascii="宋体" w:hAnsi="宋体" w:eastAsia="宋体" w:cs="宋体"/>
                <w:color w:val="auto"/>
                <w:kern w:val="0"/>
                <w:sz w:val="24"/>
                <w:szCs w:val="24"/>
                <w:highlight w:val="none"/>
                <w:lang w:val="en-US" w:eastAsia="zh-CN" w:bidi="ar-SA"/>
              </w:rPr>
            </w:pPr>
          </w:p>
        </w:tc>
      </w:tr>
      <w:tr w14:paraId="4F6F9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828" w:type="pct"/>
            <w:vAlign w:val="center"/>
          </w:tcPr>
          <w:p w14:paraId="74610EA6">
            <w:pPr>
              <w:pageBreakBefore w:val="0"/>
              <w:widowControl w:val="0"/>
              <w:shd w:val="clear"/>
              <w:topLinePunct w:val="0"/>
              <w:bidi w:val="0"/>
              <w:adjustRightInd w:val="0"/>
              <w:snapToGrid w:val="0"/>
              <w:spacing w:line="500" w:lineRule="exact"/>
              <w:ind w:left="0" w:leftChars="0" w:right="0"/>
              <w:jc w:val="both"/>
              <w:rPr>
                <w:rFonts w:hint="eastAsia" w:ascii="宋体" w:hAnsi="宋体" w:eastAsia="宋体" w:cs="宋体"/>
                <w:color w:val="auto"/>
                <w:kern w:val="0"/>
                <w:sz w:val="24"/>
                <w:szCs w:val="24"/>
                <w:highlight w:val="none"/>
                <w:lang w:val="en-US" w:eastAsia="zh-CN" w:bidi="ar-SA"/>
              </w:rPr>
            </w:pPr>
          </w:p>
        </w:tc>
        <w:tc>
          <w:tcPr>
            <w:tcW w:w="1863" w:type="pct"/>
            <w:gridSpan w:val="3"/>
            <w:vAlign w:val="center"/>
          </w:tcPr>
          <w:p w14:paraId="387A57B6">
            <w:pPr>
              <w:pageBreakBefore w:val="0"/>
              <w:widowControl w:val="0"/>
              <w:shd w:val="clear"/>
              <w:topLinePunct w:val="0"/>
              <w:bidi w:val="0"/>
              <w:adjustRightInd w:val="0"/>
              <w:snapToGrid w:val="0"/>
              <w:spacing w:line="500" w:lineRule="exact"/>
              <w:ind w:left="0" w:leftChars="0" w:right="0"/>
              <w:jc w:val="both"/>
              <w:rPr>
                <w:rFonts w:hint="eastAsia" w:ascii="宋体" w:hAnsi="宋体" w:eastAsia="宋体" w:cs="宋体"/>
                <w:color w:val="auto"/>
                <w:kern w:val="0"/>
                <w:sz w:val="24"/>
                <w:szCs w:val="24"/>
                <w:highlight w:val="none"/>
                <w:lang w:val="en-US" w:eastAsia="zh-CN" w:bidi="ar-SA"/>
              </w:rPr>
            </w:pPr>
          </w:p>
        </w:tc>
        <w:tc>
          <w:tcPr>
            <w:tcW w:w="709" w:type="pct"/>
            <w:vAlign w:val="center"/>
          </w:tcPr>
          <w:p w14:paraId="4BB9AA21">
            <w:pPr>
              <w:pageBreakBefore w:val="0"/>
              <w:widowControl w:val="0"/>
              <w:shd w:val="clear"/>
              <w:topLinePunct w:val="0"/>
              <w:bidi w:val="0"/>
              <w:adjustRightInd w:val="0"/>
              <w:snapToGrid w:val="0"/>
              <w:spacing w:line="500" w:lineRule="exact"/>
              <w:ind w:left="0" w:leftChars="0" w:right="0"/>
              <w:jc w:val="both"/>
              <w:rPr>
                <w:rFonts w:hint="eastAsia" w:ascii="宋体" w:hAnsi="宋体" w:eastAsia="宋体" w:cs="宋体"/>
                <w:color w:val="auto"/>
                <w:kern w:val="0"/>
                <w:sz w:val="24"/>
                <w:szCs w:val="24"/>
                <w:highlight w:val="none"/>
                <w:lang w:val="en-US" w:eastAsia="zh-CN" w:bidi="ar-SA"/>
              </w:rPr>
            </w:pPr>
          </w:p>
        </w:tc>
        <w:tc>
          <w:tcPr>
            <w:tcW w:w="972" w:type="pct"/>
            <w:gridSpan w:val="3"/>
            <w:vAlign w:val="center"/>
          </w:tcPr>
          <w:p w14:paraId="705C3918">
            <w:pPr>
              <w:pageBreakBefore w:val="0"/>
              <w:widowControl w:val="0"/>
              <w:shd w:val="clear"/>
              <w:topLinePunct w:val="0"/>
              <w:bidi w:val="0"/>
              <w:adjustRightInd w:val="0"/>
              <w:snapToGrid w:val="0"/>
              <w:spacing w:line="500" w:lineRule="exact"/>
              <w:ind w:left="0" w:leftChars="0" w:right="0"/>
              <w:jc w:val="both"/>
              <w:rPr>
                <w:rFonts w:hint="eastAsia" w:ascii="宋体" w:hAnsi="宋体" w:eastAsia="宋体" w:cs="宋体"/>
                <w:color w:val="auto"/>
                <w:kern w:val="0"/>
                <w:sz w:val="24"/>
                <w:szCs w:val="24"/>
                <w:highlight w:val="none"/>
                <w:lang w:val="en-US" w:eastAsia="zh-CN" w:bidi="ar-SA"/>
              </w:rPr>
            </w:pPr>
          </w:p>
        </w:tc>
        <w:tc>
          <w:tcPr>
            <w:tcW w:w="625" w:type="pct"/>
            <w:vAlign w:val="center"/>
          </w:tcPr>
          <w:p w14:paraId="2F810493">
            <w:pPr>
              <w:pageBreakBefore w:val="0"/>
              <w:widowControl w:val="0"/>
              <w:shd w:val="clear"/>
              <w:topLinePunct w:val="0"/>
              <w:bidi w:val="0"/>
              <w:adjustRightInd w:val="0"/>
              <w:snapToGrid w:val="0"/>
              <w:spacing w:line="500" w:lineRule="exact"/>
              <w:ind w:left="0" w:leftChars="0" w:right="0"/>
              <w:jc w:val="both"/>
              <w:rPr>
                <w:rFonts w:hint="eastAsia" w:ascii="宋体" w:hAnsi="宋体" w:eastAsia="宋体" w:cs="宋体"/>
                <w:color w:val="auto"/>
                <w:kern w:val="0"/>
                <w:sz w:val="24"/>
                <w:szCs w:val="24"/>
                <w:highlight w:val="none"/>
                <w:lang w:val="en-US" w:eastAsia="zh-CN" w:bidi="ar-SA"/>
              </w:rPr>
            </w:pPr>
          </w:p>
        </w:tc>
      </w:tr>
      <w:tr w14:paraId="74DED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828" w:type="pct"/>
            <w:vAlign w:val="center"/>
          </w:tcPr>
          <w:p w14:paraId="3C120FA7">
            <w:pPr>
              <w:pageBreakBefore w:val="0"/>
              <w:widowControl w:val="0"/>
              <w:shd w:val="clear"/>
              <w:topLinePunct w:val="0"/>
              <w:bidi w:val="0"/>
              <w:adjustRightInd w:val="0"/>
              <w:snapToGrid w:val="0"/>
              <w:spacing w:line="500" w:lineRule="exact"/>
              <w:ind w:left="0" w:leftChars="0" w:right="0"/>
              <w:jc w:val="both"/>
              <w:rPr>
                <w:rFonts w:hint="eastAsia" w:ascii="宋体" w:hAnsi="宋体" w:eastAsia="宋体" w:cs="宋体"/>
                <w:color w:val="auto"/>
                <w:kern w:val="0"/>
                <w:sz w:val="24"/>
                <w:szCs w:val="24"/>
                <w:highlight w:val="none"/>
                <w:lang w:val="en-US" w:eastAsia="zh-CN" w:bidi="ar-SA"/>
              </w:rPr>
            </w:pPr>
          </w:p>
        </w:tc>
        <w:tc>
          <w:tcPr>
            <w:tcW w:w="1863" w:type="pct"/>
            <w:gridSpan w:val="3"/>
            <w:vAlign w:val="center"/>
          </w:tcPr>
          <w:p w14:paraId="43B2CC66">
            <w:pPr>
              <w:pageBreakBefore w:val="0"/>
              <w:widowControl w:val="0"/>
              <w:shd w:val="clear"/>
              <w:topLinePunct w:val="0"/>
              <w:bidi w:val="0"/>
              <w:adjustRightInd w:val="0"/>
              <w:snapToGrid w:val="0"/>
              <w:spacing w:line="500" w:lineRule="exact"/>
              <w:ind w:left="0" w:leftChars="0" w:right="0"/>
              <w:jc w:val="both"/>
              <w:rPr>
                <w:rFonts w:hint="eastAsia" w:ascii="宋体" w:hAnsi="宋体" w:eastAsia="宋体" w:cs="宋体"/>
                <w:color w:val="auto"/>
                <w:kern w:val="0"/>
                <w:sz w:val="24"/>
                <w:szCs w:val="24"/>
                <w:highlight w:val="none"/>
                <w:lang w:val="en-US" w:eastAsia="zh-CN" w:bidi="ar-SA"/>
              </w:rPr>
            </w:pPr>
          </w:p>
        </w:tc>
        <w:tc>
          <w:tcPr>
            <w:tcW w:w="709" w:type="pct"/>
            <w:vAlign w:val="center"/>
          </w:tcPr>
          <w:p w14:paraId="10379773">
            <w:pPr>
              <w:pageBreakBefore w:val="0"/>
              <w:widowControl w:val="0"/>
              <w:shd w:val="clear"/>
              <w:topLinePunct w:val="0"/>
              <w:bidi w:val="0"/>
              <w:adjustRightInd w:val="0"/>
              <w:snapToGrid w:val="0"/>
              <w:spacing w:line="500" w:lineRule="exact"/>
              <w:ind w:left="0" w:leftChars="0" w:right="0"/>
              <w:jc w:val="both"/>
              <w:rPr>
                <w:rFonts w:hint="eastAsia" w:ascii="宋体" w:hAnsi="宋体" w:eastAsia="宋体" w:cs="宋体"/>
                <w:color w:val="auto"/>
                <w:kern w:val="0"/>
                <w:sz w:val="24"/>
                <w:szCs w:val="24"/>
                <w:highlight w:val="none"/>
                <w:lang w:val="en-US" w:eastAsia="zh-CN" w:bidi="ar-SA"/>
              </w:rPr>
            </w:pPr>
          </w:p>
        </w:tc>
        <w:tc>
          <w:tcPr>
            <w:tcW w:w="972" w:type="pct"/>
            <w:gridSpan w:val="3"/>
            <w:vAlign w:val="center"/>
          </w:tcPr>
          <w:p w14:paraId="37C2BCC2">
            <w:pPr>
              <w:pageBreakBefore w:val="0"/>
              <w:widowControl w:val="0"/>
              <w:shd w:val="clear"/>
              <w:topLinePunct w:val="0"/>
              <w:bidi w:val="0"/>
              <w:adjustRightInd w:val="0"/>
              <w:snapToGrid w:val="0"/>
              <w:spacing w:line="500" w:lineRule="exact"/>
              <w:ind w:left="0" w:leftChars="0" w:right="0"/>
              <w:jc w:val="both"/>
              <w:rPr>
                <w:rFonts w:hint="eastAsia" w:ascii="宋体" w:hAnsi="宋体" w:eastAsia="宋体" w:cs="宋体"/>
                <w:color w:val="auto"/>
                <w:kern w:val="0"/>
                <w:sz w:val="24"/>
                <w:szCs w:val="24"/>
                <w:highlight w:val="none"/>
                <w:lang w:val="en-US" w:eastAsia="zh-CN" w:bidi="ar-SA"/>
              </w:rPr>
            </w:pPr>
          </w:p>
        </w:tc>
        <w:tc>
          <w:tcPr>
            <w:tcW w:w="625" w:type="pct"/>
            <w:vAlign w:val="center"/>
          </w:tcPr>
          <w:p w14:paraId="435A20BD">
            <w:pPr>
              <w:pageBreakBefore w:val="0"/>
              <w:widowControl w:val="0"/>
              <w:shd w:val="clear"/>
              <w:topLinePunct w:val="0"/>
              <w:bidi w:val="0"/>
              <w:adjustRightInd w:val="0"/>
              <w:snapToGrid w:val="0"/>
              <w:spacing w:line="500" w:lineRule="exact"/>
              <w:ind w:left="0" w:leftChars="0" w:right="0"/>
              <w:jc w:val="both"/>
              <w:rPr>
                <w:rFonts w:hint="eastAsia" w:ascii="宋体" w:hAnsi="宋体" w:eastAsia="宋体" w:cs="宋体"/>
                <w:color w:val="auto"/>
                <w:kern w:val="0"/>
                <w:sz w:val="24"/>
                <w:szCs w:val="24"/>
                <w:highlight w:val="none"/>
                <w:lang w:val="en-US" w:eastAsia="zh-CN" w:bidi="ar-SA"/>
              </w:rPr>
            </w:pPr>
          </w:p>
        </w:tc>
      </w:tr>
      <w:tr w14:paraId="0C901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828" w:type="pct"/>
            <w:vAlign w:val="center"/>
          </w:tcPr>
          <w:p w14:paraId="345BCABF">
            <w:pPr>
              <w:pageBreakBefore w:val="0"/>
              <w:widowControl w:val="0"/>
              <w:shd w:val="clear"/>
              <w:topLinePunct w:val="0"/>
              <w:bidi w:val="0"/>
              <w:adjustRightInd w:val="0"/>
              <w:snapToGrid w:val="0"/>
              <w:spacing w:line="500" w:lineRule="exact"/>
              <w:ind w:left="0" w:leftChars="0" w:right="0"/>
              <w:jc w:val="both"/>
              <w:rPr>
                <w:rFonts w:hint="eastAsia" w:ascii="宋体" w:hAnsi="宋体" w:eastAsia="宋体" w:cs="宋体"/>
                <w:color w:val="auto"/>
                <w:kern w:val="0"/>
                <w:sz w:val="24"/>
                <w:szCs w:val="24"/>
                <w:highlight w:val="none"/>
                <w:lang w:val="en-US" w:eastAsia="zh-CN" w:bidi="ar-SA"/>
              </w:rPr>
            </w:pPr>
          </w:p>
        </w:tc>
        <w:tc>
          <w:tcPr>
            <w:tcW w:w="1863" w:type="pct"/>
            <w:gridSpan w:val="3"/>
            <w:vAlign w:val="center"/>
          </w:tcPr>
          <w:p w14:paraId="0F7633BF">
            <w:pPr>
              <w:pageBreakBefore w:val="0"/>
              <w:widowControl w:val="0"/>
              <w:shd w:val="clear"/>
              <w:topLinePunct w:val="0"/>
              <w:bidi w:val="0"/>
              <w:adjustRightInd w:val="0"/>
              <w:snapToGrid w:val="0"/>
              <w:spacing w:line="500" w:lineRule="exact"/>
              <w:ind w:left="0" w:leftChars="0" w:right="0"/>
              <w:jc w:val="both"/>
              <w:rPr>
                <w:rFonts w:hint="eastAsia" w:ascii="宋体" w:hAnsi="宋体" w:eastAsia="宋体" w:cs="宋体"/>
                <w:color w:val="auto"/>
                <w:kern w:val="0"/>
                <w:sz w:val="24"/>
                <w:szCs w:val="24"/>
                <w:highlight w:val="none"/>
                <w:lang w:val="en-US" w:eastAsia="zh-CN" w:bidi="ar-SA"/>
              </w:rPr>
            </w:pPr>
          </w:p>
        </w:tc>
        <w:tc>
          <w:tcPr>
            <w:tcW w:w="709" w:type="pct"/>
            <w:vAlign w:val="center"/>
          </w:tcPr>
          <w:p w14:paraId="6FAFABB5">
            <w:pPr>
              <w:pageBreakBefore w:val="0"/>
              <w:widowControl w:val="0"/>
              <w:shd w:val="clear"/>
              <w:topLinePunct w:val="0"/>
              <w:bidi w:val="0"/>
              <w:adjustRightInd w:val="0"/>
              <w:snapToGrid w:val="0"/>
              <w:spacing w:line="500" w:lineRule="exact"/>
              <w:ind w:left="0" w:leftChars="0" w:right="0"/>
              <w:jc w:val="both"/>
              <w:rPr>
                <w:rFonts w:hint="eastAsia" w:ascii="宋体" w:hAnsi="宋体" w:eastAsia="宋体" w:cs="宋体"/>
                <w:color w:val="auto"/>
                <w:kern w:val="0"/>
                <w:sz w:val="24"/>
                <w:szCs w:val="24"/>
                <w:highlight w:val="none"/>
                <w:lang w:val="en-US" w:eastAsia="zh-CN" w:bidi="ar-SA"/>
              </w:rPr>
            </w:pPr>
          </w:p>
        </w:tc>
        <w:tc>
          <w:tcPr>
            <w:tcW w:w="972" w:type="pct"/>
            <w:gridSpan w:val="3"/>
            <w:vAlign w:val="center"/>
          </w:tcPr>
          <w:p w14:paraId="15B69A56">
            <w:pPr>
              <w:pageBreakBefore w:val="0"/>
              <w:widowControl w:val="0"/>
              <w:shd w:val="clear"/>
              <w:topLinePunct w:val="0"/>
              <w:bidi w:val="0"/>
              <w:adjustRightInd w:val="0"/>
              <w:snapToGrid w:val="0"/>
              <w:spacing w:line="500" w:lineRule="exact"/>
              <w:ind w:left="0" w:leftChars="0" w:right="0"/>
              <w:jc w:val="both"/>
              <w:rPr>
                <w:rFonts w:hint="eastAsia" w:ascii="宋体" w:hAnsi="宋体" w:eastAsia="宋体" w:cs="宋体"/>
                <w:color w:val="auto"/>
                <w:kern w:val="0"/>
                <w:sz w:val="24"/>
                <w:szCs w:val="24"/>
                <w:highlight w:val="none"/>
                <w:lang w:val="en-US" w:eastAsia="zh-CN" w:bidi="ar-SA"/>
              </w:rPr>
            </w:pPr>
          </w:p>
        </w:tc>
        <w:tc>
          <w:tcPr>
            <w:tcW w:w="625" w:type="pct"/>
            <w:vAlign w:val="center"/>
          </w:tcPr>
          <w:p w14:paraId="444A58C0">
            <w:pPr>
              <w:pageBreakBefore w:val="0"/>
              <w:widowControl w:val="0"/>
              <w:shd w:val="clear"/>
              <w:topLinePunct w:val="0"/>
              <w:bidi w:val="0"/>
              <w:adjustRightInd w:val="0"/>
              <w:snapToGrid w:val="0"/>
              <w:spacing w:line="500" w:lineRule="exact"/>
              <w:ind w:left="0" w:leftChars="0" w:right="0"/>
              <w:jc w:val="both"/>
              <w:rPr>
                <w:rFonts w:hint="eastAsia" w:ascii="宋体" w:hAnsi="宋体" w:eastAsia="宋体" w:cs="宋体"/>
                <w:color w:val="auto"/>
                <w:kern w:val="0"/>
                <w:sz w:val="24"/>
                <w:szCs w:val="24"/>
                <w:highlight w:val="none"/>
                <w:lang w:val="en-US" w:eastAsia="zh-CN" w:bidi="ar-SA"/>
              </w:rPr>
            </w:pPr>
          </w:p>
        </w:tc>
      </w:tr>
      <w:tr w14:paraId="7D387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828" w:type="pct"/>
            <w:vAlign w:val="center"/>
          </w:tcPr>
          <w:p w14:paraId="5D76BFC5">
            <w:pPr>
              <w:pageBreakBefore w:val="0"/>
              <w:widowControl w:val="0"/>
              <w:shd w:val="clear"/>
              <w:topLinePunct w:val="0"/>
              <w:bidi w:val="0"/>
              <w:adjustRightInd w:val="0"/>
              <w:snapToGrid w:val="0"/>
              <w:spacing w:line="500" w:lineRule="exact"/>
              <w:ind w:left="0" w:leftChars="0" w:right="0" w:firstLine="480" w:firstLineChars="200"/>
              <w:jc w:val="both"/>
              <w:rPr>
                <w:rFonts w:hint="eastAsia" w:ascii="宋体" w:hAnsi="宋体" w:eastAsia="宋体" w:cs="宋体"/>
                <w:color w:val="auto"/>
                <w:kern w:val="0"/>
                <w:sz w:val="24"/>
                <w:szCs w:val="24"/>
                <w:highlight w:val="none"/>
                <w:lang w:val="en-US" w:eastAsia="zh-CN" w:bidi="ar-SA"/>
              </w:rPr>
            </w:pPr>
          </w:p>
        </w:tc>
        <w:tc>
          <w:tcPr>
            <w:tcW w:w="1863" w:type="pct"/>
            <w:gridSpan w:val="3"/>
            <w:vAlign w:val="center"/>
          </w:tcPr>
          <w:p w14:paraId="22C1C415">
            <w:pPr>
              <w:pageBreakBefore w:val="0"/>
              <w:widowControl w:val="0"/>
              <w:shd w:val="clear"/>
              <w:topLinePunct w:val="0"/>
              <w:bidi w:val="0"/>
              <w:adjustRightInd w:val="0"/>
              <w:snapToGrid w:val="0"/>
              <w:spacing w:line="500" w:lineRule="exact"/>
              <w:ind w:left="0" w:leftChars="0" w:right="0" w:firstLine="480" w:firstLineChars="200"/>
              <w:jc w:val="both"/>
              <w:rPr>
                <w:rFonts w:hint="eastAsia" w:ascii="宋体" w:hAnsi="宋体" w:eastAsia="宋体" w:cs="宋体"/>
                <w:color w:val="auto"/>
                <w:kern w:val="0"/>
                <w:sz w:val="24"/>
                <w:szCs w:val="24"/>
                <w:highlight w:val="none"/>
                <w:lang w:val="en-US" w:eastAsia="zh-CN" w:bidi="ar-SA"/>
              </w:rPr>
            </w:pPr>
          </w:p>
        </w:tc>
        <w:tc>
          <w:tcPr>
            <w:tcW w:w="709" w:type="pct"/>
            <w:vAlign w:val="center"/>
          </w:tcPr>
          <w:p w14:paraId="1D74B36C">
            <w:pPr>
              <w:pageBreakBefore w:val="0"/>
              <w:widowControl w:val="0"/>
              <w:shd w:val="clear"/>
              <w:topLinePunct w:val="0"/>
              <w:bidi w:val="0"/>
              <w:adjustRightInd w:val="0"/>
              <w:snapToGrid w:val="0"/>
              <w:spacing w:line="500" w:lineRule="exact"/>
              <w:ind w:left="0" w:leftChars="0" w:right="0" w:firstLine="480" w:firstLineChars="200"/>
              <w:jc w:val="both"/>
              <w:rPr>
                <w:rFonts w:hint="eastAsia" w:ascii="宋体" w:hAnsi="宋体" w:eastAsia="宋体" w:cs="宋体"/>
                <w:color w:val="auto"/>
                <w:kern w:val="0"/>
                <w:sz w:val="24"/>
                <w:szCs w:val="24"/>
                <w:highlight w:val="none"/>
                <w:lang w:val="en-US" w:eastAsia="zh-CN" w:bidi="ar-SA"/>
              </w:rPr>
            </w:pPr>
          </w:p>
        </w:tc>
        <w:tc>
          <w:tcPr>
            <w:tcW w:w="972" w:type="pct"/>
            <w:gridSpan w:val="3"/>
            <w:vAlign w:val="center"/>
          </w:tcPr>
          <w:p w14:paraId="3C3A5575">
            <w:pPr>
              <w:pageBreakBefore w:val="0"/>
              <w:widowControl w:val="0"/>
              <w:shd w:val="clear"/>
              <w:topLinePunct w:val="0"/>
              <w:bidi w:val="0"/>
              <w:adjustRightInd w:val="0"/>
              <w:snapToGrid w:val="0"/>
              <w:spacing w:line="500" w:lineRule="exact"/>
              <w:ind w:left="0" w:leftChars="0" w:right="0" w:firstLine="480" w:firstLineChars="200"/>
              <w:jc w:val="both"/>
              <w:rPr>
                <w:rFonts w:hint="eastAsia" w:ascii="宋体" w:hAnsi="宋体" w:eastAsia="宋体" w:cs="宋体"/>
                <w:color w:val="auto"/>
                <w:kern w:val="0"/>
                <w:sz w:val="24"/>
                <w:szCs w:val="24"/>
                <w:highlight w:val="none"/>
                <w:lang w:val="en-US" w:eastAsia="zh-CN" w:bidi="ar-SA"/>
              </w:rPr>
            </w:pPr>
          </w:p>
        </w:tc>
        <w:tc>
          <w:tcPr>
            <w:tcW w:w="625" w:type="pct"/>
            <w:vAlign w:val="center"/>
          </w:tcPr>
          <w:p w14:paraId="6AEDCA91">
            <w:pPr>
              <w:pageBreakBefore w:val="0"/>
              <w:widowControl w:val="0"/>
              <w:shd w:val="clear"/>
              <w:topLinePunct w:val="0"/>
              <w:bidi w:val="0"/>
              <w:adjustRightInd w:val="0"/>
              <w:snapToGrid w:val="0"/>
              <w:spacing w:line="500" w:lineRule="exact"/>
              <w:ind w:left="0" w:leftChars="0" w:right="0" w:firstLine="480" w:firstLineChars="200"/>
              <w:jc w:val="both"/>
              <w:rPr>
                <w:rFonts w:hint="eastAsia" w:ascii="宋体" w:hAnsi="宋体" w:eastAsia="宋体" w:cs="宋体"/>
                <w:color w:val="auto"/>
                <w:kern w:val="0"/>
                <w:sz w:val="24"/>
                <w:szCs w:val="24"/>
                <w:highlight w:val="none"/>
                <w:lang w:val="en-US" w:eastAsia="zh-CN" w:bidi="ar-SA"/>
              </w:rPr>
            </w:pPr>
          </w:p>
        </w:tc>
      </w:tr>
      <w:tr w14:paraId="2B665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828" w:type="pct"/>
            <w:vAlign w:val="center"/>
          </w:tcPr>
          <w:p w14:paraId="64B9171B">
            <w:pPr>
              <w:pageBreakBefore w:val="0"/>
              <w:widowControl w:val="0"/>
              <w:shd w:val="clear"/>
              <w:topLinePunct w:val="0"/>
              <w:bidi w:val="0"/>
              <w:adjustRightInd w:val="0"/>
              <w:snapToGrid w:val="0"/>
              <w:spacing w:line="500" w:lineRule="exact"/>
              <w:ind w:left="0" w:leftChars="0" w:right="0" w:firstLine="480" w:firstLineChars="200"/>
              <w:jc w:val="both"/>
              <w:rPr>
                <w:rFonts w:hint="eastAsia" w:ascii="宋体" w:hAnsi="宋体" w:eastAsia="宋体" w:cs="宋体"/>
                <w:color w:val="auto"/>
                <w:kern w:val="0"/>
                <w:sz w:val="24"/>
                <w:szCs w:val="24"/>
                <w:highlight w:val="none"/>
                <w:lang w:val="en-US" w:eastAsia="zh-CN" w:bidi="ar-SA"/>
              </w:rPr>
            </w:pPr>
          </w:p>
        </w:tc>
        <w:tc>
          <w:tcPr>
            <w:tcW w:w="1863" w:type="pct"/>
            <w:gridSpan w:val="3"/>
            <w:vAlign w:val="center"/>
          </w:tcPr>
          <w:p w14:paraId="6C6DC63D">
            <w:pPr>
              <w:pageBreakBefore w:val="0"/>
              <w:widowControl w:val="0"/>
              <w:shd w:val="clear"/>
              <w:topLinePunct w:val="0"/>
              <w:bidi w:val="0"/>
              <w:adjustRightInd w:val="0"/>
              <w:snapToGrid w:val="0"/>
              <w:spacing w:line="500" w:lineRule="exact"/>
              <w:ind w:left="0" w:leftChars="0" w:right="0" w:firstLine="480" w:firstLineChars="200"/>
              <w:jc w:val="both"/>
              <w:rPr>
                <w:rFonts w:hint="eastAsia" w:ascii="宋体" w:hAnsi="宋体" w:eastAsia="宋体" w:cs="宋体"/>
                <w:color w:val="auto"/>
                <w:kern w:val="0"/>
                <w:sz w:val="24"/>
                <w:szCs w:val="24"/>
                <w:highlight w:val="none"/>
                <w:lang w:val="en-US" w:eastAsia="zh-CN" w:bidi="ar-SA"/>
              </w:rPr>
            </w:pPr>
          </w:p>
        </w:tc>
        <w:tc>
          <w:tcPr>
            <w:tcW w:w="709" w:type="pct"/>
            <w:vAlign w:val="center"/>
          </w:tcPr>
          <w:p w14:paraId="2FA6BABD">
            <w:pPr>
              <w:pageBreakBefore w:val="0"/>
              <w:widowControl w:val="0"/>
              <w:shd w:val="clear"/>
              <w:topLinePunct w:val="0"/>
              <w:bidi w:val="0"/>
              <w:adjustRightInd w:val="0"/>
              <w:snapToGrid w:val="0"/>
              <w:spacing w:line="500" w:lineRule="exact"/>
              <w:ind w:left="0" w:leftChars="0" w:right="0" w:firstLine="480" w:firstLineChars="200"/>
              <w:jc w:val="both"/>
              <w:rPr>
                <w:rFonts w:hint="eastAsia" w:ascii="宋体" w:hAnsi="宋体" w:eastAsia="宋体" w:cs="宋体"/>
                <w:color w:val="auto"/>
                <w:kern w:val="0"/>
                <w:sz w:val="24"/>
                <w:szCs w:val="24"/>
                <w:highlight w:val="none"/>
                <w:lang w:val="en-US" w:eastAsia="zh-CN" w:bidi="ar-SA"/>
              </w:rPr>
            </w:pPr>
          </w:p>
        </w:tc>
        <w:tc>
          <w:tcPr>
            <w:tcW w:w="972" w:type="pct"/>
            <w:gridSpan w:val="3"/>
            <w:vAlign w:val="center"/>
          </w:tcPr>
          <w:p w14:paraId="3BCFBA79">
            <w:pPr>
              <w:pageBreakBefore w:val="0"/>
              <w:widowControl w:val="0"/>
              <w:shd w:val="clear"/>
              <w:topLinePunct w:val="0"/>
              <w:bidi w:val="0"/>
              <w:adjustRightInd w:val="0"/>
              <w:snapToGrid w:val="0"/>
              <w:spacing w:line="500" w:lineRule="exact"/>
              <w:ind w:left="0" w:leftChars="0" w:right="0" w:firstLine="480" w:firstLineChars="200"/>
              <w:jc w:val="both"/>
              <w:rPr>
                <w:rFonts w:hint="eastAsia" w:ascii="宋体" w:hAnsi="宋体" w:eastAsia="宋体" w:cs="宋体"/>
                <w:color w:val="auto"/>
                <w:kern w:val="0"/>
                <w:sz w:val="24"/>
                <w:szCs w:val="24"/>
                <w:highlight w:val="none"/>
                <w:lang w:val="en-US" w:eastAsia="zh-CN" w:bidi="ar-SA"/>
              </w:rPr>
            </w:pPr>
          </w:p>
        </w:tc>
        <w:tc>
          <w:tcPr>
            <w:tcW w:w="625" w:type="pct"/>
            <w:vAlign w:val="center"/>
          </w:tcPr>
          <w:p w14:paraId="09270038">
            <w:pPr>
              <w:pageBreakBefore w:val="0"/>
              <w:widowControl w:val="0"/>
              <w:shd w:val="clear"/>
              <w:topLinePunct w:val="0"/>
              <w:bidi w:val="0"/>
              <w:adjustRightInd w:val="0"/>
              <w:snapToGrid w:val="0"/>
              <w:spacing w:line="500" w:lineRule="exact"/>
              <w:ind w:left="0" w:leftChars="0" w:right="0" w:firstLine="480" w:firstLineChars="200"/>
              <w:jc w:val="both"/>
              <w:rPr>
                <w:rFonts w:hint="eastAsia" w:ascii="宋体" w:hAnsi="宋体" w:eastAsia="宋体" w:cs="宋体"/>
                <w:color w:val="auto"/>
                <w:kern w:val="0"/>
                <w:sz w:val="24"/>
                <w:szCs w:val="24"/>
                <w:highlight w:val="none"/>
                <w:lang w:val="en-US" w:eastAsia="zh-CN" w:bidi="ar-SA"/>
              </w:rPr>
            </w:pPr>
          </w:p>
        </w:tc>
      </w:tr>
    </w:tbl>
    <w:p w14:paraId="7A1D1994">
      <w:pPr>
        <w:pageBreakBefore w:val="0"/>
        <w:widowControl w:val="0"/>
        <w:shd w:val="clear"/>
        <w:tabs>
          <w:tab w:val="left" w:pos="2040"/>
          <w:tab w:val="left" w:pos="8712"/>
        </w:tabs>
        <w:topLinePunct w:val="0"/>
        <w:bidi w:val="0"/>
        <w:adjustRightInd w:val="0"/>
        <w:snapToGrid w:val="0"/>
        <w:spacing w:line="500" w:lineRule="exact"/>
        <w:ind w:left="0" w:leftChars="0" w:right="0" w:firstLine="480" w:firstLineChars="200"/>
        <w:jc w:val="both"/>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1"/>
          <w:highlight w:val="none"/>
          <w:lang w:val="en-US" w:eastAsia="zh-CN" w:bidi="ar-SA"/>
        </w:rPr>
        <w:t>注：</w:t>
      </w:r>
      <w:r>
        <w:rPr>
          <w:rFonts w:hint="eastAsia" w:ascii="宋体" w:hAnsi="宋体" w:eastAsia="宋体" w:cs="宋体"/>
          <w:bCs/>
          <w:color w:val="auto"/>
          <w:kern w:val="2"/>
          <w:sz w:val="24"/>
          <w:szCs w:val="24"/>
          <w:highlight w:val="none"/>
          <w:lang w:val="en-US" w:eastAsia="zh-CN" w:bidi="ar-SA"/>
        </w:rPr>
        <w:t>1.表后须附身份证、毕业证、职称证（如有）等相关资料复印件。</w:t>
      </w:r>
      <w:r>
        <w:rPr>
          <w:rFonts w:hint="eastAsia" w:ascii="宋体" w:hAnsi="宋体" w:eastAsia="宋体" w:cs="宋体"/>
          <w:bCs/>
          <w:color w:val="auto"/>
          <w:kern w:val="2"/>
          <w:sz w:val="24"/>
          <w:szCs w:val="24"/>
          <w:highlight w:val="none"/>
          <w:lang w:val="en-US" w:eastAsia="zh-CN" w:bidi="ar-SA"/>
        </w:rPr>
        <w:tab/>
      </w:r>
    </w:p>
    <w:p w14:paraId="7AF0FAFC">
      <w:pPr>
        <w:pageBreakBefore w:val="0"/>
        <w:widowControl/>
        <w:shd w:val="clear"/>
        <w:topLinePunct w:val="0"/>
        <w:bidi w:val="0"/>
        <w:spacing w:line="500" w:lineRule="exact"/>
        <w:ind w:left="0" w:leftChars="0" w:right="0"/>
        <w:jc w:val="center"/>
        <w:rPr>
          <w:rFonts w:hint="eastAsia" w:ascii="宋体" w:hAnsi="宋体" w:eastAsia="宋体" w:cs="宋体"/>
          <w:b/>
          <w:bCs/>
          <w:color w:val="auto"/>
          <w:sz w:val="28"/>
          <w:highlight w:val="none"/>
        </w:rPr>
      </w:pPr>
    </w:p>
    <w:p w14:paraId="54812D70">
      <w:pPr>
        <w:pageBreakBefore w:val="0"/>
        <w:shd w:val="clear"/>
        <w:topLinePunct w:val="0"/>
        <w:bidi w:val="0"/>
        <w:spacing w:line="500" w:lineRule="exact"/>
        <w:ind w:left="0" w:leftChars="0" w:right="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br w:type="page"/>
      </w:r>
    </w:p>
    <w:p w14:paraId="3729130E">
      <w:pPr>
        <w:pageBreakBefore w:val="0"/>
        <w:topLinePunct w:val="0"/>
        <w:bidi w:val="0"/>
        <w:spacing w:afterAutospacing="0" w:line="500" w:lineRule="exact"/>
        <w:ind w:left="0" w:leftChars="0" w:right="0"/>
        <w:jc w:val="left"/>
        <w:rPr>
          <w:rFonts w:hint="eastAsia" w:ascii="宋体" w:hAnsi="宋体" w:eastAsia="宋体" w:cs="宋体"/>
          <w:b/>
          <w:bCs/>
          <w:color w:val="auto"/>
          <w:sz w:val="24"/>
          <w:szCs w:val="24"/>
          <w:highlight w:val="none"/>
          <w:lang w:val="en-US" w:eastAsia="zh-CN"/>
        </w:rPr>
      </w:pPr>
      <w:bookmarkStart w:id="537" w:name="_Toc5643"/>
      <w:bookmarkStart w:id="538" w:name="_Toc7751"/>
      <w:bookmarkStart w:id="539" w:name="_Toc25043"/>
      <w:bookmarkStart w:id="540" w:name="_Toc24803"/>
      <w:bookmarkStart w:id="541" w:name="_Toc21157"/>
      <w:bookmarkStart w:id="542" w:name="_Toc24005"/>
      <w:bookmarkStart w:id="543" w:name="_Toc12190"/>
      <w:r>
        <w:rPr>
          <w:rFonts w:hint="eastAsia" w:ascii="宋体" w:hAnsi="宋体" w:eastAsia="宋体" w:cs="宋体"/>
          <w:b/>
          <w:bCs/>
          <w:color w:val="auto"/>
          <w:sz w:val="24"/>
          <w:szCs w:val="24"/>
          <w:highlight w:val="none"/>
          <w:lang w:val="en-US" w:eastAsia="zh-CN"/>
        </w:rPr>
        <w:t>附件3：类似项目业绩</w:t>
      </w:r>
      <w:bookmarkEnd w:id="537"/>
      <w:bookmarkEnd w:id="538"/>
      <w:bookmarkEnd w:id="539"/>
      <w:bookmarkEnd w:id="540"/>
      <w:bookmarkEnd w:id="541"/>
      <w:bookmarkEnd w:id="542"/>
      <w:bookmarkEnd w:id="543"/>
    </w:p>
    <w:p w14:paraId="2553C880">
      <w:pPr>
        <w:pageBreakBefore w:val="0"/>
        <w:shd w:val="clear"/>
        <w:topLinePunct w:val="0"/>
        <w:bidi w:val="0"/>
        <w:spacing w:line="500" w:lineRule="exact"/>
        <w:ind w:left="0" w:leftChars="0" w:right="0"/>
        <w:rPr>
          <w:rFonts w:hint="eastAsia" w:ascii="宋体" w:hAnsi="宋体" w:eastAsia="宋体" w:cs="宋体"/>
          <w:color w:val="auto"/>
          <w:highlight w:val="none"/>
          <w:u w:val="single"/>
        </w:rPr>
      </w:pPr>
      <w:r>
        <w:rPr>
          <w:rFonts w:hint="eastAsia" w:ascii="宋体" w:hAnsi="宋体" w:eastAsia="宋体" w:cs="宋体"/>
          <w:color w:val="auto"/>
          <w:highlight w:val="none"/>
        </w:rPr>
        <w:t xml:space="preserve">采购项目名称： </w:t>
      </w:r>
      <w:r>
        <w:rPr>
          <w:rFonts w:hint="eastAsia" w:ascii="宋体" w:hAnsi="宋体" w:eastAsia="宋体" w:cs="宋体"/>
          <w:color w:val="auto"/>
          <w:highlight w:val="none"/>
          <w:u w:val="single"/>
        </w:rPr>
        <w:t xml:space="preserve">                            </w:t>
      </w:r>
    </w:p>
    <w:p w14:paraId="4323D99F">
      <w:pPr>
        <w:pageBreakBefore w:val="0"/>
        <w:shd w:val="clear"/>
        <w:topLinePunct w:val="0"/>
        <w:bidi w:val="0"/>
        <w:spacing w:line="500" w:lineRule="exact"/>
        <w:ind w:left="0" w:leftChars="0" w:right="0"/>
        <w:rPr>
          <w:rFonts w:hint="eastAsia" w:ascii="宋体" w:hAnsi="宋体" w:eastAsia="宋体" w:cs="宋体"/>
          <w:color w:val="auto"/>
          <w:highlight w:val="none"/>
          <w:u w:val="single"/>
        </w:rPr>
      </w:pPr>
      <w:r>
        <w:rPr>
          <w:rFonts w:hint="eastAsia" w:ascii="宋体" w:hAnsi="宋体" w:eastAsia="宋体" w:cs="宋体"/>
          <w:color w:val="auto"/>
          <w:highlight w:val="none"/>
        </w:rPr>
        <w:t xml:space="preserve">采购项目编号： </w:t>
      </w:r>
      <w:r>
        <w:rPr>
          <w:rFonts w:hint="eastAsia" w:ascii="宋体" w:hAnsi="宋体" w:eastAsia="宋体" w:cs="宋体"/>
          <w:color w:val="auto"/>
          <w:highlight w:val="none"/>
          <w:u w:val="single"/>
        </w:rPr>
        <w:t xml:space="preserve">                            </w:t>
      </w:r>
    </w:p>
    <w:tbl>
      <w:tblPr>
        <w:tblStyle w:val="26"/>
        <w:tblW w:w="4998"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672"/>
        <w:gridCol w:w="1179"/>
        <w:gridCol w:w="1567"/>
        <w:gridCol w:w="1792"/>
        <w:gridCol w:w="1596"/>
        <w:gridCol w:w="2991"/>
      </w:tblGrid>
      <w:tr w14:paraId="2EC042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343" w:type="pct"/>
            <w:vAlign w:val="center"/>
          </w:tcPr>
          <w:p w14:paraId="147E9D9D">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r>
              <w:rPr>
                <w:rFonts w:hint="eastAsia" w:ascii="宋体" w:hAnsi="宋体" w:eastAsia="宋体" w:cs="宋体"/>
                <w:color w:val="auto"/>
                <w:highlight w:val="none"/>
              </w:rPr>
              <w:t>序号</w:t>
            </w:r>
          </w:p>
        </w:tc>
        <w:tc>
          <w:tcPr>
            <w:tcW w:w="601" w:type="pct"/>
            <w:vAlign w:val="center"/>
          </w:tcPr>
          <w:p w14:paraId="73CB3DAD">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799" w:type="pct"/>
            <w:vAlign w:val="center"/>
          </w:tcPr>
          <w:p w14:paraId="468EF130">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r>
              <w:rPr>
                <w:rFonts w:hint="eastAsia" w:ascii="宋体" w:hAnsi="宋体" w:eastAsia="宋体" w:cs="宋体"/>
                <w:color w:val="auto"/>
                <w:highlight w:val="none"/>
              </w:rPr>
              <w:t>项目内容</w:t>
            </w:r>
          </w:p>
        </w:tc>
        <w:tc>
          <w:tcPr>
            <w:tcW w:w="914" w:type="pct"/>
            <w:tcBorders>
              <w:left w:val="single" w:color="auto" w:sz="4" w:space="0"/>
              <w:right w:val="single" w:color="auto" w:sz="4" w:space="0"/>
            </w:tcBorders>
            <w:vAlign w:val="center"/>
          </w:tcPr>
          <w:p w14:paraId="57B7CD88">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r>
              <w:rPr>
                <w:rFonts w:hint="eastAsia" w:ascii="宋体" w:hAnsi="宋体" w:eastAsia="宋体" w:cs="宋体"/>
                <w:color w:val="auto"/>
                <w:highlight w:val="none"/>
              </w:rPr>
              <w:t>金额</w:t>
            </w:r>
          </w:p>
          <w:p w14:paraId="70DB808E">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r>
              <w:rPr>
                <w:rFonts w:hint="eastAsia" w:ascii="宋体" w:hAnsi="宋体" w:eastAsia="宋体" w:cs="宋体"/>
                <w:color w:val="auto"/>
                <w:highlight w:val="none"/>
              </w:rPr>
              <w:t>（万元）</w:t>
            </w:r>
          </w:p>
        </w:tc>
        <w:tc>
          <w:tcPr>
            <w:tcW w:w="814" w:type="pct"/>
            <w:vAlign w:val="center"/>
          </w:tcPr>
          <w:p w14:paraId="38F9000F">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r>
              <w:rPr>
                <w:rFonts w:hint="eastAsia" w:ascii="宋体" w:hAnsi="宋体" w:eastAsia="宋体" w:cs="宋体"/>
                <w:color w:val="auto"/>
                <w:highlight w:val="none"/>
              </w:rPr>
              <w:t>完成日期</w:t>
            </w:r>
          </w:p>
        </w:tc>
        <w:tc>
          <w:tcPr>
            <w:tcW w:w="1525" w:type="pct"/>
            <w:vAlign w:val="center"/>
          </w:tcPr>
          <w:p w14:paraId="4B259B68">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r>
              <w:rPr>
                <w:rFonts w:hint="eastAsia" w:ascii="宋体" w:hAnsi="宋体" w:eastAsia="宋体" w:cs="宋体"/>
                <w:color w:val="auto"/>
                <w:highlight w:val="none"/>
              </w:rPr>
              <w:t>服务单位名称、联系人及电话</w:t>
            </w:r>
          </w:p>
        </w:tc>
      </w:tr>
      <w:tr w14:paraId="6EAEB6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343" w:type="pct"/>
            <w:vAlign w:val="center"/>
          </w:tcPr>
          <w:p w14:paraId="078D3283">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601" w:type="pct"/>
            <w:vAlign w:val="center"/>
          </w:tcPr>
          <w:p w14:paraId="2B16FBE6">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799" w:type="pct"/>
            <w:vAlign w:val="center"/>
          </w:tcPr>
          <w:p w14:paraId="67D19F8B">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914" w:type="pct"/>
            <w:tcBorders>
              <w:left w:val="single" w:color="auto" w:sz="4" w:space="0"/>
              <w:right w:val="single" w:color="auto" w:sz="4" w:space="0"/>
            </w:tcBorders>
            <w:vAlign w:val="center"/>
          </w:tcPr>
          <w:p w14:paraId="75C7D3A4">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814" w:type="pct"/>
            <w:vAlign w:val="center"/>
          </w:tcPr>
          <w:p w14:paraId="05486FF6">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1525" w:type="pct"/>
          </w:tcPr>
          <w:p w14:paraId="47ECD71A">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r>
      <w:tr w14:paraId="5C4311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343" w:type="pct"/>
            <w:vAlign w:val="center"/>
          </w:tcPr>
          <w:p w14:paraId="264C1EFA">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601" w:type="pct"/>
            <w:vAlign w:val="center"/>
          </w:tcPr>
          <w:p w14:paraId="3A194440">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799" w:type="pct"/>
            <w:vAlign w:val="center"/>
          </w:tcPr>
          <w:p w14:paraId="669B6DDA">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914" w:type="pct"/>
            <w:tcBorders>
              <w:left w:val="single" w:color="auto" w:sz="4" w:space="0"/>
              <w:right w:val="single" w:color="auto" w:sz="4" w:space="0"/>
            </w:tcBorders>
            <w:vAlign w:val="center"/>
          </w:tcPr>
          <w:p w14:paraId="56385A00">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814" w:type="pct"/>
            <w:vAlign w:val="center"/>
          </w:tcPr>
          <w:p w14:paraId="49BE0238">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1525" w:type="pct"/>
          </w:tcPr>
          <w:p w14:paraId="65050411">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r>
      <w:tr w14:paraId="197BB8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343" w:type="pct"/>
            <w:vAlign w:val="center"/>
          </w:tcPr>
          <w:p w14:paraId="069C70C7">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601" w:type="pct"/>
            <w:vAlign w:val="center"/>
          </w:tcPr>
          <w:p w14:paraId="19253391">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799" w:type="pct"/>
            <w:vAlign w:val="center"/>
          </w:tcPr>
          <w:p w14:paraId="0CB05821">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914" w:type="pct"/>
            <w:tcBorders>
              <w:left w:val="single" w:color="auto" w:sz="4" w:space="0"/>
              <w:right w:val="single" w:color="auto" w:sz="4" w:space="0"/>
            </w:tcBorders>
            <w:vAlign w:val="center"/>
          </w:tcPr>
          <w:p w14:paraId="484A36FB">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814" w:type="pct"/>
            <w:vAlign w:val="center"/>
          </w:tcPr>
          <w:p w14:paraId="4AA8C052">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1525" w:type="pct"/>
          </w:tcPr>
          <w:p w14:paraId="5E8BF9D2">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r>
      <w:tr w14:paraId="52F83A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343" w:type="pct"/>
            <w:vAlign w:val="center"/>
          </w:tcPr>
          <w:p w14:paraId="7786D9E5">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601" w:type="pct"/>
            <w:vAlign w:val="center"/>
          </w:tcPr>
          <w:p w14:paraId="13BB5846">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799" w:type="pct"/>
            <w:vAlign w:val="center"/>
          </w:tcPr>
          <w:p w14:paraId="5AA461DF">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914" w:type="pct"/>
            <w:tcBorders>
              <w:left w:val="single" w:color="auto" w:sz="4" w:space="0"/>
              <w:right w:val="single" w:color="auto" w:sz="4" w:space="0"/>
            </w:tcBorders>
            <w:vAlign w:val="center"/>
          </w:tcPr>
          <w:p w14:paraId="0BE18115">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814" w:type="pct"/>
            <w:vAlign w:val="center"/>
          </w:tcPr>
          <w:p w14:paraId="2DE91B9E">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1525" w:type="pct"/>
          </w:tcPr>
          <w:p w14:paraId="077E9AD5">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r>
      <w:tr w14:paraId="5A372B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343" w:type="pct"/>
            <w:vAlign w:val="center"/>
          </w:tcPr>
          <w:p w14:paraId="644E8410">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601" w:type="pct"/>
            <w:vAlign w:val="center"/>
          </w:tcPr>
          <w:p w14:paraId="09AC44CE">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799" w:type="pct"/>
            <w:vAlign w:val="center"/>
          </w:tcPr>
          <w:p w14:paraId="19646F38">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914" w:type="pct"/>
            <w:tcBorders>
              <w:left w:val="single" w:color="auto" w:sz="4" w:space="0"/>
              <w:right w:val="single" w:color="auto" w:sz="4" w:space="0"/>
            </w:tcBorders>
            <w:vAlign w:val="center"/>
          </w:tcPr>
          <w:p w14:paraId="35A5BC66">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814" w:type="pct"/>
            <w:vAlign w:val="center"/>
          </w:tcPr>
          <w:p w14:paraId="31AC537E">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1525" w:type="pct"/>
          </w:tcPr>
          <w:p w14:paraId="5E97CF49">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r>
      <w:tr w14:paraId="2E5BE7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343" w:type="pct"/>
            <w:vAlign w:val="center"/>
          </w:tcPr>
          <w:p w14:paraId="0F3CBC24">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601" w:type="pct"/>
            <w:vAlign w:val="center"/>
          </w:tcPr>
          <w:p w14:paraId="57AA7825">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799" w:type="pct"/>
            <w:vAlign w:val="center"/>
          </w:tcPr>
          <w:p w14:paraId="554AF283">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914" w:type="pct"/>
            <w:tcBorders>
              <w:left w:val="single" w:color="auto" w:sz="4" w:space="0"/>
              <w:right w:val="single" w:color="auto" w:sz="4" w:space="0"/>
            </w:tcBorders>
            <w:vAlign w:val="center"/>
          </w:tcPr>
          <w:p w14:paraId="2557044C">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814" w:type="pct"/>
            <w:vAlign w:val="center"/>
          </w:tcPr>
          <w:p w14:paraId="6BC1DED5">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1525" w:type="pct"/>
          </w:tcPr>
          <w:p w14:paraId="764BA7EF">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r>
      <w:tr w14:paraId="0B023D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343" w:type="pct"/>
            <w:vAlign w:val="center"/>
          </w:tcPr>
          <w:p w14:paraId="6CFD77CC">
            <w:pPr>
              <w:pageBreakBefore w:val="0"/>
              <w:shd w:val="clear"/>
              <w:topLinePunct w:val="0"/>
              <w:bidi w:val="0"/>
              <w:spacing w:line="500" w:lineRule="exact"/>
              <w:ind w:left="0" w:leftChars="0" w:right="0"/>
              <w:jc w:val="center"/>
              <w:rPr>
                <w:rFonts w:hint="eastAsia" w:ascii="宋体" w:hAnsi="宋体" w:eastAsia="宋体" w:cs="宋体"/>
                <w:b/>
                <w:color w:val="auto"/>
                <w:highlight w:val="none"/>
              </w:rPr>
            </w:pPr>
          </w:p>
        </w:tc>
        <w:tc>
          <w:tcPr>
            <w:tcW w:w="601" w:type="pct"/>
            <w:vAlign w:val="center"/>
          </w:tcPr>
          <w:p w14:paraId="46F59CEC">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799" w:type="pct"/>
            <w:vAlign w:val="center"/>
          </w:tcPr>
          <w:p w14:paraId="5BA337D9">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914" w:type="pct"/>
            <w:tcBorders>
              <w:left w:val="single" w:color="auto" w:sz="4" w:space="0"/>
              <w:right w:val="single" w:color="auto" w:sz="4" w:space="0"/>
            </w:tcBorders>
            <w:vAlign w:val="center"/>
          </w:tcPr>
          <w:p w14:paraId="66F7E031">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814" w:type="pct"/>
            <w:vAlign w:val="center"/>
          </w:tcPr>
          <w:p w14:paraId="0CD547E6">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c>
          <w:tcPr>
            <w:tcW w:w="1525" w:type="pct"/>
          </w:tcPr>
          <w:p w14:paraId="11C04FB6">
            <w:pPr>
              <w:pageBreakBefore w:val="0"/>
              <w:shd w:val="clear"/>
              <w:topLinePunct w:val="0"/>
              <w:bidi w:val="0"/>
              <w:spacing w:line="500" w:lineRule="exact"/>
              <w:ind w:left="0" w:leftChars="0" w:right="0"/>
              <w:jc w:val="center"/>
              <w:rPr>
                <w:rFonts w:hint="eastAsia" w:ascii="宋体" w:hAnsi="宋体" w:eastAsia="宋体" w:cs="宋体"/>
                <w:color w:val="auto"/>
                <w:highlight w:val="none"/>
              </w:rPr>
            </w:pPr>
          </w:p>
        </w:tc>
      </w:tr>
    </w:tbl>
    <w:p w14:paraId="43FEB751">
      <w:pPr>
        <w:pageBreakBefore w:val="0"/>
        <w:shd w:val="clear"/>
        <w:topLinePunct w:val="0"/>
        <w:bidi w:val="0"/>
        <w:snapToGrid w:val="0"/>
        <w:spacing w:line="500" w:lineRule="exact"/>
        <w:ind w:left="398" w:leftChars="0" w:right="0" w:hanging="398" w:hangingChars="166"/>
        <w:rPr>
          <w:rFonts w:hint="eastAsia" w:ascii="宋体" w:hAnsi="宋体" w:eastAsia="宋体" w:cs="宋体"/>
          <w:color w:val="auto"/>
          <w:highlight w:val="none"/>
        </w:rPr>
      </w:pPr>
    </w:p>
    <w:p w14:paraId="1641B7DB">
      <w:pPr>
        <w:pageBreakBefore w:val="0"/>
        <w:shd w:val="clear"/>
        <w:tabs>
          <w:tab w:val="left" w:pos="8782"/>
        </w:tabs>
        <w:topLinePunct w:val="0"/>
        <w:bidi w:val="0"/>
        <w:snapToGrid w:val="0"/>
        <w:spacing w:line="500" w:lineRule="exact"/>
        <w:ind w:left="398" w:leftChars="0" w:right="0" w:hanging="398" w:hangingChars="166"/>
        <w:rPr>
          <w:rFonts w:hint="eastAsia" w:ascii="宋体" w:hAnsi="宋体" w:eastAsia="宋体" w:cs="宋体"/>
          <w:color w:val="auto"/>
          <w:highlight w:val="none"/>
        </w:rPr>
      </w:pPr>
      <w:r>
        <w:rPr>
          <w:rFonts w:hint="eastAsia" w:ascii="宋体" w:hAnsi="宋体" w:eastAsia="宋体" w:cs="宋体"/>
          <w:color w:val="auto"/>
          <w:highlight w:val="none"/>
        </w:rPr>
        <w:t xml:space="preserve">注：1. </w:t>
      </w:r>
      <w:r>
        <w:rPr>
          <w:rFonts w:hint="eastAsia" w:ascii="宋体" w:hAnsi="宋体" w:eastAsia="宋体" w:cs="宋体"/>
          <w:color w:val="auto"/>
          <w:highlight w:val="none"/>
          <w:lang w:eastAsia="zh-CN"/>
        </w:rPr>
        <w:t>供应商</w:t>
      </w:r>
      <w:r>
        <w:rPr>
          <w:rFonts w:hint="eastAsia" w:ascii="宋体" w:hAnsi="宋体" w:eastAsia="宋体" w:cs="宋体"/>
          <w:color w:val="auto"/>
          <w:highlight w:val="none"/>
        </w:rPr>
        <w:t>应如实列出以上情况，如有隐瞒，一经查实将导致其报价申请被拒绝。</w:t>
      </w:r>
    </w:p>
    <w:p w14:paraId="7D19BFE1">
      <w:pPr>
        <w:pageBreakBefore w:val="0"/>
        <w:shd w:val="clear"/>
        <w:topLinePunct w:val="0"/>
        <w:bidi w:val="0"/>
        <w:snapToGrid w:val="0"/>
        <w:spacing w:line="500" w:lineRule="exact"/>
        <w:ind w:left="0" w:leftChars="0" w:right="0" w:firstLine="120" w:firstLineChars="50"/>
        <w:rPr>
          <w:rFonts w:hint="eastAsia" w:ascii="宋体" w:hAnsi="宋体" w:eastAsia="宋体" w:cs="宋体"/>
          <w:color w:val="auto"/>
          <w:highlight w:val="none"/>
        </w:rPr>
      </w:pPr>
      <w:r>
        <w:rPr>
          <w:rFonts w:hint="eastAsia" w:ascii="宋体" w:hAnsi="宋体" w:eastAsia="宋体" w:cs="宋体"/>
          <w:color w:val="auto"/>
          <w:highlight w:val="none"/>
        </w:rPr>
        <w:t xml:space="preserve">2.供应商应提供证明材料（复印件加盖公章装订在响应文件中）。 </w:t>
      </w:r>
    </w:p>
    <w:p w14:paraId="7BD07799">
      <w:pPr>
        <w:pageBreakBefore w:val="0"/>
        <w:shd w:val="clear"/>
        <w:topLinePunct w:val="0"/>
        <w:bidi w:val="0"/>
        <w:spacing w:line="500" w:lineRule="exact"/>
        <w:ind w:left="0" w:leftChars="0" w:right="0" w:hanging="836"/>
        <w:rPr>
          <w:rFonts w:hint="eastAsia" w:ascii="宋体" w:hAnsi="宋体" w:eastAsia="宋体" w:cs="宋体"/>
          <w:color w:val="auto"/>
          <w:sz w:val="22"/>
          <w:highlight w:val="none"/>
        </w:rPr>
      </w:pPr>
    </w:p>
    <w:p w14:paraId="41D991F9">
      <w:pPr>
        <w:pageBreakBefore w:val="0"/>
        <w:shd w:val="clear"/>
        <w:topLinePunct w:val="0"/>
        <w:bidi w:val="0"/>
        <w:spacing w:line="500" w:lineRule="exact"/>
        <w:ind w:left="0" w:leftChars="0" w:right="0" w:firstLine="2640" w:firstLineChars="1100"/>
        <w:rPr>
          <w:rFonts w:hint="eastAsia" w:ascii="宋体" w:hAnsi="宋体" w:eastAsia="宋体" w:cs="宋体"/>
          <w:color w:val="auto"/>
          <w:highlight w:val="none"/>
        </w:rPr>
      </w:pPr>
    </w:p>
    <w:p w14:paraId="4F894009">
      <w:pPr>
        <w:pageBreakBefore w:val="0"/>
        <w:shd w:val="clear"/>
        <w:topLinePunct w:val="0"/>
        <w:bidi w:val="0"/>
        <w:spacing w:line="500" w:lineRule="exact"/>
        <w:ind w:left="0" w:leftChars="0" w:right="0"/>
        <w:rPr>
          <w:rFonts w:hint="eastAsia" w:ascii="宋体" w:hAnsi="宋体" w:eastAsia="宋体" w:cs="宋体"/>
          <w:color w:val="auto"/>
          <w:sz w:val="24"/>
          <w:highlight w:val="none"/>
          <w:u w:val="single"/>
        </w:rPr>
      </w:pPr>
      <w:r>
        <w:rPr>
          <w:rFonts w:hint="eastAsia" w:ascii="宋体" w:hAnsi="宋体" w:eastAsia="宋体" w:cs="宋体"/>
          <w:color w:val="auto"/>
          <w:sz w:val="24"/>
          <w:szCs w:val="24"/>
          <w:highlight w:val="none"/>
          <w:lang w:eastAsia="zh-CN"/>
        </w:rPr>
        <w:t>供应商名称（</w:t>
      </w:r>
      <w:r>
        <w:rPr>
          <w:rFonts w:hint="eastAsia" w:ascii="宋体" w:hAnsi="宋体" w:eastAsia="宋体" w:cs="宋体"/>
          <w:color w:val="auto"/>
          <w:sz w:val="24"/>
          <w:szCs w:val="24"/>
          <w:highlight w:val="none"/>
        </w:rPr>
        <w:t>公章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u w:val="single"/>
        </w:rPr>
        <w:t>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w:t>
      </w:r>
    </w:p>
    <w:p w14:paraId="1E343AAD">
      <w:pPr>
        <w:pageBreakBefore w:val="0"/>
        <w:shd w:val="clear"/>
        <w:topLinePunct w:val="0"/>
        <w:bidi w:val="0"/>
        <w:spacing w:line="500" w:lineRule="exact"/>
        <w:ind w:left="0" w:leftChars="0" w:right="0"/>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zh-CN"/>
        </w:rPr>
        <w:t>法定代表人或被授权人（签字或盖章）</w:t>
      </w:r>
      <w:r>
        <w:rPr>
          <w:rFonts w:hint="eastAsia" w:ascii="宋体" w:hAnsi="宋体" w:eastAsia="宋体" w:cs="宋体"/>
          <w:color w:val="auto"/>
          <w:szCs w:val="24"/>
          <w:highlight w:val="none"/>
        </w:rPr>
        <w:t>：</w:t>
      </w:r>
      <w:r>
        <w:rPr>
          <w:rFonts w:hint="eastAsia" w:ascii="宋体" w:hAnsi="宋体" w:eastAsia="宋体" w:cs="宋体"/>
          <w:color w:val="auto"/>
          <w:szCs w:val="24"/>
          <w:highlight w:val="none"/>
          <w:u w:val="single"/>
        </w:rPr>
        <w:t xml:space="preserve">      </w:t>
      </w:r>
    </w:p>
    <w:p w14:paraId="7A8E92FE">
      <w:pPr>
        <w:pageBreakBefore w:val="0"/>
        <w:shd w:val="clear"/>
        <w:topLinePunct w:val="0"/>
        <w:bidi w:val="0"/>
        <w:spacing w:line="500" w:lineRule="exact"/>
        <w:ind w:left="0" w:leftChars="0" w:right="0"/>
        <w:rPr>
          <w:rFonts w:hint="eastAsia" w:ascii="宋体" w:hAnsi="宋体" w:eastAsia="宋体" w:cs="宋体"/>
          <w:color w:val="auto"/>
          <w:highlight w:val="none"/>
          <w:u w:val="single"/>
        </w:rPr>
      </w:pPr>
      <w:r>
        <w:rPr>
          <w:rFonts w:hint="eastAsia" w:ascii="宋体" w:hAnsi="宋体" w:eastAsia="宋体" w:cs="宋体"/>
          <w:color w:val="auto"/>
          <w:szCs w:val="24"/>
          <w:highlight w:val="none"/>
        </w:rPr>
        <w:t>日 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14:paraId="5B40A418">
      <w:pPr>
        <w:pageBreakBefore w:val="0"/>
        <w:topLinePunct w:val="0"/>
        <w:bidi w:val="0"/>
        <w:spacing w:line="500" w:lineRule="exact"/>
        <w:ind w:left="0" w:leftChars="0" w:right="0"/>
        <w:rPr>
          <w:rFonts w:hint="eastAsia" w:ascii="宋体" w:hAnsi="宋体" w:eastAsia="宋体" w:cs="宋体"/>
          <w:color w:val="auto"/>
          <w:sz w:val="24"/>
          <w:szCs w:val="24"/>
          <w:highlight w:val="none"/>
        </w:rPr>
      </w:pPr>
    </w:p>
    <w:p w14:paraId="72AACEEE">
      <w:pPr>
        <w:pageBreakBefore w:val="0"/>
        <w:topLinePunct w:val="0"/>
        <w:bidi w:val="0"/>
        <w:spacing w:line="500" w:lineRule="exact"/>
        <w:ind w:left="0" w:leftChars="0" w:right="0"/>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6BA28188">
      <w:pPr>
        <w:pStyle w:val="3"/>
        <w:pageBreakBefore w:val="0"/>
        <w:topLinePunct w:val="0"/>
        <w:bidi w:val="0"/>
        <w:spacing w:before="0" w:after="0" w:line="500" w:lineRule="exact"/>
        <w:ind w:left="0" w:leftChars="0" w:right="0"/>
        <w:jc w:val="center"/>
        <w:rPr>
          <w:rFonts w:hint="eastAsia" w:ascii="宋体" w:hAnsi="宋体" w:eastAsia="宋体" w:cs="宋体"/>
          <w:color w:val="auto"/>
          <w:highlight w:val="none"/>
          <w:lang w:val="en-US" w:eastAsia="zh-CN"/>
        </w:rPr>
      </w:pPr>
      <w:bookmarkStart w:id="544" w:name="_Toc459"/>
      <w:r>
        <w:rPr>
          <w:rFonts w:hint="eastAsia" w:ascii="宋体" w:hAnsi="宋体" w:eastAsia="宋体" w:cs="宋体"/>
          <w:color w:val="auto"/>
          <w:highlight w:val="none"/>
          <w:lang w:val="en-US" w:eastAsia="zh-CN"/>
        </w:rPr>
        <w:t>九、第二次报价表（最终报价表）</w:t>
      </w:r>
      <w:bookmarkEnd w:id="544"/>
    </w:p>
    <w:tbl>
      <w:tblPr>
        <w:tblStyle w:val="26"/>
        <w:tblW w:w="4997" w:type="pct"/>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059"/>
        <w:gridCol w:w="7896"/>
      </w:tblGrid>
      <w:tr w14:paraId="1323272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8" w:hRule="atLeast"/>
          <w:jc w:val="center"/>
        </w:trPr>
        <w:tc>
          <w:tcPr>
            <w:tcW w:w="1034" w:type="pct"/>
            <w:tcBorders>
              <w:bottom w:val="single" w:color="auto" w:sz="4" w:space="0"/>
            </w:tcBorders>
            <w:noWrap w:val="0"/>
            <w:vAlign w:val="center"/>
          </w:tcPr>
          <w:p w14:paraId="23659C16">
            <w:pPr>
              <w:pageBreakBefore w:val="0"/>
              <w:topLinePunct w:val="0"/>
              <w:bidi w:val="0"/>
              <w:spacing w:line="500" w:lineRule="exact"/>
              <w:ind w:left="0" w:leftChars="0" w:right="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采购项目名称</w:t>
            </w:r>
          </w:p>
        </w:tc>
        <w:tc>
          <w:tcPr>
            <w:tcW w:w="3965" w:type="pct"/>
            <w:noWrap w:val="0"/>
            <w:vAlign w:val="center"/>
          </w:tcPr>
          <w:p w14:paraId="570A32E4">
            <w:pPr>
              <w:pStyle w:val="2"/>
              <w:pageBreakBefore w:val="0"/>
              <w:topLinePunct w:val="0"/>
              <w:bidi w:val="0"/>
              <w:spacing w:before="0" w:after="0" w:line="500" w:lineRule="exact"/>
              <w:ind w:left="0" w:leftChars="0" w:right="0"/>
              <w:jc w:val="center"/>
              <w:outlineLvl w:val="9"/>
              <w:rPr>
                <w:rFonts w:hint="eastAsia" w:ascii="宋体" w:hAnsi="宋体" w:eastAsia="宋体" w:cs="宋体"/>
                <w:b w:val="0"/>
                <w:color w:val="auto"/>
                <w:kern w:val="2"/>
                <w:sz w:val="24"/>
                <w:szCs w:val="24"/>
                <w:highlight w:val="none"/>
                <w:lang w:val="en-US" w:eastAsia="zh-CN"/>
              </w:rPr>
            </w:pPr>
          </w:p>
        </w:tc>
      </w:tr>
      <w:tr w14:paraId="547EC97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10" w:hRule="atLeast"/>
          <w:jc w:val="center"/>
        </w:trPr>
        <w:tc>
          <w:tcPr>
            <w:tcW w:w="1034" w:type="pct"/>
            <w:tcBorders>
              <w:bottom w:val="single" w:color="auto" w:sz="4" w:space="0"/>
            </w:tcBorders>
            <w:noWrap w:val="0"/>
            <w:vAlign w:val="center"/>
          </w:tcPr>
          <w:p w14:paraId="5D4213FA">
            <w:pPr>
              <w:pageBreakBefore w:val="0"/>
              <w:topLinePunct w:val="0"/>
              <w:bidi w:val="0"/>
              <w:spacing w:line="500" w:lineRule="exact"/>
              <w:ind w:left="0" w:leftChars="0" w:right="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采购项目编号</w:t>
            </w:r>
          </w:p>
        </w:tc>
        <w:tc>
          <w:tcPr>
            <w:tcW w:w="3965" w:type="pct"/>
            <w:tcBorders>
              <w:bottom w:val="single" w:color="auto" w:sz="4" w:space="0"/>
            </w:tcBorders>
            <w:noWrap w:val="0"/>
            <w:vAlign w:val="center"/>
          </w:tcPr>
          <w:p w14:paraId="38B33E96">
            <w:pPr>
              <w:pageBreakBefore w:val="0"/>
              <w:topLinePunct w:val="0"/>
              <w:bidi w:val="0"/>
              <w:spacing w:line="500" w:lineRule="exact"/>
              <w:ind w:left="0" w:leftChars="0" w:right="0"/>
              <w:jc w:val="center"/>
              <w:rPr>
                <w:rFonts w:hint="eastAsia" w:ascii="宋体" w:hAnsi="宋体" w:eastAsia="宋体" w:cs="宋体"/>
                <w:bCs/>
                <w:color w:val="auto"/>
                <w:sz w:val="24"/>
                <w:szCs w:val="24"/>
                <w:highlight w:val="none"/>
              </w:rPr>
            </w:pPr>
          </w:p>
        </w:tc>
      </w:tr>
      <w:tr w14:paraId="58579C2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97" w:hRule="atLeast"/>
          <w:jc w:val="center"/>
        </w:trPr>
        <w:tc>
          <w:tcPr>
            <w:tcW w:w="1034" w:type="pct"/>
            <w:noWrap w:val="0"/>
            <w:vAlign w:val="center"/>
          </w:tcPr>
          <w:p w14:paraId="1F04A76C">
            <w:pPr>
              <w:pageBreakBefore w:val="0"/>
              <w:topLinePunct w:val="0"/>
              <w:bidi w:val="0"/>
              <w:spacing w:line="500" w:lineRule="exact"/>
              <w:ind w:left="0" w:leftChars="0" w:right="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供应商名称</w:t>
            </w:r>
          </w:p>
          <w:p w14:paraId="36CEAFD9">
            <w:pPr>
              <w:pageBreakBefore w:val="0"/>
              <w:topLinePunct w:val="0"/>
              <w:bidi w:val="0"/>
              <w:spacing w:line="500" w:lineRule="exact"/>
              <w:ind w:left="0" w:leftChars="0" w:right="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(单位名称)</w:t>
            </w:r>
          </w:p>
        </w:tc>
        <w:tc>
          <w:tcPr>
            <w:tcW w:w="3965" w:type="pct"/>
            <w:noWrap w:val="0"/>
            <w:vAlign w:val="center"/>
          </w:tcPr>
          <w:p w14:paraId="0F14BA5A">
            <w:pPr>
              <w:pageBreakBefore w:val="0"/>
              <w:topLinePunct w:val="0"/>
              <w:bidi w:val="0"/>
              <w:spacing w:line="500" w:lineRule="exact"/>
              <w:ind w:left="0" w:leftChars="0" w:right="0"/>
              <w:jc w:val="center"/>
              <w:rPr>
                <w:rFonts w:hint="eastAsia" w:ascii="宋体" w:hAnsi="宋体" w:eastAsia="宋体" w:cs="宋体"/>
                <w:b/>
                <w:bCs/>
                <w:color w:val="auto"/>
                <w:sz w:val="24"/>
                <w:szCs w:val="24"/>
                <w:highlight w:val="none"/>
              </w:rPr>
            </w:pPr>
          </w:p>
        </w:tc>
      </w:tr>
      <w:tr w14:paraId="4BB43CC1">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320" w:hRule="atLeast"/>
          <w:jc w:val="center"/>
        </w:trPr>
        <w:tc>
          <w:tcPr>
            <w:tcW w:w="1034" w:type="pct"/>
            <w:noWrap w:val="0"/>
            <w:vAlign w:val="center"/>
          </w:tcPr>
          <w:p w14:paraId="686B442B">
            <w:pPr>
              <w:pageBreakBefore w:val="0"/>
              <w:topLinePunct w:val="0"/>
              <w:bidi w:val="0"/>
              <w:spacing w:line="500" w:lineRule="exact"/>
              <w:ind w:left="0" w:leftChars="0" w:right="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磋商</w:t>
            </w:r>
            <w:r>
              <w:rPr>
                <w:rFonts w:hint="eastAsia" w:ascii="宋体" w:hAnsi="宋体" w:eastAsia="宋体" w:cs="宋体"/>
                <w:b/>
                <w:bCs/>
                <w:color w:val="auto"/>
                <w:sz w:val="24"/>
                <w:szCs w:val="24"/>
                <w:highlight w:val="none"/>
              </w:rPr>
              <w:t>报价</w:t>
            </w:r>
          </w:p>
        </w:tc>
        <w:tc>
          <w:tcPr>
            <w:tcW w:w="3965" w:type="pct"/>
            <w:noWrap w:val="0"/>
            <w:vAlign w:val="center"/>
          </w:tcPr>
          <w:p w14:paraId="3FC44F70">
            <w:pPr>
              <w:pageBreakBefore w:val="0"/>
              <w:topLinePunct w:val="0"/>
              <w:bidi w:val="0"/>
              <w:spacing w:line="500" w:lineRule="exact"/>
              <w:ind w:left="0" w:leftChars="0" w:right="0"/>
              <w:jc w:val="both"/>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人 民 币（大写）：</w:t>
            </w:r>
            <w:r>
              <w:rPr>
                <w:rFonts w:hint="eastAsia" w:ascii="宋体" w:hAnsi="宋体" w:eastAsia="宋体" w:cs="宋体"/>
                <w:b/>
                <w:bCs/>
                <w:color w:val="auto"/>
                <w:sz w:val="24"/>
                <w:szCs w:val="24"/>
                <w:highlight w:val="none"/>
                <w:u w:val="single"/>
              </w:rPr>
              <w:t xml:space="preserve">                  </w:t>
            </w:r>
          </w:p>
          <w:p w14:paraId="6355B207">
            <w:pPr>
              <w:pageBreakBefore w:val="0"/>
              <w:topLinePunct w:val="0"/>
              <w:bidi w:val="0"/>
              <w:spacing w:line="500" w:lineRule="exact"/>
              <w:ind w:left="0" w:leftChars="0" w:right="0"/>
              <w:jc w:val="both"/>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人 民 币（小写）：</w:t>
            </w:r>
            <w:r>
              <w:rPr>
                <w:rFonts w:hint="eastAsia" w:ascii="宋体" w:hAnsi="宋体" w:eastAsia="宋体" w:cs="宋体"/>
                <w:b/>
                <w:bCs/>
                <w:color w:val="auto"/>
                <w:sz w:val="24"/>
                <w:szCs w:val="24"/>
                <w:highlight w:val="none"/>
                <w:u w:val="single"/>
              </w:rPr>
              <w:t xml:space="preserve">                 </w:t>
            </w:r>
            <w:r>
              <w:rPr>
                <w:rFonts w:hint="eastAsia" w:ascii="宋体" w:hAnsi="宋体" w:eastAsia="宋体" w:cs="宋体"/>
                <w:b/>
                <w:bCs/>
                <w:color w:val="auto"/>
                <w:sz w:val="24"/>
                <w:szCs w:val="24"/>
                <w:highlight w:val="none"/>
              </w:rPr>
              <w:t xml:space="preserve"> 元 </w:t>
            </w:r>
          </w:p>
        </w:tc>
      </w:tr>
      <w:tr w14:paraId="290AE92A">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1034" w:type="pct"/>
            <w:noWrap w:val="0"/>
            <w:vAlign w:val="center"/>
          </w:tcPr>
          <w:p w14:paraId="7E330542">
            <w:pPr>
              <w:pageBreakBefore w:val="0"/>
              <w:topLinePunct w:val="0"/>
              <w:bidi w:val="0"/>
              <w:spacing w:line="500" w:lineRule="exact"/>
              <w:ind w:left="0" w:leftChars="0" w:right="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服务期</w:t>
            </w:r>
          </w:p>
        </w:tc>
        <w:tc>
          <w:tcPr>
            <w:tcW w:w="3965" w:type="pct"/>
            <w:noWrap w:val="0"/>
            <w:vAlign w:val="center"/>
          </w:tcPr>
          <w:p w14:paraId="4A2FC79E">
            <w:pPr>
              <w:pageBreakBefore w:val="0"/>
              <w:topLinePunct w:val="0"/>
              <w:bidi w:val="0"/>
              <w:spacing w:line="500" w:lineRule="exact"/>
              <w:ind w:left="0" w:leftChars="0" w:right="0"/>
              <w:jc w:val="center"/>
              <w:rPr>
                <w:rFonts w:hint="eastAsia" w:ascii="宋体" w:hAnsi="宋体" w:eastAsia="宋体" w:cs="宋体"/>
                <w:b/>
                <w:bCs/>
                <w:color w:val="auto"/>
                <w:sz w:val="24"/>
                <w:szCs w:val="24"/>
                <w:highlight w:val="none"/>
              </w:rPr>
            </w:pPr>
          </w:p>
        </w:tc>
      </w:tr>
      <w:tr w14:paraId="2AFD172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1034" w:type="pct"/>
            <w:noWrap w:val="0"/>
            <w:vAlign w:val="center"/>
          </w:tcPr>
          <w:p w14:paraId="09D1E68A">
            <w:pPr>
              <w:pageBreakBefore w:val="0"/>
              <w:topLinePunct w:val="0"/>
              <w:bidi w:val="0"/>
              <w:spacing w:line="500" w:lineRule="exact"/>
              <w:ind w:left="0" w:leftChars="0" w:right="0"/>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质量标准</w:t>
            </w:r>
          </w:p>
        </w:tc>
        <w:tc>
          <w:tcPr>
            <w:tcW w:w="3965" w:type="pct"/>
            <w:noWrap w:val="0"/>
            <w:vAlign w:val="center"/>
          </w:tcPr>
          <w:p w14:paraId="47785E10">
            <w:pPr>
              <w:pageBreakBefore w:val="0"/>
              <w:topLinePunct w:val="0"/>
              <w:bidi w:val="0"/>
              <w:spacing w:line="500" w:lineRule="exact"/>
              <w:ind w:left="0" w:leftChars="0" w:right="0"/>
              <w:jc w:val="center"/>
              <w:rPr>
                <w:rFonts w:hint="eastAsia" w:ascii="宋体" w:hAnsi="宋体" w:eastAsia="宋体" w:cs="宋体"/>
                <w:b/>
                <w:bCs/>
                <w:color w:val="auto"/>
                <w:sz w:val="24"/>
                <w:szCs w:val="24"/>
                <w:highlight w:val="none"/>
              </w:rPr>
            </w:pPr>
          </w:p>
        </w:tc>
      </w:tr>
      <w:tr w14:paraId="22E528B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Ex>
        <w:trPr>
          <w:trHeight w:val="827" w:hRule="atLeast"/>
          <w:jc w:val="center"/>
        </w:trPr>
        <w:tc>
          <w:tcPr>
            <w:tcW w:w="1034" w:type="pct"/>
            <w:noWrap w:val="0"/>
            <w:vAlign w:val="center"/>
          </w:tcPr>
          <w:p w14:paraId="668A50CB">
            <w:pPr>
              <w:pageBreakBefore w:val="0"/>
              <w:topLinePunct w:val="0"/>
              <w:bidi w:val="0"/>
              <w:spacing w:line="500" w:lineRule="exact"/>
              <w:ind w:left="0" w:leftChars="0" w:right="0"/>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其他声明</w:t>
            </w:r>
          </w:p>
        </w:tc>
        <w:tc>
          <w:tcPr>
            <w:tcW w:w="3965" w:type="pct"/>
            <w:noWrap w:val="0"/>
            <w:vAlign w:val="center"/>
          </w:tcPr>
          <w:p w14:paraId="3A5FDF27">
            <w:pPr>
              <w:pageBreakBefore w:val="0"/>
              <w:topLinePunct w:val="0"/>
              <w:bidi w:val="0"/>
              <w:spacing w:line="500" w:lineRule="exact"/>
              <w:ind w:left="0" w:leftChars="0" w:right="0"/>
              <w:jc w:val="center"/>
              <w:rPr>
                <w:rFonts w:hint="eastAsia" w:ascii="宋体" w:hAnsi="宋体" w:eastAsia="宋体" w:cs="宋体"/>
                <w:b/>
                <w:bCs/>
                <w:color w:val="auto"/>
                <w:sz w:val="24"/>
                <w:szCs w:val="24"/>
                <w:highlight w:val="none"/>
              </w:rPr>
            </w:pPr>
          </w:p>
        </w:tc>
      </w:tr>
    </w:tbl>
    <w:p w14:paraId="642AF8A0">
      <w:pPr>
        <w:pageBreakBefore w:val="0"/>
        <w:topLinePunct w:val="0"/>
        <w:bidi w:val="0"/>
        <w:spacing w:line="500" w:lineRule="exact"/>
        <w:ind w:left="0" w:leftChars="0" w:right="0"/>
        <w:rPr>
          <w:rFonts w:hint="eastAsia" w:ascii="宋体" w:hAnsi="宋体" w:eastAsia="宋体" w:cs="宋体"/>
          <w:color w:val="auto"/>
          <w:sz w:val="24"/>
          <w:szCs w:val="24"/>
          <w:highlight w:val="none"/>
        </w:rPr>
      </w:pPr>
      <w:r>
        <w:rPr>
          <w:rFonts w:hint="eastAsia" w:ascii="宋体" w:hAnsi="宋体" w:eastAsia="宋体" w:cs="宋体"/>
          <w:color w:val="auto"/>
          <w:sz w:val="24"/>
          <w:lang w:val="en-US" w:eastAsia="zh-CN"/>
        </w:rPr>
        <w:t>注：第二次报价表（最终报价表）不装入磋商响应文件中，谈判结束后所有继续参加谈判的供应商，按磋商小组要求在规定的时间内统一提交。“第二次报价表（最终报价表）”和第二次分项报价表须自行准备。</w:t>
      </w:r>
    </w:p>
    <w:p w14:paraId="7A4531C4">
      <w:pPr>
        <w:pageBreakBefore w:val="0"/>
        <w:topLinePunct w:val="0"/>
        <w:bidi w:val="0"/>
        <w:spacing w:line="500" w:lineRule="exact"/>
        <w:ind w:left="0" w:leftChars="0" w:right="0" w:firstLine="480" w:firstLineChars="200"/>
        <w:rPr>
          <w:rFonts w:hint="eastAsia" w:ascii="宋体" w:hAnsi="宋体" w:eastAsia="宋体" w:cs="宋体"/>
          <w:color w:val="auto"/>
          <w:sz w:val="24"/>
          <w:szCs w:val="24"/>
          <w:highlight w:val="none"/>
        </w:rPr>
      </w:pPr>
    </w:p>
    <w:p w14:paraId="667947ED">
      <w:pPr>
        <w:pageBreakBefore w:val="0"/>
        <w:topLinePunct w:val="0"/>
        <w:bidi w:val="0"/>
        <w:spacing w:line="500" w:lineRule="exact"/>
        <w:ind w:left="0" w:leftChars="0" w:right="0" w:firstLine="480" w:firstLineChars="200"/>
        <w:rPr>
          <w:rFonts w:hint="eastAsia" w:ascii="宋体" w:hAnsi="宋体" w:eastAsia="宋体" w:cs="宋体"/>
          <w:color w:val="auto"/>
          <w:sz w:val="24"/>
          <w:szCs w:val="24"/>
          <w:highlight w:val="none"/>
        </w:rPr>
      </w:pPr>
    </w:p>
    <w:p w14:paraId="23054A15">
      <w:pPr>
        <w:pageBreakBefore w:val="0"/>
        <w:topLinePunct w:val="0"/>
        <w:bidi w:val="0"/>
        <w:spacing w:line="500" w:lineRule="exact"/>
        <w:ind w:left="0" w:leftChars="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(公章):</w:t>
      </w:r>
    </w:p>
    <w:p w14:paraId="4ABA9AEA">
      <w:pPr>
        <w:pageBreakBefore w:val="0"/>
        <w:topLinePunct w:val="0"/>
        <w:bidi w:val="0"/>
        <w:spacing w:line="500" w:lineRule="exact"/>
        <w:ind w:left="0" w:leftChars="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rPr>
        <w:t>授权代表人</w:t>
      </w:r>
      <w:r>
        <w:rPr>
          <w:rFonts w:hint="eastAsia" w:ascii="宋体" w:hAnsi="宋体" w:eastAsia="宋体" w:cs="宋体"/>
          <w:color w:val="auto"/>
          <w:szCs w:val="24"/>
          <w:highlight w:val="none"/>
          <w:lang w:val="zh-CN"/>
        </w:rPr>
        <w:t>（签字或盖章）</w:t>
      </w:r>
      <w:r>
        <w:rPr>
          <w:rFonts w:hint="eastAsia" w:ascii="宋体" w:hAnsi="宋体" w:eastAsia="宋体" w:cs="宋体"/>
          <w:color w:val="auto"/>
          <w:sz w:val="24"/>
          <w:szCs w:val="24"/>
          <w:highlight w:val="none"/>
        </w:rPr>
        <w:t>：</w:t>
      </w:r>
    </w:p>
    <w:p w14:paraId="1AD4762D">
      <w:pPr>
        <w:pageBreakBefore w:val="0"/>
        <w:topLinePunct w:val="0"/>
        <w:bidi w:val="0"/>
        <w:spacing w:line="500" w:lineRule="exact"/>
        <w:ind w:left="0" w:leftChars="0" w:right="0"/>
        <w:rPr>
          <w:rFonts w:hint="eastAsia" w:ascii="宋体" w:hAnsi="宋体" w:eastAsia="宋体" w:cs="宋体"/>
          <w:color w:val="auto"/>
          <w:sz w:val="24"/>
          <w:szCs w:val="24"/>
          <w:highlight w:val="none"/>
        </w:rPr>
      </w:pPr>
    </w:p>
    <w:p w14:paraId="57B1FA36">
      <w:pPr>
        <w:pageBreakBefore w:val="0"/>
        <w:wordWrap w:val="0"/>
        <w:topLinePunct w:val="0"/>
        <w:bidi w:val="0"/>
        <w:spacing w:line="500" w:lineRule="exact"/>
        <w:ind w:left="0" w:leftChars="0" w:right="0" w:firstLine="957" w:firstLineChars="399"/>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月     日</w:t>
      </w:r>
    </w:p>
    <w:bookmarkEnd w:id="470"/>
    <w:p w14:paraId="2785DF98">
      <w:pPr>
        <w:keepNext w:val="0"/>
        <w:keepLines w:val="0"/>
        <w:pageBreakBefore w:val="0"/>
        <w:widowControl w:val="0"/>
        <w:kinsoku/>
        <w:wordWrap/>
        <w:overflowPunct/>
        <w:topLinePunct w:val="0"/>
        <w:autoSpaceDE/>
        <w:autoSpaceDN/>
        <w:bidi w:val="0"/>
        <w:adjustRightInd/>
        <w:snapToGrid/>
        <w:spacing w:line="500" w:lineRule="exact"/>
        <w:ind w:left="0" w:leftChars="0" w:right="0"/>
        <w:jc w:val="center"/>
        <w:textAlignment w:val="auto"/>
        <w:rPr>
          <w:rFonts w:hint="eastAsia" w:ascii="宋体" w:hAnsi="宋体" w:eastAsia="宋体" w:cs="宋体"/>
          <w:b/>
          <w:bCs/>
          <w:color w:val="auto"/>
          <w:sz w:val="32"/>
          <w:szCs w:val="32"/>
          <w:highlight w:val="none"/>
          <w:lang w:val="en-US" w:eastAsia="zh-CN"/>
        </w:rPr>
        <w:sectPr>
          <w:pgSz w:w="11905" w:h="16838"/>
          <w:pgMar w:top="1440" w:right="1080" w:bottom="1440" w:left="1080" w:header="1134" w:footer="1134" w:gutter="0"/>
          <w:pgBorders>
            <w:top w:val="none" w:sz="0" w:space="0"/>
            <w:left w:val="none" w:sz="0" w:space="0"/>
            <w:bottom w:val="none" w:sz="0" w:space="0"/>
            <w:right w:val="none" w:sz="0" w:space="0"/>
          </w:pgBorders>
          <w:pgNumType w:fmt="decimal"/>
          <w:cols w:space="0" w:num="1"/>
          <w:titlePg/>
          <w:docGrid w:linePitch="312" w:charSpace="0"/>
        </w:sectPr>
      </w:pPr>
    </w:p>
    <w:p w14:paraId="57ECAF3F">
      <w:pPr>
        <w:pageBreakBefore w:val="0"/>
        <w:topLinePunct w:val="0"/>
        <w:bidi w:val="0"/>
        <w:adjustRightInd w:val="0"/>
        <w:snapToGrid w:val="0"/>
        <w:spacing w:line="500" w:lineRule="exact"/>
        <w:ind w:left="0" w:leftChars="0" w:right="0"/>
        <w:jc w:val="center"/>
        <w:outlineLvl w:val="0"/>
        <w:rPr>
          <w:rFonts w:hint="eastAsia" w:ascii="宋体" w:hAnsi="宋体" w:eastAsia="宋体" w:cs="宋体"/>
          <w:b/>
          <w:bCs/>
          <w:color w:val="000000"/>
          <w:sz w:val="28"/>
          <w:szCs w:val="24"/>
        </w:rPr>
      </w:pPr>
      <w:bookmarkStart w:id="545" w:name="_Toc14455"/>
      <w:bookmarkStart w:id="546" w:name="_Toc10139"/>
      <w:bookmarkStart w:id="547" w:name="_Toc20189"/>
      <w:r>
        <w:rPr>
          <w:rFonts w:hint="eastAsia" w:ascii="宋体" w:hAnsi="宋体" w:eastAsia="宋体" w:cs="宋体"/>
          <w:b/>
          <w:bCs/>
          <w:color w:val="000000"/>
          <w:sz w:val="28"/>
          <w:szCs w:val="24"/>
        </w:rPr>
        <w:t>关于信用承诺网上公示的通知及操作指南</w:t>
      </w:r>
      <w:bookmarkEnd w:id="545"/>
      <w:bookmarkEnd w:id="546"/>
      <w:bookmarkEnd w:id="547"/>
    </w:p>
    <w:p w14:paraId="6B1905C0">
      <w:pPr>
        <w:pStyle w:val="11"/>
        <w:pageBreakBefore w:val="0"/>
        <w:topLinePunct w:val="0"/>
        <w:bidi w:val="0"/>
        <w:spacing w:line="500" w:lineRule="exact"/>
        <w:ind w:left="0" w:leftChars="0" w:right="0" w:firstLine="0"/>
        <w:jc w:val="center"/>
        <w:rPr>
          <w:rFonts w:hint="eastAsia" w:ascii="宋体" w:hAnsi="宋体" w:eastAsia="宋体" w:cs="宋体"/>
          <w:color w:val="000000"/>
        </w:rPr>
      </w:pPr>
      <w:r>
        <w:rPr>
          <w:rFonts w:hint="eastAsia" w:ascii="宋体" w:hAnsi="宋体" w:eastAsia="宋体" w:cs="宋体"/>
          <w:color w:val="000000"/>
        </w:rPr>
        <w:drawing>
          <wp:anchor distT="0" distB="0" distL="114300" distR="114300" simplePos="0" relativeHeight="251659264" behindDoc="0" locked="0" layoutInCell="1" allowOverlap="1">
            <wp:simplePos x="0" y="0"/>
            <wp:positionH relativeFrom="column">
              <wp:posOffset>454660</wp:posOffset>
            </wp:positionH>
            <wp:positionV relativeFrom="paragraph">
              <wp:posOffset>132715</wp:posOffset>
            </wp:positionV>
            <wp:extent cx="5298440" cy="7381240"/>
            <wp:effectExtent l="0" t="0" r="16510" b="10160"/>
            <wp:wrapSquare wrapText="bothSides"/>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2"/>
                    <a:stretch>
                      <a:fillRect/>
                    </a:stretch>
                  </pic:blipFill>
                  <pic:spPr>
                    <a:xfrm>
                      <a:off x="0" y="0"/>
                      <a:ext cx="5298440" cy="7381240"/>
                    </a:xfrm>
                    <a:prstGeom prst="rect">
                      <a:avLst/>
                    </a:prstGeom>
                    <a:noFill/>
                    <a:ln>
                      <a:noFill/>
                    </a:ln>
                  </pic:spPr>
                </pic:pic>
              </a:graphicData>
            </a:graphic>
          </wp:anchor>
        </w:drawing>
      </w:r>
    </w:p>
    <w:p w14:paraId="55168AC8">
      <w:pPr>
        <w:pStyle w:val="11"/>
        <w:pageBreakBefore w:val="0"/>
        <w:topLinePunct w:val="0"/>
        <w:bidi w:val="0"/>
        <w:spacing w:line="500" w:lineRule="exact"/>
        <w:ind w:left="0" w:leftChars="0" w:right="0" w:firstLine="0"/>
        <w:jc w:val="center"/>
        <w:rPr>
          <w:rFonts w:hint="eastAsia" w:ascii="宋体" w:hAnsi="宋体" w:eastAsia="宋体" w:cs="宋体"/>
          <w:color w:val="000000"/>
        </w:rPr>
        <w:sectPr>
          <w:headerReference r:id="rId9" w:type="default"/>
          <w:footerReference r:id="rId10" w:type="default"/>
          <w:pgSz w:w="11906" w:h="16838"/>
          <w:pgMar w:top="1440" w:right="1080" w:bottom="1440" w:left="1080" w:header="850" w:footer="992" w:gutter="0"/>
          <w:pgNumType w:fmt="decimal"/>
          <w:cols w:space="720" w:num="1"/>
          <w:rtlGutter w:val="0"/>
          <w:docGrid w:type="lines" w:linePitch="324" w:charSpace="0"/>
        </w:sectPr>
      </w:pPr>
    </w:p>
    <w:p w14:paraId="0D06A5EB">
      <w:pPr>
        <w:pageBreakBefore w:val="0"/>
        <w:topLinePunct w:val="0"/>
        <w:bidi w:val="0"/>
        <w:spacing w:line="500" w:lineRule="exact"/>
        <w:ind w:left="0" w:leftChars="0" w:right="0"/>
        <w:jc w:val="center"/>
        <w:rPr>
          <w:rFonts w:hint="eastAsia" w:ascii="宋体" w:hAnsi="宋体" w:eastAsia="宋体" w:cs="宋体"/>
          <w:color w:val="000000"/>
        </w:rPr>
      </w:pPr>
      <w:bookmarkStart w:id="548" w:name="_Toc19081"/>
      <w:bookmarkStart w:id="549" w:name="_Toc19086"/>
      <w:bookmarkStart w:id="550" w:name="_Toc19281"/>
      <w:r>
        <w:rPr>
          <w:rFonts w:hint="eastAsia" w:ascii="宋体" w:hAnsi="宋体" w:eastAsia="宋体" w:cs="宋体"/>
          <w:color w:val="000000"/>
        </w:rPr>
        <w:drawing>
          <wp:anchor distT="0" distB="0" distL="114300" distR="114300" simplePos="0" relativeHeight="251660288" behindDoc="0" locked="0" layoutInCell="1" allowOverlap="1">
            <wp:simplePos x="0" y="0"/>
            <wp:positionH relativeFrom="column">
              <wp:posOffset>25400</wp:posOffset>
            </wp:positionH>
            <wp:positionV relativeFrom="paragraph">
              <wp:posOffset>76200</wp:posOffset>
            </wp:positionV>
            <wp:extent cx="6152515" cy="8237855"/>
            <wp:effectExtent l="0" t="0" r="635" b="10795"/>
            <wp:wrapSquare wrapText="bothSides"/>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3"/>
                    <a:stretch>
                      <a:fillRect/>
                    </a:stretch>
                  </pic:blipFill>
                  <pic:spPr>
                    <a:xfrm>
                      <a:off x="0" y="0"/>
                      <a:ext cx="6152515" cy="8237855"/>
                    </a:xfrm>
                    <a:prstGeom prst="rect">
                      <a:avLst/>
                    </a:prstGeom>
                    <a:noFill/>
                    <a:ln>
                      <a:noFill/>
                    </a:ln>
                  </pic:spPr>
                </pic:pic>
              </a:graphicData>
            </a:graphic>
          </wp:anchor>
        </w:drawing>
      </w:r>
    </w:p>
    <w:p w14:paraId="7E58009C">
      <w:pPr>
        <w:pageBreakBefore w:val="0"/>
        <w:topLinePunct w:val="0"/>
        <w:bidi w:val="0"/>
        <w:spacing w:line="500" w:lineRule="exact"/>
        <w:ind w:left="0" w:leftChars="0" w:right="0"/>
        <w:jc w:val="center"/>
        <w:rPr>
          <w:rFonts w:hint="eastAsia" w:ascii="宋体" w:hAnsi="宋体" w:eastAsia="宋体" w:cs="宋体"/>
          <w:color w:val="000000"/>
        </w:rPr>
      </w:pPr>
      <w:r>
        <w:rPr>
          <w:rFonts w:hint="eastAsia" w:ascii="宋体" w:hAnsi="宋体" w:eastAsia="宋体" w:cs="宋体"/>
          <w:color w:val="000000"/>
        </w:rPr>
        <w:drawing>
          <wp:anchor distT="0" distB="0" distL="114300" distR="114300" simplePos="0" relativeHeight="251661312" behindDoc="0" locked="0" layoutInCell="1" allowOverlap="1">
            <wp:simplePos x="0" y="0"/>
            <wp:positionH relativeFrom="column">
              <wp:posOffset>48260</wp:posOffset>
            </wp:positionH>
            <wp:positionV relativeFrom="paragraph">
              <wp:posOffset>-20320</wp:posOffset>
            </wp:positionV>
            <wp:extent cx="5537200" cy="7781290"/>
            <wp:effectExtent l="0" t="0" r="6350" b="10160"/>
            <wp:wrapSquare wrapText="bothSides"/>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4"/>
                    <a:stretch>
                      <a:fillRect/>
                    </a:stretch>
                  </pic:blipFill>
                  <pic:spPr>
                    <a:xfrm>
                      <a:off x="0" y="0"/>
                      <a:ext cx="5537200" cy="7781290"/>
                    </a:xfrm>
                    <a:prstGeom prst="rect">
                      <a:avLst/>
                    </a:prstGeom>
                    <a:noFill/>
                    <a:ln>
                      <a:noFill/>
                    </a:ln>
                  </pic:spPr>
                </pic:pic>
              </a:graphicData>
            </a:graphic>
          </wp:anchor>
        </w:drawing>
      </w:r>
    </w:p>
    <w:p w14:paraId="0C3FC669">
      <w:pPr>
        <w:pageBreakBefore w:val="0"/>
        <w:topLinePunct w:val="0"/>
        <w:bidi w:val="0"/>
        <w:spacing w:line="500" w:lineRule="exact"/>
        <w:ind w:left="0" w:leftChars="0" w:right="0"/>
        <w:jc w:val="center"/>
        <w:rPr>
          <w:rFonts w:hint="eastAsia" w:ascii="宋体" w:hAnsi="宋体" w:eastAsia="宋体" w:cs="宋体"/>
          <w:color w:val="000000"/>
        </w:rPr>
      </w:pPr>
    </w:p>
    <w:p w14:paraId="35952454">
      <w:pPr>
        <w:pageBreakBefore w:val="0"/>
        <w:topLinePunct w:val="0"/>
        <w:bidi w:val="0"/>
        <w:spacing w:line="500" w:lineRule="exact"/>
        <w:ind w:left="0" w:leftChars="0" w:right="0"/>
        <w:jc w:val="center"/>
        <w:rPr>
          <w:rFonts w:hint="eastAsia" w:ascii="宋体" w:hAnsi="宋体" w:eastAsia="宋体" w:cs="宋体"/>
          <w:color w:val="000000"/>
        </w:rPr>
      </w:pPr>
    </w:p>
    <w:p w14:paraId="28F58ABD">
      <w:pPr>
        <w:pageBreakBefore w:val="0"/>
        <w:topLinePunct w:val="0"/>
        <w:bidi w:val="0"/>
        <w:spacing w:line="500" w:lineRule="exact"/>
        <w:ind w:left="0" w:leftChars="0" w:right="0"/>
        <w:jc w:val="center"/>
        <w:rPr>
          <w:rFonts w:hint="eastAsia" w:ascii="宋体" w:hAnsi="宋体" w:eastAsia="宋体" w:cs="宋体"/>
          <w:color w:val="000000"/>
        </w:rPr>
      </w:pPr>
    </w:p>
    <w:p w14:paraId="435F4540">
      <w:pPr>
        <w:pageBreakBefore w:val="0"/>
        <w:topLinePunct w:val="0"/>
        <w:bidi w:val="0"/>
        <w:spacing w:line="500" w:lineRule="exact"/>
        <w:ind w:left="0" w:leftChars="0" w:right="0"/>
        <w:jc w:val="center"/>
        <w:rPr>
          <w:rFonts w:hint="eastAsia" w:ascii="宋体" w:hAnsi="宋体" w:eastAsia="宋体" w:cs="宋体"/>
          <w:color w:val="000000"/>
        </w:rPr>
      </w:pPr>
    </w:p>
    <w:p w14:paraId="6FA2AA03">
      <w:pPr>
        <w:pageBreakBefore w:val="0"/>
        <w:topLinePunct w:val="0"/>
        <w:bidi w:val="0"/>
        <w:spacing w:line="500" w:lineRule="exact"/>
        <w:ind w:left="0" w:leftChars="0" w:right="0"/>
        <w:jc w:val="center"/>
        <w:rPr>
          <w:rFonts w:hint="eastAsia" w:ascii="宋体" w:hAnsi="宋体" w:eastAsia="宋体" w:cs="宋体"/>
          <w:color w:val="000000"/>
        </w:rPr>
      </w:pPr>
    </w:p>
    <w:p w14:paraId="4331B4F5">
      <w:pPr>
        <w:pageBreakBefore w:val="0"/>
        <w:topLinePunct w:val="0"/>
        <w:bidi w:val="0"/>
        <w:spacing w:line="500" w:lineRule="exact"/>
        <w:ind w:left="0" w:leftChars="0" w:right="0"/>
        <w:jc w:val="center"/>
        <w:rPr>
          <w:rFonts w:hint="eastAsia" w:ascii="宋体" w:hAnsi="宋体" w:eastAsia="宋体" w:cs="宋体"/>
          <w:color w:val="000000"/>
        </w:rPr>
      </w:pPr>
    </w:p>
    <w:p w14:paraId="64B9E0E9">
      <w:pPr>
        <w:pageBreakBefore w:val="0"/>
        <w:topLinePunct w:val="0"/>
        <w:bidi w:val="0"/>
        <w:spacing w:line="500" w:lineRule="exact"/>
        <w:ind w:left="0" w:leftChars="0" w:right="0"/>
        <w:jc w:val="center"/>
        <w:rPr>
          <w:rFonts w:hint="eastAsia" w:ascii="宋体" w:hAnsi="宋体" w:eastAsia="宋体" w:cs="宋体"/>
          <w:color w:val="000000"/>
        </w:rPr>
      </w:pPr>
    </w:p>
    <w:p w14:paraId="11C68ED1">
      <w:pPr>
        <w:pageBreakBefore w:val="0"/>
        <w:topLinePunct w:val="0"/>
        <w:bidi w:val="0"/>
        <w:spacing w:line="500" w:lineRule="exact"/>
        <w:ind w:left="0" w:leftChars="0" w:right="0"/>
        <w:jc w:val="center"/>
        <w:rPr>
          <w:rFonts w:hint="eastAsia" w:ascii="宋体" w:hAnsi="宋体" w:eastAsia="宋体" w:cs="宋体"/>
          <w:color w:val="000000"/>
        </w:rPr>
      </w:pPr>
    </w:p>
    <w:p w14:paraId="48C87784">
      <w:pPr>
        <w:pageBreakBefore w:val="0"/>
        <w:topLinePunct w:val="0"/>
        <w:bidi w:val="0"/>
        <w:spacing w:line="500" w:lineRule="exact"/>
        <w:ind w:left="0" w:leftChars="0" w:right="0"/>
        <w:jc w:val="center"/>
        <w:rPr>
          <w:rFonts w:hint="eastAsia" w:ascii="宋体" w:hAnsi="宋体" w:eastAsia="宋体" w:cs="宋体"/>
          <w:color w:val="000000"/>
        </w:rPr>
      </w:pPr>
    </w:p>
    <w:p w14:paraId="4CDE8FDA">
      <w:pPr>
        <w:pageBreakBefore w:val="0"/>
        <w:topLinePunct w:val="0"/>
        <w:bidi w:val="0"/>
        <w:spacing w:line="500" w:lineRule="exact"/>
        <w:ind w:left="0" w:leftChars="0" w:right="0"/>
        <w:jc w:val="center"/>
        <w:rPr>
          <w:rFonts w:hint="eastAsia" w:ascii="宋体" w:hAnsi="宋体" w:eastAsia="宋体" w:cs="宋体"/>
          <w:color w:val="000000"/>
        </w:rPr>
      </w:pPr>
    </w:p>
    <w:p w14:paraId="7571A0B9">
      <w:pPr>
        <w:pageBreakBefore w:val="0"/>
        <w:topLinePunct w:val="0"/>
        <w:bidi w:val="0"/>
        <w:spacing w:line="500" w:lineRule="exact"/>
        <w:ind w:left="0" w:leftChars="0" w:right="0"/>
        <w:jc w:val="center"/>
        <w:rPr>
          <w:rFonts w:hint="eastAsia" w:ascii="宋体" w:hAnsi="宋体" w:eastAsia="宋体" w:cs="宋体"/>
          <w:color w:val="000000"/>
        </w:rPr>
      </w:pPr>
    </w:p>
    <w:p w14:paraId="6C912823">
      <w:pPr>
        <w:pageBreakBefore w:val="0"/>
        <w:topLinePunct w:val="0"/>
        <w:bidi w:val="0"/>
        <w:spacing w:line="500" w:lineRule="exact"/>
        <w:ind w:left="0" w:leftChars="0" w:right="0"/>
        <w:jc w:val="center"/>
        <w:rPr>
          <w:rFonts w:hint="eastAsia" w:ascii="宋体" w:hAnsi="宋体" w:eastAsia="宋体" w:cs="宋体"/>
          <w:color w:val="000000"/>
        </w:rPr>
      </w:pPr>
    </w:p>
    <w:p w14:paraId="145AD44D">
      <w:pPr>
        <w:pageBreakBefore w:val="0"/>
        <w:topLinePunct w:val="0"/>
        <w:bidi w:val="0"/>
        <w:spacing w:line="500" w:lineRule="exact"/>
        <w:ind w:left="0" w:leftChars="0" w:right="0"/>
        <w:jc w:val="center"/>
        <w:rPr>
          <w:rFonts w:hint="eastAsia" w:ascii="宋体" w:hAnsi="宋体" w:eastAsia="宋体" w:cs="宋体"/>
          <w:color w:val="000000"/>
        </w:rPr>
      </w:pPr>
    </w:p>
    <w:p w14:paraId="134C0F59">
      <w:pPr>
        <w:pageBreakBefore w:val="0"/>
        <w:topLinePunct w:val="0"/>
        <w:bidi w:val="0"/>
        <w:spacing w:line="500" w:lineRule="exact"/>
        <w:ind w:left="0" w:leftChars="0" w:right="0"/>
        <w:jc w:val="center"/>
        <w:rPr>
          <w:rFonts w:hint="eastAsia" w:ascii="宋体" w:hAnsi="宋体" w:eastAsia="宋体" w:cs="宋体"/>
          <w:color w:val="000000"/>
        </w:rPr>
      </w:pPr>
    </w:p>
    <w:p w14:paraId="14DA91D9">
      <w:pPr>
        <w:pageBreakBefore w:val="0"/>
        <w:topLinePunct w:val="0"/>
        <w:bidi w:val="0"/>
        <w:spacing w:line="500" w:lineRule="exact"/>
        <w:ind w:left="0" w:leftChars="0" w:right="0"/>
        <w:jc w:val="center"/>
        <w:rPr>
          <w:rFonts w:hint="eastAsia" w:ascii="宋体" w:hAnsi="宋体" w:eastAsia="宋体" w:cs="宋体"/>
          <w:color w:val="000000"/>
        </w:rPr>
      </w:pPr>
    </w:p>
    <w:p w14:paraId="00088538">
      <w:pPr>
        <w:pageBreakBefore w:val="0"/>
        <w:topLinePunct w:val="0"/>
        <w:bidi w:val="0"/>
        <w:spacing w:line="500" w:lineRule="exact"/>
        <w:ind w:left="0" w:leftChars="0" w:right="0"/>
        <w:jc w:val="center"/>
        <w:rPr>
          <w:rFonts w:hint="eastAsia" w:ascii="宋体" w:hAnsi="宋体" w:eastAsia="宋体" w:cs="宋体"/>
          <w:color w:val="000000"/>
        </w:rPr>
      </w:pPr>
    </w:p>
    <w:p w14:paraId="07DB4B47">
      <w:pPr>
        <w:pageBreakBefore w:val="0"/>
        <w:topLinePunct w:val="0"/>
        <w:bidi w:val="0"/>
        <w:spacing w:line="500" w:lineRule="exact"/>
        <w:ind w:left="0" w:leftChars="0" w:right="0"/>
        <w:jc w:val="center"/>
        <w:rPr>
          <w:rFonts w:hint="eastAsia" w:ascii="宋体" w:hAnsi="宋体" w:eastAsia="宋体" w:cs="宋体"/>
          <w:color w:val="000000"/>
        </w:rPr>
      </w:pPr>
    </w:p>
    <w:p w14:paraId="37E38E5A">
      <w:pPr>
        <w:pageBreakBefore w:val="0"/>
        <w:topLinePunct w:val="0"/>
        <w:bidi w:val="0"/>
        <w:spacing w:line="500" w:lineRule="exact"/>
        <w:ind w:left="0" w:leftChars="0" w:right="0"/>
        <w:jc w:val="center"/>
        <w:rPr>
          <w:rFonts w:hint="eastAsia" w:ascii="宋体" w:hAnsi="宋体" w:eastAsia="宋体" w:cs="宋体"/>
          <w:color w:val="000000"/>
        </w:rPr>
      </w:pPr>
    </w:p>
    <w:p w14:paraId="3D9773EF">
      <w:pPr>
        <w:pageBreakBefore w:val="0"/>
        <w:topLinePunct w:val="0"/>
        <w:bidi w:val="0"/>
        <w:spacing w:line="500" w:lineRule="exact"/>
        <w:ind w:left="0" w:leftChars="0" w:right="0"/>
        <w:jc w:val="center"/>
        <w:rPr>
          <w:rFonts w:hint="eastAsia" w:ascii="宋体" w:hAnsi="宋体" w:eastAsia="宋体" w:cs="宋体"/>
          <w:color w:val="000000"/>
        </w:rPr>
      </w:pPr>
    </w:p>
    <w:p w14:paraId="4C5550C0">
      <w:pPr>
        <w:pageBreakBefore w:val="0"/>
        <w:topLinePunct w:val="0"/>
        <w:bidi w:val="0"/>
        <w:spacing w:line="500" w:lineRule="exact"/>
        <w:ind w:left="0" w:leftChars="0" w:right="0"/>
        <w:jc w:val="center"/>
        <w:rPr>
          <w:rFonts w:hint="eastAsia" w:ascii="宋体" w:hAnsi="宋体" w:eastAsia="宋体" w:cs="宋体"/>
          <w:color w:val="000000"/>
        </w:rPr>
      </w:pPr>
    </w:p>
    <w:p w14:paraId="616CAB08">
      <w:pPr>
        <w:pageBreakBefore w:val="0"/>
        <w:topLinePunct w:val="0"/>
        <w:bidi w:val="0"/>
        <w:spacing w:line="500" w:lineRule="exact"/>
        <w:ind w:left="0" w:leftChars="0" w:right="0"/>
        <w:jc w:val="center"/>
        <w:rPr>
          <w:rFonts w:hint="eastAsia" w:ascii="宋体" w:hAnsi="宋体" w:eastAsia="宋体" w:cs="宋体"/>
          <w:color w:val="000000"/>
        </w:rPr>
      </w:pPr>
    </w:p>
    <w:p w14:paraId="3799435C">
      <w:pPr>
        <w:pageBreakBefore w:val="0"/>
        <w:topLinePunct w:val="0"/>
        <w:bidi w:val="0"/>
        <w:spacing w:line="500" w:lineRule="exact"/>
        <w:ind w:left="0" w:leftChars="0" w:right="0"/>
        <w:jc w:val="center"/>
        <w:rPr>
          <w:rFonts w:hint="eastAsia" w:ascii="宋体" w:hAnsi="宋体" w:eastAsia="宋体" w:cs="宋体"/>
          <w:color w:val="000000"/>
        </w:rPr>
      </w:pPr>
    </w:p>
    <w:p w14:paraId="7441AD61">
      <w:pPr>
        <w:pageBreakBefore w:val="0"/>
        <w:topLinePunct w:val="0"/>
        <w:bidi w:val="0"/>
        <w:spacing w:line="500" w:lineRule="exact"/>
        <w:ind w:left="0" w:leftChars="0" w:right="0"/>
        <w:jc w:val="center"/>
        <w:rPr>
          <w:rFonts w:hint="eastAsia" w:ascii="宋体" w:hAnsi="宋体" w:eastAsia="宋体" w:cs="宋体"/>
          <w:color w:val="000000"/>
        </w:rPr>
      </w:pPr>
    </w:p>
    <w:p w14:paraId="7568C98D">
      <w:pPr>
        <w:pageBreakBefore w:val="0"/>
        <w:topLinePunct w:val="0"/>
        <w:bidi w:val="0"/>
        <w:spacing w:line="500" w:lineRule="exact"/>
        <w:ind w:left="0" w:leftChars="0" w:right="0"/>
        <w:jc w:val="center"/>
        <w:rPr>
          <w:rFonts w:hint="eastAsia" w:ascii="宋体" w:hAnsi="宋体" w:eastAsia="宋体" w:cs="宋体"/>
          <w:color w:val="000000"/>
        </w:rPr>
      </w:pPr>
    </w:p>
    <w:p w14:paraId="44593AD8">
      <w:pPr>
        <w:pageBreakBefore w:val="0"/>
        <w:topLinePunct w:val="0"/>
        <w:bidi w:val="0"/>
        <w:spacing w:line="500" w:lineRule="exact"/>
        <w:ind w:left="0" w:leftChars="0" w:right="0"/>
        <w:jc w:val="center"/>
        <w:rPr>
          <w:rFonts w:hint="eastAsia" w:ascii="宋体" w:hAnsi="宋体" w:eastAsia="宋体" w:cs="宋体"/>
          <w:color w:val="000000"/>
        </w:rPr>
      </w:pPr>
    </w:p>
    <w:p w14:paraId="2E803F54">
      <w:pPr>
        <w:pageBreakBefore w:val="0"/>
        <w:topLinePunct w:val="0"/>
        <w:bidi w:val="0"/>
        <w:spacing w:line="500" w:lineRule="exact"/>
        <w:ind w:left="0" w:leftChars="0" w:right="0"/>
        <w:jc w:val="center"/>
        <w:rPr>
          <w:rFonts w:hint="eastAsia" w:ascii="宋体" w:hAnsi="宋体" w:eastAsia="宋体" w:cs="宋体"/>
          <w:color w:val="000000"/>
        </w:rPr>
      </w:pPr>
    </w:p>
    <w:p w14:paraId="733BC6D1">
      <w:pPr>
        <w:pageBreakBefore w:val="0"/>
        <w:topLinePunct w:val="0"/>
        <w:bidi w:val="0"/>
        <w:spacing w:line="500" w:lineRule="exact"/>
        <w:ind w:left="0" w:leftChars="0" w:right="0"/>
        <w:jc w:val="center"/>
        <w:rPr>
          <w:rFonts w:hint="eastAsia" w:ascii="宋体" w:hAnsi="宋体" w:eastAsia="宋体" w:cs="宋体"/>
          <w:color w:val="000000"/>
        </w:rPr>
      </w:pPr>
      <w:r>
        <w:rPr>
          <w:rFonts w:hint="eastAsia" w:ascii="宋体" w:hAnsi="宋体" w:eastAsia="宋体" w:cs="宋体"/>
          <w:color w:val="000000"/>
        </w:rPr>
        <w:drawing>
          <wp:anchor distT="0" distB="0" distL="114300" distR="114300" simplePos="0" relativeHeight="251662336" behindDoc="0" locked="0" layoutInCell="1" allowOverlap="1">
            <wp:simplePos x="0" y="0"/>
            <wp:positionH relativeFrom="column">
              <wp:posOffset>191135</wp:posOffset>
            </wp:positionH>
            <wp:positionV relativeFrom="paragraph">
              <wp:posOffset>89535</wp:posOffset>
            </wp:positionV>
            <wp:extent cx="5761355" cy="7972425"/>
            <wp:effectExtent l="0" t="0" r="10795" b="9525"/>
            <wp:wrapSquare wrapText="bothSides"/>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5"/>
                    <a:stretch>
                      <a:fillRect/>
                    </a:stretch>
                  </pic:blipFill>
                  <pic:spPr>
                    <a:xfrm>
                      <a:off x="0" y="0"/>
                      <a:ext cx="5761355" cy="7972425"/>
                    </a:xfrm>
                    <a:prstGeom prst="rect">
                      <a:avLst/>
                    </a:prstGeom>
                    <a:noFill/>
                    <a:ln>
                      <a:noFill/>
                    </a:ln>
                  </pic:spPr>
                </pic:pic>
              </a:graphicData>
            </a:graphic>
          </wp:anchor>
        </w:drawing>
      </w:r>
    </w:p>
    <w:p w14:paraId="335177E0">
      <w:pPr>
        <w:pageBreakBefore w:val="0"/>
        <w:topLinePunct w:val="0"/>
        <w:bidi w:val="0"/>
        <w:spacing w:line="500" w:lineRule="exact"/>
        <w:ind w:left="0" w:leftChars="0" w:right="0"/>
        <w:jc w:val="center"/>
        <w:rPr>
          <w:rFonts w:hint="eastAsia" w:ascii="宋体" w:hAnsi="宋体" w:eastAsia="宋体" w:cs="宋体"/>
          <w:color w:val="000000"/>
        </w:rPr>
      </w:pPr>
    </w:p>
    <w:p w14:paraId="1D872772">
      <w:pPr>
        <w:pageBreakBefore w:val="0"/>
        <w:topLinePunct w:val="0"/>
        <w:bidi w:val="0"/>
        <w:spacing w:line="500" w:lineRule="exact"/>
        <w:ind w:left="0" w:leftChars="0" w:right="0"/>
        <w:jc w:val="center"/>
        <w:rPr>
          <w:rFonts w:hint="eastAsia" w:ascii="宋体" w:hAnsi="宋体" w:eastAsia="宋体" w:cs="宋体"/>
          <w:color w:val="000000"/>
        </w:rPr>
      </w:pPr>
    </w:p>
    <w:p w14:paraId="385F4EB9">
      <w:pPr>
        <w:pageBreakBefore w:val="0"/>
        <w:topLinePunct w:val="0"/>
        <w:bidi w:val="0"/>
        <w:spacing w:line="500" w:lineRule="exact"/>
        <w:ind w:left="0" w:leftChars="0" w:right="0"/>
        <w:jc w:val="center"/>
        <w:rPr>
          <w:rFonts w:hint="eastAsia" w:ascii="宋体" w:hAnsi="宋体" w:eastAsia="宋体" w:cs="宋体"/>
          <w:color w:val="000000"/>
        </w:rPr>
      </w:pPr>
    </w:p>
    <w:p w14:paraId="19D51729">
      <w:pPr>
        <w:pageBreakBefore w:val="0"/>
        <w:topLinePunct w:val="0"/>
        <w:bidi w:val="0"/>
        <w:spacing w:line="500" w:lineRule="exact"/>
        <w:ind w:left="0" w:leftChars="0" w:right="0"/>
        <w:jc w:val="center"/>
        <w:rPr>
          <w:rFonts w:hint="eastAsia" w:ascii="宋体" w:hAnsi="宋体" w:eastAsia="宋体" w:cs="宋体"/>
          <w:color w:val="000000"/>
        </w:rPr>
      </w:pPr>
    </w:p>
    <w:p w14:paraId="2107B2E4">
      <w:pPr>
        <w:pageBreakBefore w:val="0"/>
        <w:topLinePunct w:val="0"/>
        <w:bidi w:val="0"/>
        <w:spacing w:line="500" w:lineRule="exact"/>
        <w:ind w:left="0" w:leftChars="0" w:right="0"/>
        <w:jc w:val="center"/>
        <w:rPr>
          <w:rFonts w:hint="eastAsia" w:ascii="宋体" w:hAnsi="宋体" w:eastAsia="宋体" w:cs="宋体"/>
          <w:color w:val="000000"/>
        </w:rPr>
      </w:pPr>
    </w:p>
    <w:p w14:paraId="5EAE6B88">
      <w:pPr>
        <w:pageBreakBefore w:val="0"/>
        <w:topLinePunct w:val="0"/>
        <w:bidi w:val="0"/>
        <w:spacing w:line="500" w:lineRule="exact"/>
        <w:ind w:left="0" w:leftChars="0" w:right="0"/>
        <w:jc w:val="center"/>
        <w:rPr>
          <w:rFonts w:hint="eastAsia" w:ascii="宋体" w:hAnsi="宋体" w:eastAsia="宋体" w:cs="宋体"/>
          <w:color w:val="000000"/>
        </w:rPr>
      </w:pPr>
    </w:p>
    <w:p w14:paraId="124FAF9C">
      <w:pPr>
        <w:pageBreakBefore w:val="0"/>
        <w:topLinePunct w:val="0"/>
        <w:bidi w:val="0"/>
        <w:spacing w:line="500" w:lineRule="exact"/>
        <w:ind w:left="0" w:leftChars="0" w:right="0"/>
        <w:jc w:val="center"/>
        <w:rPr>
          <w:rFonts w:hint="eastAsia" w:ascii="宋体" w:hAnsi="宋体" w:eastAsia="宋体" w:cs="宋体"/>
          <w:color w:val="000000"/>
        </w:rPr>
      </w:pPr>
    </w:p>
    <w:p w14:paraId="44D3BD23">
      <w:pPr>
        <w:pageBreakBefore w:val="0"/>
        <w:topLinePunct w:val="0"/>
        <w:bidi w:val="0"/>
        <w:spacing w:line="500" w:lineRule="exact"/>
        <w:ind w:left="0" w:leftChars="0" w:right="0"/>
        <w:jc w:val="center"/>
        <w:rPr>
          <w:rFonts w:hint="eastAsia" w:ascii="宋体" w:hAnsi="宋体" w:eastAsia="宋体" w:cs="宋体"/>
          <w:color w:val="000000"/>
        </w:rPr>
      </w:pPr>
    </w:p>
    <w:p w14:paraId="0F82F1D7">
      <w:pPr>
        <w:pageBreakBefore w:val="0"/>
        <w:topLinePunct w:val="0"/>
        <w:bidi w:val="0"/>
        <w:spacing w:line="500" w:lineRule="exact"/>
        <w:ind w:left="0" w:leftChars="0" w:right="0"/>
        <w:jc w:val="center"/>
        <w:rPr>
          <w:rFonts w:hint="eastAsia" w:ascii="宋体" w:hAnsi="宋体" w:eastAsia="宋体" w:cs="宋体"/>
          <w:color w:val="000000"/>
        </w:rPr>
      </w:pPr>
    </w:p>
    <w:p w14:paraId="708A19E7">
      <w:pPr>
        <w:pageBreakBefore w:val="0"/>
        <w:topLinePunct w:val="0"/>
        <w:bidi w:val="0"/>
        <w:spacing w:line="500" w:lineRule="exact"/>
        <w:ind w:left="0" w:leftChars="0" w:right="0"/>
        <w:jc w:val="center"/>
        <w:rPr>
          <w:rFonts w:hint="eastAsia" w:ascii="宋体" w:hAnsi="宋体" w:eastAsia="宋体" w:cs="宋体"/>
          <w:color w:val="000000"/>
        </w:rPr>
      </w:pPr>
    </w:p>
    <w:p w14:paraId="25E4A63C">
      <w:pPr>
        <w:pageBreakBefore w:val="0"/>
        <w:topLinePunct w:val="0"/>
        <w:bidi w:val="0"/>
        <w:spacing w:line="500" w:lineRule="exact"/>
        <w:ind w:left="0" w:leftChars="0" w:right="0"/>
        <w:jc w:val="center"/>
        <w:rPr>
          <w:rFonts w:hint="eastAsia" w:ascii="宋体" w:hAnsi="宋体" w:eastAsia="宋体" w:cs="宋体"/>
          <w:color w:val="000000"/>
        </w:rPr>
      </w:pPr>
    </w:p>
    <w:p w14:paraId="39A7ABCD">
      <w:pPr>
        <w:pageBreakBefore w:val="0"/>
        <w:topLinePunct w:val="0"/>
        <w:bidi w:val="0"/>
        <w:spacing w:line="500" w:lineRule="exact"/>
        <w:ind w:left="0" w:leftChars="0" w:right="0"/>
        <w:jc w:val="center"/>
        <w:rPr>
          <w:rFonts w:hint="eastAsia" w:ascii="宋体" w:hAnsi="宋体" w:eastAsia="宋体" w:cs="宋体"/>
          <w:color w:val="000000"/>
        </w:rPr>
      </w:pPr>
    </w:p>
    <w:p w14:paraId="3922523D">
      <w:pPr>
        <w:pageBreakBefore w:val="0"/>
        <w:topLinePunct w:val="0"/>
        <w:bidi w:val="0"/>
        <w:spacing w:line="500" w:lineRule="exact"/>
        <w:ind w:left="0" w:leftChars="0" w:right="0"/>
        <w:jc w:val="center"/>
        <w:rPr>
          <w:rFonts w:hint="eastAsia" w:ascii="宋体" w:hAnsi="宋体" w:eastAsia="宋体" w:cs="宋体"/>
          <w:color w:val="000000"/>
        </w:rPr>
      </w:pPr>
    </w:p>
    <w:p w14:paraId="1AF50B1A">
      <w:pPr>
        <w:pageBreakBefore w:val="0"/>
        <w:topLinePunct w:val="0"/>
        <w:bidi w:val="0"/>
        <w:spacing w:line="500" w:lineRule="exact"/>
        <w:ind w:left="0" w:leftChars="0" w:right="0"/>
        <w:jc w:val="center"/>
        <w:rPr>
          <w:rFonts w:hint="eastAsia" w:ascii="宋体" w:hAnsi="宋体" w:eastAsia="宋体" w:cs="宋体"/>
          <w:color w:val="000000"/>
        </w:rPr>
      </w:pPr>
    </w:p>
    <w:p w14:paraId="5FD924FA">
      <w:pPr>
        <w:pageBreakBefore w:val="0"/>
        <w:topLinePunct w:val="0"/>
        <w:bidi w:val="0"/>
        <w:spacing w:line="500" w:lineRule="exact"/>
        <w:ind w:left="0" w:leftChars="0" w:right="0"/>
        <w:jc w:val="center"/>
        <w:rPr>
          <w:rFonts w:hint="eastAsia" w:ascii="宋体" w:hAnsi="宋体" w:eastAsia="宋体" w:cs="宋体"/>
          <w:color w:val="000000"/>
        </w:rPr>
      </w:pPr>
    </w:p>
    <w:p w14:paraId="2EA9587A">
      <w:pPr>
        <w:pageBreakBefore w:val="0"/>
        <w:topLinePunct w:val="0"/>
        <w:bidi w:val="0"/>
        <w:spacing w:line="500" w:lineRule="exact"/>
        <w:ind w:left="0" w:leftChars="0" w:right="0"/>
        <w:jc w:val="center"/>
        <w:rPr>
          <w:rFonts w:hint="eastAsia" w:ascii="宋体" w:hAnsi="宋体" w:eastAsia="宋体" w:cs="宋体"/>
          <w:color w:val="000000"/>
        </w:rPr>
      </w:pPr>
    </w:p>
    <w:p w14:paraId="26BE54BA">
      <w:pPr>
        <w:pageBreakBefore w:val="0"/>
        <w:topLinePunct w:val="0"/>
        <w:bidi w:val="0"/>
        <w:spacing w:line="500" w:lineRule="exact"/>
        <w:ind w:left="0" w:leftChars="0" w:right="0"/>
        <w:jc w:val="center"/>
        <w:rPr>
          <w:rFonts w:hint="eastAsia" w:ascii="宋体" w:hAnsi="宋体" w:eastAsia="宋体" w:cs="宋体"/>
          <w:color w:val="000000"/>
        </w:rPr>
      </w:pPr>
    </w:p>
    <w:p w14:paraId="7F69330A">
      <w:pPr>
        <w:pageBreakBefore w:val="0"/>
        <w:topLinePunct w:val="0"/>
        <w:bidi w:val="0"/>
        <w:spacing w:line="500" w:lineRule="exact"/>
        <w:ind w:left="0" w:leftChars="0" w:right="0"/>
        <w:jc w:val="center"/>
        <w:rPr>
          <w:rFonts w:hint="eastAsia" w:ascii="宋体" w:hAnsi="宋体" w:eastAsia="宋体" w:cs="宋体"/>
          <w:color w:val="000000"/>
        </w:rPr>
      </w:pPr>
    </w:p>
    <w:p w14:paraId="688D7637">
      <w:pPr>
        <w:pageBreakBefore w:val="0"/>
        <w:topLinePunct w:val="0"/>
        <w:bidi w:val="0"/>
        <w:spacing w:line="500" w:lineRule="exact"/>
        <w:ind w:left="0" w:leftChars="0" w:right="0"/>
        <w:jc w:val="center"/>
        <w:rPr>
          <w:rFonts w:hint="eastAsia" w:ascii="宋体" w:hAnsi="宋体" w:eastAsia="宋体" w:cs="宋体"/>
          <w:color w:val="000000"/>
        </w:rPr>
      </w:pPr>
    </w:p>
    <w:p w14:paraId="066208D6">
      <w:pPr>
        <w:pageBreakBefore w:val="0"/>
        <w:topLinePunct w:val="0"/>
        <w:bidi w:val="0"/>
        <w:spacing w:line="500" w:lineRule="exact"/>
        <w:ind w:left="0" w:leftChars="0" w:right="0"/>
        <w:jc w:val="center"/>
        <w:rPr>
          <w:rFonts w:hint="eastAsia" w:ascii="宋体" w:hAnsi="宋体" w:eastAsia="宋体" w:cs="宋体"/>
          <w:color w:val="000000"/>
        </w:rPr>
      </w:pPr>
    </w:p>
    <w:p w14:paraId="52212134">
      <w:pPr>
        <w:pageBreakBefore w:val="0"/>
        <w:topLinePunct w:val="0"/>
        <w:bidi w:val="0"/>
        <w:spacing w:line="500" w:lineRule="exact"/>
        <w:ind w:left="0" w:leftChars="0" w:right="0"/>
        <w:jc w:val="center"/>
        <w:rPr>
          <w:rFonts w:hint="eastAsia" w:ascii="宋体" w:hAnsi="宋体" w:eastAsia="宋体" w:cs="宋体"/>
          <w:color w:val="000000"/>
        </w:rPr>
      </w:pPr>
    </w:p>
    <w:p w14:paraId="3E8F54CF">
      <w:pPr>
        <w:pageBreakBefore w:val="0"/>
        <w:topLinePunct w:val="0"/>
        <w:bidi w:val="0"/>
        <w:spacing w:line="500" w:lineRule="exact"/>
        <w:ind w:left="0" w:leftChars="0" w:right="0"/>
        <w:jc w:val="center"/>
        <w:rPr>
          <w:rFonts w:hint="eastAsia" w:ascii="宋体" w:hAnsi="宋体" w:eastAsia="宋体" w:cs="宋体"/>
          <w:color w:val="000000"/>
        </w:rPr>
      </w:pPr>
    </w:p>
    <w:p w14:paraId="0D6C1E11">
      <w:pPr>
        <w:pageBreakBefore w:val="0"/>
        <w:topLinePunct w:val="0"/>
        <w:bidi w:val="0"/>
        <w:spacing w:line="500" w:lineRule="exact"/>
        <w:ind w:left="0" w:leftChars="0" w:right="0"/>
        <w:jc w:val="center"/>
        <w:rPr>
          <w:rFonts w:hint="eastAsia" w:ascii="宋体" w:hAnsi="宋体" w:eastAsia="宋体" w:cs="宋体"/>
          <w:color w:val="000000"/>
        </w:rPr>
      </w:pPr>
    </w:p>
    <w:p w14:paraId="6365BDA7">
      <w:pPr>
        <w:pageBreakBefore w:val="0"/>
        <w:topLinePunct w:val="0"/>
        <w:bidi w:val="0"/>
        <w:spacing w:line="500" w:lineRule="exact"/>
        <w:ind w:left="0" w:leftChars="0" w:right="0"/>
        <w:jc w:val="center"/>
        <w:rPr>
          <w:rFonts w:hint="eastAsia" w:ascii="宋体" w:hAnsi="宋体" w:eastAsia="宋体" w:cs="宋体"/>
          <w:color w:val="000000"/>
        </w:rPr>
      </w:pPr>
    </w:p>
    <w:p w14:paraId="6C1EFE6C">
      <w:pPr>
        <w:pageBreakBefore w:val="0"/>
        <w:topLinePunct w:val="0"/>
        <w:bidi w:val="0"/>
        <w:spacing w:line="500" w:lineRule="exact"/>
        <w:ind w:left="0" w:leftChars="0" w:right="0"/>
        <w:jc w:val="center"/>
        <w:rPr>
          <w:rFonts w:hint="eastAsia" w:ascii="宋体" w:hAnsi="宋体" w:eastAsia="宋体" w:cs="宋体"/>
          <w:color w:val="000000"/>
        </w:rPr>
      </w:pPr>
    </w:p>
    <w:p w14:paraId="5E5EC03C">
      <w:pPr>
        <w:pageBreakBefore w:val="0"/>
        <w:topLinePunct w:val="0"/>
        <w:bidi w:val="0"/>
        <w:spacing w:line="500" w:lineRule="exact"/>
        <w:ind w:left="0" w:leftChars="0" w:right="0"/>
        <w:jc w:val="center"/>
        <w:rPr>
          <w:rFonts w:hint="eastAsia" w:ascii="宋体" w:hAnsi="宋体" w:eastAsia="宋体" w:cs="宋体"/>
          <w:color w:val="000000"/>
        </w:rPr>
      </w:pPr>
    </w:p>
    <w:p w14:paraId="12873422">
      <w:pPr>
        <w:pageBreakBefore w:val="0"/>
        <w:topLinePunct w:val="0"/>
        <w:bidi w:val="0"/>
        <w:spacing w:line="500" w:lineRule="exact"/>
        <w:ind w:left="0" w:leftChars="0" w:right="0"/>
        <w:jc w:val="center"/>
        <w:rPr>
          <w:rFonts w:hint="eastAsia" w:ascii="宋体" w:hAnsi="宋体" w:eastAsia="宋体" w:cs="宋体"/>
          <w:color w:val="000000"/>
        </w:rPr>
      </w:pPr>
      <w:r>
        <w:rPr>
          <w:rFonts w:hint="eastAsia" w:ascii="宋体" w:hAnsi="宋体" w:eastAsia="宋体" w:cs="宋体"/>
          <w:color w:val="000000"/>
        </w:rPr>
        <w:drawing>
          <wp:anchor distT="0" distB="0" distL="114300" distR="114300" simplePos="0" relativeHeight="251663360" behindDoc="0" locked="0" layoutInCell="1" allowOverlap="1">
            <wp:simplePos x="0" y="0"/>
            <wp:positionH relativeFrom="column">
              <wp:posOffset>398780</wp:posOffset>
            </wp:positionH>
            <wp:positionV relativeFrom="paragraph">
              <wp:posOffset>-7251700</wp:posOffset>
            </wp:positionV>
            <wp:extent cx="5375275" cy="7501255"/>
            <wp:effectExtent l="0" t="0" r="15875" b="4445"/>
            <wp:wrapSquare wrapText="bothSides"/>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16"/>
                    <a:stretch>
                      <a:fillRect/>
                    </a:stretch>
                  </pic:blipFill>
                  <pic:spPr>
                    <a:xfrm>
                      <a:off x="0" y="0"/>
                      <a:ext cx="5375275" cy="7501255"/>
                    </a:xfrm>
                    <a:prstGeom prst="rect">
                      <a:avLst/>
                    </a:prstGeom>
                    <a:noFill/>
                    <a:ln>
                      <a:noFill/>
                    </a:ln>
                  </pic:spPr>
                </pic:pic>
              </a:graphicData>
            </a:graphic>
          </wp:anchor>
        </w:drawing>
      </w:r>
    </w:p>
    <w:p w14:paraId="29AAE787">
      <w:pPr>
        <w:pageBreakBefore w:val="0"/>
        <w:topLinePunct w:val="0"/>
        <w:bidi w:val="0"/>
        <w:spacing w:line="500" w:lineRule="exact"/>
        <w:ind w:left="0" w:leftChars="0" w:right="0"/>
        <w:jc w:val="center"/>
        <w:rPr>
          <w:rFonts w:hint="eastAsia" w:ascii="宋体" w:hAnsi="宋体" w:eastAsia="宋体" w:cs="宋体"/>
          <w:color w:val="000000"/>
        </w:rPr>
      </w:pPr>
    </w:p>
    <w:p w14:paraId="1FBB7F60">
      <w:pPr>
        <w:pageBreakBefore w:val="0"/>
        <w:topLinePunct w:val="0"/>
        <w:bidi w:val="0"/>
        <w:spacing w:line="500" w:lineRule="exact"/>
        <w:ind w:left="0" w:leftChars="0" w:right="0"/>
        <w:jc w:val="center"/>
        <w:rPr>
          <w:rFonts w:hint="eastAsia" w:ascii="宋体" w:hAnsi="宋体" w:eastAsia="宋体" w:cs="宋体"/>
          <w:color w:val="000000"/>
        </w:rPr>
      </w:pPr>
      <w:r>
        <w:rPr>
          <w:rFonts w:hint="eastAsia" w:ascii="宋体" w:hAnsi="宋体" w:eastAsia="宋体" w:cs="宋体"/>
          <w:color w:val="000000"/>
        </w:rPr>
        <w:drawing>
          <wp:anchor distT="0" distB="0" distL="114300" distR="114300" simplePos="0" relativeHeight="251664384" behindDoc="0" locked="0" layoutInCell="1" allowOverlap="1">
            <wp:simplePos x="0" y="0"/>
            <wp:positionH relativeFrom="column">
              <wp:posOffset>8255</wp:posOffset>
            </wp:positionH>
            <wp:positionV relativeFrom="paragraph">
              <wp:posOffset>38100</wp:posOffset>
            </wp:positionV>
            <wp:extent cx="5640070" cy="7687310"/>
            <wp:effectExtent l="0" t="0" r="17780" b="8890"/>
            <wp:wrapSquare wrapText="bothSides"/>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17"/>
                    <a:stretch>
                      <a:fillRect/>
                    </a:stretch>
                  </pic:blipFill>
                  <pic:spPr>
                    <a:xfrm>
                      <a:off x="0" y="0"/>
                      <a:ext cx="5640070" cy="7687310"/>
                    </a:xfrm>
                    <a:prstGeom prst="rect">
                      <a:avLst/>
                    </a:prstGeom>
                    <a:noFill/>
                    <a:ln>
                      <a:noFill/>
                    </a:ln>
                  </pic:spPr>
                </pic:pic>
              </a:graphicData>
            </a:graphic>
          </wp:anchor>
        </w:drawing>
      </w:r>
    </w:p>
    <w:p w14:paraId="327F18EF">
      <w:pPr>
        <w:pageBreakBefore w:val="0"/>
        <w:topLinePunct w:val="0"/>
        <w:bidi w:val="0"/>
        <w:spacing w:line="500" w:lineRule="exact"/>
        <w:ind w:left="0" w:leftChars="0" w:right="0"/>
        <w:jc w:val="center"/>
        <w:rPr>
          <w:rFonts w:hint="eastAsia" w:ascii="宋体" w:hAnsi="宋体" w:eastAsia="宋体" w:cs="宋体"/>
          <w:color w:val="000000"/>
        </w:rPr>
      </w:pPr>
    </w:p>
    <w:p w14:paraId="62F67505">
      <w:pPr>
        <w:pageBreakBefore w:val="0"/>
        <w:topLinePunct w:val="0"/>
        <w:bidi w:val="0"/>
        <w:spacing w:line="500" w:lineRule="exact"/>
        <w:ind w:left="0" w:leftChars="0" w:right="0"/>
        <w:jc w:val="center"/>
        <w:rPr>
          <w:rFonts w:hint="eastAsia" w:ascii="宋体" w:hAnsi="宋体" w:eastAsia="宋体" w:cs="宋体"/>
          <w:color w:val="000000"/>
        </w:rPr>
      </w:pPr>
    </w:p>
    <w:p w14:paraId="17D8BDD4">
      <w:pPr>
        <w:pageBreakBefore w:val="0"/>
        <w:topLinePunct w:val="0"/>
        <w:bidi w:val="0"/>
        <w:spacing w:line="500" w:lineRule="exact"/>
        <w:ind w:left="0" w:leftChars="0" w:right="0"/>
        <w:jc w:val="center"/>
        <w:rPr>
          <w:rFonts w:hint="eastAsia" w:ascii="宋体" w:hAnsi="宋体" w:eastAsia="宋体" w:cs="宋体"/>
          <w:color w:val="000000"/>
        </w:rPr>
      </w:pPr>
    </w:p>
    <w:p w14:paraId="2CA93323">
      <w:pPr>
        <w:pageBreakBefore w:val="0"/>
        <w:topLinePunct w:val="0"/>
        <w:bidi w:val="0"/>
        <w:spacing w:line="500" w:lineRule="exact"/>
        <w:ind w:left="0" w:leftChars="0" w:right="0"/>
        <w:jc w:val="center"/>
        <w:rPr>
          <w:rFonts w:hint="eastAsia" w:ascii="宋体" w:hAnsi="宋体" w:eastAsia="宋体" w:cs="宋体"/>
          <w:color w:val="000000"/>
        </w:rPr>
      </w:pPr>
    </w:p>
    <w:p w14:paraId="62627BB8">
      <w:pPr>
        <w:pageBreakBefore w:val="0"/>
        <w:topLinePunct w:val="0"/>
        <w:bidi w:val="0"/>
        <w:spacing w:line="500" w:lineRule="exact"/>
        <w:ind w:left="0" w:leftChars="0" w:right="0"/>
        <w:jc w:val="center"/>
        <w:rPr>
          <w:rFonts w:hint="eastAsia" w:ascii="宋体" w:hAnsi="宋体" w:eastAsia="宋体" w:cs="宋体"/>
          <w:color w:val="000000"/>
        </w:rPr>
      </w:pPr>
    </w:p>
    <w:p w14:paraId="7376E7B7">
      <w:pPr>
        <w:pageBreakBefore w:val="0"/>
        <w:topLinePunct w:val="0"/>
        <w:bidi w:val="0"/>
        <w:spacing w:line="500" w:lineRule="exact"/>
        <w:ind w:left="0" w:leftChars="0" w:right="0"/>
        <w:jc w:val="center"/>
        <w:rPr>
          <w:rFonts w:hint="eastAsia" w:ascii="宋体" w:hAnsi="宋体" w:eastAsia="宋体" w:cs="宋体"/>
          <w:color w:val="000000"/>
        </w:rPr>
      </w:pPr>
    </w:p>
    <w:p w14:paraId="46C3B40D">
      <w:pPr>
        <w:pageBreakBefore w:val="0"/>
        <w:topLinePunct w:val="0"/>
        <w:bidi w:val="0"/>
        <w:spacing w:line="500" w:lineRule="exact"/>
        <w:ind w:left="0" w:leftChars="0" w:right="0"/>
        <w:jc w:val="center"/>
        <w:rPr>
          <w:rFonts w:hint="eastAsia" w:ascii="宋体" w:hAnsi="宋体" w:eastAsia="宋体" w:cs="宋体"/>
          <w:color w:val="000000"/>
        </w:rPr>
      </w:pPr>
    </w:p>
    <w:p w14:paraId="0B2F08F0">
      <w:pPr>
        <w:pageBreakBefore w:val="0"/>
        <w:topLinePunct w:val="0"/>
        <w:bidi w:val="0"/>
        <w:spacing w:line="500" w:lineRule="exact"/>
        <w:ind w:left="0" w:leftChars="0" w:right="0"/>
        <w:jc w:val="center"/>
        <w:rPr>
          <w:rFonts w:hint="eastAsia" w:ascii="宋体" w:hAnsi="宋体" w:eastAsia="宋体" w:cs="宋体"/>
          <w:color w:val="000000"/>
        </w:rPr>
      </w:pPr>
    </w:p>
    <w:p w14:paraId="791B332A">
      <w:pPr>
        <w:pageBreakBefore w:val="0"/>
        <w:topLinePunct w:val="0"/>
        <w:bidi w:val="0"/>
        <w:spacing w:line="500" w:lineRule="exact"/>
        <w:ind w:left="0" w:leftChars="0" w:right="0"/>
        <w:jc w:val="center"/>
        <w:rPr>
          <w:rFonts w:hint="eastAsia" w:ascii="宋体" w:hAnsi="宋体" w:eastAsia="宋体" w:cs="宋体"/>
          <w:color w:val="000000"/>
        </w:rPr>
      </w:pPr>
    </w:p>
    <w:p w14:paraId="1CBEC9AE">
      <w:pPr>
        <w:pageBreakBefore w:val="0"/>
        <w:topLinePunct w:val="0"/>
        <w:bidi w:val="0"/>
        <w:spacing w:line="500" w:lineRule="exact"/>
        <w:ind w:left="0" w:leftChars="0" w:right="0"/>
        <w:jc w:val="center"/>
        <w:rPr>
          <w:rFonts w:hint="eastAsia" w:ascii="宋体" w:hAnsi="宋体" w:eastAsia="宋体" w:cs="宋体"/>
          <w:color w:val="000000"/>
        </w:rPr>
      </w:pPr>
    </w:p>
    <w:p w14:paraId="5105E9F6">
      <w:pPr>
        <w:pageBreakBefore w:val="0"/>
        <w:topLinePunct w:val="0"/>
        <w:bidi w:val="0"/>
        <w:spacing w:line="500" w:lineRule="exact"/>
        <w:ind w:left="0" w:leftChars="0" w:right="0"/>
        <w:jc w:val="center"/>
        <w:rPr>
          <w:rFonts w:hint="eastAsia" w:ascii="宋体" w:hAnsi="宋体" w:eastAsia="宋体" w:cs="宋体"/>
          <w:color w:val="000000"/>
        </w:rPr>
      </w:pPr>
    </w:p>
    <w:p w14:paraId="417567D9">
      <w:pPr>
        <w:pageBreakBefore w:val="0"/>
        <w:topLinePunct w:val="0"/>
        <w:bidi w:val="0"/>
        <w:spacing w:line="500" w:lineRule="exact"/>
        <w:ind w:left="0" w:leftChars="0" w:right="0"/>
        <w:jc w:val="center"/>
        <w:rPr>
          <w:rFonts w:hint="eastAsia" w:ascii="宋体" w:hAnsi="宋体" w:eastAsia="宋体" w:cs="宋体"/>
          <w:color w:val="000000"/>
        </w:rPr>
      </w:pPr>
    </w:p>
    <w:p w14:paraId="7FA61977">
      <w:pPr>
        <w:pageBreakBefore w:val="0"/>
        <w:topLinePunct w:val="0"/>
        <w:bidi w:val="0"/>
        <w:spacing w:line="500" w:lineRule="exact"/>
        <w:ind w:left="0" w:leftChars="0" w:right="0"/>
        <w:jc w:val="center"/>
        <w:rPr>
          <w:rFonts w:hint="eastAsia" w:ascii="宋体" w:hAnsi="宋体" w:eastAsia="宋体" w:cs="宋体"/>
          <w:color w:val="000000"/>
        </w:rPr>
      </w:pPr>
    </w:p>
    <w:p w14:paraId="47C916D6">
      <w:pPr>
        <w:pageBreakBefore w:val="0"/>
        <w:topLinePunct w:val="0"/>
        <w:bidi w:val="0"/>
        <w:spacing w:line="500" w:lineRule="exact"/>
        <w:ind w:left="0" w:leftChars="0" w:right="0"/>
        <w:jc w:val="center"/>
        <w:rPr>
          <w:rFonts w:hint="eastAsia" w:ascii="宋体" w:hAnsi="宋体" w:eastAsia="宋体" w:cs="宋体"/>
          <w:color w:val="000000"/>
        </w:rPr>
      </w:pPr>
    </w:p>
    <w:p w14:paraId="30FC0538">
      <w:pPr>
        <w:pageBreakBefore w:val="0"/>
        <w:topLinePunct w:val="0"/>
        <w:bidi w:val="0"/>
        <w:spacing w:line="500" w:lineRule="exact"/>
        <w:ind w:left="0" w:leftChars="0" w:right="0"/>
        <w:jc w:val="center"/>
        <w:rPr>
          <w:rFonts w:hint="eastAsia" w:ascii="宋体" w:hAnsi="宋体" w:eastAsia="宋体" w:cs="宋体"/>
          <w:color w:val="000000"/>
        </w:rPr>
      </w:pPr>
    </w:p>
    <w:p w14:paraId="08EB5FF0">
      <w:pPr>
        <w:pageBreakBefore w:val="0"/>
        <w:topLinePunct w:val="0"/>
        <w:bidi w:val="0"/>
        <w:spacing w:line="500" w:lineRule="exact"/>
        <w:ind w:left="0" w:leftChars="0" w:right="0"/>
        <w:jc w:val="center"/>
        <w:rPr>
          <w:rFonts w:hint="eastAsia" w:ascii="宋体" w:hAnsi="宋体" w:eastAsia="宋体" w:cs="宋体"/>
          <w:color w:val="000000"/>
        </w:rPr>
      </w:pPr>
    </w:p>
    <w:p w14:paraId="3A3CAA27">
      <w:pPr>
        <w:pageBreakBefore w:val="0"/>
        <w:topLinePunct w:val="0"/>
        <w:bidi w:val="0"/>
        <w:spacing w:line="500" w:lineRule="exact"/>
        <w:ind w:left="0" w:leftChars="0" w:right="0"/>
        <w:jc w:val="center"/>
        <w:rPr>
          <w:rFonts w:hint="eastAsia" w:ascii="宋体" w:hAnsi="宋体" w:eastAsia="宋体" w:cs="宋体"/>
          <w:color w:val="000000"/>
        </w:rPr>
      </w:pPr>
    </w:p>
    <w:p w14:paraId="166FAFC3">
      <w:pPr>
        <w:pageBreakBefore w:val="0"/>
        <w:topLinePunct w:val="0"/>
        <w:bidi w:val="0"/>
        <w:spacing w:line="500" w:lineRule="exact"/>
        <w:ind w:left="0" w:leftChars="0" w:right="0"/>
        <w:jc w:val="center"/>
        <w:rPr>
          <w:rFonts w:hint="eastAsia" w:ascii="宋体" w:hAnsi="宋体" w:eastAsia="宋体" w:cs="宋体"/>
          <w:color w:val="000000"/>
        </w:rPr>
      </w:pPr>
    </w:p>
    <w:p w14:paraId="02807D9A">
      <w:pPr>
        <w:pageBreakBefore w:val="0"/>
        <w:topLinePunct w:val="0"/>
        <w:bidi w:val="0"/>
        <w:spacing w:line="500" w:lineRule="exact"/>
        <w:ind w:left="0" w:leftChars="0" w:right="0"/>
        <w:jc w:val="center"/>
        <w:rPr>
          <w:rFonts w:hint="eastAsia" w:ascii="宋体" w:hAnsi="宋体" w:eastAsia="宋体" w:cs="宋体"/>
          <w:color w:val="000000"/>
        </w:rPr>
      </w:pPr>
    </w:p>
    <w:p w14:paraId="37D5CE49">
      <w:pPr>
        <w:pageBreakBefore w:val="0"/>
        <w:topLinePunct w:val="0"/>
        <w:bidi w:val="0"/>
        <w:spacing w:line="500" w:lineRule="exact"/>
        <w:ind w:left="0" w:leftChars="0" w:right="0"/>
        <w:jc w:val="center"/>
        <w:rPr>
          <w:rFonts w:hint="eastAsia" w:ascii="宋体" w:hAnsi="宋体" w:eastAsia="宋体" w:cs="宋体"/>
          <w:color w:val="000000"/>
        </w:rPr>
      </w:pPr>
    </w:p>
    <w:p w14:paraId="4490B71D">
      <w:pPr>
        <w:pageBreakBefore w:val="0"/>
        <w:topLinePunct w:val="0"/>
        <w:bidi w:val="0"/>
        <w:spacing w:line="500" w:lineRule="exact"/>
        <w:ind w:left="0" w:leftChars="0" w:right="0"/>
        <w:jc w:val="center"/>
        <w:rPr>
          <w:rFonts w:hint="eastAsia" w:ascii="宋体" w:hAnsi="宋体" w:eastAsia="宋体" w:cs="宋体"/>
          <w:color w:val="000000"/>
        </w:rPr>
      </w:pPr>
    </w:p>
    <w:p w14:paraId="6376D652">
      <w:pPr>
        <w:pageBreakBefore w:val="0"/>
        <w:topLinePunct w:val="0"/>
        <w:bidi w:val="0"/>
        <w:spacing w:line="500" w:lineRule="exact"/>
        <w:ind w:left="0" w:leftChars="0" w:right="0"/>
        <w:jc w:val="center"/>
        <w:rPr>
          <w:rFonts w:hint="eastAsia" w:ascii="宋体" w:hAnsi="宋体" w:eastAsia="宋体" w:cs="宋体"/>
          <w:color w:val="000000"/>
        </w:rPr>
      </w:pPr>
    </w:p>
    <w:p w14:paraId="5D27114F">
      <w:pPr>
        <w:pageBreakBefore w:val="0"/>
        <w:topLinePunct w:val="0"/>
        <w:bidi w:val="0"/>
        <w:spacing w:line="500" w:lineRule="exact"/>
        <w:ind w:left="0" w:leftChars="0" w:right="0"/>
        <w:jc w:val="center"/>
        <w:rPr>
          <w:rFonts w:hint="eastAsia" w:ascii="宋体" w:hAnsi="宋体" w:eastAsia="宋体" w:cs="宋体"/>
          <w:color w:val="000000"/>
        </w:rPr>
      </w:pPr>
    </w:p>
    <w:p w14:paraId="128CD692">
      <w:pPr>
        <w:pageBreakBefore w:val="0"/>
        <w:topLinePunct w:val="0"/>
        <w:bidi w:val="0"/>
        <w:spacing w:line="500" w:lineRule="exact"/>
        <w:ind w:left="0" w:leftChars="0" w:right="0"/>
        <w:jc w:val="center"/>
        <w:rPr>
          <w:rFonts w:hint="eastAsia" w:ascii="宋体" w:hAnsi="宋体" w:eastAsia="宋体" w:cs="宋体"/>
          <w:color w:val="000000"/>
        </w:rPr>
      </w:pPr>
    </w:p>
    <w:p w14:paraId="131C20BD">
      <w:pPr>
        <w:pageBreakBefore w:val="0"/>
        <w:topLinePunct w:val="0"/>
        <w:bidi w:val="0"/>
        <w:spacing w:line="500" w:lineRule="exact"/>
        <w:ind w:left="0" w:leftChars="0" w:right="0"/>
        <w:jc w:val="center"/>
        <w:rPr>
          <w:rFonts w:hint="eastAsia" w:ascii="宋体" w:hAnsi="宋体" w:eastAsia="宋体" w:cs="宋体"/>
          <w:color w:val="000000"/>
        </w:rPr>
      </w:pPr>
    </w:p>
    <w:p w14:paraId="1BA15827">
      <w:pPr>
        <w:pageBreakBefore w:val="0"/>
        <w:topLinePunct w:val="0"/>
        <w:bidi w:val="0"/>
        <w:spacing w:line="500" w:lineRule="exact"/>
        <w:ind w:left="0" w:leftChars="0" w:right="0"/>
        <w:jc w:val="center"/>
        <w:rPr>
          <w:rFonts w:hint="eastAsia" w:ascii="宋体" w:hAnsi="宋体" w:eastAsia="宋体" w:cs="宋体"/>
          <w:color w:val="000000"/>
        </w:rPr>
      </w:pPr>
    </w:p>
    <w:p w14:paraId="2D5E4759">
      <w:pPr>
        <w:pageBreakBefore w:val="0"/>
        <w:topLinePunct w:val="0"/>
        <w:bidi w:val="0"/>
        <w:spacing w:line="500" w:lineRule="exact"/>
        <w:ind w:left="0" w:leftChars="0" w:right="0"/>
        <w:jc w:val="center"/>
        <w:rPr>
          <w:rFonts w:hint="eastAsia" w:ascii="宋体" w:hAnsi="宋体" w:eastAsia="宋体" w:cs="宋体"/>
          <w:color w:val="000000"/>
        </w:rPr>
      </w:pPr>
      <w:r>
        <w:rPr>
          <w:rFonts w:hint="eastAsia" w:ascii="宋体" w:hAnsi="宋体" w:eastAsia="宋体" w:cs="宋体"/>
          <w:color w:val="000000"/>
        </w:rPr>
        <w:drawing>
          <wp:anchor distT="0" distB="0" distL="114300" distR="114300" simplePos="0" relativeHeight="251665408" behindDoc="0" locked="0" layoutInCell="1" allowOverlap="1">
            <wp:simplePos x="0" y="0"/>
            <wp:positionH relativeFrom="column">
              <wp:posOffset>39370</wp:posOffset>
            </wp:positionH>
            <wp:positionV relativeFrom="paragraph">
              <wp:posOffset>12065</wp:posOffset>
            </wp:positionV>
            <wp:extent cx="5534025" cy="7713980"/>
            <wp:effectExtent l="0" t="0" r="9525" b="1270"/>
            <wp:wrapSquare wrapText="bothSides"/>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18"/>
                    <a:stretch>
                      <a:fillRect/>
                    </a:stretch>
                  </pic:blipFill>
                  <pic:spPr>
                    <a:xfrm>
                      <a:off x="0" y="0"/>
                      <a:ext cx="5534025" cy="7713980"/>
                    </a:xfrm>
                    <a:prstGeom prst="rect">
                      <a:avLst/>
                    </a:prstGeom>
                    <a:noFill/>
                    <a:ln>
                      <a:noFill/>
                    </a:ln>
                  </pic:spPr>
                </pic:pic>
              </a:graphicData>
            </a:graphic>
          </wp:anchor>
        </w:drawing>
      </w:r>
    </w:p>
    <w:p w14:paraId="07057ADF">
      <w:pPr>
        <w:pageBreakBefore w:val="0"/>
        <w:topLinePunct w:val="0"/>
        <w:bidi w:val="0"/>
        <w:spacing w:line="500" w:lineRule="exact"/>
        <w:ind w:left="0" w:leftChars="0" w:right="0"/>
        <w:jc w:val="center"/>
        <w:rPr>
          <w:rFonts w:hint="eastAsia" w:ascii="宋体" w:hAnsi="宋体" w:eastAsia="宋体" w:cs="宋体"/>
          <w:color w:val="000000"/>
        </w:rPr>
      </w:pPr>
    </w:p>
    <w:p w14:paraId="40779577">
      <w:pPr>
        <w:pageBreakBefore w:val="0"/>
        <w:topLinePunct w:val="0"/>
        <w:bidi w:val="0"/>
        <w:spacing w:line="500" w:lineRule="exact"/>
        <w:ind w:left="0" w:leftChars="0" w:right="0"/>
        <w:jc w:val="center"/>
        <w:rPr>
          <w:rFonts w:hint="eastAsia" w:ascii="宋体" w:hAnsi="宋体" w:eastAsia="宋体" w:cs="宋体"/>
          <w:color w:val="000000"/>
        </w:rPr>
      </w:pPr>
    </w:p>
    <w:p w14:paraId="26758F31">
      <w:pPr>
        <w:pageBreakBefore w:val="0"/>
        <w:topLinePunct w:val="0"/>
        <w:bidi w:val="0"/>
        <w:spacing w:line="500" w:lineRule="exact"/>
        <w:ind w:left="0" w:leftChars="0" w:right="0"/>
        <w:jc w:val="center"/>
        <w:rPr>
          <w:rFonts w:hint="eastAsia" w:ascii="宋体" w:hAnsi="宋体" w:eastAsia="宋体" w:cs="宋体"/>
          <w:color w:val="000000"/>
        </w:rPr>
      </w:pPr>
    </w:p>
    <w:p w14:paraId="6A45BD81">
      <w:pPr>
        <w:pageBreakBefore w:val="0"/>
        <w:topLinePunct w:val="0"/>
        <w:bidi w:val="0"/>
        <w:spacing w:line="500" w:lineRule="exact"/>
        <w:ind w:left="0" w:leftChars="0" w:right="0"/>
        <w:jc w:val="center"/>
        <w:rPr>
          <w:rFonts w:hint="eastAsia" w:ascii="宋体" w:hAnsi="宋体" w:eastAsia="宋体" w:cs="宋体"/>
          <w:color w:val="000000"/>
        </w:rPr>
      </w:pPr>
    </w:p>
    <w:p w14:paraId="038C5587">
      <w:pPr>
        <w:pageBreakBefore w:val="0"/>
        <w:topLinePunct w:val="0"/>
        <w:bidi w:val="0"/>
        <w:spacing w:line="500" w:lineRule="exact"/>
        <w:ind w:left="0" w:leftChars="0" w:right="0"/>
        <w:jc w:val="center"/>
        <w:rPr>
          <w:rFonts w:hint="eastAsia" w:ascii="宋体" w:hAnsi="宋体" w:eastAsia="宋体" w:cs="宋体"/>
          <w:color w:val="000000"/>
        </w:rPr>
      </w:pPr>
    </w:p>
    <w:p w14:paraId="1A6F9F14">
      <w:pPr>
        <w:pageBreakBefore w:val="0"/>
        <w:topLinePunct w:val="0"/>
        <w:bidi w:val="0"/>
        <w:spacing w:line="500" w:lineRule="exact"/>
        <w:ind w:left="0" w:leftChars="0" w:right="0"/>
        <w:jc w:val="center"/>
        <w:rPr>
          <w:rFonts w:hint="eastAsia" w:ascii="宋体" w:hAnsi="宋体" w:eastAsia="宋体" w:cs="宋体"/>
          <w:color w:val="000000"/>
        </w:rPr>
      </w:pPr>
    </w:p>
    <w:p w14:paraId="6C29863E">
      <w:pPr>
        <w:pageBreakBefore w:val="0"/>
        <w:topLinePunct w:val="0"/>
        <w:bidi w:val="0"/>
        <w:spacing w:line="500" w:lineRule="exact"/>
        <w:ind w:left="0" w:leftChars="0" w:right="0"/>
        <w:jc w:val="center"/>
        <w:rPr>
          <w:rFonts w:hint="eastAsia" w:ascii="宋体" w:hAnsi="宋体" w:eastAsia="宋体" w:cs="宋体"/>
          <w:color w:val="000000"/>
        </w:rPr>
      </w:pPr>
    </w:p>
    <w:p w14:paraId="4BC4EADD">
      <w:pPr>
        <w:pageBreakBefore w:val="0"/>
        <w:topLinePunct w:val="0"/>
        <w:bidi w:val="0"/>
        <w:spacing w:line="500" w:lineRule="exact"/>
        <w:ind w:left="0" w:leftChars="0" w:right="0"/>
        <w:jc w:val="center"/>
        <w:rPr>
          <w:rFonts w:hint="eastAsia" w:ascii="宋体" w:hAnsi="宋体" w:eastAsia="宋体" w:cs="宋体"/>
          <w:color w:val="000000"/>
        </w:rPr>
      </w:pPr>
    </w:p>
    <w:p w14:paraId="7EE04C54">
      <w:pPr>
        <w:pageBreakBefore w:val="0"/>
        <w:topLinePunct w:val="0"/>
        <w:bidi w:val="0"/>
        <w:spacing w:line="500" w:lineRule="exact"/>
        <w:ind w:left="0" w:leftChars="0" w:right="0"/>
        <w:jc w:val="center"/>
        <w:rPr>
          <w:rFonts w:hint="eastAsia" w:ascii="宋体" w:hAnsi="宋体" w:eastAsia="宋体" w:cs="宋体"/>
          <w:color w:val="000000"/>
        </w:rPr>
      </w:pPr>
    </w:p>
    <w:p w14:paraId="159662E9">
      <w:pPr>
        <w:pageBreakBefore w:val="0"/>
        <w:topLinePunct w:val="0"/>
        <w:bidi w:val="0"/>
        <w:spacing w:line="500" w:lineRule="exact"/>
        <w:ind w:left="0" w:leftChars="0" w:right="0"/>
        <w:jc w:val="center"/>
        <w:rPr>
          <w:rFonts w:hint="eastAsia" w:ascii="宋体" w:hAnsi="宋体" w:eastAsia="宋体" w:cs="宋体"/>
          <w:color w:val="000000"/>
        </w:rPr>
      </w:pPr>
    </w:p>
    <w:p w14:paraId="3DBC71FD">
      <w:pPr>
        <w:pageBreakBefore w:val="0"/>
        <w:topLinePunct w:val="0"/>
        <w:bidi w:val="0"/>
        <w:spacing w:line="500" w:lineRule="exact"/>
        <w:ind w:left="0" w:leftChars="0" w:right="0"/>
        <w:jc w:val="center"/>
        <w:rPr>
          <w:rFonts w:hint="eastAsia" w:ascii="宋体" w:hAnsi="宋体" w:eastAsia="宋体" w:cs="宋体"/>
          <w:color w:val="000000"/>
        </w:rPr>
      </w:pPr>
    </w:p>
    <w:p w14:paraId="4690BA42">
      <w:pPr>
        <w:pageBreakBefore w:val="0"/>
        <w:topLinePunct w:val="0"/>
        <w:bidi w:val="0"/>
        <w:spacing w:line="500" w:lineRule="exact"/>
        <w:ind w:left="0" w:leftChars="0" w:right="0"/>
        <w:jc w:val="center"/>
        <w:rPr>
          <w:rFonts w:hint="eastAsia" w:ascii="宋体" w:hAnsi="宋体" w:eastAsia="宋体" w:cs="宋体"/>
          <w:color w:val="000000"/>
        </w:rPr>
      </w:pPr>
    </w:p>
    <w:p w14:paraId="02BBA22E">
      <w:pPr>
        <w:pageBreakBefore w:val="0"/>
        <w:topLinePunct w:val="0"/>
        <w:bidi w:val="0"/>
        <w:spacing w:line="500" w:lineRule="exact"/>
        <w:ind w:left="0" w:leftChars="0" w:right="0"/>
        <w:jc w:val="center"/>
        <w:rPr>
          <w:rFonts w:hint="eastAsia" w:ascii="宋体" w:hAnsi="宋体" w:eastAsia="宋体" w:cs="宋体"/>
          <w:color w:val="000000"/>
        </w:rPr>
      </w:pPr>
    </w:p>
    <w:p w14:paraId="535B8546">
      <w:pPr>
        <w:pageBreakBefore w:val="0"/>
        <w:topLinePunct w:val="0"/>
        <w:bidi w:val="0"/>
        <w:spacing w:line="500" w:lineRule="exact"/>
        <w:ind w:left="0" w:leftChars="0" w:right="0"/>
        <w:jc w:val="center"/>
        <w:rPr>
          <w:rFonts w:hint="eastAsia" w:ascii="宋体" w:hAnsi="宋体" w:eastAsia="宋体" w:cs="宋体"/>
          <w:color w:val="000000"/>
        </w:rPr>
      </w:pPr>
    </w:p>
    <w:p w14:paraId="0BA57B36">
      <w:pPr>
        <w:pageBreakBefore w:val="0"/>
        <w:topLinePunct w:val="0"/>
        <w:bidi w:val="0"/>
        <w:spacing w:line="500" w:lineRule="exact"/>
        <w:ind w:left="0" w:leftChars="0" w:right="0"/>
        <w:jc w:val="center"/>
        <w:rPr>
          <w:rFonts w:hint="eastAsia" w:ascii="宋体" w:hAnsi="宋体" w:eastAsia="宋体" w:cs="宋体"/>
          <w:color w:val="000000"/>
        </w:rPr>
      </w:pPr>
    </w:p>
    <w:p w14:paraId="16CB4066">
      <w:pPr>
        <w:pageBreakBefore w:val="0"/>
        <w:topLinePunct w:val="0"/>
        <w:bidi w:val="0"/>
        <w:spacing w:line="500" w:lineRule="exact"/>
        <w:ind w:left="0" w:leftChars="0" w:right="0"/>
        <w:jc w:val="center"/>
        <w:rPr>
          <w:rFonts w:hint="eastAsia" w:ascii="宋体" w:hAnsi="宋体" w:eastAsia="宋体" w:cs="宋体"/>
          <w:color w:val="000000"/>
        </w:rPr>
      </w:pPr>
    </w:p>
    <w:p w14:paraId="0B912CFF">
      <w:pPr>
        <w:pageBreakBefore w:val="0"/>
        <w:topLinePunct w:val="0"/>
        <w:bidi w:val="0"/>
        <w:spacing w:line="500" w:lineRule="exact"/>
        <w:ind w:left="0" w:leftChars="0" w:right="0"/>
        <w:jc w:val="center"/>
        <w:rPr>
          <w:rFonts w:hint="eastAsia" w:ascii="宋体" w:hAnsi="宋体" w:eastAsia="宋体" w:cs="宋体"/>
          <w:color w:val="000000"/>
        </w:rPr>
      </w:pPr>
    </w:p>
    <w:p w14:paraId="71ABD605">
      <w:pPr>
        <w:pageBreakBefore w:val="0"/>
        <w:topLinePunct w:val="0"/>
        <w:bidi w:val="0"/>
        <w:spacing w:line="500" w:lineRule="exact"/>
        <w:ind w:left="0" w:leftChars="0" w:right="0"/>
        <w:jc w:val="center"/>
        <w:rPr>
          <w:rFonts w:hint="eastAsia" w:ascii="宋体" w:hAnsi="宋体" w:eastAsia="宋体" w:cs="宋体"/>
          <w:color w:val="000000"/>
        </w:rPr>
      </w:pPr>
    </w:p>
    <w:p w14:paraId="72EA29CC">
      <w:pPr>
        <w:pageBreakBefore w:val="0"/>
        <w:topLinePunct w:val="0"/>
        <w:bidi w:val="0"/>
        <w:spacing w:line="500" w:lineRule="exact"/>
        <w:ind w:left="0" w:leftChars="0" w:right="0"/>
        <w:jc w:val="center"/>
        <w:rPr>
          <w:rFonts w:hint="eastAsia" w:ascii="宋体" w:hAnsi="宋体" w:eastAsia="宋体" w:cs="宋体"/>
          <w:color w:val="000000"/>
        </w:rPr>
      </w:pPr>
    </w:p>
    <w:p w14:paraId="173AFEA5">
      <w:pPr>
        <w:pageBreakBefore w:val="0"/>
        <w:topLinePunct w:val="0"/>
        <w:bidi w:val="0"/>
        <w:spacing w:line="500" w:lineRule="exact"/>
        <w:ind w:left="0" w:leftChars="0" w:right="0"/>
        <w:jc w:val="center"/>
        <w:rPr>
          <w:rFonts w:hint="eastAsia" w:ascii="宋体" w:hAnsi="宋体" w:eastAsia="宋体" w:cs="宋体"/>
          <w:color w:val="000000"/>
        </w:rPr>
      </w:pPr>
    </w:p>
    <w:p w14:paraId="6C4EFEC2">
      <w:pPr>
        <w:pageBreakBefore w:val="0"/>
        <w:topLinePunct w:val="0"/>
        <w:bidi w:val="0"/>
        <w:spacing w:line="500" w:lineRule="exact"/>
        <w:ind w:left="0" w:leftChars="0" w:right="0"/>
        <w:jc w:val="center"/>
        <w:rPr>
          <w:rFonts w:hint="eastAsia" w:ascii="宋体" w:hAnsi="宋体" w:eastAsia="宋体" w:cs="宋体"/>
          <w:color w:val="000000"/>
        </w:rPr>
      </w:pPr>
    </w:p>
    <w:p w14:paraId="45B14FFF">
      <w:pPr>
        <w:pageBreakBefore w:val="0"/>
        <w:topLinePunct w:val="0"/>
        <w:bidi w:val="0"/>
        <w:spacing w:line="500" w:lineRule="exact"/>
        <w:ind w:left="0" w:leftChars="0" w:right="0"/>
        <w:jc w:val="center"/>
        <w:rPr>
          <w:rFonts w:hint="eastAsia" w:ascii="宋体" w:hAnsi="宋体" w:eastAsia="宋体" w:cs="宋体"/>
          <w:color w:val="000000"/>
        </w:rPr>
      </w:pPr>
    </w:p>
    <w:p w14:paraId="3B08F43A">
      <w:pPr>
        <w:pageBreakBefore w:val="0"/>
        <w:topLinePunct w:val="0"/>
        <w:bidi w:val="0"/>
        <w:spacing w:line="500" w:lineRule="exact"/>
        <w:ind w:left="0" w:leftChars="0" w:right="0"/>
        <w:jc w:val="center"/>
        <w:rPr>
          <w:rFonts w:hint="eastAsia" w:ascii="宋体" w:hAnsi="宋体" w:eastAsia="宋体" w:cs="宋体"/>
          <w:color w:val="000000"/>
        </w:rPr>
      </w:pPr>
    </w:p>
    <w:p w14:paraId="423E10BE">
      <w:pPr>
        <w:pageBreakBefore w:val="0"/>
        <w:topLinePunct w:val="0"/>
        <w:bidi w:val="0"/>
        <w:spacing w:line="500" w:lineRule="exact"/>
        <w:ind w:left="0" w:leftChars="0" w:right="0"/>
        <w:jc w:val="center"/>
        <w:rPr>
          <w:rFonts w:hint="eastAsia" w:ascii="宋体" w:hAnsi="宋体" w:eastAsia="宋体" w:cs="宋体"/>
          <w:color w:val="000000"/>
        </w:rPr>
      </w:pPr>
    </w:p>
    <w:p w14:paraId="0E3A6CEE">
      <w:pPr>
        <w:pageBreakBefore w:val="0"/>
        <w:topLinePunct w:val="0"/>
        <w:bidi w:val="0"/>
        <w:spacing w:line="500" w:lineRule="exact"/>
        <w:ind w:left="0" w:leftChars="0" w:right="0"/>
        <w:jc w:val="center"/>
        <w:rPr>
          <w:rFonts w:hint="eastAsia" w:ascii="宋体" w:hAnsi="宋体" w:eastAsia="宋体" w:cs="宋体"/>
          <w:color w:val="000000"/>
        </w:rPr>
      </w:pPr>
    </w:p>
    <w:p w14:paraId="78966BD2">
      <w:pPr>
        <w:pageBreakBefore w:val="0"/>
        <w:topLinePunct w:val="0"/>
        <w:bidi w:val="0"/>
        <w:spacing w:line="500" w:lineRule="exact"/>
        <w:ind w:left="0" w:leftChars="0" w:right="0"/>
        <w:jc w:val="center"/>
        <w:rPr>
          <w:rFonts w:hint="eastAsia" w:ascii="宋体" w:hAnsi="宋体" w:eastAsia="宋体" w:cs="宋体"/>
          <w:color w:val="000000"/>
        </w:rPr>
      </w:pPr>
    </w:p>
    <w:p w14:paraId="49795BE2">
      <w:pPr>
        <w:pageBreakBefore w:val="0"/>
        <w:topLinePunct w:val="0"/>
        <w:bidi w:val="0"/>
        <w:spacing w:line="500" w:lineRule="exact"/>
        <w:ind w:left="0" w:leftChars="0" w:right="0"/>
        <w:jc w:val="center"/>
        <w:rPr>
          <w:rFonts w:hint="eastAsia" w:ascii="宋体" w:hAnsi="宋体" w:eastAsia="宋体" w:cs="宋体"/>
          <w:color w:val="000000"/>
        </w:rPr>
      </w:pPr>
      <w:r>
        <w:rPr>
          <w:rFonts w:hint="eastAsia" w:ascii="宋体" w:hAnsi="宋体" w:eastAsia="宋体" w:cs="宋体"/>
          <w:color w:val="000000"/>
        </w:rPr>
        <w:drawing>
          <wp:anchor distT="0" distB="0" distL="114300" distR="114300" simplePos="0" relativeHeight="251666432" behindDoc="0" locked="0" layoutInCell="1" allowOverlap="1">
            <wp:simplePos x="0" y="0"/>
            <wp:positionH relativeFrom="column">
              <wp:posOffset>141605</wp:posOffset>
            </wp:positionH>
            <wp:positionV relativeFrom="paragraph">
              <wp:posOffset>-81915</wp:posOffset>
            </wp:positionV>
            <wp:extent cx="5721350" cy="7696835"/>
            <wp:effectExtent l="0" t="0" r="12700" b="18415"/>
            <wp:wrapSquare wrapText="bothSides"/>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9"/>
                    <a:stretch>
                      <a:fillRect/>
                    </a:stretch>
                  </pic:blipFill>
                  <pic:spPr>
                    <a:xfrm>
                      <a:off x="0" y="0"/>
                      <a:ext cx="5721350" cy="7696835"/>
                    </a:xfrm>
                    <a:prstGeom prst="rect">
                      <a:avLst/>
                    </a:prstGeom>
                    <a:noFill/>
                    <a:ln>
                      <a:noFill/>
                    </a:ln>
                  </pic:spPr>
                </pic:pic>
              </a:graphicData>
            </a:graphic>
          </wp:anchor>
        </w:drawing>
      </w:r>
    </w:p>
    <w:p w14:paraId="2F06D98E">
      <w:pPr>
        <w:pageBreakBefore w:val="0"/>
        <w:topLinePunct w:val="0"/>
        <w:bidi w:val="0"/>
        <w:spacing w:line="500" w:lineRule="exact"/>
        <w:ind w:left="0" w:leftChars="0" w:right="0"/>
        <w:jc w:val="center"/>
        <w:rPr>
          <w:rFonts w:hint="eastAsia" w:ascii="宋体" w:hAnsi="宋体" w:eastAsia="宋体" w:cs="宋体"/>
          <w:color w:val="000000"/>
        </w:rPr>
      </w:pPr>
    </w:p>
    <w:p w14:paraId="38DC21BF">
      <w:pPr>
        <w:pageBreakBefore w:val="0"/>
        <w:topLinePunct w:val="0"/>
        <w:bidi w:val="0"/>
        <w:spacing w:line="500" w:lineRule="exact"/>
        <w:ind w:left="0" w:leftChars="0" w:right="0"/>
        <w:jc w:val="center"/>
        <w:rPr>
          <w:rFonts w:hint="eastAsia" w:ascii="宋体" w:hAnsi="宋体" w:eastAsia="宋体" w:cs="宋体"/>
          <w:color w:val="000000"/>
        </w:rPr>
      </w:pPr>
    </w:p>
    <w:p w14:paraId="11897E10">
      <w:pPr>
        <w:pageBreakBefore w:val="0"/>
        <w:topLinePunct w:val="0"/>
        <w:bidi w:val="0"/>
        <w:spacing w:line="500" w:lineRule="exact"/>
        <w:ind w:left="0" w:leftChars="0" w:right="0"/>
        <w:jc w:val="center"/>
        <w:rPr>
          <w:rFonts w:hint="eastAsia" w:ascii="宋体" w:hAnsi="宋体" w:eastAsia="宋体" w:cs="宋体"/>
          <w:color w:val="000000"/>
        </w:rPr>
      </w:pPr>
      <w:r>
        <w:rPr>
          <w:rFonts w:hint="eastAsia" w:ascii="宋体" w:hAnsi="宋体" w:eastAsia="宋体" w:cs="宋体"/>
          <w:color w:val="000000"/>
        </w:rPr>
        <w:drawing>
          <wp:anchor distT="0" distB="0" distL="114300" distR="114300" simplePos="0" relativeHeight="251667456" behindDoc="0" locked="0" layoutInCell="1" allowOverlap="1">
            <wp:simplePos x="0" y="0"/>
            <wp:positionH relativeFrom="column">
              <wp:posOffset>63500</wp:posOffset>
            </wp:positionH>
            <wp:positionV relativeFrom="paragraph">
              <wp:posOffset>45085</wp:posOffset>
            </wp:positionV>
            <wp:extent cx="5580380" cy="7706995"/>
            <wp:effectExtent l="0" t="0" r="1270" b="8255"/>
            <wp:wrapSquare wrapText="bothSides"/>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20"/>
                    <a:stretch>
                      <a:fillRect/>
                    </a:stretch>
                  </pic:blipFill>
                  <pic:spPr>
                    <a:xfrm>
                      <a:off x="0" y="0"/>
                      <a:ext cx="5580380" cy="7706995"/>
                    </a:xfrm>
                    <a:prstGeom prst="rect">
                      <a:avLst/>
                    </a:prstGeom>
                    <a:noFill/>
                    <a:ln>
                      <a:noFill/>
                    </a:ln>
                  </pic:spPr>
                </pic:pic>
              </a:graphicData>
            </a:graphic>
          </wp:anchor>
        </w:drawing>
      </w:r>
    </w:p>
    <w:p w14:paraId="4CFF0DB4">
      <w:pPr>
        <w:pageBreakBefore w:val="0"/>
        <w:topLinePunct w:val="0"/>
        <w:bidi w:val="0"/>
        <w:spacing w:line="500" w:lineRule="exact"/>
        <w:ind w:left="0" w:leftChars="0" w:right="0"/>
        <w:jc w:val="center"/>
        <w:rPr>
          <w:rFonts w:hint="eastAsia" w:ascii="宋体" w:hAnsi="宋体" w:eastAsia="宋体" w:cs="宋体"/>
          <w:color w:val="000000"/>
        </w:rPr>
      </w:pPr>
    </w:p>
    <w:p w14:paraId="7DF2D558">
      <w:pPr>
        <w:pageBreakBefore w:val="0"/>
        <w:topLinePunct w:val="0"/>
        <w:bidi w:val="0"/>
        <w:spacing w:line="500" w:lineRule="exact"/>
        <w:ind w:left="0" w:leftChars="0" w:right="0"/>
        <w:jc w:val="center"/>
        <w:rPr>
          <w:rFonts w:hint="eastAsia" w:ascii="宋体" w:hAnsi="宋体" w:eastAsia="宋体" w:cs="宋体"/>
          <w:color w:val="000000"/>
        </w:rPr>
      </w:pPr>
    </w:p>
    <w:p w14:paraId="6014BE43">
      <w:pPr>
        <w:pageBreakBefore w:val="0"/>
        <w:topLinePunct w:val="0"/>
        <w:bidi w:val="0"/>
        <w:spacing w:line="500" w:lineRule="exact"/>
        <w:ind w:left="0" w:leftChars="0" w:right="0"/>
        <w:jc w:val="center"/>
        <w:rPr>
          <w:rFonts w:hint="eastAsia" w:ascii="宋体" w:hAnsi="宋体" w:eastAsia="宋体" w:cs="宋体"/>
          <w:color w:val="000000"/>
        </w:rPr>
      </w:pPr>
    </w:p>
    <w:p w14:paraId="4232C535">
      <w:pPr>
        <w:pageBreakBefore w:val="0"/>
        <w:topLinePunct w:val="0"/>
        <w:bidi w:val="0"/>
        <w:spacing w:line="500" w:lineRule="exact"/>
        <w:ind w:left="0" w:leftChars="0" w:right="0"/>
        <w:jc w:val="center"/>
        <w:rPr>
          <w:rFonts w:hint="eastAsia" w:ascii="宋体" w:hAnsi="宋体" w:eastAsia="宋体" w:cs="宋体"/>
          <w:color w:val="000000"/>
        </w:rPr>
      </w:pPr>
    </w:p>
    <w:p w14:paraId="00A9A49C">
      <w:pPr>
        <w:pageBreakBefore w:val="0"/>
        <w:topLinePunct w:val="0"/>
        <w:bidi w:val="0"/>
        <w:spacing w:line="500" w:lineRule="exact"/>
        <w:ind w:left="0" w:leftChars="0" w:right="0"/>
        <w:jc w:val="center"/>
        <w:rPr>
          <w:rFonts w:hint="eastAsia" w:ascii="宋体" w:hAnsi="宋体" w:eastAsia="宋体" w:cs="宋体"/>
          <w:color w:val="000000"/>
        </w:rPr>
      </w:pPr>
    </w:p>
    <w:p w14:paraId="2573EA91">
      <w:pPr>
        <w:pageBreakBefore w:val="0"/>
        <w:topLinePunct w:val="0"/>
        <w:bidi w:val="0"/>
        <w:spacing w:line="500" w:lineRule="exact"/>
        <w:ind w:left="0" w:leftChars="0" w:right="0"/>
        <w:jc w:val="center"/>
        <w:rPr>
          <w:rFonts w:hint="eastAsia" w:ascii="宋体" w:hAnsi="宋体" w:eastAsia="宋体" w:cs="宋体"/>
          <w:color w:val="000000"/>
        </w:rPr>
      </w:pPr>
    </w:p>
    <w:p w14:paraId="6B5B4BD5">
      <w:pPr>
        <w:pageBreakBefore w:val="0"/>
        <w:topLinePunct w:val="0"/>
        <w:bidi w:val="0"/>
        <w:spacing w:line="500" w:lineRule="exact"/>
        <w:ind w:left="0" w:leftChars="0" w:right="0"/>
        <w:jc w:val="center"/>
        <w:rPr>
          <w:rFonts w:hint="eastAsia" w:ascii="宋体" w:hAnsi="宋体" w:eastAsia="宋体" w:cs="宋体"/>
          <w:color w:val="000000"/>
        </w:rPr>
      </w:pPr>
    </w:p>
    <w:p w14:paraId="346BFF30">
      <w:pPr>
        <w:pageBreakBefore w:val="0"/>
        <w:topLinePunct w:val="0"/>
        <w:bidi w:val="0"/>
        <w:spacing w:line="500" w:lineRule="exact"/>
        <w:ind w:left="0" w:leftChars="0" w:right="0"/>
        <w:jc w:val="center"/>
        <w:rPr>
          <w:rFonts w:hint="eastAsia" w:ascii="宋体" w:hAnsi="宋体" w:eastAsia="宋体" w:cs="宋体"/>
          <w:color w:val="000000"/>
        </w:rPr>
      </w:pPr>
    </w:p>
    <w:p w14:paraId="5D03631A">
      <w:pPr>
        <w:pageBreakBefore w:val="0"/>
        <w:topLinePunct w:val="0"/>
        <w:bidi w:val="0"/>
        <w:spacing w:line="500" w:lineRule="exact"/>
        <w:ind w:left="0" w:leftChars="0" w:right="0"/>
        <w:jc w:val="center"/>
        <w:rPr>
          <w:rFonts w:hint="eastAsia" w:ascii="宋体" w:hAnsi="宋体" w:eastAsia="宋体" w:cs="宋体"/>
          <w:color w:val="000000"/>
        </w:rPr>
      </w:pPr>
    </w:p>
    <w:p w14:paraId="05A9B9A2">
      <w:pPr>
        <w:pageBreakBefore w:val="0"/>
        <w:topLinePunct w:val="0"/>
        <w:bidi w:val="0"/>
        <w:spacing w:line="500" w:lineRule="exact"/>
        <w:ind w:left="0" w:leftChars="0" w:right="0"/>
        <w:jc w:val="center"/>
        <w:rPr>
          <w:rFonts w:hint="eastAsia" w:ascii="宋体" w:hAnsi="宋体" w:eastAsia="宋体" w:cs="宋体"/>
          <w:color w:val="000000"/>
        </w:rPr>
      </w:pPr>
    </w:p>
    <w:p w14:paraId="2CA748BB">
      <w:pPr>
        <w:pageBreakBefore w:val="0"/>
        <w:topLinePunct w:val="0"/>
        <w:bidi w:val="0"/>
        <w:spacing w:line="500" w:lineRule="exact"/>
        <w:ind w:left="0" w:leftChars="0" w:right="0"/>
        <w:jc w:val="center"/>
        <w:rPr>
          <w:rFonts w:hint="eastAsia" w:ascii="宋体" w:hAnsi="宋体" w:eastAsia="宋体" w:cs="宋体"/>
          <w:color w:val="000000"/>
        </w:rPr>
      </w:pPr>
    </w:p>
    <w:p w14:paraId="2F8AA11E">
      <w:pPr>
        <w:pageBreakBefore w:val="0"/>
        <w:topLinePunct w:val="0"/>
        <w:bidi w:val="0"/>
        <w:spacing w:line="500" w:lineRule="exact"/>
        <w:ind w:left="0" w:leftChars="0" w:right="0"/>
        <w:jc w:val="center"/>
        <w:rPr>
          <w:rFonts w:hint="eastAsia" w:ascii="宋体" w:hAnsi="宋体" w:eastAsia="宋体" w:cs="宋体"/>
          <w:color w:val="000000"/>
        </w:rPr>
      </w:pPr>
    </w:p>
    <w:p w14:paraId="5AE8BCDD">
      <w:pPr>
        <w:pageBreakBefore w:val="0"/>
        <w:topLinePunct w:val="0"/>
        <w:bidi w:val="0"/>
        <w:spacing w:line="500" w:lineRule="exact"/>
        <w:ind w:left="0" w:leftChars="0" w:right="0"/>
        <w:jc w:val="center"/>
        <w:rPr>
          <w:rFonts w:hint="eastAsia" w:ascii="宋体" w:hAnsi="宋体" w:eastAsia="宋体" w:cs="宋体"/>
          <w:color w:val="000000"/>
        </w:rPr>
      </w:pPr>
    </w:p>
    <w:p w14:paraId="46CCE241">
      <w:pPr>
        <w:pageBreakBefore w:val="0"/>
        <w:topLinePunct w:val="0"/>
        <w:bidi w:val="0"/>
        <w:spacing w:line="500" w:lineRule="exact"/>
        <w:ind w:left="0" w:leftChars="0" w:right="0"/>
        <w:jc w:val="center"/>
        <w:rPr>
          <w:rFonts w:hint="eastAsia" w:ascii="宋体" w:hAnsi="宋体" w:eastAsia="宋体" w:cs="宋体"/>
          <w:color w:val="000000"/>
        </w:rPr>
      </w:pPr>
    </w:p>
    <w:p w14:paraId="47CA1062">
      <w:pPr>
        <w:pageBreakBefore w:val="0"/>
        <w:topLinePunct w:val="0"/>
        <w:bidi w:val="0"/>
        <w:spacing w:line="500" w:lineRule="exact"/>
        <w:ind w:left="0" w:leftChars="0" w:right="0"/>
        <w:jc w:val="center"/>
        <w:rPr>
          <w:rFonts w:hint="eastAsia" w:ascii="宋体" w:hAnsi="宋体" w:eastAsia="宋体" w:cs="宋体"/>
          <w:color w:val="000000"/>
        </w:rPr>
      </w:pPr>
    </w:p>
    <w:p w14:paraId="253D7B82">
      <w:pPr>
        <w:pageBreakBefore w:val="0"/>
        <w:topLinePunct w:val="0"/>
        <w:bidi w:val="0"/>
        <w:spacing w:line="500" w:lineRule="exact"/>
        <w:ind w:left="0" w:leftChars="0" w:right="0"/>
        <w:jc w:val="center"/>
        <w:rPr>
          <w:rFonts w:hint="eastAsia" w:ascii="宋体" w:hAnsi="宋体" w:eastAsia="宋体" w:cs="宋体"/>
          <w:color w:val="000000"/>
        </w:rPr>
      </w:pPr>
    </w:p>
    <w:p w14:paraId="666D4810">
      <w:pPr>
        <w:pageBreakBefore w:val="0"/>
        <w:topLinePunct w:val="0"/>
        <w:bidi w:val="0"/>
        <w:spacing w:line="500" w:lineRule="exact"/>
        <w:ind w:left="0" w:leftChars="0" w:right="0"/>
        <w:jc w:val="center"/>
        <w:rPr>
          <w:rFonts w:hint="eastAsia" w:ascii="宋体" w:hAnsi="宋体" w:eastAsia="宋体" w:cs="宋体"/>
          <w:color w:val="000000"/>
        </w:rPr>
      </w:pPr>
    </w:p>
    <w:p w14:paraId="2C475124">
      <w:pPr>
        <w:pageBreakBefore w:val="0"/>
        <w:topLinePunct w:val="0"/>
        <w:bidi w:val="0"/>
        <w:spacing w:line="500" w:lineRule="exact"/>
        <w:ind w:left="0" w:leftChars="0" w:right="0"/>
        <w:jc w:val="center"/>
        <w:rPr>
          <w:rFonts w:hint="eastAsia" w:ascii="宋体" w:hAnsi="宋体" w:eastAsia="宋体" w:cs="宋体"/>
          <w:color w:val="000000"/>
        </w:rPr>
      </w:pPr>
    </w:p>
    <w:p w14:paraId="27FEF24D">
      <w:pPr>
        <w:pageBreakBefore w:val="0"/>
        <w:topLinePunct w:val="0"/>
        <w:bidi w:val="0"/>
        <w:spacing w:line="500" w:lineRule="exact"/>
        <w:ind w:left="0" w:leftChars="0" w:right="0"/>
        <w:jc w:val="center"/>
        <w:rPr>
          <w:rFonts w:hint="eastAsia" w:ascii="宋体" w:hAnsi="宋体" w:eastAsia="宋体" w:cs="宋体"/>
          <w:color w:val="000000"/>
        </w:rPr>
      </w:pPr>
    </w:p>
    <w:p w14:paraId="2306AC5F">
      <w:pPr>
        <w:pageBreakBefore w:val="0"/>
        <w:topLinePunct w:val="0"/>
        <w:bidi w:val="0"/>
        <w:spacing w:line="500" w:lineRule="exact"/>
        <w:ind w:left="0" w:leftChars="0" w:right="0"/>
        <w:jc w:val="center"/>
        <w:rPr>
          <w:rFonts w:hint="eastAsia" w:ascii="宋体" w:hAnsi="宋体" w:eastAsia="宋体" w:cs="宋体"/>
          <w:color w:val="000000"/>
        </w:rPr>
      </w:pPr>
    </w:p>
    <w:p w14:paraId="4730A597">
      <w:pPr>
        <w:pageBreakBefore w:val="0"/>
        <w:topLinePunct w:val="0"/>
        <w:bidi w:val="0"/>
        <w:spacing w:line="500" w:lineRule="exact"/>
        <w:ind w:left="0" w:leftChars="0" w:right="0"/>
        <w:jc w:val="center"/>
        <w:rPr>
          <w:rFonts w:hint="eastAsia" w:ascii="宋体" w:hAnsi="宋体" w:eastAsia="宋体" w:cs="宋体"/>
          <w:color w:val="000000"/>
        </w:rPr>
      </w:pPr>
    </w:p>
    <w:p w14:paraId="1D58DC58">
      <w:pPr>
        <w:pageBreakBefore w:val="0"/>
        <w:topLinePunct w:val="0"/>
        <w:bidi w:val="0"/>
        <w:spacing w:line="500" w:lineRule="exact"/>
        <w:ind w:left="0" w:leftChars="0" w:right="0"/>
        <w:jc w:val="center"/>
        <w:rPr>
          <w:rFonts w:hint="eastAsia" w:ascii="宋体" w:hAnsi="宋体" w:eastAsia="宋体" w:cs="宋体"/>
          <w:color w:val="000000"/>
        </w:rPr>
      </w:pPr>
    </w:p>
    <w:p w14:paraId="138343F3">
      <w:pPr>
        <w:pageBreakBefore w:val="0"/>
        <w:topLinePunct w:val="0"/>
        <w:bidi w:val="0"/>
        <w:spacing w:line="500" w:lineRule="exact"/>
        <w:ind w:left="0" w:leftChars="0" w:right="0"/>
        <w:jc w:val="center"/>
        <w:rPr>
          <w:rFonts w:hint="eastAsia" w:ascii="宋体" w:hAnsi="宋体" w:eastAsia="宋体" w:cs="宋体"/>
          <w:color w:val="000000"/>
        </w:rPr>
      </w:pPr>
    </w:p>
    <w:p w14:paraId="68C298E7">
      <w:pPr>
        <w:pageBreakBefore w:val="0"/>
        <w:topLinePunct w:val="0"/>
        <w:bidi w:val="0"/>
        <w:spacing w:line="500" w:lineRule="exact"/>
        <w:ind w:left="0" w:leftChars="0" w:right="0"/>
        <w:jc w:val="center"/>
        <w:rPr>
          <w:rFonts w:hint="eastAsia" w:ascii="宋体" w:hAnsi="宋体" w:eastAsia="宋体" w:cs="宋体"/>
          <w:color w:val="000000"/>
        </w:rPr>
      </w:pPr>
    </w:p>
    <w:p w14:paraId="6326C473">
      <w:pPr>
        <w:pageBreakBefore w:val="0"/>
        <w:topLinePunct w:val="0"/>
        <w:bidi w:val="0"/>
        <w:spacing w:line="500" w:lineRule="exact"/>
        <w:ind w:left="0" w:leftChars="0" w:right="0"/>
        <w:jc w:val="center"/>
        <w:rPr>
          <w:rFonts w:hint="eastAsia" w:ascii="宋体" w:hAnsi="宋体" w:eastAsia="宋体" w:cs="宋体"/>
          <w:color w:val="000000"/>
        </w:rPr>
      </w:pPr>
    </w:p>
    <w:p w14:paraId="589D5A92">
      <w:pPr>
        <w:pageBreakBefore w:val="0"/>
        <w:topLinePunct w:val="0"/>
        <w:bidi w:val="0"/>
        <w:spacing w:line="500" w:lineRule="exact"/>
        <w:ind w:left="0" w:leftChars="0" w:right="0"/>
        <w:jc w:val="center"/>
        <w:rPr>
          <w:rFonts w:hint="eastAsia" w:ascii="宋体" w:hAnsi="宋体" w:eastAsia="宋体" w:cs="宋体"/>
          <w:color w:val="000000"/>
        </w:rPr>
      </w:pPr>
    </w:p>
    <w:p w14:paraId="45B8C7AE">
      <w:pPr>
        <w:pageBreakBefore w:val="0"/>
        <w:topLinePunct w:val="0"/>
        <w:bidi w:val="0"/>
        <w:spacing w:line="500" w:lineRule="exact"/>
        <w:ind w:left="0" w:leftChars="0" w:right="0"/>
        <w:jc w:val="center"/>
        <w:rPr>
          <w:rFonts w:hint="eastAsia" w:ascii="宋体" w:hAnsi="宋体" w:eastAsia="宋体" w:cs="宋体"/>
          <w:color w:val="000000"/>
        </w:rPr>
      </w:pPr>
      <w:r>
        <w:rPr>
          <w:rFonts w:hint="eastAsia" w:ascii="宋体" w:hAnsi="宋体" w:eastAsia="宋体" w:cs="宋体"/>
          <w:color w:val="000000"/>
        </w:rPr>
        <w:drawing>
          <wp:anchor distT="0" distB="0" distL="114300" distR="114300" simplePos="0" relativeHeight="251668480" behindDoc="0" locked="0" layoutInCell="1" allowOverlap="1">
            <wp:simplePos x="0" y="0"/>
            <wp:positionH relativeFrom="column">
              <wp:posOffset>49530</wp:posOffset>
            </wp:positionH>
            <wp:positionV relativeFrom="paragraph">
              <wp:posOffset>20955</wp:posOffset>
            </wp:positionV>
            <wp:extent cx="6002020" cy="8295005"/>
            <wp:effectExtent l="0" t="0" r="17780" b="10795"/>
            <wp:wrapSquare wrapText="bothSides"/>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1"/>
                    <a:stretch>
                      <a:fillRect/>
                    </a:stretch>
                  </pic:blipFill>
                  <pic:spPr>
                    <a:xfrm>
                      <a:off x="0" y="0"/>
                      <a:ext cx="6002020" cy="8295005"/>
                    </a:xfrm>
                    <a:prstGeom prst="rect">
                      <a:avLst/>
                    </a:prstGeom>
                    <a:noFill/>
                    <a:ln>
                      <a:noFill/>
                    </a:ln>
                  </pic:spPr>
                </pic:pic>
              </a:graphicData>
            </a:graphic>
          </wp:anchor>
        </w:drawing>
      </w:r>
    </w:p>
    <w:p w14:paraId="22946266">
      <w:pPr>
        <w:pageBreakBefore w:val="0"/>
        <w:topLinePunct w:val="0"/>
        <w:bidi w:val="0"/>
        <w:spacing w:line="500" w:lineRule="exact"/>
        <w:ind w:left="0" w:leftChars="0" w:right="0"/>
        <w:jc w:val="center"/>
        <w:rPr>
          <w:rFonts w:hint="eastAsia" w:ascii="宋体" w:hAnsi="宋体" w:eastAsia="宋体" w:cs="宋体"/>
          <w:color w:val="000000"/>
        </w:rPr>
      </w:pPr>
      <w:r>
        <w:rPr>
          <w:rFonts w:hint="eastAsia" w:ascii="宋体" w:hAnsi="宋体" w:eastAsia="宋体" w:cs="宋体"/>
          <w:color w:val="000000"/>
        </w:rPr>
        <w:drawing>
          <wp:anchor distT="0" distB="0" distL="114300" distR="114300" simplePos="0" relativeHeight="251669504" behindDoc="0" locked="0" layoutInCell="1" allowOverlap="1">
            <wp:simplePos x="0" y="0"/>
            <wp:positionH relativeFrom="column">
              <wp:posOffset>183515</wp:posOffset>
            </wp:positionH>
            <wp:positionV relativeFrom="paragraph">
              <wp:posOffset>-26670</wp:posOffset>
            </wp:positionV>
            <wp:extent cx="5573395" cy="7620000"/>
            <wp:effectExtent l="0" t="0" r="8255" b="0"/>
            <wp:wrapSquare wrapText="bothSides"/>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22"/>
                    <a:stretch>
                      <a:fillRect/>
                    </a:stretch>
                  </pic:blipFill>
                  <pic:spPr>
                    <a:xfrm>
                      <a:off x="0" y="0"/>
                      <a:ext cx="5573395" cy="7620000"/>
                    </a:xfrm>
                    <a:prstGeom prst="rect">
                      <a:avLst/>
                    </a:prstGeom>
                    <a:noFill/>
                    <a:ln>
                      <a:noFill/>
                    </a:ln>
                  </pic:spPr>
                </pic:pic>
              </a:graphicData>
            </a:graphic>
          </wp:anchor>
        </w:drawing>
      </w:r>
    </w:p>
    <w:p w14:paraId="7B0AE310">
      <w:pPr>
        <w:pageBreakBefore w:val="0"/>
        <w:topLinePunct w:val="0"/>
        <w:bidi w:val="0"/>
        <w:spacing w:line="500" w:lineRule="exact"/>
        <w:ind w:left="0" w:leftChars="0" w:right="0"/>
        <w:jc w:val="center"/>
        <w:rPr>
          <w:rFonts w:hint="eastAsia" w:ascii="宋体" w:hAnsi="宋体" w:eastAsia="宋体" w:cs="宋体"/>
          <w:color w:val="000000"/>
        </w:rPr>
      </w:pPr>
    </w:p>
    <w:p w14:paraId="6BC7D39F">
      <w:pPr>
        <w:pageBreakBefore w:val="0"/>
        <w:topLinePunct w:val="0"/>
        <w:bidi w:val="0"/>
        <w:spacing w:line="500" w:lineRule="exact"/>
        <w:ind w:left="0" w:leftChars="0" w:right="0"/>
        <w:jc w:val="center"/>
        <w:rPr>
          <w:rFonts w:hint="eastAsia" w:ascii="宋体" w:hAnsi="宋体" w:eastAsia="宋体" w:cs="宋体"/>
          <w:color w:val="000000"/>
        </w:rPr>
      </w:pPr>
    </w:p>
    <w:p w14:paraId="50888AE6">
      <w:pPr>
        <w:pageBreakBefore w:val="0"/>
        <w:topLinePunct w:val="0"/>
        <w:bidi w:val="0"/>
        <w:spacing w:line="500" w:lineRule="exact"/>
        <w:ind w:left="0" w:leftChars="0" w:right="0"/>
        <w:jc w:val="center"/>
        <w:rPr>
          <w:rFonts w:hint="eastAsia" w:ascii="宋体" w:hAnsi="宋体" w:eastAsia="宋体" w:cs="宋体"/>
          <w:color w:val="000000"/>
        </w:rPr>
      </w:pPr>
    </w:p>
    <w:p w14:paraId="51505873">
      <w:pPr>
        <w:pageBreakBefore w:val="0"/>
        <w:topLinePunct w:val="0"/>
        <w:bidi w:val="0"/>
        <w:spacing w:line="500" w:lineRule="exact"/>
        <w:ind w:left="0" w:leftChars="0" w:right="0"/>
        <w:jc w:val="center"/>
        <w:rPr>
          <w:rFonts w:hint="eastAsia" w:ascii="宋体" w:hAnsi="宋体" w:eastAsia="宋体" w:cs="宋体"/>
          <w:color w:val="000000"/>
        </w:rPr>
      </w:pPr>
    </w:p>
    <w:p w14:paraId="6BFC0F2E">
      <w:pPr>
        <w:pageBreakBefore w:val="0"/>
        <w:topLinePunct w:val="0"/>
        <w:bidi w:val="0"/>
        <w:spacing w:line="500" w:lineRule="exact"/>
        <w:ind w:left="0" w:leftChars="0" w:right="0"/>
        <w:jc w:val="center"/>
        <w:rPr>
          <w:rFonts w:hint="eastAsia" w:ascii="宋体" w:hAnsi="宋体" w:eastAsia="宋体" w:cs="宋体"/>
          <w:color w:val="000000"/>
        </w:rPr>
      </w:pPr>
    </w:p>
    <w:p w14:paraId="34078109">
      <w:pPr>
        <w:pageBreakBefore w:val="0"/>
        <w:topLinePunct w:val="0"/>
        <w:bidi w:val="0"/>
        <w:spacing w:line="500" w:lineRule="exact"/>
        <w:ind w:left="0" w:leftChars="0" w:right="0"/>
        <w:jc w:val="center"/>
        <w:rPr>
          <w:rFonts w:hint="eastAsia" w:ascii="宋体" w:hAnsi="宋体" w:eastAsia="宋体" w:cs="宋体"/>
          <w:color w:val="000000"/>
        </w:rPr>
      </w:pPr>
    </w:p>
    <w:p w14:paraId="5901AC52">
      <w:pPr>
        <w:pageBreakBefore w:val="0"/>
        <w:topLinePunct w:val="0"/>
        <w:bidi w:val="0"/>
        <w:spacing w:line="500" w:lineRule="exact"/>
        <w:ind w:left="0" w:leftChars="0" w:right="0"/>
        <w:jc w:val="center"/>
        <w:rPr>
          <w:rFonts w:hint="eastAsia" w:ascii="宋体" w:hAnsi="宋体" w:eastAsia="宋体" w:cs="宋体"/>
          <w:color w:val="000000"/>
        </w:rPr>
      </w:pPr>
    </w:p>
    <w:p w14:paraId="1558F50B">
      <w:pPr>
        <w:pageBreakBefore w:val="0"/>
        <w:topLinePunct w:val="0"/>
        <w:bidi w:val="0"/>
        <w:spacing w:line="500" w:lineRule="exact"/>
        <w:ind w:left="0" w:leftChars="0" w:right="0"/>
        <w:jc w:val="center"/>
        <w:rPr>
          <w:rFonts w:hint="eastAsia" w:ascii="宋体" w:hAnsi="宋体" w:eastAsia="宋体" w:cs="宋体"/>
          <w:color w:val="000000"/>
        </w:rPr>
      </w:pPr>
    </w:p>
    <w:p w14:paraId="353BD89D">
      <w:pPr>
        <w:pageBreakBefore w:val="0"/>
        <w:topLinePunct w:val="0"/>
        <w:bidi w:val="0"/>
        <w:spacing w:line="500" w:lineRule="exact"/>
        <w:ind w:left="0" w:leftChars="0" w:right="0"/>
        <w:jc w:val="center"/>
        <w:rPr>
          <w:rFonts w:hint="eastAsia" w:ascii="宋体" w:hAnsi="宋体" w:eastAsia="宋体" w:cs="宋体"/>
          <w:color w:val="000000"/>
        </w:rPr>
      </w:pPr>
    </w:p>
    <w:p w14:paraId="769364BD">
      <w:pPr>
        <w:pageBreakBefore w:val="0"/>
        <w:topLinePunct w:val="0"/>
        <w:bidi w:val="0"/>
        <w:spacing w:line="500" w:lineRule="exact"/>
        <w:ind w:left="0" w:leftChars="0" w:right="0"/>
        <w:jc w:val="center"/>
        <w:rPr>
          <w:rFonts w:hint="eastAsia" w:ascii="宋体" w:hAnsi="宋体" w:eastAsia="宋体" w:cs="宋体"/>
          <w:color w:val="000000"/>
        </w:rPr>
      </w:pPr>
    </w:p>
    <w:p w14:paraId="5AD92F70">
      <w:pPr>
        <w:pageBreakBefore w:val="0"/>
        <w:topLinePunct w:val="0"/>
        <w:bidi w:val="0"/>
        <w:spacing w:line="500" w:lineRule="exact"/>
        <w:ind w:left="0" w:leftChars="0" w:right="0"/>
        <w:jc w:val="center"/>
        <w:rPr>
          <w:rFonts w:hint="eastAsia" w:ascii="宋体" w:hAnsi="宋体" w:eastAsia="宋体" w:cs="宋体"/>
          <w:color w:val="000000"/>
        </w:rPr>
      </w:pPr>
    </w:p>
    <w:p w14:paraId="09B11FDA">
      <w:pPr>
        <w:pageBreakBefore w:val="0"/>
        <w:topLinePunct w:val="0"/>
        <w:bidi w:val="0"/>
        <w:spacing w:line="500" w:lineRule="exact"/>
        <w:ind w:left="0" w:leftChars="0" w:right="0"/>
        <w:jc w:val="center"/>
        <w:rPr>
          <w:rFonts w:hint="eastAsia" w:ascii="宋体" w:hAnsi="宋体" w:eastAsia="宋体" w:cs="宋体"/>
          <w:color w:val="000000"/>
        </w:rPr>
      </w:pPr>
    </w:p>
    <w:p w14:paraId="7E713010">
      <w:pPr>
        <w:pageBreakBefore w:val="0"/>
        <w:topLinePunct w:val="0"/>
        <w:bidi w:val="0"/>
        <w:spacing w:line="500" w:lineRule="exact"/>
        <w:ind w:left="0" w:leftChars="0" w:right="0"/>
        <w:jc w:val="center"/>
        <w:rPr>
          <w:rFonts w:hint="eastAsia" w:ascii="宋体" w:hAnsi="宋体" w:eastAsia="宋体" w:cs="宋体"/>
          <w:color w:val="000000"/>
        </w:rPr>
      </w:pPr>
    </w:p>
    <w:p w14:paraId="6AB1209A">
      <w:pPr>
        <w:pageBreakBefore w:val="0"/>
        <w:topLinePunct w:val="0"/>
        <w:bidi w:val="0"/>
        <w:spacing w:line="500" w:lineRule="exact"/>
        <w:ind w:left="0" w:leftChars="0" w:right="0"/>
        <w:jc w:val="center"/>
        <w:rPr>
          <w:rFonts w:hint="eastAsia" w:ascii="宋体" w:hAnsi="宋体" w:eastAsia="宋体" w:cs="宋体"/>
          <w:color w:val="000000"/>
        </w:rPr>
      </w:pPr>
    </w:p>
    <w:p w14:paraId="3EFDDC34">
      <w:pPr>
        <w:pageBreakBefore w:val="0"/>
        <w:topLinePunct w:val="0"/>
        <w:bidi w:val="0"/>
        <w:spacing w:line="500" w:lineRule="exact"/>
        <w:ind w:left="0" w:leftChars="0" w:right="0"/>
        <w:jc w:val="center"/>
        <w:rPr>
          <w:rFonts w:hint="eastAsia" w:ascii="宋体" w:hAnsi="宋体" w:eastAsia="宋体" w:cs="宋体"/>
          <w:color w:val="000000"/>
        </w:rPr>
      </w:pPr>
    </w:p>
    <w:p w14:paraId="492AA797">
      <w:pPr>
        <w:pageBreakBefore w:val="0"/>
        <w:topLinePunct w:val="0"/>
        <w:bidi w:val="0"/>
        <w:spacing w:line="500" w:lineRule="exact"/>
        <w:ind w:left="0" w:leftChars="0" w:right="0"/>
        <w:jc w:val="center"/>
        <w:rPr>
          <w:rFonts w:hint="eastAsia" w:ascii="宋体" w:hAnsi="宋体" w:eastAsia="宋体" w:cs="宋体"/>
          <w:color w:val="000000"/>
        </w:rPr>
      </w:pPr>
    </w:p>
    <w:p w14:paraId="7FC69800">
      <w:pPr>
        <w:pageBreakBefore w:val="0"/>
        <w:topLinePunct w:val="0"/>
        <w:bidi w:val="0"/>
        <w:spacing w:line="500" w:lineRule="exact"/>
        <w:ind w:left="0" w:leftChars="0" w:right="0"/>
        <w:jc w:val="center"/>
        <w:rPr>
          <w:rFonts w:hint="eastAsia" w:ascii="宋体" w:hAnsi="宋体" w:eastAsia="宋体" w:cs="宋体"/>
          <w:color w:val="000000"/>
        </w:rPr>
      </w:pPr>
    </w:p>
    <w:p w14:paraId="670A8A73">
      <w:pPr>
        <w:pageBreakBefore w:val="0"/>
        <w:topLinePunct w:val="0"/>
        <w:bidi w:val="0"/>
        <w:spacing w:line="500" w:lineRule="exact"/>
        <w:ind w:left="0" w:leftChars="0" w:right="0"/>
        <w:jc w:val="center"/>
        <w:rPr>
          <w:rFonts w:hint="eastAsia" w:ascii="宋体" w:hAnsi="宋体" w:eastAsia="宋体" w:cs="宋体"/>
          <w:color w:val="000000"/>
        </w:rPr>
      </w:pPr>
    </w:p>
    <w:p w14:paraId="4D233BF4">
      <w:pPr>
        <w:pageBreakBefore w:val="0"/>
        <w:topLinePunct w:val="0"/>
        <w:bidi w:val="0"/>
        <w:spacing w:line="500" w:lineRule="exact"/>
        <w:ind w:left="0" w:leftChars="0" w:right="0"/>
        <w:jc w:val="center"/>
        <w:rPr>
          <w:rFonts w:hint="eastAsia" w:ascii="宋体" w:hAnsi="宋体" w:eastAsia="宋体" w:cs="宋体"/>
          <w:color w:val="000000"/>
        </w:rPr>
      </w:pPr>
    </w:p>
    <w:p w14:paraId="04713FE9">
      <w:pPr>
        <w:pageBreakBefore w:val="0"/>
        <w:topLinePunct w:val="0"/>
        <w:bidi w:val="0"/>
        <w:spacing w:line="500" w:lineRule="exact"/>
        <w:ind w:left="0" w:leftChars="0" w:right="0"/>
        <w:jc w:val="center"/>
        <w:rPr>
          <w:rFonts w:hint="eastAsia" w:ascii="宋体" w:hAnsi="宋体" w:eastAsia="宋体" w:cs="宋体"/>
          <w:color w:val="000000"/>
        </w:rPr>
      </w:pPr>
    </w:p>
    <w:p w14:paraId="0B5AB812">
      <w:pPr>
        <w:pageBreakBefore w:val="0"/>
        <w:topLinePunct w:val="0"/>
        <w:bidi w:val="0"/>
        <w:spacing w:line="500" w:lineRule="exact"/>
        <w:ind w:left="0" w:leftChars="0" w:right="0"/>
        <w:jc w:val="center"/>
        <w:rPr>
          <w:rFonts w:hint="eastAsia" w:ascii="宋体" w:hAnsi="宋体" w:eastAsia="宋体" w:cs="宋体"/>
          <w:color w:val="000000"/>
        </w:rPr>
      </w:pPr>
    </w:p>
    <w:p w14:paraId="72755A31">
      <w:pPr>
        <w:pageBreakBefore w:val="0"/>
        <w:topLinePunct w:val="0"/>
        <w:bidi w:val="0"/>
        <w:spacing w:line="500" w:lineRule="exact"/>
        <w:ind w:left="0" w:leftChars="0" w:right="0"/>
        <w:jc w:val="center"/>
        <w:rPr>
          <w:rFonts w:hint="eastAsia" w:ascii="宋体" w:hAnsi="宋体" w:eastAsia="宋体" w:cs="宋体"/>
          <w:color w:val="000000"/>
        </w:rPr>
      </w:pPr>
    </w:p>
    <w:p w14:paraId="57D37B39">
      <w:pPr>
        <w:pageBreakBefore w:val="0"/>
        <w:topLinePunct w:val="0"/>
        <w:bidi w:val="0"/>
        <w:spacing w:line="500" w:lineRule="exact"/>
        <w:ind w:left="0" w:leftChars="0" w:right="0"/>
        <w:jc w:val="center"/>
        <w:rPr>
          <w:rFonts w:hint="eastAsia" w:ascii="宋体" w:hAnsi="宋体" w:eastAsia="宋体" w:cs="宋体"/>
          <w:color w:val="000000"/>
        </w:rPr>
      </w:pPr>
    </w:p>
    <w:p w14:paraId="41833FC4">
      <w:pPr>
        <w:pageBreakBefore w:val="0"/>
        <w:topLinePunct w:val="0"/>
        <w:bidi w:val="0"/>
        <w:spacing w:line="500" w:lineRule="exact"/>
        <w:ind w:left="0" w:leftChars="0" w:right="0"/>
        <w:jc w:val="center"/>
        <w:rPr>
          <w:rFonts w:hint="eastAsia" w:ascii="宋体" w:hAnsi="宋体" w:eastAsia="宋体" w:cs="宋体"/>
          <w:color w:val="000000"/>
        </w:rPr>
      </w:pPr>
    </w:p>
    <w:p w14:paraId="382FEBDF">
      <w:pPr>
        <w:pageBreakBefore w:val="0"/>
        <w:topLinePunct w:val="0"/>
        <w:bidi w:val="0"/>
        <w:spacing w:line="500" w:lineRule="exact"/>
        <w:ind w:left="0" w:leftChars="0" w:right="0"/>
        <w:jc w:val="center"/>
        <w:rPr>
          <w:rFonts w:hint="eastAsia" w:ascii="宋体" w:hAnsi="宋体" w:eastAsia="宋体" w:cs="宋体"/>
          <w:color w:val="000000"/>
        </w:rPr>
      </w:pPr>
    </w:p>
    <w:p w14:paraId="1F622FB4">
      <w:pPr>
        <w:pageBreakBefore w:val="0"/>
        <w:topLinePunct w:val="0"/>
        <w:bidi w:val="0"/>
        <w:spacing w:line="500" w:lineRule="exact"/>
        <w:ind w:left="0" w:leftChars="0" w:right="0"/>
        <w:jc w:val="center"/>
        <w:rPr>
          <w:rFonts w:hint="eastAsia" w:ascii="宋体" w:hAnsi="宋体" w:eastAsia="宋体" w:cs="宋体"/>
          <w:color w:val="000000"/>
        </w:rPr>
      </w:pPr>
    </w:p>
    <w:p w14:paraId="6F951BA9">
      <w:pPr>
        <w:pageBreakBefore w:val="0"/>
        <w:topLinePunct w:val="0"/>
        <w:bidi w:val="0"/>
        <w:spacing w:line="500" w:lineRule="exact"/>
        <w:ind w:left="0" w:leftChars="0" w:right="0"/>
        <w:jc w:val="center"/>
        <w:rPr>
          <w:rFonts w:hint="eastAsia" w:ascii="宋体" w:hAnsi="宋体" w:eastAsia="宋体" w:cs="宋体"/>
          <w:color w:val="000000"/>
        </w:rPr>
      </w:pPr>
      <w:r>
        <w:rPr>
          <w:rFonts w:hint="eastAsia" w:ascii="宋体" w:hAnsi="宋体" w:eastAsia="宋体" w:cs="宋体"/>
          <w:color w:val="000000"/>
        </w:rPr>
        <w:drawing>
          <wp:anchor distT="0" distB="0" distL="114300" distR="114300" simplePos="0" relativeHeight="251670528" behindDoc="0" locked="0" layoutInCell="1" allowOverlap="1">
            <wp:simplePos x="0" y="0"/>
            <wp:positionH relativeFrom="column">
              <wp:posOffset>53975</wp:posOffset>
            </wp:positionH>
            <wp:positionV relativeFrom="paragraph">
              <wp:posOffset>-30480</wp:posOffset>
            </wp:positionV>
            <wp:extent cx="5594350" cy="7762240"/>
            <wp:effectExtent l="0" t="0" r="6350" b="10160"/>
            <wp:wrapSquare wrapText="bothSides"/>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23"/>
                    <a:stretch>
                      <a:fillRect/>
                    </a:stretch>
                  </pic:blipFill>
                  <pic:spPr>
                    <a:xfrm>
                      <a:off x="0" y="0"/>
                      <a:ext cx="5594350" cy="7762240"/>
                    </a:xfrm>
                    <a:prstGeom prst="rect">
                      <a:avLst/>
                    </a:prstGeom>
                    <a:noFill/>
                    <a:ln>
                      <a:noFill/>
                    </a:ln>
                  </pic:spPr>
                </pic:pic>
              </a:graphicData>
            </a:graphic>
          </wp:anchor>
        </w:drawing>
      </w:r>
    </w:p>
    <w:p w14:paraId="6C644C6A">
      <w:pPr>
        <w:pageBreakBefore w:val="0"/>
        <w:topLinePunct w:val="0"/>
        <w:bidi w:val="0"/>
        <w:spacing w:line="500" w:lineRule="exact"/>
        <w:ind w:left="0" w:leftChars="0" w:right="0"/>
        <w:jc w:val="center"/>
        <w:rPr>
          <w:rFonts w:hint="eastAsia" w:ascii="宋体" w:hAnsi="宋体" w:eastAsia="宋体" w:cs="宋体"/>
          <w:color w:val="000000"/>
        </w:rPr>
      </w:pPr>
    </w:p>
    <w:p w14:paraId="59DED24E">
      <w:pPr>
        <w:pageBreakBefore w:val="0"/>
        <w:topLinePunct w:val="0"/>
        <w:bidi w:val="0"/>
        <w:spacing w:line="500" w:lineRule="exact"/>
        <w:ind w:left="0" w:leftChars="0" w:right="0"/>
        <w:jc w:val="center"/>
        <w:rPr>
          <w:rFonts w:hint="eastAsia" w:ascii="宋体" w:hAnsi="宋体" w:eastAsia="宋体" w:cs="宋体"/>
          <w:color w:val="000000"/>
        </w:rPr>
      </w:pPr>
    </w:p>
    <w:p w14:paraId="3C5AFA97">
      <w:pPr>
        <w:pageBreakBefore w:val="0"/>
        <w:topLinePunct w:val="0"/>
        <w:bidi w:val="0"/>
        <w:spacing w:line="500" w:lineRule="exact"/>
        <w:ind w:left="0" w:leftChars="0" w:right="0"/>
        <w:jc w:val="center"/>
        <w:rPr>
          <w:rFonts w:hint="eastAsia" w:ascii="宋体" w:hAnsi="宋体" w:eastAsia="宋体" w:cs="宋体"/>
          <w:color w:val="000000"/>
        </w:rPr>
      </w:pPr>
    </w:p>
    <w:p w14:paraId="16461598">
      <w:pPr>
        <w:pageBreakBefore w:val="0"/>
        <w:topLinePunct w:val="0"/>
        <w:bidi w:val="0"/>
        <w:spacing w:line="500" w:lineRule="exact"/>
        <w:ind w:left="0" w:leftChars="0" w:right="0"/>
        <w:jc w:val="center"/>
        <w:rPr>
          <w:rFonts w:hint="eastAsia" w:ascii="宋体" w:hAnsi="宋体" w:eastAsia="宋体" w:cs="宋体"/>
          <w:color w:val="000000"/>
        </w:rPr>
      </w:pPr>
    </w:p>
    <w:p w14:paraId="0AF66B2D">
      <w:pPr>
        <w:pageBreakBefore w:val="0"/>
        <w:topLinePunct w:val="0"/>
        <w:bidi w:val="0"/>
        <w:spacing w:line="500" w:lineRule="exact"/>
        <w:ind w:left="0" w:leftChars="0" w:right="0"/>
        <w:jc w:val="center"/>
        <w:rPr>
          <w:rFonts w:hint="eastAsia" w:ascii="宋体" w:hAnsi="宋体" w:eastAsia="宋体" w:cs="宋体"/>
          <w:color w:val="000000"/>
        </w:rPr>
      </w:pPr>
    </w:p>
    <w:p w14:paraId="12ABFA88">
      <w:pPr>
        <w:pageBreakBefore w:val="0"/>
        <w:topLinePunct w:val="0"/>
        <w:bidi w:val="0"/>
        <w:spacing w:line="500" w:lineRule="exact"/>
        <w:ind w:left="0" w:leftChars="0" w:right="0"/>
        <w:jc w:val="center"/>
        <w:rPr>
          <w:rFonts w:hint="eastAsia" w:ascii="宋体" w:hAnsi="宋体" w:eastAsia="宋体" w:cs="宋体"/>
          <w:color w:val="000000"/>
        </w:rPr>
      </w:pPr>
    </w:p>
    <w:p w14:paraId="07DF6D0E">
      <w:pPr>
        <w:pageBreakBefore w:val="0"/>
        <w:topLinePunct w:val="0"/>
        <w:bidi w:val="0"/>
        <w:spacing w:line="500" w:lineRule="exact"/>
        <w:ind w:left="0" w:leftChars="0" w:right="0"/>
        <w:jc w:val="center"/>
        <w:rPr>
          <w:rFonts w:hint="eastAsia" w:ascii="宋体" w:hAnsi="宋体" w:eastAsia="宋体" w:cs="宋体"/>
          <w:color w:val="000000"/>
        </w:rPr>
      </w:pPr>
    </w:p>
    <w:p w14:paraId="2A201202">
      <w:pPr>
        <w:pageBreakBefore w:val="0"/>
        <w:topLinePunct w:val="0"/>
        <w:bidi w:val="0"/>
        <w:spacing w:line="500" w:lineRule="exact"/>
        <w:ind w:left="0" w:leftChars="0" w:right="0"/>
        <w:jc w:val="center"/>
        <w:rPr>
          <w:rFonts w:hint="eastAsia" w:ascii="宋体" w:hAnsi="宋体" w:eastAsia="宋体" w:cs="宋体"/>
          <w:color w:val="000000"/>
        </w:rPr>
      </w:pPr>
    </w:p>
    <w:p w14:paraId="53C792B9">
      <w:pPr>
        <w:pageBreakBefore w:val="0"/>
        <w:topLinePunct w:val="0"/>
        <w:bidi w:val="0"/>
        <w:spacing w:line="500" w:lineRule="exact"/>
        <w:ind w:left="0" w:leftChars="0" w:right="0"/>
        <w:jc w:val="center"/>
        <w:rPr>
          <w:rFonts w:hint="eastAsia" w:ascii="宋体" w:hAnsi="宋体" w:eastAsia="宋体" w:cs="宋体"/>
          <w:color w:val="000000"/>
        </w:rPr>
      </w:pPr>
    </w:p>
    <w:p w14:paraId="012A9FDB">
      <w:pPr>
        <w:pageBreakBefore w:val="0"/>
        <w:topLinePunct w:val="0"/>
        <w:bidi w:val="0"/>
        <w:spacing w:line="500" w:lineRule="exact"/>
        <w:ind w:left="0" w:leftChars="0" w:right="0"/>
        <w:jc w:val="center"/>
        <w:rPr>
          <w:rFonts w:hint="eastAsia" w:ascii="宋体" w:hAnsi="宋体" w:eastAsia="宋体" w:cs="宋体"/>
          <w:color w:val="000000"/>
        </w:rPr>
      </w:pPr>
    </w:p>
    <w:p w14:paraId="6EC0AFBA">
      <w:pPr>
        <w:pageBreakBefore w:val="0"/>
        <w:topLinePunct w:val="0"/>
        <w:bidi w:val="0"/>
        <w:spacing w:line="500" w:lineRule="exact"/>
        <w:ind w:left="0" w:leftChars="0" w:right="0"/>
        <w:jc w:val="center"/>
        <w:rPr>
          <w:rFonts w:hint="eastAsia" w:ascii="宋体" w:hAnsi="宋体" w:eastAsia="宋体" w:cs="宋体"/>
          <w:color w:val="000000"/>
        </w:rPr>
      </w:pPr>
    </w:p>
    <w:p w14:paraId="611EBA5C">
      <w:pPr>
        <w:pageBreakBefore w:val="0"/>
        <w:topLinePunct w:val="0"/>
        <w:bidi w:val="0"/>
        <w:spacing w:line="500" w:lineRule="exact"/>
        <w:ind w:left="0" w:leftChars="0" w:right="0"/>
        <w:jc w:val="center"/>
        <w:rPr>
          <w:rFonts w:hint="eastAsia" w:ascii="宋体" w:hAnsi="宋体" w:eastAsia="宋体" w:cs="宋体"/>
          <w:color w:val="000000"/>
        </w:rPr>
      </w:pPr>
    </w:p>
    <w:p w14:paraId="477F2A8A">
      <w:pPr>
        <w:pageBreakBefore w:val="0"/>
        <w:topLinePunct w:val="0"/>
        <w:bidi w:val="0"/>
        <w:spacing w:line="500" w:lineRule="exact"/>
        <w:ind w:left="0" w:leftChars="0" w:right="0"/>
        <w:jc w:val="center"/>
        <w:rPr>
          <w:rFonts w:hint="eastAsia" w:ascii="宋体" w:hAnsi="宋体" w:eastAsia="宋体" w:cs="宋体"/>
          <w:color w:val="000000"/>
        </w:rPr>
      </w:pPr>
    </w:p>
    <w:p w14:paraId="317C95D5">
      <w:pPr>
        <w:pageBreakBefore w:val="0"/>
        <w:topLinePunct w:val="0"/>
        <w:bidi w:val="0"/>
        <w:spacing w:line="500" w:lineRule="exact"/>
        <w:ind w:left="0" w:leftChars="0" w:right="0"/>
        <w:jc w:val="center"/>
        <w:rPr>
          <w:rFonts w:hint="eastAsia" w:ascii="宋体" w:hAnsi="宋体" w:eastAsia="宋体" w:cs="宋体"/>
          <w:color w:val="000000"/>
        </w:rPr>
      </w:pPr>
    </w:p>
    <w:p w14:paraId="2326E6B1">
      <w:pPr>
        <w:pageBreakBefore w:val="0"/>
        <w:topLinePunct w:val="0"/>
        <w:bidi w:val="0"/>
        <w:spacing w:line="500" w:lineRule="exact"/>
        <w:ind w:left="0" w:leftChars="0" w:right="0"/>
        <w:jc w:val="center"/>
        <w:rPr>
          <w:rFonts w:hint="eastAsia" w:ascii="宋体" w:hAnsi="宋体" w:eastAsia="宋体" w:cs="宋体"/>
          <w:color w:val="000000"/>
        </w:rPr>
      </w:pPr>
    </w:p>
    <w:p w14:paraId="3BFEFB13">
      <w:pPr>
        <w:pageBreakBefore w:val="0"/>
        <w:topLinePunct w:val="0"/>
        <w:bidi w:val="0"/>
        <w:spacing w:line="500" w:lineRule="exact"/>
        <w:ind w:left="0" w:leftChars="0" w:right="0"/>
        <w:jc w:val="center"/>
        <w:rPr>
          <w:rFonts w:hint="eastAsia" w:ascii="宋体" w:hAnsi="宋体" w:eastAsia="宋体" w:cs="宋体"/>
          <w:color w:val="000000"/>
        </w:rPr>
      </w:pPr>
    </w:p>
    <w:p w14:paraId="2F0A4772">
      <w:pPr>
        <w:pageBreakBefore w:val="0"/>
        <w:topLinePunct w:val="0"/>
        <w:bidi w:val="0"/>
        <w:spacing w:line="500" w:lineRule="exact"/>
        <w:ind w:left="0" w:leftChars="0" w:right="0"/>
        <w:jc w:val="center"/>
        <w:rPr>
          <w:rFonts w:hint="eastAsia" w:ascii="宋体" w:hAnsi="宋体" w:eastAsia="宋体" w:cs="宋体"/>
          <w:color w:val="000000"/>
        </w:rPr>
      </w:pPr>
    </w:p>
    <w:p w14:paraId="22B0AB52">
      <w:pPr>
        <w:pageBreakBefore w:val="0"/>
        <w:topLinePunct w:val="0"/>
        <w:bidi w:val="0"/>
        <w:spacing w:line="500" w:lineRule="exact"/>
        <w:ind w:left="0" w:leftChars="0" w:right="0"/>
        <w:jc w:val="center"/>
        <w:rPr>
          <w:rFonts w:hint="eastAsia" w:ascii="宋体" w:hAnsi="宋体" w:eastAsia="宋体" w:cs="宋体"/>
          <w:color w:val="000000"/>
        </w:rPr>
      </w:pPr>
    </w:p>
    <w:p w14:paraId="5F874187">
      <w:pPr>
        <w:pageBreakBefore w:val="0"/>
        <w:topLinePunct w:val="0"/>
        <w:bidi w:val="0"/>
        <w:spacing w:line="500" w:lineRule="exact"/>
        <w:ind w:left="0" w:leftChars="0" w:right="0"/>
        <w:jc w:val="center"/>
        <w:rPr>
          <w:rFonts w:hint="eastAsia" w:ascii="宋体" w:hAnsi="宋体" w:eastAsia="宋体" w:cs="宋体"/>
          <w:color w:val="000000"/>
        </w:rPr>
      </w:pPr>
    </w:p>
    <w:p w14:paraId="29A2D0AC">
      <w:pPr>
        <w:pageBreakBefore w:val="0"/>
        <w:topLinePunct w:val="0"/>
        <w:bidi w:val="0"/>
        <w:spacing w:line="500" w:lineRule="exact"/>
        <w:ind w:left="0" w:leftChars="0" w:right="0"/>
        <w:jc w:val="center"/>
        <w:rPr>
          <w:rFonts w:hint="eastAsia" w:ascii="宋体" w:hAnsi="宋体" w:eastAsia="宋体" w:cs="宋体"/>
          <w:color w:val="000000"/>
        </w:rPr>
      </w:pPr>
    </w:p>
    <w:p w14:paraId="7A1F97D5">
      <w:pPr>
        <w:pageBreakBefore w:val="0"/>
        <w:topLinePunct w:val="0"/>
        <w:bidi w:val="0"/>
        <w:spacing w:line="500" w:lineRule="exact"/>
        <w:ind w:left="0" w:leftChars="0" w:right="0"/>
        <w:jc w:val="center"/>
        <w:rPr>
          <w:rFonts w:hint="eastAsia" w:ascii="宋体" w:hAnsi="宋体" w:eastAsia="宋体" w:cs="宋体"/>
          <w:color w:val="000000"/>
        </w:rPr>
      </w:pPr>
    </w:p>
    <w:p w14:paraId="37BA180B">
      <w:pPr>
        <w:pageBreakBefore w:val="0"/>
        <w:topLinePunct w:val="0"/>
        <w:bidi w:val="0"/>
        <w:spacing w:line="500" w:lineRule="exact"/>
        <w:ind w:left="0" w:leftChars="0" w:right="0"/>
        <w:jc w:val="center"/>
        <w:rPr>
          <w:rFonts w:hint="eastAsia" w:ascii="宋体" w:hAnsi="宋体" w:eastAsia="宋体" w:cs="宋体"/>
          <w:color w:val="000000"/>
        </w:rPr>
      </w:pPr>
    </w:p>
    <w:p w14:paraId="7E68B64B">
      <w:pPr>
        <w:pageBreakBefore w:val="0"/>
        <w:topLinePunct w:val="0"/>
        <w:bidi w:val="0"/>
        <w:spacing w:line="500" w:lineRule="exact"/>
        <w:ind w:left="0" w:leftChars="0" w:right="0"/>
        <w:jc w:val="center"/>
        <w:rPr>
          <w:rFonts w:hint="eastAsia" w:ascii="宋体" w:hAnsi="宋体" w:eastAsia="宋体" w:cs="宋体"/>
          <w:color w:val="000000"/>
        </w:rPr>
      </w:pPr>
    </w:p>
    <w:p w14:paraId="01D3C1E4">
      <w:pPr>
        <w:pageBreakBefore w:val="0"/>
        <w:topLinePunct w:val="0"/>
        <w:bidi w:val="0"/>
        <w:spacing w:line="500" w:lineRule="exact"/>
        <w:ind w:left="0" w:leftChars="0" w:right="0"/>
        <w:jc w:val="center"/>
        <w:rPr>
          <w:rFonts w:hint="eastAsia" w:ascii="宋体" w:hAnsi="宋体" w:eastAsia="宋体" w:cs="宋体"/>
          <w:color w:val="000000"/>
        </w:rPr>
      </w:pPr>
    </w:p>
    <w:p w14:paraId="5C6315AF">
      <w:pPr>
        <w:pageBreakBefore w:val="0"/>
        <w:topLinePunct w:val="0"/>
        <w:bidi w:val="0"/>
        <w:spacing w:line="500" w:lineRule="exact"/>
        <w:ind w:left="0" w:leftChars="0" w:right="0"/>
        <w:jc w:val="center"/>
        <w:rPr>
          <w:rFonts w:hint="eastAsia" w:ascii="宋体" w:hAnsi="宋体" w:eastAsia="宋体" w:cs="宋体"/>
          <w:color w:val="000000"/>
        </w:rPr>
      </w:pPr>
    </w:p>
    <w:p w14:paraId="78BF8D9F">
      <w:pPr>
        <w:pageBreakBefore w:val="0"/>
        <w:topLinePunct w:val="0"/>
        <w:bidi w:val="0"/>
        <w:spacing w:line="500" w:lineRule="exact"/>
        <w:ind w:left="0" w:leftChars="0" w:right="0"/>
        <w:jc w:val="center"/>
        <w:rPr>
          <w:rFonts w:hint="eastAsia" w:ascii="宋体" w:hAnsi="宋体" w:eastAsia="宋体" w:cs="宋体"/>
          <w:color w:val="000000"/>
        </w:rPr>
      </w:pPr>
    </w:p>
    <w:p w14:paraId="1110AC03">
      <w:pPr>
        <w:pageBreakBefore w:val="0"/>
        <w:topLinePunct w:val="0"/>
        <w:bidi w:val="0"/>
        <w:spacing w:line="500" w:lineRule="exact"/>
        <w:ind w:left="0" w:leftChars="0" w:right="0"/>
        <w:jc w:val="center"/>
        <w:rPr>
          <w:rFonts w:hint="eastAsia" w:ascii="宋体" w:hAnsi="宋体" w:eastAsia="宋体" w:cs="宋体"/>
          <w:color w:val="000000"/>
        </w:rPr>
      </w:pPr>
      <w:r>
        <w:rPr>
          <w:rFonts w:hint="eastAsia" w:ascii="宋体" w:hAnsi="宋体" w:eastAsia="宋体" w:cs="宋体"/>
          <w:color w:val="000000"/>
        </w:rPr>
        <w:drawing>
          <wp:anchor distT="0" distB="0" distL="114300" distR="114300" simplePos="0" relativeHeight="251671552" behindDoc="0" locked="0" layoutInCell="1" allowOverlap="1">
            <wp:simplePos x="0" y="0"/>
            <wp:positionH relativeFrom="column">
              <wp:posOffset>74295</wp:posOffset>
            </wp:positionH>
            <wp:positionV relativeFrom="paragraph">
              <wp:posOffset>72390</wp:posOffset>
            </wp:positionV>
            <wp:extent cx="5516245" cy="7505700"/>
            <wp:effectExtent l="0" t="0" r="8255" b="0"/>
            <wp:wrapSquare wrapText="bothSides"/>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24"/>
                    <a:stretch>
                      <a:fillRect/>
                    </a:stretch>
                  </pic:blipFill>
                  <pic:spPr>
                    <a:xfrm>
                      <a:off x="0" y="0"/>
                      <a:ext cx="5516245" cy="7505700"/>
                    </a:xfrm>
                    <a:prstGeom prst="rect">
                      <a:avLst/>
                    </a:prstGeom>
                    <a:noFill/>
                    <a:ln>
                      <a:noFill/>
                    </a:ln>
                  </pic:spPr>
                </pic:pic>
              </a:graphicData>
            </a:graphic>
          </wp:anchor>
        </w:drawing>
      </w:r>
    </w:p>
    <w:p w14:paraId="012818B2">
      <w:pPr>
        <w:pageBreakBefore w:val="0"/>
        <w:topLinePunct w:val="0"/>
        <w:bidi w:val="0"/>
        <w:spacing w:line="500" w:lineRule="exact"/>
        <w:ind w:left="0" w:leftChars="0" w:right="0"/>
        <w:jc w:val="center"/>
        <w:rPr>
          <w:rFonts w:hint="eastAsia" w:ascii="宋体" w:hAnsi="宋体" w:eastAsia="宋体" w:cs="宋体"/>
          <w:color w:val="000000"/>
        </w:rPr>
      </w:pPr>
    </w:p>
    <w:p w14:paraId="49C85D9E">
      <w:pPr>
        <w:pageBreakBefore w:val="0"/>
        <w:topLinePunct w:val="0"/>
        <w:bidi w:val="0"/>
        <w:spacing w:line="500" w:lineRule="exact"/>
        <w:ind w:left="0" w:leftChars="0" w:right="0"/>
        <w:jc w:val="center"/>
        <w:rPr>
          <w:rFonts w:hint="eastAsia" w:ascii="宋体" w:hAnsi="宋体" w:eastAsia="宋体" w:cs="宋体"/>
          <w:color w:val="000000"/>
        </w:rPr>
      </w:pPr>
    </w:p>
    <w:p w14:paraId="0D044B4A">
      <w:pPr>
        <w:pageBreakBefore w:val="0"/>
        <w:topLinePunct w:val="0"/>
        <w:bidi w:val="0"/>
        <w:spacing w:line="500" w:lineRule="exact"/>
        <w:ind w:left="0" w:leftChars="0" w:right="0"/>
        <w:jc w:val="center"/>
        <w:rPr>
          <w:rFonts w:hint="eastAsia" w:ascii="宋体" w:hAnsi="宋体" w:eastAsia="宋体" w:cs="宋体"/>
          <w:color w:val="000000"/>
        </w:rPr>
      </w:pPr>
    </w:p>
    <w:p w14:paraId="6DA5F80E">
      <w:pPr>
        <w:pageBreakBefore w:val="0"/>
        <w:topLinePunct w:val="0"/>
        <w:bidi w:val="0"/>
        <w:spacing w:line="500" w:lineRule="exact"/>
        <w:ind w:left="0" w:leftChars="0" w:right="0"/>
        <w:jc w:val="center"/>
        <w:rPr>
          <w:rFonts w:hint="eastAsia" w:ascii="宋体" w:hAnsi="宋体" w:eastAsia="宋体" w:cs="宋体"/>
          <w:color w:val="000000"/>
        </w:rPr>
      </w:pPr>
    </w:p>
    <w:p w14:paraId="73F9E451">
      <w:pPr>
        <w:pageBreakBefore w:val="0"/>
        <w:topLinePunct w:val="0"/>
        <w:bidi w:val="0"/>
        <w:spacing w:line="500" w:lineRule="exact"/>
        <w:ind w:left="0" w:leftChars="0" w:right="0"/>
        <w:jc w:val="center"/>
        <w:rPr>
          <w:rFonts w:hint="eastAsia" w:ascii="宋体" w:hAnsi="宋体" w:eastAsia="宋体" w:cs="宋体"/>
          <w:color w:val="000000"/>
        </w:rPr>
      </w:pPr>
    </w:p>
    <w:p w14:paraId="023E2D5D">
      <w:pPr>
        <w:pageBreakBefore w:val="0"/>
        <w:topLinePunct w:val="0"/>
        <w:bidi w:val="0"/>
        <w:spacing w:line="500" w:lineRule="exact"/>
        <w:ind w:left="0" w:leftChars="0" w:right="0"/>
        <w:jc w:val="center"/>
        <w:rPr>
          <w:rFonts w:hint="eastAsia" w:ascii="宋体" w:hAnsi="宋体" w:eastAsia="宋体" w:cs="宋体"/>
          <w:color w:val="000000"/>
        </w:rPr>
      </w:pPr>
    </w:p>
    <w:p w14:paraId="78331AB1">
      <w:pPr>
        <w:pageBreakBefore w:val="0"/>
        <w:topLinePunct w:val="0"/>
        <w:bidi w:val="0"/>
        <w:spacing w:line="500" w:lineRule="exact"/>
        <w:ind w:left="0" w:leftChars="0" w:right="0"/>
        <w:jc w:val="center"/>
        <w:rPr>
          <w:rFonts w:hint="eastAsia" w:ascii="宋体" w:hAnsi="宋体" w:eastAsia="宋体" w:cs="宋体"/>
          <w:color w:val="000000"/>
        </w:rPr>
      </w:pPr>
    </w:p>
    <w:p w14:paraId="4BB2AD03">
      <w:pPr>
        <w:pageBreakBefore w:val="0"/>
        <w:topLinePunct w:val="0"/>
        <w:bidi w:val="0"/>
        <w:spacing w:line="500" w:lineRule="exact"/>
        <w:ind w:left="0" w:leftChars="0" w:right="0"/>
        <w:jc w:val="center"/>
        <w:rPr>
          <w:rFonts w:hint="eastAsia" w:ascii="宋体" w:hAnsi="宋体" w:eastAsia="宋体" w:cs="宋体"/>
          <w:color w:val="000000"/>
        </w:rPr>
      </w:pPr>
    </w:p>
    <w:p w14:paraId="3BC967B5">
      <w:pPr>
        <w:pageBreakBefore w:val="0"/>
        <w:topLinePunct w:val="0"/>
        <w:bidi w:val="0"/>
        <w:spacing w:line="500" w:lineRule="exact"/>
        <w:ind w:left="0" w:leftChars="0" w:right="0"/>
        <w:jc w:val="center"/>
        <w:rPr>
          <w:rFonts w:hint="eastAsia" w:ascii="宋体" w:hAnsi="宋体" w:eastAsia="宋体" w:cs="宋体"/>
          <w:color w:val="000000"/>
        </w:rPr>
      </w:pPr>
    </w:p>
    <w:p w14:paraId="5F4F3C28">
      <w:pPr>
        <w:pageBreakBefore w:val="0"/>
        <w:topLinePunct w:val="0"/>
        <w:bidi w:val="0"/>
        <w:spacing w:line="500" w:lineRule="exact"/>
        <w:ind w:left="0" w:leftChars="0" w:right="0"/>
        <w:jc w:val="center"/>
        <w:rPr>
          <w:rFonts w:hint="eastAsia" w:ascii="宋体" w:hAnsi="宋体" w:eastAsia="宋体" w:cs="宋体"/>
          <w:color w:val="000000"/>
        </w:rPr>
      </w:pPr>
    </w:p>
    <w:p w14:paraId="747BE987">
      <w:pPr>
        <w:pageBreakBefore w:val="0"/>
        <w:topLinePunct w:val="0"/>
        <w:bidi w:val="0"/>
        <w:spacing w:line="500" w:lineRule="exact"/>
        <w:ind w:left="0" w:leftChars="0" w:right="0"/>
        <w:jc w:val="center"/>
        <w:rPr>
          <w:rFonts w:hint="eastAsia" w:ascii="宋体" w:hAnsi="宋体" w:eastAsia="宋体" w:cs="宋体"/>
          <w:color w:val="000000"/>
        </w:rPr>
      </w:pPr>
    </w:p>
    <w:p w14:paraId="420B6AAA">
      <w:pPr>
        <w:pageBreakBefore w:val="0"/>
        <w:topLinePunct w:val="0"/>
        <w:bidi w:val="0"/>
        <w:spacing w:line="500" w:lineRule="exact"/>
        <w:ind w:left="0" w:leftChars="0" w:right="0"/>
        <w:jc w:val="center"/>
        <w:rPr>
          <w:rFonts w:hint="eastAsia" w:ascii="宋体" w:hAnsi="宋体" w:eastAsia="宋体" w:cs="宋体"/>
          <w:color w:val="000000"/>
        </w:rPr>
      </w:pPr>
    </w:p>
    <w:p w14:paraId="75453CAB">
      <w:pPr>
        <w:pageBreakBefore w:val="0"/>
        <w:topLinePunct w:val="0"/>
        <w:bidi w:val="0"/>
        <w:spacing w:line="500" w:lineRule="exact"/>
        <w:ind w:left="0" w:leftChars="0" w:right="0"/>
        <w:jc w:val="center"/>
        <w:rPr>
          <w:rFonts w:hint="eastAsia" w:ascii="宋体" w:hAnsi="宋体" w:eastAsia="宋体" w:cs="宋体"/>
          <w:color w:val="000000"/>
        </w:rPr>
      </w:pPr>
    </w:p>
    <w:p w14:paraId="63B94907">
      <w:pPr>
        <w:pageBreakBefore w:val="0"/>
        <w:topLinePunct w:val="0"/>
        <w:bidi w:val="0"/>
        <w:spacing w:line="500" w:lineRule="exact"/>
        <w:ind w:left="0" w:leftChars="0" w:right="0"/>
        <w:jc w:val="center"/>
        <w:rPr>
          <w:rFonts w:hint="eastAsia" w:ascii="宋体" w:hAnsi="宋体" w:eastAsia="宋体" w:cs="宋体"/>
          <w:color w:val="000000"/>
        </w:rPr>
      </w:pPr>
    </w:p>
    <w:p w14:paraId="021B0754">
      <w:pPr>
        <w:pageBreakBefore w:val="0"/>
        <w:topLinePunct w:val="0"/>
        <w:bidi w:val="0"/>
        <w:spacing w:line="500" w:lineRule="exact"/>
        <w:ind w:left="0" w:leftChars="0" w:right="0"/>
        <w:jc w:val="center"/>
        <w:rPr>
          <w:rFonts w:hint="eastAsia" w:ascii="宋体" w:hAnsi="宋体" w:eastAsia="宋体" w:cs="宋体"/>
          <w:color w:val="000000"/>
        </w:rPr>
      </w:pPr>
    </w:p>
    <w:p w14:paraId="56B90792">
      <w:pPr>
        <w:pageBreakBefore w:val="0"/>
        <w:topLinePunct w:val="0"/>
        <w:bidi w:val="0"/>
        <w:spacing w:line="500" w:lineRule="exact"/>
        <w:ind w:left="0" w:leftChars="0" w:right="0"/>
        <w:jc w:val="center"/>
        <w:rPr>
          <w:rFonts w:hint="eastAsia" w:ascii="宋体" w:hAnsi="宋体" w:eastAsia="宋体" w:cs="宋体"/>
          <w:color w:val="000000"/>
        </w:rPr>
      </w:pPr>
    </w:p>
    <w:p w14:paraId="2E406BC2">
      <w:pPr>
        <w:pageBreakBefore w:val="0"/>
        <w:topLinePunct w:val="0"/>
        <w:bidi w:val="0"/>
        <w:spacing w:line="500" w:lineRule="exact"/>
        <w:ind w:left="0" w:leftChars="0" w:right="0"/>
        <w:jc w:val="center"/>
        <w:rPr>
          <w:rFonts w:hint="eastAsia" w:ascii="宋体" w:hAnsi="宋体" w:eastAsia="宋体" w:cs="宋体"/>
          <w:color w:val="000000"/>
        </w:rPr>
      </w:pPr>
    </w:p>
    <w:p w14:paraId="29331A5F">
      <w:pPr>
        <w:pageBreakBefore w:val="0"/>
        <w:topLinePunct w:val="0"/>
        <w:bidi w:val="0"/>
        <w:spacing w:line="500" w:lineRule="exact"/>
        <w:ind w:left="0" w:leftChars="0" w:right="0"/>
        <w:jc w:val="center"/>
        <w:rPr>
          <w:rFonts w:hint="eastAsia" w:ascii="宋体" w:hAnsi="宋体" w:eastAsia="宋体" w:cs="宋体"/>
          <w:color w:val="000000"/>
        </w:rPr>
      </w:pPr>
    </w:p>
    <w:p w14:paraId="7E726971">
      <w:pPr>
        <w:pageBreakBefore w:val="0"/>
        <w:topLinePunct w:val="0"/>
        <w:bidi w:val="0"/>
        <w:spacing w:line="500" w:lineRule="exact"/>
        <w:ind w:left="0" w:leftChars="0" w:right="0"/>
        <w:jc w:val="center"/>
        <w:rPr>
          <w:rFonts w:hint="eastAsia" w:ascii="宋体" w:hAnsi="宋体" w:eastAsia="宋体" w:cs="宋体"/>
          <w:color w:val="000000"/>
        </w:rPr>
      </w:pPr>
    </w:p>
    <w:p w14:paraId="2E83FC54">
      <w:pPr>
        <w:pageBreakBefore w:val="0"/>
        <w:topLinePunct w:val="0"/>
        <w:bidi w:val="0"/>
        <w:spacing w:line="500" w:lineRule="exact"/>
        <w:ind w:left="0" w:leftChars="0" w:right="0"/>
        <w:jc w:val="center"/>
        <w:rPr>
          <w:rFonts w:hint="eastAsia" w:ascii="宋体" w:hAnsi="宋体" w:eastAsia="宋体" w:cs="宋体"/>
          <w:color w:val="000000"/>
        </w:rPr>
      </w:pPr>
    </w:p>
    <w:p w14:paraId="5542145C">
      <w:pPr>
        <w:pageBreakBefore w:val="0"/>
        <w:topLinePunct w:val="0"/>
        <w:bidi w:val="0"/>
        <w:spacing w:line="500" w:lineRule="exact"/>
        <w:ind w:left="0" w:leftChars="0" w:right="0"/>
        <w:jc w:val="center"/>
        <w:rPr>
          <w:rFonts w:hint="eastAsia" w:ascii="宋体" w:hAnsi="宋体" w:eastAsia="宋体" w:cs="宋体"/>
          <w:color w:val="000000"/>
        </w:rPr>
      </w:pPr>
    </w:p>
    <w:p w14:paraId="09E802CB">
      <w:pPr>
        <w:pageBreakBefore w:val="0"/>
        <w:topLinePunct w:val="0"/>
        <w:bidi w:val="0"/>
        <w:spacing w:line="500" w:lineRule="exact"/>
        <w:ind w:left="0" w:leftChars="0" w:right="0"/>
        <w:jc w:val="center"/>
        <w:rPr>
          <w:rFonts w:hint="eastAsia" w:ascii="宋体" w:hAnsi="宋体" w:eastAsia="宋体" w:cs="宋体"/>
          <w:color w:val="000000"/>
        </w:rPr>
      </w:pPr>
    </w:p>
    <w:p w14:paraId="284D0824">
      <w:pPr>
        <w:pageBreakBefore w:val="0"/>
        <w:topLinePunct w:val="0"/>
        <w:bidi w:val="0"/>
        <w:spacing w:line="500" w:lineRule="exact"/>
        <w:ind w:left="0" w:leftChars="0" w:right="0"/>
        <w:jc w:val="center"/>
        <w:rPr>
          <w:rFonts w:hint="eastAsia" w:ascii="宋体" w:hAnsi="宋体" w:eastAsia="宋体" w:cs="宋体"/>
          <w:color w:val="000000"/>
        </w:rPr>
      </w:pPr>
    </w:p>
    <w:p w14:paraId="3F53A31A">
      <w:pPr>
        <w:pageBreakBefore w:val="0"/>
        <w:topLinePunct w:val="0"/>
        <w:bidi w:val="0"/>
        <w:spacing w:line="500" w:lineRule="exact"/>
        <w:ind w:left="0" w:leftChars="0" w:right="0"/>
        <w:jc w:val="center"/>
        <w:rPr>
          <w:rFonts w:hint="eastAsia" w:ascii="宋体" w:hAnsi="宋体" w:eastAsia="宋体" w:cs="宋体"/>
          <w:color w:val="000000"/>
        </w:rPr>
      </w:pPr>
    </w:p>
    <w:p w14:paraId="200806B1">
      <w:pPr>
        <w:pageBreakBefore w:val="0"/>
        <w:topLinePunct w:val="0"/>
        <w:bidi w:val="0"/>
        <w:spacing w:line="500" w:lineRule="exact"/>
        <w:ind w:left="0" w:leftChars="0" w:right="0"/>
        <w:jc w:val="center"/>
        <w:rPr>
          <w:rFonts w:hint="eastAsia" w:ascii="宋体" w:hAnsi="宋体" w:eastAsia="宋体" w:cs="宋体"/>
          <w:color w:val="000000"/>
        </w:rPr>
      </w:pPr>
    </w:p>
    <w:p w14:paraId="16AF88B4">
      <w:pPr>
        <w:pageBreakBefore w:val="0"/>
        <w:topLinePunct w:val="0"/>
        <w:bidi w:val="0"/>
        <w:spacing w:line="500" w:lineRule="exact"/>
        <w:ind w:left="0" w:leftChars="0" w:right="0"/>
        <w:jc w:val="center"/>
        <w:rPr>
          <w:rFonts w:hint="eastAsia" w:ascii="宋体" w:hAnsi="宋体" w:eastAsia="宋体" w:cs="宋体"/>
          <w:color w:val="000000"/>
        </w:rPr>
      </w:pPr>
    </w:p>
    <w:p w14:paraId="5D4C6E20">
      <w:pPr>
        <w:pageBreakBefore w:val="0"/>
        <w:topLinePunct w:val="0"/>
        <w:bidi w:val="0"/>
        <w:spacing w:line="500" w:lineRule="exact"/>
        <w:ind w:left="0" w:leftChars="0" w:right="0"/>
        <w:jc w:val="center"/>
        <w:rPr>
          <w:rFonts w:hint="eastAsia" w:ascii="宋体" w:hAnsi="宋体" w:eastAsia="宋体" w:cs="宋体"/>
          <w:color w:val="000000"/>
        </w:rPr>
      </w:pPr>
      <w:r>
        <w:rPr>
          <w:rFonts w:hint="eastAsia" w:ascii="宋体" w:hAnsi="宋体" w:eastAsia="宋体" w:cs="宋体"/>
          <w:color w:val="000000"/>
        </w:rPr>
        <w:drawing>
          <wp:anchor distT="0" distB="0" distL="114300" distR="114300" simplePos="0" relativeHeight="251672576" behindDoc="0" locked="0" layoutInCell="1" allowOverlap="1">
            <wp:simplePos x="0" y="0"/>
            <wp:positionH relativeFrom="column">
              <wp:posOffset>286385</wp:posOffset>
            </wp:positionH>
            <wp:positionV relativeFrom="paragraph">
              <wp:posOffset>98425</wp:posOffset>
            </wp:positionV>
            <wp:extent cx="5575935" cy="7753985"/>
            <wp:effectExtent l="0" t="0" r="5715" b="18415"/>
            <wp:wrapSquare wrapText="bothSides"/>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25"/>
                    <a:stretch>
                      <a:fillRect/>
                    </a:stretch>
                  </pic:blipFill>
                  <pic:spPr>
                    <a:xfrm>
                      <a:off x="0" y="0"/>
                      <a:ext cx="5575935" cy="7753985"/>
                    </a:xfrm>
                    <a:prstGeom prst="rect">
                      <a:avLst/>
                    </a:prstGeom>
                    <a:noFill/>
                    <a:ln>
                      <a:noFill/>
                    </a:ln>
                  </pic:spPr>
                </pic:pic>
              </a:graphicData>
            </a:graphic>
          </wp:anchor>
        </w:drawing>
      </w:r>
    </w:p>
    <w:p w14:paraId="29290BFA">
      <w:pPr>
        <w:pageBreakBefore w:val="0"/>
        <w:topLinePunct w:val="0"/>
        <w:bidi w:val="0"/>
        <w:spacing w:line="500" w:lineRule="exact"/>
        <w:ind w:left="0" w:leftChars="0" w:right="0"/>
        <w:jc w:val="center"/>
        <w:rPr>
          <w:rFonts w:hint="eastAsia" w:ascii="宋体" w:hAnsi="宋体" w:eastAsia="宋体" w:cs="宋体"/>
          <w:color w:val="000000"/>
        </w:rPr>
      </w:pPr>
    </w:p>
    <w:bookmarkEnd w:id="548"/>
    <w:bookmarkEnd w:id="549"/>
    <w:bookmarkEnd w:id="550"/>
    <w:p w14:paraId="7AA357AA">
      <w:pPr>
        <w:pageBreakBefore w:val="0"/>
        <w:topLinePunct w:val="0"/>
        <w:bidi w:val="0"/>
        <w:spacing w:line="500" w:lineRule="exact"/>
        <w:ind w:left="0" w:leftChars="0" w:right="0"/>
        <w:jc w:val="center"/>
        <w:rPr>
          <w:rFonts w:hint="eastAsia" w:ascii="宋体" w:hAnsi="宋体" w:eastAsia="宋体" w:cs="宋体"/>
          <w:color w:val="000000"/>
        </w:rPr>
        <w:sectPr>
          <w:pgSz w:w="11906" w:h="16838"/>
          <w:pgMar w:top="1440" w:right="1080" w:bottom="1440" w:left="1080" w:header="850" w:footer="992" w:gutter="0"/>
          <w:pgNumType w:fmt="decimal"/>
          <w:cols w:space="720" w:num="1"/>
          <w:rtlGutter w:val="0"/>
          <w:docGrid w:type="lines" w:linePitch="324" w:charSpace="0"/>
        </w:sectPr>
      </w:pPr>
    </w:p>
    <w:p w14:paraId="358A1A82">
      <w:pPr>
        <w:pageBreakBefore w:val="0"/>
        <w:topLinePunct w:val="0"/>
        <w:bidi w:val="0"/>
        <w:spacing w:line="500" w:lineRule="exact"/>
        <w:ind w:left="0" w:leftChars="0" w:right="0"/>
        <w:rPr>
          <w:rFonts w:hint="eastAsia" w:ascii="宋体" w:hAnsi="宋体" w:eastAsia="宋体" w:cs="宋体"/>
          <w:b/>
          <w:bCs/>
          <w:color w:val="000000"/>
          <w:sz w:val="24"/>
          <w:szCs w:val="20"/>
          <w:lang w:val="en-US" w:eastAsia="zh-CN"/>
        </w:rPr>
      </w:pPr>
      <w:r>
        <w:rPr>
          <w:rFonts w:hint="eastAsia" w:ascii="宋体" w:hAnsi="宋体" w:eastAsia="宋体" w:cs="宋体"/>
          <w:color w:val="000000"/>
          <w:lang w:val="en-US" w:eastAsia="zh-CN"/>
        </w:rPr>
        <w:drawing>
          <wp:anchor distT="0" distB="0" distL="114300" distR="114300" simplePos="0" relativeHeight="251673600" behindDoc="0" locked="0" layoutInCell="1" allowOverlap="1">
            <wp:simplePos x="0" y="0"/>
            <wp:positionH relativeFrom="column">
              <wp:posOffset>172085</wp:posOffset>
            </wp:positionH>
            <wp:positionV relativeFrom="paragraph">
              <wp:posOffset>767715</wp:posOffset>
            </wp:positionV>
            <wp:extent cx="5758815" cy="7926070"/>
            <wp:effectExtent l="0" t="0" r="13335" b="17780"/>
            <wp:wrapSquare wrapText="bothSides"/>
            <wp:docPr id="18" name="图片 15" descr="榆政财采发 2023 9号(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榆政财采发 2023 9号(1)_00"/>
                    <pic:cNvPicPr>
                      <a:picLocks noChangeAspect="1"/>
                    </pic:cNvPicPr>
                  </pic:nvPicPr>
                  <pic:blipFill>
                    <a:blip r:embed="rId26"/>
                    <a:stretch>
                      <a:fillRect/>
                    </a:stretch>
                  </pic:blipFill>
                  <pic:spPr>
                    <a:xfrm>
                      <a:off x="0" y="0"/>
                      <a:ext cx="5758815" cy="7926070"/>
                    </a:xfrm>
                    <a:prstGeom prst="rect">
                      <a:avLst/>
                    </a:prstGeom>
                    <a:noFill/>
                    <a:ln>
                      <a:noFill/>
                    </a:ln>
                  </pic:spPr>
                </pic:pic>
              </a:graphicData>
            </a:graphic>
          </wp:anchor>
        </w:drawing>
      </w:r>
      <w:r>
        <w:rPr>
          <w:rFonts w:hint="eastAsia" w:ascii="宋体" w:hAnsi="宋体" w:eastAsia="宋体" w:cs="宋体"/>
          <w:b/>
          <w:bCs/>
          <w:color w:val="000000"/>
          <w:sz w:val="24"/>
          <w:szCs w:val="20"/>
          <w:lang w:val="en-US" w:eastAsia="zh-CN"/>
        </w:rPr>
        <w:t>附件二：《陕西省财政厅 中国人民银行西安分行关于深人推进政府采购信用融资业务的通知》（陕财办采〔2023]5号）</w:t>
      </w:r>
    </w:p>
    <w:p w14:paraId="18A02E7D">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r>
        <w:rPr>
          <w:rFonts w:hint="eastAsia" w:ascii="宋体" w:hAnsi="宋体" w:eastAsia="宋体" w:cs="宋体"/>
          <w:color w:val="000000"/>
          <w:lang w:val="en-US" w:eastAsia="zh-CN"/>
        </w:rPr>
        <w:drawing>
          <wp:anchor distT="0" distB="0" distL="114300" distR="114300" simplePos="0" relativeHeight="251674624" behindDoc="0" locked="0" layoutInCell="1" allowOverlap="1">
            <wp:simplePos x="0" y="0"/>
            <wp:positionH relativeFrom="column">
              <wp:posOffset>163195</wp:posOffset>
            </wp:positionH>
            <wp:positionV relativeFrom="paragraph">
              <wp:posOffset>-22225</wp:posOffset>
            </wp:positionV>
            <wp:extent cx="5753735" cy="8127365"/>
            <wp:effectExtent l="0" t="0" r="18415" b="6985"/>
            <wp:wrapSquare wrapText="bothSides"/>
            <wp:docPr id="35" name="图片 16" descr="榆政财采发 2023 9号(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descr="榆政财采发 2023 9号(1)_01"/>
                    <pic:cNvPicPr>
                      <a:picLocks noChangeAspect="1"/>
                    </pic:cNvPicPr>
                  </pic:nvPicPr>
                  <pic:blipFill>
                    <a:blip r:embed="rId27"/>
                    <a:stretch>
                      <a:fillRect/>
                    </a:stretch>
                  </pic:blipFill>
                  <pic:spPr>
                    <a:xfrm>
                      <a:off x="0" y="0"/>
                      <a:ext cx="5753735" cy="8127365"/>
                    </a:xfrm>
                    <a:prstGeom prst="rect">
                      <a:avLst/>
                    </a:prstGeom>
                    <a:noFill/>
                    <a:ln>
                      <a:noFill/>
                    </a:ln>
                  </pic:spPr>
                </pic:pic>
              </a:graphicData>
            </a:graphic>
          </wp:anchor>
        </w:drawing>
      </w:r>
    </w:p>
    <w:p w14:paraId="43D1E267">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34AC19B7">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100208D2">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735507A0">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76458538">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3820F9A9">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4043EADA">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693F30E6">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63FF4F2A">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156EC2C2">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66D7AAD1">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0F415C50">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717B192E">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4F0BF9E5">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255274F7">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30B3FAE5">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13ADF84D">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0CAE83C3">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2DF7F124">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62AEDB4D">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1550EEB6">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57E7BAE0">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4BFB2208">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3D773979">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5233BBB7">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0591230F">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69DE699E">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r>
        <w:rPr>
          <w:rFonts w:hint="eastAsia" w:ascii="宋体" w:hAnsi="宋体" w:eastAsia="宋体" w:cs="宋体"/>
          <w:color w:val="000000"/>
          <w:lang w:val="en-US" w:eastAsia="zh-CN"/>
        </w:rPr>
        <w:drawing>
          <wp:anchor distT="0" distB="0" distL="114300" distR="114300" simplePos="0" relativeHeight="251675648" behindDoc="0" locked="0" layoutInCell="1" allowOverlap="1">
            <wp:simplePos x="0" y="0"/>
            <wp:positionH relativeFrom="column">
              <wp:posOffset>0</wp:posOffset>
            </wp:positionH>
            <wp:positionV relativeFrom="paragraph">
              <wp:posOffset>-7880350</wp:posOffset>
            </wp:positionV>
            <wp:extent cx="5753735" cy="8127365"/>
            <wp:effectExtent l="0" t="0" r="18415" b="6985"/>
            <wp:wrapSquare wrapText="bothSides"/>
            <wp:docPr id="34" name="图片 17" descr="榆政财采发 2023 9号(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7" descr="榆政财采发 2023 9号(1)_02"/>
                    <pic:cNvPicPr>
                      <a:picLocks noChangeAspect="1"/>
                    </pic:cNvPicPr>
                  </pic:nvPicPr>
                  <pic:blipFill>
                    <a:blip r:embed="rId28"/>
                    <a:stretch>
                      <a:fillRect/>
                    </a:stretch>
                  </pic:blipFill>
                  <pic:spPr>
                    <a:xfrm>
                      <a:off x="0" y="0"/>
                      <a:ext cx="5753735" cy="8127365"/>
                    </a:xfrm>
                    <a:prstGeom prst="rect">
                      <a:avLst/>
                    </a:prstGeom>
                    <a:noFill/>
                    <a:ln>
                      <a:noFill/>
                    </a:ln>
                  </pic:spPr>
                </pic:pic>
              </a:graphicData>
            </a:graphic>
          </wp:anchor>
        </w:drawing>
      </w:r>
    </w:p>
    <w:p w14:paraId="53F8E6FC">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37F0AA66">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r>
        <w:rPr>
          <w:rFonts w:hint="eastAsia" w:ascii="宋体" w:hAnsi="宋体" w:eastAsia="宋体" w:cs="宋体"/>
          <w:color w:val="000000"/>
          <w:lang w:val="en-US" w:eastAsia="zh-CN"/>
        </w:rPr>
        <w:drawing>
          <wp:anchor distT="0" distB="0" distL="114300" distR="114300" simplePos="0" relativeHeight="251676672" behindDoc="0" locked="0" layoutInCell="1" allowOverlap="1">
            <wp:simplePos x="0" y="0"/>
            <wp:positionH relativeFrom="column">
              <wp:posOffset>60325</wp:posOffset>
            </wp:positionH>
            <wp:positionV relativeFrom="paragraph">
              <wp:posOffset>-13335</wp:posOffset>
            </wp:positionV>
            <wp:extent cx="5753735" cy="8127365"/>
            <wp:effectExtent l="0" t="0" r="18415" b="6985"/>
            <wp:wrapSquare wrapText="bothSides"/>
            <wp:docPr id="29" name="图片 18" descr="榆政财采发 2023 9号(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descr="榆政财采发 2023 9号(1)_03"/>
                    <pic:cNvPicPr>
                      <a:picLocks noChangeAspect="1"/>
                    </pic:cNvPicPr>
                  </pic:nvPicPr>
                  <pic:blipFill>
                    <a:blip r:embed="rId29"/>
                    <a:stretch>
                      <a:fillRect/>
                    </a:stretch>
                  </pic:blipFill>
                  <pic:spPr>
                    <a:xfrm>
                      <a:off x="0" y="0"/>
                      <a:ext cx="5753735" cy="8127365"/>
                    </a:xfrm>
                    <a:prstGeom prst="rect">
                      <a:avLst/>
                    </a:prstGeom>
                    <a:noFill/>
                    <a:ln>
                      <a:noFill/>
                    </a:ln>
                  </pic:spPr>
                </pic:pic>
              </a:graphicData>
            </a:graphic>
          </wp:anchor>
        </w:drawing>
      </w:r>
    </w:p>
    <w:p w14:paraId="111417E2">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52D970ED">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39FC5E74">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4F2B73A2">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359A6FE9">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01A4D6B0">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7AC16BE8">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3F32A04F">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22CCA3E8">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77AF2A16">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6D367055">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0E5A53E3">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2D4076D3">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4369A972">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0E7FC62A">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0844822D">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5B8295CF">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50BB1B4D">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218A8F57">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0BCDEB1A">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01D8F8AB">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09E891B5">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44152788">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434EC8CF">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4ED1A0CF">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49123938">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6632AE4B">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r>
        <w:rPr>
          <w:rFonts w:hint="eastAsia" w:ascii="宋体" w:hAnsi="宋体" w:eastAsia="宋体" w:cs="宋体"/>
          <w:color w:val="000000"/>
          <w:lang w:val="en-US" w:eastAsia="zh-CN"/>
        </w:rPr>
        <w:drawing>
          <wp:anchor distT="0" distB="0" distL="114300" distR="114300" simplePos="0" relativeHeight="251677696" behindDoc="0" locked="0" layoutInCell="1" allowOverlap="1">
            <wp:simplePos x="0" y="0"/>
            <wp:positionH relativeFrom="column">
              <wp:posOffset>60325</wp:posOffset>
            </wp:positionH>
            <wp:positionV relativeFrom="paragraph">
              <wp:posOffset>4445</wp:posOffset>
            </wp:positionV>
            <wp:extent cx="5753735" cy="8127365"/>
            <wp:effectExtent l="0" t="0" r="18415" b="6985"/>
            <wp:wrapSquare wrapText="bothSides"/>
            <wp:docPr id="36" name="图片 19" descr="榆政财采发 2023 9号(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9" descr="榆政财采发 2023 9号(1)_04"/>
                    <pic:cNvPicPr>
                      <a:picLocks noChangeAspect="1"/>
                    </pic:cNvPicPr>
                  </pic:nvPicPr>
                  <pic:blipFill>
                    <a:blip r:embed="rId30"/>
                    <a:stretch>
                      <a:fillRect/>
                    </a:stretch>
                  </pic:blipFill>
                  <pic:spPr>
                    <a:xfrm>
                      <a:off x="0" y="0"/>
                      <a:ext cx="5753735" cy="8127365"/>
                    </a:xfrm>
                    <a:prstGeom prst="rect">
                      <a:avLst/>
                    </a:prstGeom>
                    <a:noFill/>
                    <a:ln>
                      <a:noFill/>
                    </a:ln>
                  </pic:spPr>
                </pic:pic>
              </a:graphicData>
            </a:graphic>
          </wp:anchor>
        </w:drawing>
      </w:r>
    </w:p>
    <w:p w14:paraId="41539DD7">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14D3E74E">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0A580BFA">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4F5C8B72">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4826E59A">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16212448">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2608381B">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520E3401">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78A1496C">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34D9A602">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36866BC1">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5E57A54A">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06DFD482">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67E8FB13">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70292E8B">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0BFAB521">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57B3F301">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15A73D7E">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46AE9007">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31836118">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4760B0BD">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7E04838F">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508CAC26">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16A98B95">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62B1D679">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622769DC">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100259A5">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r>
        <w:rPr>
          <w:rFonts w:hint="eastAsia" w:ascii="宋体" w:hAnsi="宋体" w:eastAsia="宋体" w:cs="宋体"/>
          <w:color w:val="000000"/>
          <w:lang w:val="en-US" w:eastAsia="zh-CN"/>
        </w:rPr>
        <w:drawing>
          <wp:anchor distT="0" distB="0" distL="114300" distR="114300" simplePos="0" relativeHeight="251678720" behindDoc="0" locked="0" layoutInCell="1" allowOverlap="1">
            <wp:simplePos x="0" y="0"/>
            <wp:positionH relativeFrom="column">
              <wp:posOffset>85725</wp:posOffset>
            </wp:positionH>
            <wp:positionV relativeFrom="paragraph">
              <wp:posOffset>64135</wp:posOffset>
            </wp:positionV>
            <wp:extent cx="5753735" cy="8127365"/>
            <wp:effectExtent l="0" t="0" r="18415" b="6985"/>
            <wp:wrapSquare wrapText="bothSides"/>
            <wp:docPr id="31" name="图片 20" descr="榆政财采发 2023 9号(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0" descr="榆政财采发 2023 9号(1)_05"/>
                    <pic:cNvPicPr>
                      <a:picLocks noChangeAspect="1"/>
                    </pic:cNvPicPr>
                  </pic:nvPicPr>
                  <pic:blipFill>
                    <a:blip r:embed="rId31"/>
                    <a:stretch>
                      <a:fillRect/>
                    </a:stretch>
                  </pic:blipFill>
                  <pic:spPr>
                    <a:xfrm>
                      <a:off x="0" y="0"/>
                      <a:ext cx="5753735" cy="8127365"/>
                    </a:xfrm>
                    <a:prstGeom prst="rect">
                      <a:avLst/>
                    </a:prstGeom>
                    <a:noFill/>
                    <a:ln>
                      <a:noFill/>
                    </a:ln>
                  </pic:spPr>
                </pic:pic>
              </a:graphicData>
            </a:graphic>
          </wp:anchor>
        </w:drawing>
      </w:r>
    </w:p>
    <w:p w14:paraId="4590B4D0">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7D3B4BF5">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06148F99">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61E50E1E">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78E77674">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7C9BBCBD">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1D293AD0">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704561D9">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4E006B2F">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5DED0547">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7BB94729">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733B7E3F">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56D92820">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6689AA7E">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7619E433">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5654F692">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59F479E2">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1B103ED1">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65D6E0CD">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743094ED">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7EDFD53D">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4F72A5B0">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02547F08">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4904B84D">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6DED12DF">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1D802696">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7AB590F0">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r>
        <w:rPr>
          <w:rFonts w:hint="eastAsia" w:ascii="宋体" w:hAnsi="宋体" w:eastAsia="宋体" w:cs="宋体"/>
          <w:color w:val="000000"/>
          <w:lang w:val="en-US" w:eastAsia="zh-CN"/>
        </w:rPr>
        <w:drawing>
          <wp:anchor distT="0" distB="0" distL="114300" distR="114300" simplePos="0" relativeHeight="251679744" behindDoc="0" locked="0" layoutInCell="1" allowOverlap="1">
            <wp:simplePos x="0" y="0"/>
            <wp:positionH relativeFrom="column">
              <wp:posOffset>0</wp:posOffset>
            </wp:positionH>
            <wp:positionV relativeFrom="paragraph">
              <wp:posOffset>-7880350</wp:posOffset>
            </wp:positionV>
            <wp:extent cx="5753735" cy="8127365"/>
            <wp:effectExtent l="0" t="0" r="18415" b="6985"/>
            <wp:wrapSquare wrapText="bothSides"/>
            <wp:docPr id="30" name="图片 21" descr="榆政财采发 2023 9号(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descr="榆政财采发 2023 9号(1)_06"/>
                    <pic:cNvPicPr>
                      <a:picLocks noChangeAspect="1"/>
                    </pic:cNvPicPr>
                  </pic:nvPicPr>
                  <pic:blipFill>
                    <a:blip r:embed="rId32"/>
                    <a:stretch>
                      <a:fillRect/>
                    </a:stretch>
                  </pic:blipFill>
                  <pic:spPr>
                    <a:xfrm>
                      <a:off x="0" y="0"/>
                      <a:ext cx="5753735" cy="8127365"/>
                    </a:xfrm>
                    <a:prstGeom prst="rect">
                      <a:avLst/>
                    </a:prstGeom>
                    <a:noFill/>
                    <a:ln>
                      <a:noFill/>
                    </a:ln>
                  </pic:spPr>
                </pic:pic>
              </a:graphicData>
            </a:graphic>
          </wp:anchor>
        </w:drawing>
      </w:r>
    </w:p>
    <w:p w14:paraId="19F7A3F4">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5D0F5BA5">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r>
        <w:rPr>
          <w:rFonts w:hint="eastAsia" w:ascii="宋体" w:hAnsi="宋体" w:eastAsia="宋体" w:cs="宋体"/>
          <w:color w:val="000000"/>
          <w:lang w:val="en-US" w:eastAsia="zh-CN"/>
        </w:rPr>
        <w:drawing>
          <wp:anchor distT="0" distB="0" distL="114300" distR="114300" simplePos="0" relativeHeight="251680768" behindDoc="0" locked="0" layoutInCell="1" allowOverlap="1">
            <wp:simplePos x="0" y="0"/>
            <wp:positionH relativeFrom="column">
              <wp:posOffset>25400</wp:posOffset>
            </wp:positionH>
            <wp:positionV relativeFrom="paragraph">
              <wp:posOffset>38100</wp:posOffset>
            </wp:positionV>
            <wp:extent cx="5753735" cy="8127365"/>
            <wp:effectExtent l="0" t="0" r="18415" b="6985"/>
            <wp:wrapSquare wrapText="bothSides"/>
            <wp:docPr id="28" name="图片 22" descr="榆政财采发 2023 9号(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2" descr="榆政财采发 2023 9号(1)_07"/>
                    <pic:cNvPicPr>
                      <a:picLocks noChangeAspect="1"/>
                    </pic:cNvPicPr>
                  </pic:nvPicPr>
                  <pic:blipFill>
                    <a:blip r:embed="rId33"/>
                    <a:stretch>
                      <a:fillRect/>
                    </a:stretch>
                  </pic:blipFill>
                  <pic:spPr>
                    <a:xfrm>
                      <a:off x="0" y="0"/>
                      <a:ext cx="5753735" cy="8127365"/>
                    </a:xfrm>
                    <a:prstGeom prst="rect">
                      <a:avLst/>
                    </a:prstGeom>
                    <a:noFill/>
                    <a:ln>
                      <a:noFill/>
                    </a:ln>
                  </pic:spPr>
                </pic:pic>
              </a:graphicData>
            </a:graphic>
          </wp:anchor>
        </w:drawing>
      </w:r>
    </w:p>
    <w:p w14:paraId="7BD690E4">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19F71665">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0C2779A6">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232C3D9B">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717F3757">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3320E2BB">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37A1C186">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647B5688">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7B024DD9">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5913FF3D">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1C7E9F6F">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4C877EA9">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2D67D6AF">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7FFB66C8">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522E1251">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678F6ED0">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3A4F53F0">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24484BE7">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206A6213">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1AC6AB86">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63E6D9E9">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17B7BC16">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3FAD78ED">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7EEA9359">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5C7EBDB5">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050E25C8">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7B03C9E0">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r>
        <w:rPr>
          <w:rFonts w:hint="eastAsia" w:ascii="宋体" w:hAnsi="宋体" w:eastAsia="宋体" w:cs="宋体"/>
          <w:color w:val="000000"/>
          <w:lang w:val="en-US" w:eastAsia="zh-CN"/>
        </w:rPr>
        <w:drawing>
          <wp:anchor distT="0" distB="0" distL="114300" distR="114300" simplePos="0" relativeHeight="251681792" behindDoc="0" locked="0" layoutInCell="1" allowOverlap="1">
            <wp:simplePos x="0" y="0"/>
            <wp:positionH relativeFrom="column">
              <wp:posOffset>60325</wp:posOffset>
            </wp:positionH>
            <wp:positionV relativeFrom="paragraph">
              <wp:posOffset>20955</wp:posOffset>
            </wp:positionV>
            <wp:extent cx="5753735" cy="8127365"/>
            <wp:effectExtent l="0" t="0" r="18415" b="6985"/>
            <wp:wrapSquare wrapText="bothSides"/>
            <wp:docPr id="33" name="图片 23" descr="榆政财采发 2023 9号(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3" descr="榆政财采发 2023 9号(1)_08"/>
                    <pic:cNvPicPr>
                      <a:picLocks noChangeAspect="1"/>
                    </pic:cNvPicPr>
                  </pic:nvPicPr>
                  <pic:blipFill>
                    <a:blip r:embed="rId34"/>
                    <a:stretch>
                      <a:fillRect/>
                    </a:stretch>
                  </pic:blipFill>
                  <pic:spPr>
                    <a:xfrm>
                      <a:off x="0" y="0"/>
                      <a:ext cx="5753735" cy="8127365"/>
                    </a:xfrm>
                    <a:prstGeom prst="rect">
                      <a:avLst/>
                    </a:prstGeom>
                    <a:noFill/>
                    <a:ln>
                      <a:noFill/>
                    </a:ln>
                  </pic:spPr>
                </pic:pic>
              </a:graphicData>
            </a:graphic>
          </wp:anchor>
        </w:drawing>
      </w:r>
    </w:p>
    <w:p w14:paraId="16D86EE8">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68A1B76C">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4CF8BA54">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15EE1A9D">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53403900">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470A2F7C">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3AA61AB4">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32FFDE87">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11E3603F">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7BF95A36">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75B8DCC7">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2DC4A7BA">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14062203">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7CC146D7">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571C4968">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4427F269">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22EEAF18">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34BE619B">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0D5B2693">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30FEE66C">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08D8AD0B">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248E12DF">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75E4FF58">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5E88C375">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07411F47">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4923D684">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2F93B559">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r>
        <w:rPr>
          <w:rFonts w:hint="eastAsia" w:ascii="宋体" w:hAnsi="宋体" w:eastAsia="宋体" w:cs="宋体"/>
          <w:color w:val="000000"/>
          <w:lang w:val="en-US" w:eastAsia="zh-CN"/>
        </w:rPr>
        <w:drawing>
          <wp:anchor distT="0" distB="0" distL="114300" distR="114300" simplePos="0" relativeHeight="251682816" behindDoc="0" locked="0" layoutInCell="1" allowOverlap="1">
            <wp:simplePos x="0" y="0"/>
            <wp:positionH relativeFrom="column">
              <wp:posOffset>145415</wp:posOffset>
            </wp:positionH>
            <wp:positionV relativeFrom="paragraph">
              <wp:posOffset>106680</wp:posOffset>
            </wp:positionV>
            <wp:extent cx="5753735" cy="8127365"/>
            <wp:effectExtent l="0" t="0" r="18415" b="6985"/>
            <wp:wrapSquare wrapText="bothSides"/>
            <wp:docPr id="37" name="图片 24" descr="榆政财采发 2023 9号(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4" descr="榆政财采发 2023 9号(1)_09"/>
                    <pic:cNvPicPr>
                      <a:picLocks noChangeAspect="1"/>
                    </pic:cNvPicPr>
                  </pic:nvPicPr>
                  <pic:blipFill>
                    <a:blip r:embed="rId35"/>
                    <a:stretch>
                      <a:fillRect/>
                    </a:stretch>
                  </pic:blipFill>
                  <pic:spPr>
                    <a:xfrm>
                      <a:off x="0" y="0"/>
                      <a:ext cx="5753735" cy="8127365"/>
                    </a:xfrm>
                    <a:prstGeom prst="rect">
                      <a:avLst/>
                    </a:prstGeom>
                    <a:noFill/>
                    <a:ln>
                      <a:noFill/>
                    </a:ln>
                  </pic:spPr>
                </pic:pic>
              </a:graphicData>
            </a:graphic>
          </wp:anchor>
        </w:drawing>
      </w:r>
    </w:p>
    <w:p w14:paraId="2A9D52D8">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r>
        <w:rPr>
          <w:rFonts w:hint="eastAsia" w:ascii="宋体" w:hAnsi="宋体" w:eastAsia="宋体" w:cs="宋体"/>
          <w:color w:val="000000"/>
          <w:lang w:val="en-US" w:eastAsia="zh-CN"/>
        </w:rPr>
        <w:drawing>
          <wp:anchor distT="0" distB="0" distL="114300" distR="114300" simplePos="0" relativeHeight="251683840" behindDoc="0" locked="0" layoutInCell="1" allowOverlap="1">
            <wp:simplePos x="0" y="0"/>
            <wp:positionH relativeFrom="column">
              <wp:posOffset>51435</wp:posOffset>
            </wp:positionH>
            <wp:positionV relativeFrom="paragraph">
              <wp:posOffset>158750</wp:posOffset>
            </wp:positionV>
            <wp:extent cx="5753735" cy="8127365"/>
            <wp:effectExtent l="0" t="0" r="18415" b="6985"/>
            <wp:wrapSquare wrapText="bothSides"/>
            <wp:docPr id="32" name="图片 25" descr="榆政财采发 2023 9号(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5" descr="榆政财采发 2023 9号(1)_10"/>
                    <pic:cNvPicPr>
                      <a:picLocks noChangeAspect="1"/>
                    </pic:cNvPicPr>
                  </pic:nvPicPr>
                  <pic:blipFill>
                    <a:blip r:embed="rId36"/>
                    <a:stretch>
                      <a:fillRect/>
                    </a:stretch>
                  </pic:blipFill>
                  <pic:spPr>
                    <a:xfrm>
                      <a:off x="0" y="0"/>
                      <a:ext cx="5753735" cy="8127365"/>
                    </a:xfrm>
                    <a:prstGeom prst="rect">
                      <a:avLst/>
                    </a:prstGeom>
                    <a:noFill/>
                    <a:ln>
                      <a:noFill/>
                    </a:ln>
                  </pic:spPr>
                </pic:pic>
              </a:graphicData>
            </a:graphic>
          </wp:anchor>
        </w:drawing>
      </w:r>
    </w:p>
    <w:p w14:paraId="34CC096F">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18ACCD7E">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028712A7">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1557E63B">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6E29B4C3">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73D16C57">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479D0751">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7644B78F">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14BC35F8">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20AFE50E">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09953982">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7DF9B853">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45C1B041">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579995CD">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370EC0EF">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54F89D10">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5B33311C">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6F246B09">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3105BB60">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17CB5967">
      <w:pPr>
        <w:pStyle w:val="17"/>
        <w:pageBreakBefore w:val="0"/>
        <w:topLinePunct w:val="0"/>
        <w:bidi w:val="0"/>
        <w:spacing w:line="500" w:lineRule="exact"/>
        <w:ind w:left="0" w:leftChars="0" w:right="0" w:firstLine="0" w:firstLineChars="0"/>
        <w:rPr>
          <w:rFonts w:hint="eastAsia" w:ascii="宋体" w:hAnsi="宋体" w:eastAsia="宋体" w:cs="宋体"/>
          <w:color w:val="000000"/>
          <w:lang w:val="en-US" w:eastAsia="zh-CN"/>
        </w:rPr>
      </w:pPr>
    </w:p>
    <w:p w14:paraId="69FB4272">
      <w:pPr>
        <w:pStyle w:val="17"/>
        <w:pageBreakBefore w:val="0"/>
        <w:topLinePunct w:val="0"/>
        <w:bidi w:val="0"/>
        <w:spacing w:line="500" w:lineRule="exact"/>
        <w:ind w:left="0" w:leftChars="0" w:right="0" w:firstLine="0" w:firstLineChars="0"/>
        <w:rPr>
          <w:rFonts w:hint="eastAsia" w:ascii="宋体" w:hAnsi="宋体" w:eastAsia="宋体" w:cs="宋体"/>
        </w:rPr>
      </w:pPr>
    </w:p>
    <w:p w14:paraId="72902025">
      <w:pPr>
        <w:pageBreakBefore w:val="0"/>
        <w:topLinePunct w:val="0"/>
        <w:bidi w:val="0"/>
        <w:spacing w:line="500" w:lineRule="exact"/>
        <w:ind w:left="0" w:leftChars="0" w:right="0" w:firstLine="2000" w:firstLineChars="500"/>
        <w:rPr>
          <w:rFonts w:hint="eastAsia" w:ascii="宋体" w:hAnsi="宋体" w:eastAsia="宋体" w:cs="宋体"/>
          <w:color w:val="auto"/>
          <w:sz w:val="40"/>
          <w:szCs w:val="40"/>
          <w:highlight w:val="none"/>
        </w:rPr>
      </w:pPr>
    </w:p>
    <w:p w14:paraId="698C3292">
      <w:pPr>
        <w:pageBreakBefore w:val="0"/>
        <w:topLinePunct w:val="0"/>
        <w:bidi w:val="0"/>
        <w:spacing w:line="500" w:lineRule="exact"/>
        <w:ind w:left="0" w:leftChars="0" w:right="0"/>
        <w:rPr>
          <w:rFonts w:hint="eastAsia" w:ascii="宋体" w:hAnsi="宋体" w:eastAsia="宋体" w:cs="宋体"/>
          <w:color w:val="auto"/>
        </w:rPr>
      </w:pPr>
    </w:p>
    <w:sectPr>
      <w:pgSz w:w="11905" w:h="16838"/>
      <w:pgMar w:top="1440" w:right="1080" w:bottom="1440" w:left="1080" w:header="1134" w:footer="1134" w:gutter="0"/>
      <w:pgBorders>
        <w:top w:val="none" w:sz="0" w:space="0"/>
        <w:left w:val="none" w:sz="0" w:space="0"/>
        <w:bottom w:val="none" w:sz="0" w:space="0"/>
        <w:right w:val="none" w:sz="0" w:space="0"/>
      </w:pgBorders>
      <w:pgNumType w:fmt="decimal"/>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091A8D7-8D9F-4577-BF68-C9B4DDAF3919}"/>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embedRegular r:id="rId2" w:fontKey="{27D39251-392E-4425-BCCC-0CFB3E2429CF}"/>
  </w:font>
  <w:font w:name="Copperplate Gothic Bold">
    <w:altName w:val="Segoe Print"/>
    <w:panose1 w:val="020E0705020206020404"/>
    <w:charset w:val="00"/>
    <w:family w:val="swiss"/>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Calibri Light">
    <w:panose1 w:val="020F0302020204030204"/>
    <w:charset w:val="00"/>
    <w:family w:val="swiss"/>
    <w:pitch w:val="default"/>
    <w:sig w:usb0="E4002EFF" w:usb1="C000247B" w:usb2="00000009" w:usb3="00000000" w:csb0="200001FF" w:csb1="00000000"/>
  </w:font>
  <w:font w:name="华文仿宋">
    <w:altName w:val="仿宋"/>
    <w:panose1 w:val="02010600040101010101"/>
    <w:charset w:val="86"/>
    <w:family w:val="auto"/>
    <w:pitch w:val="default"/>
    <w:sig w:usb0="00000000" w:usb1="00000000" w:usb2="00000000" w:usb3="00000000" w:csb0="0004009F" w:csb1="DFD7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大标宋简体">
    <w:altName w:val="微软雅黑"/>
    <w:panose1 w:val="02010601030101010101"/>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KSOFE44F9426">
    <w:panose1 w:val="02010609060101010101"/>
    <w:charset w:val="86"/>
    <w:family w:val="auto"/>
    <w:pitch w:val="default"/>
    <w:sig w:usb0="00000001" w:usb1="00000000" w:usb2="00000000" w:usb3="00000000" w:csb0="00040001" w:csb1="00000000"/>
  </w:font>
  <w:font w:name="KSOF6B657194">
    <w:panose1 w:val="02020500000000000000"/>
    <w:charset w:val="88"/>
    <w:family w:val="auto"/>
    <w:pitch w:val="default"/>
    <w:sig w:usb0="00000001" w:usb1="00000000"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E3342">
    <w:pPr>
      <w:pStyle w:val="18"/>
      <w:jc w:val="both"/>
      <w:rPr>
        <w:rFonts w:ascii="宋体" w:hAnsi="宋体"/>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9B164">
    <w:pPr>
      <w:pStyle w:val="18"/>
      <w:rPr>
        <w:rStyle w:val="30"/>
        <w:rFonts w:ascii="宋体" w:hAnsi="宋体"/>
        <w:b/>
      </w:rPr>
    </w:pPr>
    <w:r>
      <w:rPr>
        <w:rFonts w:hint="eastAsia" w:ascii="宋体" w:hAnsi="宋体"/>
        <w:b/>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01882">
    <w:pPr>
      <w:spacing w:line="176" w:lineRule="auto"/>
      <w:ind w:left="452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DFD75B">
                          <w:pPr>
                            <w:pStyle w:val="18"/>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24DFD75B">
                    <w:pPr>
                      <w:pStyle w:val="18"/>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0F2F4">
    <w:pPr>
      <w:pStyle w:val="18"/>
      <w:rPr>
        <w:rStyle w:val="30"/>
        <w:rFonts w:ascii="宋体" w:hAnsi="宋体"/>
        <w:b/>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F90668">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40F90668">
                    <w:pPr>
                      <w:pStyle w:val="18"/>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宋体" w:hAnsi="宋体"/>
        <w:b/>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AD9C2">
    <w:pPr>
      <w:pStyle w:val="18"/>
      <w:tabs>
        <w:tab w:val="left" w:pos="5022"/>
        <w:tab w:val="clear" w:pos="4153"/>
        <w:tab w:val="clear" w:pos="8306"/>
      </w:tabs>
      <w:ind w:left="5220" w:hanging="5220" w:hangingChars="290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B8646C">
                          <w:pPr>
                            <w:pStyle w:val="18"/>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79B8646C">
                    <w:pPr>
                      <w:pStyle w:val="18"/>
                    </w:pPr>
                    <w:r>
                      <w:fldChar w:fldCharType="begin"/>
                    </w:r>
                    <w:r>
                      <w:instrText xml:space="preserve"> PAGE  \* MERGEFORMAT </w:instrText>
                    </w:r>
                    <w:r>
                      <w:fldChar w:fldCharType="separate"/>
                    </w:r>
                    <w:r>
                      <w:t>67</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2395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123950" cy="1828800"/>
                      </a:xfrm>
                      <a:prstGeom prst="rect">
                        <a:avLst/>
                      </a:prstGeom>
                      <a:noFill/>
                      <a:ln w="15875">
                        <a:noFill/>
                      </a:ln>
                    </wps:spPr>
                    <wps:txbx>
                      <w:txbxContent>
                        <w:p w14:paraId="47F9A14D">
                          <w:pPr>
                            <w:pStyle w:val="18"/>
                            <w:rPr>
                              <w:rFonts w:hint="eastAsia"/>
                            </w:rPr>
                          </w:pPr>
                        </w:p>
                      </w:txbxContent>
                    </wps:txbx>
                    <wps:bodyPr lIns="0" tIns="0" rIns="0" bIns="0" upright="0">
                      <a:spAutoFit/>
                    </wps:bodyPr>
                  </wps:wsp>
                </a:graphicData>
              </a:graphic>
            </wp:anchor>
          </w:drawing>
        </mc:Choice>
        <mc:Fallback>
          <w:pict>
            <v:shape id="_x0000_s1026" o:spid="_x0000_s1026" o:spt="202" type="#_x0000_t202" style="position:absolute;left:0pt;margin-top:0pt;height:144pt;width:88.5pt;mso-position-horizontal:center;mso-position-horizontal-relative:margin;z-index:251659264;mso-width-relative:page;mso-height-relative:page;" filled="f" stroked="f" coordsize="21600,21600" o:gfxdata="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&#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B3HynUAAAABQEAAA8AAAAAAAAAAQAgAAAAIgAAAGRy&#10;cy9kb3ducmV2LnhtbFBLAQIUABQAAAAIAIdO4kBrIh6m0AEAAJkDAAAOAAAAAAAAAAEAIAAAACMB&#10;AABkcnMvZTJvRG9jLnhtbFBLBQYAAAAABgAGAFkBAABlBQAAAAA=&#10;">
              <v:fill on="f" focussize="0,0"/>
              <v:stroke on="f" weight="1.25pt"/>
              <v:imagedata o:title=""/>
              <o:lock v:ext="edit" aspectratio="f"/>
              <v:textbox inset="0mm,0mm,0mm,0mm" style="mso-fit-shape-to-text:t;">
                <w:txbxContent>
                  <w:p w14:paraId="47F9A14D">
                    <w:pPr>
                      <w:pStyle w:val="18"/>
                      <w:rPr>
                        <w:rFonts w:hint="eastAsia"/>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C2BBB">
    <w:pPr>
      <w:pStyle w:val="19"/>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A9860">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491EC">
    <w:pPr>
      <w:pStyle w:val="19"/>
      <w:pBdr>
        <w:bottom w:val="none" w:color="auto" w:sz="0" w:space="1"/>
      </w:pBdr>
      <w:jc w:val="lef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2A0AF4"/>
    <w:multiLevelType w:val="singleLevel"/>
    <w:tmpl w:val="B82A0AF4"/>
    <w:lvl w:ilvl="0" w:tentative="0">
      <w:start w:val="8"/>
      <w:numFmt w:val="decimal"/>
      <w:suff w:val="nothing"/>
      <w:lvlText w:val="%1、"/>
      <w:lvlJc w:val="left"/>
    </w:lvl>
  </w:abstractNum>
  <w:abstractNum w:abstractNumId="1">
    <w:nsid w:val="F31E14C5"/>
    <w:multiLevelType w:val="singleLevel"/>
    <w:tmpl w:val="F31E14C5"/>
    <w:lvl w:ilvl="0" w:tentative="0">
      <w:start w:val="1"/>
      <w:numFmt w:val="decimal"/>
      <w:suff w:val="nothing"/>
      <w:lvlText w:val="（%1）"/>
      <w:lvlJc w:val="left"/>
    </w:lvl>
  </w:abstractNum>
  <w:abstractNum w:abstractNumId="2">
    <w:nsid w:val="15A36D1F"/>
    <w:multiLevelType w:val="singleLevel"/>
    <w:tmpl w:val="15A36D1F"/>
    <w:lvl w:ilvl="0" w:tentative="0">
      <w:start w:val="1"/>
      <w:numFmt w:val="decimal"/>
      <w:suff w:val="nothing"/>
      <w:lvlText w:val="%1、"/>
      <w:lvlJc w:val="left"/>
    </w:lvl>
  </w:abstractNum>
  <w:abstractNum w:abstractNumId="3">
    <w:nsid w:val="6246D7F6"/>
    <w:multiLevelType w:val="singleLevel"/>
    <w:tmpl w:val="6246D7F6"/>
    <w:lvl w:ilvl="0" w:tentative="0">
      <w:start w:val="5"/>
      <w:numFmt w:val="chineseCounting"/>
      <w:suff w:val="space"/>
      <w:lvlText w:val="第%1章"/>
      <w:lvlJc w:val="left"/>
      <w:rPr>
        <w:rFonts w:hint="eastAsia"/>
      </w:rPr>
    </w:lvl>
  </w:abstractNum>
  <w:abstractNum w:abstractNumId="4">
    <w:nsid w:val="7393EBC0"/>
    <w:multiLevelType w:val="singleLevel"/>
    <w:tmpl w:val="7393EBC0"/>
    <w:lvl w:ilvl="0" w:tentative="0">
      <w:start w:val="1"/>
      <w:numFmt w:val="decimal"/>
      <w:pStyle w:val="7"/>
      <w:lvlText w:val="%1."/>
      <w:lvlJc w:val="left"/>
      <w:pPr>
        <w:tabs>
          <w:tab w:val="left" w:pos="780"/>
        </w:tabs>
        <w:ind w:left="780" w:hanging="36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c1YTY5MjYyM2FkZmRmMzUyMjUzYTVkMGQwNTFkNTAifQ=="/>
  </w:docVars>
  <w:rsids>
    <w:rsidRoot w:val="43F85CBD"/>
    <w:rsid w:val="00044EF2"/>
    <w:rsid w:val="00060C6A"/>
    <w:rsid w:val="000C024B"/>
    <w:rsid w:val="000F5645"/>
    <w:rsid w:val="00101AE9"/>
    <w:rsid w:val="00172E78"/>
    <w:rsid w:val="0018099E"/>
    <w:rsid w:val="001F3ADA"/>
    <w:rsid w:val="00245594"/>
    <w:rsid w:val="00305CE7"/>
    <w:rsid w:val="0031380D"/>
    <w:rsid w:val="00360E24"/>
    <w:rsid w:val="003A4DB8"/>
    <w:rsid w:val="00417EF4"/>
    <w:rsid w:val="00481283"/>
    <w:rsid w:val="004E43BF"/>
    <w:rsid w:val="00593490"/>
    <w:rsid w:val="005F481F"/>
    <w:rsid w:val="00645991"/>
    <w:rsid w:val="006836D3"/>
    <w:rsid w:val="006E4A62"/>
    <w:rsid w:val="007100ED"/>
    <w:rsid w:val="00757B9E"/>
    <w:rsid w:val="00771B68"/>
    <w:rsid w:val="00863B59"/>
    <w:rsid w:val="0087167F"/>
    <w:rsid w:val="008953F8"/>
    <w:rsid w:val="009A5857"/>
    <w:rsid w:val="00A64932"/>
    <w:rsid w:val="00A67D58"/>
    <w:rsid w:val="00AD10E6"/>
    <w:rsid w:val="00B20DF2"/>
    <w:rsid w:val="00C44682"/>
    <w:rsid w:val="00C603FA"/>
    <w:rsid w:val="00C753AC"/>
    <w:rsid w:val="00CB3C62"/>
    <w:rsid w:val="00CD6C46"/>
    <w:rsid w:val="00D62B05"/>
    <w:rsid w:val="00D91EDB"/>
    <w:rsid w:val="00D9637F"/>
    <w:rsid w:val="00ED6736"/>
    <w:rsid w:val="00FE5DE6"/>
    <w:rsid w:val="01176EA7"/>
    <w:rsid w:val="012515C4"/>
    <w:rsid w:val="01255120"/>
    <w:rsid w:val="013637D1"/>
    <w:rsid w:val="015E4AD6"/>
    <w:rsid w:val="016025FC"/>
    <w:rsid w:val="01695955"/>
    <w:rsid w:val="016A6FD7"/>
    <w:rsid w:val="016C0FA1"/>
    <w:rsid w:val="01761E20"/>
    <w:rsid w:val="017936BE"/>
    <w:rsid w:val="017B2F92"/>
    <w:rsid w:val="017E0CD4"/>
    <w:rsid w:val="018067FB"/>
    <w:rsid w:val="018502B5"/>
    <w:rsid w:val="01877B89"/>
    <w:rsid w:val="01916C5A"/>
    <w:rsid w:val="0192652E"/>
    <w:rsid w:val="01987FE8"/>
    <w:rsid w:val="019978BC"/>
    <w:rsid w:val="019D115B"/>
    <w:rsid w:val="01A87AFF"/>
    <w:rsid w:val="01AE030F"/>
    <w:rsid w:val="01C04E49"/>
    <w:rsid w:val="01C40DDD"/>
    <w:rsid w:val="01CE3A0A"/>
    <w:rsid w:val="01DD1E9F"/>
    <w:rsid w:val="01DD3C4D"/>
    <w:rsid w:val="01E7687A"/>
    <w:rsid w:val="01EF572E"/>
    <w:rsid w:val="01FB40D3"/>
    <w:rsid w:val="021138F7"/>
    <w:rsid w:val="0224362A"/>
    <w:rsid w:val="02251150"/>
    <w:rsid w:val="022E26FA"/>
    <w:rsid w:val="02301FCF"/>
    <w:rsid w:val="02355837"/>
    <w:rsid w:val="023B0973"/>
    <w:rsid w:val="023F0464"/>
    <w:rsid w:val="02467A44"/>
    <w:rsid w:val="0250441F"/>
    <w:rsid w:val="02671768"/>
    <w:rsid w:val="026779BA"/>
    <w:rsid w:val="026C4FD1"/>
    <w:rsid w:val="0284231A"/>
    <w:rsid w:val="028B18FB"/>
    <w:rsid w:val="02963DFC"/>
    <w:rsid w:val="02985DC6"/>
    <w:rsid w:val="029A38EC"/>
    <w:rsid w:val="029C1412"/>
    <w:rsid w:val="02AF383B"/>
    <w:rsid w:val="02B20C36"/>
    <w:rsid w:val="02B349AE"/>
    <w:rsid w:val="02B524D4"/>
    <w:rsid w:val="02B7449E"/>
    <w:rsid w:val="02BC1AB4"/>
    <w:rsid w:val="02C40969"/>
    <w:rsid w:val="02D23086"/>
    <w:rsid w:val="02DC2156"/>
    <w:rsid w:val="02E1151B"/>
    <w:rsid w:val="02E903CF"/>
    <w:rsid w:val="02EA4873"/>
    <w:rsid w:val="02F0175E"/>
    <w:rsid w:val="02F05C02"/>
    <w:rsid w:val="02F4124E"/>
    <w:rsid w:val="02F72AEC"/>
    <w:rsid w:val="02FA25DD"/>
    <w:rsid w:val="030671D3"/>
    <w:rsid w:val="03092820"/>
    <w:rsid w:val="03103BAE"/>
    <w:rsid w:val="03125B78"/>
    <w:rsid w:val="03144708"/>
    <w:rsid w:val="032064E7"/>
    <w:rsid w:val="03253AFD"/>
    <w:rsid w:val="033C2BF5"/>
    <w:rsid w:val="03451AAA"/>
    <w:rsid w:val="035241C7"/>
    <w:rsid w:val="03577A2F"/>
    <w:rsid w:val="035D3297"/>
    <w:rsid w:val="035E2B6B"/>
    <w:rsid w:val="03600692"/>
    <w:rsid w:val="03726617"/>
    <w:rsid w:val="037B2175"/>
    <w:rsid w:val="038325D2"/>
    <w:rsid w:val="0385634A"/>
    <w:rsid w:val="03870314"/>
    <w:rsid w:val="0388408C"/>
    <w:rsid w:val="038D16A3"/>
    <w:rsid w:val="03913E39"/>
    <w:rsid w:val="039447DF"/>
    <w:rsid w:val="039B5B6E"/>
    <w:rsid w:val="03A367D0"/>
    <w:rsid w:val="03A72764"/>
    <w:rsid w:val="03AA7B5F"/>
    <w:rsid w:val="03BD3D36"/>
    <w:rsid w:val="03CC21CB"/>
    <w:rsid w:val="03CD1A9F"/>
    <w:rsid w:val="03D96696"/>
    <w:rsid w:val="03F359AA"/>
    <w:rsid w:val="03F36308"/>
    <w:rsid w:val="04021749"/>
    <w:rsid w:val="04025BED"/>
    <w:rsid w:val="04074FB1"/>
    <w:rsid w:val="040E6340"/>
    <w:rsid w:val="0410030A"/>
    <w:rsid w:val="04115E30"/>
    <w:rsid w:val="04122D21"/>
    <w:rsid w:val="04137DFA"/>
    <w:rsid w:val="0422003D"/>
    <w:rsid w:val="04221DEB"/>
    <w:rsid w:val="042C2C6A"/>
    <w:rsid w:val="04402271"/>
    <w:rsid w:val="0449381C"/>
    <w:rsid w:val="044B7594"/>
    <w:rsid w:val="045B52FD"/>
    <w:rsid w:val="045F6B9B"/>
    <w:rsid w:val="046C392C"/>
    <w:rsid w:val="047A39D5"/>
    <w:rsid w:val="04A942BA"/>
    <w:rsid w:val="04B073F7"/>
    <w:rsid w:val="04B2316F"/>
    <w:rsid w:val="04B54A0D"/>
    <w:rsid w:val="04D01847"/>
    <w:rsid w:val="04D255BF"/>
    <w:rsid w:val="04D74983"/>
    <w:rsid w:val="04D8694E"/>
    <w:rsid w:val="04E15802"/>
    <w:rsid w:val="04E470A0"/>
    <w:rsid w:val="04ED064B"/>
    <w:rsid w:val="04F25C61"/>
    <w:rsid w:val="04F574FF"/>
    <w:rsid w:val="04FE4606"/>
    <w:rsid w:val="05094D59"/>
    <w:rsid w:val="050D1E93"/>
    <w:rsid w:val="050F05C1"/>
    <w:rsid w:val="050F6813"/>
    <w:rsid w:val="05104339"/>
    <w:rsid w:val="05107E95"/>
    <w:rsid w:val="051E6A56"/>
    <w:rsid w:val="05235E1B"/>
    <w:rsid w:val="05294D64"/>
    <w:rsid w:val="052D0A47"/>
    <w:rsid w:val="053A13B6"/>
    <w:rsid w:val="053E2C54"/>
    <w:rsid w:val="05452235"/>
    <w:rsid w:val="05453FE3"/>
    <w:rsid w:val="05467D5B"/>
    <w:rsid w:val="054B5371"/>
    <w:rsid w:val="05502988"/>
    <w:rsid w:val="055F2BCB"/>
    <w:rsid w:val="058368B9"/>
    <w:rsid w:val="05917228"/>
    <w:rsid w:val="05926AFC"/>
    <w:rsid w:val="05962A91"/>
    <w:rsid w:val="059A3C03"/>
    <w:rsid w:val="059E1945"/>
    <w:rsid w:val="05A14F91"/>
    <w:rsid w:val="05A30D0A"/>
    <w:rsid w:val="05B60A3D"/>
    <w:rsid w:val="05D215EF"/>
    <w:rsid w:val="05D47115"/>
    <w:rsid w:val="05D62E8D"/>
    <w:rsid w:val="05E05ABA"/>
    <w:rsid w:val="05E25786"/>
    <w:rsid w:val="05ED01D7"/>
    <w:rsid w:val="05ED6429"/>
    <w:rsid w:val="05F31C91"/>
    <w:rsid w:val="05FB28F4"/>
    <w:rsid w:val="05FD48BE"/>
    <w:rsid w:val="05FE0636"/>
    <w:rsid w:val="06053772"/>
    <w:rsid w:val="060E6ACB"/>
    <w:rsid w:val="061439B5"/>
    <w:rsid w:val="06147E59"/>
    <w:rsid w:val="06175254"/>
    <w:rsid w:val="062C6F51"/>
    <w:rsid w:val="06304C93"/>
    <w:rsid w:val="063302DF"/>
    <w:rsid w:val="06336531"/>
    <w:rsid w:val="064249C6"/>
    <w:rsid w:val="06456265"/>
    <w:rsid w:val="064A73D7"/>
    <w:rsid w:val="065169B7"/>
    <w:rsid w:val="06563FCE"/>
    <w:rsid w:val="0659586C"/>
    <w:rsid w:val="065B3392"/>
    <w:rsid w:val="06652463"/>
    <w:rsid w:val="066761DB"/>
    <w:rsid w:val="067526A6"/>
    <w:rsid w:val="06825418"/>
    <w:rsid w:val="0687687D"/>
    <w:rsid w:val="06897EFF"/>
    <w:rsid w:val="06915006"/>
    <w:rsid w:val="06976AC0"/>
    <w:rsid w:val="069D1BFD"/>
    <w:rsid w:val="06A411DD"/>
    <w:rsid w:val="06A572D0"/>
    <w:rsid w:val="06B31420"/>
    <w:rsid w:val="06B84C89"/>
    <w:rsid w:val="06BF7DC5"/>
    <w:rsid w:val="06C158EB"/>
    <w:rsid w:val="06D575E9"/>
    <w:rsid w:val="06E15F8D"/>
    <w:rsid w:val="06E31D05"/>
    <w:rsid w:val="06E4782C"/>
    <w:rsid w:val="06E73E18"/>
    <w:rsid w:val="06E94E42"/>
    <w:rsid w:val="06ED4932"/>
    <w:rsid w:val="06F04422"/>
    <w:rsid w:val="07027CB2"/>
    <w:rsid w:val="070659F4"/>
    <w:rsid w:val="07097292"/>
    <w:rsid w:val="07140111"/>
    <w:rsid w:val="071C0D73"/>
    <w:rsid w:val="071D689A"/>
    <w:rsid w:val="071E0F8F"/>
    <w:rsid w:val="071E2D3E"/>
    <w:rsid w:val="072145DC"/>
    <w:rsid w:val="07245E7A"/>
    <w:rsid w:val="07375BAD"/>
    <w:rsid w:val="073F4A62"/>
    <w:rsid w:val="074327A4"/>
    <w:rsid w:val="074402CA"/>
    <w:rsid w:val="07442078"/>
    <w:rsid w:val="07465DF0"/>
    <w:rsid w:val="074D717F"/>
    <w:rsid w:val="07532C86"/>
    <w:rsid w:val="0757624F"/>
    <w:rsid w:val="07660241"/>
    <w:rsid w:val="076A5F83"/>
    <w:rsid w:val="0774295E"/>
    <w:rsid w:val="077A3CEC"/>
    <w:rsid w:val="07862691"/>
    <w:rsid w:val="078828AD"/>
    <w:rsid w:val="0788465B"/>
    <w:rsid w:val="078B5EF9"/>
    <w:rsid w:val="078E1545"/>
    <w:rsid w:val="0797489E"/>
    <w:rsid w:val="07AF1BE8"/>
    <w:rsid w:val="07BB67DE"/>
    <w:rsid w:val="07CA07CF"/>
    <w:rsid w:val="07D21D7A"/>
    <w:rsid w:val="07D96C64"/>
    <w:rsid w:val="07E07FF3"/>
    <w:rsid w:val="07E13D6B"/>
    <w:rsid w:val="07F7358F"/>
    <w:rsid w:val="07F77E76"/>
    <w:rsid w:val="07FC2953"/>
    <w:rsid w:val="0802440D"/>
    <w:rsid w:val="08071A24"/>
    <w:rsid w:val="080F08D8"/>
    <w:rsid w:val="08145EEF"/>
    <w:rsid w:val="082A3964"/>
    <w:rsid w:val="082F4AD6"/>
    <w:rsid w:val="08386081"/>
    <w:rsid w:val="083D5445"/>
    <w:rsid w:val="085B1D6F"/>
    <w:rsid w:val="085F360E"/>
    <w:rsid w:val="08605466"/>
    <w:rsid w:val="086329D2"/>
    <w:rsid w:val="0870581B"/>
    <w:rsid w:val="08716E9D"/>
    <w:rsid w:val="08777BCA"/>
    <w:rsid w:val="087D1CE6"/>
    <w:rsid w:val="088968DD"/>
    <w:rsid w:val="08931509"/>
    <w:rsid w:val="089D5EE4"/>
    <w:rsid w:val="08A90D2D"/>
    <w:rsid w:val="08B1373D"/>
    <w:rsid w:val="08BB280E"/>
    <w:rsid w:val="08BF40AC"/>
    <w:rsid w:val="08C23B9D"/>
    <w:rsid w:val="08CB0CA3"/>
    <w:rsid w:val="08CB2A51"/>
    <w:rsid w:val="08CC4A1B"/>
    <w:rsid w:val="08E21B49"/>
    <w:rsid w:val="08E25FED"/>
    <w:rsid w:val="08E6788B"/>
    <w:rsid w:val="08F5187C"/>
    <w:rsid w:val="08F71A98"/>
    <w:rsid w:val="08FD2E27"/>
    <w:rsid w:val="09023F99"/>
    <w:rsid w:val="090D12BC"/>
    <w:rsid w:val="09176111"/>
    <w:rsid w:val="091837BC"/>
    <w:rsid w:val="091D7025"/>
    <w:rsid w:val="09216B15"/>
    <w:rsid w:val="09273A00"/>
    <w:rsid w:val="0932487E"/>
    <w:rsid w:val="093305F6"/>
    <w:rsid w:val="09336848"/>
    <w:rsid w:val="0935611C"/>
    <w:rsid w:val="093F6F9B"/>
    <w:rsid w:val="09410F65"/>
    <w:rsid w:val="09483842"/>
    <w:rsid w:val="09625C05"/>
    <w:rsid w:val="0966277A"/>
    <w:rsid w:val="09684744"/>
    <w:rsid w:val="09694018"/>
    <w:rsid w:val="09727371"/>
    <w:rsid w:val="097430E9"/>
    <w:rsid w:val="098470A4"/>
    <w:rsid w:val="099077F7"/>
    <w:rsid w:val="0992356F"/>
    <w:rsid w:val="099472E7"/>
    <w:rsid w:val="099C43EE"/>
    <w:rsid w:val="09A3577C"/>
    <w:rsid w:val="09A60DC8"/>
    <w:rsid w:val="09AB4631"/>
    <w:rsid w:val="09AD03A9"/>
    <w:rsid w:val="09AD65FB"/>
    <w:rsid w:val="09B71227"/>
    <w:rsid w:val="09C3197A"/>
    <w:rsid w:val="09C676BC"/>
    <w:rsid w:val="09CD0A4B"/>
    <w:rsid w:val="09D41DD9"/>
    <w:rsid w:val="09D678FF"/>
    <w:rsid w:val="09DC2A3C"/>
    <w:rsid w:val="09E3201C"/>
    <w:rsid w:val="09E71B0D"/>
    <w:rsid w:val="09ED69F7"/>
    <w:rsid w:val="09F45FD8"/>
    <w:rsid w:val="09F9539C"/>
    <w:rsid w:val="0A116B8A"/>
    <w:rsid w:val="0A193C90"/>
    <w:rsid w:val="0A1B5312"/>
    <w:rsid w:val="0A1E3055"/>
    <w:rsid w:val="0A2F7010"/>
    <w:rsid w:val="0A334D52"/>
    <w:rsid w:val="0A36039E"/>
    <w:rsid w:val="0A397E8E"/>
    <w:rsid w:val="0A3A723D"/>
    <w:rsid w:val="0A40746F"/>
    <w:rsid w:val="0A426D43"/>
    <w:rsid w:val="0A456833"/>
    <w:rsid w:val="0A481E7F"/>
    <w:rsid w:val="0A51342A"/>
    <w:rsid w:val="0A5151D8"/>
    <w:rsid w:val="0A544CC8"/>
    <w:rsid w:val="0A546A76"/>
    <w:rsid w:val="0A5B7E05"/>
    <w:rsid w:val="0A60366D"/>
    <w:rsid w:val="0A615592"/>
    <w:rsid w:val="0A656ED5"/>
    <w:rsid w:val="0A690774"/>
    <w:rsid w:val="0A79028B"/>
    <w:rsid w:val="0A79472F"/>
    <w:rsid w:val="0A886720"/>
    <w:rsid w:val="0A8A06EA"/>
    <w:rsid w:val="0A981059"/>
    <w:rsid w:val="0A9F4195"/>
    <w:rsid w:val="0AAA48E8"/>
    <w:rsid w:val="0AB6328D"/>
    <w:rsid w:val="0ABF0394"/>
    <w:rsid w:val="0AC51722"/>
    <w:rsid w:val="0ADD6A6C"/>
    <w:rsid w:val="0AE147AE"/>
    <w:rsid w:val="0AE4604C"/>
    <w:rsid w:val="0AEE0C79"/>
    <w:rsid w:val="0AF50259"/>
    <w:rsid w:val="0AFD0EBC"/>
    <w:rsid w:val="0B0009AC"/>
    <w:rsid w:val="0B073AE9"/>
    <w:rsid w:val="0B097861"/>
    <w:rsid w:val="0B0C55A3"/>
    <w:rsid w:val="0B0E4E77"/>
    <w:rsid w:val="0B1C57E6"/>
    <w:rsid w:val="0B1F0E32"/>
    <w:rsid w:val="0B266665"/>
    <w:rsid w:val="0B3D575C"/>
    <w:rsid w:val="0B3F7726"/>
    <w:rsid w:val="0B446AEB"/>
    <w:rsid w:val="0B460AB5"/>
    <w:rsid w:val="0B4D3BF1"/>
    <w:rsid w:val="0B57681E"/>
    <w:rsid w:val="0B5A630E"/>
    <w:rsid w:val="0B5C5BE2"/>
    <w:rsid w:val="0B6158EF"/>
    <w:rsid w:val="0B642CE9"/>
    <w:rsid w:val="0B6727D9"/>
    <w:rsid w:val="0B6947A3"/>
    <w:rsid w:val="0B6C7DF0"/>
    <w:rsid w:val="0B6D4294"/>
    <w:rsid w:val="0B7A69B0"/>
    <w:rsid w:val="0B7F3FC7"/>
    <w:rsid w:val="0B811AED"/>
    <w:rsid w:val="0B815649"/>
    <w:rsid w:val="0B8909A2"/>
    <w:rsid w:val="0B896BF3"/>
    <w:rsid w:val="0B903ADE"/>
    <w:rsid w:val="0BA13F3D"/>
    <w:rsid w:val="0BA61553"/>
    <w:rsid w:val="0BC32105"/>
    <w:rsid w:val="0BC33EB3"/>
    <w:rsid w:val="0BCD6AE0"/>
    <w:rsid w:val="0BDE6F3F"/>
    <w:rsid w:val="0BDF05C2"/>
    <w:rsid w:val="0BE5201B"/>
    <w:rsid w:val="0BE81B6C"/>
    <w:rsid w:val="0BE91440"/>
    <w:rsid w:val="0BEB340A"/>
    <w:rsid w:val="0BED7182"/>
    <w:rsid w:val="0C0B7609"/>
    <w:rsid w:val="0C152235"/>
    <w:rsid w:val="0C177D5B"/>
    <w:rsid w:val="0C186CA8"/>
    <w:rsid w:val="0C2D3A23"/>
    <w:rsid w:val="0C3B1C9C"/>
    <w:rsid w:val="0C3E79DE"/>
    <w:rsid w:val="0C403756"/>
    <w:rsid w:val="0C41127C"/>
    <w:rsid w:val="0C525237"/>
    <w:rsid w:val="0C5B0590"/>
    <w:rsid w:val="0C605BA6"/>
    <w:rsid w:val="0C6E011B"/>
    <w:rsid w:val="0C6F6E83"/>
    <w:rsid w:val="0C711B61"/>
    <w:rsid w:val="0C851169"/>
    <w:rsid w:val="0C880C59"/>
    <w:rsid w:val="0C8C24F7"/>
    <w:rsid w:val="0C8E44C1"/>
    <w:rsid w:val="0C937D2A"/>
    <w:rsid w:val="0C965124"/>
    <w:rsid w:val="0C970E9C"/>
    <w:rsid w:val="0C992E66"/>
    <w:rsid w:val="0CB101B0"/>
    <w:rsid w:val="0CB90E13"/>
    <w:rsid w:val="0CC06645"/>
    <w:rsid w:val="0CCD48BE"/>
    <w:rsid w:val="0CD914B5"/>
    <w:rsid w:val="0CDB347F"/>
    <w:rsid w:val="0CDF2F6F"/>
    <w:rsid w:val="0CE00A95"/>
    <w:rsid w:val="0CE57E5A"/>
    <w:rsid w:val="0CE75980"/>
    <w:rsid w:val="0CF4009D"/>
    <w:rsid w:val="0CF956B3"/>
    <w:rsid w:val="0CFA68BB"/>
    <w:rsid w:val="0D004C93"/>
    <w:rsid w:val="0D044784"/>
    <w:rsid w:val="0D0C3638"/>
    <w:rsid w:val="0D1D3A97"/>
    <w:rsid w:val="0D2B61B4"/>
    <w:rsid w:val="0D314E4D"/>
    <w:rsid w:val="0D335069"/>
    <w:rsid w:val="0D3D5EE8"/>
    <w:rsid w:val="0D466B4A"/>
    <w:rsid w:val="0D49663A"/>
    <w:rsid w:val="0D584ACF"/>
    <w:rsid w:val="0D6E7E4F"/>
    <w:rsid w:val="0D703BC7"/>
    <w:rsid w:val="0D7116ED"/>
    <w:rsid w:val="0D735465"/>
    <w:rsid w:val="0D7D4536"/>
    <w:rsid w:val="0D7D62E4"/>
    <w:rsid w:val="0D8E6743"/>
    <w:rsid w:val="0D9A6E96"/>
    <w:rsid w:val="0D9D0734"/>
    <w:rsid w:val="0DA41AC3"/>
    <w:rsid w:val="0DA73361"/>
    <w:rsid w:val="0DA815B3"/>
    <w:rsid w:val="0DA90E87"/>
    <w:rsid w:val="0DAB2E51"/>
    <w:rsid w:val="0DB31D06"/>
    <w:rsid w:val="0DB443CE"/>
    <w:rsid w:val="0DB55A7E"/>
    <w:rsid w:val="0DBC6E0C"/>
    <w:rsid w:val="0DC108C7"/>
    <w:rsid w:val="0DCD52C8"/>
    <w:rsid w:val="0DCE08EE"/>
    <w:rsid w:val="0DD26630"/>
    <w:rsid w:val="0DD405FA"/>
    <w:rsid w:val="0DD423A8"/>
    <w:rsid w:val="0DD759F4"/>
    <w:rsid w:val="0DDA54E4"/>
    <w:rsid w:val="0DDD6D83"/>
    <w:rsid w:val="0DE545B5"/>
    <w:rsid w:val="0DE620DB"/>
    <w:rsid w:val="0DF90060"/>
    <w:rsid w:val="0DFF4F4B"/>
    <w:rsid w:val="0E02784F"/>
    <w:rsid w:val="0E056A05"/>
    <w:rsid w:val="0E2315D2"/>
    <w:rsid w:val="0E2A1FC8"/>
    <w:rsid w:val="0E325320"/>
    <w:rsid w:val="0E415563"/>
    <w:rsid w:val="0E440BB0"/>
    <w:rsid w:val="0E4B0190"/>
    <w:rsid w:val="0E5B4877"/>
    <w:rsid w:val="0E5F7FDE"/>
    <w:rsid w:val="0E666D78"/>
    <w:rsid w:val="0E6D26E7"/>
    <w:rsid w:val="0E72396F"/>
    <w:rsid w:val="0E7616B1"/>
    <w:rsid w:val="0E8813E4"/>
    <w:rsid w:val="0E883192"/>
    <w:rsid w:val="0E924011"/>
    <w:rsid w:val="0EA31D7A"/>
    <w:rsid w:val="0EAA135B"/>
    <w:rsid w:val="0EBE68BC"/>
    <w:rsid w:val="0EC341CA"/>
    <w:rsid w:val="0EC51CF1"/>
    <w:rsid w:val="0EC57F43"/>
    <w:rsid w:val="0ECA37AB"/>
    <w:rsid w:val="0ED168E7"/>
    <w:rsid w:val="0EE06B2A"/>
    <w:rsid w:val="0EE303C9"/>
    <w:rsid w:val="0EE52393"/>
    <w:rsid w:val="0EE77EB9"/>
    <w:rsid w:val="0EED1247"/>
    <w:rsid w:val="0EF97BEC"/>
    <w:rsid w:val="0F0547E3"/>
    <w:rsid w:val="0F072309"/>
    <w:rsid w:val="0F0740B7"/>
    <w:rsid w:val="0F112DA0"/>
    <w:rsid w:val="0F136F00"/>
    <w:rsid w:val="0F152C78"/>
    <w:rsid w:val="0F184516"/>
    <w:rsid w:val="0F24110D"/>
    <w:rsid w:val="0F296723"/>
    <w:rsid w:val="0F2A5FF8"/>
    <w:rsid w:val="0F2B249C"/>
    <w:rsid w:val="0F331350"/>
    <w:rsid w:val="0F36499C"/>
    <w:rsid w:val="0F3B0205"/>
    <w:rsid w:val="0F403A6D"/>
    <w:rsid w:val="0F5372FC"/>
    <w:rsid w:val="0F56503F"/>
    <w:rsid w:val="0F657030"/>
    <w:rsid w:val="0F6C03BE"/>
    <w:rsid w:val="0F753717"/>
    <w:rsid w:val="0F851480"/>
    <w:rsid w:val="0F8B2F3A"/>
    <w:rsid w:val="0F9022FF"/>
    <w:rsid w:val="0F9718DF"/>
    <w:rsid w:val="0F9F0794"/>
    <w:rsid w:val="0FA425D2"/>
    <w:rsid w:val="0FAD1102"/>
    <w:rsid w:val="0FB75ADD"/>
    <w:rsid w:val="0FC71A98"/>
    <w:rsid w:val="0FD83CA6"/>
    <w:rsid w:val="0FDD12BC"/>
    <w:rsid w:val="0FE34B24"/>
    <w:rsid w:val="0FEF171B"/>
    <w:rsid w:val="0FF56606"/>
    <w:rsid w:val="0FFF56D6"/>
    <w:rsid w:val="10030D22"/>
    <w:rsid w:val="10036F74"/>
    <w:rsid w:val="100F3B6B"/>
    <w:rsid w:val="10125409"/>
    <w:rsid w:val="10134CDE"/>
    <w:rsid w:val="101C1DE4"/>
    <w:rsid w:val="1021564D"/>
    <w:rsid w:val="103435D2"/>
    <w:rsid w:val="103A670E"/>
    <w:rsid w:val="10417A9D"/>
    <w:rsid w:val="10466E61"/>
    <w:rsid w:val="105552F6"/>
    <w:rsid w:val="105A290D"/>
    <w:rsid w:val="10635C65"/>
    <w:rsid w:val="107240FA"/>
    <w:rsid w:val="10833C11"/>
    <w:rsid w:val="108A31F2"/>
    <w:rsid w:val="108C51BC"/>
    <w:rsid w:val="109202F8"/>
    <w:rsid w:val="10967DE9"/>
    <w:rsid w:val="10991687"/>
    <w:rsid w:val="10A67900"/>
    <w:rsid w:val="10AD5132"/>
    <w:rsid w:val="10AD7440"/>
    <w:rsid w:val="10AF0EAA"/>
    <w:rsid w:val="10B464C1"/>
    <w:rsid w:val="10C06C14"/>
    <w:rsid w:val="10C96C19"/>
    <w:rsid w:val="10D821AF"/>
    <w:rsid w:val="10EF574B"/>
    <w:rsid w:val="10F468BD"/>
    <w:rsid w:val="10F62635"/>
    <w:rsid w:val="10F93ED3"/>
    <w:rsid w:val="10FB40F0"/>
    <w:rsid w:val="11020FDA"/>
    <w:rsid w:val="11032FA4"/>
    <w:rsid w:val="110411F6"/>
    <w:rsid w:val="110A4333"/>
    <w:rsid w:val="110A553C"/>
    <w:rsid w:val="110F7B9B"/>
    <w:rsid w:val="112371A2"/>
    <w:rsid w:val="112453F4"/>
    <w:rsid w:val="112847B9"/>
    <w:rsid w:val="112E1DCF"/>
    <w:rsid w:val="11333889"/>
    <w:rsid w:val="11360C84"/>
    <w:rsid w:val="113E5D8A"/>
    <w:rsid w:val="11423ACC"/>
    <w:rsid w:val="11427629"/>
    <w:rsid w:val="114A472F"/>
    <w:rsid w:val="11641C95"/>
    <w:rsid w:val="116B3023"/>
    <w:rsid w:val="11717F0E"/>
    <w:rsid w:val="11727F60"/>
    <w:rsid w:val="1173012A"/>
    <w:rsid w:val="117C2C8C"/>
    <w:rsid w:val="117E017D"/>
    <w:rsid w:val="11867E5D"/>
    <w:rsid w:val="118E286E"/>
    <w:rsid w:val="11A007F3"/>
    <w:rsid w:val="11AA3420"/>
    <w:rsid w:val="11B60016"/>
    <w:rsid w:val="11B61DC5"/>
    <w:rsid w:val="11B85B3D"/>
    <w:rsid w:val="11BD75F7"/>
    <w:rsid w:val="11D010D8"/>
    <w:rsid w:val="11D87F8D"/>
    <w:rsid w:val="11DF131B"/>
    <w:rsid w:val="12003E3E"/>
    <w:rsid w:val="1202325C"/>
    <w:rsid w:val="12040D82"/>
    <w:rsid w:val="12080872"/>
    <w:rsid w:val="12107727"/>
    <w:rsid w:val="12192A7F"/>
    <w:rsid w:val="121A2353"/>
    <w:rsid w:val="121E62E8"/>
    <w:rsid w:val="121F5BBC"/>
    <w:rsid w:val="122136E2"/>
    <w:rsid w:val="1222745A"/>
    <w:rsid w:val="12254583"/>
    <w:rsid w:val="12274A70"/>
    <w:rsid w:val="122907E8"/>
    <w:rsid w:val="122D631F"/>
    <w:rsid w:val="124675EC"/>
    <w:rsid w:val="124B4C03"/>
    <w:rsid w:val="124D2729"/>
    <w:rsid w:val="12575356"/>
    <w:rsid w:val="125A6BF4"/>
    <w:rsid w:val="125C0BBE"/>
    <w:rsid w:val="125F245C"/>
    <w:rsid w:val="12687563"/>
    <w:rsid w:val="12706417"/>
    <w:rsid w:val="12723F3D"/>
    <w:rsid w:val="12747CB6"/>
    <w:rsid w:val="127C300E"/>
    <w:rsid w:val="127E0B34"/>
    <w:rsid w:val="128E689D"/>
    <w:rsid w:val="12940358"/>
    <w:rsid w:val="1297339E"/>
    <w:rsid w:val="1299771C"/>
    <w:rsid w:val="12A3059B"/>
    <w:rsid w:val="12B72298"/>
    <w:rsid w:val="12B91B6C"/>
    <w:rsid w:val="12BF3CEB"/>
    <w:rsid w:val="12C0739F"/>
    <w:rsid w:val="12C80001"/>
    <w:rsid w:val="12CD1ABC"/>
    <w:rsid w:val="12CF75E2"/>
    <w:rsid w:val="12D746E8"/>
    <w:rsid w:val="12D93FBD"/>
    <w:rsid w:val="12ED208A"/>
    <w:rsid w:val="12ED7A68"/>
    <w:rsid w:val="12EF37E0"/>
    <w:rsid w:val="130C4392"/>
    <w:rsid w:val="13135720"/>
    <w:rsid w:val="13143247"/>
    <w:rsid w:val="13165211"/>
    <w:rsid w:val="13280AA0"/>
    <w:rsid w:val="13315BA7"/>
    <w:rsid w:val="133631BD"/>
    <w:rsid w:val="133833D9"/>
    <w:rsid w:val="134358DA"/>
    <w:rsid w:val="134A0A16"/>
    <w:rsid w:val="13545D39"/>
    <w:rsid w:val="1356560D"/>
    <w:rsid w:val="13653AA2"/>
    <w:rsid w:val="136F4921"/>
    <w:rsid w:val="137D2B9A"/>
    <w:rsid w:val="137F2DB5"/>
    <w:rsid w:val="1384217A"/>
    <w:rsid w:val="13873A19"/>
    <w:rsid w:val="13960100"/>
    <w:rsid w:val="13985C26"/>
    <w:rsid w:val="139D4FEA"/>
    <w:rsid w:val="13A50343"/>
    <w:rsid w:val="13A91BE1"/>
    <w:rsid w:val="13C44C6D"/>
    <w:rsid w:val="13C609E5"/>
    <w:rsid w:val="13D11138"/>
    <w:rsid w:val="13D50C28"/>
    <w:rsid w:val="13DD7ADC"/>
    <w:rsid w:val="13E946D3"/>
    <w:rsid w:val="13EC5F71"/>
    <w:rsid w:val="13F13588"/>
    <w:rsid w:val="140B289C"/>
    <w:rsid w:val="141334FE"/>
    <w:rsid w:val="14172FEE"/>
    <w:rsid w:val="14184FB8"/>
    <w:rsid w:val="14237BE5"/>
    <w:rsid w:val="142C636E"/>
    <w:rsid w:val="142D2812"/>
    <w:rsid w:val="142E0338"/>
    <w:rsid w:val="1437543F"/>
    <w:rsid w:val="143F60A1"/>
    <w:rsid w:val="1441006B"/>
    <w:rsid w:val="144C07BE"/>
    <w:rsid w:val="14531B4D"/>
    <w:rsid w:val="14643D5A"/>
    <w:rsid w:val="14665D24"/>
    <w:rsid w:val="14667AD2"/>
    <w:rsid w:val="146D2C0E"/>
    <w:rsid w:val="147A532B"/>
    <w:rsid w:val="147C10A3"/>
    <w:rsid w:val="148D32B1"/>
    <w:rsid w:val="14977C8B"/>
    <w:rsid w:val="14A423A8"/>
    <w:rsid w:val="14AA20B4"/>
    <w:rsid w:val="14AF76CB"/>
    <w:rsid w:val="14B940A6"/>
    <w:rsid w:val="14C3401F"/>
    <w:rsid w:val="14C842E9"/>
    <w:rsid w:val="14D902A4"/>
    <w:rsid w:val="14D964F6"/>
    <w:rsid w:val="14DC7D94"/>
    <w:rsid w:val="14E37374"/>
    <w:rsid w:val="14F11A91"/>
    <w:rsid w:val="14FC21E4"/>
    <w:rsid w:val="14FE5F5C"/>
    <w:rsid w:val="150317C5"/>
    <w:rsid w:val="150F1F18"/>
    <w:rsid w:val="151417DA"/>
    <w:rsid w:val="15170DCC"/>
    <w:rsid w:val="15267261"/>
    <w:rsid w:val="15325C06"/>
    <w:rsid w:val="153876C0"/>
    <w:rsid w:val="154A2F50"/>
    <w:rsid w:val="155004AB"/>
    <w:rsid w:val="15543DCE"/>
    <w:rsid w:val="15581B10"/>
    <w:rsid w:val="15602773"/>
    <w:rsid w:val="156404B5"/>
    <w:rsid w:val="156F0C08"/>
    <w:rsid w:val="157D3325"/>
    <w:rsid w:val="157D50D3"/>
    <w:rsid w:val="159348F7"/>
    <w:rsid w:val="15966195"/>
    <w:rsid w:val="15AF7257"/>
    <w:rsid w:val="15B605E5"/>
    <w:rsid w:val="15C251DC"/>
    <w:rsid w:val="15C50828"/>
    <w:rsid w:val="15D46CBD"/>
    <w:rsid w:val="15D60C87"/>
    <w:rsid w:val="15DF7B3C"/>
    <w:rsid w:val="15E50ECA"/>
    <w:rsid w:val="15EA64E1"/>
    <w:rsid w:val="15F31839"/>
    <w:rsid w:val="15F35395"/>
    <w:rsid w:val="16013F56"/>
    <w:rsid w:val="1606331B"/>
    <w:rsid w:val="16070E41"/>
    <w:rsid w:val="160752E5"/>
    <w:rsid w:val="16135A37"/>
    <w:rsid w:val="16201F02"/>
    <w:rsid w:val="16273291"/>
    <w:rsid w:val="1628375A"/>
    <w:rsid w:val="162E461F"/>
    <w:rsid w:val="163D191F"/>
    <w:rsid w:val="163F05DA"/>
    <w:rsid w:val="16467BBB"/>
    <w:rsid w:val="164B51D1"/>
    <w:rsid w:val="164D719B"/>
    <w:rsid w:val="164E4CC1"/>
    <w:rsid w:val="165D4F05"/>
    <w:rsid w:val="16610551"/>
    <w:rsid w:val="166167A3"/>
    <w:rsid w:val="166444E5"/>
    <w:rsid w:val="166E7112"/>
    <w:rsid w:val="167069E6"/>
    <w:rsid w:val="167D1103"/>
    <w:rsid w:val="167F131F"/>
    <w:rsid w:val="16866209"/>
    <w:rsid w:val="168D3A3C"/>
    <w:rsid w:val="16970417"/>
    <w:rsid w:val="1699418F"/>
    <w:rsid w:val="169F376F"/>
    <w:rsid w:val="16B5089D"/>
    <w:rsid w:val="16B56AEF"/>
    <w:rsid w:val="16D74CB7"/>
    <w:rsid w:val="16D922DD"/>
    <w:rsid w:val="16D927DD"/>
    <w:rsid w:val="16DF3B6C"/>
    <w:rsid w:val="16F72C63"/>
    <w:rsid w:val="17035AAC"/>
    <w:rsid w:val="1706734A"/>
    <w:rsid w:val="170D06D9"/>
    <w:rsid w:val="17143815"/>
    <w:rsid w:val="171750B3"/>
    <w:rsid w:val="171C4DC0"/>
    <w:rsid w:val="172D48D7"/>
    <w:rsid w:val="17487963"/>
    <w:rsid w:val="17516817"/>
    <w:rsid w:val="17562080"/>
    <w:rsid w:val="176127D3"/>
    <w:rsid w:val="176D1177"/>
    <w:rsid w:val="17716EB9"/>
    <w:rsid w:val="17773DA4"/>
    <w:rsid w:val="177C13BA"/>
    <w:rsid w:val="17800EAB"/>
    <w:rsid w:val="17885FB1"/>
    <w:rsid w:val="17936E30"/>
    <w:rsid w:val="17944956"/>
    <w:rsid w:val="179D7CAF"/>
    <w:rsid w:val="17A0779F"/>
    <w:rsid w:val="17B9260F"/>
    <w:rsid w:val="17D15BAA"/>
    <w:rsid w:val="17D17958"/>
    <w:rsid w:val="17D905BB"/>
    <w:rsid w:val="17E5069C"/>
    <w:rsid w:val="17E70F2A"/>
    <w:rsid w:val="17F84EE5"/>
    <w:rsid w:val="17FB49D5"/>
    <w:rsid w:val="17FD24FB"/>
    <w:rsid w:val="180C0990"/>
    <w:rsid w:val="181141F9"/>
    <w:rsid w:val="18185587"/>
    <w:rsid w:val="18194E5B"/>
    <w:rsid w:val="18335F1D"/>
    <w:rsid w:val="183F48C2"/>
    <w:rsid w:val="18407B66"/>
    <w:rsid w:val="184620F4"/>
    <w:rsid w:val="18493992"/>
    <w:rsid w:val="185D708E"/>
    <w:rsid w:val="185D743E"/>
    <w:rsid w:val="185F31B6"/>
    <w:rsid w:val="1864257A"/>
    <w:rsid w:val="186649E2"/>
    <w:rsid w:val="18697B91"/>
    <w:rsid w:val="186C142F"/>
    <w:rsid w:val="18784278"/>
    <w:rsid w:val="187A1D9E"/>
    <w:rsid w:val="187D53EA"/>
    <w:rsid w:val="188624F1"/>
    <w:rsid w:val="18890233"/>
    <w:rsid w:val="18A312F5"/>
    <w:rsid w:val="18B52DD6"/>
    <w:rsid w:val="18C66D91"/>
    <w:rsid w:val="18D07C10"/>
    <w:rsid w:val="18D72D4C"/>
    <w:rsid w:val="18D86AC4"/>
    <w:rsid w:val="18E35B95"/>
    <w:rsid w:val="18ED6A14"/>
    <w:rsid w:val="18EE0096"/>
    <w:rsid w:val="18F7519C"/>
    <w:rsid w:val="18FC6C57"/>
    <w:rsid w:val="1901601B"/>
    <w:rsid w:val="191C2E55"/>
    <w:rsid w:val="191C4C03"/>
    <w:rsid w:val="19237621"/>
    <w:rsid w:val="193A32DB"/>
    <w:rsid w:val="193C34F7"/>
    <w:rsid w:val="193E101D"/>
    <w:rsid w:val="19467ED2"/>
    <w:rsid w:val="19526877"/>
    <w:rsid w:val="19571BA8"/>
    <w:rsid w:val="195C76F5"/>
    <w:rsid w:val="196B7938"/>
    <w:rsid w:val="196F11D7"/>
    <w:rsid w:val="19720CC7"/>
    <w:rsid w:val="197902A7"/>
    <w:rsid w:val="198F7ACB"/>
    <w:rsid w:val="199B021E"/>
    <w:rsid w:val="199E1ABC"/>
    <w:rsid w:val="19A30E80"/>
    <w:rsid w:val="19A90B8D"/>
    <w:rsid w:val="19AD7F51"/>
    <w:rsid w:val="19B906A4"/>
    <w:rsid w:val="19C91ECA"/>
    <w:rsid w:val="19D13C3F"/>
    <w:rsid w:val="19D43730"/>
    <w:rsid w:val="19E41BC5"/>
    <w:rsid w:val="19E5593D"/>
    <w:rsid w:val="19E73463"/>
    <w:rsid w:val="19EA2F53"/>
    <w:rsid w:val="19EA6AAF"/>
    <w:rsid w:val="19EC6CCB"/>
    <w:rsid w:val="19F65454"/>
    <w:rsid w:val="19FF69FF"/>
    <w:rsid w:val="1A165AF6"/>
    <w:rsid w:val="1A1C6D10"/>
    <w:rsid w:val="1A201A0F"/>
    <w:rsid w:val="1A2C356C"/>
    <w:rsid w:val="1A3146DE"/>
    <w:rsid w:val="1A3A7A37"/>
    <w:rsid w:val="1A3D3083"/>
    <w:rsid w:val="1A402B73"/>
    <w:rsid w:val="1A404921"/>
    <w:rsid w:val="1A420699"/>
    <w:rsid w:val="1A491A28"/>
    <w:rsid w:val="1A4C1518"/>
    <w:rsid w:val="1A530AF8"/>
    <w:rsid w:val="1A5328A6"/>
    <w:rsid w:val="1A5A1E87"/>
    <w:rsid w:val="1A5F124B"/>
    <w:rsid w:val="1A642D06"/>
    <w:rsid w:val="1A710F7F"/>
    <w:rsid w:val="1A716485"/>
    <w:rsid w:val="1A7840BB"/>
    <w:rsid w:val="1A846F04"/>
    <w:rsid w:val="1A8E1B30"/>
    <w:rsid w:val="1A8E7D82"/>
    <w:rsid w:val="1A9A04D5"/>
    <w:rsid w:val="1AA749A0"/>
    <w:rsid w:val="1AAB623F"/>
    <w:rsid w:val="1AAE21D3"/>
    <w:rsid w:val="1AB53561"/>
    <w:rsid w:val="1AB62E35"/>
    <w:rsid w:val="1ABA46D4"/>
    <w:rsid w:val="1ABC044C"/>
    <w:rsid w:val="1ACC4407"/>
    <w:rsid w:val="1AD03EF7"/>
    <w:rsid w:val="1AD11A1D"/>
    <w:rsid w:val="1AE96D67"/>
    <w:rsid w:val="1AED2CFB"/>
    <w:rsid w:val="1AF06347"/>
    <w:rsid w:val="1AF20311"/>
    <w:rsid w:val="1AFC6A9A"/>
    <w:rsid w:val="1B1D4C62"/>
    <w:rsid w:val="1B2129A5"/>
    <w:rsid w:val="1B261D69"/>
    <w:rsid w:val="1B281F85"/>
    <w:rsid w:val="1B293607"/>
    <w:rsid w:val="1B2A7AAB"/>
    <w:rsid w:val="1B2D30F7"/>
    <w:rsid w:val="1B4346C9"/>
    <w:rsid w:val="1B4A1EFB"/>
    <w:rsid w:val="1B4F12C0"/>
    <w:rsid w:val="1B5468D6"/>
    <w:rsid w:val="1B5C1C2F"/>
    <w:rsid w:val="1B66485B"/>
    <w:rsid w:val="1B776A68"/>
    <w:rsid w:val="1B7A20B5"/>
    <w:rsid w:val="1B8371BB"/>
    <w:rsid w:val="1B886580"/>
    <w:rsid w:val="1B8F3DB2"/>
    <w:rsid w:val="1B9413C8"/>
    <w:rsid w:val="1B970EB9"/>
    <w:rsid w:val="1B99253B"/>
    <w:rsid w:val="1B9C202B"/>
    <w:rsid w:val="1BA5396D"/>
    <w:rsid w:val="1BA710FC"/>
    <w:rsid w:val="1BA84E74"/>
    <w:rsid w:val="1BA86144"/>
    <w:rsid w:val="1BB45EC4"/>
    <w:rsid w:val="1BB630ED"/>
    <w:rsid w:val="1BB9498B"/>
    <w:rsid w:val="1BBD091F"/>
    <w:rsid w:val="1BC51582"/>
    <w:rsid w:val="1BD417C5"/>
    <w:rsid w:val="1BD72652"/>
    <w:rsid w:val="1BEC4D61"/>
    <w:rsid w:val="1BF12377"/>
    <w:rsid w:val="1BF15DCA"/>
    <w:rsid w:val="1BF75F5C"/>
    <w:rsid w:val="1BFB4FA4"/>
    <w:rsid w:val="1C0A168B"/>
    <w:rsid w:val="1C0D3E62"/>
    <w:rsid w:val="1C1147C7"/>
    <w:rsid w:val="1C19367C"/>
    <w:rsid w:val="1C197B20"/>
    <w:rsid w:val="1C1B73F4"/>
    <w:rsid w:val="1C202C5C"/>
    <w:rsid w:val="1C27223D"/>
    <w:rsid w:val="1C2D7127"/>
    <w:rsid w:val="1C330BE1"/>
    <w:rsid w:val="1C33473D"/>
    <w:rsid w:val="1C3A1F70"/>
    <w:rsid w:val="1C420E24"/>
    <w:rsid w:val="1C550B58"/>
    <w:rsid w:val="1C646FED"/>
    <w:rsid w:val="1C672639"/>
    <w:rsid w:val="1C715266"/>
    <w:rsid w:val="1C7A6810"/>
    <w:rsid w:val="1C821221"/>
    <w:rsid w:val="1C8A6328"/>
    <w:rsid w:val="1C8C20A0"/>
    <w:rsid w:val="1C8E7BC6"/>
    <w:rsid w:val="1CAC629E"/>
    <w:rsid w:val="1CB17D58"/>
    <w:rsid w:val="1CB3587E"/>
    <w:rsid w:val="1CB533A4"/>
    <w:rsid w:val="1CB57848"/>
    <w:rsid w:val="1CD001DE"/>
    <w:rsid w:val="1CD203FA"/>
    <w:rsid w:val="1CD37CCF"/>
    <w:rsid w:val="1CD51C99"/>
    <w:rsid w:val="1CD852E5"/>
    <w:rsid w:val="1CDF0421"/>
    <w:rsid w:val="1CE343B6"/>
    <w:rsid w:val="1CE65C54"/>
    <w:rsid w:val="1CF77E61"/>
    <w:rsid w:val="1CFC0FD3"/>
    <w:rsid w:val="1D061E52"/>
    <w:rsid w:val="1D091942"/>
    <w:rsid w:val="1D097B94"/>
    <w:rsid w:val="1D0D31E0"/>
    <w:rsid w:val="1D1327C1"/>
    <w:rsid w:val="1D1A3B4F"/>
    <w:rsid w:val="1D1C1676"/>
    <w:rsid w:val="1D271DC8"/>
    <w:rsid w:val="1D2D5631"/>
    <w:rsid w:val="1D33076D"/>
    <w:rsid w:val="1D3C1D18"/>
    <w:rsid w:val="1D5C5F16"/>
    <w:rsid w:val="1D632E00"/>
    <w:rsid w:val="1D6372A4"/>
    <w:rsid w:val="1D6D1ED1"/>
    <w:rsid w:val="1D6D3C7F"/>
    <w:rsid w:val="1D721295"/>
    <w:rsid w:val="1D792624"/>
    <w:rsid w:val="1D7B2840"/>
    <w:rsid w:val="1D992CC6"/>
    <w:rsid w:val="1D9B5B7E"/>
    <w:rsid w:val="1DA8115B"/>
    <w:rsid w:val="1DAD0520"/>
    <w:rsid w:val="1DB45D52"/>
    <w:rsid w:val="1DBC0763"/>
    <w:rsid w:val="1DD41F50"/>
    <w:rsid w:val="1DEA52D0"/>
    <w:rsid w:val="1DEF6D8A"/>
    <w:rsid w:val="1DF12B02"/>
    <w:rsid w:val="1DFB74DD"/>
    <w:rsid w:val="1DFD14A7"/>
    <w:rsid w:val="1E0C16EA"/>
    <w:rsid w:val="1E113539"/>
    <w:rsid w:val="1E171E3D"/>
    <w:rsid w:val="1E18008F"/>
    <w:rsid w:val="1E195BB5"/>
    <w:rsid w:val="1E236A34"/>
    <w:rsid w:val="1E262080"/>
    <w:rsid w:val="1E276524"/>
    <w:rsid w:val="1E2A40E0"/>
    <w:rsid w:val="1E3173A3"/>
    <w:rsid w:val="1E326C77"/>
    <w:rsid w:val="1E401394"/>
    <w:rsid w:val="1E40190F"/>
    <w:rsid w:val="1E42335E"/>
    <w:rsid w:val="1E5D3CF4"/>
    <w:rsid w:val="1E601A36"/>
    <w:rsid w:val="1E682698"/>
    <w:rsid w:val="1E6A01BF"/>
    <w:rsid w:val="1E9A6CF6"/>
    <w:rsid w:val="1EA26876"/>
    <w:rsid w:val="1EA96F39"/>
    <w:rsid w:val="1EB12291"/>
    <w:rsid w:val="1EBF050A"/>
    <w:rsid w:val="1ED55F80"/>
    <w:rsid w:val="1EF04B68"/>
    <w:rsid w:val="1EF26B32"/>
    <w:rsid w:val="1F046865"/>
    <w:rsid w:val="1F097421"/>
    <w:rsid w:val="1F0F015E"/>
    <w:rsid w:val="1F294864"/>
    <w:rsid w:val="1F2C1918"/>
    <w:rsid w:val="1F3031B6"/>
    <w:rsid w:val="1F334A54"/>
    <w:rsid w:val="1F3709E9"/>
    <w:rsid w:val="1F38206B"/>
    <w:rsid w:val="1F394761"/>
    <w:rsid w:val="1F4D3D68"/>
    <w:rsid w:val="1F51312D"/>
    <w:rsid w:val="1F5275D0"/>
    <w:rsid w:val="1F5C21FD"/>
    <w:rsid w:val="1F5F721D"/>
    <w:rsid w:val="1F63002C"/>
    <w:rsid w:val="1F6B0692"/>
    <w:rsid w:val="1F721A21"/>
    <w:rsid w:val="1F737547"/>
    <w:rsid w:val="1F7532BF"/>
    <w:rsid w:val="1F784B5D"/>
    <w:rsid w:val="1F7E03C6"/>
    <w:rsid w:val="1F7E2174"/>
    <w:rsid w:val="1F8654CC"/>
    <w:rsid w:val="1FA0658E"/>
    <w:rsid w:val="1FAD4807"/>
    <w:rsid w:val="1FAE057F"/>
    <w:rsid w:val="1FBC7140"/>
    <w:rsid w:val="1FBE07C2"/>
    <w:rsid w:val="1FC14756"/>
    <w:rsid w:val="1FC61D6D"/>
    <w:rsid w:val="1FC81641"/>
    <w:rsid w:val="1FCB1AFA"/>
    <w:rsid w:val="1FCD30FB"/>
    <w:rsid w:val="1FCF304C"/>
    <w:rsid w:val="1FD61FB0"/>
    <w:rsid w:val="1FD77AD6"/>
    <w:rsid w:val="1FDA1374"/>
    <w:rsid w:val="1FE30229"/>
    <w:rsid w:val="1FEF4E1F"/>
    <w:rsid w:val="1FF42436"/>
    <w:rsid w:val="1FFE5062"/>
    <w:rsid w:val="200A1C59"/>
    <w:rsid w:val="200D34F7"/>
    <w:rsid w:val="200D799B"/>
    <w:rsid w:val="200F101E"/>
    <w:rsid w:val="20120B0E"/>
    <w:rsid w:val="20144886"/>
    <w:rsid w:val="20174376"/>
    <w:rsid w:val="20196340"/>
    <w:rsid w:val="201E74B3"/>
    <w:rsid w:val="202D7F78"/>
    <w:rsid w:val="20337402"/>
    <w:rsid w:val="20362A4E"/>
    <w:rsid w:val="20390790"/>
    <w:rsid w:val="204A02A8"/>
    <w:rsid w:val="20523600"/>
    <w:rsid w:val="20541126"/>
    <w:rsid w:val="205E01F7"/>
    <w:rsid w:val="206C021E"/>
    <w:rsid w:val="206C4C55"/>
    <w:rsid w:val="206C6470"/>
    <w:rsid w:val="20783067"/>
    <w:rsid w:val="2079293B"/>
    <w:rsid w:val="207D68CF"/>
    <w:rsid w:val="2080016D"/>
    <w:rsid w:val="208539D6"/>
    <w:rsid w:val="208F6602"/>
    <w:rsid w:val="2091237A"/>
    <w:rsid w:val="20931C4F"/>
    <w:rsid w:val="2099122F"/>
    <w:rsid w:val="20992FDD"/>
    <w:rsid w:val="209E23A2"/>
    <w:rsid w:val="20B816B5"/>
    <w:rsid w:val="20B9692E"/>
    <w:rsid w:val="20BD4F1E"/>
    <w:rsid w:val="20C52024"/>
    <w:rsid w:val="20C75D9C"/>
    <w:rsid w:val="20D3029D"/>
    <w:rsid w:val="20D61B3B"/>
    <w:rsid w:val="20DD111C"/>
    <w:rsid w:val="20DE51BB"/>
    <w:rsid w:val="20DF4E94"/>
    <w:rsid w:val="20F87D04"/>
    <w:rsid w:val="20FC3C98"/>
    <w:rsid w:val="21020B82"/>
    <w:rsid w:val="21083DC5"/>
    <w:rsid w:val="210E5779"/>
    <w:rsid w:val="211508B6"/>
    <w:rsid w:val="211865F8"/>
    <w:rsid w:val="21254871"/>
    <w:rsid w:val="212A1E87"/>
    <w:rsid w:val="212E5E1B"/>
    <w:rsid w:val="21333432"/>
    <w:rsid w:val="214E3DC8"/>
    <w:rsid w:val="214E67BA"/>
    <w:rsid w:val="215313DE"/>
    <w:rsid w:val="21725D08"/>
    <w:rsid w:val="217D645B"/>
    <w:rsid w:val="21815F4B"/>
    <w:rsid w:val="21863561"/>
    <w:rsid w:val="21917C59"/>
    <w:rsid w:val="21944FE2"/>
    <w:rsid w:val="2197576F"/>
    <w:rsid w:val="219914E7"/>
    <w:rsid w:val="21A63C04"/>
    <w:rsid w:val="21B75E11"/>
    <w:rsid w:val="21D50045"/>
    <w:rsid w:val="21D818E3"/>
    <w:rsid w:val="21DA1AFF"/>
    <w:rsid w:val="21DE339D"/>
    <w:rsid w:val="21E85FCA"/>
    <w:rsid w:val="21EF7359"/>
    <w:rsid w:val="21FA6D5D"/>
    <w:rsid w:val="21FF50C2"/>
    <w:rsid w:val="22032E04"/>
    <w:rsid w:val="220F3557"/>
    <w:rsid w:val="2217240B"/>
    <w:rsid w:val="221E3587"/>
    <w:rsid w:val="22205764"/>
    <w:rsid w:val="22252D7A"/>
    <w:rsid w:val="22287087"/>
    <w:rsid w:val="222A0391"/>
    <w:rsid w:val="222A65E3"/>
    <w:rsid w:val="222B4109"/>
    <w:rsid w:val="222C235B"/>
    <w:rsid w:val="222F1E4B"/>
    <w:rsid w:val="2230171F"/>
    <w:rsid w:val="2234120F"/>
    <w:rsid w:val="224551CB"/>
    <w:rsid w:val="22543660"/>
    <w:rsid w:val="225B679C"/>
    <w:rsid w:val="226118D9"/>
    <w:rsid w:val="226D64CF"/>
    <w:rsid w:val="227A6AB2"/>
    <w:rsid w:val="22851A6B"/>
    <w:rsid w:val="228C4BA7"/>
    <w:rsid w:val="228F0F89"/>
    <w:rsid w:val="228F28EA"/>
    <w:rsid w:val="229B303C"/>
    <w:rsid w:val="22A00653"/>
    <w:rsid w:val="22AF4D3A"/>
    <w:rsid w:val="22B440FE"/>
    <w:rsid w:val="22C5630B"/>
    <w:rsid w:val="22C73E32"/>
    <w:rsid w:val="22DF561F"/>
    <w:rsid w:val="22E26EBD"/>
    <w:rsid w:val="22E36792"/>
    <w:rsid w:val="22EC1AEA"/>
    <w:rsid w:val="22F17100"/>
    <w:rsid w:val="22F369D5"/>
    <w:rsid w:val="22FF35CB"/>
    <w:rsid w:val="23024E6A"/>
    <w:rsid w:val="230F7587"/>
    <w:rsid w:val="23103A2A"/>
    <w:rsid w:val="23137077"/>
    <w:rsid w:val="2318643B"/>
    <w:rsid w:val="231D6147"/>
    <w:rsid w:val="231F3C6E"/>
    <w:rsid w:val="23203542"/>
    <w:rsid w:val="23204EEC"/>
    <w:rsid w:val="232A43C0"/>
    <w:rsid w:val="232A616E"/>
    <w:rsid w:val="232B2612"/>
    <w:rsid w:val="232F19D7"/>
    <w:rsid w:val="2331574F"/>
    <w:rsid w:val="2335523F"/>
    <w:rsid w:val="234F5BD5"/>
    <w:rsid w:val="2358717F"/>
    <w:rsid w:val="235C0A1E"/>
    <w:rsid w:val="235D6544"/>
    <w:rsid w:val="235F050E"/>
    <w:rsid w:val="23752A5C"/>
    <w:rsid w:val="237F295E"/>
    <w:rsid w:val="23955CDE"/>
    <w:rsid w:val="23963804"/>
    <w:rsid w:val="23977CA8"/>
    <w:rsid w:val="23B4085A"/>
    <w:rsid w:val="23CB5BA3"/>
    <w:rsid w:val="23D04F68"/>
    <w:rsid w:val="23E17175"/>
    <w:rsid w:val="23E629DD"/>
    <w:rsid w:val="23EB1DA2"/>
    <w:rsid w:val="23EB7FF4"/>
    <w:rsid w:val="23ED1676"/>
    <w:rsid w:val="23EE53EE"/>
    <w:rsid w:val="23F01166"/>
    <w:rsid w:val="23F23130"/>
    <w:rsid w:val="23F32A04"/>
    <w:rsid w:val="23F46EA8"/>
    <w:rsid w:val="24044C11"/>
    <w:rsid w:val="24092228"/>
    <w:rsid w:val="24155071"/>
    <w:rsid w:val="242B219E"/>
    <w:rsid w:val="2434206F"/>
    <w:rsid w:val="2435126F"/>
    <w:rsid w:val="243E6375"/>
    <w:rsid w:val="24457704"/>
    <w:rsid w:val="2446347C"/>
    <w:rsid w:val="244B45EE"/>
    <w:rsid w:val="24510797"/>
    <w:rsid w:val="24547947"/>
    <w:rsid w:val="245E07C6"/>
    <w:rsid w:val="247B4ED4"/>
    <w:rsid w:val="2480073C"/>
    <w:rsid w:val="24885842"/>
    <w:rsid w:val="249146F7"/>
    <w:rsid w:val="2492046F"/>
    <w:rsid w:val="249266C1"/>
    <w:rsid w:val="24975A86"/>
    <w:rsid w:val="249B37C8"/>
    <w:rsid w:val="249C309C"/>
    <w:rsid w:val="249D7540"/>
    <w:rsid w:val="24A106B2"/>
    <w:rsid w:val="24A501A2"/>
    <w:rsid w:val="24A7216D"/>
    <w:rsid w:val="24B959FC"/>
    <w:rsid w:val="24CD76F9"/>
    <w:rsid w:val="24CF3471"/>
    <w:rsid w:val="24CF521F"/>
    <w:rsid w:val="24D665AE"/>
    <w:rsid w:val="24DB5972"/>
    <w:rsid w:val="24DE1906"/>
    <w:rsid w:val="24DE36B4"/>
    <w:rsid w:val="24E76A0D"/>
    <w:rsid w:val="24EA568A"/>
    <w:rsid w:val="24EF141E"/>
    <w:rsid w:val="24F1163A"/>
    <w:rsid w:val="24F133E8"/>
    <w:rsid w:val="24F609FE"/>
    <w:rsid w:val="24F904EE"/>
    <w:rsid w:val="25096983"/>
    <w:rsid w:val="250C1FD0"/>
    <w:rsid w:val="253634F0"/>
    <w:rsid w:val="253B0B07"/>
    <w:rsid w:val="253B4663"/>
    <w:rsid w:val="254C061E"/>
    <w:rsid w:val="255F47F5"/>
    <w:rsid w:val="25627E42"/>
    <w:rsid w:val="256E2C8A"/>
    <w:rsid w:val="257F6C45"/>
    <w:rsid w:val="258C3110"/>
    <w:rsid w:val="258E50DA"/>
    <w:rsid w:val="258E6E89"/>
    <w:rsid w:val="259124D5"/>
    <w:rsid w:val="259D531E"/>
    <w:rsid w:val="25A4045A"/>
    <w:rsid w:val="25A42208"/>
    <w:rsid w:val="25B60C44"/>
    <w:rsid w:val="25B763DF"/>
    <w:rsid w:val="25BD776E"/>
    <w:rsid w:val="25C91C6F"/>
    <w:rsid w:val="25D16D75"/>
    <w:rsid w:val="25D24FC7"/>
    <w:rsid w:val="25DE1BBE"/>
    <w:rsid w:val="25E66CC5"/>
    <w:rsid w:val="25E82A3D"/>
    <w:rsid w:val="25E92311"/>
    <w:rsid w:val="25EB42DB"/>
    <w:rsid w:val="25F52A64"/>
    <w:rsid w:val="260809E9"/>
    <w:rsid w:val="260B2287"/>
    <w:rsid w:val="261C4494"/>
    <w:rsid w:val="26213859"/>
    <w:rsid w:val="26241155"/>
    <w:rsid w:val="26321F0A"/>
    <w:rsid w:val="263537A8"/>
    <w:rsid w:val="26445799"/>
    <w:rsid w:val="264D464E"/>
    <w:rsid w:val="265754CC"/>
    <w:rsid w:val="265E4AAD"/>
    <w:rsid w:val="26630315"/>
    <w:rsid w:val="2665167D"/>
    <w:rsid w:val="26695200"/>
    <w:rsid w:val="266D2F42"/>
    <w:rsid w:val="26795443"/>
    <w:rsid w:val="267A740D"/>
    <w:rsid w:val="267F67D1"/>
    <w:rsid w:val="26865DB2"/>
    <w:rsid w:val="26887D7C"/>
    <w:rsid w:val="26943F86"/>
    <w:rsid w:val="26962499"/>
    <w:rsid w:val="269C55D5"/>
    <w:rsid w:val="269C7383"/>
    <w:rsid w:val="26A06E73"/>
    <w:rsid w:val="26A526DC"/>
    <w:rsid w:val="26A61FB0"/>
    <w:rsid w:val="26A83F7A"/>
    <w:rsid w:val="26AE2CDA"/>
    <w:rsid w:val="26AF70B6"/>
    <w:rsid w:val="26B24DF9"/>
    <w:rsid w:val="26B97F35"/>
    <w:rsid w:val="26C2328E"/>
    <w:rsid w:val="26C8461C"/>
    <w:rsid w:val="26D43AA3"/>
    <w:rsid w:val="26E50D2A"/>
    <w:rsid w:val="26EF3957"/>
    <w:rsid w:val="26F31699"/>
    <w:rsid w:val="26F61189"/>
    <w:rsid w:val="26F70A5D"/>
    <w:rsid w:val="26F86CAF"/>
    <w:rsid w:val="26FB054E"/>
    <w:rsid w:val="26FD2518"/>
    <w:rsid w:val="27037402"/>
    <w:rsid w:val="27090058"/>
    <w:rsid w:val="270A253F"/>
    <w:rsid w:val="270A69E3"/>
    <w:rsid w:val="270F5DA7"/>
    <w:rsid w:val="27160EE4"/>
    <w:rsid w:val="27182EAE"/>
    <w:rsid w:val="27267580"/>
    <w:rsid w:val="272F6449"/>
    <w:rsid w:val="27361586"/>
    <w:rsid w:val="273852FE"/>
    <w:rsid w:val="27400656"/>
    <w:rsid w:val="27435A51"/>
    <w:rsid w:val="275102B3"/>
    <w:rsid w:val="275F0ADD"/>
    <w:rsid w:val="2761756F"/>
    <w:rsid w:val="27675BE3"/>
    <w:rsid w:val="277F2F2D"/>
    <w:rsid w:val="27870033"/>
    <w:rsid w:val="278C389C"/>
    <w:rsid w:val="27910EB2"/>
    <w:rsid w:val="27985D9D"/>
    <w:rsid w:val="27A50A15"/>
    <w:rsid w:val="27A6495D"/>
    <w:rsid w:val="27A74232"/>
    <w:rsid w:val="27B30E28"/>
    <w:rsid w:val="27B32BD6"/>
    <w:rsid w:val="27B84691"/>
    <w:rsid w:val="27BF3329"/>
    <w:rsid w:val="27BF77CD"/>
    <w:rsid w:val="27C052F3"/>
    <w:rsid w:val="27C22E19"/>
    <w:rsid w:val="27C546B8"/>
    <w:rsid w:val="27C6290A"/>
    <w:rsid w:val="27D17500"/>
    <w:rsid w:val="27DA63B5"/>
    <w:rsid w:val="27E72880"/>
    <w:rsid w:val="27E86D24"/>
    <w:rsid w:val="27E965F8"/>
    <w:rsid w:val="28011B94"/>
    <w:rsid w:val="28041684"/>
    <w:rsid w:val="280D678A"/>
    <w:rsid w:val="2829733C"/>
    <w:rsid w:val="282F5B2E"/>
    <w:rsid w:val="28327C9E"/>
    <w:rsid w:val="2835183D"/>
    <w:rsid w:val="28481571"/>
    <w:rsid w:val="284D302B"/>
    <w:rsid w:val="28520641"/>
    <w:rsid w:val="28546167"/>
    <w:rsid w:val="285F2D5E"/>
    <w:rsid w:val="28642123"/>
    <w:rsid w:val="286640ED"/>
    <w:rsid w:val="28681C13"/>
    <w:rsid w:val="287C746C"/>
    <w:rsid w:val="288A7DDB"/>
    <w:rsid w:val="288B5901"/>
    <w:rsid w:val="288D1679"/>
    <w:rsid w:val="2899001E"/>
    <w:rsid w:val="28A80261"/>
    <w:rsid w:val="28B210E0"/>
    <w:rsid w:val="28B5472C"/>
    <w:rsid w:val="28C01A4F"/>
    <w:rsid w:val="28C72DDD"/>
    <w:rsid w:val="28E079FB"/>
    <w:rsid w:val="28EA5080"/>
    <w:rsid w:val="28F95257"/>
    <w:rsid w:val="28FB2A87"/>
    <w:rsid w:val="29136DCB"/>
    <w:rsid w:val="293146FB"/>
    <w:rsid w:val="29347D47"/>
    <w:rsid w:val="293D4E4D"/>
    <w:rsid w:val="2940049A"/>
    <w:rsid w:val="29475CCC"/>
    <w:rsid w:val="294A1318"/>
    <w:rsid w:val="294C5091"/>
    <w:rsid w:val="29564161"/>
    <w:rsid w:val="295977AD"/>
    <w:rsid w:val="295E3016"/>
    <w:rsid w:val="296543A4"/>
    <w:rsid w:val="29826D04"/>
    <w:rsid w:val="298505A2"/>
    <w:rsid w:val="29891E41"/>
    <w:rsid w:val="298C7B83"/>
    <w:rsid w:val="29986528"/>
    <w:rsid w:val="29A46C7B"/>
    <w:rsid w:val="29AC5B2F"/>
    <w:rsid w:val="29C42E79"/>
    <w:rsid w:val="29C4731D"/>
    <w:rsid w:val="29D60DFE"/>
    <w:rsid w:val="29E4176D"/>
    <w:rsid w:val="29E452C9"/>
    <w:rsid w:val="29E90B31"/>
    <w:rsid w:val="29F6324E"/>
    <w:rsid w:val="2A005E7B"/>
    <w:rsid w:val="2A077209"/>
    <w:rsid w:val="2A0C4820"/>
    <w:rsid w:val="2A1060BE"/>
    <w:rsid w:val="2A1F4553"/>
    <w:rsid w:val="2A375D41"/>
    <w:rsid w:val="2A3C6EB3"/>
    <w:rsid w:val="2A465F84"/>
    <w:rsid w:val="2A4B5348"/>
    <w:rsid w:val="2A5266D7"/>
    <w:rsid w:val="2A585CB7"/>
    <w:rsid w:val="2A5F2BA2"/>
    <w:rsid w:val="2A636B36"/>
    <w:rsid w:val="2A663F30"/>
    <w:rsid w:val="2A68414C"/>
    <w:rsid w:val="2A781EB5"/>
    <w:rsid w:val="2A790107"/>
    <w:rsid w:val="2A7A5C2D"/>
    <w:rsid w:val="2A7C7BF7"/>
    <w:rsid w:val="2A7F3244"/>
    <w:rsid w:val="2A7F4FF2"/>
    <w:rsid w:val="2A8275BB"/>
    <w:rsid w:val="2A8B1BE9"/>
    <w:rsid w:val="2A8D770F"/>
    <w:rsid w:val="2AA36F32"/>
    <w:rsid w:val="2AAB4039"/>
    <w:rsid w:val="2AAE58D7"/>
    <w:rsid w:val="2AB033FD"/>
    <w:rsid w:val="2AB7478C"/>
    <w:rsid w:val="2AB96756"/>
    <w:rsid w:val="2ABC37E4"/>
    <w:rsid w:val="2AC05D36"/>
    <w:rsid w:val="2AC5334C"/>
    <w:rsid w:val="2ACE1AD5"/>
    <w:rsid w:val="2AD25A69"/>
    <w:rsid w:val="2AE5579D"/>
    <w:rsid w:val="2AEF03C9"/>
    <w:rsid w:val="2AFC4894"/>
    <w:rsid w:val="2B035C23"/>
    <w:rsid w:val="2B0C0F7B"/>
    <w:rsid w:val="2B1240B8"/>
    <w:rsid w:val="2B146082"/>
    <w:rsid w:val="2B157704"/>
    <w:rsid w:val="2B1E0CAF"/>
    <w:rsid w:val="2B395AE8"/>
    <w:rsid w:val="2B404781"/>
    <w:rsid w:val="2B41674B"/>
    <w:rsid w:val="2B4B1AA9"/>
    <w:rsid w:val="2B4F0E68"/>
    <w:rsid w:val="2B520958"/>
    <w:rsid w:val="2B5B15BB"/>
    <w:rsid w:val="2B6C37C8"/>
    <w:rsid w:val="2B795EE5"/>
    <w:rsid w:val="2B7D347D"/>
    <w:rsid w:val="2B856638"/>
    <w:rsid w:val="2B8F462B"/>
    <w:rsid w:val="2B9845BD"/>
    <w:rsid w:val="2BA271EA"/>
    <w:rsid w:val="2BBD2276"/>
    <w:rsid w:val="2BBF5FEE"/>
    <w:rsid w:val="2BC453B2"/>
    <w:rsid w:val="2BD15D21"/>
    <w:rsid w:val="2BD96984"/>
    <w:rsid w:val="2BDF043E"/>
    <w:rsid w:val="2BE05F64"/>
    <w:rsid w:val="2BF0264B"/>
    <w:rsid w:val="2BF11F1F"/>
    <w:rsid w:val="2BF65788"/>
    <w:rsid w:val="2BF67536"/>
    <w:rsid w:val="2BFA5278"/>
    <w:rsid w:val="2C063C1D"/>
    <w:rsid w:val="2C1005F7"/>
    <w:rsid w:val="2C1520B2"/>
    <w:rsid w:val="2C275941"/>
    <w:rsid w:val="2C2E4F21"/>
    <w:rsid w:val="2C46226B"/>
    <w:rsid w:val="2C504E98"/>
    <w:rsid w:val="2C550700"/>
    <w:rsid w:val="2C5C1A8E"/>
    <w:rsid w:val="2C5C383D"/>
    <w:rsid w:val="2C5F332D"/>
    <w:rsid w:val="2C622E1D"/>
    <w:rsid w:val="2C66290D"/>
    <w:rsid w:val="2C7566AC"/>
    <w:rsid w:val="2C7D37B3"/>
    <w:rsid w:val="2C840FE5"/>
    <w:rsid w:val="2C8608B9"/>
    <w:rsid w:val="2C866B0B"/>
    <w:rsid w:val="2C8D1C48"/>
    <w:rsid w:val="2C972AC7"/>
    <w:rsid w:val="2CA10A84"/>
    <w:rsid w:val="2CA3146B"/>
    <w:rsid w:val="2CA64AB8"/>
    <w:rsid w:val="2CA90A4C"/>
    <w:rsid w:val="2CB73169"/>
    <w:rsid w:val="2CC3566A"/>
    <w:rsid w:val="2CDE06F5"/>
    <w:rsid w:val="2CE43832"/>
    <w:rsid w:val="2CF021D7"/>
    <w:rsid w:val="2CF41CC7"/>
    <w:rsid w:val="2CF972DD"/>
    <w:rsid w:val="2D0068BE"/>
    <w:rsid w:val="2D045C82"/>
    <w:rsid w:val="2D1A7254"/>
    <w:rsid w:val="2D216834"/>
    <w:rsid w:val="2D23435A"/>
    <w:rsid w:val="2D281971"/>
    <w:rsid w:val="2D480265"/>
    <w:rsid w:val="2D4B565F"/>
    <w:rsid w:val="2D4D7629"/>
    <w:rsid w:val="2D4F33A1"/>
    <w:rsid w:val="2D4F514F"/>
    <w:rsid w:val="2D502C75"/>
    <w:rsid w:val="2D594220"/>
    <w:rsid w:val="2D5B7F98"/>
    <w:rsid w:val="2D614E83"/>
    <w:rsid w:val="2D6738F0"/>
    <w:rsid w:val="2D6870C8"/>
    <w:rsid w:val="2D696EFA"/>
    <w:rsid w:val="2D6A01DB"/>
    <w:rsid w:val="2D7B4196"/>
    <w:rsid w:val="2D8172D3"/>
    <w:rsid w:val="2D8F19F0"/>
    <w:rsid w:val="2D99461C"/>
    <w:rsid w:val="2D9B2143"/>
    <w:rsid w:val="2DA21723"/>
    <w:rsid w:val="2DAA682A"/>
    <w:rsid w:val="2DB80F46"/>
    <w:rsid w:val="2DC01BA9"/>
    <w:rsid w:val="2DC86CB0"/>
    <w:rsid w:val="2DE735DA"/>
    <w:rsid w:val="2DE94A5E"/>
    <w:rsid w:val="2DEA7C21"/>
    <w:rsid w:val="2DFF6B75"/>
    <w:rsid w:val="2E051CB2"/>
    <w:rsid w:val="2E0917A2"/>
    <w:rsid w:val="2E110657"/>
    <w:rsid w:val="2E1343CF"/>
    <w:rsid w:val="2E1B7727"/>
    <w:rsid w:val="2E1D6FFC"/>
    <w:rsid w:val="2E2A1718"/>
    <w:rsid w:val="2E2A34C6"/>
    <w:rsid w:val="2E304F81"/>
    <w:rsid w:val="2E3C287D"/>
    <w:rsid w:val="2E496043"/>
    <w:rsid w:val="2E4A5917"/>
    <w:rsid w:val="2E4E18AB"/>
    <w:rsid w:val="2E56250D"/>
    <w:rsid w:val="2E5A1FFE"/>
    <w:rsid w:val="2E6E7857"/>
    <w:rsid w:val="2E7300E2"/>
    <w:rsid w:val="2E7F3812"/>
    <w:rsid w:val="2E870919"/>
    <w:rsid w:val="2E883381"/>
    <w:rsid w:val="2E894691"/>
    <w:rsid w:val="2E921798"/>
    <w:rsid w:val="2E9C43C4"/>
    <w:rsid w:val="2EA66FF1"/>
    <w:rsid w:val="2EA72D69"/>
    <w:rsid w:val="2EA86D20"/>
    <w:rsid w:val="2EAC037F"/>
    <w:rsid w:val="2EB72FAC"/>
    <w:rsid w:val="2EC13E2B"/>
    <w:rsid w:val="2EC456C9"/>
    <w:rsid w:val="2EC97183"/>
    <w:rsid w:val="2ED3590C"/>
    <w:rsid w:val="2EDE2C2F"/>
    <w:rsid w:val="2EDF69A7"/>
    <w:rsid w:val="2EE67D35"/>
    <w:rsid w:val="2F0106CB"/>
    <w:rsid w:val="2F083808"/>
    <w:rsid w:val="2F087CAC"/>
    <w:rsid w:val="2F0B32F8"/>
    <w:rsid w:val="2F120B2A"/>
    <w:rsid w:val="2F191EB9"/>
    <w:rsid w:val="2F1A353B"/>
    <w:rsid w:val="2F1C3757"/>
    <w:rsid w:val="2F307DD8"/>
    <w:rsid w:val="2F3A598B"/>
    <w:rsid w:val="2F3E36CD"/>
    <w:rsid w:val="2F3E547B"/>
    <w:rsid w:val="2F4607D4"/>
    <w:rsid w:val="2F4B1946"/>
    <w:rsid w:val="2F4B7B98"/>
    <w:rsid w:val="2F4D3910"/>
    <w:rsid w:val="2F4F58DB"/>
    <w:rsid w:val="2F5E167A"/>
    <w:rsid w:val="2F633134"/>
    <w:rsid w:val="2F650C5A"/>
    <w:rsid w:val="2F6D7B0F"/>
    <w:rsid w:val="2F762E67"/>
    <w:rsid w:val="2F835584"/>
    <w:rsid w:val="2F860BD0"/>
    <w:rsid w:val="2F8F5CD7"/>
    <w:rsid w:val="2F9257C7"/>
    <w:rsid w:val="2F963509"/>
    <w:rsid w:val="2F971030"/>
    <w:rsid w:val="2F9C03F4"/>
    <w:rsid w:val="2FA5374C"/>
    <w:rsid w:val="2FB219C5"/>
    <w:rsid w:val="2FB7522E"/>
    <w:rsid w:val="2FC17E5A"/>
    <w:rsid w:val="2FC8743B"/>
    <w:rsid w:val="2FCF2577"/>
    <w:rsid w:val="2FD951A4"/>
    <w:rsid w:val="2FDB53C0"/>
    <w:rsid w:val="2FDF6C0C"/>
    <w:rsid w:val="2FE06533"/>
    <w:rsid w:val="2FEC137B"/>
    <w:rsid w:val="2FEC3129"/>
    <w:rsid w:val="2FF3270A"/>
    <w:rsid w:val="2FF40230"/>
    <w:rsid w:val="2FF7387C"/>
    <w:rsid w:val="2FFD0E93"/>
    <w:rsid w:val="2FFD5337"/>
    <w:rsid w:val="2FFF10AF"/>
    <w:rsid w:val="3005243D"/>
    <w:rsid w:val="300A7A53"/>
    <w:rsid w:val="3011493E"/>
    <w:rsid w:val="301461DC"/>
    <w:rsid w:val="301D7787"/>
    <w:rsid w:val="302A1EA4"/>
    <w:rsid w:val="303D5733"/>
    <w:rsid w:val="303F594F"/>
    <w:rsid w:val="30405223"/>
    <w:rsid w:val="30420F9B"/>
    <w:rsid w:val="304271ED"/>
    <w:rsid w:val="304C3BC8"/>
    <w:rsid w:val="30536D05"/>
    <w:rsid w:val="305F38FB"/>
    <w:rsid w:val="30676C54"/>
    <w:rsid w:val="30696528"/>
    <w:rsid w:val="307A6139"/>
    <w:rsid w:val="307D0225"/>
    <w:rsid w:val="308E5F8F"/>
    <w:rsid w:val="30915A7F"/>
    <w:rsid w:val="30980BBB"/>
    <w:rsid w:val="30A6777C"/>
    <w:rsid w:val="30AB66A8"/>
    <w:rsid w:val="30AC4667"/>
    <w:rsid w:val="30B005FB"/>
    <w:rsid w:val="30B023A9"/>
    <w:rsid w:val="30B654E5"/>
    <w:rsid w:val="30B8125D"/>
    <w:rsid w:val="30BE268C"/>
    <w:rsid w:val="30D37E45"/>
    <w:rsid w:val="30DD0CC4"/>
    <w:rsid w:val="30E16A06"/>
    <w:rsid w:val="30E97669"/>
    <w:rsid w:val="30F71D86"/>
    <w:rsid w:val="30FC55EE"/>
    <w:rsid w:val="310A6E13"/>
    <w:rsid w:val="3115045E"/>
    <w:rsid w:val="3115220C"/>
    <w:rsid w:val="31181CFC"/>
    <w:rsid w:val="312608BD"/>
    <w:rsid w:val="31283ADD"/>
    <w:rsid w:val="312E1520"/>
    <w:rsid w:val="312F7772"/>
    <w:rsid w:val="31327262"/>
    <w:rsid w:val="31336B36"/>
    <w:rsid w:val="31344D88"/>
    <w:rsid w:val="3135465C"/>
    <w:rsid w:val="313B4368"/>
    <w:rsid w:val="313C0F35"/>
    <w:rsid w:val="313C1E8F"/>
    <w:rsid w:val="314174A5"/>
    <w:rsid w:val="31464ABB"/>
    <w:rsid w:val="314B0324"/>
    <w:rsid w:val="314F3970"/>
    <w:rsid w:val="31554CFE"/>
    <w:rsid w:val="31572824"/>
    <w:rsid w:val="315E1E05"/>
    <w:rsid w:val="315F792B"/>
    <w:rsid w:val="316311C9"/>
    <w:rsid w:val="317B29B7"/>
    <w:rsid w:val="317E4255"/>
    <w:rsid w:val="31853836"/>
    <w:rsid w:val="3186310A"/>
    <w:rsid w:val="318A2BFA"/>
    <w:rsid w:val="31945827"/>
    <w:rsid w:val="3199108F"/>
    <w:rsid w:val="319E66A5"/>
    <w:rsid w:val="31A041CB"/>
    <w:rsid w:val="31A57A34"/>
    <w:rsid w:val="31B00187"/>
    <w:rsid w:val="31B22151"/>
    <w:rsid w:val="31B934DF"/>
    <w:rsid w:val="31C3610C"/>
    <w:rsid w:val="31C61758"/>
    <w:rsid w:val="31CA56EC"/>
    <w:rsid w:val="31CA749A"/>
    <w:rsid w:val="31D64091"/>
    <w:rsid w:val="31D9592F"/>
    <w:rsid w:val="31DE2F46"/>
    <w:rsid w:val="31E247E4"/>
    <w:rsid w:val="31EA3699"/>
    <w:rsid w:val="31EF6F01"/>
    <w:rsid w:val="31F84007"/>
    <w:rsid w:val="31FB7654"/>
    <w:rsid w:val="31FD353C"/>
    <w:rsid w:val="32024E86"/>
    <w:rsid w:val="320A5AE9"/>
    <w:rsid w:val="321150C9"/>
    <w:rsid w:val="321B5F48"/>
    <w:rsid w:val="321D3A6E"/>
    <w:rsid w:val="3220530C"/>
    <w:rsid w:val="32221084"/>
    <w:rsid w:val="322A7F39"/>
    <w:rsid w:val="32313075"/>
    <w:rsid w:val="32326DEE"/>
    <w:rsid w:val="32384404"/>
    <w:rsid w:val="323E5792"/>
    <w:rsid w:val="324234D5"/>
    <w:rsid w:val="32430FFB"/>
    <w:rsid w:val="32586854"/>
    <w:rsid w:val="325A6415"/>
    <w:rsid w:val="326E42CA"/>
    <w:rsid w:val="32780CA4"/>
    <w:rsid w:val="32794A1C"/>
    <w:rsid w:val="327B69E7"/>
    <w:rsid w:val="327D275F"/>
    <w:rsid w:val="327F2033"/>
    <w:rsid w:val="32821B23"/>
    <w:rsid w:val="328533C1"/>
    <w:rsid w:val="32B53CA7"/>
    <w:rsid w:val="32C043F9"/>
    <w:rsid w:val="32C739DA"/>
    <w:rsid w:val="32C75788"/>
    <w:rsid w:val="32C959A4"/>
    <w:rsid w:val="32D14858"/>
    <w:rsid w:val="32D3412D"/>
    <w:rsid w:val="32DC56D7"/>
    <w:rsid w:val="32E14A9C"/>
    <w:rsid w:val="32E20814"/>
    <w:rsid w:val="32E91BA2"/>
    <w:rsid w:val="32F04CDF"/>
    <w:rsid w:val="32F3657D"/>
    <w:rsid w:val="32FA3DAF"/>
    <w:rsid w:val="32FA5B5D"/>
    <w:rsid w:val="33042538"/>
    <w:rsid w:val="330D3AE3"/>
    <w:rsid w:val="33105381"/>
    <w:rsid w:val="33114C55"/>
    <w:rsid w:val="331F3816"/>
    <w:rsid w:val="33294694"/>
    <w:rsid w:val="33303E6A"/>
    <w:rsid w:val="333252F7"/>
    <w:rsid w:val="33353039"/>
    <w:rsid w:val="33460DA3"/>
    <w:rsid w:val="334C470A"/>
    <w:rsid w:val="33557238"/>
    <w:rsid w:val="33596D28"/>
    <w:rsid w:val="335C2374"/>
    <w:rsid w:val="33644712"/>
    <w:rsid w:val="33662EA4"/>
    <w:rsid w:val="3369683F"/>
    <w:rsid w:val="336A2CE3"/>
    <w:rsid w:val="337A6C9E"/>
    <w:rsid w:val="337E2A5B"/>
    <w:rsid w:val="338B4A07"/>
    <w:rsid w:val="3392223A"/>
    <w:rsid w:val="33953AD8"/>
    <w:rsid w:val="33A8380B"/>
    <w:rsid w:val="33A87367"/>
    <w:rsid w:val="33A930DF"/>
    <w:rsid w:val="33AD0E22"/>
    <w:rsid w:val="33B0446E"/>
    <w:rsid w:val="33B65F28"/>
    <w:rsid w:val="33B9550C"/>
    <w:rsid w:val="33C341A1"/>
    <w:rsid w:val="33CA5530"/>
    <w:rsid w:val="33DC34B5"/>
    <w:rsid w:val="33E34843"/>
    <w:rsid w:val="33E61958"/>
    <w:rsid w:val="33EB6F0B"/>
    <w:rsid w:val="33F22CD8"/>
    <w:rsid w:val="33F26834"/>
    <w:rsid w:val="34000F51"/>
    <w:rsid w:val="34030A42"/>
    <w:rsid w:val="340978C3"/>
    <w:rsid w:val="34125129"/>
    <w:rsid w:val="341964B7"/>
    <w:rsid w:val="342310E4"/>
    <w:rsid w:val="34237336"/>
    <w:rsid w:val="342804A8"/>
    <w:rsid w:val="34346E4D"/>
    <w:rsid w:val="344C063B"/>
    <w:rsid w:val="344D7F0F"/>
    <w:rsid w:val="346F4329"/>
    <w:rsid w:val="347831DE"/>
    <w:rsid w:val="347D07F4"/>
    <w:rsid w:val="34825E0A"/>
    <w:rsid w:val="348A2F11"/>
    <w:rsid w:val="34943D90"/>
    <w:rsid w:val="349618B6"/>
    <w:rsid w:val="34A22009"/>
    <w:rsid w:val="34A57D4B"/>
    <w:rsid w:val="34AE6BFF"/>
    <w:rsid w:val="34B32468"/>
    <w:rsid w:val="34C12DD7"/>
    <w:rsid w:val="34C74165"/>
    <w:rsid w:val="34C91C8B"/>
    <w:rsid w:val="34DB551B"/>
    <w:rsid w:val="34DF14AF"/>
    <w:rsid w:val="34E16FD5"/>
    <w:rsid w:val="34E940DB"/>
    <w:rsid w:val="34E95E89"/>
    <w:rsid w:val="34EC7728"/>
    <w:rsid w:val="34F0546A"/>
    <w:rsid w:val="34F14D3E"/>
    <w:rsid w:val="34F77B28"/>
    <w:rsid w:val="35074561"/>
    <w:rsid w:val="351153E0"/>
    <w:rsid w:val="35134CB4"/>
    <w:rsid w:val="3518676F"/>
    <w:rsid w:val="3529272A"/>
    <w:rsid w:val="352C3FC8"/>
    <w:rsid w:val="352E7D40"/>
    <w:rsid w:val="353115DE"/>
    <w:rsid w:val="353C06AF"/>
    <w:rsid w:val="353D61D5"/>
    <w:rsid w:val="353F1F4D"/>
    <w:rsid w:val="355C665B"/>
    <w:rsid w:val="35747E49"/>
    <w:rsid w:val="35780FBB"/>
    <w:rsid w:val="357C4E30"/>
    <w:rsid w:val="3586192A"/>
    <w:rsid w:val="359009FB"/>
    <w:rsid w:val="35926521"/>
    <w:rsid w:val="359D0A22"/>
    <w:rsid w:val="35A40002"/>
    <w:rsid w:val="35B46497"/>
    <w:rsid w:val="35BB5A78"/>
    <w:rsid w:val="35C3492C"/>
    <w:rsid w:val="35C42453"/>
    <w:rsid w:val="35E623C9"/>
    <w:rsid w:val="35E86141"/>
    <w:rsid w:val="35EA010B"/>
    <w:rsid w:val="35EF5721"/>
    <w:rsid w:val="360B0081"/>
    <w:rsid w:val="360B1E2F"/>
    <w:rsid w:val="360F36CE"/>
    <w:rsid w:val="361B02C4"/>
    <w:rsid w:val="361B6516"/>
    <w:rsid w:val="3620283E"/>
    <w:rsid w:val="36203B2D"/>
    <w:rsid w:val="362B4280"/>
    <w:rsid w:val="363475D8"/>
    <w:rsid w:val="363B2F66"/>
    <w:rsid w:val="36455341"/>
    <w:rsid w:val="365B2DB7"/>
    <w:rsid w:val="365B4B65"/>
    <w:rsid w:val="36631C6B"/>
    <w:rsid w:val="36657792"/>
    <w:rsid w:val="366652B8"/>
    <w:rsid w:val="36714388"/>
    <w:rsid w:val="36721EAF"/>
    <w:rsid w:val="367F72BB"/>
    <w:rsid w:val="3685484B"/>
    <w:rsid w:val="36874BEE"/>
    <w:rsid w:val="368F2A60"/>
    <w:rsid w:val="369116D0"/>
    <w:rsid w:val="36914A2B"/>
    <w:rsid w:val="3699568D"/>
    <w:rsid w:val="36B64491"/>
    <w:rsid w:val="36B83D65"/>
    <w:rsid w:val="36BC4AFA"/>
    <w:rsid w:val="36BE50F4"/>
    <w:rsid w:val="36BE6EA2"/>
    <w:rsid w:val="36C24BE4"/>
    <w:rsid w:val="36D05553"/>
    <w:rsid w:val="36D13079"/>
    <w:rsid w:val="36D3294D"/>
    <w:rsid w:val="36DA1F2E"/>
    <w:rsid w:val="36DD557A"/>
    <w:rsid w:val="36E7464B"/>
    <w:rsid w:val="36F56D67"/>
    <w:rsid w:val="36FD79CA"/>
    <w:rsid w:val="37040D59"/>
    <w:rsid w:val="37054AD1"/>
    <w:rsid w:val="3709636F"/>
    <w:rsid w:val="37226B12"/>
    <w:rsid w:val="37256F21"/>
    <w:rsid w:val="37384EA6"/>
    <w:rsid w:val="373F55A7"/>
    <w:rsid w:val="374101FF"/>
    <w:rsid w:val="37490E61"/>
    <w:rsid w:val="3757272A"/>
    <w:rsid w:val="375872F6"/>
    <w:rsid w:val="37661A13"/>
    <w:rsid w:val="37691503"/>
    <w:rsid w:val="376C68FE"/>
    <w:rsid w:val="376E2676"/>
    <w:rsid w:val="37734130"/>
    <w:rsid w:val="37781747"/>
    <w:rsid w:val="37895702"/>
    <w:rsid w:val="37904CE2"/>
    <w:rsid w:val="379320DC"/>
    <w:rsid w:val="379F4F25"/>
    <w:rsid w:val="37A662B4"/>
    <w:rsid w:val="37BE35FD"/>
    <w:rsid w:val="37C36E66"/>
    <w:rsid w:val="37C4498C"/>
    <w:rsid w:val="37C52C3A"/>
    <w:rsid w:val="37D33C22"/>
    <w:rsid w:val="37D42E21"/>
    <w:rsid w:val="37E312B6"/>
    <w:rsid w:val="37E42938"/>
    <w:rsid w:val="37E56DDC"/>
    <w:rsid w:val="37E64902"/>
    <w:rsid w:val="37ED3EE3"/>
    <w:rsid w:val="37ED7A3F"/>
    <w:rsid w:val="37F76B0F"/>
    <w:rsid w:val="3810372D"/>
    <w:rsid w:val="3814321D"/>
    <w:rsid w:val="381A5280"/>
    <w:rsid w:val="382673F4"/>
    <w:rsid w:val="382947EF"/>
    <w:rsid w:val="38327B47"/>
    <w:rsid w:val="383E568D"/>
    <w:rsid w:val="3845787B"/>
    <w:rsid w:val="385555E4"/>
    <w:rsid w:val="385C6972"/>
    <w:rsid w:val="385E093C"/>
    <w:rsid w:val="385E6B8E"/>
    <w:rsid w:val="386817BB"/>
    <w:rsid w:val="387B14EE"/>
    <w:rsid w:val="3881462B"/>
    <w:rsid w:val="388A34DF"/>
    <w:rsid w:val="388D1222"/>
    <w:rsid w:val="3894435E"/>
    <w:rsid w:val="389B749B"/>
    <w:rsid w:val="38AE3672"/>
    <w:rsid w:val="38B30C88"/>
    <w:rsid w:val="38B642D4"/>
    <w:rsid w:val="38B7004D"/>
    <w:rsid w:val="38B92017"/>
    <w:rsid w:val="38BD38B5"/>
    <w:rsid w:val="38C20ECB"/>
    <w:rsid w:val="38C74734"/>
    <w:rsid w:val="38D34E86"/>
    <w:rsid w:val="38E2331B"/>
    <w:rsid w:val="38E5105E"/>
    <w:rsid w:val="38EC419A"/>
    <w:rsid w:val="38F90665"/>
    <w:rsid w:val="39013DC6"/>
    <w:rsid w:val="390414E4"/>
    <w:rsid w:val="390C0398"/>
    <w:rsid w:val="39131727"/>
    <w:rsid w:val="391B753E"/>
    <w:rsid w:val="391D1E5E"/>
    <w:rsid w:val="3929719C"/>
    <w:rsid w:val="39317DFF"/>
    <w:rsid w:val="393618B9"/>
    <w:rsid w:val="39363667"/>
    <w:rsid w:val="393B2A2C"/>
    <w:rsid w:val="394A0EC1"/>
    <w:rsid w:val="39557F91"/>
    <w:rsid w:val="39730417"/>
    <w:rsid w:val="39736669"/>
    <w:rsid w:val="397728B2"/>
    <w:rsid w:val="397C3770"/>
    <w:rsid w:val="397F6DBC"/>
    <w:rsid w:val="39812B34"/>
    <w:rsid w:val="3982065B"/>
    <w:rsid w:val="398B750F"/>
    <w:rsid w:val="39A71E6F"/>
    <w:rsid w:val="39A95BE7"/>
    <w:rsid w:val="39AB195F"/>
    <w:rsid w:val="39AE31FE"/>
    <w:rsid w:val="39B527DE"/>
    <w:rsid w:val="39BD1693"/>
    <w:rsid w:val="39BF540B"/>
    <w:rsid w:val="39C24EFB"/>
    <w:rsid w:val="39C96289"/>
    <w:rsid w:val="39CD3FCC"/>
    <w:rsid w:val="39CE564E"/>
    <w:rsid w:val="39D30EB6"/>
    <w:rsid w:val="39D32C64"/>
    <w:rsid w:val="39ED01CA"/>
    <w:rsid w:val="39F257E0"/>
    <w:rsid w:val="39F2758E"/>
    <w:rsid w:val="39F33306"/>
    <w:rsid w:val="39F71049"/>
    <w:rsid w:val="39F74BA5"/>
    <w:rsid w:val="39FA6443"/>
    <w:rsid w:val="3A0177D1"/>
    <w:rsid w:val="3A045513"/>
    <w:rsid w:val="3A125E82"/>
    <w:rsid w:val="3A176FF5"/>
    <w:rsid w:val="3A2B6F44"/>
    <w:rsid w:val="3A325BDD"/>
    <w:rsid w:val="3A361B71"/>
    <w:rsid w:val="3A3E6C77"/>
    <w:rsid w:val="3A4B4EF0"/>
    <w:rsid w:val="3A63223A"/>
    <w:rsid w:val="3A706705"/>
    <w:rsid w:val="3A7206CF"/>
    <w:rsid w:val="3A744447"/>
    <w:rsid w:val="3A79380C"/>
    <w:rsid w:val="3A810912"/>
    <w:rsid w:val="3A824DB6"/>
    <w:rsid w:val="3A9E3272"/>
    <w:rsid w:val="3AA30888"/>
    <w:rsid w:val="3AAB598F"/>
    <w:rsid w:val="3AC56A51"/>
    <w:rsid w:val="3AD44EE6"/>
    <w:rsid w:val="3ADB44C6"/>
    <w:rsid w:val="3AE25855"/>
    <w:rsid w:val="3AE72E6B"/>
    <w:rsid w:val="3AEF1D20"/>
    <w:rsid w:val="3AEF3ACE"/>
    <w:rsid w:val="3AF410E4"/>
    <w:rsid w:val="3AF630AE"/>
    <w:rsid w:val="3AF70BD4"/>
    <w:rsid w:val="3B021A53"/>
    <w:rsid w:val="3B0752BB"/>
    <w:rsid w:val="3B0E03F8"/>
    <w:rsid w:val="3B255741"/>
    <w:rsid w:val="3B304812"/>
    <w:rsid w:val="3B337E5E"/>
    <w:rsid w:val="3B392F9B"/>
    <w:rsid w:val="3B4A3312"/>
    <w:rsid w:val="3B4E4C98"/>
    <w:rsid w:val="3B506C62"/>
    <w:rsid w:val="3B5129DA"/>
    <w:rsid w:val="3B554279"/>
    <w:rsid w:val="3B5A363D"/>
    <w:rsid w:val="3B5B73B5"/>
    <w:rsid w:val="3B5F0C53"/>
    <w:rsid w:val="3B620744"/>
    <w:rsid w:val="3B6444BC"/>
    <w:rsid w:val="3B693880"/>
    <w:rsid w:val="3B7010B2"/>
    <w:rsid w:val="3B7566C9"/>
    <w:rsid w:val="3B781D15"/>
    <w:rsid w:val="3B8B7C9A"/>
    <w:rsid w:val="3B8C57C0"/>
    <w:rsid w:val="3B912DD7"/>
    <w:rsid w:val="3B9C1EA7"/>
    <w:rsid w:val="3BA1126C"/>
    <w:rsid w:val="3BA7084C"/>
    <w:rsid w:val="3BA725FA"/>
    <w:rsid w:val="3BAA0C3D"/>
    <w:rsid w:val="3BB52F69"/>
    <w:rsid w:val="3BBD3BCC"/>
    <w:rsid w:val="3BBF5B96"/>
    <w:rsid w:val="3BC35686"/>
    <w:rsid w:val="3BC92571"/>
    <w:rsid w:val="3BCB0097"/>
    <w:rsid w:val="3BCB453B"/>
    <w:rsid w:val="3BCC2061"/>
    <w:rsid w:val="3BCE5A48"/>
    <w:rsid w:val="3BD056AD"/>
    <w:rsid w:val="3BDD7DCA"/>
    <w:rsid w:val="3BDF3B42"/>
    <w:rsid w:val="3BF515B8"/>
    <w:rsid w:val="3BF5780A"/>
    <w:rsid w:val="3BFC2946"/>
    <w:rsid w:val="3BFD046C"/>
    <w:rsid w:val="3C08753D"/>
    <w:rsid w:val="3C153A08"/>
    <w:rsid w:val="3C1A7270"/>
    <w:rsid w:val="3C215F09"/>
    <w:rsid w:val="3C2459F9"/>
    <w:rsid w:val="3C3976F6"/>
    <w:rsid w:val="3C3C0F95"/>
    <w:rsid w:val="3C3C71E7"/>
    <w:rsid w:val="3C410359"/>
    <w:rsid w:val="3C461E13"/>
    <w:rsid w:val="3C4B567C"/>
    <w:rsid w:val="3C4D4F50"/>
    <w:rsid w:val="3C544530"/>
    <w:rsid w:val="3C756255"/>
    <w:rsid w:val="3C85293C"/>
    <w:rsid w:val="3C90308E"/>
    <w:rsid w:val="3C925059"/>
    <w:rsid w:val="3C9568F7"/>
    <w:rsid w:val="3C964B49"/>
    <w:rsid w:val="3C9C1A33"/>
    <w:rsid w:val="3C9E39FD"/>
    <w:rsid w:val="3CA07775"/>
    <w:rsid w:val="3CA32DC2"/>
    <w:rsid w:val="3CB11983"/>
    <w:rsid w:val="3CB14874"/>
    <w:rsid w:val="3CB7061B"/>
    <w:rsid w:val="3CB90837"/>
    <w:rsid w:val="3CD4741F"/>
    <w:rsid w:val="3CD70CBD"/>
    <w:rsid w:val="3CDB07AE"/>
    <w:rsid w:val="3CDE029E"/>
    <w:rsid w:val="3CE37662"/>
    <w:rsid w:val="3CEC29BB"/>
    <w:rsid w:val="3CF8135F"/>
    <w:rsid w:val="3CFB0E50"/>
    <w:rsid w:val="3D033860"/>
    <w:rsid w:val="3D037D04"/>
    <w:rsid w:val="3D0C0967"/>
    <w:rsid w:val="3D0C4E0B"/>
    <w:rsid w:val="3D0E0B83"/>
    <w:rsid w:val="3D0F48FB"/>
    <w:rsid w:val="3D141F11"/>
    <w:rsid w:val="3D143CBF"/>
    <w:rsid w:val="3D1912D6"/>
    <w:rsid w:val="3D1B504E"/>
    <w:rsid w:val="3D2C2DB7"/>
    <w:rsid w:val="3D477BF1"/>
    <w:rsid w:val="3D483969"/>
    <w:rsid w:val="3D4C5207"/>
    <w:rsid w:val="3D4F4CF8"/>
    <w:rsid w:val="3D6469F5"/>
    <w:rsid w:val="3D672041"/>
    <w:rsid w:val="3D6F7148"/>
    <w:rsid w:val="3D712EC0"/>
    <w:rsid w:val="3D785FFC"/>
    <w:rsid w:val="3D7B5AED"/>
    <w:rsid w:val="3D7D1865"/>
    <w:rsid w:val="3D8A3F82"/>
    <w:rsid w:val="3D915310"/>
    <w:rsid w:val="3D9170BE"/>
    <w:rsid w:val="3D9A41C5"/>
    <w:rsid w:val="3D9B1CEB"/>
    <w:rsid w:val="3D9D5A63"/>
    <w:rsid w:val="3DA05553"/>
    <w:rsid w:val="3DA93DDC"/>
    <w:rsid w:val="3DAA0180"/>
    <w:rsid w:val="3DAC3EF8"/>
    <w:rsid w:val="3DB80517"/>
    <w:rsid w:val="3DBA03C3"/>
    <w:rsid w:val="3DBF3C2B"/>
    <w:rsid w:val="3DC92CFC"/>
    <w:rsid w:val="3DDA0A65"/>
    <w:rsid w:val="3DDA6CB7"/>
    <w:rsid w:val="3DDF42CD"/>
    <w:rsid w:val="3DE74A25"/>
    <w:rsid w:val="3DED69EA"/>
    <w:rsid w:val="3DEE0CAB"/>
    <w:rsid w:val="3DEE4511"/>
    <w:rsid w:val="3DF02037"/>
    <w:rsid w:val="3DF8538F"/>
    <w:rsid w:val="3E027EEC"/>
    <w:rsid w:val="3E067AAC"/>
    <w:rsid w:val="3E0B0C1F"/>
    <w:rsid w:val="3E0B50C2"/>
    <w:rsid w:val="3E111FAD"/>
    <w:rsid w:val="3E3208A1"/>
    <w:rsid w:val="3E495BEB"/>
    <w:rsid w:val="3E522CF1"/>
    <w:rsid w:val="3E5F71BC"/>
    <w:rsid w:val="3E6E73FF"/>
    <w:rsid w:val="3E7964D0"/>
    <w:rsid w:val="3E846C23"/>
    <w:rsid w:val="3E864749"/>
    <w:rsid w:val="3E907376"/>
    <w:rsid w:val="3E927592"/>
    <w:rsid w:val="3EA03A5D"/>
    <w:rsid w:val="3EAA262D"/>
    <w:rsid w:val="3EAF3CA0"/>
    <w:rsid w:val="3EB41770"/>
    <w:rsid w:val="3EB70DA6"/>
    <w:rsid w:val="3EBB0897"/>
    <w:rsid w:val="3EBF1A09"/>
    <w:rsid w:val="3EBF7C5B"/>
    <w:rsid w:val="3EC05EAD"/>
    <w:rsid w:val="3EC139D3"/>
    <w:rsid w:val="3EC3599D"/>
    <w:rsid w:val="3EC7548D"/>
    <w:rsid w:val="3ECF7E9E"/>
    <w:rsid w:val="3ED100BA"/>
    <w:rsid w:val="3ED8239D"/>
    <w:rsid w:val="3ED96F6F"/>
    <w:rsid w:val="3EDC25BB"/>
    <w:rsid w:val="3EDE4585"/>
    <w:rsid w:val="3EF618CF"/>
    <w:rsid w:val="3EFC4A0B"/>
    <w:rsid w:val="3EFE0783"/>
    <w:rsid w:val="3F0044FB"/>
    <w:rsid w:val="3F012022"/>
    <w:rsid w:val="3F087854"/>
    <w:rsid w:val="3F0A7128"/>
    <w:rsid w:val="3F177A97"/>
    <w:rsid w:val="3F1E2BD3"/>
    <w:rsid w:val="3F381EE7"/>
    <w:rsid w:val="3F3D5750"/>
    <w:rsid w:val="3F473ED8"/>
    <w:rsid w:val="3F4A39C9"/>
    <w:rsid w:val="3F5465F5"/>
    <w:rsid w:val="3F593C0C"/>
    <w:rsid w:val="3F6E5909"/>
    <w:rsid w:val="3F7171A7"/>
    <w:rsid w:val="3F7942AE"/>
    <w:rsid w:val="3F7B0026"/>
    <w:rsid w:val="3F854A01"/>
    <w:rsid w:val="3F890995"/>
    <w:rsid w:val="3F8A2017"/>
    <w:rsid w:val="3F8C3FE1"/>
    <w:rsid w:val="3F8E7D59"/>
    <w:rsid w:val="3FA70E1B"/>
    <w:rsid w:val="3FAC4683"/>
    <w:rsid w:val="3FB35A12"/>
    <w:rsid w:val="3FBA6DA0"/>
    <w:rsid w:val="3FCB2D5B"/>
    <w:rsid w:val="3FE11180"/>
    <w:rsid w:val="3FE756BB"/>
    <w:rsid w:val="40041DC9"/>
    <w:rsid w:val="40093884"/>
    <w:rsid w:val="400B13AA"/>
    <w:rsid w:val="400C5122"/>
    <w:rsid w:val="40224945"/>
    <w:rsid w:val="40267F92"/>
    <w:rsid w:val="4033445D"/>
    <w:rsid w:val="40363F4D"/>
    <w:rsid w:val="4041301D"/>
    <w:rsid w:val="40414DCB"/>
    <w:rsid w:val="404B3E9C"/>
    <w:rsid w:val="404B5C4A"/>
    <w:rsid w:val="404E74E8"/>
    <w:rsid w:val="40534AFF"/>
    <w:rsid w:val="40535BC9"/>
    <w:rsid w:val="405368AD"/>
    <w:rsid w:val="405A7C3B"/>
    <w:rsid w:val="40672358"/>
    <w:rsid w:val="406805AA"/>
    <w:rsid w:val="406960D0"/>
    <w:rsid w:val="407209E5"/>
    <w:rsid w:val="40736F4F"/>
    <w:rsid w:val="40752CC7"/>
    <w:rsid w:val="40754A75"/>
    <w:rsid w:val="4081166C"/>
    <w:rsid w:val="40833636"/>
    <w:rsid w:val="4084115C"/>
    <w:rsid w:val="40A13ABC"/>
    <w:rsid w:val="40A67324"/>
    <w:rsid w:val="40AA0BC3"/>
    <w:rsid w:val="40BE466E"/>
    <w:rsid w:val="40BE641C"/>
    <w:rsid w:val="40C854ED"/>
    <w:rsid w:val="40CB26B7"/>
    <w:rsid w:val="40D07EFD"/>
    <w:rsid w:val="40DC4AF4"/>
    <w:rsid w:val="40E045E4"/>
    <w:rsid w:val="40EB11DB"/>
    <w:rsid w:val="40ED6D01"/>
    <w:rsid w:val="40F736DC"/>
    <w:rsid w:val="40F956A6"/>
    <w:rsid w:val="40FE2CBD"/>
    <w:rsid w:val="410858E9"/>
    <w:rsid w:val="410A1661"/>
    <w:rsid w:val="410B53D9"/>
    <w:rsid w:val="410D73A4"/>
    <w:rsid w:val="41166258"/>
    <w:rsid w:val="412070D7"/>
    <w:rsid w:val="412344D1"/>
    <w:rsid w:val="412D35A2"/>
    <w:rsid w:val="41390199"/>
    <w:rsid w:val="413D1A37"/>
    <w:rsid w:val="414508EB"/>
    <w:rsid w:val="41597EF3"/>
    <w:rsid w:val="41614FF9"/>
    <w:rsid w:val="41650F8E"/>
    <w:rsid w:val="417411D1"/>
    <w:rsid w:val="417E3DFD"/>
    <w:rsid w:val="417E5BAB"/>
    <w:rsid w:val="41801923"/>
    <w:rsid w:val="419E1DAA"/>
    <w:rsid w:val="41A35612"/>
    <w:rsid w:val="41AF2209"/>
    <w:rsid w:val="41B45A71"/>
    <w:rsid w:val="41B96BE3"/>
    <w:rsid w:val="41BE41FA"/>
    <w:rsid w:val="41C23CEA"/>
    <w:rsid w:val="41C37A62"/>
    <w:rsid w:val="41D63C39"/>
    <w:rsid w:val="41E00614"/>
    <w:rsid w:val="41EC0D67"/>
    <w:rsid w:val="41EF0857"/>
    <w:rsid w:val="41FD4D22"/>
    <w:rsid w:val="42002A64"/>
    <w:rsid w:val="420460B1"/>
    <w:rsid w:val="420E33D3"/>
    <w:rsid w:val="420F2CA7"/>
    <w:rsid w:val="42132798"/>
    <w:rsid w:val="42134546"/>
    <w:rsid w:val="422449A5"/>
    <w:rsid w:val="422B7AE1"/>
    <w:rsid w:val="422E5823"/>
    <w:rsid w:val="422E75D1"/>
    <w:rsid w:val="4230334A"/>
    <w:rsid w:val="423746D8"/>
    <w:rsid w:val="423D7815"/>
    <w:rsid w:val="42417305"/>
    <w:rsid w:val="42462B6D"/>
    <w:rsid w:val="42497F67"/>
    <w:rsid w:val="424B3CDF"/>
    <w:rsid w:val="425132C0"/>
    <w:rsid w:val="4251506E"/>
    <w:rsid w:val="42586B9E"/>
    <w:rsid w:val="425B7C9B"/>
    <w:rsid w:val="42642FF3"/>
    <w:rsid w:val="42734FE4"/>
    <w:rsid w:val="42A17DA3"/>
    <w:rsid w:val="42A67168"/>
    <w:rsid w:val="42A930FC"/>
    <w:rsid w:val="42AC04F6"/>
    <w:rsid w:val="42AD499A"/>
    <w:rsid w:val="42AD6748"/>
    <w:rsid w:val="42B03E44"/>
    <w:rsid w:val="42B71375"/>
    <w:rsid w:val="42C121F4"/>
    <w:rsid w:val="42CB3072"/>
    <w:rsid w:val="42D27F5D"/>
    <w:rsid w:val="42D71A17"/>
    <w:rsid w:val="42DB79D7"/>
    <w:rsid w:val="42E87780"/>
    <w:rsid w:val="42F06635"/>
    <w:rsid w:val="42F44377"/>
    <w:rsid w:val="42F97BDF"/>
    <w:rsid w:val="430A1DED"/>
    <w:rsid w:val="430D71E7"/>
    <w:rsid w:val="431A7B56"/>
    <w:rsid w:val="431C567C"/>
    <w:rsid w:val="43284021"/>
    <w:rsid w:val="433230F1"/>
    <w:rsid w:val="43394480"/>
    <w:rsid w:val="43421586"/>
    <w:rsid w:val="434F77FF"/>
    <w:rsid w:val="43655275"/>
    <w:rsid w:val="436808C1"/>
    <w:rsid w:val="4379487C"/>
    <w:rsid w:val="438A4CDB"/>
    <w:rsid w:val="438F22F2"/>
    <w:rsid w:val="43963680"/>
    <w:rsid w:val="43996CCD"/>
    <w:rsid w:val="439E2535"/>
    <w:rsid w:val="43A23DD3"/>
    <w:rsid w:val="43A26DEF"/>
    <w:rsid w:val="43B34232"/>
    <w:rsid w:val="43BB30E7"/>
    <w:rsid w:val="43BB6C43"/>
    <w:rsid w:val="43D9356D"/>
    <w:rsid w:val="43E02B4D"/>
    <w:rsid w:val="43E268C5"/>
    <w:rsid w:val="43E75C8A"/>
    <w:rsid w:val="43EC32A0"/>
    <w:rsid w:val="43F85CBD"/>
    <w:rsid w:val="44093E52"/>
    <w:rsid w:val="441C47C6"/>
    <w:rsid w:val="441F5424"/>
    <w:rsid w:val="44246EDE"/>
    <w:rsid w:val="4427252A"/>
    <w:rsid w:val="442A5B77"/>
    <w:rsid w:val="442E1B0B"/>
    <w:rsid w:val="44307631"/>
    <w:rsid w:val="4436276D"/>
    <w:rsid w:val="4441183E"/>
    <w:rsid w:val="444255B6"/>
    <w:rsid w:val="44450C02"/>
    <w:rsid w:val="444924A1"/>
    <w:rsid w:val="446217B4"/>
    <w:rsid w:val="44623562"/>
    <w:rsid w:val="44653DB3"/>
    <w:rsid w:val="44691B4C"/>
    <w:rsid w:val="44896D41"/>
    <w:rsid w:val="448C05DF"/>
    <w:rsid w:val="449C4CC6"/>
    <w:rsid w:val="449F0313"/>
    <w:rsid w:val="44A818BD"/>
    <w:rsid w:val="44B10046"/>
    <w:rsid w:val="44B738AE"/>
    <w:rsid w:val="44B87626"/>
    <w:rsid w:val="44C1472D"/>
    <w:rsid w:val="44C424A5"/>
    <w:rsid w:val="44C9538F"/>
    <w:rsid w:val="44D22496"/>
    <w:rsid w:val="44D2767A"/>
    <w:rsid w:val="44E346A3"/>
    <w:rsid w:val="44E4041B"/>
    <w:rsid w:val="44E73A68"/>
    <w:rsid w:val="44ED5522"/>
    <w:rsid w:val="44F00B6E"/>
    <w:rsid w:val="44F3240C"/>
    <w:rsid w:val="4508410A"/>
    <w:rsid w:val="45196317"/>
    <w:rsid w:val="45237196"/>
    <w:rsid w:val="452F78E8"/>
    <w:rsid w:val="453273D9"/>
    <w:rsid w:val="45343151"/>
    <w:rsid w:val="4537679D"/>
    <w:rsid w:val="453E3FCF"/>
    <w:rsid w:val="45442C68"/>
    <w:rsid w:val="45462E84"/>
    <w:rsid w:val="45717F01"/>
    <w:rsid w:val="45795008"/>
    <w:rsid w:val="458539AC"/>
    <w:rsid w:val="45877724"/>
    <w:rsid w:val="458F0387"/>
    <w:rsid w:val="45941E41"/>
    <w:rsid w:val="459B01DE"/>
    <w:rsid w:val="459B6D2C"/>
    <w:rsid w:val="459E681C"/>
    <w:rsid w:val="45A04342"/>
    <w:rsid w:val="45A100BA"/>
    <w:rsid w:val="45A32084"/>
    <w:rsid w:val="45AA6F6F"/>
    <w:rsid w:val="45AD6A5F"/>
    <w:rsid w:val="45B24076"/>
    <w:rsid w:val="45B47DEE"/>
    <w:rsid w:val="45B61DB8"/>
    <w:rsid w:val="45C2075D"/>
    <w:rsid w:val="45C36283"/>
    <w:rsid w:val="45C75D73"/>
    <w:rsid w:val="45C83899"/>
    <w:rsid w:val="45D43FEC"/>
    <w:rsid w:val="45D97854"/>
    <w:rsid w:val="45E36925"/>
    <w:rsid w:val="45F36B68"/>
    <w:rsid w:val="45FE72BB"/>
    <w:rsid w:val="46032B23"/>
    <w:rsid w:val="46116FEE"/>
    <w:rsid w:val="4613720A"/>
    <w:rsid w:val="46184820"/>
    <w:rsid w:val="461D3BE5"/>
    <w:rsid w:val="461E53A0"/>
    <w:rsid w:val="462D5F0B"/>
    <w:rsid w:val="462E7BA0"/>
    <w:rsid w:val="462F1B6A"/>
    <w:rsid w:val="462F3918"/>
    <w:rsid w:val="46363432"/>
    <w:rsid w:val="464078D3"/>
    <w:rsid w:val="464F7B16"/>
    <w:rsid w:val="46537607"/>
    <w:rsid w:val="465D2233"/>
    <w:rsid w:val="46671304"/>
    <w:rsid w:val="466B2BA2"/>
    <w:rsid w:val="467F03FC"/>
    <w:rsid w:val="46841EB6"/>
    <w:rsid w:val="469043B7"/>
    <w:rsid w:val="469A6FE4"/>
    <w:rsid w:val="469B0FAE"/>
    <w:rsid w:val="469D6AD4"/>
    <w:rsid w:val="46A00372"/>
    <w:rsid w:val="46B04A59"/>
    <w:rsid w:val="46B856BC"/>
    <w:rsid w:val="46BF6A4A"/>
    <w:rsid w:val="46C2653A"/>
    <w:rsid w:val="46C329DE"/>
    <w:rsid w:val="46C6427C"/>
    <w:rsid w:val="46CD560B"/>
    <w:rsid w:val="46CE1383"/>
    <w:rsid w:val="46CE3131"/>
    <w:rsid w:val="46D1677D"/>
    <w:rsid w:val="46D70238"/>
    <w:rsid w:val="46DC75FC"/>
    <w:rsid w:val="46EA3AC1"/>
    <w:rsid w:val="46ED1809"/>
    <w:rsid w:val="46EE732F"/>
    <w:rsid w:val="46F26E20"/>
    <w:rsid w:val="46F72688"/>
    <w:rsid w:val="46FC37FA"/>
    <w:rsid w:val="47064679"/>
    <w:rsid w:val="471843AC"/>
    <w:rsid w:val="471F398D"/>
    <w:rsid w:val="47280A93"/>
    <w:rsid w:val="47376F28"/>
    <w:rsid w:val="474271A0"/>
    <w:rsid w:val="47462CC7"/>
    <w:rsid w:val="47484C91"/>
    <w:rsid w:val="47507FEA"/>
    <w:rsid w:val="47705F96"/>
    <w:rsid w:val="47745A86"/>
    <w:rsid w:val="47867568"/>
    <w:rsid w:val="479779C7"/>
    <w:rsid w:val="47A3011A"/>
    <w:rsid w:val="47A81BD4"/>
    <w:rsid w:val="47A85730"/>
    <w:rsid w:val="47C6205A"/>
    <w:rsid w:val="47D14C87"/>
    <w:rsid w:val="47D66741"/>
    <w:rsid w:val="47D7186A"/>
    <w:rsid w:val="47E36768"/>
    <w:rsid w:val="47E56984"/>
    <w:rsid w:val="47F40975"/>
    <w:rsid w:val="47F44E19"/>
    <w:rsid w:val="481C1C7A"/>
    <w:rsid w:val="48270D4B"/>
    <w:rsid w:val="482A4397"/>
    <w:rsid w:val="48345216"/>
    <w:rsid w:val="4840005F"/>
    <w:rsid w:val="484A67E7"/>
    <w:rsid w:val="484F2050"/>
    <w:rsid w:val="48621D83"/>
    <w:rsid w:val="48623B31"/>
    <w:rsid w:val="486B1EB6"/>
    <w:rsid w:val="487F2935"/>
    <w:rsid w:val="48831CF9"/>
    <w:rsid w:val="488B752C"/>
    <w:rsid w:val="488C5501"/>
    <w:rsid w:val="4893018E"/>
    <w:rsid w:val="489363E0"/>
    <w:rsid w:val="489A7C6C"/>
    <w:rsid w:val="48AE6D76"/>
    <w:rsid w:val="48B14AB8"/>
    <w:rsid w:val="48B84099"/>
    <w:rsid w:val="48B85E47"/>
    <w:rsid w:val="48C447EC"/>
    <w:rsid w:val="48D16F09"/>
    <w:rsid w:val="48DF1625"/>
    <w:rsid w:val="48E00EFA"/>
    <w:rsid w:val="48E72288"/>
    <w:rsid w:val="48EA3B26"/>
    <w:rsid w:val="48EE7ABB"/>
    <w:rsid w:val="48F84495"/>
    <w:rsid w:val="48FA7306"/>
    <w:rsid w:val="49170DBF"/>
    <w:rsid w:val="491C0184"/>
    <w:rsid w:val="4929464F"/>
    <w:rsid w:val="49431BB4"/>
    <w:rsid w:val="49557B3A"/>
    <w:rsid w:val="495C4A24"/>
    <w:rsid w:val="495F62C2"/>
    <w:rsid w:val="496438D9"/>
    <w:rsid w:val="496658A3"/>
    <w:rsid w:val="49667651"/>
    <w:rsid w:val="496F29A9"/>
    <w:rsid w:val="4972249A"/>
    <w:rsid w:val="49787384"/>
    <w:rsid w:val="497E7E6D"/>
    <w:rsid w:val="498B70B7"/>
    <w:rsid w:val="4999217F"/>
    <w:rsid w:val="49997A26"/>
    <w:rsid w:val="499E328F"/>
    <w:rsid w:val="499E6DEB"/>
    <w:rsid w:val="49A63EF1"/>
    <w:rsid w:val="49B26D3A"/>
    <w:rsid w:val="49B44860"/>
    <w:rsid w:val="49B52386"/>
    <w:rsid w:val="49C10D2B"/>
    <w:rsid w:val="49C36851"/>
    <w:rsid w:val="49CA4084"/>
    <w:rsid w:val="49CD76D0"/>
    <w:rsid w:val="49D56585"/>
    <w:rsid w:val="49D96075"/>
    <w:rsid w:val="49D97E23"/>
    <w:rsid w:val="49E52C6C"/>
    <w:rsid w:val="49E87344"/>
    <w:rsid w:val="49F17862"/>
    <w:rsid w:val="49F20EE5"/>
    <w:rsid w:val="49F509D5"/>
    <w:rsid w:val="49F92273"/>
    <w:rsid w:val="49FE3D2D"/>
    <w:rsid w:val="49FE5ADB"/>
    <w:rsid w:val="4A037596"/>
    <w:rsid w:val="4A0A26D2"/>
    <w:rsid w:val="4A0F1A96"/>
    <w:rsid w:val="4A11580F"/>
    <w:rsid w:val="4A190B67"/>
    <w:rsid w:val="4A1E7F2C"/>
    <w:rsid w:val="4A25750C"/>
    <w:rsid w:val="4A3414FD"/>
    <w:rsid w:val="4A3459A1"/>
    <w:rsid w:val="4A407E68"/>
    <w:rsid w:val="4A431740"/>
    <w:rsid w:val="4A4E6A63"/>
    <w:rsid w:val="4A5E2A1E"/>
    <w:rsid w:val="4A604B4B"/>
    <w:rsid w:val="4A767D68"/>
    <w:rsid w:val="4A7A7858"/>
    <w:rsid w:val="4A7E6C1C"/>
    <w:rsid w:val="4A954692"/>
    <w:rsid w:val="4A981BBC"/>
    <w:rsid w:val="4A9D52F4"/>
    <w:rsid w:val="4AA2290B"/>
    <w:rsid w:val="4AA94B8B"/>
    <w:rsid w:val="4AAA17BF"/>
    <w:rsid w:val="4AAE558F"/>
    <w:rsid w:val="4AB80380"/>
    <w:rsid w:val="4ACB00B3"/>
    <w:rsid w:val="4AD351BA"/>
    <w:rsid w:val="4ADA20A4"/>
    <w:rsid w:val="4ADA311C"/>
    <w:rsid w:val="4ADE2F2D"/>
    <w:rsid w:val="4AE01685"/>
    <w:rsid w:val="4AE271AB"/>
    <w:rsid w:val="4AE50A49"/>
    <w:rsid w:val="4B09298A"/>
    <w:rsid w:val="4B182BCD"/>
    <w:rsid w:val="4B185C8F"/>
    <w:rsid w:val="4B1D6435"/>
    <w:rsid w:val="4B1F21AD"/>
    <w:rsid w:val="4B2B0B52"/>
    <w:rsid w:val="4B307F16"/>
    <w:rsid w:val="4B38326F"/>
    <w:rsid w:val="4B3D2633"/>
    <w:rsid w:val="4B447E66"/>
    <w:rsid w:val="4B494ABD"/>
    <w:rsid w:val="4B4D6D1A"/>
    <w:rsid w:val="4B5C51AF"/>
    <w:rsid w:val="4B5F07FC"/>
    <w:rsid w:val="4B616322"/>
    <w:rsid w:val="4B6422B6"/>
    <w:rsid w:val="4B661B8A"/>
    <w:rsid w:val="4B693428"/>
    <w:rsid w:val="4B6B0F4E"/>
    <w:rsid w:val="4B6B71A0"/>
    <w:rsid w:val="4B7E5126"/>
    <w:rsid w:val="4B86222C"/>
    <w:rsid w:val="4B8A1D1C"/>
    <w:rsid w:val="4B8D5369"/>
    <w:rsid w:val="4B906C07"/>
    <w:rsid w:val="4B9A1834"/>
    <w:rsid w:val="4B9A5CD8"/>
    <w:rsid w:val="4BB52B12"/>
    <w:rsid w:val="4BBF129A"/>
    <w:rsid w:val="4BC15012"/>
    <w:rsid w:val="4BC32B39"/>
    <w:rsid w:val="4BC845F3"/>
    <w:rsid w:val="4BC92119"/>
    <w:rsid w:val="4BCB40E3"/>
    <w:rsid w:val="4BD05255"/>
    <w:rsid w:val="4BD50ABE"/>
    <w:rsid w:val="4BD5286C"/>
    <w:rsid w:val="4BED22AB"/>
    <w:rsid w:val="4BEF1B80"/>
    <w:rsid w:val="4BF058F8"/>
    <w:rsid w:val="4BFE1DC3"/>
    <w:rsid w:val="4BFF5B3B"/>
    <w:rsid w:val="4C003D8D"/>
    <w:rsid w:val="4C0A0767"/>
    <w:rsid w:val="4C1B0BC7"/>
    <w:rsid w:val="4C251A45"/>
    <w:rsid w:val="4C341C88"/>
    <w:rsid w:val="4C365A00"/>
    <w:rsid w:val="4C392DFB"/>
    <w:rsid w:val="4C39729F"/>
    <w:rsid w:val="4C43011D"/>
    <w:rsid w:val="4C4730D6"/>
    <w:rsid w:val="4C4F1FEA"/>
    <w:rsid w:val="4C52210E"/>
    <w:rsid w:val="4C5440D8"/>
    <w:rsid w:val="4C5900BC"/>
    <w:rsid w:val="4C6267F5"/>
    <w:rsid w:val="4C687B84"/>
    <w:rsid w:val="4C6E2593"/>
    <w:rsid w:val="4C6F2CC0"/>
    <w:rsid w:val="4C746529"/>
    <w:rsid w:val="4C7B3413"/>
    <w:rsid w:val="4C8449BE"/>
    <w:rsid w:val="4C8524E4"/>
    <w:rsid w:val="4C8C73CE"/>
    <w:rsid w:val="4CB37051"/>
    <w:rsid w:val="4CCC0113"/>
    <w:rsid w:val="4CD9638C"/>
    <w:rsid w:val="4CE55C58"/>
    <w:rsid w:val="4CE74F4D"/>
    <w:rsid w:val="4CEE62DB"/>
    <w:rsid w:val="4CF51418"/>
    <w:rsid w:val="4CFF2296"/>
    <w:rsid w:val="4D0E072B"/>
    <w:rsid w:val="4D0F7FFF"/>
    <w:rsid w:val="4D111FCA"/>
    <w:rsid w:val="4D151ABA"/>
    <w:rsid w:val="4D1D44CA"/>
    <w:rsid w:val="4D302450"/>
    <w:rsid w:val="4D64659D"/>
    <w:rsid w:val="4D665E71"/>
    <w:rsid w:val="4D6E2F78"/>
    <w:rsid w:val="4D73233C"/>
    <w:rsid w:val="4D826A23"/>
    <w:rsid w:val="4D891B60"/>
    <w:rsid w:val="4D986247"/>
    <w:rsid w:val="4DA42E3E"/>
    <w:rsid w:val="4DA70238"/>
    <w:rsid w:val="4DB766CD"/>
    <w:rsid w:val="4DB82445"/>
    <w:rsid w:val="4DC4528E"/>
    <w:rsid w:val="4DCB3F26"/>
    <w:rsid w:val="4DCD4142"/>
    <w:rsid w:val="4DD0778F"/>
    <w:rsid w:val="4DD21759"/>
    <w:rsid w:val="4DD3727F"/>
    <w:rsid w:val="4DF06083"/>
    <w:rsid w:val="4DFD4C4D"/>
    <w:rsid w:val="4E0B6A19"/>
    <w:rsid w:val="4E0D453F"/>
    <w:rsid w:val="4E141D71"/>
    <w:rsid w:val="4E1C29D4"/>
    <w:rsid w:val="4E2D2E33"/>
    <w:rsid w:val="4E2D698F"/>
    <w:rsid w:val="4E3715BC"/>
    <w:rsid w:val="4E395334"/>
    <w:rsid w:val="4E41068C"/>
    <w:rsid w:val="4E4168DE"/>
    <w:rsid w:val="4E434405"/>
    <w:rsid w:val="4E45017D"/>
    <w:rsid w:val="4E487C6D"/>
    <w:rsid w:val="4E555EE6"/>
    <w:rsid w:val="4E612ADD"/>
    <w:rsid w:val="4E742810"/>
    <w:rsid w:val="4E797E26"/>
    <w:rsid w:val="4E7E71EB"/>
    <w:rsid w:val="4E830CA5"/>
    <w:rsid w:val="4E8D38D2"/>
    <w:rsid w:val="4E8D5680"/>
    <w:rsid w:val="4E9609D8"/>
    <w:rsid w:val="4E9C58C3"/>
    <w:rsid w:val="4EAD187E"/>
    <w:rsid w:val="4EAF55F6"/>
    <w:rsid w:val="4EB62E28"/>
    <w:rsid w:val="4EB90223"/>
    <w:rsid w:val="4EBE3A8B"/>
    <w:rsid w:val="4EC015B1"/>
    <w:rsid w:val="4EC3367F"/>
    <w:rsid w:val="4EC76DE4"/>
    <w:rsid w:val="4EC92B5C"/>
    <w:rsid w:val="4ECC0997"/>
    <w:rsid w:val="4ECF3EEA"/>
    <w:rsid w:val="4ED27537"/>
    <w:rsid w:val="4ED35788"/>
    <w:rsid w:val="4EDB63EB"/>
    <w:rsid w:val="4EDE412D"/>
    <w:rsid w:val="4EE01C53"/>
    <w:rsid w:val="4EEF00E8"/>
    <w:rsid w:val="4EF456FF"/>
    <w:rsid w:val="4EF474AD"/>
    <w:rsid w:val="4F02606E"/>
    <w:rsid w:val="4F053468"/>
    <w:rsid w:val="4F1B0EDE"/>
    <w:rsid w:val="4F2204BE"/>
    <w:rsid w:val="4F245FE4"/>
    <w:rsid w:val="4F2A7373"/>
    <w:rsid w:val="4F367AC5"/>
    <w:rsid w:val="4F4F0B87"/>
    <w:rsid w:val="4F563CC4"/>
    <w:rsid w:val="4F5A1A06"/>
    <w:rsid w:val="4F5A7C58"/>
    <w:rsid w:val="4F6208BA"/>
    <w:rsid w:val="4F6E3703"/>
    <w:rsid w:val="4F8B1BBF"/>
    <w:rsid w:val="4F8B7E11"/>
    <w:rsid w:val="4F8C3B89"/>
    <w:rsid w:val="4F8E5B53"/>
    <w:rsid w:val="4F93316A"/>
    <w:rsid w:val="4F9D7B44"/>
    <w:rsid w:val="4FAB04B3"/>
    <w:rsid w:val="4FAE3B00"/>
    <w:rsid w:val="4FB500F8"/>
    <w:rsid w:val="4FC11A85"/>
    <w:rsid w:val="4FCC21D8"/>
    <w:rsid w:val="4FCD042A"/>
    <w:rsid w:val="4FE13ED5"/>
    <w:rsid w:val="4FE237A9"/>
    <w:rsid w:val="4FE65048"/>
    <w:rsid w:val="4FF0236A"/>
    <w:rsid w:val="4FF05EC6"/>
    <w:rsid w:val="4FFA0AF3"/>
    <w:rsid w:val="4FFF6109"/>
    <w:rsid w:val="50047BC4"/>
    <w:rsid w:val="5006393C"/>
    <w:rsid w:val="500922C0"/>
    <w:rsid w:val="500B2D00"/>
    <w:rsid w:val="501A1195"/>
    <w:rsid w:val="501F49FD"/>
    <w:rsid w:val="50245B70"/>
    <w:rsid w:val="502B5150"/>
    <w:rsid w:val="503009B9"/>
    <w:rsid w:val="503A5393"/>
    <w:rsid w:val="50485D02"/>
    <w:rsid w:val="504A7CCC"/>
    <w:rsid w:val="50537E7C"/>
    <w:rsid w:val="50546455"/>
    <w:rsid w:val="505C355C"/>
    <w:rsid w:val="505C5897"/>
    <w:rsid w:val="505E5526"/>
    <w:rsid w:val="50666188"/>
    <w:rsid w:val="506F328F"/>
    <w:rsid w:val="5076286F"/>
    <w:rsid w:val="507E1724"/>
    <w:rsid w:val="50811214"/>
    <w:rsid w:val="508D1967"/>
    <w:rsid w:val="50953188"/>
    <w:rsid w:val="50A0169A"/>
    <w:rsid w:val="50AA076B"/>
    <w:rsid w:val="50AA2519"/>
    <w:rsid w:val="50B43398"/>
    <w:rsid w:val="50B96C00"/>
    <w:rsid w:val="50BB0282"/>
    <w:rsid w:val="50BE5FC4"/>
    <w:rsid w:val="50C17863"/>
    <w:rsid w:val="50C8299F"/>
    <w:rsid w:val="50CE26AB"/>
    <w:rsid w:val="50D13F4A"/>
    <w:rsid w:val="50DB0924"/>
    <w:rsid w:val="50E023DF"/>
    <w:rsid w:val="50E7551B"/>
    <w:rsid w:val="50EA500B"/>
    <w:rsid w:val="50EE68AA"/>
    <w:rsid w:val="50EF43D0"/>
    <w:rsid w:val="50F365AE"/>
    <w:rsid w:val="510669D6"/>
    <w:rsid w:val="510A745C"/>
    <w:rsid w:val="511A6D4F"/>
    <w:rsid w:val="511B3417"/>
    <w:rsid w:val="51200A2D"/>
    <w:rsid w:val="5124051D"/>
    <w:rsid w:val="512978E2"/>
    <w:rsid w:val="5133250E"/>
    <w:rsid w:val="51402E7D"/>
    <w:rsid w:val="51477D68"/>
    <w:rsid w:val="514C35D0"/>
    <w:rsid w:val="514C537E"/>
    <w:rsid w:val="51510BE7"/>
    <w:rsid w:val="51542485"/>
    <w:rsid w:val="5160707C"/>
    <w:rsid w:val="51621046"/>
    <w:rsid w:val="51624BA2"/>
    <w:rsid w:val="516A1CA8"/>
    <w:rsid w:val="51714DE5"/>
    <w:rsid w:val="51736DAF"/>
    <w:rsid w:val="51764AF1"/>
    <w:rsid w:val="517843C5"/>
    <w:rsid w:val="517D19DC"/>
    <w:rsid w:val="51870AAC"/>
    <w:rsid w:val="51BC69A8"/>
    <w:rsid w:val="51BF0246"/>
    <w:rsid w:val="51C27D36"/>
    <w:rsid w:val="51C4760A"/>
    <w:rsid w:val="51C615D4"/>
    <w:rsid w:val="51C63383"/>
    <w:rsid w:val="51CD2963"/>
    <w:rsid w:val="51E41A5B"/>
    <w:rsid w:val="51ED3AED"/>
    <w:rsid w:val="51F37EF0"/>
    <w:rsid w:val="51F6353C"/>
    <w:rsid w:val="51F779E0"/>
    <w:rsid w:val="51F83758"/>
    <w:rsid w:val="51F85506"/>
    <w:rsid w:val="52097713"/>
    <w:rsid w:val="521D6D1B"/>
    <w:rsid w:val="522462FB"/>
    <w:rsid w:val="52262073"/>
    <w:rsid w:val="52426781"/>
    <w:rsid w:val="524D5852"/>
    <w:rsid w:val="5253098E"/>
    <w:rsid w:val="526112FD"/>
    <w:rsid w:val="52846D9A"/>
    <w:rsid w:val="5292555D"/>
    <w:rsid w:val="5294522F"/>
    <w:rsid w:val="529B480F"/>
    <w:rsid w:val="52A77A34"/>
    <w:rsid w:val="52B256B5"/>
    <w:rsid w:val="52B87278"/>
    <w:rsid w:val="52BB0A0D"/>
    <w:rsid w:val="52BC6534"/>
    <w:rsid w:val="52C06024"/>
    <w:rsid w:val="52C75604"/>
    <w:rsid w:val="52C84ED8"/>
    <w:rsid w:val="52CB6777"/>
    <w:rsid w:val="52EC506B"/>
    <w:rsid w:val="52ED0DE3"/>
    <w:rsid w:val="530323B4"/>
    <w:rsid w:val="53065A01"/>
    <w:rsid w:val="53081779"/>
    <w:rsid w:val="530A7BCE"/>
    <w:rsid w:val="530B2B81"/>
    <w:rsid w:val="530C74BB"/>
    <w:rsid w:val="5311687F"/>
    <w:rsid w:val="531225F7"/>
    <w:rsid w:val="531B5950"/>
    <w:rsid w:val="531D3476"/>
    <w:rsid w:val="53285977"/>
    <w:rsid w:val="532D11DF"/>
    <w:rsid w:val="533B38FC"/>
    <w:rsid w:val="53446C55"/>
    <w:rsid w:val="53492094"/>
    <w:rsid w:val="534D53DE"/>
    <w:rsid w:val="535367A5"/>
    <w:rsid w:val="535B3F9E"/>
    <w:rsid w:val="536410A5"/>
    <w:rsid w:val="537A58F6"/>
    <w:rsid w:val="538A03E0"/>
    <w:rsid w:val="53963229"/>
    <w:rsid w:val="539D45B7"/>
    <w:rsid w:val="53A2397B"/>
    <w:rsid w:val="53AB6CD4"/>
    <w:rsid w:val="53B042EA"/>
    <w:rsid w:val="53B4545D"/>
    <w:rsid w:val="53B86CFB"/>
    <w:rsid w:val="53BB67EB"/>
    <w:rsid w:val="53C02053"/>
    <w:rsid w:val="53C102A5"/>
    <w:rsid w:val="53C438F2"/>
    <w:rsid w:val="53CE29C2"/>
    <w:rsid w:val="53D224B3"/>
    <w:rsid w:val="53D31D87"/>
    <w:rsid w:val="53D70B99"/>
    <w:rsid w:val="53D8739D"/>
    <w:rsid w:val="53DB6E8D"/>
    <w:rsid w:val="53DD49B3"/>
    <w:rsid w:val="53DF072C"/>
    <w:rsid w:val="53E21FCA"/>
    <w:rsid w:val="53E43F94"/>
    <w:rsid w:val="53E45D42"/>
    <w:rsid w:val="53E61ABA"/>
    <w:rsid w:val="53F57F4F"/>
    <w:rsid w:val="54047867"/>
    <w:rsid w:val="54077C82"/>
    <w:rsid w:val="5415239F"/>
    <w:rsid w:val="54181E8F"/>
    <w:rsid w:val="54212AF2"/>
    <w:rsid w:val="542720D3"/>
    <w:rsid w:val="54280325"/>
    <w:rsid w:val="542E520F"/>
    <w:rsid w:val="543071D9"/>
    <w:rsid w:val="54316AAD"/>
    <w:rsid w:val="543842E0"/>
    <w:rsid w:val="54501629"/>
    <w:rsid w:val="545253A1"/>
    <w:rsid w:val="546450D5"/>
    <w:rsid w:val="54921C42"/>
    <w:rsid w:val="549E2395"/>
    <w:rsid w:val="549F610D"/>
    <w:rsid w:val="54A656ED"/>
    <w:rsid w:val="54AB4AB2"/>
    <w:rsid w:val="54AB6860"/>
    <w:rsid w:val="54CA13DC"/>
    <w:rsid w:val="54CF4DC4"/>
    <w:rsid w:val="54D538DD"/>
    <w:rsid w:val="54D97871"/>
    <w:rsid w:val="54DC4C6B"/>
    <w:rsid w:val="54E57FC4"/>
    <w:rsid w:val="54EB1352"/>
    <w:rsid w:val="54EF499E"/>
    <w:rsid w:val="54F46459"/>
    <w:rsid w:val="54FB77E7"/>
    <w:rsid w:val="550A5C7C"/>
    <w:rsid w:val="550C37A2"/>
    <w:rsid w:val="5512068D"/>
    <w:rsid w:val="55197C6D"/>
    <w:rsid w:val="5531145B"/>
    <w:rsid w:val="55346855"/>
    <w:rsid w:val="5540344C"/>
    <w:rsid w:val="55466588"/>
    <w:rsid w:val="55472A2C"/>
    <w:rsid w:val="555962BC"/>
    <w:rsid w:val="555B0286"/>
    <w:rsid w:val="555E38D2"/>
    <w:rsid w:val="5563538C"/>
    <w:rsid w:val="55654C60"/>
    <w:rsid w:val="5572737D"/>
    <w:rsid w:val="557B0928"/>
    <w:rsid w:val="557F21C6"/>
    <w:rsid w:val="558C043F"/>
    <w:rsid w:val="558F1CDD"/>
    <w:rsid w:val="558F6181"/>
    <w:rsid w:val="55913CA7"/>
    <w:rsid w:val="559A7000"/>
    <w:rsid w:val="559E63C4"/>
    <w:rsid w:val="55AD03B6"/>
    <w:rsid w:val="55B47996"/>
    <w:rsid w:val="55BD684B"/>
    <w:rsid w:val="55C027DF"/>
    <w:rsid w:val="55E4027B"/>
    <w:rsid w:val="55E93AE3"/>
    <w:rsid w:val="55EE10FA"/>
    <w:rsid w:val="55F942A7"/>
    <w:rsid w:val="56075D18"/>
    <w:rsid w:val="560B3A5A"/>
    <w:rsid w:val="560E354A"/>
    <w:rsid w:val="56102E1E"/>
    <w:rsid w:val="56220DA3"/>
    <w:rsid w:val="56310FE7"/>
    <w:rsid w:val="56327239"/>
    <w:rsid w:val="56336B0D"/>
    <w:rsid w:val="563F3703"/>
    <w:rsid w:val="564156CE"/>
    <w:rsid w:val="56440D1A"/>
    <w:rsid w:val="564451BE"/>
    <w:rsid w:val="56503B63"/>
    <w:rsid w:val="565371AF"/>
    <w:rsid w:val="56584557"/>
    <w:rsid w:val="565847C5"/>
    <w:rsid w:val="56665134"/>
    <w:rsid w:val="566D64C3"/>
    <w:rsid w:val="566D6A2E"/>
    <w:rsid w:val="56701B0F"/>
    <w:rsid w:val="56737851"/>
    <w:rsid w:val="56821842"/>
    <w:rsid w:val="56876E58"/>
    <w:rsid w:val="568E01E7"/>
    <w:rsid w:val="56A30136"/>
    <w:rsid w:val="56A33C92"/>
    <w:rsid w:val="56A417B8"/>
    <w:rsid w:val="56AD68BF"/>
    <w:rsid w:val="56BE6D1E"/>
    <w:rsid w:val="56C854A7"/>
    <w:rsid w:val="56CF2CD9"/>
    <w:rsid w:val="56D46542"/>
    <w:rsid w:val="56D77DE0"/>
    <w:rsid w:val="56D95906"/>
    <w:rsid w:val="56DE116E"/>
    <w:rsid w:val="56E46059"/>
    <w:rsid w:val="56E542AB"/>
    <w:rsid w:val="56EE22C2"/>
    <w:rsid w:val="56F40992"/>
    <w:rsid w:val="56FA762A"/>
    <w:rsid w:val="56FE711B"/>
    <w:rsid w:val="57014E5D"/>
    <w:rsid w:val="570A1F63"/>
    <w:rsid w:val="570B1838"/>
    <w:rsid w:val="570C5CDB"/>
    <w:rsid w:val="57174680"/>
    <w:rsid w:val="571921A6"/>
    <w:rsid w:val="571E156B"/>
    <w:rsid w:val="572528F9"/>
    <w:rsid w:val="574134AB"/>
    <w:rsid w:val="574D00A2"/>
    <w:rsid w:val="57550251"/>
    <w:rsid w:val="576D24F2"/>
    <w:rsid w:val="576F0018"/>
    <w:rsid w:val="577473DD"/>
    <w:rsid w:val="577E025B"/>
    <w:rsid w:val="577E200A"/>
    <w:rsid w:val="57803FD4"/>
    <w:rsid w:val="57805D82"/>
    <w:rsid w:val="57825F9E"/>
    <w:rsid w:val="57835872"/>
    <w:rsid w:val="578C4726"/>
    <w:rsid w:val="57914433"/>
    <w:rsid w:val="579B2BBB"/>
    <w:rsid w:val="579B705F"/>
    <w:rsid w:val="57A44166"/>
    <w:rsid w:val="57C55E8A"/>
    <w:rsid w:val="57CF6D09"/>
    <w:rsid w:val="57D1482F"/>
    <w:rsid w:val="57D60097"/>
    <w:rsid w:val="57DB56AE"/>
    <w:rsid w:val="57E00F16"/>
    <w:rsid w:val="57E5652D"/>
    <w:rsid w:val="57EA769F"/>
    <w:rsid w:val="57FB18AC"/>
    <w:rsid w:val="57FB365A"/>
    <w:rsid w:val="57FD1D82"/>
    <w:rsid w:val="580249E9"/>
    <w:rsid w:val="580764A3"/>
    <w:rsid w:val="580F5357"/>
    <w:rsid w:val="58150BC0"/>
    <w:rsid w:val="581666E6"/>
    <w:rsid w:val="582E1C82"/>
    <w:rsid w:val="58533496"/>
    <w:rsid w:val="58550FBC"/>
    <w:rsid w:val="58670CF0"/>
    <w:rsid w:val="586B6A32"/>
    <w:rsid w:val="587D49B7"/>
    <w:rsid w:val="587F428B"/>
    <w:rsid w:val="588C0756"/>
    <w:rsid w:val="589046EA"/>
    <w:rsid w:val="5898534D"/>
    <w:rsid w:val="589C4E3D"/>
    <w:rsid w:val="589D2963"/>
    <w:rsid w:val="58A106A5"/>
    <w:rsid w:val="58A261CC"/>
    <w:rsid w:val="58B54151"/>
    <w:rsid w:val="58BD4DB3"/>
    <w:rsid w:val="58C61EBA"/>
    <w:rsid w:val="58C83E84"/>
    <w:rsid w:val="58C91B01"/>
    <w:rsid w:val="58CA7BFC"/>
    <w:rsid w:val="58CB127E"/>
    <w:rsid w:val="58D354A2"/>
    <w:rsid w:val="58D565A1"/>
    <w:rsid w:val="58E6255C"/>
    <w:rsid w:val="58EB1921"/>
    <w:rsid w:val="58F5279F"/>
    <w:rsid w:val="590044BF"/>
    <w:rsid w:val="59034EBC"/>
    <w:rsid w:val="5906675A"/>
    <w:rsid w:val="590F1AB3"/>
    <w:rsid w:val="59126EAD"/>
    <w:rsid w:val="5915074C"/>
    <w:rsid w:val="591A3FB4"/>
    <w:rsid w:val="592B7F6F"/>
    <w:rsid w:val="5932754F"/>
    <w:rsid w:val="59374B66"/>
    <w:rsid w:val="5939268C"/>
    <w:rsid w:val="593C3F2A"/>
    <w:rsid w:val="59505C28"/>
    <w:rsid w:val="59575208"/>
    <w:rsid w:val="595E6596"/>
    <w:rsid w:val="59617E35"/>
    <w:rsid w:val="598558D1"/>
    <w:rsid w:val="598C3104"/>
    <w:rsid w:val="599E6993"/>
    <w:rsid w:val="59A3044D"/>
    <w:rsid w:val="59B03041"/>
    <w:rsid w:val="59BB5797"/>
    <w:rsid w:val="59BE0DE3"/>
    <w:rsid w:val="59C208D3"/>
    <w:rsid w:val="59C77C98"/>
    <w:rsid w:val="59C83A10"/>
    <w:rsid w:val="59CA3C2C"/>
    <w:rsid w:val="59D2663D"/>
    <w:rsid w:val="59D40607"/>
    <w:rsid w:val="59E24AD2"/>
    <w:rsid w:val="5A13112F"/>
    <w:rsid w:val="5A1D0200"/>
    <w:rsid w:val="5A225816"/>
    <w:rsid w:val="5A2A0227"/>
    <w:rsid w:val="5A2B2F85"/>
    <w:rsid w:val="5A2E7D17"/>
    <w:rsid w:val="5A33357F"/>
    <w:rsid w:val="5A3572F7"/>
    <w:rsid w:val="5A3B2734"/>
    <w:rsid w:val="5A44753A"/>
    <w:rsid w:val="5A4A08C9"/>
    <w:rsid w:val="5A4C63EF"/>
    <w:rsid w:val="5A601E9A"/>
    <w:rsid w:val="5A6220B6"/>
    <w:rsid w:val="5A647BDD"/>
    <w:rsid w:val="5A653652"/>
    <w:rsid w:val="5A715E56"/>
    <w:rsid w:val="5A722590"/>
    <w:rsid w:val="5A737E20"/>
    <w:rsid w:val="5A7D2A4C"/>
    <w:rsid w:val="5A851901"/>
    <w:rsid w:val="5A8E4C59"/>
    <w:rsid w:val="5A8E4EF3"/>
    <w:rsid w:val="5A9304C2"/>
    <w:rsid w:val="5A932270"/>
    <w:rsid w:val="5A93401E"/>
    <w:rsid w:val="5A955FE8"/>
    <w:rsid w:val="5A9F29C3"/>
    <w:rsid w:val="5A9F6E67"/>
    <w:rsid w:val="5AA20705"/>
    <w:rsid w:val="5AA224B3"/>
    <w:rsid w:val="5AB20948"/>
    <w:rsid w:val="5AC02939"/>
    <w:rsid w:val="5AC10B8B"/>
    <w:rsid w:val="5AC468CD"/>
    <w:rsid w:val="5AC643F3"/>
    <w:rsid w:val="5AC71F19"/>
    <w:rsid w:val="5AD20FEA"/>
    <w:rsid w:val="5AD703AE"/>
    <w:rsid w:val="5AF54CD9"/>
    <w:rsid w:val="5AF80325"/>
    <w:rsid w:val="5B005214"/>
    <w:rsid w:val="5B0647F0"/>
    <w:rsid w:val="5B1213E7"/>
    <w:rsid w:val="5B152C85"/>
    <w:rsid w:val="5B182775"/>
    <w:rsid w:val="5B1A473F"/>
    <w:rsid w:val="5B242EC8"/>
    <w:rsid w:val="5B280C0A"/>
    <w:rsid w:val="5B2829B8"/>
    <w:rsid w:val="5B292CDF"/>
    <w:rsid w:val="5B2B06FA"/>
    <w:rsid w:val="5B392E17"/>
    <w:rsid w:val="5B4C378D"/>
    <w:rsid w:val="5B5E63DA"/>
    <w:rsid w:val="5B631C42"/>
    <w:rsid w:val="5B6339F0"/>
    <w:rsid w:val="5B6836FC"/>
    <w:rsid w:val="5B686482"/>
    <w:rsid w:val="5B81656C"/>
    <w:rsid w:val="5B863B83"/>
    <w:rsid w:val="5B8878FB"/>
    <w:rsid w:val="5B8F2A37"/>
    <w:rsid w:val="5B953DC6"/>
    <w:rsid w:val="5B9B5880"/>
    <w:rsid w:val="5BA67D81"/>
    <w:rsid w:val="5BAD110F"/>
    <w:rsid w:val="5BC22E0D"/>
    <w:rsid w:val="5BC70423"/>
    <w:rsid w:val="5BD3501A"/>
    <w:rsid w:val="5BDB5C7C"/>
    <w:rsid w:val="5BDE39BF"/>
    <w:rsid w:val="5BE70AC5"/>
    <w:rsid w:val="5BEA5EBF"/>
    <w:rsid w:val="5BEC7E8A"/>
    <w:rsid w:val="5BEF4059"/>
    <w:rsid w:val="5BF1422F"/>
    <w:rsid w:val="5BF8682E"/>
    <w:rsid w:val="5C001B87"/>
    <w:rsid w:val="5C003935"/>
    <w:rsid w:val="5C0056E3"/>
    <w:rsid w:val="5C013209"/>
    <w:rsid w:val="5C050F4B"/>
    <w:rsid w:val="5C0F5EF4"/>
    <w:rsid w:val="5C190553"/>
    <w:rsid w:val="5C1D6295"/>
    <w:rsid w:val="5C205D85"/>
    <w:rsid w:val="5C3E7FB9"/>
    <w:rsid w:val="5C427AAA"/>
    <w:rsid w:val="5C45759A"/>
    <w:rsid w:val="5C563555"/>
    <w:rsid w:val="5C7F0CFE"/>
    <w:rsid w:val="5C930305"/>
    <w:rsid w:val="5C95407D"/>
    <w:rsid w:val="5C960CE5"/>
    <w:rsid w:val="5C961BA3"/>
    <w:rsid w:val="5C966047"/>
    <w:rsid w:val="5C9B365E"/>
    <w:rsid w:val="5C9B540C"/>
    <w:rsid w:val="5CA22C3E"/>
    <w:rsid w:val="5CA93FCD"/>
    <w:rsid w:val="5CA95D7B"/>
    <w:rsid w:val="5CC76201"/>
    <w:rsid w:val="5CCC3817"/>
    <w:rsid w:val="5CD03307"/>
    <w:rsid w:val="5CF8285E"/>
    <w:rsid w:val="5CFA4828"/>
    <w:rsid w:val="5CFF599B"/>
    <w:rsid w:val="5D047455"/>
    <w:rsid w:val="5D0B433F"/>
    <w:rsid w:val="5D123920"/>
    <w:rsid w:val="5D1551BE"/>
    <w:rsid w:val="5D296EBB"/>
    <w:rsid w:val="5D2D075A"/>
    <w:rsid w:val="5D303DA6"/>
    <w:rsid w:val="5D380C0A"/>
    <w:rsid w:val="5D4930BA"/>
    <w:rsid w:val="5D4F6922"/>
    <w:rsid w:val="5D543F38"/>
    <w:rsid w:val="5D647EF4"/>
    <w:rsid w:val="5D6B1282"/>
    <w:rsid w:val="5D72616D"/>
    <w:rsid w:val="5D7C6FEB"/>
    <w:rsid w:val="5D8F4F70"/>
    <w:rsid w:val="5D900CE9"/>
    <w:rsid w:val="5D9500AD"/>
    <w:rsid w:val="5D9702C9"/>
    <w:rsid w:val="5D995DEF"/>
    <w:rsid w:val="5D9D6927"/>
    <w:rsid w:val="5D9E3405"/>
    <w:rsid w:val="5D9E51B4"/>
    <w:rsid w:val="5DAA3B58"/>
    <w:rsid w:val="5DB1138B"/>
    <w:rsid w:val="5DC50992"/>
    <w:rsid w:val="5DC56BE4"/>
    <w:rsid w:val="5DD92690"/>
    <w:rsid w:val="5DD961EC"/>
    <w:rsid w:val="5DEA21A7"/>
    <w:rsid w:val="5DEA664B"/>
    <w:rsid w:val="5DFC012C"/>
    <w:rsid w:val="5DFD637E"/>
    <w:rsid w:val="5E062D59"/>
    <w:rsid w:val="5E084D23"/>
    <w:rsid w:val="5E0A2849"/>
    <w:rsid w:val="5E0F7E5F"/>
    <w:rsid w:val="5E135BA1"/>
    <w:rsid w:val="5E187F72"/>
    <w:rsid w:val="5E1E00A2"/>
    <w:rsid w:val="5E211941"/>
    <w:rsid w:val="5E2733FB"/>
    <w:rsid w:val="5E343D6A"/>
    <w:rsid w:val="5E3B2A02"/>
    <w:rsid w:val="5E437B09"/>
    <w:rsid w:val="5E4D0988"/>
    <w:rsid w:val="5E55059B"/>
    <w:rsid w:val="5E565A8E"/>
    <w:rsid w:val="5E5E2B95"/>
    <w:rsid w:val="5E6261E1"/>
    <w:rsid w:val="5E631F59"/>
    <w:rsid w:val="5E6737F7"/>
    <w:rsid w:val="5E6A153A"/>
    <w:rsid w:val="5E6A778C"/>
    <w:rsid w:val="5E6F6D2D"/>
    <w:rsid w:val="5E710B1A"/>
    <w:rsid w:val="5E744166"/>
    <w:rsid w:val="5E783C56"/>
    <w:rsid w:val="5E79352B"/>
    <w:rsid w:val="5E7D301B"/>
    <w:rsid w:val="5E7E6D93"/>
    <w:rsid w:val="5E802B0B"/>
    <w:rsid w:val="5E820631"/>
    <w:rsid w:val="5E84084D"/>
    <w:rsid w:val="5E875C48"/>
    <w:rsid w:val="5E8C5954"/>
    <w:rsid w:val="5E9465B6"/>
    <w:rsid w:val="5E960581"/>
    <w:rsid w:val="5EA93E10"/>
    <w:rsid w:val="5EAC1B52"/>
    <w:rsid w:val="5EB804F7"/>
    <w:rsid w:val="5EBD3D5F"/>
    <w:rsid w:val="5EBD5B0D"/>
    <w:rsid w:val="5ECC4FD4"/>
    <w:rsid w:val="5ED74E21"/>
    <w:rsid w:val="5EDC2437"/>
    <w:rsid w:val="5EFD5F0A"/>
    <w:rsid w:val="5EFF1468"/>
    <w:rsid w:val="5F011E9E"/>
    <w:rsid w:val="5F021772"/>
    <w:rsid w:val="5F074FDA"/>
    <w:rsid w:val="5F2913F5"/>
    <w:rsid w:val="5F3538F6"/>
    <w:rsid w:val="5F49114F"/>
    <w:rsid w:val="5F4B3119"/>
    <w:rsid w:val="5F4E6765"/>
    <w:rsid w:val="5F5F6BC4"/>
    <w:rsid w:val="5F64242D"/>
    <w:rsid w:val="5F683CCB"/>
    <w:rsid w:val="5F685A79"/>
    <w:rsid w:val="5F697A43"/>
    <w:rsid w:val="5F773F0E"/>
    <w:rsid w:val="5F8108E9"/>
    <w:rsid w:val="5F830B05"/>
    <w:rsid w:val="5F85487D"/>
    <w:rsid w:val="5F8B1768"/>
    <w:rsid w:val="5F8D1984"/>
    <w:rsid w:val="5F8D3732"/>
    <w:rsid w:val="5F9E593F"/>
    <w:rsid w:val="5FA10F8B"/>
    <w:rsid w:val="5FB07420"/>
    <w:rsid w:val="5FB26F83"/>
    <w:rsid w:val="5FB76A00"/>
    <w:rsid w:val="5FBA204D"/>
    <w:rsid w:val="5FBC4017"/>
    <w:rsid w:val="5FC44C79"/>
    <w:rsid w:val="5FD41360"/>
    <w:rsid w:val="5FE315A4"/>
    <w:rsid w:val="5FE5531C"/>
    <w:rsid w:val="60031C46"/>
    <w:rsid w:val="6005151A"/>
    <w:rsid w:val="60082DB8"/>
    <w:rsid w:val="600A2FD4"/>
    <w:rsid w:val="600A4D82"/>
    <w:rsid w:val="600B28A8"/>
    <w:rsid w:val="601C6864"/>
    <w:rsid w:val="601E25DC"/>
    <w:rsid w:val="60237BF2"/>
    <w:rsid w:val="6025396A"/>
    <w:rsid w:val="602C2F4B"/>
    <w:rsid w:val="603B13E0"/>
    <w:rsid w:val="603D5158"/>
    <w:rsid w:val="604069F6"/>
    <w:rsid w:val="60472436"/>
    <w:rsid w:val="605424A1"/>
    <w:rsid w:val="60581E83"/>
    <w:rsid w:val="60597AB8"/>
    <w:rsid w:val="605B55DE"/>
    <w:rsid w:val="606721D5"/>
    <w:rsid w:val="60673F83"/>
    <w:rsid w:val="607466A0"/>
    <w:rsid w:val="60795A64"/>
    <w:rsid w:val="60803296"/>
    <w:rsid w:val="608368E3"/>
    <w:rsid w:val="608508AD"/>
    <w:rsid w:val="609805E0"/>
    <w:rsid w:val="609B1E7E"/>
    <w:rsid w:val="60A52CFD"/>
    <w:rsid w:val="60AE3960"/>
    <w:rsid w:val="60C07B37"/>
    <w:rsid w:val="60C767CF"/>
    <w:rsid w:val="60CF38D6"/>
    <w:rsid w:val="60DF1D6B"/>
    <w:rsid w:val="60E2185B"/>
    <w:rsid w:val="60E27AAD"/>
    <w:rsid w:val="60E76E71"/>
    <w:rsid w:val="60EA0710"/>
    <w:rsid w:val="60F17CF0"/>
    <w:rsid w:val="60F5158E"/>
    <w:rsid w:val="61023CAB"/>
    <w:rsid w:val="610A2B60"/>
    <w:rsid w:val="61181721"/>
    <w:rsid w:val="611A0FF5"/>
    <w:rsid w:val="611D0AE5"/>
    <w:rsid w:val="611D5554"/>
    <w:rsid w:val="612400C6"/>
    <w:rsid w:val="61271964"/>
    <w:rsid w:val="612756CF"/>
    <w:rsid w:val="61461DEA"/>
    <w:rsid w:val="61497B2C"/>
    <w:rsid w:val="614B11AE"/>
    <w:rsid w:val="614B38A4"/>
    <w:rsid w:val="61504A17"/>
    <w:rsid w:val="615838CB"/>
    <w:rsid w:val="615A3AE7"/>
    <w:rsid w:val="616109D2"/>
    <w:rsid w:val="61646714"/>
    <w:rsid w:val="616E7593"/>
    <w:rsid w:val="6171498D"/>
    <w:rsid w:val="617E77D6"/>
    <w:rsid w:val="61812E22"/>
    <w:rsid w:val="618B3CA1"/>
    <w:rsid w:val="618E3791"/>
    <w:rsid w:val="61AB60F1"/>
    <w:rsid w:val="61B2122D"/>
    <w:rsid w:val="61B551C2"/>
    <w:rsid w:val="61BA27D8"/>
    <w:rsid w:val="61BC20AC"/>
    <w:rsid w:val="61C3168D"/>
    <w:rsid w:val="61D22A21"/>
    <w:rsid w:val="61D75138"/>
    <w:rsid w:val="61E11B13"/>
    <w:rsid w:val="61E138C1"/>
    <w:rsid w:val="61F555BE"/>
    <w:rsid w:val="62037CDB"/>
    <w:rsid w:val="620D2908"/>
    <w:rsid w:val="621719D8"/>
    <w:rsid w:val="622163B3"/>
    <w:rsid w:val="62283DAA"/>
    <w:rsid w:val="622A170C"/>
    <w:rsid w:val="622F287E"/>
    <w:rsid w:val="62326812"/>
    <w:rsid w:val="62353C0D"/>
    <w:rsid w:val="623E51B7"/>
    <w:rsid w:val="62402CDD"/>
    <w:rsid w:val="62410803"/>
    <w:rsid w:val="624502F4"/>
    <w:rsid w:val="626544F2"/>
    <w:rsid w:val="626E396E"/>
    <w:rsid w:val="627B3D15"/>
    <w:rsid w:val="627C183B"/>
    <w:rsid w:val="62AC0373"/>
    <w:rsid w:val="62AD7C47"/>
    <w:rsid w:val="62B114E5"/>
    <w:rsid w:val="62B62F9F"/>
    <w:rsid w:val="62BB05B6"/>
    <w:rsid w:val="62C751AC"/>
    <w:rsid w:val="62C92CD3"/>
    <w:rsid w:val="62CF4061"/>
    <w:rsid w:val="62D11B87"/>
    <w:rsid w:val="62E0626E"/>
    <w:rsid w:val="62E53885"/>
    <w:rsid w:val="62EA0E9B"/>
    <w:rsid w:val="62FB6C04"/>
    <w:rsid w:val="62FD0BCE"/>
    <w:rsid w:val="630E06E5"/>
    <w:rsid w:val="630F26B0"/>
    <w:rsid w:val="632779F9"/>
    <w:rsid w:val="63312626"/>
    <w:rsid w:val="633345F0"/>
    <w:rsid w:val="633640E0"/>
    <w:rsid w:val="633D0FCB"/>
    <w:rsid w:val="634C3904"/>
    <w:rsid w:val="634E142A"/>
    <w:rsid w:val="634E31D8"/>
    <w:rsid w:val="635602DE"/>
    <w:rsid w:val="635C3B47"/>
    <w:rsid w:val="63732C3E"/>
    <w:rsid w:val="637B1AF3"/>
    <w:rsid w:val="637D3ABD"/>
    <w:rsid w:val="6390559E"/>
    <w:rsid w:val="6397692D"/>
    <w:rsid w:val="63A728E8"/>
    <w:rsid w:val="63AB062A"/>
    <w:rsid w:val="63AB4186"/>
    <w:rsid w:val="63B079EF"/>
    <w:rsid w:val="63B84AF5"/>
    <w:rsid w:val="63BA6ABF"/>
    <w:rsid w:val="63BD210C"/>
    <w:rsid w:val="63BE65AF"/>
    <w:rsid w:val="63CE60C7"/>
    <w:rsid w:val="63D12B27"/>
    <w:rsid w:val="63D25BB7"/>
    <w:rsid w:val="63D812B9"/>
    <w:rsid w:val="63E1229E"/>
    <w:rsid w:val="63E36016"/>
    <w:rsid w:val="63E61662"/>
    <w:rsid w:val="63F975E8"/>
    <w:rsid w:val="63FF44D2"/>
    <w:rsid w:val="6401649C"/>
    <w:rsid w:val="64032214"/>
    <w:rsid w:val="64061D04"/>
    <w:rsid w:val="641E704E"/>
    <w:rsid w:val="6421269A"/>
    <w:rsid w:val="6429154F"/>
    <w:rsid w:val="643423CE"/>
    <w:rsid w:val="64373C6C"/>
    <w:rsid w:val="643979E4"/>
    <w:rsid w:val="64416899"/>
    <w:rsid w:val="64462101"/>
    <w:rsid w:val="64502F80"/>
    <w:rsid w:val="64616F3B"/>
    <w:rsid w:val="64632CB3"/>
    <w:rsid w:val="64687BC1"/>
    <w:rsid w:val="646D3B32"/>
    <w:rsid w:val="646F3406"/>
    <w:rsid w:val="64754794"/>
    <w:rsid w:val="64790728"/>
    <w:rsid w:val="6481138B"/>
    <w:rsid w:val="64852C29"/>
    <w:rsid w:val="648669A1"/>
    <w:rsid w:val="648A0240"/>
    <w:rsid w:val="648A46E4"/>
    <w:rsid w:val="648D7D30"/>
    <w:rsid w:val="648F1CFA"/>
    <w:rsid w:val="64963088"/>
    <w:rsid w:val="649C61C5"/>
    <w:rsid w:val="64A31301"/>
    <w:rsid w:val="64A357A5"/>
    <w:rsid w:val="64A5151D"/>
    <w:rsid w:val="64B96D77"/>
    <w:rsid w:val="64C5396E"/>
    <w:rsid w:val="64C80D68"/>
    <w:rsid w:val="64E02555"/>
    <w:rsid w:val="64E536C8"/>
    <w:rsid w:val="64F658D5"/>
    <w:rsid w:val="651346D9"/>
    <w:rsid w:val="65150451"/>
    <w:rsid w:val="65257F68"/>
    <w:rsid w:val="65270184"/>
    <w:rsid w:val="652E506F"/>
    <w:rsid w:val="65436640"/>
    <w:rsid w:val="65444892"/>
    <w:rsid w:val="65461273"/>
    <w:rsid w:val="654A79CF"/>
    <w:rsid w:val="65515201"/>
    <w:rsid w:val="656071F2"/>
    <w:rsid w:val="6567317D"/>
    <w:rsid w:val="656C3DE9"/>
    <w:rsid w:val="65711400"/>
    <w:rsid w:val="657F1D6E"/>
    <w:rsid w:val="658630FD"/>
    <w:rsid w:val="658C6239"/>
    <w:rsid w:val="65905D2A"/>
    <w:rsid w:val="659A6BA8"/>
    <w:rsid w:val="65A47CCE"/>
    <w:rsid w:val="65AC2438"/>
    <w:rsid w:val="65AE61B0"/>
    <w:rsid w:val="65B23EF2"/>
    <w:rsid w:val="65B80DDC"/>
    <w:rsid w:val="65C47781"/>
    <w:rsid w:val="65C634F9"/>
    <w:rsid w:val="65C94D98"/>
    <w:rsid w:val="65CE6852"/>
    <w:rsid w:val="65D025CA"/>
    <w:rsid w:val="65DD6A95"/>
    <w:rsid w:val="65F52031"/>
    <w:rsid w:val="65F55B8D"/>
    <w:rsid w:val="65FE7137"/>
    <w:rsid w:val="6612673F"/>
    <w:rsid w:val="66157691"/>
    <w:rsid w:val="661701F9"/>
    <w:rsid w:val="661848D1"/>
    <w:rsid w:val="66187ACD"/>
    <w:rsid w:val="66287D10"/>
    <w:rsid w:val="662B15AE"/>
    <w:rsid w:val="6630442C"/>
    <w:rsid w:val="66320B8F"/>
    <w:rsid w:val="663743F7"/>
    <w:rsid w:val="663C7C5F"/>
    <w:rsid w:val="66434B4A"/>
    <w:rsid w:val="66456B14"/>
    <w:rsid w:val="664D7777"/>
    <w:rsid w:val="664F7993"/>
    <w:rsid w:val="665705F5"/>
    <w:rsid w:val="665B6338"/>
    <w:rsid w:val="665C20B0"/>
    <w:rsid w:val="6660394E"/>
    <w:rsid w:val="66611474"/>
    <w:rsid w:val="666920D7"/>
    <w:rsid w:val="666A0329"/>
    <w:rsid w:val="666F3B91"/>
    <w:rsid w:val="6672542F"/>
    <w:rsid w:val="667271DD"/>
    <w:rsid w:val="66807B4C"/>
    <w:rsid w:val="66855163"/>
    <w:rsid w:val="668F4233"/>
    <w:rsid w:val="668F5FE1"/>
    <w:rsid w:val="669C425A"/>
    <w:rsid w:val="66A1427E"/>
    <w:rsid w:val="66AF21DF"/>
    <w:rsid w:val="66B07D06"/>
    <w:rsid w:val="66BC2B4E"/>
    <w:rsid w:val="66CA526B"/>
    <w:rsid w:val="66D41C46"/>
    <w:rsid w:val="66E55C01"/>
    <w:rsid w:val="66F81DD8"/>
    <w:rsid w:val="66F95B50"/>
    <w:rsid w:val="66F978FF"/>
    <w:rsid w:val="66FB3677"/>
    <w:rsid w:val="67006EDF"/>
    <w:rsid w:val="6703252B"/>
    <w:rsid w:val="67073DC9"/>
    <w:rsid w:val="670C5884"/>
    <w:rsid w:val="670F2C7E"/>
    <w:rsid w:val="670F7122"/>
    <w:rsid w:val="672524A2"/>
    <w:rsid w:val="672D1356"/>
    <w:rsid w:val="673646AF"/>
    <w:rsid w:val="673B3A73"/>
    <w:rsid w:val="673D77EB"/>
    <w:rsid w:val="673F7A07"/>
    <w:rsid w:val="67430B7A"/>
    <w:rsid w:val="67492634"/>
    <w:rsid w:val="6753700F"/>
    <w:rsid w:val="67566AFF"/>
    <w:rsid w:val="6764121C"/>
    <w:rsid w:val="677B0314"/>
    <w:rsid w:val="67900263"/>
    <w:rsid w:val="6793565D"/>
    <w:rsid w:val="679F2254"/>
    <w:rsid w:val="67A91325"/>
    <w:rsid w:val="67AE2497"/>
    <w:rsid w:val="67B37AAD"/>
    <w:rsid w:val="67C21830"/>
    <w:rsid w:val="67C63C85"/>
    <w:rsid w:val="67CC581F"/>
    <w:rsid w:val="67CF0A36"/>
    <w:rsid w:val="67D0240D"/>
    <w:rsid w:val="67D55C76"/>
    <w:rsid w:val="67DA14DE"/>
    <w:rsid w:val="67DB0DB2"/>
    <w:rsid w:val="67E265E5"/>
    <w:rsid w:val="67EB657A"/>
    <w:rsid w:val="67EE0AE5"/>
    <w:rsid w:val="68014CBD"/>
    <w:rsid w:val="68106CAE"/>
    <w:rsid w:val="68152516"/>
    <w:rsid w:val="6817003C"/>
    <w:rsid w:val="68370BAF"/>
    <w:rsid w:val="683C3F47"/>
    <w:rsid w:val="683F57E5"/>
    <w:rsid w:val="684626D0"/>
    <w:rsid w:val="68466B73"/>
    <w:rsid w:val="68476448"/>
    <w:rsid w:val="684D1CB0"/>
    <w:rsid w:val="68556DB7"/>
    <w:rsid w:val="685C1EF3"/>
    <w:rsid w:val="68727968"/>
    <w:rsid w:val="68752FB5"/>
    <w:rsid w:val="6885769C"/>
    <w:rsid w:val="688E4077"/>
    <w:rsid w:val="688F051A"/>
    <w:rsid w:val="688F257D"/>
    <w:rsid w:val="68906041"/>
    <w:rsid w:val="68A37B22"/>
    <w:rsid w:val="68A65864"/>
    <w:rsid w:val="68B43ADD"/>
    <w:rsid w:val="68B735CD"/>
    <w:rsid w:val="68BB130F"/>
    <w:rsid w:val="68C06926"/>
    <w:rsid w:val="68CA3301"/>
    <w:rsid w:val="68CB7079"/>
    <w:rsid w:val="68D0643D"/>
    <w:rsid w:val="68D127FB"/>
    <w:rsid w:val="68D20407"/>
    <w:rsid w:val="68DC3034"/>
    <w:rsid w:val="68DD74D8"/>
    <w:rsid w:val="68EB09AC"/>
    <w:rsid w:val="68EF2D67"/>
    <w:rsid w:val="68FB170C"/>
    <w:rsid w:val="690031C6"/>
    <w:rsid w:val="69006D22"/>
    <w:rsid w:val="690D143F"/>
    <w:rsid w:val="690E58E3"/>
    <w:rsid w:val="69126A56"/>
    <w:rsid w:val="69140A20"/>
    <w:rsid w:val="691427CE"/>
    <w:rsid w:val="6917406C"/>
    <w:rsid w:val="69201173"/>
    <w:rsid w:val="692769A5"/>
    <w:rsid w:val="69344C1E"/>
    <w:rsid w:val="693D1D24"/>
    <w:rsid w:val="694766FF"/>
    <w:rsid w:val="6949691B"/>
    <w:rsid w:val="6953779A"/>
    <w:rsid w:val="69605A13"/>
    <w:rsid w:val="69623539"/>
    <w:rsid w:val="69690D6B"/>
    <w:rsid w:val="696E0130"/>
    <w:rsid w:val="69715E72"/>
    <w:rsid w:val="69807E63"/>
    <w:rsid w:val="698A6F34"/>
    <w:rsid w:val="698E2580"/>
    <w:rsid w:val="69A41DA4"/>
    <w:rsid w:val="69A47FF6"/>
    <w:rsid w:val="69AA4EE0"/>
    <w:rsid w:val="69AC6EAA"/>
    <w:rsid w:val="69AE2C22"/>
    <w:rsid w:val="69B63885"/>
    <w:rsid w:val="69B8584F"/>
    <w:rsid w:val="69BD10B7"/>
    <w:rsid w:val="69C67F6C"/>
    <w:rsid w:val="69C73CE4"/>
    <w:rsid w:val="69CD09F4"/>
    <w:rsid w:val="69D361E5"/>
    <w:rsid w:val="69D81A4D"/>
    <w:rsid w:val="69DB153D"/>
    <w:rsid w:val="69E623BC"/>
    <w:rsid w:val="69FD3262"/>
    <w:rsid w:val="6A0665BA"/>
    <w:rsid w:val="6A0B3BD1"/>
    <w:rsid w:val="6A0C16F7"/>
    <w:rsid w:val="6A0D5B9B"/>
    <w:rsid w:val="6A154A4F"/>
    <w:rsid w:val="6A1C4030"/>
    <w:rsid w:val="6A1C5DDE"/>
    <w:rsid w:val="6A1D56B2"/>
    <w:rsid w:val="6A220F1A"/>
    <w:rsid w:val="6A244C92"/>
    <w:rsid w:val="6A266C5C"/>
    <w:rsid w:val="6A3A6264"/>
    <w:rsid w:val="6A3F7D1E"/>
    <w:rsid w:val="6A576E16"/>
    <w:rsid w:val="6A5C442C"/>
    <w:rsid w:val="6A641533"/>
    <w:rsid w:val="6A647785"/>
    <w:rsid w:val="6A6908F7"/>
    <w:rsid w:val="6A696B49"/>
    <w:rsid w:val="6A70612A"/>
    <w:rsid w:val="6A786D8C"/>
    <w:rsid w:val="6A793230"/>
    <w:rsid w:val="6A9242F2"/>
    <w:rsid w:val="6A94006A"/>
    <w:rsid w:val="6A975464"/>
    <w:rsid w:val="6A9A31A7"/>
    <w:rsid w:val="6A9F256B"/>
    <w:rsid w:val="6AA14535"/>
    <w:rsid w:val="6AA33E09"/>
    <w:rsid w:val="6AA61B4B"/>
    <w:rsid w:val="6ABE50E7"/>
    <w:rsid w:val="6ACD532A"/>
    <w:rsid w:val="6AD06BC8"/>
    <w:rsid w:val="6AD246EE"/>
    <w:rsid w:val="6ADE3093"/>
    <w:rsid w:val="6AE54422"/>
    <w:rsid w:val="6AEB57B0"/>
    <w:rsid w:val="6B1B6095"/>
    <w:rsid w:val="6B1C1E0E"/>
    <w:rsid w:val="6B20545A"/>
    <w:rsid w:val="6B221D59"/>
    <w:rsid w:val="6B2B3DFF"/>
    <w:rsid w:val="6B2F7D93"/>
    <w:rsid w:val="6B321631"/>
    <w:rsid w:val="6B361121"/>
    <w:rsid w:val="6B4750DC"/>
    <w:rsid w:val="6B5670CE"/>
    <w:rsid w:val="6B712159"/>
    <w:rsid w:val="6B8C2AEF"/>
    <w:rsid w:val="6B8F438D"/>
    <w:rsid w:val="6B981494"/>
    <w:rsid w:val="6BA0659B"/>
    <w:rsid w:val="6BAD2A66"/>
    <w:rsid w:val="6BE24E05"/>
    <w:rsid w:val="6BE566A3"/>
    <w:rsid w:val="6BEC17E0"/>
    <w:rsid w:val="6BEE37AA"/>
    <w:rsid w:val="6BF6440D"/>
    <w:rsid w:val="6C027255"/>
    <w:rsid w:val="6C0F54CE"/>
    <w:rsid w:val="6C1C0317"/>
    <w:rsid w:val="6C21544D"/>
    <w:rsid w:val="6C276CBC"/>
    <w:rsid w:val="6C303DC2"/>
    <w:rsid w:val="6C3311BD"/>
    <w:rsid w:val="6C371ED0"/>
    <w:rsid w:val="6C3F109E"/>
    <w:rsid w:val="6C474C68"/>
    <w:rsid w:val="6C4C227F"/>
    <w:rsid w:val="6C5A0E3F"/>
    <w:rsid w:val="6C691082"/>
    <w:rsid w:val="6C6C46CF"/>
    <w:rsid w:val="6C6D0B73"/>
    <w:rsid w:val="6C787517"/>
    <w:rsid w:val="6C8163CC"/>
    <w:rsid w:val="6C8E0AE9"/>
    <w:rsid w:val="6C8E2897"/>
    <w:rsid w:val="6C937EAD"/>
    <w:rsid w:val="6C9500C9"/>
    <w:rsid w:val="6C9C1458"/>
    <w:rsid w:val="6CAD5413"/>
    <w:rsid w:val="6CAE2F39"/>
    <w:rsid w:val="6CAE6A95"/>
    <w:rsid w:val="6CB06CB1"/>
    <w:rsid w:val="6CB57E24"/>
    <w:rsid w:val="6CB70040"/>
    <w:rsid w:val="6CC462B9"/>
    <w:rsid w:val="6CC924AF"/>
    <w:rsid w:val="6CD97FB6"/>
    <w:rsid w:val="6CE1330F"/>
    <w:rsid w:val="6CE16E6B"/>
    <w:rsid w:val="6CE34991"/>
    <w:rsid w:val="6CE801F9"/>
    <w:rsid w:val="6CEA21C3"/>
    <w:rsid w:val="6CEF1588"/>
    <w:rsid w:val="6CF46B9E"/>
    <w:rsid w:val="6CFA1CDB"/>
    <w:rsid w:val="6CFE5C6F"/>
    <w:rsid w:val="6D0112BB"/>
    <w:rsid w:val="6D194857"/>
    <w:rsid w:val="6D196605"/>
    <w:rsid w:val="6D203E37"/>
    <w:rsid w:val="6D254FA9"/>
    <w:rsid w:val="6D283D50"/>
    <w:rsid w:val="6D323B6A"/>
    <w:rsid w:val="6D392803"/>
    <w:rsid w:val="6D3E606B"/>
    <w:rsid w:val="6D400035"/>
    <w:rsid w:val="6D4D71AC"/>
    <w:rsid w:val="6D512242"/>
    <w:rsid w:val="6D54588F"/>
    <w:rsid w:val="6D5B09CB"/>
    <w:rsid w:val="6D5B4E6F"/>
    <w:rsid w:val="6D5F148D"/>
    <w:rsid w:val="6D77157D"/>
    <w:rsid w:val="6D82064E"/>
    <w:rsid w:val="6D837F22"/>
    <w:rsid w:val="6D8F2D6B"/>
    <w:rsid w:val="6D9B34BE"/>
    <w:rsid w:val="6D9B526C"/>
    <w:rsid w:val="6DA02882"/>
    <w:rsid w:val="6DAA3701"/>
    <w:rsid w:val="6DAD677E"/>
    <w:rsid w:val="6DBE53FE"/>
    <w:rsid w:val="6DC9627D"/>
    <w:rsid w:val="6DCC7B1B"/>
    <w:rsid w:val="6DCF22FB"/>
    <w:rsid w:val="6DD10C8D"/>
    <w:rsid w:val="6DD469CF"/>
    <w:rsid w:val="6DDF784E"/>
    <w:rsid w:val="6DE309C1"/>
    <w:rsid w:val="6DEF3809"/>
    <w:rsid w:val="6DFB3F5C"/>
    <w:rsid w:val="6DFF3A4C"/>
    <w:rsid w:val="6E0C7F17"/>
    <w:rsid w:val="6E10402A"/>
    <w:rsid w:val="6E1312A6"/>
    <w:rsid w:val="6E153270"/>
    <w:rsid w:val="6E182D60"/>
    <w:rsid w:val="6E1A0886"/>
    <w:rsid w:val="6E26667B"/>
    <w:rsid w:val="6E3000AA"/>
    <w:rsid w:val="6E3B6A4F"/>
    <w:rsid w:val="6E3F653F"/>
    <w:rsid w:val="6E443B55"/>
    <w:rsid w:val="6E4771A1"/>
    <w:rsid w:val="6E533D98"/>
    <w:rsid w:val="6E5378F4"/>
    <w:rsid w:val="6E587601"/>
    <w:rsid w:val="6E5D69C5"/>
    <w:rsid w:val="6E761835"/>
    <w:rsid w:val="6E777A87"/>
    <w:rsid w:val="6E7A7577"/>
    <w:rsid w:val="6EA63EC8"/>
    <w:rsid w:val="6EAB14DE"/>
    <w:rsid w:val="6EB81E4D"/>
    <w:rsid w:val="6EC86534"/>
    <w:rsid w:val="6ED547AD"/>
    <w:rsid w:val="6ED722D3"/>
    <w:rsid w:val="6EDD18B4"/>
    <w:rsid w:val="6EE60768"/>
    <w:rsid w:val="6EE64C0C"/>
    <w:rsid w:val="6EE844E0"/>
    <w:rsid w:val="6EED1AF7"/>
    <w:rsid w:val="6F0137F4"/>
    <w:rsid w:val="6F071241"/>
    <w:rsid w:val="6F0B01CF"/>
    <w:rsid w:val="6F173B21"/>
    <w:rsid w:val="6F1E43A6"/>
    <w:rsid w:val="6F1E6154"/>
    <w:rsid w:val="6F2A4AF9"/>
    <w:rsid w:val="6F541B76"/>
    <w:rsid w:val="6F5C6C7D"/>
    <w:rsid w:val="6F616041"/>
    <w:rsid w:val="6F685621"/>
    <w:rsid w:val="6F6D491A"/>
    <w:rsid w:val="6F6D49E6"/>
    <w:rsid w:val="6F701E0B"/>
    <w:rsid w:val="6F8A5598"/>
    <w:rsid w:val="6F8F0E00"/>
    <w:rsid w:val="6F9703DE"/>
    <w:rsid w:val="6FA0300D"/>
    <w:rsid w:val="6FA26D85"/>
    <w:rsid w:val="6FA67EF8"/>
    <w:rsid w:val="6FAB550E"/>
    <w:rsid w:val="6FAD1286"/>
    <w:rsid w:val="6FC0720B"/>
    <w:rsid w:val="6FCE7B7A"/>
    <w:rsid w:val="6FCF38F2"/>
    <w:rsid w:val="6FE70C3C"/>
    <w:rsid w:val="6FEA4288"/>
    <w:rsid w:val="6FEC6252"/>
    <w:rsid w:val="6FFA05D0"/>
    <w:rsid w:val="6FFB0243"/>
    <w:rsid w:val="6FFD045F"/>
    <w:rsid w:val="6FFD220E"/>
    <w:rsid w:val="70001CFE"/>
    <w:rsid w:val="70161521"/>
    <w:rsid w:val="701D28B0"/>
    <w:rsid w:val="702552C0"/>
    <w:rsid w:val="70310109"/>
    <w:rsid w:val="70422316"/>
    <w:rsid w:val="704A4D27"/>
    <w:rsid w:val="70553DF8"/>
    <w:rsid w:val="70567B70"/>
    <w:rsid w:val="705838E8"/>
    <w:rsid w:val="705B5186"/>
    <w:rsid w:val="706C1141"/>
    <w:rsid w:val="707F2C23"/>
    <w:rsid w:val="70860455"/>
    <w:rsid w:val="708B5A6B"/>
    <w:rsid w:val="708E10B8"/>
    <w:rsid w:val="70903082"/>
    <w:rsid w:val="709366CE"/>
    <w:rsid w:val="70A22DB5"/>
    <w:rsid w:val="70A46B2D"/>
    <w:rsid w:val="70A628A5"/>
    <w:rsid w:val="70B0102E"/>
    <w:rsid w:val="70BD374B"/>
    <w:rsid w:val="70CB5E68"/>
    <w:rsid w:val="70CC1BE0"/>
    <w:rsid w:val="70D311C0"/>
    <w:rsid w:val="70DF1913"/>
    <w:rsid w:val="70E433CD"/>
    <w:rsid w:val="70E60EF4"/>
    <w:rsid w:val="70E76A1A"/>
    <w:rsid w:val="70F33611"/>
    <w:rsid w:val="70F7553D"/>
    <w:rsid w:val="70FA674D"/>
    <w:rsid w:val="70FE448F"/>
    <w:rsid w:val="7101188A"/>
    <w:rsid w:val="7104137A"/>
    <w:rsid w:val="71193077"/>
    <w:rsid w:val="712D6B22"/>
    <w:rsid w:val="712E63F7"/>
    <w:rsid w:val="713A123F"/>
    <w:rsid w:val="713C0B14"/>
    <w:rsid w:val="713C4FB8"/>
    <w:rsid w:val="713F0604"/>
    <w:rsid w:val="71461992"/>
    <w:rsid w:val="71494FDF"/>
    <w:rsid w:val="71526589"/>
    <w:rsid w:val="7157594D"/>
    <w:rsid w:val="715A543E"/>
    <w:rsid w:val="715B71FA"/>
    <w:rsid w:val="715C7408"/>
    <w:rsid w:val="715E0A8A"/>
    <w:rsid w:val="71600CA6"/>
    <w:rsid w:val="71681909"/>
    <w:rsid w:val="716B13F9"/>
    <w:rsid w:val="717007BD"/>
    <w:rsid w:val="718D5813"/>
    <w:rsid w:val="71940950"/>
    <w:rsid w:val="719721EE"/>
    <w:rsid w:val="719B7F30"/>
    <w:rsid w:val="71A36DE5"/>
    <w:rsid w:val="71A843FB"/>
    <w:rsid w:val="71AF12E6"/>
    <w:rsid w:val="71B763EC"/>
    <w:rsid w:val="71C34D91"/>
    <w:rsid w:val="71CA611F"/>
    <w:rsid w:val="71D13952"/>
    <w:rsid w:val="71D15700"/>
    <w:rsid w:val="71D23226"/>
    <w:rsid w:val="71D46F9E"/>
    <w:rsid w:val="71D60F68"/>
    <w:rsid w:val="71DD22F7"/>
    <w:rsid w:val="71E41963"/>
    <w:rsid w:val="71ED62B2"/>
    <w:rsid w:val="71EF202A"/>
    <w:rsid w:val="71F633B8"/>
    <w:rsid w:val="71F92EA9"/>
    <w:rsid w:val="72005FE5"/>
    <w:rsid w:val="720553A9"/>
    <w:rsid w:val="72071122"/>
    <w:rsid w:val="721455EC"/>
    <w:rsid w:val="72161365"/>
    <w:rsid w:val="721675B7"/>
    <w:rsid w:val="722241AD"/>
    <w:rsid w:val="72330169"/>
    <w:rsid w:val="72347A3D"/>
    <w:rsid w:val="723F4D5F"/>
    <w:rsid w:val="724265FE"/>
    <w:rsid w:val="72451C4A"/>
    <w:rsid w:val="724636AF"/>
    <w:rsid w:val="7249173A"/>
    <w:rsid w:val="7258197D"/>
    <w:rsid w:val="725F0F5E"/>
    <w:rsid w:val="726447C6"/>
    <w:rsid w:val="726F4F19"/>
    <w:rsid w:val="7271123C"/>
    <w:rsid w:val="72785B7B"/>
    <w:rsid w:val="728269FA"/>
    <w:rsid w:val="72850298"/>
    <w:rsid w:val="728B1D53"/>
    <w:rsid w:val="728F1117"/>
    <w:rsid w:val="729C3F60"/>
    <w:rsid w:val="729F57FE"/>
    <w:rsid w:val="72A2709C"/>
    <w:rsid w:val="72AC6BAC"/>
    <w:rsid w:val="72B15531"/>
    <w:rsid w:val="72B33057"/>
    <w:rsid w:val="72B62B48"/>
    <w:rsid w:val="72BA43E6"/>
    <w:rsid w:val="72BC63B0"/>
    <w:rsid w:val="72CE1C3F"/>
    <w:rsid w:val="72D07765"/>
    <w:rsid w:val="72D27981"/>
    <w:rsid w:val="72E6342D"/>
    <w:rsid w:val="72EE22E1"/>
    <w:rsid w:val="72F01BB6"/>
    <w:rsid w:val="72F83160"/>
    <w:rsid w:val="72FC49FE"/>
    <w:rsid w:val="72FF44EF"/>
    <w:rsid w:val="73027B3B"/>
    <w:rsid w:val="73041B05"/>
    <w:rsid w:val="73045661"/>
    <w:rsid w:val="73090EC9"/>
    <w:rsid w:val="73091DE9"/>
    <w:rsid w:val="7309711B"/>
    <w:rsid w:val="731A30D6"/>
    <w:rsid w:val="731A4E85"/>
    <w:rsid w:val="732D2E0A"/>
    <w:rsid w:val="733A5527"/>
    <w:rsid w:val="733A72D5"/>
    <w:rsid w:val="733E6DC5"/>
    <w:rsid w:val="73465C7A"/>
    <w:rsid w:val="735A34D3"/>
    <w:rsid w:val="73634A7D"/>
    <w:rsid w:val="736B56E0"/>
    <w:rsid w:val="73727918"/>
    <w:rsid w:val="737722D7"/>
    <w:rsid w:val="737E5413"/>
    <w:rsid w:val="738467A2"/>
    <w:rsid w:val="73886292"/>
    <w:rsid w:val="738A200A"/>
    <w:rsid w:val="73A40BF2"/>
    <w:rsid w:val="73A66718"/>
    <w:rsid w:val="73A82490"/>
    <w:rsid w:val="73AA6B80"/>
    <w:rsid w:val="73B01345"/>
    <w:rsid w:val="73B54BAD"/>
    <w:rsid w:val="73D47729"/>
    <w:rsid w:val="73D9089C"/>
    <w:rsid w:val="73DC038C"/>
    <w:rsid w:val="73DC65DE"/>
    <w:rsid w:val="73ED2599"/>
    <w:rsid w:val="73EF1E6D"/>
    <w:rsid w:val="73F751C6"/>
    <w:rsid w:val="73FC458A"/>
    <w:rsid w:val="740F0761"/>
    <w:rsid w:val="7416564C"/>
    <w:rsid w:val="742C4E6F"/>
    <w:rsid w:val="74312486"/>
    <w:rsid w:val="74387CB8"/>
    <w:rsid w:val="74597C2E"/>
    <w:rsid w:val="745D771F"/>
    <w:rsid w:val="745E5245"/>
    <w:rsid w:val="7460720F"/>
    <w:rsid w:val="74626AE3"/>
    <w:rsid w:val="746960C4"/>
    <w:rsid w:val="74746816"/>
    <w:rsid w:val="7476433D"/>
    <w:rsid w:val="74890514"/>
    <w:rsid w:val="7491561A"/>
    <w:rsid w:val="74982505"/>
    <w:rsid w:val="7499627D"/>
    <w:rsid w:val="749E5641"/>
    <w:rsid w:val="74A215D5"/>
    <w:rsid w:val="74A76BEC"/>
    <w:rsid w:val="74AA2238"/>
    <w:rsid w:val="74B03CF2"/>
    <w:rsid w:val="74C652C4"/>
    <w:rsid w:val="74CA6436"/>
    <w:rsid w:val="74D13C69"/>
    <w:rsid w:val="74D379E1"/>
    <w:rsid w:val="74E219D2"/>
    <w:rsid w:val="74E41BEE"/>
    <w:rsid w:val="74E654BA"/>
    <w:rsid w:val="74E7348C"/>
    <w:rsid w:val="74EB6AD9"/>
    <w:rsid w:val="74EE0377"/>
    <w:rsid w:val="74EE481B"/>
    <w:rsid w:val="75071439"/>
    <w:rsid w:val="750758DC"/>
    <w:rsid w:val="75104791"/>
    <w:rsid w:val="751C3136"/>
    <w:rsid w:val="75295853"/>
    <w:rsid w:val="753F0BD2"/>
    <w:rsid w:val="75422471"/>
    <w:rsid w:val="75585F01"/>
    <w:rsid w:val="755C3532"/>
    <w:rsid w:val="75614FED"/>
    <w:rsid w:val="75644ADD"/>
    <w:rsid w:val="757545F4"/>
    <w:rsid w:val="757A1C0A"/>
    <w:rsid w:val="75826D11"/>
    <w:rsid w:val="75862CA5"/>
    <w:rsid w:val="75882579"/>
    <w:rsid w:val="759E7FEF"/>
    <w:rsid w:val="75A03D67"/>
    <w:rsid w:val="75AA6994"/>
    <w:rsid w:val="75AD3D8E"/>
    <w:rsid w:val="75B55338"/>
    <w:rsid w:val="75BF1D13"/>
    <w:rsid w:val="75E4177A"/>
    <w:rsid w:val="75F25C45"/>
    <w:rsid w:val="760065B4"/>
    <w:rsid w:val="760F2C9B"/>
    <w:rsid w:val="761107C1"/>
    <w:rsid w:val="761279AC"/>
    <w:rsid w:val="761756AB"/>
    <w:rsid w:val="76235D60"/>
    <w:rsid w:val="76285B0A"/>
    <w:rsid w:val="762878B8"/>
    <w:rsid w:val="762F0C47"/>
    <w:rsid w:val="7641097A"/>
    <w:rsid w:val="76452218"/>
    <w:rsid w:val="764566BC"/>
    <w:rsid w:val="76481D09"/>
    <w:rsid w:val="764A3CD3"/>
    <w:rsid w:val="764C1487"/>
    <w:rsid w:val="764E0D46"/>
    <w:rsid w:val="76524935"/>
    <w:rsid w:val="765B7C8E"/>
    <w:rsid w:val="76654669"/>
    <w:rsid w:val="766C3C49"/>
    <w:rsid w:val="7671125F"/>
    <w:rsid w:val="76780840"/>
    <w:rsid w:val="767E397C"/>
    <w:rsid w:val="768052EC"/>
    <w:rsid w:val="76852F5D"/>
    <w:rsid w:val="768E0063"/>
    <w:rsid w:val="768F16E6"/>
    <w:rsid w:val="769B452E"/>
    <w:rsid w:val="76B86E8E"/>
    <w:rsid w:val="76BD44A5"/>
    <w:rsid w:val="76C515AB"/>
    <w:rsid w:val="76C577FD"/>
    <w:rsid w:val="76C665F0"/>
    <w:rsid w:val="76CC46E8"/>
    <w:rsid w:val="76CF41D8"/>
    <w:rsid w:val="76D637B8"/>
    <w:rsid w:val="76D87530"/>
    <w:rsid w:val="76DF60F8"/>
    <w:rsid w:val="76E00193"/>
    <w:rsid w:val="76E934EC"/>
    <w:rsid w:val="76F61765"/>
    <w:rsid w:val="76F93003"/>
    <w:rsid w:val="770245AD"/>
    <w:rsid w:val="77065E4C"/>
    <w:rsid w:val="770E0AD4"/>
    <w:rsid w:val="770E4D00"/>
    <w:rsid w:val="77132317"/>
    <w:rsid w:val="77183DD1"/>
    <w:rsid w:val="771C566F"/>
    <w:rsid w:val="771D3195"/>
    <w:rsid w:val="773A5AF5"/>
    <w:rsid w:val="77416E84"/>
    <w:rsid w:val="77456248"/>
    <w:rsid w:val="77512E3F"/>
    <w:rsid w:val="775B5A6C"/>
    <w:rsid w:val="775F730A"/>
    <w:rsid w:val="7762504C"/>
    <w:rsid w:val="77731007"/>
    <w:rsid w:val="77784870"/>
    <w:rsid w:val="778154D2"/>
    <w:rsid w:val="77980A6E"/>
    <w:rsid w:val="7798281C"/>
    <w:rsid w:val="779F1DFC"/>
    <w:rsid w:val="77AB4063"/>
    <w:rsid w:val="77AD62C7"/>
    <w:rsid w:val="77B04009"/>
    <w:rsid w:val="77B51620"/>
    <w:rsid w:val="77B77146"/>
    <w:rsid w:val="77BA09E4"/>
    <w:rsid w:val="77BC475C"/>
    <w:rsid w:val="77BC650A"/>
    <w:rsid w:val="77C67389"/>
    <w:rsid w:val="77DA4BE2"/>
    <w:rsid w:val="77DC6BAC"/>
    <w:rsid w:val="77E67A2B"/>
    <w:rsid w:val="77EF68E0"/>
    <w:rsid w:val="77F008AA"/>
    <w:rsid w:val="77FE2FC7"/>
    <w:rsid w:val="780728D0"/>
    <w:rsid w:val="780A371A"/>
    <w:rsid w:val="78112CFA"/>
    <w:rsid w:val="781A1483"/>
    <w:rsid w:val="7826607A"/>
    <w:rsid w:val="78267E28"/>
    <w:rsid w:val="78270007"/>
    <w:rsid w:val="782F4F2E"/>
    <w:rsid w:val="783469E8"/>
    <w:rsid w:val="783A0CDB"/>
    <w:rsid w:val="7840538D"/>
    <w:rsid w:val="78414C61"/>
    <w:rsid w:val="784F3822"/>
    <w:rsid w:val="7851759A"/>
    <w:rsid w:val="78564BB1"/>
    <w:rsid w:val="7856695F"/>
    <w:rsid w:val="786170B2"/>
    <w:rsid w:val="786D1EFA"/>
    <w:rsid w:val="78727511"/>
    <w:rsid w:val="7879089F"/>
    <w:rsid w:val="78827754"/>
    <w:rsid w:val="78941235"/>
    <w:rsid w:val="789F69F9"/>
    <w:rsid w:val="78A51694"/>
    <w:rsid w:val="78AF606F"/>
    <w:rsid w:val="78B43685"/>
    <w:rsid w:val="78B74F24"/>
    <w:rsid w:val="78BE4504"/>
    <w:rsid w:val="78C935D5"/>
    <w:rsid w:val="78DB6E64"/>
    <w:rsid w:val="78DD498A"/>
    <w:rsid w:val="78F735A3"/>
    <w:rsid w:val="790E548B"/>
    <w:rsid w:val="79116D2A"/>
    <w:rsid w:val="79142376"/>
    <w:rsid w:val="791B3704"/>
    <w:rsid w:val="791F1447"/>
    <w:rsid w:val="791F31F5"/>
    <w:rsid w:val="79202AC9"/>
    <w:rsid w:val="792627D5"/>
    <w:rsid w:val="7931117A"/>
    <w:rsid w:val="79346574"/>
    <w:rsid w:val="793622EC"/>
    <w:rsid w:val="793D7B1F"/>
    <w:rsid w:val="793F73F3"/>
    <w:rsid w:val="7947274B"/>
    <w:rsid w:val="794C1B10"/>
    <w:rsid w:val="79517126"/>
    <w:rsid w:val="79584959"/>
    <w:rsid w:val="795F1843"/>
    <w:rsid w:val="7961380D"/>
    <w:rsid w:val="79674B9C"/>
    <w:rsid w:val="79694470"/>
    <w:rsid w:val="797D2716"/>
    <w:rsid w:val="797D43BF"/>
    <w:rsid w:val="798968C0"/>
    <w:rsid w:val="799040F2"/>
    <w:rsid w:val="79986B03"/>
    <w:rsid w:val="799A6D1F"/>
    <w:rsid w:val="79A4194C"/>
    <w:rsid w:val="79A56C22"/>
    <w:rsid w:val="79A656C4"/>
    <w:rsid w:val="79A92498"/>
    <w:rsid w:val="79AB4A88"/>
    <w:rsid w:val="79AC25AE"/>
    <w:rsid w:val="79C124FE"/>
    <w:rsid w:val="79CD0EA3"/>
    <w:rsid w:val="79E955B1"/>
    <w:rsid w:val="79F04B91"/>
    <w:rsid w:val="79F0693F"/>
    <w:rsid w:val="79F20909"/>
    <w:rsid w:val="79F71A7C"/>
    <w:rsid w:val="79F82CCF"/>
    <w:rsid w:val="7A011B57"/>
    <w:rsid w:val="7A066163"/>
    <w:rsid w:val="7A083C89"/>
    <w:rsid w:val="7A100D8F"/>
    <w:rsid w:val="7A122D59"/>
    <w:rsid w:val="7A293BFF"/>
    <w:rsid w:val="7A3507F6"/>
    <w:rsid w:val="7A41719B"/>
    <w:rsid w:val="7A4822D7"/>
    <w:rsid w:val="7A4B626B"/>
    <w:rsid w:val="7A4E3666"/>
    <w:rsid w:val="7A5073DE"/>
    <w:rsid w:val="7A560E98"/>
    <w:rsid w:val="7A57269A"/>
    <w:rsid w:val="7A5A200A"/>
    <w:rsid w:val="7A601D17"/>
    <w:rsid w:val="7A6730A5"/>
    <w:rsid w:val="7A6D1D3E"/>
    <w:rsid w:val="7A6D61E2"/>
    <w:rsid w:val="7A6D7F90"/>
    <w:rsid w:val="7A730732"/>
    <w:rsid w:val="7A777060"/>
    <w:rsid w:val="7A7F1A71"/>
    <w:rsid w:val="7A862E00"/>
    <w:rsid w:val="7A866BA8"/>
    <w:rsid w:val="7A992B33"/>
    <w:rsid w:val="7AB636E5"/>
    <w:rsid w:val="7AC322A6"/>
    <w:rsid w:val="7AC51B7A"/>
    <w:rsid w:val="7ACD0A2E"/>
    <w:rsid w:val="7AD85D51"/>
    <w:rsid w:val="7AD87AFF"/>
    <w:rsid w:val="7AE91D0C"/>
    <w:rsid w:val="7AEA338E"/>
    <w:rsid w:val="7AEA7832"/>
    <w:rsid w:val="7AF81F4F"/>
    <w:rsid w:val="7AFB37ED"/>
    <w:rsid w:val="7B05466C"/>
    <w:rsid w:val="7B0D52CF"/>
    <w:rsid w:val="7B1D3764"/>
    <w:rsid w:val="7B227F87"/>
    <w:rsid w:val="7B272834"/>
    <w:rsid w:val="7B2E5971"/>
    <w:rsid w:val="7B315461"/>
    <w:rsid w:val="7B364826"/>
    <w:rsid w:val="7B3A2568"/>
    <w:rsid w:val="7B3F7B7E"/>
    <w:rsid w:val="7B425C67"/>
    <w:rsid w:val="7B446F42"/>
    <w:rsid w:val="7B452CBB"/>
    <w:rsid w:val="7B67403B"/>
    <w:rsid w:val="7B7B492E"/>
    <w:rsid w:val="7B7B66DC"/>
    <w:rsid w:val="7B7F441F"/>
    <w:rsid w:val="7B821819"/>
    <w:rsid w:val="7B827A6B"/>
    <w:rsid w:val="7B890DF9"/>
    <w:rsid w:val="7B8E4662"/>
    <w:rsid w:val="7B9A1258"/>
    <w:rsid w:val="7B9A4DB4"/>
    <w:rsid w:val="7BA45C33"/>
    <w:rsid w:val="7BB045D8"/>
    <w:rsid w:val="7BB5399C"/>
    <w:rsid w:val="7BB75966"/>
    <w:rsid w:val="7BC10593"/>
    <w:rsid w:val="7BC57958"/>
    <w:rsid w:val="7BCE4A5E"/>
    <w:rsid w:val="7BE20509"/>
    <w:rsid w:val="7BE81FC4"/>
    <w:rsid w:val="7BEE3352"/>
    <w:rsid w:val="7BF00E78"/>
    <w:rsid w:val="7BF81ADB"/>
    <w:rsid w:val="7BFA3AA5"/>
    <w:rsid w:val="7C091F3A"/>
    <w:rsid w:val="7C0A3959"/>
    <w:rsid w:val="7C1A7CA3"/>
    <w:rsid w:val="7C1E3C37"/>
    <w:rsid w:val="7C240DD1"/>
    <w:rsid w:val="7C413482"/>
    <w:rsid w:val="7C466CEA"/>
    <w:rsid w:val="7C530CF6"/>
    <w:rsid w:val="7C684EB3"/>
    <w:rsid w:val="7C6D6D57"/>
    <w:rsid w:val="7C703D67"/>
    <w:rsid w:val="7C705B15"/>
    <w:rsid w:val="7C725D31"/>
    <w:rsid w:val="7C7C095E"/>
    <w:rsid w:val="7C7E6484"/>
    <w:rsid w:val="7C815F74"/>
    <w:rsid w:val="7C833A9B"/>
    <w:rsid w:val="7C8B0BA1"/>
    <w:rsid w:val="7C9061B7"/>
    <w:rsid w:val="7CA0464C"/>
    <w:rsid w:val="7CA103C5"/>
    <w:rsid w:val="7CA852AF"/>
    <w:rsid w:val="7CB93960"/>
    <w:rsid w:val="7CBC0C83"/>
    <w:rsid w:val="7CBC0D5A"/>
    <w:rsid w:val="7CBD3CDE"/>
    <w:rsid w:val="7CC3033B"/>
    <w:rsid w:val="7CF46746"/>
    <w:rsid w:val="7CF77FE5"/>
    <w:rsid w:val="7CF91FAF"/>
    <w:rsid w:val="7D056BA5"/>
    <w:rsid w:val="7D124E1E"/>
    <w:rsid w:val="7D142945"/>
    <w:rsid w:val="7D1C7A4B"/>
    <w:rsid w:val="7D2012E9"/>
    <w:rsid w:val="7D24527D"/>
    <w:rsid w:val="7D3B6123"/>
    <w:rsid w:val="7D3D1E9B"/>
    <w:rsid w:val="7D4C0330"/>
    <w:rsid w:val="7D4F1BCF"/>
    <w:rsid w:val="7D4F7E21"/>
    <w:rsid w:val="7D5316BF"/>
    <w:rsid w:val="7D60202E"/>
    <w:rsid w:val="7D605B8A"/>
    <w:rsid w:val="7D6C2781"/>
    <w:rsid w:val="7D733B0F"/>
    <w:rsid w:val="7D750FF3"/>
    <w:rsid w:val="7D755AD9"/>
    <w:rsid w:val="7D7635FF"/>
    <w:rsid w:val="7D8335F7"/>
    <w:rsid w:val="7D8A2C07"/>
    <w:rsid w:val="7DA0242A"/>
    <w:rsid w:val="7DA261A2"/>
    <w:rsid w:val="7DA71A0B"/>
    <w:rsid w:val="7DAB14FB"/>
    <w:rsid w:val="7DB108A7"/>
    <w:rsid w:val="7DB52379"/>
    <w:rsid w:val="7DB859C6"/>
    <w:rsid w:val="7DBB54B6"/>
    <w:rsid w:val="7DD24CD9"/>
    <w:rsid w:val="7DD345AE"/>
    <w:rsid w:val="7DEC38C1"/>
    <w:rsid w:val="7DFC3B04"/>
    <w:rsid w:val="7DFD787D"/>
    <w:rsid w:val="7E002EC9"/>
    <w:rsid w:val="7E066731"/>
    <w:rsid w:val="7E0D3F64"/>
    <w:rsid w:val="7E1352F2"/>
    <w:rsid w:val="7E1F3C97"/>
    <w:rsid w:val="7E235535"/>
    <w:rsid w:val="7E3872CB"/>
    <w:rsid w:val="7E3E411D"/>
    <w:rsid w:val="7E3F1C43"/>
    <w:rsid w:val="7E3F7E95"/>
    <w:rsid w:val="7E484F9C"/>
    <w:rsid w:val="7E4C610E"/>
    <w:rsid w:val="7E4F632A"/>
    <w:rsid w:val="7E576F8D"/>
    <w:rsid w:val="7E5A4CCF"/>
    <w:rsid w:val="7E5A6A7D"/>
    <w:rsid w:val="7E5F5E41"/>
    <w:rsid w:val="7E611BB9"/>
    <w:rsid w:val="7E631DD5"/>
    <w:rsid w:val="7E633B84"/>
    <w:rsid w:val="7E6478FC"/>
    <w:rsid w:val="7E6873EC"/>
    <w:rsid w:val="7E696CC0"/>
    <w:rsid w:val="7E6D4EDB"/>
    <w:rsid w:val="7E7044F2"/>
    <w:rsid w:val="7E755665"/>
    <w:rsid w:val="7E775881"/>
    <w:rsid w:val="7E7A711F"/>
    <w:rsid w:val="7E7F0292"/>
    <w:rsid w:val="7E835FD4"/>
    <w:rsid w:val="7E843AFA"/>
    <w:rsid w:val="7E977CD1"/>
    <w:rsid w:val="7EA2525B"/>
    <w:rsid w:val="7EB10D93"/>
    <w:rsid w:val="7EB663A9"/>
    <w:rsid w:val="7EB75C7D"/>
    <w:rsid w:val="7EBF4B32"/>
    <w:rsid w:val="7ECF746B"/>
    <w:rsid w:val="7ED20D09"/>
    <w:rsid w:val="7ED56104"/>
    <w:rsid w:val="7ED700CE"/>
    <w:rsid w:val="7ED95BF4"/>
    <w:rsid w:val="7EDE320A"/>
    <w:rsid w:val="7EE10F4C"/>
    <w:rsid w:val="7EE747B5"/>
    <w:rsid w:val="7EE7797D"/>
    <w:rsid w:val="7EF84914"/>
    <w:rsid w:val="7EFB53EC"/>
    <w:rsid w:val="7EFC18E2"/>
    <w:rsid w:val="7F007624"/>
    <w:rsid w:val="7F010848"/>
    <w:rsid w:val="7F01514B"/>
    <w:rsid w:val="7F054C3B"/>
    <w:rsid w:val="7F0B7D77"/>
    <w:rsid w:val="7F1135E0"/>
    <w:rsid w:val="7F1B620C"/>
    <w:rsid w:val="7F201A75"/>
    <w:rsid w:val="7F211349"/>
    <w:rsid w:val="7F264BB1"/>
    <w:rsid w:val="7F413799"/>
    <w:rsid w:val="7F427C3D"/>
    <w:rsid w:val="7F4A08A0"/>
    <w:rsid w:val="7F5B485B"/>
    <w:rsid w:val="7F687745"/>
    <w:rsid w:val="7F69341C"/>
    <w:rsid w:val="7F6E0A32"/>
    <w:rsid w:val="7F743B1A"/>
    <w:rsid w:val="7F791185"/>
    <w:rsid w:val="7F7B4EFD"/>
    <w:rsid w:val="7F800765"/>
    <w:rsid w:val="7F8738A2"/>
    <w:rsid w:val="7F8D69DE"/>
    <w:rsid w:val="7F983D01"/>
    <w:rsid w:val="7FAF4BA7"/>
    <w:rsid w:val="7FB0104A"/>
    <w:rsid w:val="7FBD3767"/>
    <w:rsid w:val="7FBD5515"/>
    <w:rsid w:val="7FC543CA"/>
    <w:rsid w:val="7FC56178"/>
    <w:rsid w:val="7FC76394"/>
    <w:rsid w:val="7FC93EBA"/>
    <w:rsid w:val="7FCC39AA"/>
    <w:rsid w:val="7FD30895"/>
    <w:rsid w:val="7FE5681A"/>
    <w:rsid w:val="7FE9455C"/>
    <w:rsid w:val="7FE95EDC"/>
    <w:rsid w:val="7FE9630A"/>
    <w:rsid w:val="7FFA22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nhideWhenUsed="0"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iPriority="39"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99"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34"/>
    <w:qFormat/>
    <w:uiPriority w:val="0"/>
    <w:pPr>
      <w:widowControl w:val="0"/>
      <w:jc w:val="both"/>
    </w:pPr>
    <w:rPr>
      <w:rFonts w:ascii="Times New Roman" w:hAnsi="Times New Roman" w:eastAsia="宋体" w:cs="Times New Roman"/>
      <w:kern w:val="2"/>
      <w:sz w:val="24"/>
      <w:lang w:val="en-US" w:eastAsia="zh-CN" w:bidi="ar-SA"/>
    </w:rPr>
  </w:style>
  <w:style w:type="paragraph" w:styleId="2">
    <w:name w:val="heading 1"/>
    <w:basedOn w:val="1"/>
    <w:next w:val="1"/>
    <w:qFormat/>
    <w:uiPriority w:val="0"/>
    <w:pPr>
      <w:keepNext/>
      <w:keepLines/>
      <w:spacing w:before="340" w:after="330" w:line="560" w:lineRule="exact"/>
      <w:jc w:val="center"/>
      <w:outlineLvl w:val="0"/>
    </w:pPr>
    <w:rPr>
      <w:b/>
      <w:bCs/>
      <w:kern w:val="44"/>
      <w:sz w:val="36"/>
      <w:szCs w:val="44"/>
    </w:rPr>
  </w:style>
  <w:style w:type="paragraph" w:styleId="3">
    <w:name w:val="heading 2"/>
    <w:basedOn w:val="1"/>
    <w:next w:val="1"/>
    <w:qFormat/>
    <w:uiPriority w:val="0"/>
    <w:pPr>
      <w:keepNext/>
      <w:keepLines/>
      <w:spacing w:before="260" w:after="260" w:line="413" w:lineRule="auto"/>
      <w:outlineLvl w:val="1"/>
    </w:pPr>
    <w:rPr>
      <w:rFonts w:ascii="Arial" w:hAnsi="Arial"/>
      <w:b/>
      <w:bCs/>
      <w:sz w:val="30"/>
      <w:szCs w:val="32"/>
    </w:rPr>
  </w:style>
  <w:style w:type="paragraph" w:styleId="4">
    <w:name w:val="heading 3"/>
    <w:basedOn w:val="1"/>
    <w:next w:val="1"/>
    <w:link w:val="39"/>
    <w:unhideWhenUsed/>
    <w:qFormat/>
    <w:uiPriority w:val="0"/>
    <w:pPr>
      <w:keepNext/>
      <w:keepLines/>
      <w:spacing w:before="260" w:after="260" w:line="413" w:lineRule="auto"/>
      <w:outlineLvl w:val="2"/>
    </w:pPr>
    <w:rPr>
      <w:b/>
      <w:sz w:val="28"/>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6">
    <w:name w:val="heading 5"/>
    <w:basedOn w:val="7"/>
    <w:next w:val="8"/>
    <w:qFormat/>
    <w:uiPriority w:val="9"/>
    <w:pPr>
      <w:keepNext/>
      <w:keepLines/>
      <w:tabs>
        <w:tab w:val="left" w:pos="780"/>
      </w:tabs>
      <w:spacing w:before="280" w:after="290" w:line="377" w:lineRule="auto"/>
      <w:ind w:firstLine="200" w:firstLineChars="200"/>
      <w:outlineLvl w:val="4"/>
    </w:pPr>
    <w:rPr>
      <w:rFonts w:ascii="Times New Roman" w:hAnsi="Times New Roman" w:eastAsia="仿宋_GB2312" w:cs="Times New Roman"/>
      <w:bCs/>
      <w:szCs w:val="28"/>
    </w:rPr>
  </w:style>
  <w:style w:type="paragraph" w:styleId="10">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8">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styleId="7">
    <w:name w:val="List Number 2"/>
    <w:basedOn w:val="1"/>
    <w:qFormat/>
    <w:uiPriority w:val="0"/>
    <w:pPr>
      <w:numPr>
        <w:ilvl w:val="0"/>
        <w:numId w:val="1"/>
      </w:numPr>
    </w:pPr>
  </w:style>
  <w:style w:type="paragraph" w:styleId="8">
    <w:name w:val="Normal (Web)"/>
    <w:basedOn w:val="1"/>
    <w:next w:val="9"/>
    <w:qFormat/>
    <w:uiPriority w:val="99"/>
    <w:rPr>
      <w:szCs w:val="24"/>
    </w:rPr>
  </w:style>
  <w:style w:type="paragraph" w:styleId="9">
    <w:name w:val="envelope return"/>
    <w:basedOn w:val="1"/>
    <w:qFormat/>
    <w:uiPriority w:val="0"/>
    <w:pPr>
      <w:snapToGrid w:val="0"/>
    </w:pPr>
    <w:rPr>
      <w:rFonts w:ascii="Arial" w:hAnsi="Arial"/>
    </w:rPr>
  </w:style>
  <w:style w:type="paragraph" w:styleId="11">
    <w:name w:val="Normal Indent"/>
    <w:basedOn w:val="1"/>
    <w:qFormat/>
    <w:uiPriority w:val="0"/>
    <w:pPr>
      <w:ind w:firstLine="420"/>
    </w:pPr>
    <w:rPr>
      <w:sz w:val="21"/>
    </w:rPr>
  </w:style>
  <w:style w:type="paragraph" w:styleId="12">
    <w:name w:val="Body Text"/>
    <w:basedOn w:val="1"/>
    <w:qFormat/>
    <w:uiPriority w:val="0"/>
    <w:pPr>
      <w:spacing w:after="120"/>
    </w:pPr>
    <w:rPr>
      <w:sz w:val="21"/>
      <w:szCs w:val="24"/>
    </w:rPr>
  </w:style>
  <w:style w:type="paragraph" w:styleId="13">
    <w:name w:val="Body Text Indent"/>
    <w:basedOn w:val="1"/>
    <w:next w:val="14"/>
    <w:qFormat/>
    <w:uiPriority w:val="0"/>
    <w:pPr>
      <w:spacing w:line="200" w:lineRule="exact"/>
      <w:ind w:firstLine="301"/>
    </w:pPr>
    <w:rPr>
      <w:rFonts w:ascii="宋体" w:hAnsi="Courier New"/>
      <w:spacing w:val="-4"/>
      <w:sz w:val="18"/>
    </w:rPr>
  </w:style>
  <w:style w:type="paragraph" w:styleId="14">
    <w:name w:val="Body Text First Indent 2"/>
    <w:basedOn w:val="13"/>
    <w:next w:val="1"/>
    <w:qFormat/>
    <w:uiPriority w:val="0"/>
    <w:pPr>
      <w:ind w:firstLine="420" w:firstLineChars="200"/>
    </w:pPr>
    <w:rPr>
      <w:rFonts w:ascii="仿宋_GB2312" w:eastAsia="仿宋_GB2312" w:cs="宋体"/>
      <w:szCs w:val="21"/>
    </w:rPr>
  </w:style>
  <w:style w:type="paragraph" w:styleId="15">
    <w:name w:val="toc 3"/>
    <w:basedOn w:val="1"/>
    <w:next w:val="1"/>
    <w:qFormat/>
    <w:uiPriority w:val="0"/>
    <w:pPr>
      <w:ind w:left="840" w:leftChars="400"/>
    </w:pPr>
  </w:style>
  <w:style w:type="paragraph" w:styleId="16">
    <w:name w:val="Plain Text"/>
    <w:basedOn w:val="1"/>
    <w:next w:val="1"/>
    <w:unhideWhenUsed/>
    <w:qFormat/>
    <w:uiPriority w:val="0"/>
    <w:rPr>
      <w:rFonts w:ascii="宋体" w:hAnsi="Courier New" w:cstheme="minorBidi"/>
      <w:sz w:val="21"/>
    </w:rPr>
  </w:style>
  <w:style w:type="paragraph" w:styleId="17">
    <w:name w:val="Body Text Indent 2"/>
    <w:basedOn w:val="1"/>
    <w:qFormat/>
    <w:uiPriority w:val="99"/>
    <w:pPr>
      <w:overflowPunct w:val="0"/>
      <w:autoSpaceDE w:val="0"/>
      <w:autoSpaceDN w:val="0"/>
      <w:adjustRightInd w:val="0"/>
      <w:spacing w:line="360" w:lineRule="auto"/>
      <w:ind w:firstLine="555"/>
      <w:textAlignment w:val="baseline"/>
    </w:pPr>
    <w:rPr>
      <w:rFonts w:ascii="宋体" w:hAnsi="MS Sans Serif"/>
      <w:spacing w:val="12"/>
      <w:sz w:val="24"/>
      <w:szCs w:val="22"/>
    </w:rPr>
  </w:style>
  <w:style w:type="paragraph" w:styleId="18">
    <w:name w:val="footer"/>
    <w:basedOn w:val="1"/>
    <w:qFormat/>
    <w:uiPriority w:val="99"/>
    <w:pPr>
      <w:tabs>
        <w:tab w:val="center" w:pos="4153"/>
        <w:tab w:val="right" w:pos="8306"/>
      </w:tabs>
      <w:snapToGrid w:val="0"/>
      <w:jc w:val="left"/>
    </w:pPr>
    <w:rPr>
      <w:sz w:val="18"/>
      <w:szCs w:val="18"/>
    </w:rPr>
  </w:style>
  <w:style w:type="paragraph" w:styleId="1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0">
    <w:name w:val="toc 1"/>
    <w:basedOn w:val="1"/>
    <w:next w:val="1"/>
    <w:qFormat/>
    <w:uiPriority w:val="39"/>
    <w:rPr>
      <w:sz w:val="21"/>
      <w:szCs w:val="24"/>
    </w:rPr>
  </w:style>
  <w:style w:type="paragraph" w:styleId="21">
    <w:name w:val="Body Text Indent 3"/>
    <w:basedOn w:val="1"/>
    <w:qFormat/>
    <w:uiPriority w:val="0"/>
    <w:pPr>
      <w:spacing w:after="120" w:afterLines="0" w:afterAutospacing="0"/>
      <w:ind w:left="420" w:leftChars="200"/>
    </w:pPr>
    <w:rPr>
      <w:sz w:val="16"/>
    </w:rPr>
  </w:style>
  <w:style w:type="paragraph" w:styleId="22">
    <w:name w:val="toc 2"/>
    <w:basedOn w:val="1"/>
    <w:next w:val="1"/>
    <w:qFormat/>
    <w:uiPriority w:val="39"/>
    <w:pPr>
      <w:ind w:left="420" w:leftChars="200"/>
    </w:pPr>
    <w:rPr>
      <w:sz w:val="21"/>
      <w:szCs w:val="24"/>
    </w:rPr>
  </w:style>
  <w:style w:type="paragraph" w:styleId="23">
    <w:name w:val="toc 9"/>
    <w:basedOn w:val="1"/>
    <w:next w:val="1"/>
    <w:unhideWhenUsed/>
    <w:qFormat/>
    <w:uiPriority w:val="39"/>
    <w:pPr>
      <w:ind w:left="3360" w:leftChars="1600"/>
    </w:pPr>
  </w:style>
  <w:style w:type="paragraph" w:styleId="24">
    <w:name w:val="Body Text 2"/>
    <w:basedOn w:val="1"/>
    <w:qFormat/>
    <w:uiPriority w:val="0"/>
    <w:rPr>
      <w:rFonts w:ascii="楷体_GB2312" w:hAnsi="Copperplate Gothic Bold" w:eastAsia="楷体_GB2312"/>
      <w:kern w:val="2"/>
      <w:sz w:val="28"/>
    </w:rPr>
  </w:style>
  <w:style w:type="paragraph" w:styleId="25">
    <w:name w:val="Body Text First Indent"/>
    <w:basedOn w:val="12"/>
    <w:qFormat/>
    <w:uiPriority w:val="0"/>
    <w:pPr>
      <w:ind w:firstLine="420" w:firstLineChars="100"/>
    </w:pPr>
    <w:rPr>
      <w:rFonts w:eastAsia="仿宋_GB2312"/>
      <w:sz w:val="28"/>
    </w:rPr>
  </w:style>
  <w:style w:type="table" w:styleId="27">
    <w:name w:val="Table Grid"/>
    <w:basedOn w:val="2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9">
    <w:name w:val="Strong"/>
    <w:basedOn w:val="28"/>
    <w:qFormat/>
    <w:uiPriority w:val="0"/>
    <w:rPr>
      <w:b/>
    </w:rPr>
  </w:style>
  <w:style w:type="character" w:styleId="30">
    <w:name w:val="page number"/>
    <w:basedOn w:val="28"/>
    <w:qFormat/>
    <w:uiPriority w:val="0"/>
  </w:style>
  <w:style w:type="paragraph" w:customStyle="1" w:styleId="31">
    <w:name w:val="样式 正文文本缩进 + 首行缩进:  2 字符 行距: 1.5 倍行距"/>
    <w:basedOn w:val="13"/>
    <w:qFormat/>
    <w:uiPriority w:val="0"/>
    <w:pPr>
      <w:ind w:firstLine="560"/>
    </w:pPr>
    <w:rPr>
      <w:rFonts w:eastAsia="仿宋_GB2312"/>
    </w:rPr>
  </w:style>
  <w:style w:type="paragraph" w:customStyle="1" w:styleId="32">
    <w:name w:val="标题 2 Char1"/>
    <w:basedOn w:val="1"/>
    <w:qFormat/>
    <w:uiPriority w:val="0"/>
    <w:pPr>
      <w:autoSpaceDE w:val="0"/>
      <w:autoSpaceDN w:val="0"/>
    </w:pPr>
    <w:rPr>
      <w:rFonts w:ascii="宋体" w:hAnsi="宋体" w:cs="宋体"/>
      <w:sz w:val="22"/>
      <w:lang w:val="zh-CN"/>
    </w:rPr>
  </w:style>
  <w:style w:type="paragraph" w:customStyle="1" w:styleId="33">
    <w:name w:val="p15"/>
    <w:basedOn w:val="1"/>
    <w:qFormat/>
    <w:uiPriority w:val="99"/>
    <w:pPr>
      <w:widowControl/>
    </w:pPr>
    <w:rPr>
      <w:kern w:val="0"/>
      <w:sz w:val="21"/>
      <w:szCs w:val="21"/>
    </w:rPr>
  </w:style>
  <w:style w:type="character" w:customStyle="1" w:styleId="34">
    <w:name w:val="NormalCharacter"/>
    <w:link w:val="1"/>
    <w:qFormat/>
    <w:uiPriority w:val="0"/>
    <w:rPr>
      <w:rFonts w:ascii="Times New Roman" w:hAnsi="Times New Roman" w:eastAsia="宋体" w:cs="Times New Roman"/>
      <w:kern w:val="2"/>
      <w:sz w:val="24"/>
      <w:lang w:val="en-US" w:eastAsia="zh-CN" w:bidi="ar-SA"/>
    </w:rPr>
  </w:style>
  <w:style w:type="character" w:customStyle="1" w:styleId="35">
    <w:name w:val="font11"/>
    <w:basedOn w:val="28"/>
    <w:qFormat/>
    <w:uiPriority w:val="0"/>
    <w:rPr>
      <w:rFonts w:hint="default" w:ascii="仿宋_GB2312" w:eastAsia="仿宋_GB2312" w:cs="仿宋_GB2312"/>
      <w:color w:val="000000"/>
      <w:sz w:val="21"/>
      <w:szCs w:val="21"/>
      <w:u w:val="none"/>
    </w:rPr>
  </w:style>
  <w:style w:type="character" w:customStyle="1" w:styleId="36">
    <w:name w:val="font21"/>
    <w:basedOn w:val="28"/>
    <w:qFormat/>
    <w:uiPriority w:val="0"/>
    <w:rPr>
      <w:rFonts w:hint="default" w:ascii="仿宋_GB2312" w:eastAsia="仿宋_GB2312" w:cs="仿宋_GB2312"/>
      <w:color w:val="000000"/>
      <w:sz w:val="32"/>
      <w:szCs w:val="32"/>
      <w:u w:val="none"/>
    </w:rPr>
  </w:style>
  <w:style w:type="character" w:customStyle="1" w:styleId="37">
    <w:name w:val="font31"/>
    <w:basedOn w:val="28"/>
    <w:qFormat/>
    <w:uiPriority w:val="0"/>
    <w:rPr>
      <w:rFonts w:hint="eastAsia" w:ascii="宋体" w:hAnsi="宋体" w:eastAsia="宋体" w:cs="宋体"/>
      <w:color w:val="000000"/>
      <w:sz w:val="32"/>
      <w:szCs w:val="32"/>
      <w:u w:val="none"/>
    </w:rPr>
  </w:style>
  <w:style w:type="paragraph" w:customStyle="1" w:styleId="38">
    <w:name w:val="正文（缩进 2 字符）"/>
    <w:qFormat/>
    <w:uiPriority w:val="0"/>
    <w:pPr>
      <w:spacing w:line="400" w:lineRule="exact"/>
      <w:ind w:firstLine="200" w:firstLineChars="200"/>
      <w:jc w:val="both"/>
    </w:pPr>
    <w:rPr>
      <w:rFonts w:ascii="Calibri Light" w:hAnsi="Calibri Light" w:eastAsia="华文仿宋" w:cs="Times New Roman"/>
      <w:kern w:val="2"/>
      <w:sz w:val="28"/>
      <w:szCs w:val="28"/>
      <w:lang w:val="en-US" w:eastAsia="zh-CN" w:bidi="ar-SA"/>
    </w:rPr>
  </w:style>
  <w:style w:type="character" w:customStyle="1" w:styleId="39">
    <w:name w:val="标题 3 字符"/>
    <w:link w:val="4"/>
    <w:qFormat/>
    <w:uiPriority w:val="0"/>
    <w:rPr>
      <w:b/>
      <w:sz w:val="28"/>
    </w:rPr>
  </w:style>
  <w:style w:type="paragraph" w:customStyle="1" w:styleId="40">
    <w:name w:val="标题 3（投标文件）"/>
    <w:qFormat/>
    <w:uiPriority w:val="0"/>
    <w:pPr>
      <w:keepNext/>
      <w:keepLines/>
      <w:spacing w:before="0" w:after="0" w:line="400" w:lineRule="atLeast"/>
      <w:jc w:val="left"/>
      <w:outlineLvl w:val="2"/>
    </w:pPr>
    <w:rPr>
      <w:rFonts w:ascii="Calibri Light" w:hAnsi="Calibri Light" w:eastAsia="华文仿宋" w:cs="Times New Roman"/>
      <w:b/>
      <w:bCs/>
      <w:kern w:val="2"/>
      <w:sz w:val="32"/>
      <w:szCs w:val="32"/>
      <w:lang w:val="en-US" w:eastAsia="zh-CN" w:bidi="ar-SA"/>
    </w:rPr>
  </w:style>
  <w:style w:type="paragraph" w:customStyle="1" w:styleId="41">
    <w:name w:val="Body text|1"/>
    <w:basedOn w:val="1"/>
    <w:qFormat/>
    <w:uiPriority w:val="0"/>
    <w:pPr>
      <w:spacing w:line="314" w:lineRule="auto"/>
      <w:ind w:firstLine="400"/>
    </w:pPr>
    <w:rPr>
      <w:rFonts w:ascii="MingLiU" w:hAnsi="MingLiU" w:eastAsia="MingLiU" w:cs="MingLiU"/>
      <w:lang w:val="zh-TW" w:eastAsia="zh-TW" w:bidi="zh-TW"/>
    </w:rPr>
  </w:style>
  <w:style w:type="paragraph" w:customStyle="1" w:styleId="42">
    <w:name w:val="表注1"/>
    <w:basedOn w:val="1"/>
    <w:qFormat/>
    <w:uiPriority w:val="0"/>
    <w:pPr>
      <w:adjustRightInd w:val="0"/>
      <w:snapToGrid w:val="0"/>
      <w:spacing w:beforeLines="50" w:line="300" w:lineRule="auto"/>
      <w:ind w:left="350" w:hanging="350" w:hangingChars="350"/>
    </w:pPr>
    <w:rPr>
      <w:rFonts w:eastAsia="仿宋_GB2312"/>
      <w:bCs/>
      <w:color w:val="000000"/>
      <w:szCs w:val="24"/>
    </w:rPr>
  </w:style>
  <w:style w:type="paragraph" w:customStyle="1" w:styleId="43">
    <w:name w:val="Table Text"/>
    <w:basedOn w:val="1"/>
    <w:semiHidden/>
    <w:qFormat/>
    <w:uiPriority w:val="0"/>
    <w:rPr>
      <w:rFonts w:ascii="宋体" w:hAnsi="宋体" w:eastAsia="宋体" w:cs="宋体"/>
      <w:sz w:val="24"/>
      <w:szCs w:val="24"/>
      <w:lang w:val="en-US" w:eastAsia="en-US" w:bidi="ar-SA"/>
    </w:rPr>
  </w:style>
  <w:style w:type="table" w:customStyle="1" w:styleId="44">
    <w:name w:val="Table Normal"/>
    <w:semiHidden/>
    <w:unhideWhenUsed/>
    <w:qFormat/>
    <w:uiPriority w:val="0"/>
    <w:tblPr>
      <w:tblCellMar>
        <w:top w:w="0" w:type="dxa"/>
        <w:left w:w="0" w:type="dxa"/>
        <w:bottom w:w="0" w:type="dxa"/>
        <w:right w:w="0" w:type="dxa"/>
      </w:tblCellMar>
    </w:tblPr>
  </w:style>
  <w:style w:type="paragraph" w:customStyle="1" w:styleId="45">
    <w:name w:val="WPSOffice手动目录 1"/>
    <w:qFormat/>
    <w:uiPriority w:val="0"/>
    <w:pPr>
      <w:ind w:leftChars="0"/>
    </w:pPr>
    <w:rPr>
      <w:rFonts w:ascii="Times New Roman" w:hAnsi="Times New Roman" w:eastAsia="宋体" w:cs="Times New Roman"/>
      <w:sz w:val="20"/>
      <w:szCs w:val="20"/>
    </w:rPr>
  </w:style>
  <w:style w:type="paragraph" w:customStyle="1" w:styleId="46">
    <w:name w:val="样式1"/>
    <w:basedOn w:val="1"/>
    <w:qFormat/>
    <w:uiPriority w:val="0"/>
    <w:pPr>
      <w:jc w:val="center"/>
    </w:pPr>
    <w:rPr>
      <w:rFonts w:eastAsia="方正大标宋简体"/>
      <w:sz w:val="52"/>
    </w:rPr>
  </w:style>
  <w:style w:type="paragraph" w:customStyle="1" w:styleId="47">
    <w:name w:val="null3"/>
    <w:qFormat/>
    <w:uiPriority w:val="0"/>
    <w:rPr>
      <w:rFonts w:hint="eastAsia" w:ascii="Calibri" w:hAnsi="Calibri" w:eastAsia="宋体" w:cs="Times New Roman"/>
      <w:lang w:val="en-US" w:eastAsia="zh-Hans"/>
    </w:rPr>
  </w:style>
  <w:style w:type="paragraph" w:customStyle="1" w:styleId="48">
    <w:name w:val="标题3"/>
    <w:basedOn w:val="2"/>
    <w:next w:val="1"/>
    <w:qFormat/>
    <w:uiPriority w:val="0"/>
    <w:pPr>
      <w:spacing w:before="0" w:after="0" w:line="240" w:lineRule="auto"/>
      <w:jc w:val="left"/>
      <w:outlineLvl w:val="9"/>
    </w:pPr>
    <w:rPr>
      <w:bCs w:val="0"/>
      <w:sz w:val="28"/>
      <w:szCs w:val="20"/>
    </w:rPr>
  </w:style>
  <w:style w:type="paragraph" w:customStyle="1" w:styleId="49">
    <w:name w:val="正文缩进1"/>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footer" Target="foot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116</Pages>
  <Words>32739</Words>
  <Characters>35349</Characters>
  <Lines>0</Lines>
  <Paragraphs>0</Paragraphs>
  <TotalTime>8</TotalTime>
  <ScaleCrop>false</ScaleCrop>
  <LinksUpToDate>false</LinksUpToDate>
  <CharactersWithSpaces>36340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2023-12-19T05:09:00Z</dcterms:created>
  <dc:creator>宁静致远</dc:creator>
  <cp:lastModifiedBy>Administrator</cp:lastModifiedBy>
  <dcterms:modified xsi:type="dcterms:W3CDTF">2026-04-14T02:35:12Z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52D19E62C735455DB821786A64BA88D8_13</vt:lpwstr>
  </property>
  <property fmtid="{D5CDD505-2E9C-101B-9397-08002B2CF9AE}" pid="4" name="KSOTemplateDocerSaveRecord">
    <vt:lpwstr>eyJoZGlkIjoiYWFiMTJmMGMyNGI1ZGU5OTI5ZTUyYjYyZWFjODMzOGMiLCJ1c2VySWQiOiIyNjk5OTUwNDgifQ==</vt:lpwstr>
  </property>
</Properties>
</file>