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sz w:val="36"/>
          <w:szCs w:val="36"/>
          <w:lang w:val="en-US" w:eastAsia="zh-CN"/>
        </w:rPr>
      </w:pPr>
      <w:r>
        <w:rPr>
          <w:rFonts w:hint="eastAsia"/>
          <w:sz w:val="36"/>
          <w:szCs w:val="36"/>
          <w:lang w:val="en-US" w:eastAsia="zh-CN"/>
        </w:rPr>
        <w:t>采购需求</w:t>
      </w:r>
    </w:p>
    <w:p w14:paraId="166A8F16">
      <w:pPr>
        <w:pStyle w:val="2"/>
        <w:spacing w:before="48" w:line="224" w:lineRule="auto"/>
        <w:ind w:left="530"/>
        <w:outlineLvl w:val="1"/>
        <w:rPr>
          <w:rFonts w:hint="eastAsia" w:ascii="宋体" w:hAnsi="宋体" w:eastAsia="宋体" w:cs="宋体"/>
          <w:b/>
          <w:bCs/>
          <w:color w:val="auto"/>
          <w:sz w:val="28"/>
          <w:szCs w:val="28"/>
          <w:highlight w:val="none"/>
          <w:lang w:val="en-US" w:eastAsia="zh-Hans"/>
        </w:rPr>
      </w:pPr>
      <w:r>
        <w:rPr>
          <w:rFonts w:hint="eastAsia" w:ascii="宋体" w:hAnsi="宋体" w:eastAsia="宋体" w:cs="宋体"/>
          <w:b/>
          <w:bCs/>
          <w:color w:val="auto"/>
          <w:sz w:val="28"/>
          <w:szCs w:val="28"/>
          <w:highlight w:val="none"/>
          <w:lang w:val="en-US" w:eastAsia="zh-Hans"/>
        </w:rPr>
        <w:t>一、项目概况</w:t>
      </w:r>
    </w:p>
    <w:p w14:paraId="46E06CE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西安开放大学图书馆创建于1980年，开放时间为 56 小时/周，服务对象主要为全体教职员工、开放教育及直属办学单位的学生、省市干部教育学员。近几年，图书馆紧紧围绕学校工作要点，坚持以全面收藏远程开放教育、成人教育和继续教育方面的文献资料为基础，以满足学校教学管理和科研需要为重点开展图书资源建设工作。经过多年的努力，我校已初步建立了适应现代远程教育特点和本校特色的馆藏体系，每年订阅中国知网学术文献数据库、超星数字图书移动图书馆等资源，满足各类学习者的数字化图书资源需求和阅读需求。</w:t>
      </w:r>
    </w:p>
    <w:p w14:paraId="77930DA2">
      <w:pPr>
        <w:pStyle w:val="2"/>
        <w:spacing w:line="24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Hans"/>
        </w:rPr>
        <w:t>为进一步完善学校图书馆数字资源，提高我馆图书资源利用率，更好地服务师生，学校必须持续加强图书资源的建设，才能保障各项工作顺利开展，促进学校转型发展，满足师生研学需求。本项目主要包含数字图书馆、学术文献数据库的1年访问服务</w:t>
      </w:r>
      <w:r>
        <w:rPr>
          <w:rFonts w:hint="eastAsia" w:ascii="宋体" w:hAnsi="宋体" w:eastAsia="宋体" w:cs="宋体"/>
          <w:b w:val="0"/>
          <w:bCs w:val="0"/>
          <w:color w:val="auto"/>
          <w:sz w:val="28"/>
          <w:szCs w:val="28"/>
          <w:highlight w:val="none"/>
          <w:lang w:val="en-US" w:eastAsia="zh-CN"/>
        </w:rPr>
        <w:t>。</w:t>
      </w:r>
    </w:p>
    <w:p w14:paraId="62219AE9">
      <w:pPr>
        <w:pStyle w:val="2"/>
        <w:spacing w:before="48" w:line="224" w:lineRule="auto"/>
        <w:ind w:left="530"/>
        <w:outlineLvl w:val="1"/>
        <w:rPr>
          <w:rFonts w:hint="eastAsia" w:ascii="宋体" w:hAnsi="宋体" w:eastAsia="宋体" w:cs="宋体"/>
          <w:b/>
          <w:bCs/>
          <w:color w:val="auto"/>
          <w:sz w:val="28"/>
          <w:szCs w:val="28"/>
          <w:highlight w:val="none"/>
          <w:lang w:val="en-US" w:eastAsia="zh-Hans"/>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Hans"/>
        </w:rPr>
        <w:t>服务内容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994"/>
        <w:gridCol w:w="1204"/>
        <w:gridCol w:w="1254"/>
      </w:tblGrid>
      <w:tr w14:paraId="4B0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65" w:type="dxa"/>
            <w:noWrap w:val="0"/>
            <w:vAlign w:val="top"/>
          </w:tcPr>
          <w:p w14:paraId="7D3284E8">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4994" w:type="dxa"/>
            <w:noWrap w:val="0"/>
            <w:vAlign w:val="top"/>
          </w:tcPr>
          <w:p w14:paraId="43C719DE">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项目</w:t>
            </w:r>
          </w:p>
        </w:tc>
        <w:tc>
          <w:tcPr>
            <w:tcW w:w="1204" w:type="dxa"/>
            <w:noWrap w:val="0"/>
            <w:vAlign w:val="top"/>
          </w:tcPr>
          <w:p w14:paraId="53653D16">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产品年度</w:t>
            </w:r>
          </w:p>
        </w:tc>
        <w:tc>
          <w:tcPr>
            <w:tcW w:w="1254" w:type="dxa"/>
            <w:noWrap w:val="0"/>
            <w:vAlign w:val="top"/>
          </w:tcPr>
          <w:p w14:paraId="5EEFF341">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服务期限</w:t>
            </w:r>
          </w:p>
        </w:tc>
      </w:tr>
      <w:tr w14:paraId="1AF4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5" w:type="dxa"/>
            <w:noWrap w:val="0"/>
            <w:vAlign w:val="top"/>
          </w:tcPr>
          <w:p w14:paraId="7522E502">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4994" w:type="dxa"/>
            <w:noWrap w:val="0"/>
            <w:vAlign w:val="top"/>
          </w:tcPr>
          <w:p w14:paraId="2B8A1343">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续订2026年数字图书移动图书馆资源使用服务</w:t>
            </w:r>
          </w:p>
        </w:tc>
        <w:tc>
          <w:tcPr>
            <w:tcW w:w="1204" w:type="dxa"/>
            <w:noWrap w:val="0"/>
            <w:vAlign w:val="center"/>
          </w:tcPr>
          <w:p w14:paraId="0B6E0176">
            <w:pPr>
              <w:pStyle w:val="2"/>
              <w:spacing w:before="48" w:line="224" w:lineRule="auto"/>
              <w:jc w:val="center"/>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2026年度</w:t>
            </w:r>
          </w:p>
        </w:tc>
        <w:tc>
          <w:tcPr>
            <w:tcW w:w="1254" w:type="dxa"/>
            <w:noWrap w:val="0"/>
            <w:vAlign w:val="center"/>
          </w:tcPr>
          <w:p w14:paraId="5AB24A81">
            <w:pPr>
              <w:pStyle w:val="2"/>
              <w:spacing w:before="48" w:line="224" w:lineRule="auto"/>
              <w:jc w:val="center"/>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1年</w:t>
            </w:r>
          </w:p>
        </w:tc>
      </w:tr>
      <w:tr w14:paraId="6A4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965" w:type="dxa"/>
            <w:noWrap w:val="0"/>
            <w:vAlign w:val="top"/>
          </w:tcPr>
          <w:p w14:paraId="48E2E40E">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4994" w:type="dxa"/>
            <w:noWrap w:val="0"/>
            <w:vAlign w:val="top"/>
          </w:tcPr>
          <w:p w14:paraId="54EA7BDF">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续订2026年学术期刊文献数据库，包含：</w:t>
            </w:r>
          </w:p>
          <w:p w14:paraId="19F65154">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（1）中国学术期刊(网络版)C,F,H,J专辑；</w:t>
            </w:r>
          </w:p>
          <w:p w14:paraId="179F6E9B">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（2）中国博士学位论文全文数据库C,F,H,J专辑；</w:t>
            </w:r>
          </w:p>
          <w:p w14:paraId="5D70B1A1">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（3）中国优秀硕士学位论文全文数据C,F,H,J专辑；</w:t>
            </w:r>
          </w:p>
          <w:p w14:paraId="18FD5BD2">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（4）中国重要会议论文全文数据库C,F,H,J专辑；</w:t>
            </w:r>
          </w:p>
          <w:p w14:paraId="58D8632B">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（5）《中国精品文艺作品期刊文献库》；</w:t>
            </w:r>
          </w:p>
          <w:p w14:paraId="319E10B6">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（6）期刊个刊流量；</w:t>
            </w:r>
          </w:p>
          <w:p w14:paraId="2110C743">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其中总库并发80个，漫游账号50个</w:t>
            </w:r>
          </w:p>
        </w:tc>
        <w:tc>
          <w:tcPr>
            <w:tcW w:w="1204" w:type="dxa"/>
            <w:noWrap w:val="0"/>
            <w:vAlign w:val="center"/>
          </w:tcPr>
          <w:p w14:paraId="3FEE3376">
            <w:pPr>
              <w:spacing w:before="48" w:line="224" w:lineRule="auto"/>
              <w:jc w:val="center"/>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2026年度</w:t>
            </w:r>
          </w:p>
        </w:tc>
        <w:tc>
          <w:tcPr>
            <w:tcW w:w="1254" w:type="dxa"/>
            <w:noWrap w:val="0"/>
            <w:vAlign w:val="center"/>
          </w:tcPr>
          <w:p w14:paraId="14C00090">
            <w:pPr>
              <w:pStyle w:val="2"/>
              <w:spacing w:before="48" w:line="224" w:lineRule="auto"/>
              <w:jc w:val="center"/>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1年</w:t>
            </w:r>
          </w:p>
        </w:tc>
      </w:tr>
      <w:tr w14:paraId="67C4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5" w:type="dxa"/>
            <w:noWrap w:val="0"/>
            <w:vAlign w:val="top"/>
          </w:tcPr>
          <w:p w14:paraId="0976ADB5">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4994" w:type="dxa"/>
            <w:noWrap w:val="0"/>
            <w:vAlign w:val="top"/>
          </w:tcPr>
          <w:p w14:paraId="3F5362A6">
            <w:pPr>
              <w:pStyle w:val="2"/>
              <w:spacing w:before="48" w:line="224" w:lineRule="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纸质图书采购及入库配套耗材</w:t>
            </w:r>
          </w:p>
        </w:tc>
        <w:tc>
          <w:tcPr>
            <w:tcW w:w="1204" w:type="dxa"/>
            <w:noWrap w:val="0"/>
            <w:vAlign w:val="center"/>
          </w:tcPr>
          <w:p w14:paraId="53F33028">
            <w:pPr>
              <w:spacing w:before="48" w:line="224" w:lineRule="auto"/>
              <w:jc w:val="center"/>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2026年度</w:t>
            </w:r>
          </w:p>
        </w:tc>
        <w:tc>
          <w:tcPr>
            <w:tcW w:w="1254" w:type="dxa"/>
            <w:noWrap w:val="0"/>
            <w:vAlign w:val="center"/>
          </w:tcPr>
          <w:p w14:paraId="35F74B62">
            <w:pPr>
              <w:pStyle w:val="2"/>
              <w:spacing w:before="48" w:line="224" w:lineRule="auto"/>
              <w:jc w:val="center"/>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1年</w:t>
            </w:r>
          </w:p>
        </w:tc>
      </w:tr>
    </w:tbl>
    <w:p w14:paraId="6DA15123">
      <w:pPr>
        <w:pStyle w:val="2"/>
        <w:spacing w:before="48" w:line="224" w:lineRule="auto"/>
        <w:ind w:left="530"/>
        <w:outlineLvl w:val="1"/>
        <w:rPr>
          <w:rFonts w:hint="eastAsia" w:ascii="宋体" w:hAnsi="宋体" w:eastAsia="宋体" w:cs="宋体"/>
          <w:b/>
          <w:bCs/>
          <w:color w:val="auto"/>
          <w:sz w:val="28"/>
          <w:szCs w:val="28"/>
          <w:highlight w:val="none"/>
          <w:lang w:val="en-US" w:eastAsia="zh-Hans"/>
        </w:rPr>
      </w:pPr>
      <w:r>
        <w:rPr>
          <w:rFonts w:hint="eastAsia" w:ascii="宋体" w:hAnsi="宋体" w:eastAsia="宋体" w:cs="宋体"/>
          <w:b/>
          <w:bCs/>
          <w:color w:val="auto"/>
          <w:sz w:val="28"/>
          <w:szCs w:val="28"/>
          <w:highlight w:val="none"/>
          <w:lang w:val="en-US" w:eastAsia="zh-Hans"/>
        </w:rPr>
        <w:t>三、技术要求</w:t>
      </w:r>
    </w:p>
    <w:p w14:paraId="5F199CC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（一）续订2026年数字图书移动图书馆资源使用服务</w:t>
      </w:r>
    </w:p>
    <w:p w14:paraId="6082F885">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1.所提供电子图书资源需覆盖中图分类法22个大类，为了保证图书准确性，保持图书原文原貌，提供不低于100万种PDG图像格式图书全文在线阅读。</w:t>
      </w:r>
    </w:p>
    <w:p w14:paraId="52AAB2F6">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★2.移动图书馆可在不同移动终端上阅读访问。提供适合手机使用的图书资源，需包含图书封面信息、目录及在手机中完成试读，并且通过移动图书馆，可以查询到全国的馆藏信息。</w:t>
      </w:r>
    </w:p>
    <w:p w14:paraId="4EFAB21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★3.提供适合手机使用的且具有完全自主知识产权的视频，支持有声读物播放，为满足读者视听需求，移动图书馆视频内嵌资源量要求不少于1万集。</w:t>
      </w:r>
    </w:p>
    <w:p w14:paraId="0A77951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4.整合的期刊、论文等摘要页面要显示相关文献来源，且能提供适合移动设备的链接访问，并提供文献传递服务。</w:t>
      </w:r>
    </w:p>
    <w:p w14:paraId="191D033A">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5.提供各类资源导航，包括图书、期刊、讲座等，并实现热门资源的推荐。</w:t>
      </w:r>
    </w:p>
    <w:p w14:paraId="62C35BD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6.用户在用手机查找文献时，可提出申请将检索结果直接发送到个人邮箱。</w:t>
      </w:r>
    </w:p>
    <w:p w14:paraId="514AC7F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7.支持检索结果筛选，支持多种筛选模式，如按时间，标题等。</w:t>
      </w:r>
    </w:p>
    <w:p w14:paraId="76647BF1">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8.支持横屏阅读，可进行批注，标示等操作。</w:t>
      </w:r>
    </w:p>
    <w:p w14:paraId="00174D9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★9.提供适合不同手机阅读的 EPUB 格式热门图书，不少于 3 万种。图书分类包含经典名著、小说传记、经管理财、历史军事、人生哲学、人文社科、生活保健、文学艺术、政治法律等分类。整合 110 万种以上原貌图书，图书支持收藏、下载。</w:t>
      </w:r>
    </w:p>
    <w:p w14:paraId="3F141A0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★10.提供适合广大读者学习的经典视频 11000 集，包含清华大学、北京大学、复旦大学等名校的课程视频及讲座，可以在线进行播放。</w:t>
      </w:r>
    </w:p>
    <w:p w14:paraId="2750E08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11.提供不少于 10000 集听书资源。听书资源需提供包含传奇史话、古代历史、人物传记、国学经典、中国文学、世界名著等分类，最多可提供 30 余种分类。</w:t>
      </w:r>
    </w:p>
    <w:p w14:paraId="38778202">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★12.提供文献传递服务，并且接入全国图书馆参考咨询联盟建立的云传递共享平台。中文文献传递满足率达到95%以上。传递的文献能够随时随地打开阅读。</w:t>
      </w:r>
    </w:p>
    <w:p w14:paraId="42ED8C59">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13.移动学术资源模块提供包括图书、章节、期刊、视频、论文等多维度的资源，可进行统一检索，且资源频道提供了导航服务。</w:t>
      </w:r>
    </w:p>
    <w:p w14:paraId="3309DF55">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14.为读者提供个人空间，可添加图书、视频、期刊、讲座等资源，方便读者查找及阅读。</w:t>
      </w:r>
    </w:p>
    <w:p w14:paraId="5C98A0B5">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★15.APP端、小程序端提供作品征集平台，支持上传图片、文字、视频等格式的作品，可设置对作品的投票、点赞、评论等操作权限。</w:t>
      </w:r>
    </w:p>
    <w:p w14:paraId="595E9362">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16.手机端支持配置阅读积分大赛，通过看视频、做测评、读经典、观直播等获得积分，进行排行。</w:t>
      </w:r>
    </w:p>
    <w:p w14:paraId="0A222C7C">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★17.APP端、小程序端提供图书共读功能，通过共同阅读一本书深入了解原著，支持打卡、书评、排行。</w:t>
      </w:r>
    </w:p>
    <w:p w14:paraId="12191363">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★18.APP端、小程序端提供知识闯关模块，通过灵活配置的活动规则，答题+阅读的方式调动用户的阅读积极性。</w:t>
      </w:r>
    </w:p>
    <w:p w14:paraId="7AF8A413">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19.APP端、小程序端提供朗读模块，可以生成朗读作品，进行分享。</w:t>
      </w:r>
    </w:p>
    <w:p w14:paraId="2446761C">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20.支持对首页资源管理：实现首页图书、期刊、视频、听书等资源的添加、删除。</w:t>
      </w:r>
    </w:p>
    <w:p w14:paraId="3866CF2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（二）续订2026年学术期刊文献数据库</w:t>
      </w:r>
    </w:p>
    <w:p w14:paraId="1C809535">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1、产品相关参数</w:t>
      </w:r>
    </w:p>
    <w:p w14:paraId="554C8DC6">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（1）《中国学术期刊（网络版）》网络连续型出版物于 2015 年8 月获国家主管部门同意出版。至此，停用“中国学术期刊网络出版总库”名称，启用《中国学术期刊（网络版）》刊名。《中国学术期刊（网络版）》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首届中国出版政府奖—网络出版物奖”。该库共分十大专辑出版光盘版和网络版，均有正式出版物号。收录范围：我国公开出版发行的学术期刊（含英文版）全文文献，包括基础与应用基础研究、技术研究、工程研究、工程与项目管理、技术开发、实用工程技术、行业技术发展与评论、高级科普、学科教育教学类期刊。文献总量：截至2026年1月，累计收录8620余种期刊，中文全文文献总量达6490余万篇。其中，收录核心期刊1970余种。2026年计划出版期刊6901种，预计出版总文献量157万余篇。收录年限：1915年至今。期刊文献收录完整率：核心期刊、重要评价性数据库来源期刊完整率高于98%；文献期数收录完整率：文献收录期数完整率高于99％。文献篇数收录完整率：文献篇数收录完整率高于99％。</w:t>
      </w:r>
    </w:p>
    <w:p w14:paraId="3F251C0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中国博士学位论文全文数据库》是目前国内资源完备、质量上乘、连续动态更新的中国博士学位论文全文数据库，覆盖基础科学、工程技术、农业、医学、哲学、人文、社会科学等各个领域。收录范围：具有博士学位授予权的研究生培养单位的博士学位论文（涉及国家保密的论文除外）。文献总量：截止2025年12月，收录博士学位论文66.1万余篇。2026年计划出版4.8万篇收录年限：从1984年至今的博士学位论文。文献来源完整率：收录来自540余家博士培养单位（涉及国家保密的单位除外）的博士学位论文。“双一流”建设高校覆盖率达到100%。国家重点学科覆盖率达98%，收全率达90%。特色学科覆盖率达100%，收全率90%。文献收录完整率：2018年、2019年、2020年、2021年、2021年、2022年、2024年、2025年博士学位论文出版数量占全国当年可公开出版的博士学位论文总量的85％以上。</w:t>
      </w:r>
    </w:p>
    <w:p w14:paraId="3145694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中国优秀硕士学位论文全文数据库》是目前国内资源完备、质量上乘、连续动态更新的中国硕士学位论文全文数据库，覆盖基础科学、工程技术、农业、医学、哲学、人文、社会科学等各个领域。收录范围：具有硕士学位授予权的研究生培养单位的硕士学位论文。以优先保证文献质量为基本原则。文献总量：截止2025年12月，收录硕士学位论文693万余篇。2026年计划出版52万篇。文献来源完整率：收录来自810余家硕士培养单位（涉及国家保密的单位除外）的硕士学位论文。“双一流 ”建设高校覆盖率达到100%。国家重点学科覆盖率达98%，收全率达90%。特色学科覆盖率达100%，收全率90%。文献收录完整率:2018年、2019年、2020年、2021年、2022年、2023年、2024年、2025年硕士学位论文出版数量占全国当年可公开出版的硕士学位论文总量的85％以上。</w:t>
      </w:r>
    </w:p>
    <w:p w14:paraId="29B7E53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4）《中国重要会议论文全文数据库》遴选国内一万余家重要会议主办单位或论文汇编单位书面授权投稿的学术会议文献，基本囊括了我国各学科重要会议论文，是我国连续出版重要会议论文的全文数据库。文献来源：高校重点实验室、研究中心及院系主办的学术会议。全国性学会及其分会、专业委员会主办的学术会议或论文评选。全国性行业协会及其分会主办的行业活动或发布的行业报告。地方性学会/协会主办的特色会议（选择性收录）。出版特点：系列化：学术组织举办的重要会议具有固定的周期且连续性召开的特点，系列化出版完整体现了该学科领域不同阶段的热点问题，同时便于读者进行追溯研究。到目前为止，60%的重要会议文献已实现系列化收录，可以为读者提供完整的系列化调研资料。系统化：通过跨库检索、知网节功能与其他文献结合，实现与不同类型文献重新整合。出版授权：签定会议论文出版授权协议书，取得会议主办方或汇编方及论文作者出版授权。收录范围：收录了由国内外近3500余家授权单位推荐的3万余次国内重要学术会议的论文。文献总量：截至2026年1月收录论文298万余篇。2026年计划出版：80000篇。</w:t>
      </w:r>
    </w:p>
    <w:p w14:paraId="3225E096">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5）《中国精品文艺作品期刊文献库》择优收录我国正式出版发行的文艺类期刊，并以篇为单元收录其他期刊发表的同类文献，是面向社会大众和各类机构，以集成化网络出版方式传播文艺作品的全文数据库。它采用了适合于检索各类体裁的文艺作品的元数据框架，经过专门加工，提供适用的检索系统。《文艺作品期刊文献库》充分满足读者的各种个性化服务需求，形成大众读者的欣赏交流平台，可支持专业人员阅读、鉴赏、学习。并采用全数字化信息加工技术，支持数字资源战略馆藏建设。文献来源：文学、书画、摄影、影视等文艺类优秀期刊及其他刊物中的同类作品。收录年限：1979年至今（部分优秀期刊回溯至创刊）。出版计划：2026年计划出版文艺类期刊217种，共计文献6万篇。</w:t>
      </w:r>
    </w:p>
    <w:p w14:paraId="140C4361">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2.资质与版权要求：</w:t>
      </w:r>
    </w:p>
    <w:p w14:paraId="79183B0C">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供应商提供的所有资源必须为正版且彻底解决版权，数据来源合理合法，所有内容均为自有产品或者有销售该产品的合法授权。所提供数据不得是通过破解，盗窃他人数据等非法手段而来。保证校方今后电子资源的使用不受侵权问题的干扰。</w:t>
      </w:r>
    </w:p>
    <w:p w14:paraId="5DFCAB4D">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（2）供应商应具有互联网出版资质，且提供的期刊、博士、硕士、会议、资源须具备正式出版物标准刊号。</w:t>
      </w:r>
    </w:p>
    <w:p w14:paraId="0FA7F9A6">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（3）供应商能够保证学校对所购买的所有内容拥有永久的使用权，可以进行下载、打印、复制等操作。</w:t>
      </w:r>
    </w:p>
    <w:p w14:paraId="240851CC">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3.产品技术要求：</w:t>
      </w:r>
    </w:p>
    <w:p w14:paraId="551666BE">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（1）所列的全文数据库内容能够在统一的平台上进行检索，相互之间可以实现知网节链接，并且可以和以往年度订购的CNKI系列数据库资源内容统一使用。</w:t>
      </w:r>
    </w:p>
    <w:p w14:paraId="725E73F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（2）更新：网上日更新。网络出版时滞不超过纸质出版2个月。</w:t>
      </w:r>
    </w:p>
    <w:p w14:paraId="0910BCF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（3）数据库能提供完善的用户访问统计和控制功能,并由用户自己随时在后台进行。</w:t>
      </w:r>
    </w:p>
    <w:p w14:paraId="5E4882A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（4）数据库能提供完善的访问量（日志）统计功能，能按访问总数，检索、浏览、下载分别进行统计，能够按学科专辑专题进行分类统计，能够按时间进行统计。</w:t>
      </w:r>
    </w:p>
    <w:p w14:paraId="671D07D3">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（5）要求系统平台具有完善的可升级与扩展功能，升级方式方便（如可通过网络自动检测升级）。</w:t>
      </w:r>
    </w:p>
    <w:p w14:paraId="36CE837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（6）要求能够提供移动端APP，并能免费在移动端使用已订购大部分内容。</w:t>
      </w:r>
    </w:p>
    <w:p w14:paraId="2044069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（7）要求</w:t>
      </w:r>
      <w:r>
        <w:rPr>
          <w:rFonts w:hint="eastAsia" w:ascii="宋体" w:hAnsi="宋体" w:eastAsia="宋体" w:cs="宋体"/>
          <w:b w:val="0"/>
          <w:bCs w:val="0"/>
          <w:color w:val="auto"/>
          <w:sz w:val="28"/>
          <w:szCs w:val="28"/>
          <w:highlight w:val="none"/>
          <w:lang w:val="en-US" w:eastAsia="zh-CN"/>
        </w:rPr>
        <w:t>供应</w:t>
      </w:r>
      <w:r>
        <w:rPr>
          <w:rFonts w:hint="eastAsia" w:ascii="宋体" w:hAnsi="宋体" w:eastAsia="宋体" w:cs="宋体"/>
          <w:b w:val="0"/>
          <w:bCs w:val="0"/>
          <w:color w:val="auto"/>
          <w:sz w:val="28"/>
          <w:szCs w:val="28"/>
          <w:highlight w:val="none"/>
          <w:lang w:val="en-US" w:eastAsia="zh-Hans"/>
        </w:rPr>
        <w:t>商能够提供校外漫游服务，并提供50个漫游账号。</w:t>
      </w:r>
    </w:p>
    <w:p w14:paraId="7C8F2253">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（8）系统能提供完备的检索功能，且对检索结果可以按照需要进行聚类和排序。</w:t>
      </w:r>
    </w:p>
    <w:p w14:paraId="2E04C0A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9）能够综合运用多种文献内容关联方法建立文献间关联体系，提供单篇文献详细信息和扩展信息，形成完善的知识网络，提供链接检索。链接检索应当包括以下功能：文献详细信息、参考文献链接、引证文献链接、共引文献链接、二级参考文献链接、二级引证文献链接、相似文献链接、读者推荐文献链接、相关文献作者链接、相关文献机构链接。</w:t>
      </w:r>
    </w:p>
    <w:p w14:paraId="3CB1E4ED">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（10）提供多级目录导航，能够快速定位到页。</w:t>
      </w:r>
    </w:p>
    <w:p w14:paraId="019B2AA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（11）全文信息完全的数字化，免费提供具有自主知识产权的阅读软件，能够实现期刊论文原始版面结构与样式不失真的显示与打印。</w:t>
      </w:r>
    </w:p>
    <w:p w14:paraId="5BFE9105">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（12）数据格式：自定义CAJ加密格式同时支持PDF格式。对于图像格式能实现OCR识别转文本。</w:t>
      </w:r>
    </w:p>
    <w:p w14:paraId="3B5C84E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（13）产品数据加工质量。</w:t>
      </w:r>
    </w:p>
    <w:tbl>
      <w:tblPr>
        <w:tblStyle w:val="4"/>
        <w:tblW w:w="8679"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07"/>
        <w:gridCol w:w="1148"/>
        <w:gridCol w:w="1188"/>
        <w:gridCol w:w="2748"/>
        <w:gridCol w:w="2288"/>
      </w:tblGrid>
      <w:tr w14:paraId="62EE8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391" w:type="dxa"/>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DA1BE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w:t>
            </w:r>
          </w:p>
        </w:tc>
        <w:tc>
          <w:tcPr>
            <w:tcW w:w="228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09096B">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指标</w:t>
            </w:r>
          </w:p>
        </w:tc>
      </w:tr>
      <w:tr w14:paraId="1120A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307"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7E9F344">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资源</w:t>
            </w:r>
          </w:p>
          <w:p w14:paraId="0A0B316F">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加工</w:t>
            </w:r>
          </w:p>
        </w:tc>
        <w:tc>
          <w:tcPr>
            <w:tcW w:w="114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17644F">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著录</w:t>
            </w:r>
          </w:p>
          <w:p w14:paraId="276B4309">
            <w:pPr>
              <w:pStyle w:val="9"/>
              <w:jc w:val="center"/>
              <w:rPr>
                <w:rFonts w:hint="eastAsia" w:ascii="宋体" w:hAnsi="宋体" w:eastAsia="宋体" w:cs="宋体"/>
                <w:b w:val="0"/>
                <w:bCs w:val="0"/>
                <w:color w:val="auto"/>
                <w:sz w:val="28"/>
                <w:szCs w:val="28"/>
              </w:rPr>
            </w:pPr>
          </w:p>
        </w:tc>
        <w:tc>
          <w:tcPr>
            <w:tcW w:w="3936" w:type="dxa"/>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6E303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串域、漏标、多标等错误</w:t>
            </w:r>
          </w:p>
        </w:tc>
        <w:tc>
          <w:tcPr>
            <w:tcW w:w="228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54133B6">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3ACD4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30AEB7E1">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25A227CB">
            <w:pPr>
              <w:jc w:val="cente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1B289F">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中文题名著录文字错误率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1A74C40">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56105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576D1108">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3887E641">
            <w:pPr>
              <w:jc w:val="cente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ACCEC91">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其他语种题名著录文字错误率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24AF54">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小于0.8‰</w:t>
            </w:r>
          </w:p>
        </w:tc>
      </w:tr>
      <w:tr w14:paraId="09422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41FEF1A9">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2373D3C7">
            <w:pPr>
              <w:jc w:val="cente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C408CF">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中文摘要、英文摘要著录文字错误率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B7CA7D3">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60CEB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1D482A31">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3D64FCB7">
            <w:pPr>
              <w:jc w:val="cente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0CBF969">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基金著录文字错误率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7D2B31B">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34887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69D2F20A">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77976BCA">
            <w:pPr>
              <w:jc w:val="center"/>
              <w:rPr>
                <w:rFonts w:hint="eastAsia" w:ascii="宋体" w:hAnsi="宋体" w:eastAsia="宋体" w:cs="宋体"/>
                <w:b w:val="0"/>
                <w:bCs w:val="0"/>
                <w:color w:val="auto"/>
                <w:sz w:val="28"/>
                <w:szCs w:val="28"/>
              </w:rPr>
            </w:pPr>
          </w:p>
        </w:tc>
        <w:tc>
          <w:tcPr>
            <w:tcW w:w="118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18894B4">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扫</w:t>
            </w:r>
          </w:p>
          <w:p w14:paraId="0735E2F9">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描</w:t>
            </w:r>
          </w:p>
          <w:p w14:paraId="6346510D">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版</w:t>
            </w:r>
          </w:p>
          <w:p w14:paraId="0F03D735">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数</w:t>
            </w:r>
          </w:p>
          <w:p w14:paraId="0509C340">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据</w:t>
            </w: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4914531">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篇名、作者文字错误率</w:t>
            </w:r>
          </w:p>
        </w:tc>
        <w:tc>
          <w:tcPr>
            <w:tcW w:w="228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B03E6A3">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4FBEE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0DC3E703">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46FBAAFA">
            <w:pPr>
              <w:jc w:val="cente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6ED47D47">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DAB249">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参考文献文字错误率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A451B29">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小于0.1%</w:t>
            </w:r>
          </w:p>
        </w:tc>
      </w:tr>
      <w:tr w14:paraId="30C40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1663A046">
            <w:pPr>
              <w:jc w:val="cente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center"/>
          </w:tcPr>
          <w:p w14:paraId="1AD52988">
            <w:pPr>
              <w:jc w:val="cente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10FB76F9">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C4366B4">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其他著录项文字错误率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83040C">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r w14:paraId="3B6A5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307" w:type="dxa"/>
            <w:vMerge w:val="continue"/>
            <w:tcBorders>
              <w:top w:val="nil"/>
              <w:left w:val="single" w:color="000000" w:sz="4" w:space="0"/>
              <w:bottom w:val="single" w:color="000000" w:sz="4" w:space="0"/>
              <w:right w:val="single" w:color="000000" w:sz="4" w:space="0"/>
            </w:tcBorders>
            <w:noWrap w:val="0"/>
            <w:vAlign w:val="center"/>
          </w:tcPr>
          <w:p w14:paraId="0B4A899B">
            <w:pPr>
              <w:jc w:val="center"/>
              <w:rPr>
                <w:rFonts w:hint="eastAsia" w:ascii="宋体" w:hAnsi="宋体" w:eastAsia="宋体" w:cs="宋体"/>
                <w:b w:val="0"/>
                <w:bCs w:val="0"/>
                <w:color w:val="auto"/>
                <w:sz w:val="28"/>
                <w:szCs w:val="28"/>
              </w:rPr>
            </w:pPr>
          </w:p>
        </w:tc>
        <w:tc>
          <w:tcPr>
            <w:tcW w:w="114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E094689">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标引</w:t>
            </w:r>
          </w:p>
        </w:tc>
        <w:tc>
          <w:tcPr>
            <w:tcW w:w="118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C3340A6">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主题词</w:t>
            </w:r>
          </w:p>
          <w:p w14:paraId="1158BA1C">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标引</w:t>
            </w: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D91861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正确率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9D1929D">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1B434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7DD569F8">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48942274">
            <w:pP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5588BEF5">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3D5415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一致度</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53AC607">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530482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51FB3FF2">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6B6B9F89">
            <w:pPr>
              <w:rPr>
                <w:rFonts w:hint="eastAsia" w:ascii="宋体" w:hAnsi="宋体" w:eastAsia="宋体" w:cs="宋体"/>
                <w:b w:val="0"/>
                <w:bCs w:val="0"/>
                <w:color w:val="auto"/>
                <w:sz w:val="28"/>
                <w:szCs w:val="28"/>
              </w:rPr>
            </w:pPr>
          </w:p>
        </w:tc>
        <w:tc>
          <w:tcPr>
            <w:tcW w:w="118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28224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关键词</w:t>
            </w:r>
          </w:p>
          <w:p w14:paraId="17345A66">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标引</w:t>
            </w: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2B853CF">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正确率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D8B87DB">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25CE79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02363892">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6D43F6BF">
            <w:pP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1DC6F3C0">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DB1290C">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一致度</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01EE17E">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4ED6D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7C6EDB12">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3193A716">
            <w:pPr>
              <w:rPr>
                <w:rFonts w:hint="eastAsia" w:ascii="宋体" w:hAnsi="宋体" w:eastAsia="宋体" w:cs="宋体"/>
                <w:b w:val="0"/>
                <w:bCs w:val="0"/>
                <w:color w:val="auto"/>
                <w:sz w:val="28"/>
                <w:szCs w:val="28"/>
              </w:rPr>
            </w:pPr>
          </w:p>
        </w:tc>
        <w:tc>
          <w:tcPr>
            <w:tcW w:w="118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AFD66C7">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中国图</w:t>
            </w:r>
          </w:p>
          <w:p w14:paraId="5FC6E75A">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书馆分</w:t>
            </w:r>
          </w:p>
          <w:p w14:paraId="701C29B4">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类法分</w:t>
            </w:r>
          </w:p>
          <w:p w14:paraId="1913063D">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类号</w:t>
            </w: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D70286">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标引正确率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64960BA">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16E53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51766FB3">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293D904C">
            <w:pP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3ABFBF9D">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189CF6D">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标引一致度</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75446BA">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≥90%</w:t>
            </w:r>
          </w:p>
        </w:tc>
      </w:tr>
      <w:tr w14:paraId="41C7F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37B49A4E">
            <w:pPr>
              <w:rPr>
                <w:rFonts w:hint="eastAsia" w:ascii="宋体" w:hAnsi="宋体" w:eastAsia="宋体" w:cs="宋体"/>
                <w:b w:val="0"/>
                <w:bCs w:val="0"/>
                <w:color w:val="auto"/>
                <w:sz w:val="28"/>
                <w:szCs w:val="28"/>
              </w:rPr>
            </w:pPr>
          </w:p>
        </w:tc>
        <w:tc>
          <w:tcPr>
            <w:tcW w:w="114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533215A">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印</w:t>
            </w:r>
          </w:p>
          <w:p w14:paraId="7B70CC7C">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刷</w:t>
            </w:r>
          </w:p>
          <w:p w14:paraId="075DD0A1">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版</w:t>
            </w:r>
          </w:p>
          <w:p w14:paraId="32299F48">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全</w:t>
            </w:r>
          </w:p>
          <w:p w14:paraId="568AD5C7">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文</w:t>
            </w:r>
          </w:p>
          <w:p w14:paraId="29BAF90D">
            <w:pPr>
              <w:pStyle w:val="9"/>
              <w:jc w:val="cente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68B948">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文字与灰度图像扫描分辨率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9F517A2">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不小于300dpi</w:t>
            </w:r>
          </w:p>
        </w:tc>
      </w:tr>
      <w:tr w14:paraId="79410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1E77FEB6">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7081515E">
            <w:pP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B5D0A27">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彩色图像扫描分辨率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4F2907">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不小于200dpi</w:t>
            </w:r>
          </w:p>
        </w:tc>
      </w:tr>
      <w:tr w14:paraId="2C39B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36B7EBB3">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2F4115FD">
            <w:pPr>
              <w:rPr>
                <w:rFonts w:hint="eastAsia" w:ascii="宋体" w:hAnsi="宋体" w:eastAsia="宋体" w:cs="宋体"/>
                <w:b w:val="0"/>
                <w:bCs w:val="0"/>
                <w:color w:val="auto"/>
                <w:sz w:val="28"/>
                <w:szCs w:val="28"/>
              </w:rPr>
            </w:pPr>
          </w:p>
        </w:tc>
        <w:tc>
          <w:tcPr>
            <w:tcW w:w="1188"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CDA9583">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图像打印</w:t>
            </w:r>
          </w:p>
          <w:p w14:paraId="1CAB7E83">
            <w:pPr>
              <w:pStyle w:val="9"/>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AFDEF1">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文字和灰度图像</w:t>
            </w:r>
          </w:p>
        </w:tc>
        <w:tc>
          <w:tcPr>
            <w:tcW w:w="228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958FFB3">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支持300dpi的保真打印</w:t>
            </w:r>
          </w:p>
        </w:tc>
      </w:tr>
      <w:tr w14:paraId="2F907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7ADB828A">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78DD09E9">
            <w:pPr>
              <w:rPr>
                <w:rFonts w:hint="eastAsia" w:ascii="宋体" w:hAnsi="宋体" w:eastAsia="宋体" w:cs="宋体"/>
                <w:b w:val="0"/>
                <w:bCs w:val="0"/>
                <w:color w:val="auto"/>
                <w:sz w:val="28"/>
                <w:szCs w:val="28"/>
              </w:rPr>
            </w:pPr>
          </w:p>
        </w:tc>
        <w:tc>
          <w:tcPr>
            <w:tcW w:w="1188" w:type="dxa"/>
            <w:vMerge w:val="continue"/>
            <w:tcBorders>
              <w:top w:val="nil"/>
              <w:left w:val="single" w:color="000000" w:sz="4" w:space="0"/>
              <w:bottom w:val="single" w:color="000000" w:sz="4" w:space="0"/>
              <w:right w:val="single" w:color="000000" w:sz="4" w:space="0"/>
            </w:tcBorders>
            <w:noWrap w:val="0"/>
            <w:vAlign w:val="center"/>
          </w:tcPr>
          <w:p w14:paraId="4D19561F">
            <w:pPr>
              <w:jc w:val="center"/>
              <w:rPr>
                <w:rFonts w:hint="eastAsia" w:ascii="宋体" w:hAnsi="宋体" w:eastAsia="宋体" w:cs="宋体"/>
                <w:b w:val="0"/>
                <w:bCs w:val="0"/>
                <w:color w:val="auto"/>
                <w:sz w:val="28"/>
                <w:szCs w:val="28"/>
              </w:rPr>
            </w:pPr>
          </w:p>
        </w:tc>
        <w:tc>
          <w:tcPr>
            <w:tcW w:w="274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BABA8EE">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彩色图片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6E7E7D">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支持200dpi的保真打印</w:t>
            </w:r>
          </w:p>
        </w:tc>
      </w:tr>
      <w:tr w14:paraId="5E506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307" w:type="dxa"/>
            <w:vMerge w:val="continue"/>
            <w:tcBorders>
              <w:top w:val="nil"/>
              <w:left w:val="single" w:color="000000" w:sz="4" w:space="0"/>
              <w:bottom w:val="single" w:color="000000" w:sz="4" w:space="0"/>
              <w:right w:val="single" w:color="000000" w:sz="4" w:space="0"/>
            </w:tcBorders>
            <w:noWrap w:val="0"/>
            <w:vAlign w:val="top"/>
          </w:tcPr>
          <w:p w14:paraId="5E759BC1">
            <w:pPr>
              <w:rPr>
                <w:rFonts w:hint="eastAsia" w:ascii="宋体" w:hAnsi="宋体" w:eastAsia="宋体" w:cs="宋体"/>
                <w:b w:val="0"/>
                <w:bCs w:val="0"/>
                <w:color w:val="auto"/>
                <w:sz w:val="28"/>
                <w:szCs w:val="28"/>
              </w:rPr>
            </w:pPr>
          </w:p>
        </w:tc>
        <w:tc>
          <w:tcPr>
            <w:tcW w:w="1148" w:type="dxa"/>
            <w:vMerge w:val="continue"/>
            <w:tcBorders>
              <w:top w:val="nil"/>
              <w:left w:val="single" w:color="000000" w:sz="4" w:space="0"/>
              <w:bottom w:val="single" w:color="000000" w:sz="4" w:space="0"/>
              <w:right w:val="single" w:color="000000" w:sz="4" w:space="0"/>
            </w:tcBorders>
            <w:noWrap w:val="0"/>
            <w:vAlign w:val="top"/>
          </w:tcPr>
          <w:p w14:paraId="77B89992">
            <w:pPr>
              <w:rPr>
                <w:rFonts w:hint="eastAsia" w:ascii="宋体" w:hAnsi="宋体" w:eastAsia="宋体" w:cs="宋体"/>
                <w:b w:val="0"/>
                <w:bCs w:val="0"/>
                <w:color w:val="auto"/>
                <w:sz w:val="28"/>
                <w:szCs w:val="28"/>
              </w:rPr>
            </w:pPr>
          </w:p>
        </w:tc>
        <w:tc>
          <w:tcPr>
            <w:tcW w:w="3936"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3885733">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页面错误率</w:t>
            </w:r>
          </w:p>
        </w:tc>
        <w:tc>
          <w:tcPr>
            <w:tcW w:w="228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74A1C5">
            <w:pPr>
              <w:pStyle w:val="9"/>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小于0.5‰</w:t>
            </w:r>
          </w:p>
        </w:tc>
      </w:tr>
    </w:tbl>
    <w:p w14:paraId="21891B4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（三）纸质图书采购及入库配套耗材</w:t>
      </w:r>
    </w:p>
    <w:p w14:paraId="25678FD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1.纸质图书</w:t>
      </w:r>
    </w:p>
    <w:p w14:paraId="670BC55E">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供应商需提供包含社会科学、 自然科学、综合性图书等五个基本部类的最新版纸质图书书目，以供选择。纸质图书采购总金额为2万元。</w:t>
      </w:r>
    </w:p>
    <w:p w14:paraId="403C9901">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2.入库配套耗材（磁条码和书标纸标签）</w:t>
      </w:r>
    </w:p>
    <w:p w14:paraId="36605824">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（1）磁条码和书标纸标签需适配我校图书馆现有纸质图书管理系统；</w:t>
      </w:r>
    </w:p>
    <w:p w14:paraId="4733B7D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（2）协议标准：ISO18000-6C 标准、EPC CLASS1 GEN2;</w:t>
      </w:r>
    </w:p>
    <w:p w14:paraId="6913FC9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（3）标签内存：TID:64Bit;EPC:96Bit;User:512Bit;</w:t>
      </w:r>
    </w:p>
    <w:p w14:paraId="2C3F0D78">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（4）工作频率：860～960MHz;</w:t>
      </w:r>
    </w:p>
    <w:p w14:paraId="1B9403C6">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（5）环境温度范围：-20度-70度</w:t>
      </w:r>
    </w:p>
    <w:p w14:paraId="17ADF61D">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（6）芯片使用寿命：读写10万次，有效期10年。</w:t>
      </w:r>
    </w:p>
    <w:p w14:paraId="1383D4B2">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（7）防冲突性：允许工作区间内多个标签的可靠识读；</w:t>
      </w:r>
    </w:p>
    <w:p w14:paraId="672A2DA7">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（8）有效识读距离：完全符合自助借还、盘点机、安全门等设备读取要求；标签可以非接触式的读取和写入；</w:t>
      </w:r>
    </w:p>
    <w:p w14:paraId="5D51FF8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（9）标签具有一定的抗冲突性，保证多个标签的同时可靠</w:t>
      </w:r>
      <w:r>
        <w:rPr>
          <w:rFonts w:hint="eastAsia" w:ascii="宋体" w:hAnsi="宋体" w:eastAsia="宋体" w:cs="宋体"/>
          <w:b w:val="0"/>
          <w:bCs w:val="0"/>
          <w:color w:val="auto"/>
          <w:sz w:val="28"/>
          <w:szCs w:val="28"/>
          <w:highlight w:val="none"/>
          <w:lang w:val="en-US" w:eastAsia="zh-CN"/>
        </w:rPr>
        <w:t>识别</w:t>
      </w:r>
      <w:r>
        <w:rPr>
          <w:rFonts w:hint="eastAsia" w:ascii="宋体" w:hAnsi="宋体" w:eastAsia="宋体" w:cs="宋体"/>
          <w:b w:val="0"/>
          <w:bCs w:val="0"/>
          <w:color w:val="auto"/>
          <w:sz w:val="28"/>
          <w:szCs w:val="28"/>
          <w:highlight w:val="none"/>
          <w:lang w:val="en-US" w:eastAsia="zh-Hans"/>
        </w:rPr>
        <w:t>。</w:t>
      </w:r>
    </w:p>
    <w:p w14:paraId="5D9D7CFF">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（10）标签具有较高的安全性，防止存储在其中的信息资料被泄露；</w:t>
      </w:r>
    </w:p>
    <w:p w14:paraId="591160D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（11）用户可自定义数据格式和内容，具有良好的数据扩展性；</w:t>
      </w:r>
    </w:p>
    <w:p w14:paraId="7E26213A">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（12）图书标签采用AFI或EAS位作为防盗的安全标志方法，且AFI标志位必须可以用户自由修改；</w:t>
      </w:r>
    </w:p>
    <w:p w14:paraId="66320B19">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（13）标签为自带不干胶标签,标签粘贴到位后不易撕毁、脱落</w:t>
      </w:r>
    </w:p>
    <w:p w14:paraId="094C6812">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（14）A4大小空白书标纸，每张书标纸有45个小书标。</w:t>
      </w:r>
    </w:p>
    <w:p w14:paraId="45727A80">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（15）小书标尺寸：40*26.09mm。</w:t>
      </w:r>
    </w:p>
    <w:p w14:paraId="61371D9F">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（16）入库配套耗材最少采购3500套。</w:t>
      </w:r>
    </w:p>
    <w:p w14:paraId="64FC1ED9">
      <w:pPr>
        <w:pStyle w:val="2"/>
        <w:spacing w:before="48" w:line="224" w:lineRule="auto"/>
        <w:ind w:left="530"/>
        <w:outlineLvl w:val="1"/>
        <w:rPr>
          <w:rFonts w:hint="eastAsia" w:ascii="宋体" w:hAnsi="宋体" w:eastAsia="宋体" w:cs="宋体"/>
          <w:b/>
          <w:bCs/>
          <w:color w:val="auto"/>
          <w:sz w:val="28"/>
          <w:szCs w:val="28"/>
          <w:highlight w:val="none"/>
          <w:lang w:val="en-US" w:eastAsia="zh-Hans"/>
        </w:rPr>
      </w:pPr>
      <w:r>
        <w:rPr>
          <w:rFonts w:hint="eastAsia" w:ascii="宋体" w:hAnsi="宋体" w:eastAsia="宋体" w:cs="宋体"/>
          <w:b/>
          <w:bCs/>
          <w:color w:val="auto"/>
          <w:sz w:val="28"/>
          <w:szCs w:val="28"/>
          <w:highlight w:val="none"/>
          <w:lang w:val="en-US" w:eastAsia="zh-Hans"/>
        </w:rPr>
        <w:t>四、服务要求</w:t>
      </w:r>
    </w:p>
    <w:p w14:paraId="00A19D49">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1、供应商有售后服务机构或办事处，服务期限内能够提供免费的售后服务，包含但不限于数据安装、应用培训等售后服务。</w:t>
      </w:r>
    </w:p>
    <w:p w14:paraId="4F9D714C">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2、对于学校原因造成的产品使用故障，能够提供通过电话支持、网络服务等方式，协助用户排查解决，特殊情况下可派技术人员上门协助解决。对于产品本身原因造成的使用故障由</w:t>
      </w:r>
      <w:r>
        <w:rPr>
          <w:rFonts w:hint="eastAsia" w:ascii="宋体" w:hAnsi="宋体" w:eastAsia="宋体" w:cs="宋体"/>
          <w:b w:val="0"/>
          <w:bCs w:val="0"/>
          <w:color w:val="auto"/>
          <w:sz w:val="28"/>
          <w:szCs w:val="28"/>
          <w:highlight w:val="none"/>
          <w:lang w:val="en-US" w:eastAsia="zh-CN"/>
        </w:rPr>
        <w:t>供应商</w:t>
      </w:r>
      <w:r>
        <w:rPr>
          <w:rFonts w:hint="eastAsia" w:ascii="宋体" w:hAnsi="宋体" w:eastAsia="宋体" w:cs="宋体"/>
          <w:b w:val="0"/>
          <w:bCs w:val="0"/>
          <w:color w:val="auto"/>
          <w:sz w:val="28"/>
          <w:szCs w:val="28"/>
          <w:highlight w:val="none"/>
          <w:lang w:val="en-US" w:eastAsia="zh-Hans"/>
        </w:rPr>
        <w:t>负责免费排除。</w:t>
      </w:r>
    </w:p>
    <w:p w14:paraId="795637EB">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3、使用出现故障时，工作时间内，网络服务、电话服务的响应时间小于2小时，需要上门解决时，能够在24小时内到达现场进行协调解决。</w:t>
      </w:r>
    </w:p>
    <w:p w14:paraId="7180DE31">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4、供应商能够提供产品的紧急备份访问服务，保证用户可持续使用产品。</w:t>
      </w:r>
    </w:p>
    <w:p w14:paraId="6C9365A9">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5、镜像数据丢失后，供应商能够免费提供数据丢失后的恢复服务。</w:t>
      </w:r>
      <w:bookmarkStart w:id="0" w:name="_GoBack"/>
      <w:bookmarkEnd w:id="0"/>
    </w:p>
    <w:p w14:paraId="4F91262F">
      <w:pPr>
        <w:pStyle w:val="2"/>
        <w:spacing w:before="180" w:line="240" w:lineRule="auto"/>
        <w:ind w:left="38" w:right="33" w:firstLine="485"/>
        <w:jc w:val="both"/>
        <w:rPr>
          <w:rFonts w:hint="eastAsia" w:ascii="宋体" w:hAnsi="宋体" w:eastAsia="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lang w:val="en-US" w:eastAsia="zh-Hans"/>
        </w:rPr>
        <w:t>6、提供其他系统接入、远程访问服务。</w:t>
      </w:r>
    </w:p>
    <w:p w14:paraId="5ACFEFEF">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highlight w:val="none"/>
          <w:lang w:val="en-US" w:eastAsia="zh-CN"/>
        </w:rPr>
        <w:t>备注：带“★”的参数需求为实质性要求，需提供相关证明材料，证明材料要求：不限于官网截图或用户使用说明书或技术规格书或产品彩页或加盖供应商公章的白皮书或技术规格书。未提供者按无效文件处理。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73A8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宋体" w:hAnsi="宋体" w:eastAsia="宋体" w:cs="宋体"/>
      <w:b/>
      <w:kern w:val="2"/>
      <w:sz w:val="28"/>
      <w:szCs w:val="2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Copperplate Gothic Bold" w:hAnsi="Copperplate Gothic Bold"/>
      <w:sz w:val="28"/>
    </w:rPr>
  </w:style>
  <w:style w:type="paragraph" w:styleId="3">
    <w:name w:val="toc 1"/>
    <w:basedOn w:val="1"/>
    <w:next w:val="1"/>
    <w:qFormat/>
    <w:uiPriority w:val="0"/>
    <w:pPr>
      <w:wordWrap w:val="0"/>
      <w:adjustRightInd w:val="0"/>
      <w:snapToGrid w:val="0"/>
      <w:spacing w:line="480" w:lineRule="auto"/>
    </w:pPr>
    <w:rPr>
      <w:rFonts w:ascii="宋体" w:hAnsi="宋体" w:eastAsia="宋体" w:cs="宋体"/>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8">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2026-04-21T06:34:17Z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