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0"/>
        <w:jc w:val="center"/>
        <w:rPr>
          <w:rFonts w:hint="eastAsia" w:ascii="仿宋" w:hAnsi="仿宋" w:eastAsia="仿宋" w:cs="仿宋"/>
          <w:b/>
          <w:bCs/>
          <w:color w:val="auto"/>
          <w:sz w:val="52"/>
          <w:szCs w:val="52"/>
          <w:highlight w:val="none"/>
          <w:lang w:eastAsia="zh-CN"/>
        </w:rPr>
      </w:pPr>
      <w:bookmarkStart w:id="0" w:name="_Toc519156735"/>
      <w:bookmarkStart w:id="1" w:name="_Toc495908398"/>
      <w:bookmarkStart w:id="2" w:name="_Toc268"/>
      <w:bookmarkStart w:id="3" w:name="_Toc21955"/>
    </w:p>
    <w:p w14:paraId="6CA8B685">
      <w:pPr>
        <w:pStyle w:val="1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办公用房数字化服务项目</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10"/>
      </w:pPr>
    </w:p>
    <w:p w14:paraId="49C558E6">
      <w:pPr>
        <w:pStyle w:val="10"/>
        <w:rPr>
          <w:rFonts w:ascii="仿宋" w:hAnsi="仿宋" w:eastAsia="仿宋" w:cs="仿宋"/>
          <w:sz w:val="28"/>
          <w:szCs w:val="28"/>
          <w:highlight w:val="none"/>
        </w:rPr>
      </w:pPr>
    </w:p>
    <w:p w14:paraId="5798C5D1">
      <w:pPr>
        <w:pStyle w:val="26"/>
      </w:pPr>
    </w:p>
    <w:p w14:paraId="42B5FCE2">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DRZB2026-ZC-110      </w:t>
      </w:r>
    </w:p>
    <w:p w14:paraId="32CCF603">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陕西省机关事务服务中心 </w:t>
      </w:r>
    </w:p>
    <w:p w14:paraId="6E3C2294">
      <w:pPr>
        <w:outlineLvl w:val="9"/>
        <w:rPr>
          <w:rFonts w:ascii="仿宋" w:hAnsi="仿宋" w:eastAsia="仿宋" w:cs="仿宋"/>
          <w:sz w:val="32"/>
          <w:szCs w:val="36"/>
          <w:highlight w:val="none"/>
        </w:rPr>
      </w:pPr>
    </w:p>
    <w:p w14:paraId="77E109A2">
      <w:pPr>
        <w:pStyle w:val="10"/>
      </w:pPr>
    </w:p>
    <w:p w14:paraId="728EF819">
      <w:pPr>
        <w:pStyle w:val="10"/>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decimal"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六</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三</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434CCA25">
      <w:pPr>
        <w:pStyle w:val="20"/>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_Toc30950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_Toc30950 \h </w:instrText>
      </w:r>
      <w:r>
        <w:fldChar w:fldCharType="separate"/>
      </w:r>
      <w:r>
        <w:t>1</w:t>
      </w:r>
      <w:r>
        <w:fldChar w:fldCharType="end"/>
      </w:r>
      <w:r>
        <w:rPr>
          <w:rFonts w:hint="eastAsia" w:ascii="仿宋" w:hAnsi="仿宋" w:eastAsia="仿宋" w:cs="仿宋"/>
          <w:szCs w:val="32"/>
          <w:highlight w:val="none"/>
        </w:rPr>
        <w:fldChar w:fldCharType="end"/>
      </w:r>
    </w:p>
    <w:p w14:paraId="0A08BEA8">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_Toc14070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_Toc14070 \h </w:instrText>
      </w:r>
      <w:r>
        <w:fldChar w:fldCharType="separate"/>
      </w:r>
      <w:r>
        <w:t>5</w:t>
      </w:r>
      <w:r>
        <w:fldChar w:fldCharType="end"/>
      </w:r>
      <w:r>
        <w:rPr>
          <w:rFonts w:hint="eastAsia" w:ascii="仿宋" w:hAnsi="仿宋" w:eastAsia="仿宋" w:cs="仿宋"/>
          <w:szCs w:val="32"/>
          <w:highlight w:val="none"/>
        </w:rPr>
        <w:fldChar w:fldCharType="end"/>
      </w:r>
    </w:p>
    <w:p w14:paraId="75ADD58A">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_Toc24752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_Toc24752 \h </w:instrText>
      </w:r>
      <w:r>
        <w:fldChar w:fldCharType="separate"/>
      </w:r>
      <w:r>
        <w:t>13</w:t>
      </w:r>
      <w:r>
        <w:fldChar w:fldCharType="end"/>
      </w:r>
      <w:r>
        <w:rPr>
          <w:rFonts w:hint="eastAsia" w:ascii="仿宋" w:hAnsi="仿宋" w:eastAsia="仿宋" w:cs="仿宋"/>
          <w:szCs w:val="32"/>
          <w:highlight w:val="none"/>
        </w:rPr>
        <w:fldChar w:fldCharType="end"/>
      </w:r>
    </w:p>
    <w:p w14:paraId="78ECAA86">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_Toc11254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_Toc11254 \h </w:instrText>
      </w:r>
      <w:r>
        <w:fldChar w:fldCharType="separate"/>
      </w:r>
      <w:r>
        <w:t>13</w:t>
      </w:r>
      <w:r>
        <w:fldChar w:fldCharType="end"/>
      </w:r>
      <w:r>
        <w:rPr>
          <w:rFonts w:hint="eastAsia" w:ascii="仿宋" w:hAnsi="仿宋" w:eastAsia="仿宋" w:cs="仿宋"/>
          <w:szCs w:val="32"/>
          <w:highlight w:val="none"/>
        </w:rPr>
        <w:fldChar w:fldCharType="end"/>
      </w:r>
    </w:p>
    <w:p w14:paraId="1AE09F76">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_Toc7223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_Toc7223 \h </w:instrText>
      </w:r>
      <w:r>
        <w:fldChar w:fldCharType="separate"/>
      </w:r>
      <w:r>
        <w:t>15</w:t>
      </w:r>
      <w:r>
        <w:fldChar w:fldCharType="end"/>
      </w:r>
      <w:r>
        <w:rPr>
          <w:rFonts w:hint="eastAsia" w:ascii="仿宋" w:hAnsi="仿宋" w:eastAsia="仿宋" w:cs="仿宋"/>
          <w:szCs w:val="32"/>
          <w:highlight w:val="none"/>
        </w:rPr>
        <w:fldChar w:fldCharType="end"/>
      </w:r>
    </w:p>
    <w:p w14:paraId="225E9BB4">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_Toc4841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_Toc4841 \h </w:instrText>
      </w:r>
      <w:r>
        <w:fldChar w:fldCharType="separate"/>
      </w:r>
      <w:r>
        <w:t>16</w:t>
      </w:r>
      <w:r>
        <w:fldChar w:fldCharType="end"/>
      </w:r>
      <w:r>
        <w:rPr>
          <w:rFonts w:hint="eastAsia" w:ascii="仿宋" w:hAnsi="仿宋" w:eastAsia="仿宋" w:cs="仿宋"/>
          <w:szCs w:val="32"/>
          <w:highlight w:val="none"/>
        </w:rPr>
        <w:fldChar w:fldCharType="end"/>
      </w:r>
    </w:p>
    <w:p w14:paraId="1BC2FF24">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_Toc24420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_Toc24420 \h </w:instrText>
      </w:r>
      <w:r>
        <w:fldChar w:fldCharType="separate"/>
      </w:r>
      <w:r>
        <w:t>19</w:t>
      </w:r>
      <w:r>
        <w:fldChar w:fldCharType="end"/>
      </w:r>
      <w:r>
        <w:rPr>
          <w:rFonts w:hint="eastAsia" w:ascii="仿宋" w:hAnsi="仿宋" w:eastAsia="仿宋" w:cs="仿宋"/>
          <w:szCs w:val="32"/>
          <w:highlight w:val="none"/>
        </w:rPr>
        <w:fldChar w:fldCharType="end"/>
      </w:r>
    </w:p>
    <w:p w14:paraId="1EECEF7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_Toc4975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_Toc4975 \h </w:instrText>
      </w:r>
      <w:r>
        <w:fldChar w:fldCharType="separate"/>
      </w:r>
      <w:r>
        <w:t>21</w:t>
      </w:r>
      <w:r>
        <w:fldChar w:fldCharType="end"/>
      </w:r>
      <w:r>
        <w:rPr>
          <w:rFonts w:hint="eastAsia" w:ascii="仿宋" w:hAnsi="仿宋" w:eastAsia="仿宋" w:cs="仿宋"/>
          <w:szCs w:val="32"/>
          <w:highlight w:val="none"/>
        </w:rPr>
        <w:fldChar w:fldCharType="end"/>
      </w:r>
    </w:p>
    <w:p w14:paraId="39ED1874">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_Toc26950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_Toc26950 \h </w:instrText>
      </w:r>
      <w:r>
        <w:fldChar w:fldCharType="separate"/>
      </w:r>
      <w:r>
        <w:t>22</w:t>
      </w:r>
      <w:r>
        <w:fldChar w:fldCharType="end"/>
      </w:r>
      <w:r>
        <w:rPr>
          <w:rFonts w:hint="eastAsia" w:ascii="仿宋" w:hAnsi="仿宋" w:eastAsia="仿宋" w:cs="仿宋"/>
          <w:szCs w:val="32"/>
          <w:highlight w:val="none"/>
        </w:rPr>
        <w:fldChar w:fldCharType="end"/>
      </w:r>
    </w:p>
    <w:p w14:paraId="0FD45499">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_Toc5765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_Toc5765 \h </w:instrText>
      </w:r>
      <w:r>
        <w:fldChar w:fldCharType="separate"/>
      </w:r>
      <w:r>
        <w:t>23</w:t>
      </w:r>
      <w:r>
        <w:fldChar w:fldCharType="end"/>
      </w:r>
      <w:r>
        <w:rPr>
          <w:rFonts w:hint="eastAsia" w:ascii="仿宋" w:hAnsi="仿宋" w:eastAsia="仿宋" w:cs="仿宋"/>
          <w:szCs w:val="32"/>
          <w:highlight w:val="none"/>
        </w:rPr>
        <w:fldChar w:fldCharType="end"/>
      </w:r>
    </w:p>
    <w:p w14:paraId="7ABC0E43">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_Toc13422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_Toc13422 \h </w:instrText>
      </w:r>
      <w:r>
        <w:fldChar w:fldCharType="separate"/>
      </w:r>
      <w:r>
        <w:t>24</w:t>
      </w:r>
      <w:r>
        <w:fldChar w:fldCharType="end"/>
      </w:r>
      <w:r>
        <w:rPr>
          <w:rFonts w:hint="eastAsia" w:ascii="仿宋" w:hAnsi="仿宋" w:eastAsia="仿宋" w:cs="仿宋"/>
          <w:szCs w:val="32"/>
          <w:highlight w:val="none"/>
        </w:rPr>
        <w:fldChar w:fldCharType="end"/>
      </w:r>
    </w:p>
    <w:p w14:paraId="28BD988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_Toc5109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_Toc5109 \h </w:instrText>
      </w:r>
      <w:r>
        <w:fldChar w:fldCharType="separate"/>
      </w:r>
      <w:r>
        <w:t>25</w:t>
      </w:r>
      <w:r>
        <w:fldChar w:fldCharType="end"/>
      </w:r>
      <w:r>
        <w:rPr>
          <w:rFonts w:hint="eastAsia" w:ascii="仿宋" w:hAnsi="仿宋" w:eastAsia="仿宋" w:cs="仿宋"/>
          <w:szCs w:val="32"/>
          <w:highlight w:val="none"/>
        </w:rPr>
        <w:fldChar w:fldCharType="end"/>
      </w:r>
    </w:p>
    <w:p w14:paraId="60414EE1">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_Toc2827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_Toc2827 \h </w:instrText>
      </w:r>
      <w:r>
        <w:fldChar w:fldCharType="separate"/>
      </w:r>
      <w:r>
        <w:t>28</w:t>
      </w:r>
      <w:r>
        <w:fldChar w:fldCharType="end"/>
      </w:r>
      <w:r>
        <w:rPr>
          <w:rFonts w:hint="eastAsia" w:ascii="仿宋" w:hAnsi="仿宋" w:eastAsia="仿宋" w:cs="仿宋"/>
          <w:szCs w:val="32"/>
          <w:highlight w:val="none"/>
        </w:rPr>
        <w:fldChar w:fldCharType="end"/>
      </w:r>
    </w:p>
    <w:p w14:paraId="45AE3F02">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_Toc24697 </w:instrText>
      </w:r>
      <w:r>
        <w:rPr>
          <w:rFonts w:hint="eastAsia" w:ascii="仿宋" w:hAnsi="仿宋" w:eastAsia="仿宋" w:cs="仿宋"/>
          <w:szCs w:val="32"/>
          <w:highlight w:val="none"/>
        </w:rPr>
        <w:fldChar w:fldCharType="separate"/>
      </w:r>
      <w:r>
        <w:rPr>
          <w:rFonts w:hint="eastAsia" w:ascii="仿宋" w:hAnsi="仿宋" w:eastAsia="仿宋" w:cs="仿宋"/>
          <w:bCs/>
          <w:szCs w:val="36"/>
        </w:rPr>
        <w:t>第四章</w:t>
      </w:r>
      <w:r>
        <w:rPr>
          <w:rFonts w:hint="eastAsia" w:ascii="仿宋" w:hAnsi="仿宋" w:eastAsia="仿宋" w:cs="仿宋"/>
          <w:bCs/>
          <w:szCs w:val="36"/>
          <w:lang w:val="en-US" w:eastAsia="zh-CN"/>
        </w:rPr>
        <w:t xml:space="preserve"> </w:t>
      </w:r>
      <w:r>
        <w:rPr>
          <w:rFonts w:hint="eastAsia" w:ascii="仿宋" w:hAnsi="仿宋" w:eastAsia="仿宋" w:cs="仿宋"/>
          <w:bCs/>
          <w:szCs w:val="36"/>
        </w:rPr>
        <w:t xml:space="preserve"> </w:t>
      </w:r>
      <w:r>
        <w:rPr>
          <w:rFonts w:hint="eastAsia" w:ascii="仿宋" w:hAnsi="仿宋" w:eastAsia="仿宋" w:cs="仿宋"/>
          <w:bCs/>
          <w:szCs w:val="36"/>
          <w:highlight w:val="none"/>
        </w:rPr>
        <w:t>磋商要求及说明</w:t>
      </w:r>
      <w:r>
        <w:tab/>
      </w:r>
      <w:r>
        <w:fldChar w:fldCharType="begin"/>
      </w:r>
      <w:r>
        <w:instrText xml:space="preserve"> PAGEREF _Toc24697 \h </w:instrText>
      </w:r>
      <w:r>
        <w:fldChar w:fldCharType="separate"/>
      </w:r>
      <w:r>
        <w:t>38</w:t>
      </w:r>
      <w:r>
        <w:fldChar w:fldCharType="end"/>
      </w:r>
      <w:r>
        <w:rPr>
          <w:rFonts w:hint="eastAsia" w:ascii="仿宋" w:hAnsi="仿宋" w:eastAsia="仿宋" w:cs="仿宋"/>
          <w:szCs w:val="32"/>
          <w:highlight w:val="none"/>
        </w:rPr>
        <w:fldChar w:fldCharType="end"/>
      </w:r>
    </w:p>
    <w:p w14:paraId="4BA2FC50">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_Toc32019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_Toc32019 \h </w:instrText>
      </w:r>
      <w:r>
        <w:fldChar w:fldCharType="separate"/>
      </w:r>
      <w:r>
        <w:t>41</w:t>
      </w:r>
      <w:r>
        <w:fldChar w:fldCharType="end"/>
      </w:r>
      <w:r>
        <w:rPr>
          <w:rFonts w:hint="eastAsia" w:ascii="仿宋" w:hAnsi="仿宋" w:eastAsia="仿宋" w:cs="仿宋"/>
          <w:szCs w:val="32"/>
          <w:highlight w:val="none"/>
        </w:rPr>
        <w:fldChar w:fldCharType="end"/>
      </w:r>
    </w:p>
    <w:p w14:paraId="02AA4A71">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_Toc10694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_Toc10694 \h </w:instrText>
      </w:r>
      <w:r>
        <w:fldChar w:fldCharType="separate"/>
      </w:r>
      <w:r>
        <w:t>47</w:t>
      </w:r>
      <w:r>
        <w:fldChar w:fldCharType="end"/>
      </w:r>
      <w:r>
        <w:rPr>
          <w:rFonts w:hint="eastAsia" w:ascii="仿宋" w:hAnsi="仿宋" w:eastAsia="仿宋" w:cs="仿宋"/>
          <w:szCs w:val="32"/>
          <w:highlight w:val="none"/>
        </w:rPr>
        <w:fldChar w:fldCharType="end"/>
      </w:r>
    </w:p>
    <w:p w14:paraId="7A6E5FFF">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_Toc20631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_Toc20631 \h </w:instrText>
      </w:r>
      <w:r>
        <w:fldChar w:fldCharType="separate"/>
      </w:r>
      <w:r>
        <w:t>48</w:t>
      </w:r>
      <w:r>
        <w:fldChar w:fldCharType="end"/>
      </w:r>
      <w:r>
        <w:rPr>
          <w:rFonts w:hint="eastAsia" w:ascii="仿宋" w:hAnsi="仿宋" w:eastAsia="仿宋" w:cs="仿宋"/>
          <w:szCs w:val="32"/>
          <w:highlight w:val="none"/>
        </w:rPr>
        <w:fldChar w:fldCharType="end"/>
      </w:r>
    </w:p>
    <w:p w14:paraId="0FAB7978">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_Toc30744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_Toc30744 \h </w:instrText>
      </w:r>
      <w:r>
        <w:fldChar w:fldCharType="separate"/>
      </w:r>
      <w:r>
        <w:t>50</w:t>
      </w:r>
      <w:r>
        <w:fldChar w:fldCharType="end"/>
      </w:r>
      <w:r>
        <w:rPr>
          <w:rFonts w:hint="eastAsia" w:ascii="仿宋" w:hAnsi="仿宋" w:eastAsia="仿宋" w:cs="仿宋"/>
          <w:szCs w:val="32"/>
          <w:highlight w:val="none"/>
        </w:rPr>
        <w:fldChar w:fldCharType="end"/>
      </w:r>
    </w:p>
    <w:p w14:paraId="08EE1EF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_Toc1447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_Toc1447 \h </w:instrText>
      </w:r>
      <w:r>
        <w:fldChar w:fldCharType="separate"/>
      </w:r>
      <w:r>
        <w:t>51</w:t>
      </w:r>
      <w:r>
        <w:fldChar w:fldCharType="end"/>
      </w:r>
      <w:r>
        <w:rPr>
          <w:rFonts w:hint="eastAsia" w:ascii="仿宋" w:hAnsi="仿宋" w:eastAsia="仿宋" w:cs="仿宋"/>
          <w:szCs w:val="32"/>
          <w:highlight w:val="none"/>
        </w:rPr>
        <w:fldChar w:fldCharType="end"/>
      </w:r>
    </w:p>
    <w:p w14:paraId="3D9C87F3">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_Toc2296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_Toc2296 \h </w:instrText>
      </w:r>
      <w:r>
        <w:fldChar w:fldCharType="separate"/>
      </w:r>
      <w:r>
        <w:t>52</w:t>
      </w:r>
      <w:r>
        <w:fldChar w:fldCharType="end"/>
      </w:r>
      <w:r>
        <w:rPr>
          <w:rFonts w:hint="eastAsia" w:ascii="仿宋" w:hAnsi="仿宋" w:eastAsia="仿宋" w:cs="仿宋"/>
          <w:szCs w:val="32"/>
          <w:highlight w:val="none"/>
        </w:rPr>
        <w:fldChar w:fldCharType="end"/>
      </w:r>
    </w:p>
    <w:p w14:paraId="0E3B5072">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_Toc13649 </w:instrText>
      </w:r>
      <w:r>
        <w:rPr>
          <w:rFonts w:hint="eastAsia" w:ascii="仿宋" w:hAnsi="仿宋" w:eastAsia="仿宋" w:cs="仿宋"/>
          <w:szCs w:val="32"/>
          <w:highlight w:val="none"/>
        </w:rP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_Toc13649 \h </w:instrText>
      </w:r>
      <w:r>
        <w:fldChar w:fldCharType="separate"/>
      </w:r>
      <w:r>
        <w:t>53</w:t>
      </w:r>
      <w:r>
        <w:fldChar w:fldCharType="end"/>
      </w:r>
      <w:r>
        <w:rPr>
          <w:rFonts w:hint="eastAsia" w:ascii="仿宋" w:hAnsi="仿宋" w:eastAsia="仿宋" w:cs="仿宋"/>
          <w:szCs w:val="32"/>
          <w:highlight w:val="none"/>
        </w:rPr>
        <w:fldChar w:fldCharType="end"/>
      </w:r>
    </w:p>
    <w:p w14:paraId="328D8F6C">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_Toc25005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_Toc25005 \h </w:instrText>
      </w:r>
      <w:r>
        <w:fldChar w:fldCharType="separate"/>
      </w:r>
      <w:r>
        <w:t>54</w:t>
      </w:r>
      <w:r>
        <w:fldChar w:fldCharType="end"/>
      </w:r>
      <w:r>
        <w:rPr>
          <w:rFonts w:hint="eastAsia" w:ascii="仿宋" w:hAnsi="仿宋" w:eastAsia="仿宋" w:cs="仿宋"/>
          <w:szCs w:val="32"/>
          <w:highlight w:val="none"/>
        </w:rPr>
        <w:fldChar w:fldCharType="end"/>
      </w:r>
    </w:p>
    <w:p w14:paraId="565AC534">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_Toc25871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、商务和服务偏离表</w:t>
      </w:r>
      <w:r>
        <w:tab/>
      </w:r>
      <w:r>
        <w:fldChar w:fldCharType="begin"/>
      </w:r>
      <w:r>
        <w:instrText xml:space="preserve"> PAGEREF _Toc25871 \h </w:instrText>
      </w:r>
      <w:r>
        <w:fldChar w:fldCharType="separate"/>
      </w:r>
      <w:r>
        <w:t>57</w:t>
      </w:r>
      <w:r>
        <w:fldChar w:fldCharType="end"/>
      </w:r>
      <w:r>
        <w:rPr>
          <w:rFonts w:hint="eastAsia" w:ascii="仿宋" w:hAnsi="仿宋" w:eastAsia="仿宋" w:cs="仿宋"/>
          <w:szCs w:val="32"/>
          <w:highlight w:val="none"/>
        </w:rPr>
        <w:fldChar w:fldCharType="end"/>
      </w:r>
    </w:p>
    <w:p w14:paraId="2C130B0C">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_Toc11250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_Toc11250 \h </w:instrText>
      </w:r>
      <w:r>
        <w:fldChar w:fldCharType="separate"/>
      </w:r>
      <w:r>
        <w:t>60</w:t>
      </w:r>
      <w:r>
        <w:fldChar w:fldCharType="end"/>
      </w:r>
      <w:r>
        <w:rPr>
          <w:rFonts w:hint="eastAsia" w:ascii="仿宋" w:hAnsi="仿宋" w:eastAsia="仿宋" w:cs="仿宋"/>
          <w:szCs w:val="32"/>
          <w:highlight w:val="none"/>
        </w:rPr>
        <w:fldChar w:fldCharType="end"/>
      </w:r>
    </w:p>
    <w:p w14:paraId="5305E975">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_Toc25825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_Toc25825 \h </w:instrText>
      </w:r>
      <w:r>
        <w:fldChar w:fldCharType="separate"/>
      </w:r>
      <w:r>
        <w:t>73</w:t>
      </w:r>
      <w:r>
        <w:fldChar w:fldCharType="end"/>
      </w:r>
      <w:r>
        <w:rPr>
          <w:rFonts w:hint="eastAsia" w:ascii="仿宋" w:hAnsi="仿宋" w:eastAsia="仿宋" w:cs="仿宋"/>
          <w:szCs w:val="32"/>
          <w:highlight w:val="none"/>
        </w:rPr>
        <w:fldChar w:fldCharType="end"/>
      </w:r>
    </w:p>
    <w:p w14:paraId="607AC2EC">
      <w:pPr>
        <w:pStyle w:val="25"/>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decimal"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30950"/>
      <w:bookmarkStart w:id="5" w:name="_Toc26933"/>
      <w:bookmarkStart w:id="6" w:name="_Toc519156736"/>
      <w:bookmarkStart w:id="7" w:name="_Toc8474"/>
      <w:bookmarkStart w:id="8" w:name="_Toc2990"/>
      <w:bookmarkStart w:id="9" w:name="_Toc495908399"/>
      <w:bookmarkStart w:id="10" w:name="_Toc28842"/>
      <w:r>
        <w:rPr>
          <w:rFonts w:hint="eastAsia" w:ascii="仿宋" w:hAnsi="仿宋" w:eastAsia="仿宋" w:cs="仿宋"/>
          <w:b/>
          <w:bCs/>
          <w:sz w:val="36"/>
          <w:szCs w:val="36"/>
          <w:highlight w:val="none"/>
        </w:rPr>
        <w:t>第一章  竞争性磋商公告</w:t>
      </w:r>
      <w:bookmarkEnd w:id="4"/>
    </w:p>
    <w:p w14:paraId="71DA7953">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ascii="仿宋" w:hAnsi="仿宋" w:eastAsia="仿宋" w:cs="仿宋"/>
          <w:b w:val="0"/>
          <w:bCs w:val="0"/>
          <w:color w:val="auto"/>
          <w:highlight w:val="none"/>
        </w:rPr>
      </w:pPr>
      <w:r>
        <w:rPr>
          <w:rStyle w:val="35"/>
          <w:rFonts w:hint="eastAsia" w:ascii="仿宋" w:hAnsi="仿宋" w:eastAsia="仿宋" w:cs="仿宋"/>
          <w:b/>
          <w:bCs/>
          <w:color w:val="auto"/>
          <w:highlight w:val="none"/>
        </w:rPr>
        <w:t>项目概况</w:t>
      </w:r>
    </w:p>
    <w:p w14:paraId="25753298">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办公用房数字化服务项目</w:t>
      </w:r>
      <w:r>
        <w:rPr>
          <w:rFonts w:hint="eastAsia" w:ascii="仿宋" w:hAnsi="仿宋" w:eastAsia="仿宋" w:cs="仿宋"/>
          <w:color w:val="auto"/>
          <w:highlight w:val="none"/>
        </w:rPr>
        <w:t>的潜在供应商应在西安市唐延路37号class公馆B栋1103室获取采购文件，并于 2026年04月20日14时00分（北京时间）前提交响应文件。</w:t>
      </w:r>
    </w:p>
    <w:p w14:paraId="6E8858EF">
      <w:pPr>
        <w:pStyle w:val="3"/>
        <w:bidi w:val="0"/>
        <w:jc w:val="left"/>
        <w:rPr>
          <w:rFonts w:ascii="仿宋" w:hAnsi="仿宋" w:eastAsia="仿宋" w:cs="仿宋"/>
          <w:b w:val="0"/>
          <w:color w:val="auto"/>
          <w:sz w:val="24"/>
          <w:highlight w:val="none"/>
        </w:rPr>
      </w:pPr>
      <w:bookmarkStart w:id="11" w:name="_Toc5615"/>
      <w:bookmarkStart w:id="12" w:name="_Toc23706"/>
      <w:bookmarkStart w:id="13" w:name="_Toc1435"/>
      <w:bookmarkStart w:id="14" w:name="_Toc24628"/>
      <w:r>
        <w:rPr>
          <w:rStyle w:val="35"/>
          <w:rFonts w:hint="eastAsia" w:ascii="仿宋" w:hAnsi="仿宋" w:eastAsia="仿宋" w:cs="仿宋"/>
          <w:b/>
          <w:bCs/>
          <w:color w:val="auto"/>
          <w:spacing w:val="0"/>
          <w:sz w:val="24"/>
          <w:highlight w:val="none"/>
        </w:rPr>
        <w:t>一、项目基本情况</w:t>
      </w:r>
      <w:bookmarkEnd w:id="11"/>
      <w:bookmarkEnd w:id="12"/>
      <w:bookmarkEnd w:id="13"/>
      <w:bookmarkEnd w:id="14"/>
    </w:p>
    <w:p w14:paraId="6A853D0F">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：DRZB2026-ZC-110</w:t>
      </w:r>
    </w:p>
    <w:p w14:paraId="35361FE7">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办公用房数字化服务项目</w:t>
      </w:r>
    </w:p>
    <w:p w14:paraId="54DAFEB2">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3C6A25B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highlight w:val="none"/>
          <w:lang w:val="en-US" w:eastAsia="zh-CN"/>
        </w:rPr>
        <w:t>450000.00</w:t>
      </w:r>
      <w:r>
        <w:rPr>
          <w:rFonts w:hint="eastAsia" w:ascii="仿宋" w:hAnsi="仿宋" w:eastAsia="仿宋" w:cs="仿宋"/>
          <w:color w:val="auto"/>
          <w:highlight w:val="none"/>
        </w:rPr>
        <w:t>元</w:t>
      </w:r>
    </w:p>
    <w:p w14:paraId="521FC50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办公用房数字化服务项目</w:t>
      </w:r>
      <w:r>
        <w:rPr>
          <w:rFonts w:hint="eastAsia" w:ascii="仿宋" w:hAnsi="仿宋" w:eastAsia="仿宋" w:cs="仿宋"/>
          <w:color w:val="auto"/>
          <w:highlight w:val="none"/>
        </w:rPr>
        <w:t>):</w:t>
      </w:r>
    </w:p>
    <w:p w14:paraId="56296AE3">
      <w:pPr>
        <w:pStyle w:val="28"/>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highlight w:val="none"/>
          <w:lang w:val="en-US" w:eastAsia="zh-CN"/>
        </w:rPr>
        <w:t>450000.00元</w:t>
      </w:r>
    </w:p>
    <w:p w14:paraId="046DEEC3">
      <w:pPr>
        <w:pStyle w:val="28"/>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highlight w:val="none"/>
          <w:lang w:val="en-US" w:eastAsia="zh-CN"/>
        </w:rPr>
        <w:t>450000.00元</w:t>
      </w:r>
    </w:p>
    <w:tbl>
      <w:tblPr>
        <w:tblStyle w:val="32"/>
        <w:tblW w:w="498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1"/>
        <w:gridCol w:w="779"/>
        <w:gridCol w:w="1747"/>
        <w:gridCol w:w="1425"/>
        <w:gridCol w:w="1699"/>
        <w:gridCol w:w="1499"/>
        <w:gridCol w:w="1514"/>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33196">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品目</w:t>
            </w:r>
          </w:p>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名称</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40C8A">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数量</w:t>
            </w:r>
          </w:p>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档案管理服务</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办公用房数字化服务项目</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办公用房数字化服务项目，</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450000.00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450000.00</w:t>
            </w:r>
          </w:p>
        </w:tc>
      </w:tr>
    </w:tbl>
    <w:p w14:paraId="732CDB64">
      <w:pPr>
        <w:pStyle w:val="28"/>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8"/>
        <w:wordWrap w:val="0"/>
        <w:spacing w:beforeAutospacing="0" w:afterAutospacing="0" w:line="360" w:lineRule="auto"/>
        <w:ind w:firstLine="63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：供应商应在2026年9月30日之前完成中标测量面积全部实测工作，并提交成果报告、测量数据等相关资料</w:t>
      </w:r>
      <w:r>
        <w:rPr>
          <w:rFonts w:hint="eastAsia" w:ascii="仿宋" w:hAnsi="仿宋" w:eastAsia="仿宋" w:cs="仿宋"/>
          <w:color w:val="auto"/>
          <w:highlight w:val="none"/>
          <w:lang w:eastAsia="zh-CN"/>
        </w:rPr>
        <w:t>。</w:t>
      </w:r>
    </w:p>
    <w:p w14:paraId="3903B2CC">
      <w:pPr>
        <w:pStyle w:val="3"/>
        <w:bidi w:val="0"/>
        <w:ind w:firstLine="482" w:firstLineChars="200"/>
        <w:jc w:val="left"/>
        <w:rPr>
          <w:rStyle w:val="35"/>
          <w:rFonts w:hint="eastAsia" w:ascii="仿宋" w:hAnsi="仿宋" w:eastAsia="仿宋" w:cs="仿宋"/>
          <w:b/>
          <w:bCs/>
          <w:color w:val="auto"/>
          <w:spacing w:val="0"/>
          <w:sz w:val="24"/>
          <w:highlight w:val="none"/>
        </w:rPr>
      </w:pPr>
      <w:bookmarkStart w:id="15" w:name="_Toc4793"/>
      <w:bookmarkStart w:id="16" w:name="_Toc31323"/>
      <w:bookmarkStart w:id="17" w:name="_Toc7475"/>
      <w:bookmarkStart w:id="18" w:name="_Toc12985"/>
      <w:r>
        <w:rPr>
          <w:rStyle w:val="35"/>
          <w:rFonts w:hint="eastAsia" w:ascii="仿宋" w:hAnsi="仿宋" w:eastAsia="仿宋" w:cs="仿宋"/>
          <w:b/>
          <w:bCs/>
          <w:color w:val="auto"/>
          <w:spacing w:val="0"/>
          <w:sz w:val="24"/>
          <w:highlight w:val="none"/>
        </w:rPr>
        <w:t>二、申请人的资格要求：</w:t>
      </w:r>
      <w:bookmarkEnd w:id="15"/>
      <w:bookmarkEnd w:id="16"/>
      <w:bookmarkEnd w:id="17"/>
      <w:bookmarkEnd w:id="18"/>
    </w:p>
    <w:p w14:paraId="36FF775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7D0CBBA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yellow"/>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办公用房数字化服务项目</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本项目专门面向中小企业采购</w:t>
      </w:r>
      <w:r>
        <w:rPr>
          <w:rFonts w:hint="eastAsia" w:ascii="仿宋" w:hAnsi="仿宋" w:eastAsia="仿宋" w:cs="仿宋"/>
          <w:color w:val="auto"/>
          <w:sz w:val="24"/>
          <w:highlight w:val="none"/>
          <w:lang w:val="en-US" w:eastAsia="zh-CN"/>
        </w:rPr>
        <w:t>。</w:t>
      </w:r>
    </w:p>
    <w:p w14:paraId="63B4D570">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办公用房数字化服务项目</w:t>
      </w:r>
      <w:r>
        <w:rPr>
          <w:rFonts w:hint="eastAsia" w:ascii="仿宋" w:hAnsi="仿宋" w:eastAsia="仿宋" w:cs="仿宋"/>
          <w:color w:val="auto"/>
          <w:highlight w:val="none"/>
        </w:rPr>
        <w:t>)特定资格要求如下:</w:t>
      </w:r>
    </w:p>
    <w:p w14:paraId="4FD1852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2、财务状况报告：提供完整的2024年度经审计的财务报告，审计报告应当经过注册会计师行业统一监管平台备案赋码（成立时间至提交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文件截止时间不足一年的可提供成立后任意时段的资产负债表），或其递交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文件截止之日前三个月内基本开户银行出具的资信证明，或信用担保机构出具的</w:t>
      </w:r>
      <w:r>
        <w:rPr>
          <w:rFonts w:hint="eastAsia" w:ascii="仿宋" w:hAnsi="仿宋" w:eastAsia="仿宋" w:cs="仿宋"/>
          <w:i w:val="0"/>
          <w:iCs w:val="0"/>
          <w:caps w:val="0"/>
          <w:color w:val="auto"/>
          <w:spacing w:val="0"/>
          <w:sz w:val="24"/>
          <w:szCs w:val="24"/>
          <w:highlight w:val="none"/>
          <w:lang w:val="en-US" w:eastAsia="zh-CN"/>
        </w:rPr>
        <w:t>磋商</w:t>
      </w:r>
      <w:r>
        <w:rPr>
          <w:rFonts w:hint="eastAsia" w:ascii="仿宋" w:hAnsi="仿宋" w:eastAsia="仿宋" w:cs="仿宋"/>
          <w:i w:val="0"/>
          <w:iCs w:val="0"/>
          <w:caps w:val="0"/>
          <w:color w:val="auto"/>
          <w:spacing w:val="0"/>
          <w:sz w:val="24"/>
          <w:szCs w:val="24"/>
          <w:highlight w:val="none"/>
        </w:rPr>
        <w:t>担保函（以上三种形式的资料提供任何一种即可）</w:t>
      </w:r>
      <w:r>
        <w:rPr>
          <w:rFonts w:hint="eastAsia" w:ascii="仿宋" w:hAnsi="仿宋" w:eastAsia="仿宋" w:cs="仿宋"/>
          <w:i w:val="0"/>
          <w:iCs w:val="0"/>
          <w:caps w:val="0"/>
          <w:color w:val="auto"/>
          <w:spacing w:val="0"/>
          <w:sz w:val="24"/>
          <w:szCs w:val="24"/>
          <w:highlight w:val="none"/>
          <w:lang w:eastAsia="zh-CN"/>
        </w:rPr>
        <w:t>；</w:t>
      </w:r>
    </w:p>
    <w:p w14:paraId="31F1040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highlight w:val="none"/>
          <w:lang w:eastAsia="zh-CN"/>
        </w:rPr>
        <w:t>；</w:t>
      </w:r>
    </w:p>
    <w:p w14:paraId="404C08B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auto"/>
          <w:spacing w:val="0"/>
          <w:sz w:val="24"/>
          <w:szCs w:val="24"/>
          <w:highlight w:val="none"/>
          <w:lang w:eastAsia="zh-CN"/>
        </w:rPr>
        <w:t>；</w:t>
      </w:r>
    </w:p>
    <w:p w14:paraId="66EF50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5、提供具有履行本合同所必需的专业技术能力的书面声明</w:t>
      </w:r>
      <w:r>
        <w:rPr>
          <w:rFonts w:hint="eastAsia" w:ascii="仿宋" w:hAnsi="仿宋" w:eastAsia="仿宋" w:cs="仿宋"/>
          <w:i w:val="0"/>
          <w:iCs w:val="0"/>
          <w:caps w:val="0"/>
          <w:color w:val="auto"/>
          <w:spacing w:val="0"/>
          <w:sz w:val="24"/>
          <w:szCs w:val="24"/>
          <w:highlight w:val="none"/>
          <w:lang w:eastAsia="zh-CN"/>
        </w:rPr>
        <w:t>；</w:t>
      </w:r>
    </w:p>
    <w:p w14:paraId="001D58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6、参加本次政府采购活动前3年内在经营活动中没有重大违纪，以及未被列入失信被执行人、重大税收违法失信主体、政府采购严重违法失信行为记录名单的书面声明；</w:t>
      </w:r>
    </w:p>
    <w:p w14:paraId="549A7F5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7、法定代表人直接参加磋商的，须出具法定代表人身份证明书及身份证；授权代表参加磋商的，须出具法定代表人授权书及授权代表身份证；</w:t>
      </w:r>
    </w:p>
    <w:p w14:paraId="410F640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9、供应商关联关系声明，包括：①控股管理关系（不得与参加本项目的其他供应商单位负责人为同一人或者存在直接控股、管理关系），②未为本项目提供整体设计、规范编制或者项目管理、监理、检测等服务；</w:t>
      </w:r>
    </w:p>
    <w:p w14:paraId="631ABC2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10、供应商须具有国家测绘行政主管部门颁发的测绘乙级及以上资质，且专业类别内包含界线与不动产测绘；</w:t>
      </w:r>
    </w:p>
    <w:p w14:paraId="5D7A9C3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11、本项目专门面向中小企业采购，供应商提供中小企业声明函；</w:t>
      </w:r>
    </w:p>
    <w:p w14:paraId="2F27EEF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本项目不接受联合体响应</w:t>
      </w:r>
      <w:r>
        <w:rPr>
          <w:rFonts w:hint="eastAsia" w:ascii="仿宋" w:hAnsi="仿宋" w:eastAsia="仿宋" w:cs="仿宋"/>
          <w:i w:val="0"/>
          <w:iCs w:val="0"/>
          <w:caps w:val="0"/>
          <w:color w:val="auto"/>
          <w:spacing w:val="0"/>
          <w:sz w:val="24"/>
          <w:szCs w:val="24"/>
          <w:highlight w:val="none"/>
          <w:lang w:eastAsia="zh-CN"/>
        </w:rPr>
        <w:t>。</w:t>
      </w:r>
    </w:p>
    <w:p w14:paraId="2D244505">
      <w:pPr>
        <w:pStyle w:val="3"/>
        <w:bidi w:val="0"/>
        <w:jc w:val="left"/>
        <w:rPr>
          <w:rStyle w:val="35"/>
          <w:rFonts w:hint="eastAsia" w:ascii="仿宋" w:hAnsi="仿宋" w:eastAsia="仿宋" w:cs="仿宋"/>
          <w:b/>
          <w:bCs/>
          <w:color w:val="auto"/>
          <w:spacing w:val="0"/>
          <w:sz w:val="24"/>
          <w:highlight w:val="none"/>
        </w:rPr>
      </w:pPr>
      <w:bookmarkStart w:id="19" w:name="_Toc30844"/>
      <w:bookmarkStart w:id="20" w:name="_Toc22895"/>
      <w:bookmarkStart w:id="21" w:name="_Toc5294"/>
      <w:bookmarkStart w:id="22" w:name="_Toc16671"/>
      <w:r>
        <w:rPr>
          <w:rStyle w:val="35"/>
          <w:rFonts w:hint="eastAsia" w:ascii="仿宋" w:hAnsi="仿宋" w:eastAsia="仿宋" w:cs="仿宋"/>
          <w:b/>
          <w:bCs/>
          <w:color w:val="auto"/>
          <w:spacing w:val="0"/>
          <w:sz w:val="24"/>
          <w:highlight w:val="none"/>
        </w:rPr>
        <w:t>三、获取采购文件</w:t>
      </w:r>
      <w:bookmarkEnd w:id="19"/>
      <w:bookmarkEnd w:id="20"/>
      <w:bookmarkEnd w:id="21"/>
      <w:bookmarkEnd w:id="22"/>
    </w:p>
    <w:p w14:paraId="450B3C68">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时间：2026年04月07日 至 2026年04月14日 ，每天上午 09:00:00 至 12:00:00 ，下午 14:00:00 至 17:00:00 （北京时间,法定节假日除外）</w:t>
      </w:r>
    </w:p>
    <w:p w14:paraId="6C1C80EB">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6CCA608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3"/>
        <w:bidi w:val="0"/>
        <w:jc w:val="left"/>
        <w:rPr>
          <w:rStyle w:val="35"/>
          <w:rFonts w:hint="eastAsia" w:ascii="仿宋" w:hAnsi="仿宋" w:eastAsia="仿宋" w:cs="仿宋"/>
          <w:b/>
          <w:bCs/>
          <w:color w:val="auto"/>
          <w:spacing w:val="0"/>
          <w:sz w:val="24"/>
          <w:highlight w:val="none"/>
        </w:rPr>
      </w:pPr>
      <w:bookmarkStart w:id="23" w:name="_Toc32064"/>
      <w:bookmarkStart w:id="24" w:name="_Toc4241"/>
      <w:bookmarkStart w:id="25" w:name="_Toc1364"/>
      <w:bookmarkStart w:id="26" w:name="_Toc16482"/>
      <w:r>
        <w:rPr>
          <w:rStyle w:val="35"/>
          <w:rFonts w:hint="eastAsia" w:ascii="仿宋" w:hAnsi="仿宋" w:eastAsia="仿宋" w:cs="仿宋"/>
          <w:b/>
          <w:bCs/>
          <w:color w:val="auto"/>
          <w:spacing w:val="0"/>
          <w:sz w:val="24"/>
          <w:highlight w:val="none"/>
        </w:rPr>
        <w:t>四、响应文件提交</w:t>
      </w:r>
      <w:bookmarkEnd w:id="23"/>
      <w:bookmarkEnd w:id="24"/>
      <w:bookmarkEnd w:id="25"/>
      <w:bookmarkEnd w:id="26"/>
    </w:p>
    <w:p w14:paraId="70501ED6">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截止时间：2026年04月20日14时00分</w:t>
      </w:r>
      <w:r>
        <w:rPr>
          <w:rFonts w:hint="eastAsia" w:ascii="仿宋" w:hAnsi="仿宋" w:eastAsia="仿宋" w:cs="仿宋"/>
          <w:color w:val="auto"/>
          <w:highlight w:val="none"/>
          <w:lang w:val="en-US" w:eastAsia="zh-CN"/>
        </w:rPr>
        <w:t>（北京时间）</w:t>
      </w:r>
    </w:p>
    <w:p w14:paraId="1E3E862A">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3"/>
        <w:bidi w:val="0"/>
        <w:jc w:val="left"/>
        <w:rPr>
          <w:rStyle w:val="35"/>
          <w:rFonts w:hint="eastAsia" w:ascii="仿宋" w:hAnsi="仿宋" w:eastAsia="仿宋" w:cs="仿宋"/>
          <w:b/>
          <w:bCs/>
          <w:color w:val="auto"/>
          <w:spacing w:val="0"/>
          <w:sz w:val="24"/>
          <w:highlight w:val="none"/>
        </w:rPr>
      </w:pPr>
      <w:bookmarkStart w:id="27" w:name="_Toc2316"/>
      <w:bookmarkStart w:id="28" w:name="_Toc27871"/>
      <w:bookmarkStart w:id="29" w:name="_Toc3312"/>
      <w:bookmarkStart w:id="30" w:name="_Toc26452"/>
      <w:r>
        <w:rPr>
          <w:rStyle w:val="35"/>
          <w:rFonts w:hint="eastAsia" w:ascii="仿宋" w:hAnsi="仿宋" w:eastAsia="仿宋" w:cs="仿宋"/>
          <w:b/>
          <w:bCs/>
          <w:color w:val="auto"/>
          <w:spacing w:val="0"/>
          <w:sz w:val="24"/>
          <w:highlight w:val="none"/>
        </w:rPr>
        <w:t>五、开启</w:t>
      </w:r>
      <w:bookmarkEnd w:id="27"/>
      <w:bookmarkEnd w:id="28"/>
      <w:bookmarkEnd w:id="29"/>
      <w:bookmarkEnd w:id="30"/>
    </w:p>
    <w:p w14:paraId="194D0CF9">
      <w:pPr>
        <w:pStyle w:val="28"/>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时间：2026年04月20日14时00分</w:t>
      </w:r>
      <w:r>
        <w:rPr>
          <w:rFonts w:hint="eastAsia" w:ascii="仿宋" w:hAnsi="仿宋" w:eastAsia="仿宋" w:cs="仿宋"/>
          <w:color w:val="auto"/>
          <w:highlight w:val="none"/>
          <w:lang w:val="en-US" w:eastAsia="zh-CN"/>
        </w:rPr>
        <w:t>（北京时间）</w:t>
      </w:r>
    </w:p>
    <w:p w14:paraId="377BEDDD">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3"/>
        <w:bidi w:val="0"/>
        <w:jc w:val="left"/>
        <w:rPr>
          <w:rStyle w:val="35"/>
          <w:rFonts w:hint="eastAsia" w:ascii="仿宋" w:hAnsi="仿宋" w:eastAsia="仿宋" w:cs="仿宋"/>
          <w:b/>
          <w:bCs/>
          <w:color w:val="auto"/>
          <w:spacing w:val="0"/>
          <w:sz w:val="24"/>
          <w:highlight w:val="none"/>
        </w:rPr>
      </w:pPr>
      <w:bookmarkStart w:id="31" w:name="_Toc9953"/>
      <w:bookmarkStart w:id="32" w:name="_Toc3451"/>
      <w:bookmarkStart w:id="33" w:name="_Toc14644"/>
      <w:bookmarkStart w:id="34" w:name="_Toc12381"/>
      <w:r>
        <w:rPr>
          <w:rStyle w:val="35"/>
          <w:rFonts w:hint="eastAsia" w:ascii="仿宋" w:hAnsi="仿宋" w:eastAsia="仿宋" w:cs="仿宋"/>
          <w:b/>
          <w:bCs/>
          <w:color w:val="auto"/>
          <w:spacing w:val="0"/>
          <w:sz w:val="24"/>
          <w:highlight w:val="none"/>
        </w:rPr>
        <w:t>六、公告期限</w:t>
      </w:r>
      <w:bookmarkEnd w:id="31"/>
      <w:bookmarkEnd w:id="32"/>
      <w:bookmarkEnd w:id="33"/>
      <w:bookmarkEnd w:id="34"/>
    </w:p>
    <w:p w14:paraId="0AB255A7">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3"/>
        <w:bidi w:val="0"/>
        <w:jc w:val="left"/>
        <w:rPr>
          <w:rStyle w:val="35"/>
          <w:rFonts w:hint="eastAsia" w:ascii="仿宋" w:hAnsi="仿宋" w:eastAsia="仿宋" w:cs="仿宋"/>
          <w:b/>
          <w:bCs/>
          <w:color w:val="auto"/>
          <w:spacing w:val="0"/>
          <w:sz w:val="24"/>
          <w:highlight w:val="none"/>
        </w:rPr>
      </w:pPr>
      <w:bookmarkStart w:id="35" w:name="_Toc15310"/>
      <w:bookmarkStart w:id="36" w:name="_Toc24997"/>
      <w:bookmarkStart w:id="37" w:name="_Toc21699"/>
      <w:bookmarkStart w:id="38" w:name="_Toc22371"/>
      <w:r>
        <w:rPr>
          <w:rStyle w:val="35"/>
          <w:rFonts w:hint="eastAsia" w:ascii="仿宋" w:hAnsi="仿宋" w:eastAsia="仿宋" w:cs="仿宋"/>
          <w:b/>
          <w:bCs/>
          <w:color w:val="auto"/>
          <w:spacing w:val="0"/>
          <w:sz w:val="24"/>
          <w:highlight w:val="none"/>
        </w:rPr>
        <w:t>七、其他补充事宜</w:t>
      </w:r>
      <w:bookmarkEnd w:id="35"/>
      <w:bookmarkEnd w:id="36"/>
      <w:bookmarkEnd w:id="37"/>
      <w:bookmarkEnd w:id="38"/>
    </w:p>
    <w:p w14:paraId="27108CD9">
      <w:pPr>
        <w:pStyle w:val="28"/>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1、购买采购文件时需携带经办人单位介绍信或授权委托书、身份证原件及复印件加盖公章，采购文件售后不退；</w:t>
      </w:r>
    </w:p>
    <w:p w14:paraId="4C1F8AFD">
      <w:pPr>
        <w:pStyle w:val="28"/>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2、开户名称：陕西德仁招标有限公司； 开户银行：招商银行股份有限公司西安城南支行； 账 号：1299 0904 6810 901；</w:t>
      </w:r>
    </w:p>
    <w:p w14:paraId="0A5BB6C8">
      <w:pPr>
        <w:pStyle w:val="28"/>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3、</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01AA3AAB">
      <w:pPr>
        <w:pStyle w:val="28"/>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E3F5722">
      <w:pPr>
        <w:pStyle w:val="3"/>
        <w:bidi w:val="0"/>
        <w:jc w:val="left"/>
        <w:rPr>
          <w:rStyle w:val="35"/>
          <w:rFonts w:hint="eastAsia" w:ascii="仿宋" w:hAnsi="仿宋" w:eastAsia="仿宋" w:cs="仿宋"/>
          <w:b/>
          <w:bCs/>
          <w:color w:val="auto"/>
          <w:spacing w:val="0"/>
          <w:sz w:val="24"/>
          <w:highlight w:val="none"/>
        </w:rPr>
      </w:pPr>
      <w:bookmarkStart w:id="39" w:name="_Toc7533"/>
      <w:bookmarkStart w:id="40" w:name="_Toc9787"/>
      <w:bookmarkStart w:id="41" w:name="_Toc20507"/>
      <w:bookmarkStart w:id="42" w:name="_Toc21535"/>
      <w:r>
        <w:rPr>
          <w:rStyle w:val="35"/>
          <w:rFonts w:hint="eastAsia" w:ascii="仿宋" w:hAnsi="仿宋" w:eastAsia="仿宋" w:cs="仿宋"/>
          <w:b/>
          <w:bCs/>
          <w:color w:val="auto"/>
          <w:spacing w:val="0"/>
          <w:sz w:val="24"/>
          <w:highlight w:val="none"/>
        </w:rPr>
        <w:t>八、凡对本次采购提出询问，请按以下方式联系。</w:t>
      </w:r>
      <w:bookmarkEnd w:id="39"/>
      <w:bookmarkEnd w:id="40"/>
      <w:bookmarkEnd w:id="41"/>
      <w:bookmarkEnd w:id="42"/>
    </w:p>
    <w:p w14:paraId="2996510C">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8"/>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陕西省机关事务服务中心</w:t>
      </w:r>
    </w:p>
    <w:p w14:paraId="61E63C5E">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地址：西安市新城大院</w:t>
      </w:r>
      <w:r>
        <w:rPr>
          <w:rFonts w:hint="eastAsia" w:ascii="仿宋" w:hAnsi="仿宋" w:eastAsia="仿宋" w:cs="仿宋"/>
          <w:color w:val="auto"/>
          <w:highlight w:val="none"/>
          <w:lang w:val="en-US" w:eastAsia="zh-CN"/>
        </w:rPr>
        <w:t>5号楼</w:t>
      </w:r>
    </w:p>
    <w:p w14:paraId="5F167AA4">
      <w:pPr>
        <w:pStyle w:val="28"/>
        <w:wordWrap w:val="0"/>
        <w:spacing w:beforeAutospacing="0" w:afterAutospacing="0" w:line="360" w:lineRule="auto"/>
        <w:ind w:firstLine="480"/>
        <w:jc w:val="both"/>
        <w:rPr>
          <w:rFonts w:hint="eastAsia" w:ascii="仿宋" w:hAnsi="仿宋" w:eastAsia="仿宋" w:cs="仿宋"/>
          <w:color w:val="auto"/>
          <w:highlight w:val="yellow"/>
          <w:lang w:val="en-US" w:eastAsia="zh-CN"/>
        </w:rPr>
      </w:pPr>
      <w:r>
        <w:rPr>
          <w:rFonts w:hint="eastAsia" w:ascii="仿宋" w:hAnsi="仿宋" w:eastAsia="仿宋" w:cs="仿宋"/>
          <w:color w:val="auto"/>
          <w:highlight w:val="none"/>
        </w:rPr>
        <w:t>联系方式：029-6391267</w:t>
      </w:r>
      <w:r>
        <w:rPr>
          <w:rFonts w:hint="eastAsia" w:ascii="仿宋" w:hAnsi="仿宋" w:eastAsia="仿宋" w:cs="仿宋"/>
          <w:color w:val="auto"/>
          <w:highlight w:val="none"/>
          <w:lang w:val="en-US" w:eastAsia="zh-CN"/>
        </w:rPr>
        <w:t>9</w:t>
      </w:r>
    </w:p>
    <w:p w14:paraId="1956C26B">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w:t>
      </w:r>
      <w:r>
        <w:rPr>
          <w:rFonts w:hint="eastAsia" w:ascii="仿宋" w:hAnsi="仿宋" w:eastAsia="仿宋" w:cs="仿宋"/>
          <w:b w:val="0"/>
          <w:bCs w:val="0"/>
          <w:color w:val="auto"/>
          <w:highlight w:val="none"/>
          <w:lang w:eastAsia="zh-CN"/>
        </w:rPr>
        <w:t>采购</w:t>
      </w:r>
      <w:r>
        <w:rPr>
          <w:rFonts w:hint="eastAsia" w:ascii="仿宋" w:hAnsi="仿宋" w:eastAsia="仿宋" w:cs="仿宋"/>
          <w:b w:val="0"/>
          <w:bCs w:val="0"/>
          <w:color w:val="auto"/>
          <w:highlight w:val="none"/>
        </w:rPr>
        <w:t>代理机构信息</w:t>
      </w:r>
    </w:p>
    <w:p w14:paraId="0EEC262C">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项目联系人：贺培文、张海燕、赵璐、苏庆春</w:t>
      </w:r>
    </w:p>
    <w:p w14:paraId="51A05F2F">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34E758C3">
      <w:pPr>
        <w:pStyle w:val="28"/>
        <w:wordWrap w:val="0"/>
        <w:spacing w:beforeAutospacing="0" w:afterAutospacing="0" w:line="360" w:lineRule="auto"/>
        <w:ind w:firstLine="480"/>
        <w:jc w:val="both"/>
        <w:rPr>
          <w:rFonts w:ascii="仿宋" w:hAnsi="仿宋" w:eastAsia="仿宋" w:cs="仿宋"/>
          <w:highlight w:val="none"/>
        </w:rPr>
      </w:pPr>
    </w:p>
    <w:p w14:paraId="53F6B54E">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1E42EE">
      <w:pPr>
        <w:jc w:val="center"/>
        <w:outlineLvl w:val="0"/>
        <w:rPr>
          <w:rFonts w:ascii="仿宋" w:hAnsi="仿宋" w:eastAsia="仿宋" w:cs="仿宋"/>
          <w:b/>
          <w:bCs/>
          <w:sz w:val="36"/>
          <w:szCs w:val="36"/>
          <w:highlight w:val="none"/>
        </w:rPr>
      </w:pPr>
      <w:bookmarkStart w:id="43" w:name="_Toc14070"/>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43"/>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14:paraId="5BD061C8">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F77774C">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47F1882">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01B64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color w:val="auto"/>
                <w:highlight w:val="none"/>
                <w:lang w:eastAsia="zh-CN"/>
              </w:rPr>
              <w:t>陕西省机关事务服务中心</w:t>
            </w:r>
          </w:p>
          <w:p w14:paraId="48D8846A">
            <w:pPr>
              <w:spacing w:line="440" w:lineRule="exact"/>
              <w:rPr>
                <w:rFonts w:hint="eastAsia" w:ascii="仿宋" w:hAnsi="仿宋" w:eastAsia="仿宋" w:cs="仿宋"/>
                <w:color w:val="auto"/>
                <w:highlight w:val="none"/>
                <w:lang w:eastAsia="zh-CN"/>
              </w:rPr>
            </w:pPr>
            <w:r>
              <w:rPr>
                <w:rFonts w:hint="eastAsia" w:ascii="仿宋" w:hAnsi="仿宋" w:eastAsia="仿宋" w:cs="仿宋"/>
                <w:highlight w:val="none"/>
              </w:rPr>
              <w:t xml:space="preserve">地 </w:t>
            </w:r>
            <w:r>
              <w:rPr>
                <w:rFonts w:hint="eastAsia" w:ascii="仿宋" w:hAnsi="仿宋" w:eastAsia="仿宋" w:cs="仿宋"/>
                <w:color w:val="auto"/>
                <w:highlight w:val="none"/>
                <w:lang w:eastAsia="zh-CN"/>
              </w:rPr>
              <w:t xml:space="preserve"> 址：</w:t>
            </w:r>
            <w:r>
              <w:rPr>
                <w:rFonts w:hint="eastAsia" w:ascii="仿宋" w:hAnsi="仿宋" w:eastAsia="仿宋" w:cs="仿宋"/>
                <w:color w:val="auto"/>
                <w:highlight w:val="none"/>
              </w:rPr>
              <w:t>西安市新城大院</w:t>
            </w:r>
            <w:r>
              <w:rPr>
                <w:rFonts w:hint="eastAsia" w:ascii="仿宋" w:hAnsi="仿宋" w:eastAsia="仿宋" w:cs="仿宋"/>
                <w:color w:val="auto"/>
                <w:highlight w:val="none"/>
                <w:lang w:val="en-US" w:eastAsia="zh-CN"/>
              </w:rPr>
              <w:t>5号楼</w:t>
            </w:r>
            <w:r>
              <w:rPr>
                <w:rFonts w:hint="eastAsia" w:ascii="仿宋" w:hAnsi="仿宋" w:eastAsia="仿宋" w:cs="仿宋"/>
                <w:color w:val="auto"/>
                <w:highlight w:val="none"/>
                <w:lang w:eastAsia="zh-CN"/>
              </w:rPr>
              <w:t xml:space="preserve"> </w:t>
            </w:r>
          </w:p>
          <w:p w14:paraId="0C01AD0F">
            <w:pPr>
              <w:spacing w:line="44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lang w:val="en-US" w:eastAsia="zh-CN"/>
              </w:rPr>
              <w:t>周剑</w:t>
            </w:r>
          </w:p>
          <w:p w14:paraId="14DC72AC">
            <w:pPr>
              <w:spacing w:line="440" w:lineRule="exact"/>
              <w:rPr>
                <w:rFonts w:ascii="仿宋" w:hAnsi="仿宋" w:eastAsia="仿宋" w:cs="仿宋"/>
                <w:highlight w:val="none"/>
              </w:rPr>
            </w:pPr>
            <w:r>
              <w:rPr>
                <w:rFonts w:hint="eastAsia" w:ascii="仿宋" w:hAnsi="仿宋" w:eastAsia="仿宋" w:cs="仿宋"/>
                <w:color w:val="auto"/>
                <w:highlight w:val="none"/>
                <w:lang w:eastAsia="zh-CN"/>
              </w:rPr>
              <w:t>电  话：029-63912679</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2A7D758">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04E90838">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14:paraId="1B6BA10E">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5FA675F3">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联系人：贺培文、张海燕、赵璐、苏庆春</w:t>
            </w:r>
          </w:p>
          <w:p w14:paraId="04CF1C91">
            <w:pPr>
              <w:spacing w:line="360" w:lineRule="auto"/>
              <w:rPr>
                <w:rFonts w:hint="eastAsia" w:eastAsia="仿宋"/>
                <w:highlight w:val="none"/>
                <w:lang w:eastAsia="zh-CN"/>
              </w:rPr>
            </w:pPr>
            <w:r>
              <w:rPr>
                <w:rFonts w:hint="eastAsia" w:ascii="仿宋" w:hAnsi="仿宋" w:eastAsia="仿宋" w:cs="仿宋"/>
                <w:kern w:val="0"/>
                <w:highlight w:val="none"/>
              </w:rPr>
              <w:t>电  话：029-85565073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3A3EC4A4">
            <w:pPr>
              <w:spacing w:line="396"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4EAAF4EE">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采购预算：</w:t>
            </w:r>
            <w:r>
              <w:rPr>
                <w:rFonts w:hint="eastAsia" w:ascii="仿宋" w:hAnsi="仿宋" w:eastAsia="仿宋" w:cs="仿宋"/>
                <w:color w:val="auto"/>
                <w:spacing w:val="-4"/>
                <w:sz w:val="24"/>
                <w:szCs w:val="24"/>
                <w:highlight w:val="none"/>
                <w:lang w:val="en-US" w:eastAsia="zh-CN"/>
              </w:rPr>
              <w:t>450000.00</w:t>
            </w:r>
            <w:r>
              <w:rPr>
                <w:rFonts w:hint="eastAsia" w:ascii="仿宋" w:hAnsi="仿宋" w:eastAsia="仿宋" w:cs="仿宋"/>
                <w:kern w:val="0"/>
                <w:highlight w:val="none"/>
                <w:lang w:val="en-US" w:eastAsia="zh-CN"/>
              </w:rPr>
              <w:t>元</w:t>
            </w:r>
          </w:p>
          <w:p w14:paraId="31F07EFD">
            <w:pPr>
              <w:spacing w:line="360" w:lineRule="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kern w:val="0"/>
                <w:highlight w:val="none"/>
                <w:lang w:val="en-US" w:eastAsia="zh-CN"/>
              </w:rPr>
              <w:t>最高限价：</w:t>
            </w:r>
            <w:r>
              <w:rPr>
                <w:rFonts w:hint="eastAsia" w:ascii="仿宋" w:hAnsi="仿宋" w:eastAsia="仿宋" w:cs="仿宋"/>
                <w:color w:val="auto"/>
                <w:spacing w:val="-4"/>
                <w:sz w:val="24"/>
                <w:szCs w:val="24"/>
                <w:highlight w:val="none"/>
                <w:lang w:val="en-US" w:eastAsia="zh-CN"/>
              </w:rPr>
              <w:t>450000.00元</w:t>
            </w:r>
          </w:p>
          <w:p w14:paraId="4325EC9F">
            <w:pPr>
              <w:spacing w:line="360" w:lineRule="auto"/>
              <w:rPr>
                <w:rFonts w:hint="default" w:ascii="仿宋" w:hAnsi="仿宋" w:eastAsia="仿宋" w:cs="仿宋"/>
                <w:kern w:val="0"/>
                <w:highlight w:val="lightGray"/>
                <w:lang w:val="en-US" w:eastAsia="zh-CN"/>
              </w:rPr>
            </w:pPr>
            <w:r>
              <w:rPr>
                <w:rFonts w:hint="eastAsia" w:ascii="仿宋" w:hAnsi="仿宋" w:eastAsia="仿宋" w:cs="仿宋"/>
                <w:color w:val="auto"/>
                <w:spacing w:val="-4"/>
                <w:sz w:val="24"/>
                <w:szCs w:val="24"/>
                <w:highlight w:val="none"/>
                <w:lang w:val="en-US" w:eastAsia="zh-CN"/>
              </w:rPr>
              <w:t>单价限价：1.25元/平方米</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kern w:val="0"/>
                <w:highlight w:val="none"/>
                <w:lang w:val="en-US" w:eastAsia="zh-CN"/>
              </w:rPr>
            </w:pPr>
            <w:r>
              <w:rPr>
                <w:rFonts w:hint="eastAsia" w:ascii="仿宋" w:hAnsi="仿宋" w:eastAsia="仿宋" w:cs="仿宋"/>
                <w:kern w:val="0"/>
                <w:highlight w:val="none"/>
              </w:rPr>
              <w:t>详见竞争性磋商文件</w:t>
            </w:r>
            <w:r>
              <w:rPr>
                <w:rFonts w:hint="eastAsia" w:ascii="仿宋" w:hAnsi="仿宋" w:eastAsia="仿宋" w:cs="仿宋"/>
                <w:kern w:val="0"/>
                <w:highlight w:val="none"/>
                <w:lang w:val="en-US" w:eastAsia="zh-CN"/>
              </w:rPr>
              <w:t>第四章</w:t>
            </w:r>
            <w:r>
              <w:rPr>
                <w:rFonts w:hint="eastAsia" w:ascii="仿宋" w:hAnsi="仿宋" w:eastAsia="仿宋" w:cs="仿宋"/>
                <w:kern w:val="0"/>
                <w:highlight w:val="none"/>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29EE8FF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1ED9B8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shd w:val="clear" w:color="auto" w:fill="auto"/>
            <w:vAlign w:val="center"/>
          </w:tcPr>
          <w:p w14:paraId="24F42CC3">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shd w:val="clear" w:color="auto" w:fill="auto"/>
            <w:vAlign w:val="center"/>
          </w:tcPr>
          <w:p w14:paraId="0DBA4A3C">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shd w:val="clear" w:color="auto" w:fill="auto"/>
            <w:vAlign w:val="center"/>
          </w:tcPr>
          <w:p w14:paraId="22680E63">
            <w:pPr>
              <w:pStyle w:val="15"/>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shd w:val="clear" w:color="auto" w:fill="auto"/>
            <w:vAlign w:val="center"/>
          </w:tcPr>
          <w:p w14:paraId="7C8D6BF7">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shd w:val="clear" w:color="auto" w:fill="auto"/>
            <w:vAlign w:val="center"/>
          </w:tcPr>
          <w:p w14:paraId="0E1182F2">
            <w:pPr>
              <w:pStyle w:val="15"/>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shd w:val="clear" w:color="auto" w:fill="auto"/>
            <w:vAlign w:val="center"/>
          </w:tcPr>
          <w:p w14:paraId="2B6ED058">
            <w:pPr>
              <w:pStyle w:val="15"/>
              <w:spacing w:line="500" w:lineRule="exact"/>
              <w:jc w:val="left"/>
              <w:rPr>
                <w:rFonts w:hint="eastAsia" w:ascii="仿宋" w:hAnsi="仿宋" w:eastAsia="仿宋" w:cs="仿宋"/>
                <w:szCs w:val="24"/>
                <w:highlight w:val="none"/>
                <w:lang w:eastAsia="zh-CN"/>
              </w:rPr>
            </w:pPr>
            <w:r>
              <w:rPr>
                <w:rFonts w:hint="eastAsia" w:ascii="仿宋" w:hAnsi="仿宋" w:eastAsia="仿宋" w:cs="仿宋"/>
                <w:kern w:val="0"/>
                <w:szCs w:val="24"/>
                <w:highlight w:val="none"/>
                <w:lang w:val="en-US" w:eastAsia="zh-CN"/>
              </w:rPr>
              <w:t>是</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shd w:val="clear" w:color="auto" w:fill="auto"/>
            <w:vAlign w:val="center"/>
          </w:tcPr>
          <w:p w14:paraId="7208ABCC">
            <w:pPr>
              <w:spacing w:line="500" w:lineRule="exact"/>
              <w:jc w:val="center"/>
              <w:rPr>
                <w:rFonts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6981" w:type="dxa"/>
            <w:shd w:val="clear" w:color="auto" w:fill="auto"/>
            <w:vAlign w:val="center"/>
          </w:tcPr>
          <w:p w14:paraId="177E344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财政</w:t>
            </w: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B0C1AD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803FE8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B33072D">
            <w:pPr>
              <w:pStyle w:val="15"/>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5C7EFDA">
            <w:pPr>
              <w:pStyle w:val="15"/>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2173" w:type="dxa"/>
            <w:vAlign w:val="center"/>
          </w:tcPr>
          <w:p w14:paraId="780BE1B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7E60AC0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65B524F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服务期限</w:t>
            </w:r>
          </w:p>
        </w:tc>
        <w:tc>
          <w:tcPr>
            <w:tcW w:w="6981" w:type="dxa"/>
            <w:shd w:val="clear" w:color="auto" w:fill="auto"/>
            <w:vAlign w:val="center"/>
          </w:tcPr>
          <w:p w14:paraId="15E59CC9">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供应商应在2026年9月30日之前完成中标测量面积全部实测工作，并提交成果报告、测量数据等相关资料。</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42DB937">
            <w:pPr>
              <w:spacing w:line="360" w:lineRule="auto"/>
              <w:jc w:val="center"/>
              <w:rPr>
                <w:rFonts w:ascii="仿宋" w:hAnsi="仿宋" w:eastAsia="仿宋" w:cs="仿宋"/>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B7F08CE">
            <w:pPr>
              <w:pStyle w:val="9"/>
              <w:rPr>
                <w:rFonts w:ascii="仿宋" w:hAnsi="仿宋" w:eastAsia="仿宋" w:cs="仿宋"/>
                <w:highlight w:val="none"/>
              </w:rPr>
            </w:pPr>
            <w:r>
              <w:rPr>
                <w:rFonts w:hint="eastAsia" w:ascii="仿宋" w:hAnsi="仿宋" w:eastAsia="仿宋" w:cs="仿宋"/>
                <w:highlight w:val="none"/>
              </w:rPr>
              <w:t>2)付款方式:</w:t>
            </w:r>
          </w:p>
          <w:p w14:paraId="405FC7DB">
            <w:pPr>
              <w:spacing w:line="360" w:lineRule="auto"/>
              <w:rPr>
                <w:rFonts w:hint="default" w:ascii="仿宋" w:hAnsi="仿宋" w:eastAsia="仿宋" w:cs="仿宋"/>
                <w:color w:val="FF0000"/>
                <w:highlight w:val="none"/>
                <w:lang w:val="en-US" w:eastAsia="zh-CN"/>
              </w:rPr>
            </w:pPr>
            <w:r>
              <w:rPr>
                <w:rFonts w:hint="eastAsia" w:ascii="仿宋" w:hAnsi="仿宋" w:eastAsia="仿宋" w:cs="仿宋"/>
                <w:color w:val="auto"/>
                <w:highlight w:val="none"/>
                <w:lang w:val="en-US" w:eastAsia="zh-CN"/>
              </w:rPr>
              <w:t>根据供应商实际完成测绘的工作量，据实结算（具体以合同签订为准）。</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FF0DCAE">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1D955DA9">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6B8E6F6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3AE6AC5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622710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D7C93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708DD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3356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B7B67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p>
          <w:p w14:paraId="1E7E04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6AA39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22ED1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10、供应商须具有国家测绘行政主管部门颁发的测绘乙级及以上资质，且专业类别内包含界线与不动产测绘；</w:t>
            </w:r>
          </w:p>
          <w:p w14:paraId="55F2C5F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11、本项目专门面向中小企业采购，供应商提供中小企业声明函；</w:t>
            </w:r>
          </w:p>
          <w:p w14:paraId="6532B1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12、本项目不接受联合体响应。</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sz w:val="24"/>
                <w:highlight w:val="none"/>
                <w:lang w:val="en-US" w:eastAsia="zh-CN"/>
              </w:rPr>
            </w:pPr>
            <w:r>
              <w:rPr>
                <w:rFonts w:hint="eastAsia" w:ascii="仿宋" w:hAnsi="仿宋" w:eastAsia="仿宋" w:cs="仿宋"/>
                <w:b/>
                <w:bCs/>
                <w:sz w:val="24"/>
                <w:highlight w:val="none"/>
              </w:rPr>
              <w:t>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1BFC03C6">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14:paraId="4FBE5602">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14:paraId="2EA21EBA">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7B030980">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77AEE2D5">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22721AC2">
            <w:pPr>
              <w:spacing w:line="500" w:lineRule="exact"/>
              <w:jc w:val="center"/>
              <w:rPr>
                <w:rFonts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6AB159A3">
            <w:pPr>
              <w:spacing w:line="500" w:lineRule="exact"/>
              <w:rPr>
                <w:rFonts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8059F1B">
            <w:pPr>
              <w:spacing w:line="360" w:lineRule="auto"/>
              <w:jc w:val="center"/>
              <w:rPr>
                <w:rFonts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5A7BDFC1">
            <w:pPr>
              <w:spacing w:line="360" w:lineRule="auto"/>
              <w:rPr>
                <w:rFonts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6546CA06">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A8C07EF">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4D77D67">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7F4B1B8">
            <w:pPr>
              <w:spacing w:line="500" w:lineRule="exact"/>
              <w:rPr>
                <w:rFonts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886ABD2">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16FEA5">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14:paraId="74A89891">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8D9CE39">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B72767A">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4467090">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B88EB7E">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7A6C555">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玖仟元整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9000</w:t>
            </w:r>
            <w:r>
              <w:rPr>
                <w:rFonts w:hint="eastAsia" w:ascii="仿宋" w:hAnsi="仿宋" w:eastAsia="仿宋" w:cs="仿宋"/>
                <w:highlight w:val="none"/>
                <w:u w:val="single"/>
              </w:rPr>
              <w:t>.00</w:t>
            </w:r>
            <w:r>
              <w:rPr>
                <w:rFonts w:hint="eastAsia" w:ascii="仿宋" w:hAnsi="仿宋" w:eastAsia="仿宋" w:cs="仿宋"/>
                <w:highlight w:val="none"/>
              </w:rPr>
              <w:t>）；</w:t>
            </w:r>
          </w:p>
          <w:p w14:paraId="2AB524F2">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157C4378">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14:paraId="38423207">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49EE4FB4">
            <w:pPr>
              <w:pStyle w:val="90"/>
              <w:ind w:firstLine="0" w:firstLineChars="0"/>
              <w:rPr>
                <w:rFonts w:ascii="仿宋" w:hAnsi="仿宋" w:cs="仿宋"/>
                <w:sz w:val="24"/>
                <w:highlight w:val="none"/>
              </w:rPr>
            </w:pPr>
            <w:r>
              <w:rPr>
                <w:rFonts w:ascii="仿宋" w:hAnsi="仿宋" w:cs="仿宋"/>
                <w:sz w:val="24"/>
                <w:highlight w:val="none"/>
              </w:rPr>
              <w:t>重要提示：</w:t>
            </w:r>
          </w:p>
          <w:p w14:paraId="083040B7">
            <w:pPr>
              <w:pStyle w:val="90"/>
              <w:numPr>
                <w:ilvl w:val="0"/>
                <w:numId w:val="0"/>
              </w:numPr>
              <w:rPr>
                <w:rFonts w:ascii="仿宋" w:hAnsi="仿宋" w:cs="仿宋"/>
                <w:sz w:val="24"/>
                <w:highlight w:val="none"/>
              </w:rPr>
            </w:pPr>
            <w:r>
              <w:rPr>
                <w:rFonts w:hint="eastAsia" w:ascii="仿宋" w:hAnsi="仿宋" w:cs="仿宋"/>
                <w:sz w:val="24"/>
                <w:highlight w:val="none"/>
                <w:lang w:val="en-US" w:eastAsia="zh-CN"/>
              </w:rPr>
              <w:t>1.</w:t>
            </w:r>
            <w:r>
              <w:rPr>
                <w:rFonts w:ascii="仿宋" w:hAnsi="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90"/>
              <w:numPr>
                <w:ilvl w:val="0"/>
                <w:numId w:val="0"/>
              </w:numPr>
              <w:rPr>
                <w:rFonts w:hint="default" w:ascii="仿宋" w:hAnsi="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B6995E2">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0505816">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A669E2C">
            <w:pPr>
              <w:spacing w:line="360" w:lineRule="auto"/>
              <w:jc w:val="left"/>
              <w:rPr>
                <w:rFonts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37348A45">
            <w:pPr>
              <w:spacing w:line="500" w:lineRule="exact"/>
              <w:jc w:val="left"/>
              <w:rPr>
                <w:rFonts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C3E5650">
            <w:pPr>
              <w:spacing w:line="360" w:lineRule="auto"/>
              <w:rPr>
                <w:rFonts w:ascii="仿宋" w:hAnsi="仿宋" w:eastAsia="仿宋" w:cs="仿宋"/>
                <w:sz w:val="24"/>
                <w:highlight w:val="none"/>
              </w:rPr>
            </w:pPr>
            <w:r>
              <w:rPr>
                <w:rFonts w:hint="eastAsia" w:ascii="仿宋" w:hAnsi="仿宋" w:eastAsia="仿宋" w:cs="仿宋"/>
                <w:sz w:val="24"/>
                <w:highlight w:val="none"/>
              </w:rPr>
              <w:t>2．密封包装方式：</w:t>
            </w:r>
          </w:p>
          <w:p w14:paraId="5BB6A798">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（1）磋商响应文件正本一包密封；</w:t>
            </w:r>
          </w:p>
          <w:p w14:paraId="5B345CE1">
            <w:pPr>
              <w:spacing w:line="360" w:lineRule="auto"/>
              <w:rPr>
                <w:rFonts w:ascii="仿宋" w:hAnsi="仿宋" w:eastAsia="仿宋" w:cs="仿宋"/>
                <w:sz w:val="24"/>
                <w:highlight w:val="none"/>
              </w:rPr>
            </w:pPr>
            <w:r>
              <w:rPr>
                <w:rFonts w:hint="eastAsia" w:ascii="仿宋" w:hAnsi="仿宋" w:eastAsia="仿宋" w:cs="仿宋"/>
                <w:sz w:val="24"/>
                <w:highlight w:val="none"/>
              </w:rPr>
              <w:t>（2）磋商响应文件副本一包密封。</w:t>
            </w:r>
          </w:p>
          <w:p w14:paraId="24F9A0B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2B4BD0C">
            <w:pPr>
              <w:spacing w:line="500" w:lineRule="exact"/>
              <w:rPr>
                <w:rFonts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09BE29A1">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14:paraId="329894E8">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14:paraId="423E90C3">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14:paraId="3466C111">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1A34DD8">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1986A683">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时间：2026年04月20日14时00分</w:t>
            </w:r>
            <w:r>
              <w:rPr>
                <w:rFonts w:hint="eastAsia" w:ascii="仿宋" w:hAnsi="仿宋" w:eastAsia="仿宋" w:cs="仿宋"/>
                <w:color w:val="auto"/>
                <w:highlight w:val="none"/>
                <w:lang w:val="en-US" w:eastAsia="zh-CN"/>
              </w:rPr>
              <w:t>（北京时间）</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时间：2026年04月20日14时00分</w:t>
            </w:r>
            <w:bookmarkStart w:id="145" w:name="_GoBack"/>
            <w:bookmarkEnd w:id="145"/>
            <w:r>
              <w:rPr>
                <w:rFonts w:hint="eastAsia" w:ascii="仿宋" w:hAnsi="仿宋" w:eastAsia="仿宋" w:cs="仿宋"/>
                <w:color w:val="auto"/>
                <w:highlight w:val="none"/>
                <w:lang w:val="en-US" w:eastAsia="zh-CN"/>
              </w:rPr>
              <w:t>（北京时间）</w:t>
            </w:r>
            <w:r>
              <w:rPr>
                <w:rFonts w:hint="eastAsia" w:ascii="仿宋" w:hAnsi="仿宋" w:eastAsia="仿宋" w:cs="仿宋"/>
                <w:color w:val="auto"/>
                <w:highlight w:val="none"/>
              </w:rPr>
              <w:t> </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14:paraId="271D5CCC">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highlight w:val="none"/>
              </w:rPr>
            </w:pPr>
            <w:r>
              <w:rPr>
                <w:rFonts w:hint="eastAsia" w:ascii="仿宋" w:hAnsi="仿宋" w:eastAsia="仿宋" w:cs="仿宋"/>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14:paraId="7B23E10B">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highlight w:val="none"/>
              </w:rPr>
            </w:pPr>
            <w:r>
              <w:rPr>
                <w:rFonts w:hint="eastAsia" w:ascii="仿宋" w:hAnsi="仿宋" w:eastAsia="仿宋" w:cs="仿宋"/>
                <w:highlight w:val="none"/>
              </w:rPr>
              <w:t>否，推荐3名成交候选人；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5"/>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14:paraId="4B537704">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14:paraId="63029308">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14:paraId="30111D8C">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9B02D3E">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14:paraId="4CF10BC7">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14:paraId="4C637373">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58A3EDE">
            <w:pPr>
              <w:spacing w:line="500" w:lineRule="exact"/>
              <w:jc w:val="left"/>
              <w:rPr>
                <w:rFonts w:hint="eastAsia" w:ascii="仿宋" w:hAnsi="仿宋" w:eastAsia="仿宋" w:cs="仿宋"/>
                <w:highlight w:val="none"/>
              </w:rPr>
            </w:pPr>
            <w:r>
              <w:rPr>
                <w:rFonts w:hint="eastAsia" w:ascii="仿宋" w:hAnsi="仿宋" w:eastAsia="仿宋" w:cs="仿宋"/>
                <w:highlight w:val="none"/>
              </w:rPr>
              <w:t>本项目招标代理服务费实行市场调节价，采用差额定率累进法计费，</w:t>
            </w:r>
            <w:r>
              <w:rPr>
                <w:rFonts w:hint="eastAsia" w:ascii="仿宋" w:hAnsi="仿宋" w:eastAsia="仿宋" w:cs="仿宋"/>
                <w:highlight w:val="none"/>
                <w:lang w:val="en-US" w:eastAsia="zh-CN"/>
              </w:rPr>
              <w:t>以中标金额为计费基数，</w:t>
            </w:r>
            <w:r>
              <w:rPr>
                <w:rFonts w:hint="eastAsia" w:ascii="仿宋" w:hAnsi="仿宋" w:eastAsia="仿宋" w:cs="仿宋"/>
                <w:highlight w:val="none"/>
              </w:rPr>
              <w:t>由中标人在领取中标通知书前一次性支付，如本项目</w:t>
            </w:r>
            <w:r>
              <w:rPr>
                <w:rFonts w:hint="eastAsia" w:ascii="仿宋" w:hAnsi="仿宋" w:eastAsia="仿宋" w:cs="仿宋"/>
                <w:highlight w:val="none"/>
                <w:lang w:val="en-US" w:eastAsia="zh-CN"/>
              </w:rPr>
              <w:t>代理</w:t>
            </w:r>
            <w:r>
              <w:rPr>
                <w:rFonts w:hint="eastAsia" w:ascii="仿宋" w:hAnsi="仿宋" w:eastAsia="仿宋" w:cs="仿宋"/>
                <w:highlight w:val="none"/>
              </w:rPr>
              <w:t>服务费不足陆仟元则按陆仟元</w:t>
            </w:r>
            <w:r>
              <w:rPr>
                <w:rFonts w:hint="eastAsia" w:ascii="仿宋" w:hAnsi="仿宋" w:eastAsia="仿宋" w:cs="仿宋"/>
                <w:highlight w:val="none"/>
                <w:lang w:val="en-US" w:eastAsia="zh-CN"/>
              </w:rPr>
              <w:t>收取</w:t>
            </w:r>
            <w:r>
              <w:rPr>
                <w:rFonts w:hint="eastAsia" w:ascii="仿宋" w:hAnsi="仿宋" w:eastAsia="仿宋" w:cs="仿宋"/>
                <w:highlight w:val="none"/>
              </w:rPr>
              <w:t>。</w:t>
            </w:r>
          </w:p>
          <w:p w14:paraId="6CCE6180">
            <w:pPr>
              <w:spacing w:line="500" w:lineRule="exact"/>
              <w:jc w:val="left"/>
              <w:rPr>
                <w:rFonts w:hint="eastAsia" w:ascii="仿宋" w:hAnsi="仿宋" w:eastAsia="仿宋" w:cs="仿宋"/>
                <w:highlight w:val="none"/>
              </w:rPr>
            </w:pPr>
            <w:r>
              <w:rPr>
                <w:rFonts w:hint="eastAsia" w:ascii="仿宋" w:hAnsi="仿宋" w:eastAsia="仿宋" w:cs="仿宋"/>
                <w:highlight w:val="none"/>
              </w:rPr>
              <w:t>代理费缴纳账户：</w:t>
            </w:r>
          </w:p>
          <w:p w14:paraId="04EEBED0">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银行户名：陕西德仁招标有限公司</w:t>
            </w:r>
          </w:p>
          <w:p w14:paraId="00ED0E08">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开户银行：招商银行股份有限公司西安城南支行</w:t>
            </w:r>
          </w:p>
          <w:p w14:paraId="21129A0D">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账    号：1299 0904 6810 901</w:t>
            </w:r>
          </w:p>
          <w:p w14:paraId="71F04041">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 xml:space="preserve">联 系 人：苏会计  </w:t>
            </w:r>
          </w:p>
          <w:p w14:paraId="66E70BE2">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联系电话：029-89185132</w:t>
            </w:r>
          </w:p>
          <w:p w14:paraId="7C5AB8E3">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邮    箱：</w:t>
            </w:r>
            <w:r>
              <w:rPr>
                <w:rFonts w:hint="default" w:ascii="仿宋" w:hAnsi="仿宋" w:eastAsia="仿宋" w:cs="仿宋"/>
                <w:highlight w:val="none"/>
                <w:lang w:val="en-US" w:eastAsia="zh-CN"/>
              </w:rPr>
              <w:fldChar w:fldCharType="begin"/>
            </w:r>
            <w:r>
              <w:rPr>
                <w:rFonts w:hint="default" w:ascii="仿宋" w:hAnsi="仿宋" w:eastAsia="仿宋" w:cs="仿宋"/>
                <w:highlight w:val="none"/>
                <w:lang w:val="en-US" w:eastAsia="zh-CN"/>
              </w:rPr>
              <w:instrText xml:space="preserve"> HYPERLINK "mailto:sxdrzb@qq.com" </w:instrText>
            </w:r>
            <w:r>
              <w:rPr>
                <w:rFonts w:hint="default" w:ascii="仿宋" w:hAnsi="仿宋" w:eastAsia="仿宋" w:cs="仿宋"/>
                <w:highlight w:val="none"/>
                <w:lang w:val="en-US" w:eastAsia="zh-CN"/>
              </w:rPr>
              <w:fldChar w:fldCharType="separate"/>
            </w:r>
            <w:r>
              <w:rPr>
                <w:rFonts w:hint="default" w:ascii="仿宋" w:hAnsi="仿宋" w:eastAsia="仿宋" w:cs="仿宋"/>
                <w:highlight w:val="none"/>
                <w:lang w:val="en-US" w:eastAsia="zh-CN"/>
              </w:rPr>
              <w:t>sxdrzb@qq.com</w:t>
            </w:r>
            <w:r>
              <w:rPr>
                <w:rFonts w:hint="default" w:ascii="仿宋" w:hAnsi="仿宋" w:eastAsia="仿宋" w:cs="仿宋"/>
                <w:highlight w:val="none"/>
                <w:lang w:val="en-US" w:eastAsia="zh-CN"/>
              </w:rPr>
              <w:fldChar w:fldCharType="end"/>
            </w:r>
          </w:p>
          <w:p w14:paraId="6B45AE0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华文仿宋" w:eastAsia="仿宋_GB2312" w:cs="Times New Roman"/>
                <w:b/>
                <w:bCs/>
                <w:sz w:val="24"/>
                <w:highlight w:val="none"/>
              </w:rPr>
            </w:pPr>
            <w:r>
              <w:rPr>
                <w:rFonts w:hint="eastAsia" w:ascii="仿宋_GB2312" w:hAnsi="华文仿宋" w:eastAsia="仿宋_GB2312" w:cs="Times New Roman"/>
                <w:b/>
                <w:bCs/>
                <w:sz w:val="24"/>
                <w:highlight w:val="none"/>
                <w:lang w:val="en-US" w:eastAsia="zh-CN"/>
              </w:rPr>
              <w:t>具体费率如下：</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30"/>
              <w:gridCol w:w="2924"/>
            </w:tblGrid>
            <w:tr w14:paraId="0E36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2835" w:type="pct"/>
                  <w:noWrap w:val="0"/>
                  <w:tcMar>
                    <w:top w:w="30" w:type="dxa"/>
                    <w:left w:w="150" w:type="dxa"/>
                    <w:bottom w:w="30" w:type="dxa"/>
                    <w:right w:w="150" w:type="dxa"/>
                  </w:tcMar>
                  <w:vAlign w:val="center"/>
                </w:tcPr>
                <w:p w14:paraId="71D61069">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-10160</wp:posOffset>
                            </wp:positionV>
                            <wp:extent cx="2418715" cy="632460"/>
                            <wp:effectExtent l="1270" t="4445" r="18415" b="10795"/>
                            <wp:wrapNone/>
                            <wp:docPr id="1" name="直接连接符 1"/>
                            <wp:cNvGraphicFramePr/>
                            <a:graphic xmlns:a="http://schemas.openxmlformats.org/drawingml/2006/main">
                              <a:graphicData uri="http://schemas.microsoft.com/office/word/2010/wordprocessingShape">
                                <wps:wsp>
                                  <wps:cNvCnPr/>
                                  <wps:spPr>
                                    <a:xfrm>
                                      <a:off x="0" y="0"/>
                                      <a:ext cx="2418715" cy="632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0.8pt;height:49.8pt;width:190.45pt;z-index:251659264;mso-width-relative:page;mso-height-relative:page;" filled="f" stroked="t" coordsize="21600,21600" o:gfxdata="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LDmjXAAAACQEAAA8AAAAAAAAAAQAgAAAAIgAAAGRycy9kb3ducmV2Lnht&#10;bFBLAQIUABQAAAAIAIdO4kBVhbQV+gEAAOkDAAAOAAAAAAAAAAEAIAAAACY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lang w:val="en-US" w:eastAsia="zh-CN"/>
                    </w:rPr>
                    <w:t>费率</w:t>
                  </w:r>
                </w:p>
                <w:p w14:paraId="61367A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rPr>
                  </w:pPr>
                  <w:r>
                    <w:rPr>
                      <w:rFonts w:hint="eastAsia" w:ascii="仿宋" w:hAnsi="仿宋" w:eastAsia="仿宋" w:cs="仿宋"/>
                      <w:bCs/>
                      <w:sz w:val="24"/>
                      <w:szCs w:val="24"/>
                      <w:highlight w:val="none"/>
                      <w:lang w:val="en-US" w:eastAsia="zh-CN"/>
                    </w:rPr>
                    <w:t>中标金额（万元）</w:t>
                  </w:r>
                </w:p>
              </w:tc>
              <w:tc>
                <w:tcPr>
                  <w:tcW w:w="2164" w:type="pct"/>
                  <w:noWrap w:val="0"/>
                  <w:tcMar>
                    <w:top w:w="30" w:type="dxa"/>
                    <w:left w:w="150" w:type="dxa"/>
                    <w:bottom w:w="30" w:type="dxa"/>
                    <w:right w:w="150" w:type="dxa"/>
                  </w:tcMar>
                  <w:vAlign w:val="center"/>
                </w:tcPr>
                <w:p w14:paraId="39AE65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服务招标</w:t>
                  </w:r>
                </w:p>
              </w:tc>
            </w:tr>
            <w:tr w14:paraId="78F8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2D72F2D6">
                  <w:pPr>
                    <w:jc w:val="center"/>
                    <w:rPr>
                      <w:rFonts w:hint="eastAsia" w:ascii="仿宋" w:hAnsi="仿宋" w:eastAsia="仿宋" w:cs="仿宋"/>
                      <w:sz w:val="24"/>
                      <w:szCs w:val="24"/>
                    </w:rPr>
                  </w:pPr>
                  <w:r>
                    <w:rPr>
                      <w:rFonts w:hint="eastAsia" w:ascii="仿宋" w:hAnsi="仿宋" w:eastAsia="仿宋" w:cs="仿宋"/>
                      <w:sz w:val="24"/>
                      <w:szCs w:val="24"/>
                      <w:lang w:val="en-US" w:eastAsia="zh-CN"/>
                    </w:rPr>
                    <w:t>100以下</w:t>
                  </w:r>
                </w:p>
              </w:tc>
              <w:tc>
                <w:tcPr>
                  <w:tcW w:w="2164" w:type="pct"/>
                  <w:noWrap w:val="0"/>
                  <w:tcMar>
                    <w:top w:w="30" w:type="dxa"/>
                    <w:left w:w="150" w:type="dxa"/>
                    <w:bottom w:w="30" w:type="dxa"/>
                    <w:right w:w="150" w:type="dxa"/>
                  </w:tcMar>
                  <w:vAlign w:val="center"/>
                </w:tcPr>
                <w:p w14:paraId="7F7146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p>
              </w:tc>
            </w:tr>
            <w:tr w14:paraId="5149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608CA777">
                  <w:pPr>
                    <w:jc w:val="center"/>
                    <w:rPr>
                      <w:rFonts w:hint="eastAsia" w:ascii="仿宋" w:hAnsi="仿宋" w:eastAsia="仿宋" w:cs="仿宋"/>
                      <w:sz w:val="24"/>
                      <w:szCs w:val="24"/>
                    </w:rPr>
                  </w:pPr>
                  <w:r>
                    <w:rPr>
                      <w:rFonts w:hint="eastAsia" w:ascii="仿宋" w:hAnsi="仿宋" w:eastAsia="仿宋" w:cs="仿宋"/>
                      <w:sz w:val="24"/>
                      <w:szCs w:val="24"/>
                      <w:lang w:val="en-US" w:eastAsia="zh-CN"/>
                    </w:rPr>
                    <w:t>100-500</w:t>
                  </w:r>
                </w:p>
              </w:tc>
              <w:tc>
                <w:tcPr>
                  <w:tcW w:w="2164" w:type="pct"/>
                  <w:noWrap w:val="0"/>
                  <w:tcMar>
                    <w:top w:w="30" w:type="dxa"/>
                    <w:left w:w="150" w:type="dxa"/>
                    <w:bottom w:w="30" w:type="dxa"/>
                    <w:right w:w="150" w:type="dxa"/>
                  </w:tcMar>
                  <w:vAlign w:val="center"/>
                </w:tcPr>
                <w:p w14:paraId="17F933A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0.8%</w:t>
                  </w:r>
                </w:p>
              </w:tc>
            </w:tr>
            <w:tr w14:paraId="4769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64C46B47">
                  <w:pPr>
                    <w:jc w:val="center"/>
                    <w:rPr>
                      <w:rFonts w:hint="eastAsia" w:ascii="仿宋" w:hAnsi="仿宋" w:eastAsia="仿宋" w:cs="仿宋"/>
                      <w:sz w:val="24"/>
                      <w:szCs w:val="24"/>
                    </w:rPr>
                  </w:pPr>
                  <w:r>
                    <w:rPr>
                      <w:rFonts w:hint="eastAsia" w:ascii="仿宋" w:hAnsi="仿宋" w:eastAsia="仿宋" w:cs="仿宋"/>
                      <w:sz w:val="24"/>
                      <w:szCs w:val="24"/>
                      <w:lang w:val="en-US" w:eastAsia="zh-CN"/>
                    </w:rPr>
                    <w:t>500-1000</w:t>
                  </w:r>
                </w:p>
              </w:tc>
              <w:tc>
                <w:tcPr>
                  <w:tcW w:w="2164" w:type="pct"/>
                  <w:noWrap w:val="0"/>
                  <w:tcMar>
                    <w:top w:w="30" w:type="dxa"/>
                    <w:left w:w="150" w:type="dxa"/>
                    <w:bottom w:w="30" w:type="dxa"/>
                    <w:right w:w="150" w:type="dxa"/>
                  </w:tcMar>
                  <w:vAlign w:val="center"/>
                </w:tcPr>
                <w:p w14:paraId="40ECB2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0.45%</w:t>
                  </w:r>
                </w:p>
              </w:tc>
            </w:tr>
            <w:tr w14:paraId="4AC7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3A929CD3">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1000-5000</w:t>
                  </w:r>
                </w:p>
              </w:tc>
              <w:tc>
                <w:tcPr>
                  <w:tcW w:w="2164" w:type="pct"/>
                  <w:noWrap w:val="0"/>
                  <w:tcMar>
                    <w:top w:w="30" w:type="dxa"/>
                    <w:left w:w="150" w:type="dxa"/>
                    <w:bottom w:w="30" w:type="dxa"/>
                    <w:right w:w="150" w:type="dxa"/>
                  </w:tcMar>
                  <w:vAlign w:val="center"/>
                </w:tcPr>
                <w:p w14:paraId="185CC9A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0.25%</w:t>
                  </w:r>
                </w:p>
              </w:tc>
            </w:tr>
            <w:tr w14:paraId="41DB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21959112">
                  <w:pPr>
                    <w:jc w:val="center"/>
                    <w:rPr>
                      <w:rFonts w:hint="eastAsia" w:ascii="仿宋" w:hAnsi="仿宋" w:eastAsia="仿宋" w:cs="仿宋"/>
                      <w:sz w:val="24"/>
                      <w:szCs w:val="24"/>
                    </w:rPr>
                  </w:pPr>
                  <w:r>
                    <w:rPr>
                      <w:rFonts w:hint="eastAsia" w:ascii="仿宋" w:hAnsi="仿宋" w:eastAsia="仿宋" w:cs="仿宋"/>
                      <w:sz w:val="24"/>
                      <w:szCs w:val="24"/>
                      <w:lang w:val="en-US" w:eastAsia="zh-CN"/>
                    </w:rPr>
                    <w:t>5000-10000</w:t>
                  </w:r>
                </w:p>
              </w:tc>
              <w:tc>
                <w:tcPr>
                  <w:tcW w:w="2164" w:type="pct"/>
                  <w:noWrap w:val="0"/>
                  <w:tcMar>
                    <w:top w:w="30" w:type="dxa"/>
                    <w:left w:w="150" w:type="dxa"/>
                    <w:bottom w:w="30" w:type="dxa"/>
                    <w:right w:w="150" w:type="dxa"/>
                  </w:tcMar>
                  <w:vAlign w:val="center"/>
                </w:tcPr>
                <w:p w14:paraId="0850369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0.1%</w:t>
                  </w:r>
                </w:p>
              </w:tc>
            </w:tr>
            <w:tr w14:paraId="73BE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35" w:type="pct"/>
                  <w:noWrap w:val="0"/>
                  <w:tcMar>
                    <w:top w:w="30" w:type="dxa"/>
                    <w:left w:w="150" w:type="dxa"/>
                    <w:bottom w:w="30" w:type="dxa"/>
                    <w:right w:w="150" w:type="dxa"/>
                  </w:tcMar>
                  <w:vAlign w:val="center"/>
                </w:tcPr>
                <w:p w14:paraId="7147936D">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10000-100000</w:t>
                  </w:r>
                </w:p>
              </w:tc>
              <w:tc>
                <w:tcPr>
                  <w:tcW w:w="2164" w:type="pct"/>
                  <w:noWrap w:val="0"/>
                  <w:tcMar>
                    <w:top w:w="30" w:type="dxa"/>
                    <w:left w:w="150" w:type="dxa"/>
                    <w:bottom w:w="30" w:type="dxa"/>
                    <w:right w:w="150" w:type="dxa"/>
                  </w:tcMar>
                  <w:vAlign w:val="center"/>
                </w:tcPr>
                <w:p w14:paraId="2E81BA3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0.05%</w:t>
                  </w:r>
                </w:p>
              </w:tc>
            </w:tr>
            <w:tr w14:paraId="391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2835" w:type="pct"/>
                  <w:noWrap w:val="0"/>
                  <w:tcMar>
                    <w:top w:w="30" w:type="dxa"/>
                    <w:left w:w="150" w:type="dxa"/>
                    <w:bottom w:w="30" w:type="dxa"/>
                    <w:right w:w="150" w:type="dxa"/>
                  </w:tcMar>
                  <w:vAlign w:val="center"/>
                </w:tcPr>
                <w:p w14:paraId="69E2B43B">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100000以上</w:t>
                  </w:r>
                </w:p>
              </w:tc>
              <w:tc>
                <w:tcPr>
                  <w:tcW w:w="2164" w:type="pct"/>
                  <w:noWrap w:val="0"/>
                  <w:tcMar>
                    <w:top w:w="30" w:type="dxa"/>
                    <w:left w:w="150" w:type="dxa"/>
                    <w:bottom w:w="30" w:type="dxa"/>
                    <w:right w:w="150" w:type="dxa"/>
                  </w:tcMar>
                  <w:vAlign w:val="center"/>
                </w:tcPr>
                <w:p w14:paraId="4443194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0.01%</w:t>
                  </w:r>
                </w:p>
              </w:tc>
            </w:tr>
          </w:tbl>
          <w:p w14:paraId="7DA2E8D1">
            <w:pPr>
              <w:pStyle w:val="83"/>
              <w:rPr>
                <w:rFonts w:hint="default" w:ascii="仿宋" w:hAnsi="仿宋" w:eastAsia="仿宋" w:cs="仿宋"/>
                <w:sz w:val="24"/>
                <w:highlight w:val="none"/>
                <w:lang w:val="en-US" w:eastAsia="zh-CN"/>
              </w:rPr>
            </w:pPr>
          </w:p>
        </w:tc>
      </w:tr>
    </w:tbl>
    <w:p w14:paraId="7367D53D">
      <w:pPr>
        <w:spacing w:line="400" w:lineRule="exact"/>
        <w:rPr>
          <w:rFonts w:ascii="仿宋" w:hAnsi="仿宋" w:eastAsia="仿宋" w:cs="仿宋"/>
          <w:b/>
          <w:sz w:val="32"/>
          <w:szCs w:val="32"/>
          <w:highlight w:val="none"/>
        </w:rPr>
      </w:pPr>
      <w:bookmarkStart w:id="44" w:name="_Toc32045"/>
      <w:bookmarkStart w:id="45" w:name="_Toc32286"/>
      <w:bookmarkStart w:id="46" w:name="_Toc519156737"/>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44"/>
    <w:bookmarkEnd w:id="45"/>
    <w:bookmarkEnd w:id="46"/>
    <w:p w14:paraId="06107A0E">
      <w:pPr>
        <w:pStyle w:val="3"/>
        <w:rPr>
          <w:rFonts w:ascii="仿宋" w:hAnsi="仿宋" w:eastAsia="仿宋" w:cs="仿宋"/>
          <w:sz w:val="28"/>
          <w:szCs w:val="28"/>
          <w:highlight w:val="none"/>
        </w:rPr>
      </w:pPr>
      <w:bookmarkStart w:id="47" w:name="_Toc10488"/>
      <w:bookmarkStart w:id="48" w:name="_Toc24752"/>
      <w:bookmarkStart w:id="49" w:name="_Toc29597"/>
      <w:bookmarkStart w:id="50" w:name="_Toc519156746"/>
      <w:bookmarkStart w:id="51" w:name="_Toc26143"/>
      <w:r>
        <w:rPr>
          <w:rFonts w:hint="eastAsia" w:ascii="仿宋" w:hAnsi="仿宋" w:eastAsia="仿宋" w:cs="仿宋"/>
          <w:sz w:val="28"/>
          <w:szCs w:val="28"/>
          <w:highlight w:val="none"/>
        </w:rPr>
        <w:t>一、名词解释</w:t>
      </w:r>
      <w:bookmarkEnd w:id="47"/>
      <w:bookmarkEnd w:id="48"/>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陕西省机关事务服务中心</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3"/>
        <w:rPr>
          <w:rFonts w:ascii="仿宋" w:hAnsi="仿宋" w:eastAsia="仿宋" w:cs="仿宋"/>
          <w:sz w:val="28"/>
          <w:szCs w:val="28"/>
          <w:highlight w:val="none"/>
        </w:rPr>
      </w:pPr>
      <w:bookmarkStart w:id="52" w:name="_Toc519156738"/>
      <w:bookmarkStart w:id="53" w:name="_Toc12414"/>
      <w:bookmarkStart w:id="54" w:name="_Toc13421"/>
      <w:bookmarkStart w:id="55" w:name="_Toc12298"/>
      <w:bookmarkStart w:id="56" w:name="_Toc11254"/>
      <w:bookmarkStart w:id="57" w:name="_Toc7253"/>
      <w:r>
        <w:rPr>
          <w:rFonts w:hint="eastAsia" w:ascii="仿宋" w:hAnsi="仿宋" w:eastAsia="仿宋" w:cs="仿宋"/>
          <w:sz w:val="28"/>
          <w:szCs w:val="28"/>
          <w:highlight w:val="none"/>
        </w:rPr>
        <w:t>二、磋商供应商</w:t>
      </w:r>
      <w:bookmarkEnd w:id="52"/>
      <w:bookmarkEnd w:id="53"/>
      <w:bookmarkEnd w:id="54"/>
      <w:bookmarkEnd w:id="55"/>
      <w:bookmarkEnd w:id="56"/>
      <w:bookmarkEnd w:id="57"/>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5"/>
        <w:spacing w:line="460" w:lineRule="exact"/>
        <w:ind w:firstLine="480" w:firstLineChars="200"/>
        <w:rPr>
          <w:rFonts w:ascii="仿宋" w:hAnsi="仿宋" w:eastAsia="仿宋" w:cs="仿宋"/>
          <w:szCs w:val="24"/>
          <w:highlight w:val="none"/>
        </w:rPr>
      </w:pPr>
      <w:bookmarkStart w:id="58" w:name="_Toc519156739"/>
      <w:bookmarkStart w:id="59" w:name="_Toc27408"/>
      <w:bookmarkStart w:id="6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5"/>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3"/>
        <w:rPr>
          <w:rFonts w:ascii="仿宋" w:hAnsi="仿宋" w:eastAsia="仿宋" w:cs="仿宋"/>
          <w:sz w:val="32"/>
          <w:szCs w:val="36"/>
          <w:highlight w:val="none"/>
        </w:rPr>
      </w:pPr>
      <w:bookmarkStart w:id="61" w:name="_Toc7223"/>
      <w:bookmarkStart w:id="62" w:name="_Toc2653"/>
      <w:bookmarkStart w:id="63" w:name="_Toc25030"/>
      <w:r>
        <w:rPr>
          <w:rFonts w:hint="eastAsia" w:ascii="仿宋" w:hAnsi="仿宋" w:eastAsia="仿宋" w:cs="仿宋"/>
          <w:sz w:val="32"/>
          <w:szCs w:val="36"/>
          <w:highlight w:val="none"/>
        </w:rPr>
        <w:t>三、磋商文件</w:t>
      </w:r>
      <w:bookmarkEnd w:id="58"/>
      <w:bookmarkEnd w:id="59"/>
      <w:bookmarkEnd w:id="60"/>
      <w:bookmarkEnd w:id="61"/>
      <w:bookmarkEnd w:id="62"/>
      <w:bookmarkEnd w:id="63"/>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3"/>
        <w:rPr>
          <w:rFonts w:ascii="仿宋" w:hAnsi="仿宋" w:eastAsia="仿宋" w:cs="仿宋"/>
          <w:sz w:val="32"/>
          <w:szCs w:val="36"/>
          <w:highlight w:val="none"/>
        </w:rPr>
      </w:pPr>
      <w:bookmarkStart w:id="64" w:name="_Toc8808"/>
      <w:bookmarkStart w:id="65" w:name="_Toc4841"/>
      <w:bookmarkStart w:id="66" w:name="_Toc16846"/>
      <w:bookmarkStart w:id="67" w:name="_Toc1168"/>
      <w:bookmarkStart w:id="68" w:name="_Toc18132"/>
      <w:r>
        <w:rPr>
          <w:rFonts w:hint="eastAsia" w:ascii="仿宋" w:hAnsi="仿宋" w:eastAsia="仿宋" w:cs="仿宋"/>
          <w:sz w:val="32"/>
          <w:szCs w:val="36"/>
          <w:highlight w:val="none"/>
        </w:rPr>
        <w:t>四、磋商要求</w:t>
      </w:r>
      <w:bookmarkEnd w:id="64"/>
      <w:bookmarkEnd w:id="65"/>
      <w:bookmarkEnd w:id="66"/>
      <w:bookmarkEnd w:id="67"/>
      <w:bookmarkEnd w:id="68"/>
    </w:p>
    <w:p w14:paraId="2120770C">
      <w:pPr>
        <w:spacing w:line="460" w:lineRule="exact"/>
        <w:rPr>
          <w:rFonts w:hint="default" w:ascii="仿宋" w:hAnsi="仿宋" w:eastAsia="仿宋" w:cs="仿宋"/>
          <w:b/>
          <w:highlight w:val="none"/>
          <w:lang w:val="en-US" w:eastAsia="zh-CN"/>
        </w:rPr>
      </w:pPr>
      <w:bookmarkStart w:id="69" w:name="_Toc24973"/>
      <w:bookmarkStart w:id="70"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14:paraId="7C0C601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五、承接的类似项目情况表</w:t>
      </w:r>
    </w:p>
    <w:p w14:paraId="200C6CE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14:paraId="2EDB1906">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rPr>
        <w:t>七、</w:t>
      </w:r>
      <w:r>
        <w:rPr>
          <w:rFonts w:hint="eastAsia" w:ascii="仿宋" w:hAnsi="仿宋" w:eastAsia="仿宋" w:cs="仿宋"/>
          <w:highlight w:val="none"/>
          <w:lang w:val="en-US" w:eastAsia="zh-CN"/>
        </w:rPr>
        <w:t>商务和服务偏离表</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服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1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3"/>
        <w:rPr>
          <w:rFonts w:ascii="仿宋" w:hAnsi="仿宋" w:eastAsia="仿宋" w:cs="仿宋"/>
          <w:sz w:val="32"/>
          <w:szCs w:val="36"/>
          <w:highlight w:val="none"/>
        </w:rPr>
      </w:pPr>
      <w:bookmarkStart w:id="71" w:name="_Toc16723"/>
      <w:bookmarkStart w:id="72" w:name="_Toc31661"/>
      <w:bookmarkStart w:id="73" w:name="_Toc24420"/>
      <w:r>
        <w:rPr>
          <w:rFonts w:hint="eastAsia" w:ascii="仿宋" w:hAnsi="仿宋" w:eastAsia="仿宋" w:cs="仿宋"/>
          <w:sz w:val="32"/>
          <w:szCs w:val="36"/>
          <w:highlight w:val="none"/>
        </w:rPr>
        <w:t>五、磋商响应文件封装、递交</w:t>
      </w:r>
      <w:bookmarkEnd w:id="69"/>
      <w:bookmarkEnd w:id="70"/>
      <w:bookmarkEnd w:id="71"/>
      <w:bookmarkEnd w:id="72"/>
      <w:bookmarkEnd w:id="73"/>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响应文件应除封面外应逐页编码，为节约纸张建议采用A4纸张双面打印，牢固胶装成册，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3"/>
        <w:rPr>
          <w:rFonts w:ascii="仿宋" w:hAnsi="仿宋" w:eastAsia="仿宋" w:cs="仿宋"/>
          <w:sz w:val="32"/>
          <w:szCs w:val="36"/>
          <w:highlight w:val="none"/>
        </w:rPr>
      </w:pPr>
      <w:bookmarkStart w:id="74" w:name="_Toc29321"/>
      <w:bookmarkStart w:id="75" w:name="_Toc519156742"/>
      <w:bookmarkStart w:id="76" w:name="_Toc32447"/>
      <w:bookmarkStart w:id="77" w:name="_Toc4585"/>
      <w:bookmarkStart w:id="78" w:name="_Toc4975"/>
      <w:bookmarkStart w:id="79" w:name="_Toc1285"/>
      <w:r>
        <w:rPr>
          <w:rFonts w:hint="eastAsia" w:ascii="仿宋" w:hAnsi="仿宋" w:eastAsia="仿宋" w:cs="仿宋"/>
          <w:sz w:val="32"/>
          <w:szCs w:val="36"/>
          <w:highlight w:val="none"/>
        </w:rPr>
        <w:t>六、磋商</w:t>
      </w:r>
      <w:bookmarkEnd w:id="74"/>
      <w:bookmarkEnd w:id="75"/>
      <w:bookmarkEnd w:id="76"/>
      <w:r>
        <w:rPr>
          <w:rFonts w:hint="eastAsia" w:ascii="仿宋" w:hAnsi="仿宋" w:eastAsia="仿宋" w:cs="仿宋"/>
          <w:sz w:val="32"/>
          <w:szCs w:val="36"/>
          <w:highlight w:val="none"/>
        </w:rPr>
        <w:t>与评审</w:t>
      </w:r>
      <w:bookmarkEnd w:id="77"/>
      <w:bookmarkEnd w:id="78"/>
      <w:bookmarkEnd w:id="79"/>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3"/>
        <w:rPr>
          <w:rFonts w:ascii="仿宋" w:hAnsi="仿宋" w:eastAsia="仿宋" w:cs="仿宋"/>
          <w:sz w:val="32"/>
          <w:szCs w:val="36"/>
          <w:highlight w:val="none"/>
        </w:rPr>
      </w:pPr>
      <w:bookmarkStart w:id="80" w:name="_Toc13700"/>
      <w:bookmarkStart w:id="81" w:name="_Toc21838"/>
      <w:bookmarkStart w:id="82" w:name="_Toc6759"/>
      <w:bookmarkStart w:id="83" w:name="_Toc519156743"/>
      <w:bookmarkStart w:id="84" w:name="_Toc26950"/>
      <w:bookmarkStart w:id="85" w:name="_Toc12452"/>
      <w:r>
        <w:rPr>
          <w:rFonts w:hint="eastAsia" w:ascii="仿宋" w:hAnsi="仿宋" w:eastAsia="仿宋" w:cs="仿宋"/>
          <w:sz w:val="32"/>
          <w:szCs w:val="36"/>
          <w:highlight w:val="none"/>
        </w:rPr>
        <w:t>七、确定成交人、成交通知与签约</w:t>
      </w:r>
      <w:bookmarkEnd w:id="80"/>
      <w:bookmarkEnd w:id="81"/>
      <w:bookmarkEnd w:id="82"/>
      <w:bookmarkEnd w:id="83"/>
      <w:bookmarkEnd w:id="84"/>
      <w:bookmarkEnd w:id="85"/>
    </w:p>
    <w:p w14:paraId="7BEDE9A8">
      <w:pPr>
        <w:spacing w:line="460" w:lineRule="exact"/>
        <w:rPr>
          <w:rFonts w:ascii="仿宋" w:hAnsi="仿宋" w:eastAsia="仿宋" w:cs="仿宋"/>
          <w:b/>
          <w:highlight w:val="none"/>
        </w:rPr>
      </w:pPr>
      <w:bookmarkStart w:id="86" w:name="_Toc19721"/>
      <w:bookmarkStart w:id="87" w:name="_Toc23113"/>
      <w:bookmarkStart w:id="88" w:name="_Toc519156744"/>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3"/>
        <w:rPr>
          <w:rFonts w:ascii="仿宋" w:hAnsi="仿宋" w:eastAsia="仿宋" w:cs="仿宋"/>
          <w:sz w:val="32"/>
          <w:szCs w:val="36"/>
          <w:highlight w:val="none"/>
        </w:rPr>
      </w:pPr>
      <w:bookmarkStart w:id="89" w:name="_Toc5765"/>
      <w:bookmarkStart w:id="90" w:name="_Toc12773"/>
      <w:bookmarkStart w:id="91" w:name="_Toc26927"/>
      <w:r>
        <w:rPr>
          <w:rFonts w:hint="eastAsia" w:ascii="仿宋" w:hAnsi="仿宋" w:eastAsia="仿宋" w:cs="仿宋"/>
          <w:sz w:val="32"/>
          <w:szCs w:val="36"/>
          <w:highlight w:val="none"/>
        </w:rPr>
        <w:t>八、其他事项</w:t>
      </w:r>
      <w:bookmarkEnd w:id="86"/>
      <w:bookmarkEnd w:id="87"/>
      <w:bookmarkEnd w:id="88"/>
      <w:bookmarkEnd w:id="89"/>
      <w:bookmarkEnd w:id="90"/>
      <w:bookmarkEnd w:id="91"/>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3"/>
        <w:rPr>
          <w:rFonts w:ascii="仿宋" w:hAnsi="仿宋" w:eastAsia="仿宋" w:cs="仿宋"/>
          <w:sz w:val="32"/>
          <w:szCs w:val="36"/>
          <w:highlight w:val="none"/>
        </w:rPr>
      </w:pPr>
      <w:bookmarkStart w:id="92" w:name="_Toc23884"/>
      <w:bookmarkStart w:id="93" w:name="_Toc519156745"/>
      <w:bookmarkStart w:id="94" w:name="_Toc30935"/>
      <w:bookmarkStart w:id="95" w:name="_Toc5011"/>
      <w:bookmarkStart w:id="96" w:name="_Toc13422"/>
      <w:bookmarkStart w:id="97" w:name="_Toc23647"/>
      <w:bookmarkStart w:id="98" w:name="_Toc23716"/>
      <w:r>
        <w:rPr>
          <w:rFonts w:hint="eastAsia" w:ascii="仿宋" w:hAnsi="仿宋" w:eastAsia="仿宋" w:cs="仿宋"/>
          <w:sz w:val="32"/>
          <w:szCs w:val="36"/>
          <w:highlight w:val="none"/>
        </w:rPr>
        <w:t>九、成交服务费</w:t>
      </w:r>
      <w:bookmarkEnd w:id="92"/>
      <w:bookmarkEnd w:id="93"/>
      <w:bookmarkEnd w:id="94"/>
      <w:bookmarkEnd w:id="95"/>
      <w:bookmarkEnd w:id="96"/>
      <w:bookmarkEnd w:id="97"/>
      <w:bookmarkEnd w:id="98"/>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39.招标代理服务费</w:t>
      </w:r>
    </w:p>
    <w:p w14:paraId="1B54CC10">
      <w:pPr>
        <w:spacing w:line="500" w:lineRule="exact"/>
        <w:jc w:val="left"/>
        <w:rPr>
          <w:rFonts w:hint="eastAsia" w:ascii="仿宋" w:hAnsi="仿宋" w:eastAsia="仿宋" w:cs="仿宋"/>
          <w:highlight w:val="none"/>
        </w:rPr>
      </w:pPr>
      <w:r>
        <w:rPr>
          <w:rFonts w:hint="eastAsia" w:ascii="仿宋" w:hAnsi="仿宋" w:eastAsia="仿宋" w:cs="仿宋"/>
          <w:highlight w:val="none"/>
        </w:rPr>
        <w:t>本项目招标代理服务费实行市场调节价，采用差额定率累进法计费，</w:t>
      </w:r>
      <w:r>
        <w:rPr>
          <w:rFonts w:hint="eastAsia" w:ascii="仿宋" w:hAnsi="仿宋" w:eastAsia="仿宋" w:cs="仿宋"/>
          <w:highlight w:val="none"/>
          <w:lang w:val="en-US" w:eastAsia="zh-CN"/>
        </w:rPr>
        <w:t>以中标金额为计费基数，</w:t>
      </w:r>
      <w:r>
        <w:rPr>
          <w:rFonts w:hint="eastAsia" w:ascii="仿宋" w:hAnsi="仿宋" w:eastAsia="仿宋" w:cs="仿宋"/>
          <w:highlight w:val="none"/>
        </w:rPr>
        <w:t>由中标人在领取中标通知书前一次性支付，如本项目</w:t>
      </w:r>
      <w:r>
        <w:rPr>
          <w:rFonts w:hint="eastAsia" w:ascii="仿宋" w:hAnsi="仿宋" w:eastAsia="仿宋" w:cs="仿宋"/>
          <w:highlight w:val="none"/>
          <w:lang w:val="en-US" w:eastAsia="zh-CN"/>
        </w:rPr>
        <w:t>代理</w:t>
      </w:r>
      <w:r>
        <w:rPr>
          <w:rFonts w:hint="eastAsia" w:ascii="仿宋" w:hAnsi="仿宋" w:eastAsia="仿宋" w:cs="仿宋"/>
          <w:highlight w:val="none"/>
        </w:rPr>
        <w:t>服务费不足陆仟元则按陆仟元</w:t>
      </w:r>
      <w:r>
        <w:rPr>
          <w:rFonts w:hint="eastAsia" w:ascii="仿宋" w:hAnsi="仿宋" w:eastAsia="仿宋" w:cs="仿宋"/>
          <w:highlight w:val="none"/>
          <w:lang w:val="en-US" w:eastAsia="zh-CN"/>
        </w:rPr>
        <w:t>收取</w:t>
      </w:r>
      <w:r>
        <w:rPr>
          <w:rFonts w:hint="eastAsia" w:ascii="仿宋" w:hAnsi="仿宋" w:eastAsia="仿宋" w:cs="仿宋"/>
          <w:highlight w:val="none"/>
        </w:rPr>
        <w:t>。</w:t>
      </w:r>
    </w:p>
    <w:p w14:paraId="43EBD077">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银行户名：陕西德仁招标有限公司</w:t>
      </w:r>
    </w:p>
    <w:p w14:paraId="56F3A201">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开户银行：招商银行股份有限公司西安城南支行</w:t>
      </w:r>
    </w:p>
    <w:p w14:paraId="2082DC2F">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账    号：1299 0904 6810 901</w:t>
      </w:r>
    </w:p>
    <w:p w14:paraId="793E7166">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 xml:space="preserve">联 系 人：苏会计  </w:t>
      </w:r>
    </w:p>
    <w:p w14:paraId="41E1B378">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联系电话：029-89185132</w:t>
      </w:r>
    </w:p>
    <w:p w14:paraId="72AA749E">
      <w:pPr>
        <w:spacing w:line="500" w:lineRule="exact"/>
        <w:jc w:val="left"/>
        <w:rPr>
          <w:rFonts w:hint="default" w:ascii="仿宋" w:hAnsi="仿宋" w:eastAsia="仿宋" w:cs="仿宋"/>
          <w:highlight w:val="none"/>
          <w:lang w:val="en-US" w:eastAsia="zh-CN"/>
        </w:rPr>
      </w:pPr>
      <w:r>
        <w:rPr>
          <w:rFonts w:hint="default" w:ascii="仿宋" w:hAnsi="仿宋" w:eastAsia="仿宋" w:cs="仿宋"/>
          <w:highlight w:val="none"/>
          <w:lang w:val="en-US" w:eastAsia="zh-CN"/>
        </w:rPr>
        <w:t>邮    箱：</w:t>
      </w:r>
      <w:r>
        <w:rPr>
          <w:rFonts w:hint="default" w:ascii="仿宋" w:hAnsi="仿宋" w:eastAsia="仿宋" w:cs="仿宋"/>
          <w:highlight w:val="none"/>
          <w:lang w:val="en-US" w:eastAsia="zh-CN"/>
        </w:rPr>
        <w:fldChar w:fldCharType="begin"/>
      </w:r>
      <w:r>
        <w:rPr>
          <w:rFonts w:hint="default" w:ascii="仿宋" w:hAnsi="仿宋" w:eastAsia="仿宋" w:cs="仿宋"/>
          <w:highlight w:val="none"/>
          <w:lang w:val="en-US" w:eastAsia="zh-CN"/>
        </w:rPr>
        <w:instrText xml:space="preserve"> HYPERLINK "mailto:sxdrzb@qq.com" </w:instrText>
      </w:r>
      <w:r>
        <w:rPr>
          <w:rFonts w:hint="default" w:ascii="仿宋" w:hAnsi="仿宋" w:eastAsia="仿宋" w:cs="仿宋"/>
          <w:highlight w:val="none"/>
          <w:lang w:val="en-US" w:eastAsia="zh-CN"/>
        </w:rPr>
        <w:fldChar w:fldCharType="separate"/>
      </w:r>
      <w:r>
        <w:rPr>
          <w:rFonts w:hint="default" w:ascii="仿宋" w:hAnsi="仿宋" w:eastAsia="仿宋" w:cs="仿宋"/>
          <w:highlight w:val="none"/>
          <w:lang w:val="en-US" w:eastAsia="zh-CN"/>
        </w:rPr>
        <w:t>sxdrzb@qq.com</w:t>
      </w:r>
      <w:r>
        <w:rPr>
          <w:rFonts w:hint="default" w:ascii="仿宋" w:hAnsi="仿宋" w:eastAsia="仿宋" w:cs="仿宋"/>
          <w:highlight w:val="none"/>
          <w:lang w:val="en-US" w:eastAsia="zh-CN"/>
        </w:rPr>
        <w:fldChar w:fldCharType="end"/>
      </w:r>
    </w:p>
    <w:p w14:paraId="237F04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华文仿宋" w:eastAsia="仿宋_GB2312" w:cs="Times New Roman"/>
          <w:b/>
          <w:bCs/>
          <w:sz w:val="24"/>
          <w:highlight w:val="none"/>
        </w:rPr>
      </w:pPr>
      <w:r>
        <w:rPr>
          <w:rFonts w:hint="eastAsia" w:ascii="仿宋_GB2312" w:hAnsi="华文仿宋" w:eastAsia="仿宋_GB2312" w:cs="Times New Roman"/>
          <w:b/>
          <w:bCs/>
          <w:sz w:val="24"/>
          <w:highlight w:val="none"/>
          <w:lang w:val="en-US" w:eastAsia="zh-CN"/>
        </w:rPr>
        <w:t>具体费率如下：</w:t>
      </w:r>
    </w:p>
    <w:tbl>
      <w:tblPr>
        <w:tblStyle w:val="32"/>
        <w:tblW w:w="4743" w:type="pct"/>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9"/>
        <w:gridCol w:w="3941"/>
      </w:tblGrid>
      <w:tr w14:paraId="5F6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2822" w:type="pct"/>
            <w:noWrap w:val="0"/>
            <w:tcMar>
              <w:top w:w="30" w:type="dxa"/>
              <w:left w:w="150" w:type="dxa"/>
              <w:bottom w:w="30" w:type="dxa"/>
              <w:right w:w="150" w:type="dxa"/>
            </w:tcMar>
            <w:vAlign w:val="center"/>
          </w:tcPr>
          <w:p w14:paraId="7B1DC624">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-10160</wp:posOffset>
                      </wp:positionV>
                      <wp:extent cx="3248660" cy="632460"/>
                      <wp:effectExtent l="635" t="4445" r="8255" b="10795"/>
                      <wp:wrapNone/>
                      <wp:docPr id="2" name="直接连接符 2"/>
                      <wp:cNvGraphicFramePr/>
                      <a:graphic xmlns:a="http://schemas.openxmlformats.org/drawingml/2006/main">
                        <a:graphicData uri="http://schemas.microsoft.com/office/word/2010/wordprocessingShape">
                          <wps:wsp>
                            <wps:cNvCnPr/>
                            <wps:spPr>
                              <a:xfrm>
                                <a:off x="0" y="0"/>
                                <a:ext cx="3248660" cy="632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0.8pt;height:49.8pt;width:255.8pt;z-index:251660288;mso-width-relative:page;mso-height-relative:page;" filled="f" stroked="t" coordsize="21600,21600" o:gfxdata="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oF/YfXAAAACQEAAA8AAAAAAAAAAQAgAAAAIgAAAGRycy9kb3ducmV2LnhtbFBL&#10;AQIUABQAAAAIAIdO4kC3lAQ79wEAAOk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lang w:val="en-US" w:eastAsia="zh-CN"/>
              </w:rPr>
              <w:t>费率</w:t>
            </w:r>
          </w:p>
          <w:p w14:paraId="18A4EF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rPr>
            </w:pPr>
            <w:r>
              <w:rPr>
                <w:rFonts w:hint="eastAsia" w:ascii="仿宋" w:hAnsi="仿宋" w:eastAsia="仿宋" w:cs="仿宋"/>
                <w:bCs/>
                <w:sz w:val="24"/>
                <w:szCs w:val="24"/>
                <w:highlight w:val="none"/>
                <w:lang w:val="en-US" w:eastAsia="zh-CN"/>
              </w:rPr>
              <w:t>中标金额（万元）</w:t>
            </w:r>
          </w:p>
        </w:tc>
        <w:tc>
          <w:tcPr>
            <w:tcW w:w="2177" w:type="pct"/>
            <w:noWrap w:val="0"/>
            <w:tcMar>
              <w:top w:w="30" w:type="dxa"/>
              <w:left w:w="150" w:type="dxa"/>
              <w:bottom w:w="30" w:type="dxa"/>
              <w:right w:w="150" w:type="dxa"/>
            </w:tcMar>
            <w:vAlign w:val="center"/>
          </w:tcPr>
          <w:p w14:paraId="1EC3A38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服务招标</w:t>
            </w:r>
          </w:p>
        </w:tc>
      </w:tr>
      <w:tr w14:paraId="6997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43B1DA7F">
            <w:pPr>
              <w:jc w:val="center"/>
              <w:rPr>
                <w:rFonts w:hint="eastAsia" w:ascii="仿宋" w:hAnsi="仿宋" w:eastAsia="仿宋" w:cs="仿宋"/>
                <w:sz w:val="24"/>
                <w:szCs w:val="24"/>
              </w:rPr>
            </w:pPr>
            <w:r>
              <w:rPr>
                <w:rFonts w:hint="eastAsia" w:ascii="仿宋" w:hAnsi="仿宋" w:eastAsia="仿宋" w:cs="仿宋"/>
                <w:sz w:val="24"/>
                <w:szCs w:val="24"/>
                <w:lang w:val="en-US" w:eastAsia="zh-CN"/>
              </w:rPr>
              <w:t>100以下</w:t>
            </w:r>
          </w:p>
        </w:tc>
        <w:tc>
          <w:tcPr>
            <w:tcW w:w="2177" w:type="pct"/>
            <w:noWrap w:val="0"/>
            <w:tcMar>
              <w:top w:w="30" w:type="dxa"/>
              <w:left w:w="150" w:type="dxa"/>
              <w:bottom w:w="30" w:type="dxa"/>
              <w:right w:w="150" w:type="dxa"/>
            </w:tcMar>
            <w:vAlign w:val="center"/>
          </w:tcPr>
          <w:p w14:paraId="00AF486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1.5%</w:t>
            </w:r>
          </w:p>
        </w:tc>
      </w:tr>
      <w:tr w14:paraId="608C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49B19B0D">
            <w:pPr>
              <w:jc w:val="center"/>
              <w:rPr>
                <w:rFonts w:hint="eastAsia" w:ascii="仿宋" w:hAnsi="仿宋" w:eastAsia="仿宋" w:cs="仿宋"/>
                <w:sz w:val="24"/>
                <w:szCs w:val="24"/>
              </w:rPr>
            </w:pPr>
            <w:r>
              <w:rPr>
                <w:rFonts w:hint="eastAsia" w:ascii="仿宋" w:hAnsi="仿宋" w:eastAsia="仿宋" w:cs="仿宋"/>
                <w:sz w:val="24"/>
                <w:szCs w:val="24"/>
                <w:lang w:val="en-US" w:eastAsia="zh-CN"/>
              </w:rPr>
              <w:t>100-500</w:t>
            </w:r>
          </w:p>
        </w:tc>
        <w:tc>
          <w:tcPr>
            <w:tcW w:w="2177" w:type="pct"/>
            <w:noWrap w:val="0"/>
            <w:tcMar>
              <w:top w:w="30" w:type="dxa"/>
              <w:left w:w="150" w:type="dxa"/>
              <w:bottom w:w="30" w:type="dxa"/>
              <w:right w:w="150" w:type="dxa"/>
            </w:tcMar>
            <w:vAlign w:val="center"/>
          </w:tcPr>
          <w:p w14:paraId="3241DA5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0.8%</w:t>
            </w:r>
          </w:p>
        </w:tc>
      </w:tr>
      <w:tr w14:paraId="2002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235C0105">
            <w:pPr>
              <w:jc w:val="center"/>
              <w:rPr>
                <w:rFonts w:hint="eastAsia" w:ascii="仿宋" w:hAnsi="仿宋" w:eastAsia="仿宋" w:cs="仿宋"/>
                <w:sz w:val="24"/>
                <w:szCs w:val="24"/>
              </w:rPr>
            </w:pPr>
            <w:r>
              <w:rPr>
                <w:rFonts w:hint="eastAsia" w:ascii="仿宋" w:hAnsi="仿宋" w:eastAsia="仿宋" w:cs="仿宋"/>
                <w:sz w:val="24"/>
                <w:szCs w:val="24"/>
                <w:lang w:val="en-US" w:eastAsia="zh-CN"/>
              </w:rPr>
              <w:t>500-1000</w:t>
            </w:r>
          </w:p>
        </w:tc>
        <w:tc>
          <w:tcPr>
            <w:tcW w:w="2177" w:type="pct"/>
            <w:noWrap w:val="0"/>
            <w:tcMar>
              <w:top w:w="30" w:type="dxa"/>
              <w:left w:w="150" w:type="dxa"/>
              <w:bottom w:w="30" w:type="dxa"/>
              <w:right w:w="150" w:type="dxa"/>
            </w:tcMar>
            <w:vAlign w:val="center"/>
          </w:tcPr>
          <w:p w14:paraId="45E439E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0.45%</w:t>
            </w:r>
          </w:p>
        </w:tc>
      </w:tr>
      <w:tr w14:paraId="2D00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71D8130B">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1000-5000</w:t>
            </w:r>
          </w:p>
        </w:tc>
        <w:tc>
          <w:tcPr>
            <w:tcW w:w="2177" w:type="pct"/>
            <w:noWrap w:val="0"/>
            <w:tcMar>
              <w:top w:w="30" w:type="dxa"/>
              <w:left w:w="150" w:type="dxa"/>
              <w:bottom w:w="30" w:type="dxa"/>
              <w:right w:w="150" w:type="dxa"/>
            </w:tcMar>
            <w:vAlign w:val="center"/>
          </w:tcPr>
          <w:p w14:paraId="3FD0DC2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0.25%</w:t>
            </w:r>
          </w:p>
        </w:tc>
      </w:tr>
      <w:tr w14:paraId="6F67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0F2A2431">
            <w:pPr>
              <w:jc w:val="center"/>
              <w:rPr>
                <w:rFonts w:hint="eastAsia" w:ascii="仿宋" w:hAnsi="仿宋" w:eastAsia="仿宋" w:cs="仿宋"/>
                <w:sz w:val="24"/>
                <w:szCs w:val="24"/>
              </w:rPr>
            </w:pPr>
            <w:r>
              <w:rPr>
                <w:rFonts w:hint="eastAsia" w:ascii="仿宋" w:hAnsi="仿宋" w:eastAsia="仿宋" w:cs="仿宋"/>
                <w:sz w:val="24"/>
                <w:szCs w:val="24"/>
                <w:lang w:val="en-US" w:eastAsia="zh-CN"/>
              </w:rPr>
              <w:t>5000-10000</w:t>
            </w:r>
          </w:p>
        </w:tc>
        <w:tc>
          <w:tcPr>
            <w:tcW w:w="2177" w:type="pct"/>
            <w:noWrap w:val="0"/>
            <w:tcMar>
              <w:top w:w="30" w:type="dxa"/>
              <w:left w:w="150" w:type="dxa"/>
              <w:bottom w:w="30" w:type="dxa"/>
              <w:right w:w="150" w:type="dxa"/>
            </w:tcMar>
            <w:vAlign w:val="center"/>
          </w:tcPr>
          <w:p w14:paraId="133E47C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0.1%</w:t>
            </w:r>
          </w:p>
        </w:tc>
      </w:tr>
      <w:tr w14:paraId="61DB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822" w:type="pct"/>
            <w:noWrap w:val="0"/>
            <w:tcMar>
              <w:top w:w="30" w:type="dxa"/>
              <w:left w:w="150" w:type="dxa"/>
              <w:bottom w:w="30" w:type="dxa"/>
              <w:right w:w="150" w:type="dxa"/>
            </w:tcMar>
            <w:vAlign w:val="center"/>
          </w:tcPr>
          <w:p w14:paraId="116CEB32">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10000-100000</w:t>
            </w:r>
          </w:p>
        </w:tc>
        <w:tc>
          <w:tcPr>
            <w:tcW w:w="2177" w:type="pct"/>
            <w:noWrap w:val="0"/>
            <w:tcMar>
              <w:top w:w="30" w:type="dxa"/>
              <w:left w:w="150" w:type="dxa"/>
              <w:bottom w:w="30" w:type="dxa"/>
              <w:right w:w="150" w:type="dxa"/>
            </w:tcMar>
            <w:vAlign w:val="center"/>
          </w:tcPr>
          <w:p w14:paraId="353DA8F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0.05%</w:t>
            </w:r>
          </w:p>
        </w:tc>
      </w:tr>
      <w:tr w14:paraId="3BB1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2822" w:type="pct"/>
            <w:noWrap w:val="0"/>
            <w:tcMar>
              <w:top w:w="30" w:type="dxa"/>
              <w:left w:w="150" w:type="dxa"/>
              <w:bottom w:w="30" w:type="dxa"/>
              <w:right w:w="150" w:type="dxa"/>
            </w:tcMar>
            <w:vAlign w:val="center"/>
          </w:tcPr>
          <w:p w14:paraId="5D595A13">
            <w:pPr>
              <w:jc w:val="center"/>
              <w:rPr>
                <w:rFonts w:hint="eastAsia" w:ascii="仿宋" w:hAnsi="仿宋" w:eastAsia="仿宋" w:cs="仿宋"/>
                <w:sz w:val="24"/>
                <w:szCs w:val="24"/>
              </w:rPr>
            </w:pPr>
            <w:r>
              <w:rPr>
                <w:rFonts w:hint="eastAsia" w:ascii="仿宋" w:hAnsi="仿宋" w:eastAsia="仿宋" w:cs="仿宋"/>
                <w:sz w:val="24"/>
                <w:szCs w:val="24"/>
                <w:lang w:val="en-US" w:eastAsia="zh-CN"/>
              </w:rPr>
              <w:t>100000以上</w:t>
            </w:r>
          </w:p>
        </w:tc>
        <w:tc>
          <w:tcPr>
            <w:tcW w:w="2177" w:type="pct"/>
            <w:noWrap w:val="0"/>
            <w:tcMar>
              <w:top w:w="30" w:type="dxa"/>
              <w:left w:w="150" w:type="dxa"/>
              <w:bottom w:w="30" w:type="dxa"/>
              <w:right w:w="150" w:type="dxa"/>
            </w:tcMar>
            <w:vAlign w:val="center"/>
          </w:tcPr>
          <w:p w14:paraId="40C7CB6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0.01%</w:t>
            </w:r>
          </w:p>
        </w:tc>
      </w:tr>
    </w:tbl>
    <w:p w14:paraId="06138122">
      <w:pPr>
        <w:pStyle w:val="10"/>
      </w:pPr>
    </w:p>
    <w:p w14:paraId="3E98BDCB">
      <w:pPr>
        <w:pStyle w:val="3"/>
        <w:rPr>
          <w:rFonts w:ascii="仿宋" w:hAnsi="仿宋" w:eastAsia="仿宋" w:cs="仿宋"/>
          <w:sz w:val="32"/>
          <w:szCs w:val="36"/>
          <w:highlight w:val="none"/>
        </w:rPr>
      </w:pPr>
      <w:bookmarkStart w:id="99" w:name="_Toc10336"/>
      <w:bookmarkStart w:id="100" w:name="_Toc32429"/>
      <w:bookmarkStart w:id="101" w:name="_Toc5878"/>
      <w:bookmarkStart w:id="102" w:name="_Toc5109"/>
      <w:r>
        <w:rPr>
          <w:rFonts w:hint="eastAsia" w:ascii="仿宋" w:hAnsi="仿宋" w:eastAsia="仿宋" w:cs="仿宋"/>
          <w:sz w:val="32"/>
          <w:szCs w:val="36"/>
          <w:highlight w:val="none"/>
        </w:rPr>
        <w:t>十、质疑</w:t>
      </w:r>
      <w:bookmarkEnd w:id="99"/>
      <w:bookmarkEnd w:id="100"/>
      <w:bookmarkEnd w:id="101"/>
      <w:bookmarkEnd w:id="102"/>
    </w:p>
    <w:p w14:paraId="2D1B567D">
      <w:pPr>
        <w:pStyle w:val="10"/>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5"/>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联系人：贺培文、张海燕、赵璐、苏庆春</w:t>
      </w:r>
    </w:p>
    <w:p w14:paraId="72727EC4">
      <w:pPr>
        <w:pStyle w:val="15"/>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5"/>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6E5E28A">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5"/>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087A38F5">
      <w:pPr>
        <w:pStyle w:val="15"/>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5"/>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5"/>
        <w:rPr>
          <w:rFonts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2131D7E8">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5"/>
        <w:rPr>
          <w:rFonts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773DA943">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5"/>
        <w:rPr>
          <w:rFonts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093B3B40">
      <w:pPr>
        <w:rPr>
          <w:rFonts w:hint="eastAsia" w:ascii="仿宋" w:hAnsi="仿宋" w:eastAsia="仿宋" w:cs="仿宋"/>
          <w:sz w:val="36"/>
          <w:szCs w:val="36"/>
          <w:lang w:val="en-US" w:eastAsia="zh-CN"/>
        </w:rPr>
      </w:pPr>
      <w:bookmarkStart w:id="103" w:name="_Toc18360"/>
      <w:bookmarkStart w:id="104" w:name="_Toc21558"/>
      <w:r>
        <w:rPr>
          <w:rFonts w:hint="eastAsia" w:ascii="仿宋" w:hAnsi="仿宋" w:eastAsia="仿宋" w:cs="仿宋"/>
          <w:sz w:val="36"/>
          <w:szCs w:val="36"/>
          <w:lang w:val="en-US" w:eastAsia="zh-CN"/>
        </w:rPr>
        <w:br w:type="page"/>
      </w:r>
    </w:p>
    <w:p w14:paraId="6F508111">
      <w:pPr>
        <w:pStyle w:val="2"/>
        <w:bidi w:val="0"/>
        <w:rPr>
          <w:rFonts w:hint="eastAsia" w:ascii="仿宋" w:hAnsi="仿宋" w:eastAsia="仿宋" w:cs="仿宋"/>
          <w:sz w:val="36"/>
          <w:szCs w:val="36"/>
          <w:lang w:val="en-US" w:eastAsia="zh-CN"/>
        </w:rPr>
      </w:pPr>
      <w:bookmarkStart w:id="105" w:name="_Toc2827"/>
      <w:r>
        <w:rPr>
          <w:rFonts w:hint="eastAsia" w:ascii="仿宋" w:hAnsi="仿宋" w:eastAsia="仿宋" w:cs="仿宋"/>
          <w:sz w:val="36"/>
          <w:szCs w:val="36"/>
          <w:lang w:val="en-US" w:eastAsia="zh-CN"/>
        </w:rPr>
        <w:t xml:space="preserve">第三章  </w:t>
      </w:r>
      <w:bookmarkEnd w:id="103"/>
      <w:bookmarkEnd w:id="104"/>
      <w:r>
        <w:rPr>
          <w:rFonts w:hint="eastAsia" w:ascii="仿宋" w:hAnsi="仿宋" w:eastAsia="仿宋" w:cs="仿宋"/>
          <w:sz w:val="36"/>
          <w:szCs w:val="36"/>
          <w:lang w:val="en-US" w:eastAsia="zh-CN"/>
        </w:rPr>
        <w:t>评审办法及标准</w:t>
      </w:r>
      <w:bookmarkEnd w:id="105"/>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3名供应商。</w:t>
      </w:r>
    </w:p>
    <w:p w14:paraId="7F608E74">
      <w:pPr>
        <w:spacing w:line="460" w:lineRule="exact"/>
        <w:rPr>
          <w:rFonts w:ascii="仿宋" w:hAnsi="仿宋" w:eastAsia="仿宋" w:cs="仿宋"/>
          <w:b/>
          <w:bCs/>
          <w:highlight w:val="none"/>
        </w:rPr>
      </w:pPr>
      <w:r>
        <w:rPr>
          <w:rFonts w:hint="eastAsia" w:ascii="仿宋" w:hAnsi="仿宋" w:eastAsia="仿宋" w:cs="仿宋"/>
          <w:b/>
          <w:bCs/>
          <w:highlight w:val="none"/>
        </w:rPr>
        <w:t>2.磋商</w:t>
      </w:r>
    </w:p>
    <w:p w14:paraId="3DCDE17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14:paraId="52D46BE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hint="eastAsia" w:ascii="仿宋" w:hAnsi="仿宋" w:eastAsia="仿宋" w:cs="仿宋"/>
                <w:highlight w:val="none"/>
                <w:lang w:eastAsia="zh-CN"/>
              </w:rPr>
            </w:pPr>
            <w:r>
              <w:rPr>
                <w:rFonts w:hint="eastAsia" w:ascii="仿宋" w:hAnsi="仿宋" w:eastAsia="仿宋" w:cs="仿宋"/>
                <w:highlight w:val="none"/>
              </w:rPr>
              <w:t>供应商名称和公章、营业执照一致</w:t>
            </w:r>
            <w:r>
              <w:rPr>
                <w:rFonts w:hint="eastAsia" w:ascii="仿宋" w:hAnsi="仿宋" w:eastAsia="仿宋" w:cs="仿宋"/>
                <w:highlight w:val="none"/>
                <w:lang w:eastAsia="zh-CN"/>
              </w:rPr>
              <w:t>；</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highlight w:val="none"/>
              </w:rPr>
            </w:pPr>
            <w:r>
              <w:rPr>
                <w:rFonts w:hint="eastAsia" w:ascii="仿宋" w:hAnsi="仿宋" w:eastAsia="仿宋" w:cs="仿宋"/>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hint="eastAsia" w:ascii="仿宋" w:hAnsi="仿宋" w:eastAsia="仿宋" w:cs="仿宋"/>
                <w:highlight w:val="none"/>
                <w:lang w:eastAsia="zh-CN"/>
              </w:rPr>
            </w:pPr>
            <w:r>
              <w:rPr>
                <w:rFonts w:hint="eastAsia" w:ascii="仿宋" w:hAnsi="仿宋" w:eastAsia="仿宋" w:cs="仿宋"/>
                <w:highlight w:val="none"/>
              </w:rPr>
              <w:t>自磋商之日起不少于90个日历日</w:t>
            </w:r>
            <w:r>
              <w:rPr>
                <w:rFonts w:hint="eastAsia" w:ascii="仿宋" w:hAnsi="仿宋" w:eastAsia="仿宋" w:cs="仿宋"/>
                <w:highlight w:val="none"/>
                <w:lang w:eastAsia="zh-CN"/>
              </w:rPr>
              <w:t>；</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highlight w:val="none"/>
              </w:rPr>
            </w:pPr>
            <w:r>
              <w:rPr>
                <w:rFonts w:hint="eastAsia" w:ascii="仿宋" w:hAnsi="仿宋" w:eastAsia="仿宋" w:cs="仿宋"/>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w:t>
            </w:r>
            <w:r>
              <w:rPr>
                <w:rFonts w:hint="eastAsia" w:ascii="仿宋" w:hAnsi="仿宋" w:eastAsia="仿宋" w:cs="仿宋"/>
                <w:highlight w:val="none"/>
                <w:lang w:val="en-US" w:eastAsia="zh-CN"/>
              </w:rPr>
              <w:t>限、付款方式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hint="eastAsia" w:ascii="仿宋" w:hAnsi="仿宋" w:eastAsia="仿宋" w:cs="仿宋"/>
                <w:highlight w:val="none"/>
                <w:lang w:eastAsia="zh-CN"/>
              </w:rPr>
            </w:pPr>
            <w:r>
              <w:rPr>
                <w:rFonts w:hint="eastAsia" w:ascii="仿宋" w:hAnsi="仿宋" w:eastAsia="仿宋" w:cs="仿宋"/>
                <w:highlight w:val="none"/>
              </w:rPr>
              <w:t>满足磋商文件要求</w:t>
            </w:r>
            <w:r>
              <w:rPr>
                <w:rFonts w:hint="eastAsia" w:ascii="仿宋" w:hAnsi="仿宋" w:eastAsia="仿宋" w:cs="仿宋"/>
                <w:highlight w:val="none"/>
                <w:lang w:eastAsia="zh-CN"/>
              </w:rPr>
              <w:t>；</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3213795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FB091A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6961AE">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5FE475">
            <w:pPr>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47E6190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4磋商小组关于启动异常低价响应审查</w:t>
      </w:r>
    </w:p>
    <w:p w14:paraId="1FC4A4A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4.1评审中出现下列情形之一的，磋商小组应当启动异常低价响应审查程序： </w:t>
      </w:r>
    </w:p>
    <w:p w14:paraId="2E9107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1.响应报价低于全部通过符合性审查供应商响应报价平均值50%的，即响应报价&lt;全部通过符合性审查供应商响应报价平均值×50%； </w:t>
      </w:r>
    </w:p>
    <w:p w14:paraId="20EB99F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2.响应报价低于通过符合性审查的次低报价供应商响应报价50%的，即响应报价&lt;通过符合性审查的次低报价供应商响应报价×50%； </w:t>
      </w:r>
    </w:p>
    <w:p w14:paraId="69279AA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3.响应报价低于采购项目最高限价45%的，即响应报价&lt;采购项目最高限价×45%； </w:t>
      </w:r>
    </w:p>
    <w:p w14:paraId="67A38DE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4.磋商小组基于专业判断，认为供应商报价过低，有可能影响产品质量或者不能诚信履约的其他情形。 </w:t>
      </w:r>
    </w:p>
    <w:p w14:paraId="3B9D2D5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19F728C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响应供应商不能提供书面说明、证明材料，或者提供的书面说明、证明材料不能证明其报价合理性的，磋商小组应当将其作为无效响应处理。</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4.3供应商提交的相关说明和证明材料，应当加盖供应商公章，在磋商小组要求的时间内进行提交，否则提交的相关证明材料无效。供应商不能证明其响应报价合理性的，磋商小组应当将其响应文件作为无效处理。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1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0"/>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4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6563"/>
        <w:gridCol w:w="751"/>
      </w:tblGrid>
      <w:tr w14:paraId="1011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9" w:type="pct"/>
            <w:vAlign w:val="center"/>
          </w:tcPr>
          <w:p w14:paraId="545E623E">
            <w:pPr>
              <w:widowControl/>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评审指标</w:t>
            </w:r>
          </w:p>
        </w:tc>
        <w:tc>
          <w:tcPr>
            <w:tcW w:w="3742" w:type="pct"/>
            <w:vAlign w:val="center"/>
          </w:tcPr>
          <w:p w14:paraId="22D5013D">
            <w:pPr>
              <w:widowControl/>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评审规则</w:t>
            </w:r>
          </w:p>
        </w:tc>
        <w:tc>
          <w:tcPr>
            <w:tcW w:w="428" w:type="pct"/>
            <w:vAlign w:val="center"/>
          </w:tcPr>
          <w:p w14:paraId="7C8EB8CB">
            <w:pPr>
              <w:widowControl/>
              <w:spacing w:line="240" w:lineRule="auto"/>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分值</w:t>
            </w:r>
          </w:p>
        </w:tc>
      </w:tr>
      <w:tr w14:paraId="121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29" w:type="pct"/>
            <w:vAlign w:val="center"/>
          </w:tcPr>
          <w:p w14:paraId="0C655ABC">
            <w:pPr>
              <w:widowControl/>
              <w:spacing w:line="360" w:lineRule="auto"/>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color w:val="auto"/>
                <w:kern w:val="0"/>
                <w:sz w:val="24"/>
                <w:szCs w:val="24"/>
                <w:highlight w:val="none"/>
                <w:lang w:bidi="ar"/>
              </w:rPr>
              <w:t>磋商报价</w:t>
            </w:r>
          </w:p>
        </w:tc>
        <w:tc>
          <w:tcPr>
            <w:tcW w:w="3742" w:type="pct"/>
            <w:vAlign w:val="center"/>
          </w:tcPr>
          <w:p w14:paraId="1897264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采用低价优先法计算即满足</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文件要求且</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价格最低的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报价为</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基准价，其价格为</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的价格分按照下列公式计算：</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报价得分＝（</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基准价/</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%×100。</w:t>
            </w:r>
            <w:r>
              <w:rPr>
                <w:rFonts w:hint="eastAsia" w:ascii="仿宋" w:hAnsi="仿宋" w:eastAsia="仿宋" w:cs="仿宋"/>
                <w:bCs/>
                <w:sz w:val="24"/>
                <w:szCs w:val="24"/>
                <w:highlight w:val="none"/>
              </w:rPr>
              <w:t>小数点后保留2位，四舍五入</w:t>
            </w:r>
            <w:r>
              <w:rPr>
                <w:rFonts w:hint="eastAsia" w:ascii="仿宋" w:hAnsi="仿宋" w:eastAsia="仿宋" w:cs="仿宋"/>
                <w:bCs/>
                <w:sz w:val="24"/>
                <w:szCs w:val="24"/>
                <w:highlight w:val="none"/>
                <w:lang w:eastAsia="zh-CN"/>
              </w:rPr>
              <w:t>。</w:t>
            </w:r>
          </w:p>
          <w:p w14:paraId="4A9CDAE8">
            <w:pPr>
              <w:widowControl/>
              <w:spacing w:line="24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本项目为专门面向中小企业采购的采购项目，不再执行价格评审优惠扶持政策。</w:t>
            </w:r>
          </w:p>
        </w:tc>
        <w:tc>
          <w:tcPr>
            <w:tcW w:w="428" w:type="pct"/>
            <w:vAlign w:val="center"/>
          </w:tcPr>
          <w:p w14:paraId="7184FA7D">
            <w:pPr>
              <w:widowControl/>
              <w:spacing w:line="240" w:lineRule="auto"/>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20</w:t>
            </w:r>
          </w:p>
        </w:tc>
      </w:tr>
      <w:tr w14:paraId="083C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9" w:type="pct"/>
            <w:vAlign w:val="center"/>
          </w:tcPr>
          <w:p w14:paraId="6214AA85">
            <w:pPr>
              <w:pStyle w:val="10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整体服务方案</w:t>
            </w:r>
          </w:p>
        </w:tc>
        <w:tc>
          <w:tcPr>
            <w:tcW w:w="3742" w:type="pct"/>
            <w:vAlign w:val="center"/>
          </w:tcPr>
          <w:p w14:paraId="764BE222">
            <w:pPr>
              <w:keepNext w:val="0"/>
              <w:keepLines w:val="0"/>
              <w:widowControl/>
              <w:numPr>
                <w:ilvl w:val="0"/>
                <w:numId w:val="0"/>
              </w:numPr>
              <w:suppressLineNumbers w:val="0"/>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一、评审因素</w:t>
            </w:r>
          </w:p>
          <w:p w14:paraId="14305ABA">
            <w:pPr>
              <w:pStyle w:val="10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针对本项目提供</w:t>
            </w:r>
            <w:r>
              <w:rPr>
                <w:rFonts w:hint="eastAsia" w:ascii="仿宋" w:hAnsi="仿宋" w:eastAsia="仿宋" w:cs="仿宋"/>
                <w:color w:val="auto"/>
                <w:sz w:val="24"/>
                <w:szCs w:val="24"/>
                <w:highlight w:val="none"/>
                <w:lang w:val="en-US" w:eastAsia="zh-CN"/>
              </w:rPr>
              <w:t>整体服务方案</w:t>
            </w:r>
            <w:r>
              <w:rPr>
                <w:rFonts w:hint="eastAsia" w:ascii="仿宋" w:hAnsi="仿宋" w:eastAsia="仿宋" w:cs="仿宋"/>
                <w:sz w:val="24"/>
                <w:szCs w:val="24"/>
              </w:rPr>
              <w:t>，包括但不限于：</w:t>
            </w:r>
            <w:r>
              <w:rPr>
                <w:rFonts w:hint="eastAsia" w:ascii="仿宋" w:hAnsi="仿宋" w:eastAsia="仿宋" w:cs="仿宋"/>
                <w:color w:val="auto"/>
                <w:sz w:val="24"/>
                <w:szCs w:val="24"/>
                <w:highlight w:val="none"/>
                <w:lang w:val="en-US" w:eastAsia="zh-CN"/>
              </w:rPr>
              <w:t>①项目理解及现状分析；②依据的相关标准及规范；③整体测绘服务方案（房屋调查、房产面积测算、房产图绘制等）；④工作流程（测量方法及流程、房产图绘制）；⑤组织架构及分工安排。</w:t>
            </w:r>
          </w:p>
          <w:p w14:paraId="67CDB11F">
            <w:pPr>
              <w:pStyle w:val="100"/>
              <w:rPr>
                <w:rFonts w:hint="eastAsia" w:ascii="仿宋" w:hAnsi="仿宋" w:eastAsia="仿宋" w:cs="仿宋"/>
                <w:sz w:val="24"/>
                <w:szCs w:val="24"/>
              </w:rPr>
            </w:pPr>
            <w:r>
              <w:rPr>
                <w:rFonts w:hint="eastAsia" w:ascii="仿宋" w:hAnsi="仿宋" w:eastAsia="仿宋" w:cs="仿宋"/>
                <w:b/>
                <w:bCs/>
                <w:sz w:val="24"/>
                <w:szCs w:val="24"/>
              </w:rPr>
              <w:t xml:space="preserve">二、评审标准 </w:t>
            </w:r>
          </w:p>
          <w:p w14:paraId="7C95F8DA">
            <w:pPr>
              <w:pStyle w:val="100"/>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537616B8">
            <w:pPr>
              <w:pStyle w:val="100"/>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059C142B">
            <w:pPr>
              <w:pStyle w:val="100"/>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6AE1E53B">
            <w:pPr>
              <w:pStyle w:val="100"/>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4AB05338">
            <w:pPr>
              <w:pStyle w:val="1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color w:val="auto"/>
                <w:sz w:val="24"/>
                <w:szCs w:val="24"/>
                <w:highlight w:val="none"/>
                <w:lang w:val="en-US" w:eastAsia="zh-CN"/>
              </w:rPr>
              <w:t>项目理解及现状分析</w:t>
            </w:r>
            <w:r>
              <w:rPr>
                <w:rFonts w:hint="eastAsia" w:ascii="仿宋" w:hAnsi="仿宋" w:eastAsia="仿宋" w:cs="仿宋"/>
                <w:sz w:val="24"/>
                <w:szCs w:val="24"/>
              </w:rPr>
              <w:t xml:space="preserve">：每完全满足一个评审标准得1分，满分3分。 </w:t>
            </w:r>
          </w:p>
          <w:p w14:paraId="5E5892B0">
            <w:pPr>
              <w:pStyle w:val="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eastAsia" w:ascii="仿宋" w:hAnsi="仿宋" w:eastAsia="仿宋" w:cs="仿宋"/>
                <w:color w:val="auto"/>
                <w:sz w:val="24"/>
                <w:szCs w:val="24"/>
                <w:highlight w:val="none"/>
                <w:lang w:val="en-US" w:eastAsia="zh-CN"/>
              </w:rPr>
              <w:t>依据的相关标准及规范</w:t>
            </w:r>
            <w:r>
              <w:rPr>
                <w:rFonts w:hint="eastAsia" w:ascii="仿宋" w:hAnsi="仿宋" w:eastAsia="仿宋" w:cs="仿宋"/>
                <w:sz w:val="24"/>
                <w:szCs w:val="24"/>
              </w:rPr>
              <w:t>：每完全满足一个评审标准得1分，满分3分。</w:t>
            </w:r>
          </w:p>
          <w:p w14:paraId="08FC9B59">
            <w:pPr>
              <w:pStyle w:val="100"/>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color w:val="auto"/>
                <w:sz w:val="24"/>
                <w:szCs w:val="24"/>
                <w:highlight w:val="none"/>
                <w:lang w:val="en-US" w:eastAsia="zh-CN"/>
              </w:rPr>
              <w:t>整体测绘服务方案</w:t>
            </w:r>
            <w:r>
              <w:rPr>
                <w:rFonts w:hint="eastAsia" w:ascii="仿宋" w:hAnsi="仿宋" w:eastAsia="仿宋" w:cs="仿宋"/>
                <w:sz w:val="24"/>
                <w:szCs w:val="24"/>
              </w:rPr>
              <w:t xml:space="preserve">：每完全满足一个评审标准得1分，满分3分。 </w:t>
            </w:r>
          </w:p>
          <w:p w14:paraId="15D21B1C">
            <w:pPr>
              <w:pStyle w:val="100"/>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color w:val="auto"/>
                <w:sz w:val="24"/>
                <w:szCs w:val="24"/>
                <w:highlight w:val="none"/>
                <w:lang w:val="en-US" w:eastAsia="zh-CN"/>
              </w:rPr>
              <w:t>工作流程</w:t>
            </w:r>
            <w:r>
              <w:rPr>
                <w:rFonts w:hint="eastAsia" w:ascii="仿宋" w:hAnsi="仿宋" w:eastAsia="仿宋" w:cs="仿宋"/>
                <w:sz w:val="24"/>
                <w:szCs w:val="24"/>
              </w:rPr>
              <w:t>：每完全满足一个评审标准得1分，满分3分。</w:t>
            </w:r>
          </w:p>
          <w:p w14:paraId="56DABB2C">
            <w:pPr>
              <w:pStyle w:val="10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⑤</w:t>
            </w:r>
            <w:r>
              <w:rPr>
                <w:rFonts w:hint="eastAsia" w:ascii="仿宋" w:hAnsi="仿宋" w:eastAsia="仿宋" w:cs="仿宋"/>
                <w:color w:val="auto"/>
                <w:sz w:val="24"/>
                <w:szCs w:val="24"/>
                <w:highlight w:val="none"/>
                <w:lang w:val="en-US" w:eastAsia="zh-CN"/>
              </w:rPr>
              <w:t>组织架构及分工安排</w:t>
            </w:r>
            <w:r>
              <w:rPr>
                <w:rFonts w:hint="eastAsia" w:ascii="仿宋" w:hAnsi="仿宋" w:eastAsia="仿宋" w:cs="仿宋"/>
                <w:sz w:val="24"/>
                <w:szCs w:val="24"/>
                <w:lang w:val="en-US" w:eastAsia="zh-CN"/>
              </w:rPr>
              <w:t>：</w:t>
            </w:r>
            <w:r>
              <w:rPr>
                <w:rFonts w:hint="eastAsia" w:ascii="仿宋" w:hAnsi="仿宋" w:eastAsia="仿宋" w:cs="仿宋"/>
                <w:sz w:val="24"/>
                <w:szCs w:val="24"/>
              </w:rPr>
              <w:t>每完全满足一个评审标准得1分，满分3分。</w:t>
            </w:r>
          </w:p>
        </w:tc>
        <w:tc>
          <w:tcPr>
            <w:tcW w:w="428" w:type="pct"/>
            <w:vAlign w:val="center"/>
          </w:tcPr>
          <w:p w14:paraId="4746D845">
            <w:pPr>
              <w:pStyle w:val="1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15</w:t>
            </w:r>
          </w:p>
        </w:tc>
      </w:tr>
      <w:tr w14:paraId="118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9" w:type="pct"/>
            <w:vAlign w:val="center"/>
          </w:tcPr>
          <w:p w14:paraId="28D98E0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技术实施</w:t>
            </w:r>
          </w:p>
          <w:p w14:paraId="4B117162">
            <w:pPr>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方案</w:t>
            </w:r>
          </w:p>
        </w:tc>
        <w:tc>
          <w:tcPr>
            <w:tcW w:w="3742" w:type="pct"/>
            <w:vAlign w:val="center"/>
          </w:tcPr>
          <w:p w14:paraId="3A6EB067">
            <w:pPr>
              <w:pStyle w:val="100"/>
              <w:jc w:val="left"/>
              <w:rPr>
                <w:rFonts w:hint="eastAsia" w:ascii="仿宋" w:hAnsi="仿宋" w:eastAsia="仿宋" w:cs="仿宋"/>
                <w:b/>
                <w:bCs/>
                <w:sz w:val="24"/>
                <w:szCs w:val="24"/>
              </w:rPr>
            </w:pPr>
            <w:r>
              <w:rPr>
                <w:rFonts w:hint="eastAsia" w:ascii="仿宋" w:hAnsi="仿宋" w:eastAsia="仿宋" w:cs="仿宋"/>
                <w:b/>
                <w:bCs/>
                <w:sz w:val="24"/>
                <w:szCs w:val="24"/>
              </w:rPr>
              <w:t>一、评审内容</w:t>
            </w:r>
          </w:p>
          <w:p w14:paraId="5BC07117">
            <w:pPr>
              <w:pStyle w:val="100"/>
              <w:jc w:val="left"/>
              <w:rPr>
                <w:rFonts w:hint="eastAsia" w:ascii="仿宋" w:hAnsi="仿宋" w:eastAsia="仿宋" w:cs="仿宋"/>
                <w:sz w:val="24"/>
                <w:szCs w:val="24"/>
              </w:rPr>
            </w:pPr>
            <w:r>
              <w:rPr>
                <w:rFonts w:hint="eastAsia" w:ascii="仿宋" w:hAnsi="仿宋" w:eastAsia="仿宋" w:cs="仿宋"/>
                <w:sz w:val="24"/>
                <w:szCs w:val="24"/>
              </w:rPr>
              <w:t>针对本项目提供技术实施方案，包括但不限于：</w:t>
            </w:r>
            <w:r>
              <w:rPr>
                <w:rFonts w:hint="eastAsia" w:ascii="仿宋" w:hAnsi="仿宋" w:eastAsia="仿宋" w:cs="仿宋"/>
                <w:color w:val="auto"/>
                <w:sz w:val="24"/>
                <w:szCs w:val="24"/>
                <w:highlight w:val="none"/>
                <w:lang w:val="en-US" w:eastAsia="zh-CN"/>
              </w:rPr>
              <w:t>①测绘使用的方法及技术；②具体工作内容及工序；③检查和质量评定；④数据质量管理及审核；⑤对本项目重点、难点的分析并提供合理的解决方案</w:t>
            </w:r>
            <w:r>
              <w:rPr>
                <w:rFonts w:hint="eastAsia" w:ascii="仿宋" w:hAnsi="仿宋" w:eastAsia="仿宋" w:cs="仿宋"/>
                <w:sz w:val="24"/>
                <w:szCs w:val="24"/>
              </w:rPr>
              <w:t>。</w:t>
            </w:r>
          </w:p>
          <w:p w14:paraId="74596053">
            <w:pPr>
              <w:pStyle w:val="100"/>
              <w:rPr>
                <w:rFonts w:hint="eastAsia" w:ascii="仿宋" w:hAnsi="仿宋" w:eastAsia="仿宋" w:cs="仿宋"/>
                <w:sz w:val="24"/>
                <w:szCs w:val="24"/>
              </w:rPr>
            </w:pPr>
            <w:r>
              <w:rPr>
                <w:rFonts w:hint="eastAsia" w:ascii="仿宋" w:hAnsi="仿宋" w:eastAsia="仿宋" w:cs="仿宋"/>
                <w:b/>
                <w:bCs/>
                <w:sz w:val="24"/>
                <w:szCs w:val="24"/>
              </w:rPr>
              <w:t xml:space="preserve">二、评审标准 </w:t>
            </w:r>
          </w:p>
          <w:p w14:paraId="062B1CFE">
            <w:pPr>
              <w:pStyle w:val="100"/>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12C9D8F9">
            <w:pPr>
              <w:pStyle w:val="100"/>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56713A41">
            <w:pPr>
              <w:pStyle w:val="100"/>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24BA33B9">
            <w:pPr>
              <w:pStyle w:val="100"/>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37009311">
            <w:pPr>
              <w:pStyle w:val="1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color w:val="auto"/>
                <w:sz w:val="24"/>
                <w:szCs w:val="24"/>
                <w:highlight w:val="none"/>
                <w:lang w:val="en-US" w:eastAsia="zh-CN"/>
              </w:rPr>
              <w:t>测绘使用的方法及技术</w:t>
            </w:r>
            <w:r>
              <w:rPr>
                <w:rFonts w:hint="eastAsia" w:ascii="仿宋" w:hAnsi="仿宋" w:eastAsia="仿宋" w:cs="仿宋"/>
                <w:sz w:val="24"/>
                <w:szCs w:val="24"/>
              </w:rPr>
              <w:t xml:space="preserve">：每完全满足一个评审标准得1分，满分3分。 </w:t>
            </w:r>
          </w:p>
          <w:p w14:paraId="43F840B9">
            <w:pPr>
              <w:pStyle w:val="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eastAsia" w:ascii="仿宋" w:hAnsi="仿宋" w:eastAsia="仿宋" w:cs="仿宋"/>
                <w:color w:val="auto"/>
                <w:sz w:val="24"/>
                <w:szCs w:val="24"/>
                <w:highlight w:val="none"/>
                <w:lang w:val="en-US" w:eastAsia="zh-CN"/>
              </w:rPr>
              <w:t>具体工作内容及工序</w:t>
            </w:r>
            <w:r>
              <w:rPr>
                <w:rFonts w:hint="eastAsia" w:ascii="仿宋" w:hAnsi="仿宋" w:eastAsia="仿宋" w:cs="仿宋"/>
                <w:sz w:val="24"/>
                <w:szCs w:val="24"/>
              </w:rPr>
              <w:t>：每完全满足一个评审标准得1分，满分3分。</w:t>
            </w:r>
          </w:p>
          <w:p w14:paraId="073BEC14">
            <w:pPr>
              <w:pStyle w:val="100"/>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color w:val="auto"/>
                <w:sz w:val="24"/>
                <w:szCs w:val="24"/>
                <w:highlight w:val="none"/>
                <w:lang w:val="en-US" w:eastAsia="zh-CN"/>
              </w:rPr>
              <w:t>检查和质量评定</w:t>
            </w:r>
            <w:r>
              <w:rPr>
                <w:rFonts w:hint="eastAsia" w:ascii="仿宋" w:hAnsi="仿宋" w:eastAsia="仿宋" w:cs="仿宋"/>
                <w:sz w:val="24"/>
                <w:szCs w:val="24"/>
              </w:rPr>
              <w:t xml:space="preserve">：每完全满足一个评审标准得1分，满分3分。 </w:t>
            </w:r>
          </w:p>
          <w:p w14:paraId="27EAF73B">
            <w:pPr>
              <w:pStyle w:val="100"/>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color w:val="auto"/>
                <w:sz w:val="24"/>
                <w:szCs w:val="24"/>
                <w:highlight w:val="none"/>
                <w:lang w:val="en-US" w:eastAsia="zh-CN"/>
              </w:rPr>
              <w:t>数据质量管理及审核</w:t>
            </w:r>
            <w:r>
              <w:rPr>
                <w:rFonts w:hint="eastAsia" w:ascii="仿宋" w:hAnsi="仿宋" w:eastAsia="仿宋" w:cs="仿宋"/>
                <w:sz w:val="24"/>
                <w:szCs w:val="24"/>
              </w:rPr>
              <w:t>：每完全满足一个评审标准得1分，满分3分。</w:t>
            </w:r>
          </w:p>
          <w:p w14:paraId="02CD82B3">
            <w:pPr>
              <w:pStyle w:val="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w:t>
            </w:r>
            <w:r>
              <w:rPr>
                <w:rFonts w:hint="eastAsia" w:ascii="仿宋" w:hAnsi="仿宋" w:eastAsia="仿宋" w:cs="仿宋"/>
                <w:color w:val="auto"/>
                <w:sz w:val="24"/>
                <w:szCs w:val="24"/>
                <w:highlight w:val="none"/>
                <w:lang w:val="en-US" w:eastAsia="zh-CN"/>
              </w:rPr>
              <w:t>对本项目重点、难点的分析并提供合理的解决方案</w:t>
            </w:r>
            <w:r>
              <w:rPr>
                <w:rFonts w:hint="eastAsia" w:ascii="仿宋" w:hAnsi="仿宋" w:eastAsia="仿宋" w:cs="仿宋"/>
                <w:sz w:val="24"/>
                <w:szCs w:val="24"/>
                <w:lang w:val="en-US" w:eastAsia="zh-CN"/>
              </w:rPr>
              <w:t>：</w:t>
            </w:r>
            <w:r>
              <w:rPr>
                <w:rFonts w:hint="eastAsia" w:ascii="仿宋" w:hAnsi="仿宋" w:eastAsia="仿宋" w:cs="仿宋"/>
                <w:sz w:val="24"/>
                <w:szCs w:val="24"/>
              </w:rPr>
              <w:t>每完全满足一个评审标准得1分，满分3分。</w:t>
            </w:r>
          </w:p>
        </w:tc>
        <w:tc>
          <w:tcPr>
            <w:tcW w:w="428" w:type="pct"/>
            <w:vAlign w:val="center"/>
          </w:tcPr>
          <w:p w14:paraId="042B7405">
            <w:pPr>
              <w:pStyle w:val="1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14:paraId="7EAC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29" w:type="pct"/>
            <w:vAlign w:val="center"/>
          </w:tcPr>
          <w:p w14:paraId="4BB7018E">
            <w:pPr>
              <w:pStyle w:val="100"/>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保证及安全保密</w:t>
            </w:r>
          </w:p>
        </w:tc>
        <w:tc>
          <w:tcPr>
            <w:tcW w:w="3742" w:type="pct"/>
            <w:vAlign w:val="top"/>
          </w:tcPr>
          <w:p w14:paraId="3BBF1E63">
            <w:pPr>
              <w:keepNext w:val="0"/>
              <w:keepLines w:val="0"/>
              <w:widowControl/>
              <w:numPr>
                <w:ilvl w:val="0"/>
                <w:numId w:val="0"/>
              </w:numPr>
              <w:suppressLineNumbers w:val="0"/>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一、评审因素</w:t>
            </w:r>
          </w:p>
          <w:p w14:paraId="2ED30DDA">
            <w:pPr>
              <w:pStyle w:val="100"/>
              <w:rPr>
                <w:rFonts w:hint="eastAsia" w:ascii="仿宋" w:hAnsi="仿宋" w:eastAsia="仿宋" w:cs="仿宋"/>
                <w:sz w:val="24"/>
                <w:szCs w:val="24"/>
              </w:rPr>
            </w:pPr>
            <w:r>
              <w:rPr>
                <w:rFonts w:hint="eastAsia" w:ascii="仿宋" w:hAnsi="仿宋" w:eastAsia="仿宋" w:cs="仿宋"/>
                <w:sz w:val="24"/>
                <w:szCs w:val="24"/>
              </w:rPr>
              <w:t>针对本项目提供质量保证及安全保密方案，包括但不限于：</w:t>
            </w:r>
            <w:r>
              <w:rPr>
                <w:rFonts w:hint="eastAsia" w:ascii="仿宋" w:hAnsi="仿宋" w:eastAsia="仿宋" w:cs="仿宋"/>
                <w:color w:val="auto"/>
                <w:sz w:val="24"/>
                <w:szCs w:val="24"/>
                <w:highlight w:val="none"/>
                <w:lang w:val="en-US" w:eastAsia="zh-CN"/>
              </w:rPr>
              <w:t>①服务质量保证；②测量数据质量保证；③按期完工承诺；④相关档案及数据管理制度；⑤数据安全保密制度及保密承诺书</w:t>
            </w:r>
            <w:r>
              <w:rPr>
                <w:rFonts w:hint="eastAsia" w:ascii="仿宋" w:hAnsi="仿宋" w:eastAsia="仿宋" w:cs="仿宋"/>
                <w:sz w:val="24"/>
                <w:szCs w:val="24"/>
              </w:rPr>
              <w:t xml:space="preserve">。 </w:t>
            </w:r>
          </w:p>
          <w:p w14:paraId="10FC957D">
            <w:pPr>
              <w:pStyle w:val="100"/>
              <w:rPr>
                <w:rFonts w:hint="eastAsia" w:ascii="仿宋" w:hAnsi="仿宋" w:eastAsia="仿宋" w:cs="仿宋"/>
                <w:sz w:val="24"/>
                <w:szCs w:val="24"/>
              </w:rPr>
            </w:pPr>
            <w:r>
              <w:rPr>
                <w:rFonts w:hint="eastAsia" w:ascii="仿宋" w:hAnsi="仿宋" w:eastAsia="仿宋" w:cs="仿宋"/>
                <w:b/>
                <w:bCs/>
                <w:sz w:val="24"/>
                <w:szCs w:val="24"/>
              </w:rPr>
              <w:t xml:space="preserve">二、评审标准 </w:t>
            </w:r>
          </w:p>
          <w:p w14:paraId="4C9ECEA0">
            <w:pPr>
              <w:pStyle w:val="100"/>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0E91B90B">
            <w:pPr>
              <w:pStyle w:val="100"/>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1EF653E1">
            <w:pPr>
              <w:pStyle w:val="100"/>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5D08C503">
            <w:pPr>
              <w:pStyle w:val="100"/>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20FFFE5A">
            <w:pPr>
              <w:pStyle w:val="100"/>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color w:val="auto"/>
                <w:sz w:val="24"/>
                <w:szCs w:val="24"/>
                <w:highlight w:val="none"/>
                <w:lang w:val="en-US" w:eastAsia="zh-CN"/>
              </w:rPr>
              <w:t>服务质量保证</w:t>
            </w:r>
            <w:r>
              <w:rPr>
                <w:rFonts w:hint="eastAsia" w:ascii="仿宋" w:hAnsi="仿宋" w:eastAsia="仿宋" w:cs="仿宋"/>
                <w:sz w:val="24"/>
                <w:szCs w:val="24"/>
              </w:rPr>
              <w:t xml:space="preserve">：每完全满足一个评审标准得1分，满分3分。 </w:t>
            </w:r>
          </w:p>
          <w:p w14:paraId="32895621">
            <w:pPr>
              <w:pStyle w:val="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eastAsia" w:ascii="仿宋" w:hAnsi="仿宋" w:eastAsia="仿宋" w:cs="仿宋"/>
                <w:color w:val="auto"/>
                <w:sz w:val="24"/>
                <w:szCs w:val="24"/>
                <w:highlight w:val="none"/>
                <w:lang w:val="en-US" w:eastAsia="zh-CN"/>
              </w:rPr>
              <w:t>测量数据质量保证</w:t>
            </w:r>
            <w:r>
              <w:rPr>
                <w:rFonts w:hint="eastAsia" w:ascii="仿宋" w:hAnsi="仿宋" w:eastAsia="仿宋" w:cs="仿宋"/>
                <w:sz w:val="24"/>
                <w:szCs w:val="24"/>
              </w:rPr>
              <w:t>：每完全满足一个评审标准得1分，满分3分。</w:t>
            </w:r>
          </w:p>
          <w:p w14:paraId="42FA1FCA">
            <w:pPr>
              <w:pStyle w:val="100"/>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color w:val="auto"/>
                <w:sz w:val="24"/>
                <w:szCs w:val="24"/>
                <w:highlight w:val="none"/>
                <w:lang w:val="en-US" w:eastAsia="zh-CN"/>
              </w:rPr>
              <w:t>按期完工承诺</w:t>
            </w:r>
            <w:r>
              <w:rPr>
                <w:rFonts w:hint="eastAsia" w:ascii="仿宋" w:hAnsi="仿宋" w:eastAsia="仿宋" w:cs="仿宋"/>
                <w:sz w:val="24"/>
                <w:szCs w:val="24"/>
              </w:rPr>
              <w:t xml:space="preserve">：每完全满足一个评审标准得1分，满分3分。 </w:t>
            </w:r>
          </w:p>
          <w:p w14:paraId="772EABAF">
            <w:pPr>
              <w:pStyle w:val="100"/>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color w:val="auto"/>
                <w:sz w:val="24"/>
                <w:szCs w:val="24"/>
                <w:highlight w:val="none"/>
                <w:lang w:val="en-US" w:eastAsia="zh-CN"/>
              </w:rPr>
              <w:t>相关档案及数据管理制度</w:t>
            </w:r>
            <w:r>
              <w:rPr>
                <w:rFonts w:hint="eastAsia" w:ascii="仿宋" w:hAnsi="仿宋" w:eastAsia="仿宋" w:cs="仿宋"/>
                <w:sz w:val="24"/>
                <w:szCs w:val="24"/>
              </w:rPr>
              <w:t>：每完全满足一个评审标准得1分，满分3分。</w:t>
            </w:r>
          </w:p>
          <w:p w14:paraId="20F1580B">
            <w:pPr>
              <w:pStyle w:val="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w:t>
            </w:r>
            <w:r>
              <w:rPr>
                <w:rFonts w:hint="eastAsia" w:ascii="仿宋" w:hAnsi="仿宋" w:eastAsia="仿宋" w:cs="仿宋"/>
                <w:color w:val="auto"/>
                <w:sz w:val="24"/>
                <w:szCs w:val="24"/>
                <w:highlight w:val="none"/>
                <w:lang w:val="en-US" w:eastAsia="zh-CN"/>
              </w:rPr>
              <w:t>数据安全保密制度及保密承诺书</w:t>
            </w:r>
            <w:r>
              <w:rPr>
                <w:rFonts w:hint="eastAsia" w:ascii="仿宋" w:hAnsi="仿宋" w:eastAsia="仿宋" w:cs="仿宋"/>
                <w:sz w:val="24"/>
                <w:szCs w:val="24"/>
                <w:lang w:val="en-US" w:eastAsia="zh-CN"/>
              </w:rPr>
              <w:t>：</w:t>
            </w:r>
            <w:r>
              <w:rPr>
                <w:rFonts w:hint="eastAsia" w:ascii="仿宋" w:hAnsi="仿宋" w:eastAsia="仿宋" w:cs="仿宋"/>
                <w:sz w:val="24"/>
                <w:szCs w:val="24"/>
              </w:rPr>
              <w:t>每完全满足一个评审标准得1分，满分3分。</w:t>
            </w:r>
          </w:p>
        </w:tc>
        <w:tc>
          <w:tcPr>
            <w:tcW w:w="428" w:type="pct"/>
            <w:vAlign w:val="center"/>
          </w:tcPr>
          <w:p w14:paraId="31DA2AA4">
            <w:pPr>
              <w:pStyle w:val="1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14:paraId="2435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29" w:type="pct"/>
            <w:vAlign w:val="center"/>
          </w:tcPr>
          <w:p w14:paraId="259AD37C">
            <w:pPr>
              <w:pStyle w:val="1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拟投入仪器设备</w:t>
            </w:r>
          </w:p>
        </w:tc>
        <w:tc>
          <w:tcPr>
            <w:tcW w:w="3742" w:type="pct"/>
            <w:vAlign w:val="top"/>
          </w:tcPr>
          <w:p w14:paraId="283D6A0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1、供应商</w:t>
            </w:r>
            <w:r>
              <w:rPr>
                <w:rFonts w:hint="eastAsia" w:ascii="仿宋" w:hAnsi="仿宋" w:eastAsia="仿宋" w:cs="仿宋"/>
                <w:color w:val="auto"/>
                <w:sz w:val="24"/>
                <w:szCs w:val="24"/>
                <w:highlight w:val="none"/>
              </w:rPr>
              <w:t>具有全站仪的，</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一台得1分，本项最高得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分。 </w:t>
            </w:r>
          </w:p>
          <w:p w14:paraId="03C8D41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具有手持测距仪的，</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一台得 1分，本项最高得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分。 </w:t>
            </w:r>
          </w:p>
          <w:p w14:paraId="6C21823B">
            <w:pPr>
              <w:pStyle w:val="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注：须提供所有设备购买发票扫描件</w:t>
            </w:r>
            <w:r>
              <w:rPr>
                <w:rFonts w:hint="eastAsia" w:ascii="仿宋" w:hAnsi="仿宋" w:eastAsia="仿宋" w:cs="仿宋"/>
                <w:color w:val="auto"/>
                <w:sz w:val="24"/>
                <w:szCs w:val="24"/>
                <w:highlight w:val="none"/>
                <w:lang w:val="en-US" w:eastAsia="zh-CN"/>
              </w:rPr>
              <w:t>或租赁合同</w:t>
            </w:r>
            <w:r>
              <w:rPr>
                <w:rFonts w:hint="eastAsia" w:ascii="仿宋" w:hAnsi="仿宋" w:eastAsia="仿宋" w:cs="仿宋"/>
                <w:color w:val="auto"/>
                <w:sz w:val="24"/>
                <w:szCs w:val="24"/>
                <w:highlight w:val="none"/>
              </w:rPr>
              <w:t>。</w:t>
            </w:r>
          </w:p>
        </w:tc>
        <w:tc>
          <w:tcPr>
            <w:tcW w:w="428" w:type="pct"/>
            <w:vAlign w:val="center"/>
          </w:tcPr>
          <w:p w14:paraId="05D3A181">
            <w:pPr>
              <w:pStyle w:val="1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4</w:t>
            </w:r>
          </w:p>
        </w:tc>
      </w:tr>
      <w:tr w14:paraId="3A7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29" w:type="pct"/>
            <w:vAlign w:val="center"/>
          </w:tcPr>
          <w:p w14:paraId="7D9AB3AE">
            <w:pPr>
              <w:pStyle w:val="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kern w:val="2"/>
                <w:sz w:val="24"/>
                <w:szCs w:val="24"/>
                <w:highlight w:val="none"/>
                <w:lang w:val="en-US" w:eastAsia="zh-CN" w:bidi="ar-SA"/>
              </w:rPr>
              <w:t>目</w:t>
            </w:r>
            <w:r>
              <w:rPr>
                <w:rFonts w:hint="eastAsia" w:ascii="仿宋" w:hAnsi="仿宋" w:eastAsia="仿宋" w:cs="仿宋"/>
                <w:color w:val="auto"/>
                <w:sz w:val="24"/>
                <w:szCs w:val="24"/>
                <w:highlight w:val="none"/>
                <w:lang w:val="en-US" w:eastAsia="zh-CN"/>
              </w:rPr>
              <w:t>团队配置</w:t>
            </w:r>
          </w:p>
        </w:tc>
        <w:tc>
          <w:tcPr>
            <w:tcW w:w="3742" w:type="pct"/>
            <w:vAlign w:val="center"/>
          </w:tcPr>
          <w:p w14:paraId="3D8D5F83">
            <w:pPr>
              <w:numPr>
                <w:ilvl w:val="0"/>
                <w:numId w:val="0"/>
              </w:num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1、本项目配备项目经理1人，项目经理具有测绘类高级职称证书或注册测绘师证书的得2分，中级职称的得1分。</w:t>
            </w:r>
          </w:p>
          <w:p w14:paraId="5CF37F8B">
            <w:pPr>
              <w:numPr>
                <w:ilvl w:val="0"/>
                <w:numId w:val="0"/>
              </w:num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2、项目经理业绩:项目经理具有不动产测绘业绩，每提供一个计1分，满分2分（提供业绩合同或采购人加盖公章的履约证明，需体现项目经理姓名，否则不计分）。</w:t>
            </w:r>
          </w:p>
          <w:p w14:paraId="4C7BC091">
            <w:pPr>
              <w:numPr>
                <w:ilvl w:val="0"/>
                <w:numId w:val="0"/>
              </w:num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3、本项目配备的项目组其他成员（项目经理除外）中，具有测绘类中级职称证书，每提供一个计1分，满分5分。</w:t>
            </w:r>
          </w:p>
          <w:p w14:paraId="39090412">
            <w:pPr>
              <w:numPr>
                <w:ilvl w:val="0"/>
                <w:numId w:val="0"/>
              </w:numP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4、项目团队人员具有《地理信息安全保密培训合格证明》，每提供一个计1分，满分3分。</w:t>
            </w:r>
          </w:p>
          <w:p w14:paraId="2385D265">
            <w:pPr>
              <w:pStyle w:val="100"/>
              <w:jc w:val="left"/>
              <w:rPr>
                <w:rFonts w:hint="eastAsia" w:ascii="仿宋" w:hAnsi="仿宋" w:eastAsia="仿宋" w:cs="仿宋"/>
                <w:color w:val="auto"/>
                <w:kern w:val="0"/>
                <w:sz w:val="24"/>
                <w:szCs w:val="24"/>
                <w:highlight w:val="none"/>
                <w:lang w:eastAsia="zh-Hans"/>
              </w:rPr>
            </w:pPr>
            <w:r>
              <w:rPr>
                <w:rFonts w:hint="eastAsia" w:ascii="仿宋" w:hAnsi="仿宋" w:eastAsia="仿宋" w:cs="仿宋"/>
                <w:b w:val="0"/>
                <w:bCs w:val="0"/>
                <w:color w:val="auto"/>
                <w:sz w:val="24"/>
                <w:szCs w:val="24"/>
                <w:highlight w:val="none"/>
                <w:lang w:val="en-US" w:eastAsia="zh-CN"/>
              </w:rPr>
              <w:t>备注：①需提供以上人员证书扫描件；②提供以上人员近六个月内任意一个月的社保缴纳证明，未提供不得分。</w:t>
            </w:r>
          </w:p>
        </w:tc>
        <w:tc>
          <w:tcPr>
            <w:tcW w:w="428" w:type="pct"/>
            <w:vAlign w:val="center"/>
          </w:tcPr>
          <w:p w14:paraId="2D5A1378">
            <w:pPr>
              <w:pStyle w:val="1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12</w:t>
            </w:r>
          </w:p>
        </w:tc>
      </w:tr>
      <w:tr w14:paraId="389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9" w:type="pct"/>
            <w:vAlign w:val="center"/>
          </w:tcPr>
          <w:p w14:paraId="554598BC">
            <w:pPr>
              <w:pStyle w:val="10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成果检查及验收</w:t>
            </w:r>
          </w:p>
        </w:tc>
        <w:tc>
          <w:tcPr>
            <w:tcW w:w="3742" w:type="pct"/>
            <w:vAlign w:val="center"/>
          </w:tcPr>
          <w:p w14:paraId="1BD9AAED">
            <w:pPr>
              <w:pStyle w:val="100"/>
              <w:jc w:val="left"/>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7671CC66">
            <w:pPr>
              <w:pStyle w:val="100"/>
              <w:jc w:val="left"/>
              <w:rPr>
                <w:rFonts w:hint="eastAsia" w:ascii="仿宋" w:hAnsi="仿宋" w:eastAsia="仿宋" w:cs="仿宋"/>
                <w:sz w:val="24"/>
                <w:szCs w:val="24"/>
              </w:rPr>
            </w:pPr>
            <w:r>
              <w:rPr>
                <w:rFonts w:hint="eastAsia" w:ascii="仿宋" w:hAnsi="仿宋" w:eastAsia="仿宋" w:cs="仿宋"/>
                <w:sz w:val="24"/>
                <w:szCs w:val="24"/>
              </w:rPr>
              <w:t>针对本项目提供成果检查及验收，包括但不限于：</w:t>
            </w:r>
            <w:r>
              <w:rPr>
                <w:rFonts w:hint="eastAsia" w:ascii="仿宋" w:hAnsi="仿宋" w:eastAsia="仿宋" w:cs="仿宋"/>
                <w:sz w:val="24"/>
                <w:szCs w:val="24"/>
                <w:highlight w:val="none"/>
              </w:rPr>
              <w:t>①针对本项目的</w:t>
            </w:r>
            <w:r>
              <w:rPr>
                <w:rFonts w:hint="eastAsia" w:ascii="仿宋" w:hAnsi="仿宋" w:eastAsia="仿宋" w:cs="仿宋"/>
                <w:sz w:val="24"/>
                <w:szCs w:val="24"/>
                <w:highlight w:val="none"/>
                <w:lang w:val="en-US" w:eastAsia="zh-CN"/>
              </w:rPr>
              <w:t>成果检查方式、审核流程</w:t>
            </w:r>
            <w:r>
              <w:rPr>
                <w:rFonts w:hint="eastAsia" w:ascii="仿宋" w:hAnsi="仿宋" w:eastAsia="仿宋" w:cs="仿宋"/>
                <w:sz w:val="24"/>
                <w:szCs w:val="24"/>
                <w:highlight w:val="none"/>
              </w:rPr>
              <w:t>等；②</w:t>
            </w:r>
            <w:r>
              <w:rPr>
                <w:rFonts w:hint="eastAsia" w:ascii="仿宋" w:hAnsi="仿宋" w:eastAsia="仿宋" w:cs="仿宋"/>
                <w:sz w:val="24"/>
                <w:szCs w:val="24"/>
                <w:highlight w:val="none"/>
                <w:lang w:val="en-US" w:eastAsia="zh-CN"/>
              </w:rPr>
              <w:t>成果验收方案</w:t>
            </w:r>
            <w:r>
              <w:rPr>
                <w:rFonts w:hint="eastAsia" w:ascii="仿宋" w:hAnsi="仿宋" w:eastAsia="仿宋" w:cs="仿宋"/>
                <w:sz w:val="24"/>
                <w:szCs w:val="24"/>
              </w:rPr>
              <w:t xml:space="preserve">。 </w:t>
            </w:r>
          </w:p>
          <w:p w14:paraId="3FC9695C">
            <w:pPr>
              <w:pStyle w:val="100"/>
              <w:jc w:val="left"/>
              <w:rPr>
                <w:rFonts w:hint="eastAsia" w:ascii="仿宋" w:hAnsi="仿宋" w:eastAsia="仿宋" w:cs="仿宋"/>
                <w:sz w:val="24"/>
                <w:szCs w:val="24"/>
              </w:rPr>
            </w:pPr>
            <w:r>
              <w:rPr>
                <w:rFonts w:hint="eastAsia" w:ascii="仿宋" w:hAnsi="仿宋" w:eastAsia="仿宋" w:cs="仿宋"/>
                <w:b/>
                <w:bCs/>
                <w:sz w:val="24"/>
                <w:szCs w:val="24"/>
              </w:rPr>
              <w:t>二、评审标准</w:t>
            </w:r>
            <w:r>
              <w:rPr>
                <w:rFonts w:hint="eastAsia" w:ascii="仿宋" w:hAnsi="仿宋" w:eastAsia="仿宋" w:cs="仿宋"/>
                <w:sz w:val="24"/>
                <w:szCs w:val="24"/>
              </w:rPr>
              <w:t xml:space="preserve"> </w:t>
            </w:r>
          </w:p>
          <w:p w14:paraId="3AACD2AD">
            <w:pPr>
              <w:pStyle w:val="100"/>
              <w:jc w:val="left"/>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61CED802">
            <w:pPr>
              <w:pStyle w:val="100"/>
              <w:jc w:val="left"/>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00A0D5AC">
            <w:pPr>
              <w:pStyle w:val="100"/>
              <w:jc w:val="left"/>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2DDF7536">
            <w:pPr>
              <w:pStyle w:val="100"/>
              <w:jc w:val="left"/>
              <w:rPr>
                <w:rFonts w:hint="eastAsia" w:ascii="仿宋" w:hAnsi="仿宋" w:eastAsia="仿宋" w:cs="仿宋"/>
                <w:b/>
                <w:bCs/>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分） </w:t>
            </w:r>
          </w:p>
          <w:p w14:paraId="209ECD78">
            <w:pPr>
              <w:pStyle w:val="100"/>
              <w:jc w:val="left"/>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highlight w:val="none"/>
              </w:rPr>
              <w:t>针对本项目的</w:t>
            </w:r>
            <w:r>
              <w:rPr>
                <w:rFonts w:hint="eastAsia" w:ascii="仿宋" w:hAnsi="仿宋" w:eastAsia="仿宋" w:cs="仿宋"/>
                <w:sz w:val="24"/>
                <w:szCs w:val="24"/>
                <w:highlight w:val="none"/>
                <w:lang w:val="en-US" w:eastAsia="zh-CN"/>
              </w:rPr>
              <w:t>成果检查方式、审核流程</w:t>
            </w:r>
            <w:r>
              <w:rPr>
                <w:rFonts w:hint="eastAsia" w:ascii="仿宋" w:hAnsi="仿宋" w:eastAsia="仿宋" w:cs="仿宋"/>
                <w:sz w:val="24"/>
                <w:szCs w:val="24"/>
                <w:highlight w:val="none"/>
              </w:rPr>
              <w:t>等</w:t>
            </w:r>
            <w:r>
              <w:rPr>
                <w:rFonts w:hint="eastAsia" w:ascii="仿宋" w:hAnsi="仿宋" w:eastAsia="仿宋" w:cs="仿宋"/>
                <w:sz w:val="24"/>
                <w:szCs w:val="24"/>
              </w:rPr>
              <w:t>：每完全满足一个评审标准得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分。 </w:t>
            </w:r>
          </w:p>
          <w:p w14:paraId="7E2F143D">
            <w:pPr>
              <w:pStyle w:val="100"/>
              <w:jc w:val="left"/>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highlight w:val="none"/>
                <w:lang w:val="en-US" w:eastAsia="zh-CN"/>
              </w:rPr>
              <w:t>成果验收方案</w:t>
            </w:r>
            <w:r>
              <w:rPr>
                <w:rFonts w:hint="eastAsia" w:ascii="仿宋" w:hAnsi="仿宋" w:eastAsia="仿宋" w:cs="仿宋"/>
                <w:sz w:val="24"/>
                <w:szCs w:val="24"/>
              </w:rPr>
              <w:t>：每完全满足一个评审标准得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428" w:type="pct"/>
            <w:vAlign w:val="center"/>
          </w:tcPr>
          <w:p w14:paraId="4DD5A03B">
            <w:pPr>
              <w:pStyle w:val="10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6</w:t>
            </w:r>
          </w:p>
        </w:tc>
      </w:tr>
      <w:tr w14:paraId="1571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29" w:type="pct"/>
            <w:vAlign w:val="center"/>
          </w:tcPr>
          <w:p w14:paraId="7D06A864">
            <w:pPr>
              <w:pStyle w:val="100"/>
              <w:jc w:val="center"/>
              <w:rPr>
                <w:rFonts w:hint="eastAsia" w:ascii="仿宋" w:hAnsi="仿宋" w:eastAsia="仿宋" w:cs="仿宋"/>
                <w:color w:val="auto"/>
                <w:sz w:val="24"/>
                <w:szCs w:val="24"/>
                <w:highlight w:val="none"/>
              </w:rPr>
            </w:pPr>
            <w:r>
              <w:rPr>
                <w:rFonts w:hint="eastAsia" w:ascii="仿宋" w:hAnsi="仿宋" w:eastAsia="仿宋" w:cs="仿宋"/>
                <w:sz w:val="24"/>
                <w:szCs w:val="24"/>
              </w:rPr>
              <w:t>售后服务方案</w:t>
            </w:r>
          </w:p>
        </w:tc>
        <w:tc>
          <w:tcPr>
            <w:tcW w:w="3742" w:type="pct"/>
            <w:vAlign w:val="center"/>
          </w:tcPr>
          <w:p w14:paraId="0A71FBCC">
            <w:pPr>
              <w:pStyle w:val="100"/>
              <w:jc w:val="left"/>
              <w:rPr>
                <w:rFonts w:hint="eastAsia" w:ascii="仿宋" w:hAnsi="仿宋" w:eastAsia="仿宋" w:cs="仿宋"/>
                <w:sz w:val="24"/>
                <w:szCs w:val="24"/>
              </w:rPr>
            </w:pPr>
            <w:r>
              <w:rPr>
                <w:rFonts w:hint="eastAsia" w:ascii="仿宋" w:hAnsi="仿宋" w:eastAsia="仿宋" w:cs="仿宋"/>
                <w:b/>
                <w:bCs/>
                <w:sz w:val="24"/>
                <w:szCs w:val="24"/>
              </w:rPr>
              <w:t>一、评审内容</w:t>
            </w:r>
            <w:r>
              <w:rPr>
                <w:rFonts w:hint="eastAsia" w:ascii="仿宋" w:hAnsi="仿宋" w:eastAsia="仿宋" w:cs="仿宋"/>
                <w:sz w:val="24"/>
                <w:szCs w:val="24"/>
              </w:rPr>
              <w:t xml:space="preserve"> </w:t>
            </w:r>
          </w:p>
          <w:p w14:paraId="4523A603">
            <w:pPr>
              <w:pStyle w:val="100"/>
              <w:jc w:val="left"/>
              <w:rPr>
                <w:rFonts w:hint="eastAsia" w:ascii="仿宋" w:hAnsi="仿宋" w:eastAsia="仿宋" w:cs="仿宋"/>
                <w:sz w:val="24"/>
                <w:szCs w:val="24"/>
              </w:rPr>
            </w:pPr>
            <w:r>
              <w:rPr>
                <w:rFonts w:hint="eastAsia" w:ascii="仿宋" w:hAnsi="仿宋" w:eastAsia="仿宋" w:cs="仿宋"/>
                <w:sz w:val="24"/>
                <w:szCs w:val="24"/>
              </w:rPr>
              <w:t>针对本项目提供完善的售后服务方案，包括但不限于：</w:t>
            </w:r>
            <w:r>
              <w:rPr>
                <w:rFonts w:hint="eastAsia" w:ascii="仿宋" w:hAnsi="仿宋" w:eastAsia="仿宋" w:cs="仿宋"/>
                <w:sz w:val="24"/>
                <w:szCs w:val="24"/>
                <w:highlight w:val="none"/>
              </w:rPr>
              <w:t>①针对本项目的服务承诺，包括但不限于质量保障承诺、遇突发情况或临时任务时的保障服务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增值服务等；②根据项目需求结合自身能力提供售后服务方案</w:t>
            </w:r>
            <w:r>
              <w:rPr>
                <w:rFonts w:hint="eastAsia" w:ascii="仿宋" w:hAnsi="仿宋" w:eastAsia="仿宋" w:cs="仿宋"/>
                <w:sz w:val="24"/>
                <w:szCs w:val="24"/>
              </w:rPr>
              <w:t xml:space="preserve">。 </w:t>
            </w:r>
          </w:p>
          <w:p w14:paraId="15E62AAA">
            <w:pPr>
              <w:pStyle w:val="100"/>
              <w:jc w:val="left"/>
              <w:rPr>
                <w:rFonts w:hint="eastAsia" w:ascii="仿宋" w:hAnsi="仿宋" w:eastAsia="仿宋" w:cs="仿宋"/>
                <w:b/>
                <w:bCs/>
                <w:sz w:val="24"/>
                <w:szCs w:val="24"/>
              </w:rPr>
            </w:pPr>
            <w:r>
              <w:rPr>
                <w:rFonts w:hint="eastAsia" w:ascii="仿宋" w:hAnsi="仿宋" w:eastAsia="仿宋" w:cs="仿宋"/>
                <w:b/>
                <w:bCs/>
                <w:sz w:val="24"/>
                <w:szCs w:val="24"/>
              </w:rPr>
              <w:t xml:space="preserve">二、评审标准 </w:t>
            </w:r>
          </w:p>
          <w:p w14:paraId="35A7ACD2">
            <w:pPr>
              <w:pStyle w:val="100"/>
              <w:jc w:val="left"/>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5C84650C">
            <w:pPr>
              <w:pStyle w:val="100"/>
              <w:jc w:val="left"/>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26D14A18">
            <w:pPr>
              <w:pStyle w:val="100"/>
              <w:jc w:val="left"/>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2A978EBD">
            <w:pPr>
              <w:pStyle w:val="100"/>
              <w:jc w:val="left"/>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523FA112">
            <w:pPr>
              <w:pStyle w:val="100"/>
              <w:jc w:val="left"/>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highlight w:val="none"/>
              </w:rPr>
              <w:t>针对本项目的服务承诺</w:t>
            </w:r>
            <w:r>
              <w:rPr>
                <w:rFonts w:hint="eastAsia" w:ascii="仿宋" w:hAnsi="仿宋" w:eastAsia="仿宋" w:cs="仿宋"/>
                <w:sz w:val="24"/>
                <w:szCs w:val="24"/>
              </w:rPr>
              <w:t>：每完全满足一个评审标准得1分，满分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6813C4F6">
            <w:pPr>
              <w:pStyle w:val="100"/>
              <w:jc w:val="left"/>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②售后服务方案：每完全满足一个评审标准得1分，满分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428" w:type="pct"/>
            <w:vAlign w:val="center"/>
          </w:tcPr>
          <w:p w14:paraId="4E5E0605">
            <w:pPr>
              <w:pStyle w:val="100"/>
              <w:jc w:val="center"/>
              <w:rPr>
                <w:rFonts w:hint="eastAsia" w:ascii="仿宋" w:hAnsi="仿宋" w:eastAsia="仿宋" w:cs="仿宋"/>
                <w:b/>
                <w:bCs/>
                <w:color w:val="auto"/>
                <w:kern w:val="0"/>
                <w:sz w:val="24"/>
                <w:szCs w:val="24"/>
                <w:highlight w:val="none"/>
                <w:lang w:eastAsia="zh-CN" w:bidi="ar"/>
              </w:rPr>
            </w:pPr>
            <w:r>
              <w:rPr>
                <w:rFonts w:hint="eastAsia" w:ascii="仿宋" w:hAnsi="仿宋" w:eastAsia="仿宋" w:cs="仿宋"/>
                <w:sz w:val="24"/>
                <w:szCs w:val="24"/>
                <w:lang w:val="en-US" w:eastAsia="zh-CN"/>
              </w:rPr>
              <w:t>6</w:t>
            </w:r>
          </w:p>
        </w:tc>
      </w:tr>
      <w:tr w14:paraId="429D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29" w:type="pct"/>
            <w:vAlign w:val="center"/>
          </w:tcPr>
          <w:p w14:paraId="4DB2EC3F">
            <w:pPr>
              <w:pStyle w:val="100"/>
              <w:jc w:val="center"/>
              <w:rPr>
                <w:rFonts w:hint="eastAsia" w:ascii="仿宋" w:hAnsi="仿宋" w:eastAsia="仿宋" w:cs="仿宋"/>
                <w:sz w:val="24"/>
                <w:szCs w:val="24"/>
              </w:rPr>
            </w:pPr>
            <w:r>
              <w:rPr>
                <w:rFonts w:hint="eastAsia" w:ascii="仿宋" w:hAnsi="仿宋" w:eastAsia="仿宋" w:cs="仿宋"/>
                <w:sz w:val="24"/>
                <w:szCs w:val="24"/>
              </w:rPr>
              <w:t>供应商实力</w:t>
            </w:r>
          </w:p>
        </w:tc>
        <w:tc>
          <w:tcPr>
            <w:tcW w:w="3742" w:type="pct"/>
            <w:vAlign w:val="center"/>
          </w:tcPr>
          <w:p w14:paraId="33A405D4">
            <w:pPr>
              <w:pStyle w:val="100"/>
              <w:jc w:val="left"/>
              <w:rPr>
                <w:rFonts w:hint="eastAsia" w:ascii="仿宋" w:hAnsi="仿宋" w:eastAsia="仿宋" w:cs="仿宋"/>
                <w:sz w:val="24"/>
                <w:szCs w:val="24"/>
              </w:rPr>
            </w:pPr>
            <w:r>
              <w:rPr>
                <w:rFonts w:hint="eastAsia" w:ascii="仿宋" w:hAnsi="仿宋" w:eastAsia="仿宋" w:cs="仿宋"/>
                <w:b w:val="0"/>
                <w:bCs w:val="0"/>
                <w:color w:val="auto"/>
                <w:sz w:val="24"/>
                <w:szCs w:val="24"/>
                <w:highlight w:val="none"/>
                <w:lang w:val="en-US" w:eastAsia="zh-CN"/>
              </w:rPr>
              <w:t>供应商具有质量管理体系认证、环境管理体系认证、职业健康安全管理体系认证、信息安全管理体系认证，</w:t>
            </w:r>
            <w:r>
              <w:rPr>
                <w:rFonts w:hint="eastAsia" w:ascii="仿宋" w:hAnsi="仿宋" w:eastAsia="仿宋" w:cs="仿宋"/>
                <w:color w:val="auto"/>
                <w:sz w:val="24"/>
                <w:szCs w:val="24"/>
                <w:highlight w:val="none"/>
                <w:lang w:val="en-US" w:eastAsia="zh-CN"/>
              </w:rPr>
              <w:t>每提供一个计0.5分，满分2分。</w:t>
            </w:r>
          </w:p>
        </w:tc>
        <w:tc>
          <w:tcPr>
            <w:tcW w:w="428" w:type="pct"/>
            <w:vAlign w:val="center"/>
          </w:tcPr>
          <w:p w14:paraId="272192D7">
            <w:pPr>
              <w:pStyle w:val="1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6008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29" w:type="pct"/>
            <w:vAlign w:val="center"/>
          </w:tcPr>
          <w:p w14:paraId="4F9707FE">
            <w:pPr>
              <w:pStyle w:val="9"/>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类似项目业绩</w:t>
            </w:r>
          </w:p>
        </w:tc>
        <w:tc>
          <w:tcPr>
            <w:tcW w:w="3742" w:type="pct"/>
            <w:vAlign w:val="center"/>
          </w:tcPr>
          <w:p w14:paraId="12586598">
            <w:pPr>
              <w:pStyle w:val="100"/>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供应商提供</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月至今</w:t>
            </w:r>
            <w:r>
              <w:rPr>
                <w:rFonts w:hint="eastAsia" w:ascii="仿宋" w:hAnsi="仿宋" w:eastAsia="仿宋" w:cs="仿宋"/>
                <w:sz w:val="24"/>
                <w:szCs w:val="24"/>
                <w:highlight w:val="none"/>
                <w:lang w:val="en-US" w:eastAsia="zh-CN"/>
              </w:rPr>
              <w:t>类似</w:t>
            </w:r>
            <w:r>
              <w:rPr>
                <w:rFonts w:hint="eastAsia" w:ascii="仿宋" w:hAnsi="仿宋" w:eastAsia="仿宋" w:cs="仿宋"/>
                <w:sz w:val="24"/>
                <w:szCs w:val="24"/>
                <w:highlight w:val="none"/>
              </w:rPr>
              <w:t>项目业绩，（以合同签订日期为准），提供</w:t>
            </w:r>
            <w:r>
              <w:rPr>
                <w:rFonts w:hint="eastAsia" w:ascii="仿宋" w:hAnsi="仿宋" w:eastAsia="仿宋" w:cs="仿宋"/>
                <w:sz w:val="24"/>
                <w:szCs w:val="24"/>
                <w:highlight w:val="none"/>
                <w:lang w:val="en-US" w:eastAsia="zh-CN"/>
              </w:rPr>
              <w:t>业绩</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val="en-US" w:eastAsia="zh-CN"/>
              </w:rPr>
              <w:t>及业绩相应发票</w:t>
            </w:r>
            <w:r>
              <w:rPr>
                <w:rFonts w:hint="eastAsia" w:ascii="仿宋" w:hAnsi="仿宋" w:eastAsia="仿宋" w:cs="仿宋"/>
                <w:sz w:val="24"/>
                <w:szCs w:val="24"/>
                <w:highlight w:val="none"/>
              </w:rPr>
              <w:t>复印件</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加盖公章，每提供一个计</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分，满分</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428" w:type="pct"/>
            <w:vAlign w:val="center"/>
          </w:tcPr>
          <w:p w14:paraId="4F7B449F">
            <w:pPr>
              <w:pStyle w:val="100"/>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sz w:val="24"/>
                <w:szCs w:val="24"/>
                <w:highlight w:val="none"/>
                <w:lang w:val="en-US" w:eastAsia="zh-CN"/>
              </w:rPr>
              <w:t>5</w:t>
            </w:r>
          </w:p>
        </w:tc>
      </w:tr>
    </w:tbl>
    <w:p w14:paraId="6C6C29E4">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7</w:t>
      </w:r>
      <w:r>
        <w:rPr>
          <w:rFonts w:hint="eastAsia" w:ascii="仿宋" w:hAnsi="仿宋" w:eastAsia="仿宋" w:cs="仿宋"/>
          <w:b/>
          <w:bCs/>
          <w:color w:val="000000" w:themeColor="text1"/>
          <w:highlight w:val="none"/>
          <w14:textFill>
            <w14:solidFill>
              <w14:schemeClr w14:val="tx1"/>
            </w14:solidFill>
          </w14:textFill>
        </w:rPr>
        <w:t>.需要落实的政府采购政策</w:t>
      </w:r>
    </w:p>
    <w:p w14:paraId="6507CD0E">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根据《政府采购促进中小企业发展管理办法》（财库[2020]46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sz w:val="24"/>
          <w:szCs w:val="24"/>
          <w:highlight w:val="none"/>
          <w:lang w:val="en-US" w:eastAsia="zh-CN"/>
          <w14:textFill>
            <w14:solidFill>
              <w14:schemeClr w14:val="tx1"/>
            </w14:solidFill>
          </w14:textFill>
        </w:rPr>
        <w:t>6%-10%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的价格扣除，工程项目给予3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的扣除，工程项目为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default" w:ascii="仿宋" w:hAnsi="仿宋" w:eastAsia="仿宋" w:cs="仿宋"/>
          <w:color w:val="000000" w:themeColor="text1"/>
          <w:sz w:val="24"/>
          <w:szCs w:val="24"/>
          <w:highlight w:val="none"/>
          <w:lang w:val="en-US" w:eastAsia="zh-CN"/>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A75A84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2020</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[2020]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46 号文件的规定执行。 </w:t>
      </w:r>
    </w:p>
    <w:p w14:paraId="30673167">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FE3B20B">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[2011]300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号）执行。 </w:t>
      </w:r>
    </w:p>
    <w:p w14:paraId="489DE21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[2014]68</w:t>
      </w:r>
      <w:r>
        <w:rPr>
          <w:rFonts w:hint="default" w:ascii="仿宋" w:hAnsi="仿宋" w:eastAsia="仿宋" w:cs="仿宋"/>
          <w:color w:val="000000" w:themeColor="text1"/>
          <w:sz w:val="24"/>
          <w:szCs w:val="24"/>
          <w:highlight w:val="none"/>
          <w:lang w:val="en-US" w:eastAsia="zh-CN"/>
          <w14:textFill>
            <w14:solidFill>
              <w14:schemeClr w14:val="tx1"/>
            </w14:solidFill>
          </w14:textFill>
        </w:rPr>
        <w:t>号）文件规定，并提供由省级以上监狱管理局、戒毒管理局(含新疆生产建设兵团)出具的属于</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监狱企业的证明文件</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复印件，监狱和戒毒企业视同小型、微型企业。 </w:t>
      </w:r>
    </w:p>
    <w:p w14:paraId="7D02F71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[2017]141 </w:t>
      </w:r>
      <w:r>
        <w:rPr>
          <w:rFonts w:hint="default" w:ascii="仿宋" w:hAnsi="仿宋" w:eastAsia="仿宋" w:cs="仿宋"/>
          <w:color w:val="000000" w:themeColor="text1"/>
          <w:sz w:val="24"/>
          <w:szCs w:val="24"/>
          <w:highlight w:val="none"/>
          <w:lang w:val="en-US" w:eastAsia="zh-CN"/>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F327846">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16F84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82F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508B9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60569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129BC6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681AF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default" w:ascii="仿宋" w:hAnsi="仿宋" w:eastAsia="仿宋" w:cs="仿宋"/>
          <w:sz w:val="24"/>
          <w:szCs w:val="24"/>
          <w:highlight w:val="none"/>
          <w:lang w:val="en-US" w:eastAsia="zh-CN"/>
        </w:rPr>
        <w:t xml:space="preserve">。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5"/>
        </w:numPr>
        <w:jc w:val="center"/>
        <w:outlineLvl w:val="0"/>
        <w:rPr>
          <w:rFonts w:hint="eastAsia" w:ascii="仿宋" w:hAnsi="仿宋" w:eastAsia="仿宋" w:cs="仿宋"/>
          <w:b/>
          <w:bCs/>
          <w:sz w:val="36"/>
          <w:szCs w:val="36"/>
          <w:highlight w:val="none"/>
        </w:rPr>
      </w:pPr>
      <w:bookmarkStart w:id="106" w:name="_Toc18268"/>
      <w:bookmarkStart w:id="107" w:name="_Toc31900"/>
      <w:r>
        <w:rPr>
          <w:rFonts w:hint="eastAsia" w:ascii="仿宋" w:hAnsi="仿宋" w:eastAsia="仿宋" w:cs="仿宋"/>
          <w:b/>
          <w:bCs/>
          <w:sz w:val="36"/>
          <w:szCs w:val="36"/>
          <w:highlight w:val="none"/>
          <w:lang w:val="en-US" w:eastAsia="zh-CN"/>
        </w:rPr>
        <w:t xml:space="preserve">  </w:t>
      </w:r>
      <w:bookmarkStart w:id="108" w:name="_Toc24697"/>
      <w:r>
        <w:rPr>
          <w:rFonts w:hint="eastAsia" w:ascii="仿宋" w:hAnsi="仿宋" w:eastAsia="仿宋" w:cs="仿宋"/>
          <w:b/>
          <w:bCs/>
          <w:sz w:val="36"/>
          <w:szCs w:val="36"/>
          <w:highlight w:val="none"/>
        </w:rPr>
        <w:t>磋商要求及说明</w:t>
      </w:r>
      <w:bookmarkEnd w:id="49"/>
      <w:bookmarkEnd w:id="50"/>
      <w:bookmarkEnd w:id="51"/>
      <w:bookmarkEnd w:id="106"/>
      <w:bookmarkEnd w:id="107"/>
      <w:bookmarkEnd w:id="108"/>
      <w:bookmarkStart w:id="109" w:name="_Toc13278"/>
      <w:bookmarkStart w:id="110" w:name="_Toc12426"/>
      <w:bookmarkStart w:id="111" w:name="_Toc519156757"/>
    </w:p>
    <w:p w14:paraId="770455B7">
      <w:pPr>
        <w:pStyle w:val="31"/>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一、服务内容</w:t>
      </w:r>
    </w:p>
    <w:p w14:paraId="3956721F">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1.按照国家相关标准规范，在西安市行政区域内，对20处指定机关办公用房（含技术业务用房）院落的楼宇楼层及房间进行实测，办公用房总建筑面积暂估36万平方米。</w:t>
      </w:r>
    </w:p>
    <w:p w14:paraId="440C91F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提供专业的测绘服务和测绘数据管理团队，负责采集和表述房屋和房屋用地的有关信息，为办公用房管理平台提供基础数据。采购内容包括：房屋调查、房产面积测算、测绘数据管理、房产图绘制，以及成果资料的检查与验收。</w:t>
      </w:r>
    </w:p>
    <w:p w14:paraId="7AD6125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（1）房屋调查</w:t>
      </w:r>
    </w:p>
    <w:p w14:paraId="386237DA">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房屋调查内容包括房屋坐落、层数、建筑结构、用途。</w:t>
      </w:r>
    </w:p>
    <w:p w14:paraId="37F555F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（2）房间面积测算</w:t>
      </w:r>
    </w:p>
    <w:p w14:paraId="76AF0D73">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房产面积测算指水平面积测算，房屋面积测算包括房屋建筑面积、使用面积等测算。房屋建筑面积指房屋外墙（柱）勒脚以上各层的外围水平投影面积，包括阳台、挑廊、室外楼梯等。房屋使用面积指房屋户内全部可供使用的空间面积，按房屋的内墙面水平投影计算。</w:t>
      </w:r>
    </w:p>
    <w:p w14:paraId="79BC5938">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（3）测绘数据管理</w:t>
      </w:r>
    </w:p>
    <w:p w14:paraId="6B29A526">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需具备对测绘数据进行管理的能力，提供自动化的工具实现对大量测绘数据的及时管理和分类归档，提供结构化数据和非结构化数据管理和检索服务，提供多种测绘文件数据，实现CAD文件、图片文件、表格文件及PDF等文件的解析和数据关联，并录入本级党政机关办公用房相关信息数据。</w:t>
      </w:r>
    </w:p>
    <w:p w14:paraId="71ED3B64">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（4）房产图绘制</w:t>
      </w:r>
    </w:p>
    <w:p w14:paraId="1F843653">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房产图绘制指根据房屋调查和房间面积测算的结果，绘制建筑平面CAD图，并准确标注各部分长度、房间面积等数据情况。</w:t>
      </w:r>
    </w:p>
    <w:p w14:paraId="317EE1E5">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（5）成果检查验收</w:t>
      </w:r>
    </w:p>
    <w:p w14:paraId="0ADB79A5">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房产测量成果实行二级检查一级验收制。</w:t>
      </w:r>
    </w:p>
    <w:p w14:paraId="013CBC03">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一级检查为过程检</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查，在全面自检、互查的基础上，由专职或兼职检查人员承担。二级检查由质量检查机构和专职检查人员在一级检查的基础上进行。检查验收工作在二级检查合格后由主管机关实施。二</w:t>
      </w:r>
      <w:r>
        <w:rPr>
          <w:rFonts w:hint="eastAsia" w:ascii="仿宋" w:hAnsi="仿宋" w:eastAsia="仿宋" w:cs="仿宋"/>
          <w:kern w:val="2"/>
          <w:sz w:val="24"/>
          <w:szCs w:val="24"/>
          <w:highlight w:val="none"/>
          <w:lang w:val="en-US" w:eastAsia="zh-CN" w:bidi="ar-SA"/>
        </w:rPr>
        <w:t>级检查和验收工作完成后会分别写出检查、验收报告。产品成果最终验收工作由任务的委托单位组织实施。验收工作结束后出具检查报告和验收书。</w:t>
      </w:r>
    </w:p>
    <w:p w14:paraId="3A58F84D">
      <w:pPr>
        <w:pStyle w:val="31"/>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二、服务要求</w:t>
      </w:r>
    </w:p>
    <w:p w14:paraId="0490AE0D">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1.供应商在实施办公用房实测期间，应安排专职人员对接、配合相关工作。</w:t>
      </w:r>
    </w:p>
    <w:p w14:paraId="758DA151">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2.本项目为固定总价合同（含税），包含完成项目所需的所有相关费用。</w:t>
      </w:r>
    </w:p>
    <w:p w14:paraId="3EADA159">
      <w:pPr>
        <w:pStyle w:val="31"/>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三、商务要求</w:t>
      </w:r>
    </w:p>
    <w:p w14:paraId="4A0B925F">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1.服务期：供应商应在2026年9月30日之前完成中标测量面积全部实测工作，并提交成果报告、测量数据等相关资料。</w:t>
      </w:r>
    </w:p>
    <w:p w14:paraId="01BB8482">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2.付款方式：根据供应商实际完成测绘的工作量，据实结算（具体以合同签订为准）。</w:t>
      </w:r>
    </w:p>
    <w:p w14:paraId="62D8E8C6">
      <w:pPr>
        <w:pStyle w:val="31"/>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四、其他要求</w:t>
      </w:r>
    </w:p>
    <w:p w14:paraId="7CAF901E">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（一）测量要求</w:t>
      </w:r>
    </w:p>
    <w:p w14:paraId="69E5B3C9">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1.办公室使用面积就是办公室内墙间的房间净面积，测量时从内墙到内墙，按建筑面积规范进行测量，测量结果精确至小数点后两位。</w:t>
      </w:r>
    </w:p>
    <w:p w14:paraId="09DE007B">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2.办公室内固定柜子或以柜代墙的，所占面积计入办公室使用面积，测量时从柜子内板起测。</w:t>
      </w:r>
    </w:p>
    <w:p w14:paraId="21220819">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3.窗台高度在0.6米以上的室内飘窗，测量时从飘窗窗台一侧的内墙起测。</w:t>
      </w:r>
    </w:p>
    <w:p w14:paraId="16AF4926">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4.办公室临窗一侧有玻璃幕墙的，以墙壁为基准进行测量，无实墙的，以幕墙窗框内边沿为基准起测。</w:t>
      </w:r>
    </w:p>
    <w:p w14:paraId="57065DA2">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5.办公室内的装饰墙，测量时从面积占主体的表面起测。</w:t>
      </w:r>
    </w:p>
    <w:p w14:paraId="1EC208FB">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6.结构(墙、柱)所占的面积不计入使用面积。</w:t>
      </w:r>
    </w:p>
    <w:p w14:paraId="0C6CFB9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（二）质量验收标准或规范：执行国家行业标准规范。</w:t>
      </w:r>
    </w:p>
    <w:p w14:paraId="378BE00E">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1.中华人民共和国国家标准《房产测量规范》（GB/T 17986.1-2000）；</w:t>
      </w:r>
    </w:p>
    <w:p w14:paraId="569FF014">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2.《工程测量规范》（GB 50026-2007）；</w:t>
      </w:r>
    </w:p>
    <w:p w14:paraId="3508C0BA">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3.《建筑工程建筑面积计算规范》（GB/T 50353-2013）；</w:t>
      </w:r>
    </w:p>
    <w:p w14:paraId="6EDC314F">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4.测量数据须符合《机关事务信息化基础数据规范》（GB/T 43243-2023）。</w:t>
      </w:r>
    </w:p>
    <w:p w14:paraId="7B156F21">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5.符合其他国家行业标准规范。</w:t>
      </w:r>
    </w:p>
    <w:p w14:paraId="068E351F">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（三）保密要求</w:t>
      </w:r>
    </w:p>
    <w:p w14:paraId="6C08789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1.供应商负责对采购人所提供资料及最终成果的保密，供应商及其工作人员需遵守采购单位的保密规定，不以任何形式将收集的所有资料、数据等进行泄漏、传播。</w:t>
      </w:r>
    </w:p>
    <w:p w14:paraId="5C83073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2.项目服务人员需签署相关保密协议，承担工作中接触相关内容的保密义务。</w:t>
      </w:r>
    </w:p>
    <w:p w14:paraId="5A6D4561">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3.项目成果最终所有权属采购人，在项目完成时供应商必须全部移交。</w:t>
      </w:r>
    </w:p>
    <w:p w14:paraId="6CF4628B">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4.供应商须维护项目服务成果，不得转让给第三方重复使用。</w:t>
      </w:r>
    </w:p>
    <w:p w14:paraId="707C0F42">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（四）售后要求</w:t>
      </w:r>
    </w:p>
    <w:p w14:paraId="45B7F6B0">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1.供应商需具备售后服务管理体系，提供完善的售后服务保障。提供良好的履约质量、响应项目履约时间要求，具备良好的服务态度。</w:t>
      </w:r>
    </w:p>
    <w:p w14:paraId="62260ED7">
      <w:pPr>
        <w:pStyle w:val="3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2.供应商需提供免费售后服务电话和在线客服系统，确保售后过程中有任何问题可以及时响应。</w:t>
      </w:r>
    </w:p>
    <w:p w14:paraId="72FCC167">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highlight w:val="yellow"/>
          <w:lang w:val="en-US" w:eastAsia="zh-CN"/>
        </w:rPr>
        <w:sectPr>
          <w:footerReference r:id="rId9" w:type="default"/>
          <w:pgSz w:w="11906" w:h="16838"/>
          <w:pgMar w:top="1417" w:right="1249" w:bottom="1417" w:left="1417" w:header="850" w:footer="992" w:gutter="0"/>
          <w:pgNumType w:fmt="decimal" w:start="1"/>
          <w:cols w:space="0" w:num="1"/>
          <w:docGrid w:type="lines" w:linePitch="312" w:charSpace="0"/>
        </w:sectPr>
      </w:pPr>
      <w:r>
        <w:rPr>
          <w:rFonts w:hint="eastAsia" w:ascii="仿宋" w:hAnsi="仿宋" w:eastAsia="仿宋" w:cs="仿宋"/>
          <w:kern w:val="2"/>
          <w:sz w:val="24"/>
          <w:szCs w:val="24"/>
          <w:highlight w:val="none"/>
          <w:lang w:val="en-US" w:eastAsia="zh-CN" w:bidi="ar-SA"/>
        </w:rPr>
        <w:t>3.供应商需保证所采集的基础数据格式符合采购人要求，可以无缝对接陕西省办公用房管理平台，逾期无法实现的，采购人将按照虚假响应报政府采购监督管理部门处理，如因基础数据格式问题产生的相关费用由供应商自行支付</w:t>
      </w:r>
      <w:r>
        <w:rPr>
          <w:rFonts w:hint="eastAsia" w:ascii="仿宋" w:hAnsi="仿宋" w:eastAsia="仿宋" w:cs="仿宋"/>
          <w:sz w:val="24"/>
          <w:szCs w:val="24"/>
          <w:highlight w:val="none"/>
          <w:lang w:val="en-US" w:eastAsia="zh-CN"/>
        </w:rPr>
        <w:t>。</w:t>
      </w: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12" w:name="_Toc32019"/>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12"/>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133F9097">
            <w:pPr>
              <w:spacing w:line="500" w:lineRule="exact"/>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val="en-US" w:eastAsia="zh-CN"/>
              </w:rPr>
              <w:t>采</w:t>
            </w:r>
            <w:r>
              <w:rPr>
                <w:rFonts w:hint="eastAsia" w:ascii="仿宋_GB2312" w:hAnsi="仿宋_GB2312" w:eastAsia="仿宋_GB2312" w:cs="仿宋_GB2312"/>
                <w:b w:val="0"/>
                <w:bCs/>
                <w:sz w:val="24"/>
                <w:lang w:eastAsia="zh-CN"/>
              </w:rPr>
              <w:t>购人名称：陕西省机关事务服务中心</w:t>
            </w:r>
          </w:p>
          <w:p w14:paraId="7F13F598">
            <w:pPr>
              <w:spacing w:line="500" w:lineRule="exact"/>
              <w:rPr>
                <w:rFonts w:hint="eastAsia" w:ascii="仿宋" w:hAnsi="仿宋" w:eastAsia="仿宋" w:cs="仿宋"/>
                <w:highlight w:val="none"/>
                <w:lang w:eastAsia="zh-CN"/>
              </w:rPr>
            </w:pPr>
            <w:r>
              <w:rPr>
                <w:rFonts w:hint="eastAsia" w:ascii="仿宋_GB2312" w:hAnsi="仿宋_GB2312" w:eastAsia="仿宋_GB2312" w:cs="仿宋_GB2312"/>
                <w:b w:val="0"/>
                <w:bCs/>
                <w:sz w:val="24"/>
                <w:lang w:eastAsia="zh-CN"/>
              </w:rPr>
              <w:t>地  址：</w:t>
            </w:r>
            <w:r>
              <w:rPr>
                <w:rFonts w:hint="eastAsia" w:ascii="仿宋" w:hAnsi="仿宋" w:eastAsia="仿宋" w:cs="仿宋"/>
                <w:color w:val="auto"/>
                <w:highlight w:val="none"/>
              </w:rPr>
              <w:t>西安市新城大院</w:t>
            </w:r>
            <w:r>
              <w:rPr>
                <w:rFonts w:hint="eastAsia" w:ascii="仿宋" w:hAnsi="仿宋" w:eastAsia="仿宋" w:cs="仿宋"/>
                <w:color w:val="auto"/>
                <w:highlight w:val="none"/>
                <w:lang w:val="en-US" w:eastAsia="zh-CN"/>
              </w:rPr>
              <w:t>5号楼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14:paraId="4444EE1D">
            <w:pPr>
              <w:adjustRightInd w:val="0"/>
              <w:snapToGrid w:val="0"/>
              <w:spacing w:line="460" w:lineRule="exact"/>
              <w:rPr>
                <w:rFonts w:hint="default" w:eastAsia="仿宋"/>
                <w:highlight w:val="none"/>
                <w:lang w:val="en-US" w:eastAsia="zh-CN"/>
              </w:rPr>
            </w:pPr>
            <w:r>
              <w:rPr>
                <w:rFonts w:hint="eastAsia" w:ascii="仿宋" w:hAnsi="仿宋" w:eastAsia="仿宋" w:cs="仿宋"/>
                <w:highlight w:val="none"/>
                <w:lang w:val="en-US" w:eastAsia="zh-CN"/>
              </w:rPr>
              <w:t>服务期限：供应商应在2026年9月30日之前完成中标测量面积全部实测工作，并提交成果报告、测量数据等相关资料</w:t>
            </w:r>
            <w:r>
              <w:rPr>
                <w:rFonts w:hint="eastAsia" w:ascii="仿宋" w:hAnsi="仿宋" w:eastAsia="仿宋" w:cs="仿宋"/>
                <w:color w:val="auto"/>
                <w:highlight w:val="none"/>
                <w:lang w:eastAsia="zh-CN"/>
              </w:rPr>
              <w:t>。</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1685252A">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824558B">
            <w:p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7025F34E">
            <w:pPr>
              <w:spacing w:line="360" w:lineRule="auto"/>
              <w:rPr>
                <w:rFonts w:hint="eastAsia" w:eastAsia="仿宋"/>
                <w:highlight w:val="none"/>
                <w:lang w:eastAsia="zh-CN"/>
              </w:rPr>
            </w:pPr>
            <w:r>
              <w:rPr>
                <w:rFonts w:hint="eastAsia" w:ascii="仿宋" w:hAnsi="仿宋" w:eastAsia="仿宋" w:cs="仿宋"/>
                <w:kern w:val="2"/>
                <w:sz w:val="24"/>
                <w:szCs w:val="24"/>
                <w:highlight w:val="none"/>
                <w:lang w:val="en-US" w:eastAsia="zh-CN" w:bidi="ar-SA"/>
              </w:rPr>
              <w:t>根据供应商实际完成测绘的工作量，据实结算（具体以合同签订为准）。</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14:paraId="446EF1E0">
            <w:pPr>
              <w:spacing w:line="360" w:lineRule="auto"/>
              <w:rPr>
                <w:rFonts w:ascii="仿宋" w:hAnsi="仿宋" w:eastAsia="仿宋" w:cs="仿宋"/>
                <w:highlight w:val="none"/>
              </w:rPr>
            </w:pPr>
            <w:r>
              <w:rPr>
                <w:rFonts w:hint="eastAsia" w:ascii="仿宋" w:hAnsi="仿宋" w:eastAsia="仿宋" w:cs="仿宋"/>
                <w:highlight w:val="none"/>
              </w:rPr>
              <w:t>质量保证：</w:t>
            </w:r>
          </w:p>
          <w:p w14:paraId="1791135C">
            <w:pPr>
              <w:spacing w:line="360" w:lineRule="auto"/>
              <w:rPr>
                <w:rFonts w:ascii="仿宋" w:hAnsi="仿宋" w:eastAsia="仿宋" w:cs="仿宋"/>
                <w:highlight w:val="none"/>
              </w:rPr>
            </w:pPr>
            <w:r>
              <w:rPr>
                <w:rFonts w:hint="eastAsia" w:ascii="仿宋" w:hAnsi="仿宋" w:eastAsia="仿宋" w:cs="仿宋"/>
                <w:highlight w:val="none"/>
              </w:rPr>
              <w:t>（1）保证技术指标先进、质量性能可靠，全面满足采购要求。</w:t>
            </w:r>
          </w:p>
          <w:p w14:paraId="38F65D5A">
            <w:pPr>
              <w:spacing w:line="360" w:lineRule="auto"/>
              <w:rPr>
                <w:rFonts w:ascii="仿宋" w:hAnsi="仿宋" w:eastAsia="仿宋" w:cs="仿宋"/>
                <w:highlight w:val="none"/>
              </w:rPr>
            </w:pPr>
            <w:r>
              <w:rPr>
                <w:rFonts w:hint="eastAsia" w:ascii="仿宋" w:hAnsi="仿宋" w:eastAsia="仿宋" w:cs="仿宋"/>
                <w:highlight w:val="none"/>
              </w:rPr>
              <w:t>（2）符合国家有关规范要求。</w:t>
            </w:r>
          </w:p>
          <w:p w14:paraId="0357BF17">
            <w:pPr>
              <w:spacing w:line="360" w:lineRule="auto"/>
              <w:rPr>
                <w:rFonts w:ascii="仿宋" w:hAnsi="仿宋" w:eastAsia="仿宋" w:cs="仿宋"/>
                <w:highlight w:val="none"/>
              </w:rPr>
            </w:pPr>
            <w:r>
              <w:rPr>
                <w:rFonts w:hint="eastAsia" w:ascii="仿宋" w:hAnsi="仿宋" w:eastAsia="仿宋" w:cs="仿宋"/>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14:paraId="17C19924">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14:paraId="40B3AE0E">
            <w:pPr>
              <w:shd w:val="clear"/>
              <w:spacing w:line="360" w:lineRule="auto"/>
              <w:ind w:left="17" w:hanging="16" w:hangingChars="7"/>
              <w:rPr>
                <w:rFonts w:ascii="仿宋" w:hAnsi="仿宋" w:eastAsia="仿宋" w:cs="仿宋"/>
                <w:color w:val="auto"/>
                <w:highlight w:val="none"/>
              </w:rPr>
            </w:pPr>
            <w:r>
              <w:rPr>
                <w:rFonts w:hint="eastAsia" w:ascii="仿宋" w:hAnsi="仿宋" w:eastAsia="仿宋" w:cs="仿宋"/>
                <w:color w:val="auto"/>
                <w:highlight w:val="none"/>
              </w:rPr>
              <w:t>（1）由供应商进行自检合格后，准备验收文件，并书面通知采购人。</w:t>
            </w:r>
          </w:p>
          <w:p w14:paraId="49DD81D6">
            <w:pPr>
              <w:shd w:val="clear"/>
              <w:spacing w:line="360" w:lineRule="auto"/>
              <w:ind w:left="17" w:hanging="16" w:hangingChars="7"/>
              <w:rPr>
                <w:rFonts w:ascii="仿宋" w:hAnsi="仿宋" w:eastAsia="仿宋" w:cs="仿宋"/>
                <w:color w:val="auto"/>
                <w:highlight w:val="none"/>
              </w:rPr>
            </w:pPr>
            <w:r>
              <w:rPr>
                <w:rFonts w:hint="eastAsia" w:ascii="仿宋" w:hAnsi="仿宋" w:eastAsia="仿宋" w:cs="仿宋"/>
                <w:color w:val="auto"/>
                <w:highlight w:val="none"/>
              </w:rPr>
              <w:t>（2）采购人确认供应商</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能够达到采购要求后，组织供应商（必要时请有关专家）进行项目验收，验收合格后，填写项目验收单作为对项目的最终认可。</w:t>
            </w:r>
          </w:p>
          <w:p w14:paraId="4ABFCEB0">
            <w:pPr>
              <w:shd w:val="clear"/>
              <w:spacing w:line="360" w:lineRule="auto"/>
              <w:ind w:left="17" w:hanging="16" w:hangingChars="7"/>
              <w:rPr>
                <w:rFonts w:ascii="仿宋" w:hAnsi="仿宋" w:eastAsia="仿宋" w:cs="仿宋"/>
                <w:color w:val="auto"/>
                <w:highlight w:val="none"/>
              </w:rPr>
            </w:pPr>
            <w:r>
              <w:rPr>
                <w:rFonts w:hint="eastAsia" w:ascii="仿宋" w:hAnsi="仿宋" w:eastAsia="仿宋" w:cs="仿宋"/>
                <w:color w:val="auto"/>
                <w:highlight w:val="none"/>
              </w:rPr>
              <w:t>（3）供应商向采购人提交项目实施过程中的所有资料,以便采购人日后管理和维护该项目。</w:t>
            </w:r>
          </w:p>
          <w:p w14:paraId="3C5D67A6">
            <w:pPr>
              <w:shd w:val="clear"/>
              <w:spacing w:line="360" w:lineRule="auto"/>
              <w:ind w:left="17" w:hanging="16" w:hangingChars="7"/>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（4）验收依据</w:t>
            </w:r>
            <w:r>
              <w:rPr>
                <w:rFonts w:hint="eastAsia" w:ascii="仿宋" w:hAnsi="仿宋" w:eastAsia="仿宋" w:cs="仿宋"/>
                <w:color w:val="auto"/>
                <w:highlight w:val="none"/>
                <w:lang w:eastAsia="zh-CN"/>
              </w:rPr>
              <w:t>：</w:t>
            </w:r>
          </w:p>
          <w:p w14:paraId="6AF0464F">
            <w:pPr>
              <w:shd w:val="clear"/>
              <w:spacing w:line="360" w:lineRule="auto"/>
              <w:ind w:left="17" w:hanging="16" w:hangingChars="7"/>
              <w:rPr>
                <w:rFonts w:hint="eastAsia" w:ascii="仿宋" w:hAnsi="仿宋" w:eastAsia="仿宋" w:cs="仿宋"/>
                <w:color w:val="auto"/>
                <w:highlight w:val="none"/>
                <w:lang w:eastAsia="zh-CN"/>
              </w:rPr>
            </w:pPr>
            <w:r>
              <w:rPr>
                <w:rFonts w:hint="eastAsia" w:ascii="仿宋" w:hAnsi="仿宋" w:eastAsia="仿宋" w:cs="仿宋"/>
                <w:color w:val="auto"/>
                <w:highlight w:val="none"/>
              </w:rPr>
              <w:t>①竞争性磋商文件、磋商响应文件、澄清表（函）</w:t>
            </w:r>
            <w:r>
              <w:rPr>
                <w:rFonts w:hint="eastAsia" w:ascii="仿宋" w:hAnsi="仿宋" w:eastAsia="仿宋" w:cs="仿宋"/>
                <w:color w:val="auto"/>
                <w:highlight w:val="none"/>
                <w:lang w:eastAsia="zh-CN"/>
              </w:rPr>
              <w:t>。</w:t>
            </w:r>
          </w:p>
          <w:p w14:paraId="126E6675">
            <w:pPr>
              <w:shd w:val="clear"/>
              <w:spacing w:line="360" w:lineRule="auto"/>
              <w:ind w:left="17" w:hanging="16" w:hangingChars="7"/>
              <w:rPr>
                <w:rFonts w:hint="eastAsia" w:ascii="仿宋" w:hAnsi="仿宋" w:eastAsia="仿宋" w:cs="仿宋"/>
                <w:color w:val="auto"/>
                <w:highlight w:val="none"/>
                <w:lang w:eastAsia="zh-CN"/>
              </w:rPr>
            </w:pPr>
            <w:r>
              <w:rPr>
                <w:rFonts w:hint="eastAsia" w:ascii="仿宋" w:hAnsi="仿宋" w:eastAsia="仿宋" w:cs="仿宋"/>
                <w:color w:val="auto"/>
                <w:highlight w:val="none"/>
              </w:rPr>
              <w:t>②本合同及附件文本</w:t>
            </w:r>
            <w:r>
              <w:rPr>
                <w:rFonts w:hint="eastAsia" w:ascii="仿宋" w:hAnsi="仿宋" w:eastAsia="仿宋" w:cs="仿宋"/>
                <w:color w:val="auto"/>
                <w:highlight w:val="none"/>
                <w:lang w:eastAsia="zh-CN"/>
              </w:rPr>
              <w:t>。</w:t>
            </w:r>
          </w:p>
          <w:p w14:paraId="04A162A5">
            <w:pPr>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③国家相应的标准、规范</w:t>
            </w:r>
            <w:r>
              <w:rPr>
                <w:rFonts w:hint="eastAsia" w:ascii="仿宋" w:hAnsi="仿宋" w:eastAsia="仿宋" w:cs="仿宋"/>
                <w:color w:val="auto"/>
                <w:highlight w:val="none"/>
                <w:lang w:eastAsia="zh-CN"/>
              </w:rPr>
              <w:t>。</w:t>
            </w:r>
          </w:p>
          <w:p w14:paraId="48C82416">
            <w:pPr>
              <w:spacing w:line="360" w:lineRule="auto"/>
              <w:rPr>
                <w:rFonts w:ascii="仿宋" w:hAnsi="仿宋" w:eastAsia="仿宋" w:cs="仿宋"/>
                <w:highlight w:val="none"/>
              </w:rPr>
            </w:pPr>
            <w:r>
              <w:rPr>
                <w:rFonts w:hint="eastAsia" w:ascii="仿宋" w:hAnsi="仿宋" w:eastAsia="仿宋" w:cs="仿宋"/>
                <w:color w:val="auto"/>
                <w:highlight w:val="none"/>
              </w:rPr>
              <w:t>④</w:t>
            </w:r>
            <w:r>
              <w:rPr>
                <w:rFonts w:hint="eastAsia" w:ascii="仿宋" w:hAnsi="仿宋" w:eastAsia="仿宋" w:cs="仿宋"/>
                <w:color w:val="auto"/>
                <w:highlight w:val="none"/>
                <w:lang w:val="en-US" w:eastAsia="zh-CN"/>
              </w:rPr>
              <w:t>测绘数据完全匹配采购人办公用房管理系统数据格式要求</w:t>
            </w:r>
            <w:r>
              <w:rPr>
                <w:rFonts w:hint="eastAsia" w:ascii="仿宋" w:hAnsi="仿宋" w:eastAsia="仿宋" w:cs="仿宋"/>
                <w:color w:val="auto"/>
                <w:highlight w:val="none"/>
              </w:rPr>
              <w:t>。</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14:paraId="2CE17595">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14:paraId="1B491DBE">
            <w:pPr>
              <w:spacing w:line="360" w:lineRule="auto"/>
              <w:rPr>
                <w:rFonts w:hint="eastAsia" w:ascii="仿宋" w:hAnsi="仿宋" w:eastAsia="仿宋" w:cs="仿宋"/>
                <w:highlight w:val="none"/>
              </w:rPr>
            </w:pPr>
            <w:r>
              <w:rPr>
                <w:rFonts w:hint="eastAsia" w:ascii="仿宋" w:hAnsi="仿宋" w:eastAsia="仿宋" w:cs="仿宋"/>
                <w:highlight w:val="none"/>
              </w:rPr>
              <w:t>（1）按《中华人民共和国民法典》中的相关条款执行。</w:t>
            </w:r>
          </w:p>
          <w:p w14:paraId="081E5F61">
            <w:pPr>
              <w:spacing w:line="360" w:lineRule="auto"/>
              <w:rPr>
                <w:rFonts w:hint="eastAsia" w:ascii="仿宋" w:hAnsi="仿宋" w:eastAsia="仿宋" w:cs="仿宋"/>
                <w:highlight w:val="none"/>
              </w:rPr>
            </w:pPr>
            <w:r>
              <w:rPr>
                <w:rFonts w:hint="eastAsia" w:ascii="仿宋" w:hAnsi="仿宋" w:eastAsia="仿宋" w:cs="仿宋"/>
                <w:highlight w:val="none"/>
              </w:rPr>
              <w:t>（2）未按合同要求提供的服务，采购人会同招标组织机构有权终止合同和对供应商的违约行为进行追究。</w:t>
            </w:r>
          </w:p>
          <w:p w14:paraId="064269A3">
            <w:pPr>
              <w:spacing w:line="360" w:lineRule="auto"/>
              <w:rPr>
                <w:rFonts w:ascii="仿宋" w:hAnsi="仿宋" w:eastAsia="仿宋" w:cs="仿宋"/>
                <w:highlight w:val="none"/>
              </w:rPr>
            </w:pPr>
            <w:r>
              <w:rPr>
                <w:rFonts w:hint="eastAsia" w:ascii="仿宋" w:hAnsi="仿宋" w:eastAsia="仿宋" w:cs="仿宋"/>
                <w:highlight w:val="none"/>
              </w:rPr>
              <w:t>（3）供应商不能按期完成工作任务，供应商须按采购人已支付金额的双倍金额，返还于采购人，作为赔偿。如因采购人原因导致产品不能按计划完成，供应商不用承担赔偿责任。</w:t>
            </w:r>
          </w:p>
        </w:tc>
      </w:tr>
    </w:tbl>
    <w:p w14:paraId="2A724A4F">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09"/>
    <w:bookmarkEnd w:id="110"/>
    <w:bookmarkEnd w:id="111"/>
    <w:p w14:paraId="5A7F25E5">
      <w:pPr>
        <w:rPr>
          <w:rFonts w:hint="eastAsia" w:ascii="仿宋" w:hAnsi="仿宋" w:eastAsia="仿宋" w:cs="仿宋"/>
          <w:sz w:val="22"/>
          <w:szCs w:val="28"/>
          <w:highlight w:val="none"/>
        </w:rPr>
      </w:pPr>
      <w:bookmarkStart w:id="113" w:name="_Toc13105"/>
    </w:p>
    <w:p w14:paraId="29015510">
      <w:pPr>
        <w:jc w:val="left"/>
        <w:rPr>
          <w:rFonts w:hint="eastAsia" w:ascii="仿宋" w:hAnsi="仿宋" w:eastAsia="仿宋" w:cs="仿宋"/>
          <w:b/>
          <w:bCs/>
          <w:sz w:val="30"/>
          <w:szCs w:val="30"/>
          <w:highlight w:val="none"/>
        </w:rPr>
      </w:pPr>
      <w:bookmarkStart w:id="114" w:name="_Toc23166"/>
      <w:bookmarkStart w:id="115" w:name="_Toc27511"/>
      <w:r>
        <w:rPr>
          <w:rFonts w:hint="eastAsia" w:ascii="仿宋" w:hAnsi="仿宋" w:eastAsia="仿宋" w:cs="仿宋"/>
          <w:b/>
          <w:bCs/>
          <w:sz w:val="30"/>
          <w:szCs w:val="30"/>
          <w:highlight w:val="none"/>
        </w:rPr>
        <w:t>政府采购合同                        合同编号：</w:t>
      </w:r>
    </w:p>
    <w:p w14:paraId="52A5A8F3">
      <w:pPr>
        <w:pStyle w:val="10"/>
        <w:rPr>
          <w:rFonts w:hint="eastAsia" w:ascii="仿宋" w:hAnsi="仿宋" w:eastAsia="仿宋" w:cs="仿宋"/>
          <w:b/>
          <w:bCs/>
          <w:color w:val="auto"/>
          <w:sz w:val="30"/>
          <w:szCs w:val="30"/>
          <w:highlight w:val="none"/>
        </w:rPr>
      </w:pPr>
    </w:p>
    <w:p w14:paraId="6138910C">
      <w:pPr>
        <w:pStyle w:val="10"/>
        <w:rPr>
          <w:rFonts w:hint="eastAsia" w:ascii="仿宋" w:hAnsi="仿宋" w:eastAsia="仿宋" w:cs="仿宋"/>
          <w:b/>
          <w:bCs/>
          <w:color w:val="auto"/>
          <w:sz w:val="30"/>
          <w:szCs w:val="30"/>
          <w:highlight w:val="none"/>
        </w:rPr>
      </w:pPr>
    </w:p>
    <w:p w14:paraId="35A26356">
      <w:pPr>
        <w:pStyle w:val="10"/>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10"/>
        <w:rPr>
          <w:rFonts w:hint="eastAsia" w:ascii="仿宋" w:hAnsi="仿宋" w:eastAsia="仿宋" w:cs="仿宋"/>
          <w:color w:val="auto"/>
          <w:highlight w:val="none"/>
        </w:rPr>
      </w:pPr>
    </w:p>
    <w:p w14:paraId="15E4FC0D">
      <w:pPr>
        <w:pStyle w:val="10"/>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4AEA714C">
      <w:pPr>
        <w:jc w:val="center"/>
        <w:rPr>
          <w:rFonts w:hint="eastAsia" w:ascii="仿宋" w:hAnsi="仿宋" w:eastAsia="仿宋" w:cs="仿宋"/>
          <w:b/>
          <w:sz w:val="36"/>
          <w:szCs w:val="36"/>
          <w:highlight w:val="none"/>
        </w:rPr>
      </w:pPr>
    </w:p>
    <w:p w14:paraId="5CC449C6">
      <w:pPr>
        <w:jc w:val="center"/>
        <w:rPr>
          <w:rFonts w:hint="eastAsia" w:ascii="仿宋" w:hAnsi="仿宋" w:eastAsia="仿宋" w:cs="仿宋"/>
          <w:b/>
          <w:sz w:val="36"/>
          <w:szCs w:val="36"/>
          <w:highlight w:val="none"/>
        </w:rPr>
      </w:pPr>
    </w:p>
    <w:p w14:paraId="0EACD6F3">
      <w:pPr>
        <w:jc w:val="center"/>
        <w:rPr>
          <w:rFonts w:hint="eastAsia" w:ascii="仿宋" w:hAnsi="仿宋" w:eastAsia="仿宋" w:cs="仿宋"/>
          <w:b/>
          <w:sz w:val="36"/>
          <w:szCs w:val="36"/>
          <w:highlight w:val="none"/>
        </w:rPr>
      </w:pPr>
    </w:p>
    <w:p w14:paraId="6BDD46E3">
      <w:pPr>
        <w:spacing w:before="158" w:beforeLines="50" w:line="360" w:lineRule="auto"/>
        <w:rPr>
          <w:rFonts w:hint="eastAsia" w:ascii="仿宋" w:hAnsi="仿宋" w:eastAsia="仿宋" w:cs="仿宋"/>
          <w:bCs/>
          <w:sz w:val="48"/>
          <w:szCs w:val="48"/>
          <w:highlight w:val="none"/>
        </w:rPr>
      </w:pPr>
    </w:p>
    <w:p w14:paraId="2298DD3F">
      <w:pPr>
        <w:spacing w:before="158" w:beforeLines="50" w:line="360" w:lineRule="auto"/>
        <w:ind w:firstLine="1584" w:firstLineChars="493"/>
        <w:jc w:val="left"/>
        <w:rPr>
          <w:rFonts w:hint="eastAsia"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14:paraId="1A627E87">
      <w:pPr>
        <w:pStyle w:val="10"/>
        <w:jc w:val="center"/>
        <w:rPr>
          <w:rFonts w:hint="eastAsia" w:ascii="仿宋" w:hAnsi="仿宋" w:eastAsia="仿宋" w:cs="仿宋"/>
          <w:b/>
          <w:bCs/>
          <w:color w:val="auto"/>
          <w:sz w:val="32"/>
          <w:szCs w:val="32"/>
          <w:highlight w:val="none"/>
          <w:u w:val="none"/>
        </w:rPr>
      </w:pPr>
    </w:p>
    <w:p w14:paraId="52E61BF1">
      <w:pPr>
        <w:pStyle w:val="10"/>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none"/>
        </w:rPr>
        <w:t>二〇二</w:t>
      </w:r>
      <w:r>
        <w:rPr>
          <w:rFonts w:hint="eastAsia" w:ascii="仿宋" w:hAnsi="仿宋" w:eastAsia="仿宋" w:cs="仿宋"/>
          <w:b/>
          <w:bCs/>
          <w:color w:val="auto"/>
          <w:sz w:val="32"/>
          <w:szCs w:val="32"/>
          <w:highlight w:val="none"/>
          <w:u w:val="none"/>
          <w:lang w:val="en-US" w:eastAsia="zh-CN"/>
        </w:rPr>
        <w:t>六</w:t>
      </w:r>
      <w:r>
        <w:rPr>
          <w:rFonts w:hint="eastAsia" w:ascii="仿宋" w:hAnsi="仿宋" w:eastAsia="仿宋" w:cs="仿宋"/>
          <w:b/>
          <w:bCs/>
          <w:color w:val="auto"/>
          <w:sz w:val="32"/>
          <w:szCs w:val="32"/>
          <w:highlight w:val="none"/>
          <w:u w:val="none"/>
        </w:rPr>
        <w:t>年</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月</w:t>
      </w:r>
      <w:r>
        <w:rPr>
          <w:rFonts w:hint="eastAsia" w:ascii="仿宋" w:hAnsi="仿宋" w:eastAsia="仿宋" w:cs="仿宋"/>
          <w:b/>
          <w:bCs/>
          <w:color w:val="auto"/>
          <w:sz w:val="32"/>
          <w:szCs w:val="32"/>
          <w:highlight w:val="none"/>
          <w:u w:val="none"/>
          <w:lang w:val="en-US" w:eastAsia="zh-CN"/>
        </w:rPr>
        <w:t xml:space="preserve">  日</w:t>
      </w:r>
      <w:r>
        <w:rPr>
          <w:rFonts w:hint="eastAsia" w:ascii="仿宋" w:hAnsi="仿宋" w:eastAsia="仿宋" w:cs="仿宋"/>
          <w:b/>
          <w:bCs/>
          <w:color w:val="auto"/>
          <w:sz w:val="36"/>
          <w:szCs w:val="36"/>
          <w:highlight w:val="none"/>
        </w:rPr>
        <w:br w:type="page"/>
      </w:r>
    </w:p>
    <w:bookmarkEnd w:id="114"/>
    <w:bookmarkEnd w:id="115"/>
    <w:p w14:paraId="4550A33A">
      <w:pPr>
        <w:shd w:val="clear"/>
        <w:spacing w:before="158" w:beforeLines="50"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0"/>
          <w:szCs w:val="30"/>
          <w:highlight w:val="none"/>
        </w:rPr>
        <w:t>第一部分  协议书</w:t>
      </w:r>
    </w:p>
    <w:p w14:paraId="3ED4BA61">
      <w:pPr>
        <w:shd w:val="clear"/>
        <w:adjustRightInd w:val="0"/>
        <w:snapToGrid w:val="0"/>
        <w:spacing w:line="460" w:lineRule="exact"/>
        <w:ind w:firstLine="482" w:firstLineChars="200"/>
        <w:rPr>
          <w:rFonts w:ascii="仿宋" w:hAnsi="仿宋" w:eastAsia="仿宋" w:cs="仿宋"/>
          <w:b/>
          <w:color w:val="auto"/>
          <w:highlight w:val="none"/>
        </w:rPr>
      </w:pPr>
      <w:r>
        <w:rPr>
          <w:rFonts w:hint="eastAsia" w:ascii="仿宋" w:hAnsi="仿宋" w:eastAsia="仿宋" w:cs="仿宋"/>
          <w:b/>
          <w:color w:val="auto"/>
          <w:highlight w:val="none"/>
        </w:rPr>
        <w:t>甲方（采购人）：</w:t>
      </w:r>
      <w:r>
        <w:rPr>
          <w:rFonts w:hint="eastAsia" w:ascii="仿宋" w:hAnsi="仿宋" w:eastAsia="仿宋" w:cs="仿宋"/>
          <w:b/>
          <w:color w:val="auto"/>
          <w:highlight w:val="none"/>
          <w:u w:val="single"/>
        </w:rPr>
        <w:t xml:space="preserve">                                  </w:t>
      </w:r>
    </w:p>
    <w:p w14:paraId="4EBEB1B0">
      <w:pPr>
        <w:shd w:val="clear"/>
        <w:adjustRightInd w:val="0"/>
        <w:snapToGrid w:val="0"/>
        <w:spacing w:line="460" w:lineRule="exact"/>
        <w:ind w:firstLine="482" w:firstLineChars="200"/>
        <w:rPr>
          <w:rFonts w:ascii="仿宋" w:hAnsi="仿宋" w:eastAsia="仿宋" w:cs="仿宋"/>
          <w:color w:val="auto"/>
          <w:highlight w:val="none"/>
        </w:rPr>
      </w:pPr>
      <w:r>
        <w:rPr>
          <w:rFonts w:hint="eastAsia" w:ascii="仿宋" w:hAnsi="仿宋" w:eastAsia="仿宋" w:cs="仿宋"/>
          <w:b/>
          <w:color w:val="auto"/>
          <w:highlight w:val="none"/>
        </w:rPr>
        <w:t>乙方（供应商）：</w:t>
      </w:r>
      <w:r>
        <w:rPr>
          <w:rFonts w:hint="eastAsia" w:ascii="仿宋" w:hAnsi="仿宋" w:eastAsia="仿宋" w:cs="仿宋"/>
          <w:b/>
          <w:color w:val="auto"/>
          <w:highlight w:val="none"/>
          <w:u w:val="single"/>
        </w:rPr>
        <w:t xml:space="preserve">                                  </w:t>
      </w:r>
    </w:p>
    <w:p w14:paraId="6E5D8347">
      <w:pPr>
        <w:shd w:val="clear"/>
        <w:adjustRightInd w:val="0"/>
        <w:snapToGrid w:val="0"/>
        <w:spacing w:line="460" w:lineRule="exact"/>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根据《</w:t>
      </w:r>
      <w:r>
        <w:rPr>
          <w:rFonts w:hint="eastAsia" w:ascii="仿宋" w:hAnsi="仿宋" w:eastAsia="仿宋" w:cs="仿宋"/>
          <w:color w:val="auto"/>
          <w:highlight w:val="none"/>
          <w:lang w:val="en-US" w:eastAsia="zh-CN"/>
        </w:rPr>
        <w:t>中华人民共和国</w:t>
      </w:r>
      <w:r>
        <w:rPr>
          <w:rFonts w:hint="eastAsia" w:ascii="仿宋" w:hAnsi="仿宋" w:eastAsia="仿宋" w:cs="仿宋"/>
          <w:color w:val="auto"/>
          <w:highlight w:val="none"/>
        </w:rPr>
        <w:t>民法典》及其他有关法律、法规，遵循平等、自愿、公平和诚信的原则，双方就下述项目范围与相关服务事项协商一致，订立本合同。</w:t>
      </w:r>
    </w:p>
    <w:p w14:paraId="4D28192A">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一、项目概况</w:t>
      </w:r>
    </w:p>
    <w:p w14:paraId="5B0AB968">
      <w:pPr>
        <w:shd w:val="clear"/>
        <w:adjustRightInd w:val="0"/>
        <w:snapToGrid w:val="0"/>
        <w:spacing w:line="460" w:lineRule="exact"/>
        <w:ind w:firstLine="475" w:firstLineChars="198"/>
        <w:rPr>
          <w:rFonts w:hint="eastAsia" w:ascii="仿宋" w:hAnsi="仿宋" w:eastAsia="仿宋" w:cs="仿宋"/>
          <w:color w:val="auto"/>
          <w:highlight w:val="none"/>
          <w:lang w:eastAsia="zh-CN"/>
        </w:rPr>
      </w:pPr>
      <w:r>
        <w:rPr>
          <w:rFonts w:hint="eastAsia" w:ascii="仿宋" w:hAnsi="仿宋" w:eastAsia="仿宋" w:cs="仿宋"/>
          <w:color w:val="auto"/>
          <w:highlight w:val="none"/>
        </w:rPr>
        <w:t>1. 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eastAsia="zh-CN"/>
        </w:rPr>
        <w:t>。</w:t>
      </w:r>
    </w:p>
    <w:p w14:paraId="190C7611">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2. 项目地点：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D2E562C">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二、组成本合同的文件</w:t>
      </w:r>
    </w:p>
    <w:p w14:paraId="7C5AC4B0">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1. 协议书；</w:t>
      </w:r>
    </w:p>
    <w:p w14:paraId="35A8EA40">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2. 成交通知书、响应文件、竞争性磋商文件、澄清、措施补充文件；</w:t>
      </w:r>
    </w:p>
    <w:p w14:paraId="2A3D46F8">
      <w:pPr>
        <w:shd w:val="clear"/>
        <w:adjustRightInd w:val="0"/>
        <w:snapToGrid w:val="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 相关服务建议书；</w:t>
      </w:r>
    </w:p>
    <w:p w14:paraId="7F2C0247">
      <w:pPr>
        <w:shd w:val="clear"/>
        <w:adjustRightInd w:val="0"/>
        <w:snapToGrid w:val="0"/>
        <w:spacing w:line="460" w:lineRule="exact"/>
        <w:rPr>
          <w:rFonts w:ascii="仿宋" w:hAnsi="仿宋" w:eastAsia="仿宋" w:cs="仿宋"/>
          <w:color w:val="auto"/>
          <w:highlight w:val="none"/>
        </w:rPr>
      </w:pPr>
      <w:r>
        <w:rPr>
          <w:rFonts w:hint="eastAsia" w:ascii="仿宋" w:hAnsi="仿宋" w:eastAsia="仿宋" w:cs="仿宋"/>
          <w:color w:val="auto"/>
          <w:highlight w:val="none"/>
        </w:rPr>
        <w:t xml:space="preserve">    4. 附录，即：附表内相关服务的范围和内容；</w:t>
      </w:r>
    </w:p>
    <w:p w14:paraId="666880DE">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本合同签订后，双方依法签订的补充协议也是本合同文件的组成部分。</w:t>
      </w:r>
    </w:p>
    <w:p w14:paraId="4F7AD852">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三、合同金额</w:t>
      </w:r>
    </w:p>
    <w:p w14:paraId="4EA4F801">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合同总价款（含税金额）：</w:t>
      </w:r>
      <w:r>
        <w:rPr>
          <w:rFonts w:hint="eastAsia" w:ascii="仿宋" w:hAnsi="仿宋" w:eastAsia="仿宋" w:cs="仿宋"/>
          <w:color w:val="auto"/>
          <w:highlight w:val="none"/>
          <w:u w:val="single"/>
        </w:rPr>
        <w:fldChar w:fldCharType="begin"/>
      </w:r>
      <w:r>
        <w:rPr>
          <w:rFonts w:hint="eastAsia" w:ascii="仿宋" w:hAnsi="仿宋" w:eastAsia="仿宋" w:cs="仿宋"/>
          <w:color w:val="auto"/>
          <w:highlight w:val="none"/>
          <w:u w:val="single"/>
        </w:rPr>
        <w:instrText xml:space="preserve"> = 219854 \* CHINESENUM4 \* MERGEFORMAT </w:instrText>
      </w:r>
      <w:r>
        <w:rPr>
          <w:rFonts w:hint="eastAsia" w:ascii="仿宋" w:hAnsi="仿宋" w:eastAsia="仿宋" w:cs="仿宋"/>
          <w:color w:val="auto"/>
          <w:highlight w:val="none"/>
          <w:u w:val="single"/>
        </w:rPr>
        <w:fldChar w:fldCharType="separate"/>
      </w:r>
      <w:r>
        <w:rPr>
          <w:rFonts w:hint="eastAsia" w:ascii="仿宋" w:hAnsi="仿宋" w:eastAsia="仿宋" w:cs="仿宋"/>
          <w:color w:val="auto"/>
          <w:highlight w:val="none"/>
          <w:u w:val="single"/>
        </w:rPr>
        <w:t xml:space="preserve">               元整</w:t>
      </w:r>
      <w:r>
        <w:rPr>
          <w:rFonts w:hint="eastAsia" w:ascii="仿宋" w:hAnsi="仿宋" w:eastAsia="仿宋" w:cs="仿宋"/>
          <w:color w:val="auto"/>
          <w:highlight w:val="none"/>
          <w:u w:val="single"/>
        </w:rPr>
        <w:fldChar w:fldCharType="end"/>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5566CC6E">
      <w:pPr>
        <w:shd w:val="clear"/>
        <w:adjustRightInd w:val="0"/>
        <w:snapToGrid w:val="0"/>
        <w:spacing w:line="460" w:lineRule="exact"/>
        <w:ind w:firstLine="475" w:firstLineChars="198"/>
        <w:rPr>
          <w:rFonts w:ascii="仿宋" w:hAnsi="仿宋" w:eastAsia="仿宋" w:cs="仿宋"/>
          <w:color w:val="auto"/>
          <w:highlight w:val="none"/>
        </w:rPr>
      </w:pPr>
      <w:r>
        <w:rPr>
          <w:rFonts w:hint="eastAsia" w:ascii="仿宋" w:hAnsi="仿宋" w:eastAsia="仿宋" w:cs="仿宋"/>
          <w:color w:val="auto"/>
          <w:highlight w:val="none"/>
        </w:rPr>
        <w:t>合同总价即中标价，为一次性报价，不受市场价变化影响。合同价格为含税价，</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提供服务所发生的一切税（包括增值税）费等都已包含于合同价款中。</w:t>
      </w:r>
    </w:p>
    <w:p w14:paraId="3985D0BA">
      <w:pPr>
        <w:shd w:val="clear"/>
        <w:adjustRightInd w:val="0"/>
        <w:snapToGrid w:val="0"/>
        <w:spacing w:line="460" w:lineRule="exact"/>
        <w:rPr>
          <w:rFonts w:ascii="仿宋" w:hAnsi="仿宋" w:eastAsia="仿宋" w:cs="仿宋"/>
          <w:b/>
          <w:color w:val="auto"/>
          <w:highlight w:val="none"/>
        </w:rPr>
      </w:pPr>
      <w:r>
        <w:rPr>
          <w:rFonts w:hint="eastAsia" w:ascii="仿宋" w:hAnsi="仿宋" w:eastAsia="仿宋" w:cs="仿宋"/>
          <w:b/>
          <w:color w:val="auto"/>
          <w:highlight w:val="none"/>
        </w:rPr>
        <w:t>四、采购资金的支付及结算方式</w:t>
      </w:r>
    </w:p>
    <w:p w14:paraId="4EA19F35">
      <w:pPr>
        <w:shd w:val="clear"/>
        <w:spacing w:line="460" w:lineRule="exact"/>
        <w:ind w:firstLine="729" w:firstLineChars="304"/>
        <w:rPr>
          <w:rFonts w:ascii="仿宋" w:hAnsi="仿宋" w:eastAsia="仿宋" w:cs="仿宋"/>
          <w:color w:val="auto"/>
          <w:highlight w:val="none"/>
        </w:rPr>
      </w:pPr>
      <w:r>
        <w:rPr>
          <w:rFonts w:hint="eastAsia" w:ascii="仿宋" w:hAnsi="仿宋" w:eastAsia="仿宋" w:cs="仿宋"/>
          <w:color w:val="auto"/>
          <w:highlight w:val="none"/>
        </w:rPr>
        <w:t>1.支付方式：银行转账。在付款前，</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必须开具与合同金额相应的发票给</w:t>
      </w:r>
      <w:r>
        <w:rPr>
          <w:rFonts w:hint="eastAsia" w:ascii="仿宋" w:hAnsi="仿宋" w:eastAsia="仿宋" w:cs="仿宋"/>
          <w:strike w:val="0"/>
          <w:dstrike w:val="0"/>
          <w:color w:val="auto"/>
          <w:highlight w:val="none"/>
          <w:lang w:val="en-US" w:eastAsia="zh-CN"/>
        </w:rPr>
        <w:t>甲方</w:t>
      </w:r>
      <w:r>
        <w:rPr>
          <w:rFonts w:hint="eastAsia" w:ascii="仿宋" w:hAnsi="仿宋" w:eastAsia="仿宋" w:cs="仿宋"/>
          <w:color w:val="auto"/>
          <w:highlight w:val="none"/>
        </w:rPr>
        <w:t>，附详细清单。</w:t>
      </w:r>
    </w:p>
    <w:p w14:paraId="4AD96694">
      <w:pPr>
        <w:shd w:val="clear"/>
        <w:spacing w:line="460" w:lineRule="exact"/>
        <w:ind w:firstLine="720" w:firstLineChars="300"/>
        <w:rPr>
          <w:rFonts w:hint="eastAsia" w:ascii="仿宋" w:hAnsi="仿宋" w:eastAsia="仿宋" w:cs="仿宋"/>
          <w:b w:val="0"/>
          <w:bCs/>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结算</w:t>
      </w:r>
      <w:r>
        <w:rPr>
          <w:rFonts w:hint="eastAsia" w:ascii="仿宋" w:hAnsi="仿宋" w:eastAsia="仿宋" w:cs="仿宋"/>
          <w:color w:val="auto"/>
          <w:highlight w:val="none"/>
        </w:rPr>
        <w:t>方式:根据供应商实际完成测绘的工作量，据实结算（具体以合同签订为准）。</w:t>
      </w:r>
    </w:p>
    <w:p w14:paraId="6BDD5730">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五、</w:t>
      </w:r>
      <w:r>
        <w:rPr>
          <w:rFonts w:hint="eastAsia" w:ascii="仿宋" w:hAnsi="仿宋" w:eastAsia="仿宋" w:cs="仿宋"/>
          <w:b/>
          <w:color w:val="auto"/>
          <w:highlight w:val="none"/>
          <w:lang w:val="en-US" w:eastAsia="zh-CN"/>
        </w:rPr>
        <w:t>服务期限</w:t>
      </w:r>
      <w:r>
        <w:rPr>
          <w:rFonts w:hint="eastAsia" w:ascii="仿宋" w:hAnsi="仿宋" w:eastAsia="仿宋" w:cs="仿宋"/>
          <w:b/>
          <w:color w:val="auto"/>
          <w:highlight w:val="none"/>
        </w:rPr>
        <w:t xml:space="preserve"> </w:t>
      </w:r>
    </w:p>
    <w:p w14:paraId="7A5F0BAA">
      <w:pPr>
        <w:shd w:val="clear"/>
        <w:tabs>
          <w:tab w:val="left" w:pos="840"/>
        </w:tabs>
        <w:spacing w:line="460" w:lineRule="exact"/>
        <w:ind w:firstLine="480" w:firstLineChars="200"/>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lang w:eastAsia="zh-CN"/>
        </w:rPr>
        <w:t>供应商应在2026年9月30日之前完成中标测量面积全部实测工作，并提交成果报告、测量数据等相关资料。</w:t>
      </w:r>
    </w:p>
    <w:p w14:paraId="7448738E">
      <w:pPr>
        <w:shd w:val="clear"/>
        <w:tabs>
          <w:tab w:val="left" w:pos="840"/>
        </w:tabs>
        <w:spacing w:line="460" w:lineRule="exact"/>
        <w:rPr>
          <w:rFonts w:ascii="仿宋" w:hAnsi="仿宋" w:eastAsia="仿宋" w:cs="仿宋"/>
          <w:b/>
          <w:color w:val="auto"/>
          <w:highlight w:val="none"/>
        </w:rPr>
      </w:pPr>
      <w:r>
        <w:rPr>
          <w:rFonts w:hint="eastAsia" w:ascii="仿宋" w:hAnsi="仿宋" w:eastAsia="仿宋" w:cs="仿宋"/>
          <w:b/>
          <w:color w:val="auto"/>
          <w:highlight w:val="none"/>
        </w:rPr>
        <w:t>六、内容及要求</w:t>
      </w:r>
    </w:p>
    <w:p w14:paraId="40107BBF">
      <w:pPr>
        <w:pStyle w:val="10"/>
        <w:shd w:val="clear"/>
        <w:spacing w:line="460" w:lineRule="exact"/>
        <w:ind w:firstLine="480" w:firstLineChars="200"/>
        <w:rPr>
          <w:rFonts w:ascii="仿宋" w:hAnsi="仿宋" w:eastAsia="仿宋" w:cs="仿宋"/>
          <w:color w:val="auto"/>
          <w:kern w:val="0"/>
          <w:highlight w:val="none"/>
          <w:u w:val="single"/>
        </w:rPr>
      </w:pPr>
      <w:r>
        <w:rPr>
          <w:rFonts w:hint="eastAsia" w:ascii="仿宋" w:hAnsi="仿宋" w:eastAsia="仿宋" w:cs="仿宋"/>
          <w:color w:val="auto"/>
          <w:kern w:val="0"/>
          <w:highlight w:val="none"/>
        </w:rPr>
        <w:t>主要工作内容及要求：完成甲方下达的</w:t>
      </w:r>
      <w:r>
        <w:rPr>
          <w:rFonts w:hint="eastAsia" w:ascii="仿宋" w:hAnsi="仿宋" w:eastAsia="仿宋" w:cs="仿宋"/>
          <w:color w:val="auto"/>
          <w:highlight w:val="none"/>
          <w:u w:val="single"/>
        </w:rPr>
        <w:t xml:space="preserve">                        ，工作要求详见本磋商文件第</w:t>
      </w:r>
      <w:r>
        <w:rPr>
          <w:rFonts w:hint="eastAsia" w:ascii="仿宋" w:hAnsi="仿宋" w:eastAsia="仿宋" w:cs="仿宋"/>
          <w:color w:val="auto"/>
          <w:highlight w:val="none"/>
          <w:u w:val="single"/>
          <w:lang w:val="en-US" w:eastAsia="zh-CN"/>
        </w:rPr>
        <w:t>四章</w:t>
      </w:r>
      <w:r>
        <w:rPr>
          <w:rFonts w:hint="eastAsia" w:ascii="仿宋" w:hAnsi="仿宋" w:eastAsia="仿宋" w:cs="仿宋"/>
          <w:color w:val="auto"/>
          <w:kern w:val="0"/>
          <w:highlight w:val="none"/>
        </w:rPr>
        <w:t>。</w:t>
      </w:r>
    </w:p>
    <w:p w14:paraId="7BBF83CF">
      <w:pPr>
        <w:shd w:val="clear"/>
        <w:spacing w:line="460" w:lineRule="exact"/>
        <w:rPr>
          <w:rFonts w:hint="eastAsia" w:ascii="仿宋" w:hAnsi="仿宋" w:eastAsia="仿宋" w:cs="仿宋"/>
          <w:color w:val="auto"/>
          <w:highlight w:val="none"/>
        </w:rPr>
      </w:pPr>
      <w:r>
        <w:rPr>
          <w:rFonts w:hint="eastAsia" w:ascii="仿宋" w:hAnsi="仿宋" w:eastAsia="仿宋" w:cs="仿宋"/>
          <w:b/>
          <w:color w:val="auto"/>
          <w:highlight w:val="none"/>
          <w:lang w:val="en-US" w:eastAsia="zh-CN"/>
        </w:rPr>
        <w:t>八</w:t>
      </w:r>
      <w:r>
        <w:rPr>
          <w:rFonts w:hint="eastAsia" w:ascii="仿宋" w:hAnsi="仿宋" w:eastAsia="仿宋" w:cs="仿宋"/>
          <w:b/>
          <w:color w:val="auto"/>
          <w:highlight w:val="none"/>
        </w:rPr>
        <w:t>、</w:t>
      </w:r>
      <w:r>
        <w:rPr>
          <w:rFonts w:hint="eastAsia" w:ascii="仿宋" w:hAnsi="仿宋" w:eastAsia="仿宋" w:cs="仿宋"/>
          <w:b/>
          <w:bCs/>
          <w:color w:val="auto"/>
          <w:highlight w:val="none"/>
        </w:rPr>
        <w:t>验收方式及验收依据</w:t>
      </w:r>
    </w:p>
    <w:p w14:paraId="469FFBBE">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由</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进行自检合格后，准备验收文件，并书面通知</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w:t>
      </w:r>
    </w:p>
    <w:p w14:paraId="79DBB0E2">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2、甲方</w:t>
      </w:r>
      <w:r>
        <w:rPr>
          <w:rFonts w:hint="eastAsia" w:ascii="仿宋" w:hAnsi="仿宋" w:eastAsia="仿宋" w:cs="仿宋"/>
          <w:color w:val="auto"/>
          <w:highlight w:val="none"/>
        </w:rPr>
        <w:t>确认</w:t>
      </w:r>
      <w:r>
        <w:rPr>
          <w:rFonts w:hint="eastAsia" w:ascii="仿宋" w:hAnsi="仿宋" w:eastAsia="仿宋" w:cs="仿宋"/>
          <w:color w:val="auto"/>
          <w:highlight w:val="none"/>
          <w:lang w:val="en-US" w:eastAsia="zh-CN"/>
        </w:rPr>
        <w:t>乙方服务</w:t>
      </w:r>
      <w:r>
        <w:rPr>
          <w:rFonts w:hint="eastAsia" w:ascii="仿宋" w:hAnsi="仿宋" w:eastAsia="仿宋" w:cs="仿宋"/>
          <w:color w:val="auto"/>
          <w:highlight w:val="none"/>
        </w:rPr>
        <w:t>能够达到采购要求后，组织</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（必要时请有关专家）进行项目验收，验收合格后，填写项目验收单作为对项目的最终认可。</w:t>
      </w:r>
    </w:p>
    <w:p w14:paraId="729C1711">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3、乙方</w:t>
      </w:r>
      <w:r>
        <w:rPr>
          <w:rFonts w:hint="eastAsia" w:ascii="仿宋" w:hAnsi="仿宋" w:eastAsia="仿宋" w:cs="仿宋"/>
          <w:color w:val="auto"/>
          <w:highlight w:val="none"/>
        </w:rPr>
        <w:t>向</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提交项目实施过程中的所有资料,以便</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日后管理和维护该项目。</w:t>
      </w:r>
    </w:p>
    <w:p w14:paraId="600B9B98">
      <w:pPr>
        <w:shd w:val="clear"/>
        <w:tabs>
          <w:tab w:val="left" w:pos="840"/>
        </w:tabs>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验收依据</w:t>
      </w:r>
    </w:p>
    <w:p w14:paraId="3521365C">
      <w:pPr>
        <w:shd w:val="clear"/>
        <w:tabs>
          <w:tab w:val="left" w:pos="84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①竞争性磋商文件、磋商响应文件、澄清表（函）</w:t>
      </w:r>
      <w:r>
        <w:rPr>
          <w:rFonts w:hint="eastAsia" w:ascii="仿宋" w:hAnsi="仿宋" w:eastAsia="仿宋" w:cs="仿宋"/>
          <w:color w:val="auto"/>
          <w:highlight w:val="none"/>
          <w:lang w:eastAsia="zh-CN"/>
        </w:rPr>
        <w:t>。</w:t>
      </w:r>
    </w:p>
    <w:p w14:paraId="3FA574B3">
      <w:pPr>
        <w:shd w:val="clear"/>
        <w:tabs>
          <w:tab w:val="left" w:pos="84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②本合同及附件文本</w:t>
      </w:r>
      <w:r>
        <w:rPr>
          <w:rFonts w:hint="eastAsia" w:ascii="仿宋" w:hAnsi="仿宋" w:eastAsia="仿宋" w:cs="仿宋"/>
          <w:color w:val="auto"/>
          <w:highlight w:val="none"/>
          <w:lang w:eastAsia="zh-CN"/>
        </w:rPr>
        <w:t>。</w:t>
      </w:r>
    </w:p>
    <w:p w14:paraId="25C446B7">
      <w:pPr>
        <w:shd w:val="clear"/>
        <w:tabs>
          <w:tab w:val="left" w:pos="840"/>
        </w:tabs>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③国家相应的标准、规范</w:t>
      </w:r>
      <w:r>
        <w:rPr>
          <w:rFonts w:hint="eastAsia" w:ascii="仿宋" w:hAnsi="仿宋" w:eastAsia="仿宋" w:cs="仿宋"/>
          <w:color w:val="auto"/>
          <w:highlight w:val="none"/>
          <w:lang w:eastAsia="zh-CN"/>
        </w:rPr>
        <w:t>。</w:t>
      </w:r>
    </w:p>
    <w:p w14:paraId="4CDA3FA9">
      <w:pPr>
        <w:shd w:val="clear"/>
        <w:tabs>
          <w:tab w:val="left" w:pos="840"/>
        </w:tabs>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④测绘数据完全匹配采购人办公用房管理系统数据格式要求。</w:t>
      </w:r>
    </w:p>
    <w:p w14:paraId="017C9A2E">
      <w:pPr>
        <w:shd w:val="clear"/>
        <w:tabs>
          <w:tab w:val="left" w:pos="840"/>
        </w:tabs>
        <w:spacing w:line="460" w:lineRule="exact"/>
        <w:rPr>
          <w:rFonts w:ascii="仿宋" w:hAnsi="仿宋" w:eastAsia="仿宋" w:cs="仿宋"/>
          <w:b/>
          <w:color w:val="auto"/>
          <w:highlight w:val="none"/>
        </w:rPr>
      </w:pPr>
      <w:r>
        <w:rPr>
          <w:rFonts w:hint="eastAsia" w:ascii="仿宋" w:hAnsi="仿宋" w:eastAsia="仿宋" w:cs="仿宋"/>
          <w:b/>
          <w:color w:val="auto"/>
          <w:highlight w:val="none"/>
          <w:lang w:val="en-US" w:eastAsia="zh-CN"/>
        </w:rPr>
        <w:t>九</w:t>
      </w:r>
      <w:r>
        <w:rPr>
          <w:rFonts w:hint="eastAsia" w:ascii="仿宋" w:hAnsi="仿宋" w:eastAsia="仿宋" w:cs="仿宋"/>
          <w:b/>
          <w:color w:val="auto"/>
          <w:highlight w:val="none"/>
        </w:rPr>
        <w:t>、保密</w:t>
      </w:r>
    </w:p>
    <w:p w14:paraId="2E48B22B">
      <w:pPr>
        <w:shd w:val="clear"/>
        <w:tabs>
          <w:tab w:val="left" w:pos="1080"/>
        </w:tabs>
        <w:spacing w:line="460" w:lineRule="exact"/>
        <w:ind w:firstLine="360" w:firstLineChars="150"/>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乙方应</w:t>
      </w:r>
      <w:r>
        <w:rPr>
          <w:rFonts w:hint="eastAsia" w:ascii="仿宋" w:hAnsi="仿宋" w:eastAsia="仿宋" w:cs="仿宋"/>
          <w:color w:val="auto"/>
          <w:highlight w:val="none"/>
        </w:rPr>
        <w:t>对</w:t>
      </w:r>
      <w:r>
        <w:rPr>
          <w:rFonts w:hint="eastAsia" w:ascii="仿宋" w:hAnsi="仿宋" w:eastAsia="仿宋" w:cs="仿宋"/>
          <w:color w:val="auto"/>
          <w:highlight w:val="none"/>
          <w:lang w:val="en-US" w:eastAsia="zh-CN"/>
        </w:rPr>
        <w:t>测绘</w:t>
      </w:r>
      <w:r>
        <w:rPr>
          <w:rFonts w:hint="eastAsia" w:ascii="仿宋" w:hAnsi="仿宋" w:eastAsia="仿宋" w:cs="仿宋"/>
          <w:color w:val="auto"/>
          <w:highlight w:val="none"/>
        </w:rPr>
        <w:t>工作中了解到的</w:t>
      </w:r>
      <w:r>
        <w:rPr>
          <w:rFonts w:hint="eastAsia" w:ascii="仿宋" w:hAnsi="仿宋" w:eastAsia="仿宋" w:cs="仿宋"/>
          <w:strike w:val="0"/>
          <w:dstrike w:val="0"/>
          <w:color w:val="auto"/>
          <w:highlight w:val="none"/>
          <w:lang w:val="en-US" w:eastAsia="zh-CN"/>
        </w:rPr>
        <w:t>相关</w:t>
      </w:r>
      <w:r>
        <w:rPr>
          <w:rFonts w:hint="eastAsia" w:ascii="仿宋" w:hAnsi="仿宋" w:eastAsia="仿宋" w:cs="仿宋"/>
          <w:color w:val="auto"/>
          <w:highlight w:val="none"/>
          <w:lang w:val="en-US" w:eastAsia="zh-CN"/>
        </w:rPr>
        <w:t>信息</w:t>
      </w:r>
      <w:r>
        <w:rPr>
          <w:rFonts w:hint="eastAsia" w:ascii="仿宋" w:hAnsi="仿宋" w:eastAsia="仿宋" w:cs="仿宋"/>
          <w:color w:val="auto"/>
          <w:highlight w:val="none"/>
        </w:rPr>
        <w:t>进行严格保密，</w:t>
      </w:r>
      <w:r>
        <w:rPr>
          <w:rFonts w:hint="eastAsia" w:ascii="仿宋" w:hAnsi="仿宋" w:eastAsia="仿宋" w:cs="仿宋"/>
          <w:color w:val="auto"/>
          <w:highlight w:val="none"/>
          <w:lang w:val="en-US" w:eastAsia="zh-CN"/>
        </w:rPr>
        <w:t>采取一切技术及制度防范措施，防止出现测绘信息失泄密问题</w:t>
      </w:r>
      <w:r>
        <w:rPr>
          <w:rFonts w:hint="eastAsia" w:ascii="仿宋" w:hAnsi="仿宋" w:eastAsia="仿宋" w:cs="仿宋"/>
          <w:color w:val="auto"/>
          <w:highlight w:val="none"/>
        </w:rPr>
        <w:t>。本合同的解除或终止不免除</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应承担的保密义务。</w:t>
      </w:r>
    </w:p>
    <w:p w14:paraId="39676CD2">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十、知识产权</w:t>
      </w:r>
    </w:p>
    <w:p w14:paraId="603CDE5E">
      <w:pPr>
        <w:shd w:val="clear"/>
        <w:spacing w:line="460" w:lineRule="exact"/>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应对所</w:t>
      </w:r>
      <w:r>
        <w:rPr>
          <w:rFonts w:hint="eastAsia" w:ascii="仿宋" w:hAnsi="仿宋" w:eastAsia="仿宋" w:cs="仿宋"/>
          <w:color w:val="auto"/>
          <w:highlight w:val="none"/>
          <w:lang w:val="en-US" w:eastAsia="zh-CN"/>
        </w:rPr>
        <w:t>提</w:t>
      </w:r>
      <w:r>
        <w:rPr>
          <w:rFonts w:hint="eastAsia" w:ascii="仿宋" w:hAnsi="仿宋" w:eastAsia="仿宋" w:cs="仿宋"/>
          <w:color w:val="auto"/>
          <w:highlight w:val="none"/>
        </w:rPr>
        <w:t>供服务具有或已取得合法知识产权，</w:t>
      </w:r>
      <w:r>
        <w:rPr>
          <w:rFonts w:hint="eastAsia" w:ascii="仿宋" w:hAnsi="仿宋" w:eastAsia="仿宋" w:cs="仿宋"/>
          <w:strike w:val="0"/>
          <w:dstrike w:val="0"/>
          <w:color w:val="auto"/>
          <w:highlight w:val="none"/>
          <w:u w:val="none"/>
          <w:lang w:val="en-US" w:eastAsia="zh-CN"/>
        </w:rPr>
        <w:t>并</w:t>
      </w:r>
      <w:r>
        <w:rPr>
          <w:rFonts w:hint="eastAsia" w:ascii="仿宋" w:hAnsi="仿宋" w:eastAsia="仿宋" w:cs="仿宋"/>
          <w:color w:val="auto"/>
          <w:highlight w:val="none"/>
        </w:rPr>
        <w:t>保证所供服务不会出现因第三方提出侵犯其专利权、商标权或其它知识产权而引发法律或经济纠纷，否则由</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负责解决并承担全部责任；如因此影响到</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的正常使用，</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有权单方解除本合同，</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应无条件向</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退回已收取的全部合同价款，给</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造成损失的，由</w:t>
      </w:r>
      <w:r>
        <w:rPr>
          <w:rFonts w:hint="eastAsia" w:ascii="仿宋" w:hAnsi="仿宋" w:eastAsia="仿宋" w:cs="仿宋"/>
          <w:color w:val="auto"/>
          <w:highlight w:val="none"/>
          <w:lang w:val="en-US" w:eastAsia="zh-CN"/>
        </w:rPr>
        <w:t>乙方</w:t>
      </w:r>
      <w:r>
        <w:rPr>
          <w:rFonts w:hint="eastAsia" w:ascii="仿宋" w:hAnsi="仿宋" w:eastAsia="仿宋" w:cs="仿宋"/>
          <w:color w:val="auto"/>
          <w:highlight w:val="none"/>
        </w:rPr>
        <w:t>一并赔偿。</w:t>
      </w:r>
    </w:p>
    <w:p w14:paraId="2212BC90">
      <w:pPr>
        <w:shd w:val="clear"/>
        <w:spacing w:line="460" w:lineRule="exact"/>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十一</w:t>
      </w: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甲乙双方的权利与义务</w:t>
      </w:r>
    </w:p>
    <w:p w14:paraId="058950D6">
      <w:pPr>
        <w:shd w:val="clear"/>
        <w:spacing w:line="460" w:lineRule="exact"/>
        <w:ind w:firstLine="480" w:firstLineChars="200"/>
        <w:rPr>
          <w:rFonts w:hint="default"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一</w:t>
      </w:r>
      <w:r>
        <w:rPr>
          <w:rFonts w:hint="eastAsia" w:ascii="仿宋" w:hAnsi="仿宋" w:eastAsia="仿宋" w:cs="仿宋"/>
          <w:b w:val="0"/>
          <w:bCs/>
          <w:color w:val="auto"/>
          <w:highlight w:val="none"/>
          <w:lang w:eastAsia="zh-CN"/>
        </w:rPr>
        <w:t>）</w:t>
      </w:r>
      <w:r>
        <w:rPr>
          <w:rFonts w:hint="eastAsia" w:ascii="仿宋" w:hAnsi="仿宋" w:eastAsia="仿宋" w:cs="仿宋"/>
          <w:b w:val="0"/>
          <w:bCs/>
          <w:color w:val="auto"/>
          <w:highlight w:val="none"/>
          <w:lang w:val="en-US" w:eastAsia="zh-CN"/>
        </w:rPr>
        <w:t>甲方的权利与义务</w:t>
      </w:r>
    </w:p>
    <w:p w14:paraId="7FDAB254">
      <w:pPr>
        <w:shd w:val="clear"/>
        <w:spacing w:line="46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1、甲方有权就乙方在提供测绘服务期间，提出有益于工作开展、提高工作效率，防止发生泄密及化解安全隐患的工作建议，乙方应积极采纳。</w:t>
      </w:r>
    </w:p>
    <w:p w14:paraId="5CB028F3">
      <w:pPr>
        <w:shd w:val="clear"/>
        <w:spacing w:line="46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2、甲方有权制止乙方现场测绘工作人员不按办公用房测绘要求进行数据采集，若拒不改正，甲方有权要求乙方及时更换具备同等资质的测绘人员。</w:t>
      </w:r>
    </w:p>
    <w:p w14:paraId="2BBFCE20">
      <w:pPr>
        <w:shd w:val="clea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3、甲方有权根据办公用房测绘工作进展实际情况，适时调整拟测绘院落顺序，乙方应当积极配合。</w:t>
      </w:r>
    </w:p>
    <w:p w14:paraId="42D733B6">
      <w:pPr>
        <w:shd w:val="clea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4、甲方指定专人配合开展办公用房测绘相关工作，并向乙方提供拟测办公用房相关信息资料。</w:t>
      </w:r>
    </w:p>
    <w:p w14:paraId="7D7C1666">
      <w:pPr>
        <w:shd w:val="clea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5、甲方根据合同约定，按时向乙方付款。</w:t>
      </w:r>
    </w:p>
    <w:p w14:paraId="076D6C24">
      <w:pPr>
        <w:shd w:val="clear"/>
        <w:spacing w:line="46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（二）乙方的权利与义务</w:t>
      </w:r>
    </w:p>
    <w:p w14:paraId="2BD67BCC">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1、乙方应在规定时限内，按照</w:t>
      </w:r>
      <w:r>
        <w:rPr>
          <w:rFonts w:hint="eastAsia" w:ascii="仿宋" w:hAnsi="仿宋" w:eastAsia="仿宋" w:cs="仿宋"/>
          <w:color w:val="auto"/>
          <w:highlight w:val="none"/>
        </w:rPr>
        <w:t>竞争性磋商文件</w:t>
      </w:r>
      <w:r>
        <w:rPr>
          <w:rFonts w:hint="eastAsia" w:ascii="仿宋" w:hAnsi="仿宋" w:eastAsia="仿宋" w:cs="仿宋"/>
          <w:color w:val="auto"/>
          <w:highlight w:val="none"/>
          <w:lang w:val="en-US" w:eastAsia="zh-CN"/>
        </w:rPr>
        <w:t>要求，高质量完成</w:t>
      </w:r>
      <w:r>
        <w:rPr>
          <w:rFonts w:hint="eastAsia" w:ascii="仿宋" w:hAnsi="仿宋" w:eastAsia="仿宋" w:cs="仿宋"/>
          <w:b w:val="0"/>
          <w:bCs/>
          <w:color w:val="auto"/>
          <w:highlight w:val="none"/>
          <w:lang w:val="en-US" w:eastAsia="zh-CN"/>
        </w:rPr>
        <w:t>测绘全部工作任务。</w:t>
      </w:r>
    </w:p>
    <w:p w14:paraId="53E10AA5">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2、乙方应指定专人与甲方对接履行合同期间的协调工作。</w:t>
      </w:r>
    </w:p>
    <w:p w14:paraId="5901D4D6">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default"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3、乙方应全力配合甲方开展办公用房测绘工作，注重方式方法，防止出现因测绘而与被测量单位工作人员发生矛盾。</w:t>
      </w:r>
    </w:p>
    <w:p w14:paraId="1E8B5DE6">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4、乙方应加强办公用房测绘期间的安全教育、管理，并对期间发生的一切安全事故承担全部责任。</w:t>
      </w:r>
    </w:p>
    <w:p w14:paraId="5C9599F1">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textAlignment w:val="auto"/>
        <w:rPr>
          <w:rFonts w:hint="default"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5、乙方完成测绘后，应及时协调甲方进行验收。验收合格后，按甲方要求出具一式三份测绘成果报告（分栋、整体），包括纸质版、电子版报告。</w:t>
      </w:r>
    </w:p>
    <w:p w14:paraId="1D58AEDD">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lang w:val="en-US" w:eastAsia="zh-CN"/>
        </w:rPr>
        <w:t>十二、</w:t>
      </w:r>
      <w:r>
        <w:rPr>
          <w:rFonts w:hint="eastAsia" w:ascii="仿宋" w:hAnsi="仿宋" w:eastAsia="仿宋" w:cs="仿宋"/>
          <w:b/>
          <w:color w:val="auto"/>
          <w:highlight w:val="none"/>
        </w:rPr>
        <w:t>合同争议的解决</w:t>
      </w:r>
    </w:p>
    <w:p w14:paraId="1BD09979">
      <w:pPr>
        <w:shd w:val="clear"/>
        <w:spacing w:line="460" w:lineRule="exact"/>
        <w:rPr>
          <w:rFonts w:ascii="仿宋" w:hAnsi="仿宋" w:eastAsia="仿宋" w:cs="仿宋"/>
          <w:color w:val="auto"/>
          <w:highlight w:val="none"/>
        </w:rPr>
      </w:pPr>
      <w:r>
        <w:rPr>
          <w:rFonts w:hint="eastAsia" w:ascii="仿宋" w:hAnsi="仿宋" w:eastAsia="仿宋" w:cs="仿宋"/>
          <w:color w:val="auto"/>
          <w:highlight w:val="none"/>
        </w:rPr>
        <w:t xml:space="preserve">    合同执行中发生争议的，</w:t>
      </w:r>
      <w:r>
        <w:rPr>
          <w:rFonts w:hint="eastAsia" w:ascii="仿宋" w:hAnsi="仿宋" w:eastAsia="仿宋" w:cs="仿宋"/>
          <w:color w:val="auto"/>
          <w:highlight w:val="none"/>
          <w:lang w:val="en-US" w:eastAsia="zh-CN"/>
        </w:rPr>
        <w:t>甲、乙</w:t>
      </w:r>
      <w:r>
        <w:rPr>
          <w:rFonts w:hint="eastAsia" w:ascii="仿宋" w:hAnsi="仿宋" w:eastAsia="仿宋" w:cs="仿宋"/>
          <w:color w:val="auto"/>
          <w:highlight w:val="none"/>
        </w:rPr>
        <w:t>双方应协商解决。协商达不成一致时，可向当地行政仲裁机关申请仲裁或者向</w:t>
      </w:r>
      <w:r>
        <w:rPr>
          <w:rFonts w:hint="eastAsia" w:ascii="仿宋" w:hAnsi="仿宋" w:eastAsia="仿宋" w:cs="仿宋"/>
          <w:color w:val="auto"/>
          <w:highlight w:val="none"/>
          <w:lang w:val="en-US" w:eastAsia="zh-CN"/>
        </w:rPr>
        <w:t>甲方所在地区</w:t>
      </w:r>
      <w:r>
        <w:rPr>
          <w:rFonts w:hint="eastAsia" w:ascii="仿宋" w:hAnsi="仿宋" w:eastAsia="仿宋" w:cs="仿宋"/>
          <w:color w:val="auto"/>
          <w:highlight w:val="none"/>
        </w:rPr>
        <w:t>人民法院提请诉讼。</w:t>
      </w:r>
    </w:p>
    <w:p w14:paraId="7F5707A1">
      <w:pPr>
        <w:shd w:val="clear"/>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十</w:t>
      </w:r>
      <w:r>
        <w:rPr>
          <w:rFonts w:hint="eastAsia" w:ascii="仿宋" w:hAnsi="仿宋" w:eastAsia="仿宋" w:cs="仿宋"/>
          <w:b/>
          <w:bCs/>
          <w:color w:val="auto"/>
          <w:highlight w:val="none"/>
          <w:lang w:val="en-US" w:eastAsia="zh-CN"/>
        </w:rPr>
        <w:t>三</w:t>
      </w:r>
      <w:r>
        <w:rPr>
          <w:rFonts w:hint="eastAsia" w:ascii="仿宋" w:hAnsi="仿宋" w:eastAsia="仿宋" w:cs="仿宋"/>
          <w:b/>
          <w:bCs/>
          <w:color w:val="auto"/>
          <w:highlight w:val="none"/>
        </w:rPr>
        <w:t>、不可抗力情况下的免责约定</w:t>
      </w:r>
    </w:p>
    <w:p w14:paraId="60E2060E">
      <w:pPr>
        <w:shd w:val="clear"/>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 xml:space="preserve">    双方约定不可抗力情况指：双方不可预见、不可避免、不可克服的客观情况，但不包括双方的违约或疏忽。这些事件包括但不限于：战争、严重火灾、洪水、台风、地震等。</w:t>
      </w:r>
    </w:p>
    <w:p w14:paraId="33199060">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十</w:t>
      </w:r>
      <w:r>
        <w:rPr>
          <w:rFonts w:hint="eastAsia" w:ascii="仿宋" w:hAnsi="仿宋" w:eastAsia="仿宋" w:cs="仿宋"/>
          <w:b/>
          <w:color w:val="auto"/>
          <w:highlight w:val="none"/>
          <w:lang w:val="en-US" w:eastAsia="zh-CN"/>
        </w:rPr>
        <w:t>四</w:t>
      </w:r>
      <w:r>
        <w:rPr>
          <w:rFonts w:hint="eastAsia" w:ascii="仿宋" w:hAnsi="仿宋" w:eastAsia="仿宋" w:cs="仿宋"/>
          <w:b/>
          <w:color w:val="auto"/>
          <w:highlight w:val="none"/>
        </w:rPr>
        <w:t>、违约责任</w:t>
      </w:r>
    </w:p>
    <w:p w14:paraId="16E1DE6A">
      <w:pPr>
        <w:shd w:val="clea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（1）按《中华人民共和国民法典》中的相关条款执行。</w:t>
      </w:r>
    </w:p>
    <w:p w14:paraId="69952CBF">
      <w:pPr>
        <w:shd w:val="clea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（2）未按合同要求提供的服务，采购人会同招标组织机构有权终止合同和对供应商的违约行为进行追究。</w:t>
      </w:r>
    </w:p>
    <w:p w14:paraId="700D1ECE">
      <w:pPr>
        <w:shd w:val="clear"/>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（3）供应商不能按期完成工作任务，供应商须按采购人已支付金额的双倍金额，返还于采购人，作为赔偿。如因采购人原因导致产品不能按计划完成，供应商不用承担赔偿责任。</w:t>
      </w:r>
    </w:p>
    <w:p w14:paraId="47979D73">
      <w:pPr>
        <w:shd w:val="clear"/>
        <w:spacing w:line="460" w:lineRule="exact"/>
        <w:rPr>
          <w:rFonts w:ascii="仿宋" w:hAnsi="仿宋" w:eastAsia="仿宋" w:cs="仿宋"/>
          <w:b/>
          <w:color w:val="auto"/>
          <w:highlight w:val="none"/>
        </w:rPr>
      </w:pPr>
      <w:r>
        <w:rPr>
          <w:rFonts w:hint="eastAsia" w:ascii="仿宋" w:hAnsi="仿宋" w:eastAsia="仿宋" w:cs="仿宋"/>
          <w:b/>
          <w:color w:val="auto"/>
          <w:highlight w:val="none"/>
        </w:rPr>
        <w:t>十</w:t>
      </w:r>
      <w:r>
        <w:rPr>
          <w:rFonts w:hint="eastAsia" w:ascii="仿宋" w:hAnsi="仿宋" w:eastAsia="仿宋" w:cs="仿宋"/>
          <w:b/>
          <w:color w:val="auto"/>
          <w:highlight w:val="none"/>
          <w:lang w:val="en-US" w:eastAsia="zh-CN"/>
        </w:rPr>
        <w:t>五</w:t>
      </w:r>
      <w:r>
        <w:rPr>
          <w:rFonts w:hint="eastAsia" w:ascii="仿宋" w:hAnsi="仿宋" w:eastAsia="仿宋" w:cs="仿宋"/>
          <w:b/>
          <w:color w:val="auto"/>
          <w:highlight w:val="none"/>
        </w:rPr>
        <w:t>、其他</w:t>
      </w:r>
    </w:p>
    <w:p w14:paraId="6A94FDA2">
      <w:pPr>
        <w:shd w:val="clear"/>
        <w:tabs>
          <w:tab w:val="left" w:pos="980"/>
        </w:tabs>
        <w:kinsoku w:val="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 xml:space="preserve"> 本合同一式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份，具有同等法律效力，双方各执</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份，双方签字盖章后生效。未尽事宜，双方协商解决。</w:t>
      </w:r>
    </w:p>
    <w:p w14:paraId="77EF09AF">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甲方（采购人）：</w:t>
      </w:r>
      <w:r>
        <w:rPr>
          <w:rFonts w:hint="eastAsia" w:ascii="仿宋" w:hAnsi="仿宋" w:eastAsia="仿宋" w:cs="仿宋"/>
          <w:b w:val="0"/>
          <w:bCs/>
          <w:color w:val="auto"/>
          <w:highlight w:val="none"/>
          <w:u w:val="single"/>
        </w:rPr>
        <w:t xml:space="preserve">   （盖章）      </w:t>
      </w:r>
      <w:r>
        <w:rPr>
          <w:rFonts w:hint="eastAsia" w:ascii="仿宋" w:hAnsi="仿宋" w:eastAsia="仿宋" w:cs="仿宋"/>
          <w:b w:val="0"/>
          <w:bCs/>
          <w:color w:val="auto"/>
          <w:highlight w:val="none"/>
        </w:rPr>
        <w:t xml:space="preserve">    </w:t>
      </w:r>
      <w:r>
        <w:rPr>
          <w:rFonts w:hint="eastAsia" w:ascii="仿宋" w:hAnsi="仿宋" w:eastAsia="仿宋" w:cs="仿宋"/>
          <w:b w:val="0"/>
          <w:bCs/>
          <w:color w:val="auto"/>
          <w:highlight w:val="none"/>
          <w:lang w:val="en-US" w:eastAsia="zh-CN"/>
        </w:rPr>
        <w:t>乙方</w:t>
      </w:r>
      <w:r>
        <w:rPr>
          <w:rFonts w:hint="eastAsia" w:ascii="仿宋" w:hAnsi="仿宋" w:eastAsia="仿宋" w:cs="仿宋"/>
          <w:b w:val="0"/>
          <w:bCs/>
          <w:color w:val="auto"/>
          <w:highlight w:val="none"/>
        </w:rPr>
        <w:t>（供应商）：</w:t>
      </w:r>
      <w:r>
        <w:rPr>
          <w:rFonts w:hint="eastAsia" w:ascii="仿宋" w:hAnsi="仿宋" w:eastAsia="仿宋" w:cs="仿宋"/>
          <w:b w:val="0"/>
          <w:bCs/>
          <w:color w:val="auto"/>
          <w:highlight w:val="none"/>
          <w:u w:val="single"/>
        </w:rPr>
        <w:t xml:space="preserve">   （盖章）         </w:t>
      </w:r>
    </w:p>
    <w:p w14:paraId="15683B58">
      <w:pPr>
        <w:shd w:val="clear"/>
        <w:adjustRightInd w:val="0"/>
        <w:snapToGrid w:val="0"/>
        <w:spacing w:line="460" w:lineRule="exact"/>
        <w:ind w:firstLine="475" w:firstLineChars="198"/>
        <w:rPr>
          <w:rFonts w:ascii="仿宋" w:hAnsi="仿宋" w:eastAsia="仿宋" w:cs="仿宋"/>
          <w:b w:val="0"/>
          <w:bCs/>
          <w:color w:val="auto"/>
          <w:highlight w:val="none"/>
          <w:u w:val="single"/>
        </w:rPr>
      </w:pPr>
      <w:r>
        <w:rPr>
          <w:rFonts w:hint="eastAsia" w:ascii="仿宋" w:hAnsi="仿宋" w:eastAsia="仿宋" w:cs="仿宋"/>
          <w:b w:val="0"/>
          <w:bCs/>
          <w:color w:val="auto"/>
          <w:highlight w:val="none"/>
        </w:rPr>
        <w:t xml:space="preserve">地 址： </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 xml:space="preserve">           地  址：</w:t>
      </w:r>
      <w:r>
        <w:rPr>
          <w:rFonts w:hint="eastAsia" w:ascii="仿宋" w:hAnsi="仿宋" w:eastAsia="仿宋" w:cs="仿宋"/>
          <w:b w:val="0"/>
          <w:bCs/>
          <w:color w:val="auto"/>
          <w:highlight w:val="none"/>
          <w:u w:val="single"/>
        </w:rPr>
        <w:t xml:space="preserve">                    </w:t>
      </w:r>
    </w:p>
    <w:p w14:paraId="530DBCFB">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 xml:space="preserve">法定代表人或其授权                   法定代表人或其授权 </w:t>
      </w:r>
    </w:p>
    <w:p w14:paraId="5CDDBD70">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的代理人：</w:t>
      </w:r>
      <w:r>
        <w:rPr>
          <w:rFonts w:hint="eastAsia" w:ascii="仿宋" w:hAnsi="仿宋" w:eastAsia="仿宋" w:cs="仿宋"/>
          <w:b w:val="0"/>
          <w:bCs/>
          <w:color w:val="auto"/>
          <w:highlight w:val="none"/>
          <w:u w:val="single"/>
        </w:rPr>
        <w:t xml:space="preserve">（签字）      </w:t>
      </w:r>
      <w:r>
        <w:rPr>
          <w:rFonts w:hint="eastAsia" w:ascii="仿宋" w:hAnsi="仿宋" w:eastAsia="仿宋" w:cs="仿宋"/>
          <w:b w:val="0"/>
          <w:bCs/>
          <w:color w:val="auto"/>
          <w:highlight w:val="none"/>
        </w:rPr>
        <w:t xml:space="preserve">             的代理人：</w:t>
      </w:r>
      <w:r>
        <w:rPr>
          <w:rFonts w:hint="eastAsia" w:ascii="仿宋" w:hAnsi="仿宋" w:eastAsia="仿宋" w:cs="仿宋"/>
          <w:b w:val="0"/>
          <w:bCs/>
          <w:color w:val="auto"/>
          <w:highlight w:val="none"/>
          <w:u w:val="single"/>
        </w:rPr>
        <w:t xml:space="preserve">（签字）           </w:t>
      </w:r>
    </w:p>
    <w:p w14:paraId="5D24B274">
      <w:pPr>
        <w:shd w:val="clear"/>
        <w:adjustRightInd w:val="0"/>
        <w:snapToGrid w:val="0"/>
        <w:spacing w:line="460" w:lineRule="exact"/>
        <w:ind w:firstLine="475" w:firstLineChars="198"/>
        <w:rPr>
          <w:rFonts w:ascii="仿宋" w:hAnsi="仿宋" w:eastAsia="仿宋" w:cs="仿宋"/>
          <w:b w:val="0"/>
          <w:bCs/>
          <w:color w:val="auto"/>
          <w:highlight w:val="none"/>
        </w:rPr>
      </w:pPr>
      <w:r>
        <w:rPr>
          <w:rFonts w:hint="eastAsia" w:ascii="仿宋" w:hAnsi="仿宋" w:eastAsia="仿宋" w:cs="仿宋"/>
          <w:b w:val="0"/>
          <w:bCs/>
          <w:color w:val="auto"/>
          <w:highlight w:val="none"/>
        </w:rPr>
        <w:t>订立时间：</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 xml:space="preserve">          订立时间：</w:t>
      </w:r>
      <w:r>
        <w:rPr>
          <w:rFonts w:hint="eastAsia" w:ascii="仿宋" w:hAnsi="仿宋" w:eastAsia="仿宋" w:cs="仿宋"/>
          <w:b w:val="0"/>
          <w:bCs/>
          <w:color w:val="auto"/>
          <w:highlight w:val="none"/>
          <w:u w:val="single"/>
        </w:rPr>
        <w:t xml:space="preserve">                 </w:t>
      </w:r>
    </w:p>
    <w:p w14:paraId="7A5712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p>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16" w:name="_Toc10694"/>
      <w:r>
        <w:rPr>
          <w:rFonts w:hint="eastAsia" w:ascii="仿宋" w:hAnsi="仿宋" w:eastAsia="仿宋" w:cs="仿宋"/>
          <w:b/>
          <w:bCs/>
          <w:sz w:val="36"/>
          <w:szCs w:val="36"/>
          <w:highlight w:val="none"/>
        </w:rPr>
        <w:t>第六章  竞争性磋商响应文件格式</w:t>
      </w:r>
      <w:bookmarkEnd w:id="113"/>
      <w:bookmarkEnd w:id="116"/>
    </w:p>
    <w:p w14:paraId="5527CB85">
      <w:pPr>
        <w:adjustRightInd w:val="0"/>
        <w:snapToGrid w:val="0"/>
        <w:spacing w:line="360" w:lineRule="auto"/>
        <w:ind w:right="600"/>
        <w:jc w:val="right"/>
        <w:rPr>
          <w:rFonts w:ascii="仿宋" w:hAnsi="仿宋" w:eastAsia="仿宋" w:cs="仿宋"/>
          <w:b/>
          <w:sz w:val="20"/>
          <w:szCs w:val="20"/>
          <w:highlight w:val="none"/>
        </w:rPr>
      </w:pPr>
      <w:bookmarkStart w:id="117" w:name="_Toc10930_WPSOffice_Level1"/>
      <w:bookmarkStart w:id="118" w:name="_Toc5592_WPSOffice_Level1"/>
      <w:bookmarkStart w:id="119" w:name="_Toc19196"/>
      <w:bookmarkStart w:id="120" w:name="_Toc25996_WPSOffice_Level1"/>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8"/>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10"/>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14:paraId="3FB713D2">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792D8641">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E6F4842">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商务和服务偏离表……………………………（页码）</w:t>
      </w:r>
    </w:p>
    <w:p w14:paraId="0ED95A06">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6"/>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C8CA327">
      <w:pPr>
        <w:numPr>
          <w:ilvl w:val="0"/>
          <w:numId w:val="0"/>
        </w:numPr>
        <w:jc w:val="center"/>
        <w:outlineLvl w:val="1"/>
        <w:rPr>
          <w:rFonts w:ascii="仿宋" w:hAnsi="仿宋" w:eastAsia="仿宋" w:cs="仿宋"/>
          <w:b/>
          <w:bCs/>
          <w:sz w:val="32"/>
          <w:szCs w:val="32"/>
          <w:highlight w:val="none"/>
        </w:rPr>
      </w:pPr>
      <w:bookmarkStart w:id="121" w:name="_Toc20631"/>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lang w:val="en-US" w:eastAsia="zh-CN"/>
        </w:rPr>
        <w:t>一、</w:t>
      </w:r>
      <w:r>
        <w:rPr>
          <w:rStyle w:val="98"/>
          <w:rFonts w:hint="eastAsia" w:ascii="仿宋" w:hAnsi="仿宋" w:eastAsia="仿宋" w:cs="仿宋"/>
          <w:sz w:val="32"/>
          <w:szCs w:val="32"/>
        </w:rPr>
        <w:t>磋商函</w:t>
      </w:r>
      <w:bookmarkEnd w:id="121"/>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2"/>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2" w:name="_Toc30744"/>
      <w:r>
        <w:rPr>
          <w:rStyle w:val="98"/>
          <w:rFonts w:hint="eastAsia" w:ascii="仿宋" w:hAnsi="仿宋" w:eastAsia="仿宋" w:cs="仿宋"/>
          <w:sz w:val="32"/>
          <w:szCs w:val="32"/>
        </w:rPr>
        <w:t>二、法定代表人身份证明</w:t>
      </w:r>
      <w:bookmarkEnd w:id="122"/>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3" w:name="_Toc1447"/>
      <w:r>
        <w:rPr>
          <w:rStyle w:val="98"/>
          <w:rFonts w:hint="eastAsia" w:ascii="仿宋" w:hAnsi="仿宋" w:eastAsia="仿宋" w:cs="仿宋"/>
          <w:sz w:val="32"/>
          <w:szCs w:val="32"/>
        </w:rPr>
        <w:t>三、</w:t>
      </w:r>
      <w:r>
        <w:rPr>
          <w:rStyle w:val="98"/>
          <w:rFonts w:hint="eastAsia" w:ascii="仿宋" w:hAnsi="仿宋" w:eastAsia="仿宋" w:cs="仿宋"/>
          <w:sz w:val="32"/>
          <w:szCs w:val="32"/>
          <w:lang w:val="en-US" w:eastAsia="zh-CN"/>
        </w:rPr>
        <w:t>法定代表人</w:t>
      </w:r>
      <w:r>
        <w:rPr>
          <w:rStyle w:val="98"/>
          <w:rFonts w:hint="eastAsia" w:ascii="仿宋" w:hAnsi="仿宋" w:eastAsia="仿宋" w:cs="仿宋"/>
          <w:sz w:val="32"/>
          <w:szCs w:val="32"/>
        </w:rPr>
        <w:t>授权委托书</w:t>
      </w:r>
      <w:bookmarkEnd w:id="123"/>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42469F8F">
      <w:pPr>
        <w:overflowPunct w:val="0"/>
        <w:spacing w:line="360" w:lineRule="auto"/>
        <w:jc w:val="center"/>
        <w:outlineLvl w:val="1"/>
        <w:rPr>
          <w:rStyle w:val="98"/>
          <w:rFonts w:hint="eastAsia" w:ascii="仿宋" w:hAnsi="仿宋" w:eastAsia="仿宋" w:cs="仿宋"/>
          <w:sz w:val="32"/>
          <w:szCs w:val="32"/>
        </w:rPr>
      </w:pPr>
      <w:bookmarkStart w:id="124" w:name="_Toc26642"/>
      <w:bookmarkStart w:id="125" w:name="_Toc2296"/>
      <w:bookmarkStart w:id="126" w:name="_Toc18383"/>
      <w:r>
        <w:rPr>
          <w:rStyle w:val="98"/>
          <w:rFonts w:hint="eastAsia" w:ascii="仿宋" w:hAnsi="仿宋" w:eastAsia="仿宋" w:cs="仿宋"/>
          <w:sz w:val="32"/>
          <w:szCs w:val="32"/>
        </w:rPr>
        <w:t>四、报价表（第一次）</w:t>
      </w:r>
      <w:bookmarkEnd w:id="124"/>
      <w:bookmarkEnd w:id="125"/>
      <w:bookmarkEnd w:id="126"/>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7902799">
            <w:pPr>
              <w:widowControl/>
              <w:jc w:val="center"/>
              <w:rPr>
                <w:rFonts w:ascii="仿宋" w:hAnsi="仿宋" w:eastAsia="仿宋" w:cs="仿宋"/>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9B66DC7">
            <w:pPr>
              <w:jc w:val="center"/>
              <w:rPr>
                <w:rFonts w:ascii="仿宋" w:hAnsi="仿宋" w:eastAsia="仿宋" w:cs="仿宋"/>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1ACC823B">
            <w:pPr>
              <w:shd w:val="clear"/>
              <w:jc w:val="center"/>
              <w:rPr>
                <w:rFonts w:ascii="仿宋" w:hAnsi="仿宋" w:eastAsia="仿宋" w:cs="仿宋"/>
                <w:color w:val="auto"/>
                <w:highlight w:val="none"/>
              </w:rPr>
            </w:pPr>
            <w:r>
              <w:rPr>
                <w:rFonts w:hint="eastAsia" w:ascii="仿宋" w:hAnsi="仿宋" w:eastAsia="仿宋" w:cs="仿宋"/>
                <w:color w:val="auto"/>
                <w:highlight w:val="none"/>
              </w:rPr>
              <w:t>磋商报价</w:t>
            </w:r>
          </w:p>
          <w:p w14:paraId="5A398C7B">
            <w:pPr>
              <w:jc w:val="center"/>
              <w:rPr>
                <w:rFonts w:ascii="仿宋" w:hAnsi="仿宋" w:eastAsia="仿宋" w:cs="仿宋"/>
                <w:highlight w:val="none"/>
              </w:rPr>
            </w:pPr>
            <w:r>
              <w:rPr>
                <w:rFonts w:hint="eastAsia" w:ascii="仿宋" w:hAnsi="仿宋" w:eastAsia="仿宋" w:cs="仿宋"/>
                <w:color w:val="auto"/>
                <w:highlight w:val="none"/>
              </w:rPr>
              <w:t>（元）</w:t>
            </w:r>
            <w:r>
              <w:rPr>
                <w:rFonts w:hint="eastAsia" w:ascii="仿宋" w:hAnsi="仿宋" w:eastAsia="仿宋" w:cs="仿宋"/>
                <w:color w:val="auto"/>
                <w:highlight w:val="none"/>
                <w:lang w:val="en-US" w:eastAsia="zh-CN"/>
              </w:rPr>
              <w:t>/平米</w:t>
            </w:r>
          </w:p>
        </w:tc>
        <w:tc>
          <w:tcPr>
            <w:tcW w:w="6667" w:type="dxa"/>
            <w:vAlign w:val="center"/>
          </w:tcPr>
          <w:p w14:paraId="15137436">
            <w:pPr>
              <w:rPr>
                <w:rFonts w:ascii="仿宋" w:hAnsi="仿宋" w:eastAsia="仿宋" w:cs="仿宋"/>
                <w:highlight w:val="none"/>
              </w:rPr>
            </w:pPr>
            <w:r>
              <w:rPr>
                <w:rFonts w:hint="eastAsia" w:ascii="仿宋" w:hAnsi="仿宋" w:eastAsia="仿宋" w:cs="仿宋"/>
                <w:highlight w:val="none"/>
              </w:rPr>
              <w:t>大写:</w:t>
            </w:r>
          </w:p>
          <w:p w14:paraId="6A99464D">
            <w:pPr>
              <w:pStyle w:val="18"/>
              <w:rPr>
                <w:rFonts w:ascii="仿宋" w:hAnsi="仿宋" w:eastAsia="仿宋" w:cs="仿宋"/>
                <w:sz w:val="24"/>
                <w:szCs w:val="24"/>
                <w:highlight w:val="none"/>
              </w:rPr>
            </w:pPr>
          </w:p>
          <w:p w14:paraId="60644802">
            <w:pPr>
              <w:rPr>
                <w:rFonts w:ascii="仿宋" w:hAnsi="仿宋" w:eastAsia="仿宋" w:cs="仿宋"/>
                <w:highlight w:val="none"/>
              </w:rPr>
            </w:pPr>
            <w:r>
              <w:rPr>
                <w:rFonts w:hint="eastAsia" w:ascii="仿宋" w:hAnsi="仿宋" w:eastAsia="仿宋" w:cs="仿宋"/>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default" w:ascii="仿宋" w:hAnsi="仿宋" w:eastAsia="仿宋" w:cs="仿宋"/>
                <w:highlight w:val="yellow"/>
                <w:lang w:val="en-US" w:eastAsia="zh-CN"/>
              </w:rPr>
            </w:pPr>
            <w:r>
              <w:rPr>
                <w:rFonts w:hint="eastAsia" w:ascii="仿宋" w:hAnsi="仿宋" w:eastAsia="仿宋" w:cs="仿宋"/>
                <w:highlight w:val="none"/>
                <w:lang w:val="en-US" w:eastAsia="zh-CN"/>
              </w:rPr>
              <w:t>服务期限</w:t>
            </w:r>
          </w:p>
        </w:tc>
        <w:tc>
          <w:tcPr>
            <w:tcW w:w="6667" w:type="dxa"/>
            <w:vAlign w:val="center"/>
          </w:tcPr>
          <w:p w14:paraId="69073AD3">
            <w:pPr>
              <w:widowControl/>
              <w:rPr>
                <w:rFonts w:ascii="仿宋" w:hAnsi="仿宋" w:eastAsia="仿宋" w:cs="仿宋"/>
                <w:kern w:val="0"/>
                <w:highlight w:val="yellow"/>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C97E29C">
            <w:pPr>
              <w:widowControl/>
              <w:rPr>
                <w:rFonts w:ascii="仿宋" w:hAnsi="仿宋" w:eastAsia="仿宋" w:cs="仿宋"/>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6620C1">
            <w:pPr>
              <w:widowControl/>
              <w:shd w:val="clear"/>
              <w:rPr>
                <w:rFonts w:ascii="仿宋" w:hAnsi="仿宋" w:eastAsia="仿宋" w:cs="仿宋"/>
                <w:color w:val="auto"/>
                <w:highlight w:val="none"/>
              </w:rPr>
            </w:pPr>
            <w:r>
              <w:rPr>
                <w:rFonts w:hint="eastAsia" w:ascii="仿宋" w:hAnsi="仿宋" w:eastAsia="仿宋" w:cs="仿宋"/>
                <w:color w:val="auto"/>
                <w:highlight w:val="none"/>
              </w:rPr>
              <w:t>说明：</w:t>
            </w:r>
          </w:p>
          <w:p w14:paraId="2707BA9B">
            <w:pPr>
              <w:widowControl/>
              <w:shd w:val="clear"/>
              <w:rPr>
                <w:rFonts w:hint="default" w:ascii="仿宋" w:hAnsi="仿宋" w:eastAsia="仿宋" w:cs="仿宋"/>
                <w:color w:val="auto"/>
                <w:highlight w:val="none"/>
                <w:lang w:val="en-US"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本项目为单价招标，单价最高限价为</w:t>
            </w:r>
            <w:r>
              <w:rPr>
                <w:rFonts w:hint="eastAsia" w:ascii="仿宋" w:hAnsi="仿宋" w:eastAsia="仿宋" w:cs="仿宋"/>
                <w:color w:val="auto"/>
                <w:spacing w:val="-4"/>
                <w:sz w:val="24"/>
                <w:szCs w:val="24"/>
                <w:highlight w:val="none"/>
                <w:lang w:val="en-US" w:eastAsia="zh-CN"/>
              </w:rPr>
              <w:t>1.25</w:t>
            </w:r>
            <w:r>
              <w:rPr>
                <w:rFonts w:hint="eastAsia" w:ascii="仿宋" w:hAnsi="仿宋" w:eastAsia="仿宋" w:cs="仿宋"/>
                <w:color w:val="auto"/>
                <w:highlight w:val="none"/>
                <w:lang w:val="en-US" w:eastAsia="zh-CN"/>
              </w:rPr>
              <w:t>元/平方米。</w:t>
            </w:r>
          </w:p>
          <w:p w14:paraId="3289B86E">
            <w:pPr>
              <w:widowControl/>
              <w:shd w:val="clear"/>
              <w:rPr>
                <w:rFonts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本报价为供应商完成磋商项目所需的全部费用（包括劳务费、国家按现行税收政策征收的一切税费等）。</w:t>
            </w:r>
          </w:p>
          <w:p w14:paraId="66066022">
            <w:pPr>
              <w:pStyle w:val="10"/>
              <w:rPr>
                <w:rFonts w:eastAsia="仿宋"/>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.磋商报价以元为单位，保留小数点后两位，大小写不一致时，以大写为准。</w:t>
            </w:r>
          </w:p>
        </w:tc>
      </w:tr>
    </w:tbl>
    <w:p w14:paraId="6AF768F2">
      <w:pPr>
        <w:spacing w:line="360" w:lineRule="auto"/>
        <w:rPr>
          <w:rFonts w:ascii="仿宋" w:hAnsi="仿宋" w:eastAsia="仿宋" w:cs="仿宋"/>
          <w:highlight w:val="none"/>
        </w:rPr>
      </w:pPr>
    </w:p>
    <w:p w14:paraId="393644D4">
      <w:pPr>
        <w:spacing w:line="360" w:lineRule="auto"/>
        <w:rPr>
          <w:rFonts w:ascii="仿宋" w:hAnsi="仿宋" w:eastAsia="仿宋" w:cs="仿宋"/>
          <w:highlight w:val="none"/>
        </w:rPr>
      </w:pPr>
    </w:p>
    <w:p w14:paraId="7DF57C52">
      <w:pPr>
        <w:spacing w:line="360" w:lineRule="auto"/>
        <w:rPr>
          <w:rFonts w:ascii="仿宋" w:hAnsi="仿宋" w:eastAsia="仿宋" w:cs="仿宋"/>
          <w:highlight w:val="none"/>
        </w:rPr>
      </w:pPr>
    </w:p>
    <w:p w14:paraId="40EE6C79">
      <w:pPr>
        <w:spacing w:line="360" w:lineRule="auto"/>
        <w:jc w:val="center"/>
        <w:rPr>
          <w:rFonts w:ascii="仿宋" w:hAnsi="仿宋" w:eastAsia="仿宋" w:cs="仿宋"/>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10"/>
        <w:jc w:val="center"/>
        <w:rPr>
          <w:rFonts w:hint="eastAsia" w:ascii="仿宋" w:hAnsi="仿宋" w:eastAsia="仿宋" w:cs="仿宋"/>
          <w:b/>
          <w:bCs/>
          <w:color w:val="auto"/>
          <w:sz w:val="30"/>
          <w:szCs w:val="30"/>
          <w:highlight w:val="none"/>
        </w:rPr>
      </w:pPr>
    </w:p>
    <w:p w14:paraId="7D0EEA88">
      <w:pPr>
        <w:pStyle w:val="10"/>
        <w:jc w:val="center"/>
        <w:rPr>
          <w:rFonts w:hint="eastAsia" w:ascii="仿宋" w:hAnsi="仿宋" w:eastAsia="仿宋" w:cs="仿宋"/>
          <w:b/>
          <w:bCs/>
          <w:color w:val="auto"/>
          <w:sz w:val="30"/>
          <w:szCs w:val="30"/>
          <w:highlight w:val="none"/>
        </w:rPr>
      </w:pPr>
    </w:p>
    <w:p w14:paraId="629506DA">
      <w:pPr>
        <w:pStyle w:val="10"/>
        <w:jc w:val="center"/>
        <w:rPr>
          <w:rFonts w:hint="eastAsia" w:ascii="仿宋" w:hAnsi="仿宋" w:eastAsia="仿宋" w:cs="仿宋"/>
          <w:b/>
          <w:bCs/>
          <w:color w:val="auto"/>
          <w:sz w:val="30"/>
          <w:szCs w:val="30"/>
          <w:highlight w:val="none"/>
        </w:rPr>
      </w:pPr>
    </w:p>
    <w:p w14:paraId="6549ECEB">
      <w:pPr>
        <w:pStyle w:val="10"/>
        <w:jc w:val="center"/>
        <w:rPr>
          <w:rFonts w:hint="eastAsia" w:ascii="仿宋" w:hAnsi="仿宋" w:eastAsia="仿宋" w:cs="仿宋"/>
          <w:b/>
          <w:bCs/>
          <w:color w:val="auto"/>
          <w:sz w:val="30"/>
          <w:szCs w:val="30"/>
          <w:highlight w:val="none"/>
        </w:rPr>
      </w:pPr>
    </w:p>
    <w:p w14:paraId="235D12D1">
      <w:pPr>
        <w:pStyle w:val="3"/>
        <w:bidi w:val="0"/>
        <w:rPr>
          <w:rFonts w:hint="eastAsia" w:ascii="仿宋" w:hAnsi="仿宋" w:eastAsia="仿宋" w:cs="仿宋"/>
        </w:rPr>
      </w:pPr>
      <w:bookmarkStart w:id="127" w:name="_Toc13649"/>
      <w:r>
        <w:rPr>
          <w:rFonts w:hint="eastAsia" w:ascii="仿宋" w:hAnsi="仿宋" w:eastAsia="仿宋" w:cs="仿宋"/>
        </w:rPr>
        <w:t>五、</w:t>
      </w:r>
      <w:r>
        <w:rPr>
          <w:rStyle w:val="98"/>
          <w:rFonts w:hint="eastAsia" w:ascii="仿宋" w:hAnsi="仿宋" w:eastAsia="仿宋" w:cs="仿宋"/>
          <w:b/>
          <w:bCs/>
          <w:sz w:val="32"/>
          <w:szCs w:val="32"/>
        </w:rPr>
        <w:t>承接的类似项目情况表</w:t>
      </w:r>
      <w:bookmarkEnd w:id="127"/>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6"/>
              <w:spacing w:before="170" w:line="206" w:lineRule="auto"/>
              <w:ind w:left="180"/>
              <w:rPr>
                <w:b/>
                <w:bCs/>
              </w:rPr>
            </w:pPr>
            <w:r>
              <w:rPr>
                <w:b/>
                <w:bCs/>
                <w:spacing w:val="-7"/>
              </w:rPr>
              <w:t>序号</w:t>
            </w:r>
          </w:p>
        </w:tc>
        <w:tc>
          <w:tcPr>
            <w:tcW w:w="1967" w:type="dxa"/>
            <w:noWrap w:val="0"/>
            <w:vAlign w:val="top"/>
          </w:tcPr>
          <w:p w14:paraId="0FAE40B4">
            <w:pPr>
              <w:pStyle w:val="96"/>
              <w:spacing w:before="139" w:line="221" w:lineRule="auto"/>
              <w:ind w:left="147"/>
              <w:rPr>
                <w:b/>
                <w:bCs/>
              </w:rPr>
            </w:pPr>
            <w:r>
              <w:rPr>
                <w:b/>
                <w:bCs/>
              </w:rPr>
              <w:t>采购单位名称</w:t>
            </w:r>
          </w:p>
        </w:tc>
        <w:tc>
          <w:tcPr>
            <w:tcW w:w="1700" w:type="dxa"/>
            <w:noWrap w:val="0"/>
            <w:vAlign w:val="top"/>
          </w:tcPr>
          <w:p w14:paraId="4935C84B">
            <w:pPr>
              <w:pStyle w:val="96"/>
              <w:spacing w:before="139" w:line="221" w:lineRule="auto"/>
              <w:ind w:left="380"/>
              <w:rPr>
                <w:b/>
                <w:bCs/>
              </w:rPr>
            </w:pPr>
            <w:r>
              <w:rPr>
                <w:b/>
                <w:bCs/>
                <w:spacing w:val="-3"/>
              </w:rPr>
              <w:t>合同名称</w:t>
            </w:r>
          </w:p>
        </w:tc>
        <w:tc>
          <w:tcPr>
            <w:tcW w:w="2555" w:type="dxa"/>
            <w:noWrap w:val="0"/>
            <w:vAlign w:val="top"/>
          </w:tcPr>
          <w:p w14:paraId="06C57844">
            <w:pPr>
              <w:pStyle w:val="96"/>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6"/>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6"/>
              <w:spacing w:before="170" w:line="206" w:lineRule="auto"/>
              <w:ind w:left="180"/>
              <w:rPr>
                <w:b/>
                <w:bCs/>
                <w:spacing w:val="-7"/>
              </w:rPr>
            </w:pPr>
          </w:p>
        </w:tc>
        <w:tc>
          <w:tcPr>
            <w:tcW w:w="1967" w:type="dxa"/>
            <w:noWrap w:val="0"/>
            <w:vAlign w:val="top"/>
          </w:tcPr>
          <w:p w14:paraId="0E32D08B">
            <w:pPr>
              <w:pStyle w:val="96"/>
              <w:spacing w:before="170" w:line="206" w:lineRule="auto"/>
              <w:ind w:left="180"/>
              <w:rPr>
                <w:b/>
                <w:bCs/>
                <w:spacing w:val="-7"/>
              </w:rPr>
            </w:pPr>
          </w:p>
        </w:tc>
        <w:tc>
          <w:tcPr>
            <w:tcW w:w="1700" w:type="dxa"/>
            <w:noWrap w:val="0"/>
            <w:vAlign w:val="top"/>
          </w:tcPr>
          <w:p w14:paraId="590C1721">
            <w:pPr>
              <w:pStyle w:val="96"/>
              <w:spacing w:before="170" w:line="206" w:lineRule="auto"/>
              <w:ind w:left="180"/>
              <w:rPr>
                <w:b/>
                <w:bCs/>
                <w:spacing w:val="-7"/>
              </w:rPr>
            </w:pPr>
          </w:p>
        </w:tc>
        <w:tc>
          <w:tcPr>
            <w:tcW w:w="2555" w:type="dxa"/>
            <w:noWrap w:val="0"/>
            <w:vAlign w:val="top"/>
          </w:tcPr>
          <w:p w14:paraId="5A99F99B">
            <w:pPr>
              <w:pStyle w:val="96"/>
              <w:spacing w:before="170" w:line="206" w:lineRule="auto"/>
              <w:ind w:left="180"/>
              <w:rPr>
                <w:b/>
                <w:bCs/>
                <w:spacing w:val="-7"/>
              </w:rPr>
            </w:pPr>
          </w:p>
        </w:tc>
        <w:tc>
          <w:tcPr>
            <w:tcW w:w="1988" w:type="dxa"/>
            <w:noWrap w:val="0"/>
            <w:vAlign w:val="top"/>
          </w:tcPr>
          <w:p w14:paraId="1888D6AF">
            <w:pPr>
              <w:pStyle w:val="96"/>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6"/>
              <w:spacing w:before="170" w:line="206" w:lineRule="auto"/>
              <w:ind w:left="180"/>
              <w:rPr>
                <w:b/>
                <w:bCs/>
                <w:spacing w:val="-7"/>
              </w:rPr>
            </w:pPr>
          </w:p>
        </w:tc>
        <w:tc>
          <w:tcPr>
            <w:tcW w:w="1967" w:type="dxa"/>
            <w:noWrap w:val="0"/>
            <w:vAlign w:val="top"/>
          </w:tcPr>
          <w:p w14:paraId="26F61A0B">
            <w:pPr>
              <w:pStyle w:val="96"/>
              <w:spacing w:before="170" w:line="206" w:lineRule="auto"/>
              <w:ind w:left="180"/>
              <w:rPr>
                <w:b/>
                <w:bCs/>
                <w:spacing w:val="-7"/>
              </w:rPr>
            </w:pPr>
          </w:p>
        </w:tc>
        <w:tc>
          <w:tcPr>
            <w:tcW w:w="1700" w:type="dxa"/>
            <w:noWrap w:val="0"/>
            <w:vAlign w:val="top"/>
          </w:tcPr>
          <w:p w14:paraId="0D700F1C">
            <w:pPr>
              <w:pStyle w:val="96"/>
              <w:spacing w:before="170" w:line="206" w:lineRule="auto"/>
              <w:ind w:left="180"/>
              <w:rPr>
                <w:b/>
                <w:bCs/>
                <w:spacing w:val="-7"/>
              </w:rPr>
            </w:pPr>
          </w:p>
        </w:tc>
        <w:tc>
          <w:tcPr>
            <w:tcW w:w="2555" w:type="dxa"/>
            <w:noWrap w:val="0"/>
            <w:vAlign w:val="top"/>
          </w:tcPr>
          <w:p w14:paraId="14166339">
            <w:pPr>
              <w:pStyle w:val="96"/>
              <w:spacing w:before="170" w:line="206" w:lineRule="auto"/>
              <w:ind w:left="180"/>
              <w:rPr>
                <w:b/>
                <w:bCs/>
                <w:spacing w:val="-7"/>
              </w:rPr>
            </w:pPr>
          </w:p>
        </w:tc>
        <w:tc>
          <w:tcPr>
            <w:tcW w:w="1988" w:type="dxa"/>
            <w:noWrap w:val="0"/>
            <w:vAlign w:val="top"/>
          </w:tcPr>
          <w:p w14:paraId="3F5C7E96">
            <w:pPr>
              <w:pStyle w:val="96"/>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6"/>
              <w:spacing w:before="170" w:line="206" w:lineRule="auto"/>
              <w:ind w:left="180"/>
              <w:rPr>
                <w:b/>
                <w:bCs/>
                <w:spacing w:val="-7"/>
              </w:rPr>
            </w:pPr>
          </w:p>
        </w:tc>
        <w:tc>
          <w:tcPr>
            <w:tcW w:w="1967" w:type="dxa"/>
            <w:noWrap w:val="0"/>
            <w:vAlign w:val="top"/>
          </w:tcPr>
          <w:p w14:paraId="0DF9B55F">
            <w:pPr>
              <w:pStyle w:val="96"/>
              <w:spacing w:before="170" w:line="206" w:lineRule="auto"/>
              <w:ind w:left="180"/>
              <w:rPr>
                <w:b/>
                <w:bCs/>
                <w:spacing w:val="-7"/>
              </w:rPr>
            </w:pPr>
          </w:p>
        </w:tc>
        <w:tc>
          <w:tcPr>
            <w:tcW w:w="1700" w:type="dxa"/>
            <w:noWrap w:val="0"/>
            <w:vAlign w:val="top"/>
          </w:tcPr>
          <w:p w14:paraId="14E622ED">
            <w:pPr>
              <w:pStyle w:val="96"/>
              <w:spacing w:before="170" w:line="206" w:lineRule="auto"/>
              <w:ind w:left="180"/>
              <w:rPr>
                <w:b/>
                <w:bCs/>
                <w:spacing w:val="-7"/>
              </w:rPr>
            </w:pPr>
          </w:p>
        </w:tc>
        <w:tc>
          <w:tcPr>
            <w:tcW w:w="2555" w:type="dxa"/>
            <w:noWrap w:val="0"/>
            <w:vAlign w:val="top"/>
          </w:tcPr>
          <w:p w14:paraId="0D8DF72E">
            <w:pPr>
              <w:pStyle w:val="96"/>
              <w:spacing w:before="170" w:line="206" w:lineRule="auto"/>
              <w:ind w:left="180"/>
              <w:rPr>
                <w:b/>
                <w:bCs/>
                <w:spacing w:val="-7"/>
              </w:rPr>
            </w:pPr>
          </w:p>
        </w:tc>
        <w:tc>
          <w:tcPr>
            <w:tcW w:w="1988" w:type="dxa"/>
            <w:noWrap w:val="0"/>
            <w:vAlign w:val="top"/>
          </w:tcPr>
          <w:p w14:paraId="51790F3C">
            <w:pPr>
              <w:pStyle w:val="96"/>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6"/>
              <w:spacing w:before="170" w:line="206" w:lineRule="auto"/>
              <w:ind w:left="180"/>
              <w:rPr>
                <w:b/>
                <w:bCs/>
                <w:spacing w:val="-7"/>
              </w:rPr>
            </w:pPr>
          </w:p>
        </w:tc>
        <w:tc>
          <w:tcPr>
            <w:tcW w:w="1967" w:type="dxa"/>
            <w:noWrap w:val="0"/>
            <w:vAlign w:val="top"/>
          </w:tcPr>
          <w:p w14:paraId="200E7686">
            <w:pPr>
              <w:pStyle w:val="96"/>
              <w:spacing w:before="170" w:line="206" w:lineRule="auto"/>
              <w:ind w:left="180"/>
              <w:rPr>
                <w:b/>
                <w:bCs/>
                <w:spacing w:val="-7"/>
              </w:rPr>
            </w:pPr>
          </w:p>
        </w:tc>
        <w:tc>
          <w:tcPr>
            <w:tcW w:w="1700" w:type="dxa"/>
            <w:noWrap w:val="0"/>
            <w:vAlign w:val="top"/>
          </w:tcPr>
          <w:p w14:paraId="264C27CC">
            <w:pPr>
              <w:pStyle w:val="96"/>
              <w:spacing w:before="170" w:line="206" w:lineRule="auto"/>
              <w:ind w:left="180"/>
              <w:rPr>
                <w:b/>
                <w:bCs/>
                <w:spacing w:val="-7"/>
              </w:rPr>
            </w:pPr>
          </w:p>
        </w:tc>
        <w:tc>
          <w:tcPr>
            <w:tcW w:w="2555" w:type="dxa"/>
            <w:noWrap w:val="0"/>
            <w:vAlign w:val="top"/>
          </w:tcPr>
          <w:p w14:paraId="3333B6B9">
            <w:pPr>
              <w:pStyle w:val="96"/>
              <w:spacing w:before="170" w:line="206" w:lineRule="auto"/>
              <w:ind w:left="180"/>
              <w:rPr>
                <w:b/>
                <w:bCs/>
                <w:spacing w:val="-7"/>
              </w:rPr>
            </w:pPr>
          </w:p>
        </w:tc>
        <w:tc>
          <w:tcPr>
            <w:tcW w:w="1988" w:type="dxa"/>
            <w:noWrap w:val="0"/>
            <w:vAlign w:val="top"/>
          </w:tcPr>
          <w:p w14:paraId="02D1F135">
            <w:pPr>
              <w:pStyle w:val="96"/>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6"/>
              <w:spacing w:before="170" w:line="206" w:lineRule="auto"/>
              <w:ind w:left="180"/>
              <w:rPr>
                <w:b/>
                <w:bCs/>
                <w:spacing w:val="-7"/>
              </w:rPr>
            </w:pPr>
          </w:p>
        </w:tc>
        <w:tc>
          <w:tcPr>
            <w:tcW w:w="1967" w:type="dxa"/>
            <w:noWrap w:val="0"/>
            <w:vAlign w:val="top"/>
          </w:tcPr>
          <w:p w14:paraId="52D420EC">
            <w:pPr>
              <w:pStyle w:val="96"/>
              <w:spacing w:before="170" w:line="206" w:lineRule="auto"/>
              <w:ind w:left="180"/>
              <w:rPr>
                <w:b/>
                <w:bCs/>
                <w:spacing w:val="-7"/>
              </w:rPr>
            </w:pPr>
          </w:p>
        </w:tc>
        <w:tc>
          <w:tcPr>
            <w:tcW w:w="1700" w:type="dxa"/>
            <w:noWrap w:val="0"/>
            <w:vAlign w:val="top"/>
          </w:tcPr>
          <w:p w14:paraId="62742299">
            <w:pPr>
              <w:pStyle w:val="96"/>
              <w:spacing w:before="170" w:line="206" w:lineRule="auto"/>
              <w:ind w:left="180"/>
              <w:rPr>
                <w:b/>
                <w:bCs/>
                <w:spacing w:val="-7"/>
              </w:rPr>
            </w:pPr>
          </w:p>
        </w:tc>
        <w:tc>
          <w:tcPr>
            <w:tcW w:w="2555" w:type="dxa"/>
            <w:noWrap w:val="0"/>
            <w:vAlign w:val="top"/>
          </w:tcPr>
          <w:p w14:paraId="62A669AC">
            <w:pPr>
              <w:pStyle w:val="96"/>
              <w:spacing w:before="170" w:line="206" w:lineRule="auto"/>
              <w:ind w:left="180"/>
              <w:rPr>
                <w:b/>
                <w:bCs/>
                <w:spacing w:val="-7"/>
              </w:rPr>
            </w:pPr>
          </w:p>
        </w:tc>
        <w:tc>
          <w:tcPr>
            <w:tcW w:w="1988" w:type="dxa"/>
            <w:noWrap w:val="0"/>
            <w:vAlign w:val="top"/>
          </w:tcPr>
          <w:p w14:paraId="216E4595">
            <w:pPr>
              <w:pStyle w:val="96"/>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6"/>
              <w:spacing w:before="170" w:line="206" w:lineRule="auto"/>
              <w:ind w:left="180"/>
              <w:rPr>
                <w:b/>
                <w:bCs/>
                <w:spacing w:val="-7"/>
              </w:rPr>
            </w:pPr>
          </w:p>
        </w:tc>
        <w:tc>
          <w:tcPr>
            <w:tcW w:w="1967" w:type="dxa"/>
            <w:noWrap w:val="0"/>
            <w:vAlign w:val="top"/>
          </w:tcPr>
          <w:p w14:paraId="40BF769B">
            <w:pPr>
              <w:pStyle w:val="96"/>
              <w:spacing w:before="170" w:line="206" w:lineRule="auto"/>
              <w:ind w:left="180"/>
              <w:rPr>
                <w:b/>
                <w:bCs/>
                <w:spacing w:val="-7"/>
              </w:rPr>
            </w:pPr>
          </w:p>
        </w:tc>
        <w:tc>
          <w:tcPr>
            <w:tcW w:w="1700" w:type="dxa"/>
            <w:noWrap w:val="0"/>
            <w:vAlign w:val="top"/>
          </w:tcPr>
          <w:p w14:paraId="57AF5FDE">
            <w:pPr>
              <w:pStyle w:val="96"/>
              <w:spacing w:before="170" w:line="206" w:lineRule="auto"/>
              <w:ind w:left="180"/>
              <w:rPr>
                <w:b/>
                <w:bCs/>
                <w:spacing w:val="-7"/>
              </w:rPr>
            </w:pPr>
          </w:p>
        </w:tc>
        <w:tc>
          <w:tcPr>
            <w:tcW w:w="2555" w:type="dxa"/>
            <w:noWrap w:val="0"/>
            <w:vAlign w:val="top"/>
          </w:tcPr>
          <w:p w14:paraId="77956AFD">
            <w:pPr>
              <w:pStyle w:val="96"/>
              <w:spacing w:before="170" w:line="206" w:lineRule="auto"/>
              <w:ind w:left="180"/>
              <w:rPr>
                <w:b/>
                <w:bCs/>
                <w:spacing w:val="-7"/>
              </w:rPr>
            </w:pPr>
          </w:p>
        </w:tc>
        <w:tc>
          <w:tcPr>
            <w:tcW w:w="1988" w:type="dxa"/>
            <w:noWrap w:val="0"/>
            <w:vAlign w:val="top"/>
          </w:tcPr>
          <w:p w14:paraId="4C6D4269">
            <w:pPr>
              <w:pStyle w:val="96"/>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6"/>
              <w:spacing w:before="170" w:line="206" w:lineRule="auto"/>
              <w:ind w:left="180"/>
              <w:rPr>
                <w:b/>
                <w:bCs/>
                <w:spacing w:val="-7"/>
              </w:rPr>
            </w:pPr>
          </w:p>
        </w:tc>
        <w:tc>
          <w:tcPr>
            <w:tcW w:w="1967" w:type="dxa"/>
            <w:noWrap w:val="0"/>
            <w:vAlign w:val="top"/>
          </w:tcPr>
          <w:p w14:paraId="275A8EB5">
            <w:pPr>
              <w:pStyle w:val="96"/>
              <w:spacing w:before="170" w:line="206" w:lineRule="auto"/>
              <w:ind w:left="180"/>
              <w:rPr>
                <w:b/>
                <w:bCs/>
                <w:spacing w:val="-7"/>
              </w:rPr>
            </w:pPr>
          </w:p>
        </w:tc>
        <w:tc>
          <w:tcPr>
            <w:tcW w:w="1700" w:type="dxa"/>
            <w:noWrap w:val="0"/>
            <w:vAlign w:val="top"/>
          </w:tcPr>
          <w:p w14:paraId="3A0CD092">
            <w:pPr>
              <w:pStyle w:val="96"/>
              <w:spacing w:before="170" w:line="206" w:lineRule="auto"/>
              <w:ind w:left="180"/>
              <w:rPr>
                <w:b/>
                <w:bCs/>
                <w:spacing w:val="-7"/>
              </w:rPr>
            </w:pPr>
          </w:p>
        </w:tc>
        <w:tc>
          <w:tcPr>
            <w:tcW w:w="2555" w:type="dxa"/>
            <w:noWrap w:val="0"/>
            <w:vAlign w:val="top"/>
          </w:tcPr>
          <w:p w14:paraId="42F1080A">
            <w:pPr>
              <w:pStyle w:val="96"/>
              <w:spacing w:before="170" w:line="206" w:lineRule="auto"/>
              <w:ind w:left="180"/>
              <w:rPr>
                <w:b/>
                <w:bCs/>
                <w:spacing w:val="-7"/>
              </w:rPr>
            </w:pPr>
          </w:p>
        </w:tc>
        <w:tc>
          <w:tcPr>
            <w:tcW w:w="1988" w:type="dxa"/>
            <w:noWrap w:val="0"/>
            <w:vAlign w:val="top"/>
          </w:tcPr>
          <w:p w14:paraId="30D7DFD9">
            <w:pPr>
              <w:pStyle w:val="96"/>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6"/>
              <w:spacing w:before="170" w:line="206" w:lineRule="auto"/>
              <w:ind w:left="180"/>
              <w:rPr>
                <w:b/>
                <w:bCs/>
                <w:spacing w:val="-7"/>
              </w:rPr>
            </w:pPr>
            <w:r>
              <w:rPr>
                <w:b/>
                <w:bCs/>
                <w:spacing w:val="-7"/>
              </w:rPr>
              <w:t>……</w:t>
            </w:r>
          </w:p>
        </w:tc>
        <w:tc>
          <w:tcPr>
            <w:tcW w:w="1967" w:type="dxa"/>
            <w:noWrap w:val="0"/>
            <w:vAlign w:val="top"/>
          </w:tcPr>
          <w:p w14:paraId="39F48059">
            <w:pPr>
              <w:pStyle w:val="96"/>
              <w:spacing w:before="170" w:line="206" w:lineRule="auto"/>
              <w:ind w:left="180"/>
              <w:rPr>
                <w:b/>
                <w:bCs/>
                <w:spacing w:val="-7"/>
              </w:rPr>
            </w:pPr>
          </w:p>
        </w:tc>
        <w:tc>
          <w:tcPr>
            <w:tcW w:w="1700" w:type="dxa"/>
            <w:noWrap w:val="0"/>
            <w:vAlign w:val="top"/>
          </w:tcPr>
          <w:p w14:paraId="3CDDFA4E">
            <w:pPr>
              <w:pStyle w:val="96"/>
              <w:spacing w:before="170" w:line="206" w:lineRule="auto"/>
              <w:ind w:left="180"/>
              <w:rPr>
                <w:b/>
                <w:bCs/>
                <w:spacing w:val="-7"/>
              </w:rPr>
            </w:pPr>
          </w:p>
        </w:tc>
        <w:tc>
          <w:tcPr>
            <w:tcW w:w="2555" w:type="dxa"/>
            <w:noWrap w:val="0"/>
            <w:vAlign w:val="top"/>
          </w:tcPr>
          <w:p w14:paraId="40D27BE0">
            <w:pPr>
              <w:pStyle w:val="96"/>
              <w:spacing w:before="170" w:line="206" w:lineRule="auto"/>
              <w:ind w:left="180"/>
              <w:rPr>
                <w:b/>
                <w:bCs/>
                <w:spacing w:val="-7"/>
              </w:rPr>
            </w:pPr>
          </w:p>
        </w:tc>
        <w:tc>
          <w:tcPr>
            <w:tcW w:w="1988" w:type="dxa"/>
            <w:noWrap w:val="0"/>
            <w:vAlign w:val="top"/>
          </w:tcPr>
          <w:p w14:paraId="09DB9C73">
            <w:pPr>
              <w:pStyle w:val="96"/>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6"/>
              <w:spacing w:before="170" w:line="206" w:lineRule="auto"/>
              <w:ind w:left="180"/>
              <w:rPr>
                <w:b/>
                <w:bCs/>
                <w:spacing w:val="-7"/>
              </w:rPr>
            </w:pPr>
            <w:r>
              <w:rPr>
                <w:b/>
                <w:bCs/>
                <w:spacing w:val="-7"/>
              </w:rPr>
              <w:t>数量合计（个）：</w:t>
            </w:r>
          </w:p>
        </w:tc>
      </w:tr>
    </w:tbl>
    <w:p w14:paraId="35F31472">
      <w:pPr>
        <w:pStyle w:val="10"/>
        <w:spacing w:before="41" w:line="222" w:lineRule="auto"/>
        <w:ind w:left="333"/>
        <w:rPr>
          <w:rFonts w:hint="eastAsia" w:ascii="仿宋" w:hAnsi="仿宋" w:eastAsia="仿宋" w:cs="仿宋"/>
          <w:b/>
          <w:bCs w:val="0"/>
          <w:kern w:val="0"/>
          <w:sz w:val="24"/>
          <w:szCs w:val="24"/>
          <w:highlight w:val="none"/>
        </w:rPr>
      </w:pPr>
    </w:p>
    <w:p w14:paraId="0DF139D5">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98"/>
          <w:rFonts w:hint="eastAsia" w:ascii="仿宋" w:hAnsi="仿宋" w:eastAsia="仿宋" w:cs="仿宋"/>
          <w:sz w:val="32"/>
          <w:szCs w:val="32"/>
        </w:rPr>
      </w:pPr>
      <w:bookmarkStart w:id="128" w:name="_Toc25005"/>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28"/>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29" w:name="_Hlt526418111"/>
      <w:bookmarkEnd w:id="129"/>
      <w:bookmarkStart w:id="130" w:name="_Hlt526418103"/>
      <w:bookmarkEnd w:id="130"/>
      <w:bookmarkStart w:id="131" w:name="_Hlt526418107"/>
      <w:bookmarkEnd w:id="131"/>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1.拟派项目经理简历表</w:t>
      </w:r>
    </w:p>
    <w:tbl>
      <w:tblPr>
        <w:tblStyle w:val="32"/>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4"/>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10"/>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4AF8B2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B9C9AD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702A908">
      <w:pPr>
        <w:pStyle w:val="84"/>
        <w:shd w:val="clear"/>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3.拟投入本项目设备情况</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615"/>
        <w:gridCol w:w="1920"/>
        <w:gridCol w:w="1191"/>
        <w:gridCol w:w="1292"/>
        <w:gridCol w:w="1772"/>
        <w:gridCol w:w="1129"/>
      </w:tblGrid>
      <w:tr w14:paraId="6779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80" w:type="pct"/>
            <w:vAlign w:val="center"/>
          </w:tcPr>
          <w:p w14:paraId="49E61D69">
            <w:pPr>
              <w:shd w:val="clear"/>
              <w:tabs>
                <w:tab w:val="left" w:pos="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54" w:type="pct"/>
            <w:vAlign w:val="center"/>
          </w:tcPr>
          <w:p w14:paraId="0DBB581B">
            <w:pPr>
              <w:shd w:val="clea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设备名称</w:t>
            </w:r>
          </w:p>
        </w:tc>
        <w:tc>
          <w:tcPr>
            <w:tcW w:w="1015" w:type="pct"/>
            <w:vAlign w:val="center"/>
          </w:tcPr>
          <w:p w14:paraId="182139DA">
            <w:pPr>
              <w:shd w:val="clea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设备品牌及型号</w:t>
            </w:r>
          </w:p>
        </w:tc>
        <w:tc>
          <w:tcPr>
            <w:tcW w:w="630" w:type="pct"/>
            <w:vAlign w:val="center"/>
          </w:tcPr>
          <w:p w14:paraId="0AD364D4">
            <w:pPr>
              <w:shd w:val="clea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设备功能</w:t>
            </w:r>
          </w:p>
        </w:tc>
        <w:tc>
          <w:tcPr>
            <w:tcW w:w="683" w:type="pct"/>
            <w:vAlign w:val="center"/>
          </w:tcPr>
          <w:p w14:paraId="56F5E716">
            <w:pPr>
              <w:shd w:val="clea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使用年限</w:t>
            </w:r>
          </w:p>
        </w:tc>
        <w:tc>
          <w:tcPr>
            <w:tcW w:w="937" w:type="pct"/>
            <w:vAlign w:val="center"/>
          </w:tcPr>
          <w:p w14:paraId="5A03673E">
            <w:pPr>
              <w:shd w:val="clea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自有设备/</w:t>
            </w:r>
          </w:p>
          <w:p w14:paraId="566E13F9">
            <w:pPr>
              <w:shd w:val="clea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租赁设备</w:t>
            </w:r>
          </w:p>
        </w:tc>
        <w:tc>
          <w:tcPr>
            <w:tcW w:w="597" w:type="pct"/>
            <w:vAlign w:val="center"/>
          </w:tcPr>
          <w:p w14:paraId="476150FF">
            <w:pPr>
              <w:shd w:val="clear"/>
              <w:tabs>
                <w:tab w:val="left" w:pos="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r w14:paraId="6F28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2AD13F07">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0F4D21D0">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2DA42F40">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50325369">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1FC8B38A">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47B65454">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54CBB7A1">
            <w:pPr>
              <w:shd w:val="clear"/>
              <w:tabs>
                <w:tab w:val="left" w:pos="0"/>
              </w:tabs>
              <w:spacing w:line="360" w:lineRule="auto"/>
              <w:rPr>
                <w:rFonts w:hint="eastAsia" w:ascii="仿宋" w:hAnsi="仿宋" w:eastAsia="仿宋" w:cs="仿宋"/>
                <w:color w:val="auto"/>
                <w:sz w:val="24"/>
                <w:szCs w:val="24"/>
                <w:highlight w:val="none"/>
              </w:rPr>
            </w:pPr>
          </w:p>
        </w:tc>
      </w:tr>
      <w:tr w14:paraId="76C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75E1D94D">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282BCD0F">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3C7C7726">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29936DB5">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6A1A1015">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5DE40F6C">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03E3C583">
            <w:pPr>
              <w:shd w:val="clear"/>
              <w:tabs>
                <w:tab w:val="left" w:pos="0"/>
              </w:tabs>
              <w:spacing w:line="360" w:lineRule="auto"/>
              <w:rPr>
                <w:rFonts w:hint="eastAsia" w:ascii="仿宋" w:hAnsi="仿宋" w:eastAsia="仿宋" w:cs="仿宋"/>
                <w:color w:val="auto"/>
                <w:sz w:val="24"/>
                <w:szCs w:val="24"/>
                <w:highlight w:val="none"/>
              </w:rPr>
            </w:pPr>
          </w:p>
        </w:tc>
      </w:tr>
      <w:tr w14:paraId="1412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59A7C948">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1885A45D">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2C6851B4">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2E0BE6F1">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77D9E8DF">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72A8934E">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20103218">
            <w:pPr>
              <w:shd w:val="clear"/>
              <w:tabs>
                <w:tab w:val="left" w:pos="0"/>
              </w:tabs>
              <w:spacing w:line="360" w:lineRule="auto"/>
              <w:rPr>
                <w:rFonts w:hint="eastAsia" w:ascii="仿宋" w:hAnsi="仿宋" w:eastAsia="仿宋" w:cs="仿宋"/>
                <w:color w:val="auto"/>
                <w:sz w:val="24"/>
                <w:szCs w:val="24"/>
                <w:highlight w:val="none"/>
              </w:rPr>
            </w:pPr>
          </w:p>
        </w:tc>
      </w:tr>
      <w:tr w14:paraId="60BD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08EC26E2">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16E28705">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085C09E6">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38C3B28D">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42D8AF5A">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4D60A6A1">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4306C80D">
            <w:pPr>
              <w:shd w:val="clear"/>
              <w:tabs>
                <w:tab w:val="left" w:pos="0"/>
              </w:tabs>
              <w:spacing w:line="360" w:lineRule="auto"/>
              <w:rPr>
                <w:rFonts w:hint="eastAsia" w:ascii="仿宋" w:hAnsi="仿宋" w:eastAsia="仿宋" w:cs="仿宋"/>
                <w:color w:val="auto"/>
                <w:sz w:val="24"/>
                <w:szCs w:val="24"/>
                <w:highlight w:val="none"/>
              </w:rPr>
            </w:pPr>
          </w:p>
        </w:tc>
      </w:tr>
      <w:tr w14:paraId="03B7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795CA40C">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184052A4">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06E6D70D">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39BFB0FD">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65A5D1F6">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3758CD43">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050F7D06">
            <w:pPr>
              <w:shd w:val="clear"/>
              <w:tabs>
                <w:tab w:val="left" w:pos="0"/>
              </w:tabs>
              <w:spacing w:line="360" w:lineRule="auto"/>
              <w:rPr>
                <w:rFonts w:hint="eastAsia" w:ascii="仿宋" w:hAnsi="仿宋" w:eastAsia="仿宋" w:cs="仿宋"/>
                <w:color w:val="auto"/>
                <w:sz w:val="24"/>
                <w:szCs w:val="24"/>
                <w:highlight w:val="none"/>
              </w:rPr>
            </w:pPr>
          </w:p>
        </w:tc>
      </w:tr>
      <w:tr w14:paraId="3C93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456B47EB">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53CAE9E4">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2963CC7F">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551EBA3E">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07964F1D">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25B04589">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33AAF86A">
            <w:pPr>
              <w:shd w:val="clear"/>
              <w:tabs>
                <w:tab w:val="left" w:pos="0"/>
              </w:tabs>
              <w:spacing w:line="360" w:lineRule="auto"/>
              <w:rPr>
                <w:rFonts w:hint="eastAsia" w:ascii="仿宋" w:hAnsi="仿宋" w:eastAsia="仿宋" w:cs="仿宋"/>
                <w:color w:val="auto"/>
                <w:sz w:val="24"/>
                <w:szCs w:val="24"/>
                <w:highlight w:val="none"/>
              </w:rPr>
            </w:pPr>
          </w:p>
        </w:tc>
      </w:tr>
      <w:tr w14:paraId="298E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4B4E16B0">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34F93C3D">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687CBEFB">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54AFAD20">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33E00669">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6E633A37">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038C592E">
            <w:pPr>
              <w:shd w:val="clear"/>
              <w:tabs>
                <w:tab w:val="left" w:pos="0"/>
              </w:tabs>
              <w:spacing w:line="360" w:lineRule="auto"/>
              <w:rPr>
                <w:rFonts w:hint="eastAsia" w:ascii="仿宋" w:hAnsi="仿宋" w:eastAsia="仿宋" w:cs="仿宋"/>
                <w:color w:val="auto"/>
                <w:sz w:val="24"/>
                <w:szCs w:val="24"/>
                <w:highlight w:val="none"/>
              </w:rPr>
            </w:pPr>
          </w:p>
        </w:tc>
      </w:tr>
      <w:tr w14:paraId="259F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74541117">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492E7DB7">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3E6B8FCB">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413513C0">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5340F152">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3E3D0E5B">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40EF26C7">
            <w:pPr>
              <w:shd w:val="clear"/>
              <w:tabs>
                <w:tab w:val="left" w:pos="0"/>
              </w:tabs>
              <w:spacing w:line="360" w:lineRule="auto"/>
              <w:rPr>
                <w:rFonts w:hint="eastAsia" w:ascii="仿宋" w:hAnsi="仿宋" w:eastAsia="仿宋" w:cs="仿宋"/>
                <w:color w:val="auto"/>
                <w:sz w:val="24"/>
                <w:szCs w:val="24"/>
                <w:highlight w:val="none"/>
              </w:rPr>
            </w:pPr>
          </w:p>
        </w:tc>
      </w:tr>
      <w:tr w14:paraId="6B59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543F367A">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790397AC">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620EC4B1">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75D226CE">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59B35D69">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01F0F824">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4A518539">
            <w:pPr>
              <w:shd w:val="clear"/>
              <w:tabs>
                <w:tab w:val="left" w:pos="0"/>
              </w:tabs>
              <w:spacing w:line="360" w:lineRule="auto"/>
              <w:rPr>
                <w:rFonts w:hint="eastAsia" w:ascii="仿宋" w:hAnsi="仿宋" w:eastAsia="仿宋" w:cs="仿宋"/>
                <w:color w:val="auto"/>
                <w:sz w:val="24"/>
                <w:szCs w:val="24"/>
                <w:highlight w:val="none"/>
              </w:rPr>
            </w:pPr>
          </w:p>
        </w:tc>
      </w:tr>
      <w:tr w14:paraId="1D4B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09F98C63">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30ABA305">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17ACD6A1">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154DA5B6">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278B6C17">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114068A2">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4A9C6E64">
            <w:pPr>
              <w:shd w:val="clear"/>
              <w:tabs>
                <w:tab w:val="left" w:pos="0"/>
              </w:tabs>
              <w:spacing w:line="360" w:lineRule="auto"/>
              <w:rPr>
                <w:rFonts w:hint="eastAsia" w:ascii="仿宋" w:hAnsi="仿宋" w:eastAsia="仿宋" w:cs="仿宋"/>
                <w:color w:val="auto"/>
                <w:sz w:val="24"/>
                <w:szCs w:val="24"/>
                <w:highlight w:val="none"/>
              </w:rPr>
            </w:pPr>
          </w:p>
        </w:tc>
      </w:tr>
      <w:tr w14:paraId="1FE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80" w:type="pct"/>
          </w:tcPr>
          <w:p w14:paraId="39AED260">
            <w:pPr>
              <w:shd w:val="clear"/>
              <w:tabs>
                <w:tab w:val="left" w:pos="0"/>
              </w:tabs>
              <w:spacing w:line="360" w:lineRule="auto"/>
              <w:rPr>
                <w:rFonts w:hint="eastAsia" w:ascii="仿宋" w:hAnsi="仿宋" w:eastAsia="仿宋" w:cs="仿宋"/>
                <w:color w:val="auto"/>
                <w:sz w:val="24"/>
                <w:szCs w:val="24"/>
                <w:highlight w:val="none"/>
              </w:rPr>
            </w:pPr>
          </w:p>
        </w:tc>
        <w:tc>
          <w:tcPr>
            <w:tcW w:w="854" w:type="pct"/>
          </w:tcPr>
          <w:p w14:paraId="3116AD7D">
            <w:pPr>
              <w:shd w:val="clear"/>
              <w:tabs>
                <w:tab w:val="left" w:pos="0"/>
              </w:tabs>
              <w:spacing w:line="360" w:lineRule="auto"/>
              <w:rPr>
                <w:rFonts w:hint="eastAsia" w:ascii="仿宋" w:hAnsi="仿宋" w:eastAsia="仿宋" w:cs="仿宋"/>
                <w:color w:val="auto"/>
                <w:sz w:val="24"/>
                <w:szCs w:val="24"/>
                <w:highlight w:val="none"/>
              </w:rPr>
            </w:pPr>
          </w:p>
        </w:tc>
        <w:tc>
          <w:tcPr>
            <w:tcW w:w="1015" w:type="pct"/>
          </w:tcPr>
          <w:p w14:paraId="61D96E7C">
            <w:pPr>
              <w:shd w:val="clear"/>
              <w:tabs>
                <w:tab w:val="left" w:pos="0"/>
              </w:tabs>
              <w:spacing w:line="360" w:lineRule="auto"/>
              <w:rPr>
                <w:rFonts w:hint="eastAsia" w:ascii="仿宋" w:hAnsi="仿宋" w:eastAsia="仿宋" w:cs="仿宋"/>
                <w:color w:val="auto"/>
                <w:sz w:val="24"/>
                <w:szCs w:val="24"/>
                <w:highlight w:val="none"/>
              </w:rPr>
            </w:pPr>
          </w:p>
        </w:tc>
        <w:tc>
          <w:tcPr>
            <w:tcW w:w="630" w:type="pct"/>
          </w:tcPr>
          <w:p w14:paraId="7AD88A1B">
            <w:pPr>
              <w:shd w:val="clear"/>
              <w:tabs>
                <w:tab w:val="left" w:pos="0"/>
              </w:tabs>
              <w:spacing w:line="360" w:lineRule="auto"/>
              <w:rPr>
                <w:rFonts w:hint="eastAsia" w:ascii="仿宋" w:hAnsi="仿宋" w:eastAsia="仿宋" w:cs="仿宋"/>
                <w:color w:val="auto"/>
                <w:sz w:val="24"/>
                <w:szCs w:val="24"/>
                <w:highlight w:val="none"/>
              </w:rPr>
            </w:pPr>
          </w:p>
        </w:tc>
        <w:tc>
          <w:tcPr>
            <w:tcW w:w="683" w:type="pct"/>
          </w:tcPr>
          <w:p w14:paraId="4390450D">
            <w:pPr>
              <w:shd w:val="clear"/>
              <w:tabs>
                <w:tab w:val="left" w:pos="0"/>
              </w:tabs>
              <w:spacing w:line="360" w:lineRule="auto"/>
              <w:rPr>
                <w:rFonts w:hint="eastAsia" w:ascii="仿宋" w:hAnsi="仿宋" w:eastAsia="仿宋" w:cs="仿宋"/>
                <w:color w:val="auto"/>
                <w:sz w:val="24"/>
                <w:szCs w:val="24"/>
                <w:highlight w:val="none"/>
              </w:rPr>
            </w:pPr>
          </w:p>
        </w:tc>
        <w:tc>
          <w:tcPr>
            <w:tcW w:w="937" w:type="pct"/>
          </w:tcPr>
          <w:p w14:paraId="4A8C48D2">
            <w:pPr>
              <w:shd w:val="clear"/>
              <w:tabs>
                <w:tab w:val="left" w:pos="0"/>
              </w:tabs>
              <w:spacing w:line="360" w:lineRule="auto"/>
              <w:rPr>
                <w:rFonts w:hint="eastAsia" w:ascii="仿宋" w:hAnsi="仿宋" w:eastAsia="仿宋" w:cs="仿宋"/>
                <w:color w:val="auto"/>
                <w:sz w:val="24"/>
                <w:szCs w:val="24"/>
                <w:highlight w:val="none"/>
              </w:rPr>
            </w:pPr>
          </w:p>
        </w:tc>
        <w:tc>
          <w:tcPr>
            <w:tcW w:w="597" w:type="pct"/>
          </w:tcPr>
          <w:p w14:paraId="63B15BA1">
            <w:pPr>
              <w:shd w:val="clear"/>
              <w:tabs>
                <w:tab w:val="left" w:pos="0"/>
              </w:tabs>
              <w:spacing w:line="360" w:lineRule="auto"/>
              <w:rPr>
                <w:rFonts w:hint="eastAsia" w:ascii="仿宋" w:hAnsi="仿宋" w:eastAsia="仿宋" w:cs="仿宋"/>
                <w:color w:val="auto"/>
                <w:sz w:val="24"/>
                <w:szCs w:val="24"/>
                <w:highlight w:val="none"/>
              </w:rPr>
            </w:pPr>
          </w:p>
        </w:tc>
      </w:tr>
    </w:tbl>
    <w:p w14:paraId="683B1247">
      <w:pPr>
        <w:shd w:val="clear"/>
        <w:spacing w:line="48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注：</w:t>
      </w:r>
      <w:r>
        <w:rPr>
          <w:rFonts w:hint="eastAsia" w:ascii="仿宋" w:hAnsi="仿宋" w:eastAsia="仿宋" w:cs="仿宋"/>
          <w:b/>
          <w:bCs/>
          <w:color w:val="auto"/>
          <w:sz w:val="24"/>
          <w:szCs w:val="24"/>
          <w:highlight w:val="none"/>
        </w:rPr>
        <w:t>本表</w:t>
      </w:r>
      <w:r>
        <w:rPr>
          <w:rFonts w:hint="eastAsia" w:ascii="仿宋" w:hAnsi="仿宋" w:eastAsia="仿宋" w:cs="仿宋"/>
          <w:b/>
          <w:bCs/>
          <w:color w:val="auto"/>
          <w:sz w:val="24"/>
          <w:szCs w:val="24"/>
          <w:highlight w:val="none"/>
          <w:lang w:val="en-US" w:eastAsia="zh-CN"/>
        </w:rPr>
        <w:t>后附相关证明资料</w:t>
      </w:r>
      <w:r>
        <w:rPr>
          <w:rFonts w:hint="eastAsia" w:ascii="仿宋" w:hAnsi="仿宋" w:eastAsia="仿宋" w:cs="仿宋"/>
          <w:b/>
          <w:bCs/>
          <w:color w:val="auto"/>
          <w:sz w:val="24"/>
          <w:szCs w:val="24"/>
          <w:highlight w:val="none"/>
        </w:rPr>
        <w:t>。</w:t>
      </w:r>
    </w:p>
    <w:p w14:paraId="40860897">
      <w:pPr>
        <w:shd w:val="clear"/>
        <w:spacing w:line="480" w:lineRule="exact"/>
        <w:ind w:firstLine="2362" w:firstLineChars="1181"/>
        <w:rPr>
          <w:rFonts w:hint="eastAsia" w:ascii="仿宋" w:hAnsi="仿宋" w:eastAsia="仿宋" w:cs="仿宋"/>
          <w:color w:val="auto"/>
          <w:sz w:val="20"/>
          <w:szCs w:val="20"/>
          <w:highlight w:val="none"/>
        </w:rPr>
      </w:pPr>
    </w:p>
    <w:p w14:paraId="507FAF41">
      <w:pPr>
        <w:shd w:val="clear"/>
        <w:spacing w:line="360" w:lineRule="auto"/>
        <w:jc w:val="center"/>
        <w:rPr>
          <w:rFonts w:hint="eastAsia" w:ascii="仿宋" w:hAnsi="仿宋" w:eastAsia="仿宋" w:cs="仿宋"/>
          <w:color w:val="auto"/>
          <w:sz w:val="20"/>
          <w:szCs w:val="20"/>
          <w:highlight w:val="none"/>
        </w:rPr>
      </w:pPr>
    </w:p>
    <w:p w14:paraId="5D3916A4">
      <w:pPr>
        <w:spacing w:line="360" w:lineRule="auto"/>
        <w:jc w:val="left"/>
        <w:rPr>
          <w:rFonts w:hint="eastAsia" w:ascii="仿宋" w:hAnsi="仿宋" w:eastAsia="仿宋" w:cs="仿宋"/>
          <w:color w:val="auto"/>
          <w:sz w:val="24"/>
          <w:highlight w:val="none"/>
          <w:u w:val="single"/>
        </w:rPr>
      </w:pPr>
      <w:bookmarkStart w:id="132" w:name="_Toc24121"/>
      <w:bookmarkStart w:id="133" w:name="_Toc12541"/>
      <w:bookmarkStart w:id="134" w:name="_Toc25871"/>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F79838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760C92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99A12FD">
      <w:pPr>
        <w:rPr>
          <w:rStyle w:val="98"/>
          <w:rFonts w:hint="eastAsia" w:ascii="仿宋" w:hAnsi="仿宋" w:eastAsia="仿宋" w:cs="仿宋"/>
          <w:sz w:val="32"/>
          <w:szCs w:val="32"/>
          <w:lang w:val="en-US" w:eastAsia="zh-CN"/>
        </w:rPr>
      </w:pPr>
      <w:r>
        <w:rPr>
          <w:rStyle w:val="98"/>
          <w:rFonts w:hint="eastAsia" w:ascii="仿宋" w:hAnsi="仿宋" w:eastAsia="仿宋" w:cs="仿宋"/>
          <w:sz w:val="32"/>
          <w:szCs w:val="32"/>
          <w:lang w:val="en-US" w:eastAsia="zh-CN"/>
        </w:rPr>
        <w:br w:type="page"/>
      </w:r>
    </w:p>
    <w:p w14:paraId="46640566">
      <w:pPr>
        <w:overflowPunct w:val="0"/>
        <w:spacing w:line="360" w:lineRule="auto"/>
        <w:jc w:val="center"/>
        <w:outlineLvl w:val="1"/>
        <w:rPr>
          <w:rStyle w:val="98"/>
          <w:rFonts w:hint="eastAsia" w:ascii="仿宋" w:hAnsi="仿宋" w:eastAsia="仿宋" w:cs="仿宋"/>
          <w:sz w:val="32"/>
          <w:szCs w:val="32"/>
        </w:rPr>
      </w:pPr>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w:t>
      </w:r>
      <w:bookmarkEnd w:id="132"/>
      <w:bookmarkEnd w:id="133"/>
      <w:r>
        <w:rPr>
          <w:rStyle w:val="98"/>
          <w:rFonts w:hint="eastAsia" w:ascii="仿宋" w:hAnsi="仿宋" w:eastAsia="仿宋" w:cs="仿宋"/>
          <w:sz w:val="32"/>
          <w:szCs w:val="32"/>
        </w:rPr>
        <w:t>商务和服务偏离表</w:t>
      </w:r>
      <w:bookmarkEnd w:id="134"/>
    </w:p>
    <w:p w14:paraId="6AE6AB6D">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4"/>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4"/>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4"/>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4"/>
              <w:spacing w:before="120"/>
              <w:ind w:left="0" w:right="34"/>
              <w:jc w:val="center"/>
              <w:rPr>
                <w:rFonts w:ascii="仿宋" w:hAnsi="仿宋" w:eastAsia="仿宋"/>
                <w:b/>
                <w:highlight w:val="none"/>
              </w:rPr>
            </w:pPr>
            <w:r>
              <w:rPr>
                <w:rFonts w:hint="eastAsia" w:ascii="仿宋" w:hAnsi="仿宋" w:eastAsia="仿宋" w:cs="仿宋"/>
                <w:b/>
                <w:color w:val="auto"/>
                <w:sz w:val="24"/>
                <w:szCs w:val="24"/>
                <w:highlight w:val="none"/>
              </w:rPr>
              <w:t>偏离</w:t>
            </w:r>
            <w:r>
              <w:rPr>
                <w:rFonts w:hint="eastAsia" w:ascii="仿宋" w:hAnsi="仿宋" w:eastAsia="仿宋" w:cs="仿宋"/>
                <w:b/>
                <w:color w:val="auto"/>
                <w:sz w:val="24"/>
                <w:szCs w:val="24"/>
                <w:highlight w:val="none"/>
                <w:lang w:val="en-US" w:eastAsia="zh-CN"/>
              </w:rPr>
              <w:t>情况</w:t>
            </w:r>
          </w:p>
        </w:tc>
        <w:tc>
          <w:tcPr>
            <w:tcW w:w="1824" w:type="dxa"/>
            <w:tcBorders>
              <w:top w:val="single" w:color="auto" w:sz="4" w:space="0"/>
              <w:left w:val="nil"/>
              <w:bottom w:val="single" w:color="auto" w:sz="4" w:space="0"/>
              <w:right w:val="single" w:color="auto" w:sz="4" w:space="0"/>
            </w:tcBorders>
            <w:noWrap/>
            <w:vAlign w:val="center"/>
          </w:tcPr>
          <w:p w14:paraId="62B0070D">
            <w:pPr>
              <w:pStyle w:val="14"/>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4"/>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4"/>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4"/>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4"/>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4"/>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4"/>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4"/>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4"/>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4"/>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4"/>
              <w:spacing w:before="120"/>
              <w:ind w:right="34"/>
              <w:jc w:val="center"/>
              <w:rPr>
                <w:rFonts w:ascii="仿宋" w:hAnsi="仿宋" w:eastAsia="仿宋"/>
                <w:b/>
                <w:highlight w:val="none"/>
              </w:rPr>
            </w:pPr>
          </w:p>
        </w:tc>
      </w:tr>
    </w:tbl>
    <w:p w14:paraId="5B15C091">
      <w:pPr>
        <w:pStyle w:val="2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14:paraId="12A9CB7D">
      <w:pPr>
        <w:pStyle w:val="2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1、本表只填写磋商响应文件中与磋商文件有偏离（包括正偏离和负偏离）的内容，磋商响应文件中商务响应与磋商文件要求完全一致的，不用在此表中列出，但必须提交空白表。</w:t>
      </w:r>
    </w:p>
    <w:p w14:paraId="491F8893">
      <w:pPr>
        <w:pStyle w:val="2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2、供应商必须据实填写，不得虚假响应，否则将取消其</w:t>
      </w:r>
      <w:r>
        <w:rPr>
          <w:rFonts w:hint="eastAsia" w:ascii="仿宋" w:hAnsi="仿宋" w:eastAsia="仿宋" w:cs="仿宋"/>
          <w:sz w:val="24"/>
          <w:szCs w:val="24"/>
          <w:lang w:val="en-US" w:eastAsia="zh-CN"/>
        </w:rPr>
        <w:t>投标/磋商或中标/成交</w:t>
      </w:r>
      <w:r>
        <w:rPr>
          <w:rFonts w:hint="eastAsia" w:ascii="仿宋" w:hAnsi="仿宋" w:eastAsia="仿宋" w:cs="仿宋"/>
          <w:sz w:val="24"/>
          <w:szCs w:val="24"/>
        </w:rPr>
        <w:t>资格，并按有关规定进行处罚。</w:t>
      </w:r>
    </w:p>
    <w:p w14:paraId="341958DB">
      <w:pPr>
        <w:pStyle w:val="14"/>
        <w:spacing w:before="120"/>
        <w:ind w:left="0" w:right="34"/>
        <w:jc w:val="both"/>
        <w:rPr>
          <w:rFonts w:ascii="仿宋" w:hAnsi="仿宋" w:eastAsia="仿宋" w:cs="仿宋"/>
          <w:bCs/>
          <w:highlight w:val="none"/>
        </w:rPr>
      </w:pPr>
    </w:p>
    <w:p w14:paraId="0303B02E">
      <w:pPr>
        <w:pStyle w:val="18"/>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61B58F8">
      <w:pPr>
        <w:adjustRightInd w:val="0"/>
        <w:snapToGrid w:val="0"/>
        <w:spacing w:line="360" w:lineRule="auto"/>
        <w:rPr>
          <w:rFonts w:hint="eastAsia" w:ascii="仿宋" w:hAnsi="仿宋" w:eastAsia="仿宋" w:cs="仿宋"/>
          <w:b/>
          <w:bCs/>
          <w:sz w:val="24"/>
          <w:szCs w:val="24"/>
          <w:highlight w:val="none"/>
          <w:lang w:val="en-US" w:eastAsia="zh-CN"/>
        </w:rPr>
        <w:sectPr>
          <w:pgSz w:w="11906" w:h="16838"/>
          <w:pgMar w:top="1417" w:right="1249" w:bottom="1417" w:left="1417" w:header="850" w:footer="992" w:gutter="0"/>
          <w:pgNumType w:fmt="decimal"/>
          <w:cols w:space="0" w:num="1"/>
          <w:docGrid w:type="lines" w:linePitch="312" w:charSpace="0"/>
        </w:sectPr>
      </w:pPr>
      <w:bookmarkStart w:id="135" w:name="_Toc14672"/>
    </w:p>
    <w:p w14:paraId="3E54A9D4">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2、服务偏离表</w:t>
      </w:r>
      <w:bookmarkEnd w:id="135"/>
    </w:p>
    <w:tbl>
      <w:tblPr>
        <w:tblStyle w:val="32"/>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1"/>
        <w:gridCol w:w="3137"/>
        <w:gridCol w:w="2999"/>
        <w:gridCol w:w="1924"/>
        <w:gridCol w:w="71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vAlign w:val="center"/>
          </w:tcPr>
          <w:p w14:paraId="75329877">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687" w:type="pct"/>
            <w:vAlign w:val="center"/>
          </w:tcPr>
          <w:p w14:paraId="284A7E1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要求</w:t>
            </w:r>
          </w:p>
        </w:tc>
        <w:tc>
          <w:tcPr>
            <w:tcW w:w="1613" w:type="pct"/>
            <w:vAlign w:val="center"/>
          </w:tcPr>
          <w:p w14:paraId="044968D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1035" w:type="pct"/>
            <w:vAlign w:val="center"/>
          </w:tcPr>
          <w:p w14:paraId="6AA1E39F">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382" w:type="pct"/>
            <w:vAlign w:val="center"/>
          </w:tcPr>
          <w:p w14:paraId="3140E583">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2BD393F8">
            <w:pPr>
              <w:spacing w:line="360" w:lineRule="auto"/>
              <w:jc w:val="center"/>
              <w:rPr>
                <w:rFonts w:ascii="仿宋" w:hAnsi="仿宋" w:eastAsia="仿宋" w:cs="仿宋"/>
                <w:sz w:val="24"/>
                <w:highlight w:val="none"/>
              </w:rPr>
            </w:pPr>
          </w:p>
        </w:tc>
        <w:tc>
          <w:tcPr>
            <w:tcW w:w="1687" w:type="pct"/>
          </w:tcPr>
          <w:p w14:paraId="6AF9BEFD">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ascii="仿宋" w:hAnsi="仿宋" w:eastAsia="仿宋" w:cs="仿宋"/>
                <w:sz w:val="24"/>
                <w:highlight w:val="none"/>
              </w:rPr>
            </w:pPr>
          </w:p>
        </w:tc>
        <w:tc>
          <w:tcPr>
            <w:tcW w:w="1613" w:type="pct"/>
          </w:tcPr>
          <w:p w14:paraId="5C0838B2">
            <w:pPr>
              <w:spacing w:line="360" w:lineRule="auto"/>
              <w:jc w:val="left"/>
              <w:rPr>
                <w:rFonts w:ascii="仿宋" w:hAnsi="仿宋" w:eastAsia="仿宋" w:cs="仿宋"/>
                <w:sz w:val="24"/>
                <w:highlight w:val="none"/>
              </w:rPr>
            </w:pPr>
          </w:p>
        </w:tc>
        <w:tc>
          <w:tcPr>
            <w:tcW w:w="1035" w:type="pct"/>
          </w:tcPr>
          <w:p w14:paraId="51321C80">
            <w:pPr>
              <w:spacing w:line="360" w:lineRule="auto"/>
              <w:jc w:val="center"/>
              <w:rPr>
                <w:rFonts w:ascii="仿宋" w:hAnsi="仿宋" w:eastAsia="仿宋" w:cs="仿宋"/>
                <w:sz w:val="24"/>
                <w:highlight w:val="none"/>
              </w:rPr>
            </w:pPr>
          </w:p>
        </w:tc>
        <w:tc>
          <w:tcPr>
            <w:tcW w:w="382" w:type="pct"/>
          </w:tcPr>
          <w:p w14:paraId="7EC6BF4C">
            <w:pPr>
              <w:spacing w:line="360" w:lineRule="auto"/>
              <w:jc w:val="center"/>
              <w:rPr>
                <w:rFonts w:ascii="仿宋" w:hAnsi="仿宋" w:eastAsia="仿宋" w:cs="仿宋"/>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6A7DFD0D">
            <w:pPr>
              <w:spacing w:line="360" w:lineRule="auto"/>
              <w:jc w:val="center"/>
              <w:rPr>
                <w:rFonts w:ascii="仿宋" w:hAnsi="仿宋" w:eastAsia="仿宋" w:cs="仿宋"/>
                <w:sz w:val="24"/>
                <w:highlight w:val="none"/>
              </w:rPr>
            </w:pPr>
          </w:p>
        </w:tc>
        <w:tc>
          <w:tcPr>
            <w:tcW w:w="1687" w:type="pct"/>
          </w:tcPr>
          <w:p w14:paraId="17AE551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613" w:type="pct"/>
          </w:tcPr>
          <w:p w14:paraId="538D20B7">
            <w:pPr>
              <w:spacing w:line="360" w:lineRule="auto"/>
              <w:jc w:val="left"/>
              <w:rPr>
                <w:rFonts w:ascii="仿宋" w:hAnsi="仿宋" w:eastAsia="仿宋" w:cs="仿宋"/>
                <w:sz w:val="24"/>
                <w:highlight w:val="none"/>
              </w:rPr>
            </w:pPr>
          </w:p>
        </w:tc>
        <w:tc>
          <w:tcPr>
            <w:tcW w:w="1035" w:type="pct"/>
          </w:tcPr>
          <w:p w14:paraId="05BBCD6F">
            <w:pPr>
              <w:spacing w:line="360" w:lineRule="auto"/>
              <w:jc w:val="center"/>
              <w:rPr>
                <w:rFonts w:ascii="仿宋" w:hAnsi="仿宋" w:eastAsia="仿宋" w:cs="仿宋"/>
                <w:sz w:val="24"/>
                <w:highlight w:val="none"/>
              </w:rPr>
            </w:pPr>
          </w:p>
        </w:tc>
        <w:tc>
          <w:tcPr>
            <w:tcW w:w="382" w:type="pct"/>
          </w:tcPr>
          <w:p w14:paraId="7D18881E">
            <w:pPr>
              <w:spacing w:line="360" w:lineRule="auto"/>
              <w:jc w:val="center"/>
              <w:rPr>
                <w:rFonts w:ascii="仿宋" w:hAnsi="仿宋" w:eastAsia="仿宋" w:cs="仿宋"/>
                <w:sz w:val="24"/>
                <w:highlight w:val="none"/>
              </w:rPr>
            </w:pPr>
          </w:p>
        </w:tc>
      </w:tr>
      <w:tr w14:paraId="03A4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45CC2987">
            <w:pPr>
              <w:spacing w:line="360" w:lineRule="auto"/>
              <w:jc w:val="center"/>
              <w:rPr>
                <w:rFonts w:ascii="仿宋" w:hAnsi="仿宋" w:eastAsia="仿宋" w:cs="仿宋"/>
                <w:sz w:val="24"/>
                <w:highlight w:val="none"/>
              </w:rPr>
            </w:pPr>
          </w:p>
        </w:tc>
        <w:tc>
          <w:tcPr>
            <w:tcW w:w="1687" w:type="pct"/>
          </w:tcPr>
          <w:p w14:paraId="693CCE2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613" w:type="pct"/>
          </w:tcPr>
          <w:p w14:paraId="248F4318">
            <w:pPr>
              <w:spacing w:line="360" w:lineRule="auto"/>
              <w:jc w:val="left"/>
              <w:rPr>
                <w:rFonts w:ascii="仿宋" w:hAnsi="仿宋" w:eastAsia="仿宋" w:cs="仿宋"/>
                <w:sz w:val="24"/>
                <w:highlight w:val="none"/>
              </w:rPr>
            </w:pPr>
          </w:p>
        </w:tc>
        <w:tc>
          <w:tcPr>
            <w:tcW w:w="1035" w:type="pct"/>
          </w:tcPr>
          <w:p w14:paraId="59AFE299">
            <w:pPr>
              <w:spacing w:line="360" w:lineRule="auto"/>
              <w:jc w:val="center"/>
              <w:rPr>
                <w:rFonts w:ascii="仿宋" w:hAnsi="仿宋" w:eastAsia="仿宋" w:cs="仿宋"/>
                <w:sz w:val="24"/>
                <w:highlight w:val="none"/>
              </w:rPr>
            </w:pPr>
          </w:p>
        </w:tc>
        <w:tc>
          <w:tcPr>
            <w:tcW w:w="382" w:type="pct"/>
          </w:tcPr>
          <w:p w14:paraId="39E7F397">
            <w:pPr>
              <w:spacing w:line="360" w:lineRule="auto"/>
              <w:jc w:val="center"/>
              <w:rPr>
                <w:rFonts w:ascii="仿宋" w:hAnsi="仿宋" w:eastAsia="仿宋" w:cs="仿宋"/>
                <w:sz w:val="24"/>
                <w:highlight w:val="none"/>
              </w:rPr>
            </w:pPr>
          </w:p>
        </w:tc>
      </w:tr>
      <w:tr w14:paraId="52EA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0" w:type="pct"/>
          </w:tcPr>
          <w:p w14:paraId="744D087B">
            <w:pPr>
              <w:spacing w:line="360" w:lineRule="auto"/>
              <w:jc w:val="center"/>
              <w:rPr>
                <w:rFonts w:ascii="仿宋" w:hAnsi="仿宋" w:eastAsia="仿宋" w:cs="仿宋"/>
                <w:sz w:val="24"/>
                <w:highlight w:val="none"/>
              </w:rPr>
            </w:pPr>
          </w:p>
        </w:tc>
        <w:tc>
          <w:tcPr>
            <w:tcW w:w="1687" w:type="pct"/>
          </w:tcPr>
          <w:p w14:paraId="042DBE4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613" w:type="pct"/>
          </w:tcPr>
          <w:p w14:paraId="65F5A70D">
            <w:pPr>
              <w:spacing w:line="360" w:lineRule="auto"/>
              <w:jc w:val="left"/>
              <w:rPr>
                <w:rFonts w:ascii="仿宋" w:hAnsi="仿宋" w:eastAsia="仿宋" w:cs="仿宋"/>
                <w:sz w:val="24"/>
                <w:highlight w:val="none"/>
              </w:rPr>
            </w:pPr>
          </w:p>
        </w:tc>
        <w:tc>
          <w:tcPr>
            <w:tcW w:w="1035" w:type="pct"/>
          </w:tcPr>
          <w:p w14:paraId="4EDEFCE3">
            <w:pPr>
              <w:spacing w:line="360" w:lineRule="auto"/>
              <w:jc w:val="center"/>
              <w:rPr>
                <w:rFonts w:ascii="仿宋" w:hAnsi="仿宋" w:eastAsia="仿宋" w:cs="仿宋"/>
                <w:sz w:val="24"/>
                <w:highlight w:val="none"/>
              </w:rPr>
            </w:pPr>
          </w:p>
        </w:tc>
        <w:tc>
          <w:tcPr>
            <w:tcW w:w="382" w:type="pct"/>
          </w:tcPr>
          <w:p w14:paraId="08761D14">
            <w:pPr>
              <w:spacing w:line="360" w:lineRule="auto"/>
              <w:jc w:val="center"/>
              <w:rPr>
                <w:rFonts w:ascii="仿宋" w:hAnsi="仿宋" w:eastAsia="仿宋" w:cs="仿宋"/>
                <w:sz w:val="24"/>
                <w:highlight w:val="none"/>
              </w:rPr>
            </w:pPr>
          </w:p>
        </w:tc>
      </w:tr>
    </w:tbl>
    <w:p w14:paraId="2CCB04D4">
      <w:pPr>
        <w:pStyle w:val="14"/>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rPr>
        <w:t>说明：</w:t>
      </w:r>
    </w:p>
    <w:p w14:paraId="6F3E0D04">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bCs/>
          <w:color w:val="auto"/>
          <w:sz w:val="24"/>
          <w:szCs w:val="24"/>
          <w:highlight w:val="none"/>
        </w:rPr>
        <w:t>“磋商文件要求”</w:t>
      </w:r>
      <w:r>
        <w:rPr>
          <w:rFonts w:hint="eastAsia" w:ascii="仿宋" w:hAnsi="仿宋" w:eastAsia="仿宋" w:cs="仿宋"/>
          <w:color w:val="auto"/>
          <w:sz w:val="24"/>
          <w:szCs w:val="24"/>
          <w:highlight w:val="none"/>
        </w:rPr>
        <w:t>一栏应填写</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第四章磋商要求及说明</w:t>
      </w:r>
      <w:r>
        <w:rPr>
          <w:rFonts w:hint="eastAsia" w:ascii="仿宋" w:hAnsi="仿宋" w:eastAsia="仿宋" w:cs="仿宋"/>
          <w:color w:val="auto"/>
          <w:sz w:val="24"/>
          <w:szCs w:val="24"/>
          <w:highlight w:val="none"/>
        </w:rPr>
        <w:t>的内容；</w:t>
      </w:r>
    </w:p>
    <w:p w14:paraId="7C6B731D">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rPr>
        <w:t>“磋商响应内容”</w:t>
      </w:r>
      <w:r>
        <w:rPr>
          <w:rFonts w:hint="eastAsia" w:ascii="仿宋" w:hAnsi="仿宋" w:eastAsia="仿宋" w:cs="仿宋"/>
          <w:color w:val="auto"/>
          <w:sz w:val="24"/>
          <w:szCs w:val="24"/>
          <w:highlight w:val="none"/>
        </w:rPr>
        <w:t>一栏必须详细，并应对照</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第四章磋商要求及说明</w:t>
      </w:r>
      <w:r>
        <w:rPr>
          <w:rFonts w:hint="eastAsia" w:ascii="仿宋" w:hAnsi="仿宋" w:eastAsia="仿宋" w:cs="仿宋"/>
          <w:color w:val="auto"/>
          <w:sz w:val="24"/>
          <w:szCs w:val="24"/>
          <w:highlight w:val="none"/>
        </w:rPr>
        <w:t>的内容</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响应</w:t>
      </w:r>
      <w:r>
        <w:rPr>
          <w:rFonts w:hint="eastAsia" w:ascii="仿宋" w:hAnsi="仿宋" w:eastAsia="仿宋" w:cs="仿宋"/>
          <w:bCs/>
          <w:szCs w:val="24"/>
          <w:highlight w:val="none"/>
        </w:rPr>
        <w:t>，并按磋商文件要求提供相应的证明材料</w:t>
      </w:r>
      <w:r>
        <w:rPr>
          <w:rFonts w:hint="eastAsia" w:ascii="仿宋" w:hAnsi="仿宋" w:eastAsia="仿宋" w:cs="仿宋"/>
          <w:color w:val="auto"/>
          <w:sz w:val="24"/>
          <w:szCs w:val="24"/>
          <w:highlight w:val="none"/>
        </w:rPr>
        <w:t>；</w:t>
      </w:r>
    </w:p>
    <w:p w14:paraId="03B4A793">
      <w:pPr>
        <w:pStyle w:val="14"/>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lang w:val="en-US" w:eastAsia="zh-CN"/>
        </w:rPr>
      </w:pPr>
      <w:r>
        <w:rPr>
          <w:rFonts w:hint="eastAsia" w:ascii="仿宋" w:hAnsi="仿宋" w:eastAsia="仿宋" w:cs="仿宋"/>
          <w:bCs/>
          <w:szCs w:val="24"/>
          <w:highlight w:val="none"/>
          <w:lang w:val="en-US" w:eastAsia="zh-CN"/>
        </w:rPr>
        <w:t>3、供应商</w:t>
      </w:r>
      <w:r>
        <w:rPr>
          <w:rFonts w:hint="eastAsia" w:ascii="仿宋" w:hAnsi="仿宋" w:eastAsia="仿宋" w:cs="仿宋"/>
          <w:bCs/>
          <w:szCs w:val="24"/>
          <w:highlight w:val="none"/>
        </w:rPr>
        <w:t>所填写的“偏离情况”与磋商小组判定不一致时，以磋商小组意见为主。</w:t>
      </w:r>
    </w:p>
    <w:p w14:paraId="30CC7C8D">
      <w:pPr>
        <w:pStyle w:val="14"/>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、“偏离情况”一栏应如实填写“正偏离”、“负偏离”或“无偏离”；</w:t>
      </w:r>
    </w:p>
    <w:p w14:paraId="0EB67FDA">
      <w:pPr>
        <w:pStyle w:val="14"/>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、供应商必须据实填写，不得虚假响应，否则将取消其投标/磋商或中标/成交资格，并按有关规定进行处罚。</w:t>
      </w:r>
    </w:p>
    <w:p w14:paraId="1B8FD135">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rPr>
      </w:pPr>
    </w:p>
    <w:p w14:paraId="3F9066EA">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keepNext w:val="0"/>
        <w:keepLines w:val="0"/>
        <w:pageBreakBefore w:val="0"/>
        <w:widowControl w:val="0"/>
        <w:kinsoku/>
        <w:wordWrap/>
        <w:overflowPunct w:val="0"/>
        <w:topLinePunct w:val="0"/>
        <w:autoSpaceDE/>
        <w:autoSpaceDN/>
        <w:bidi w:val="0"/>
        <w:adjustRightInd/>
        <w:snapToGrid w:val="0"/>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keepNext w:val="0"/>
        <w:keepLines w:val="0"/>
        <w:pageBreakBefore w:val="0"/>
        <w:widowControl w:val="0"/>
        <w:kinsoku/>
        <w:wordWrap/>
        <w:topLinePunct w:val="0"/>
        <w:autoSpaceDE/>
        <w:autoSpaceDN/>
        <w:bidi w:val="0"/>
        <w:adjustRightInd/>
        <w:snapToGrid w:val="0"/>
        <w:spacing w:line="360" w:lineRule="auto"/>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31687C1">
      <w:pPr>
        <w:overflowPunct w:val="0"/>
        <w:spacing w:line="360" w:lineRule="auto"/>
        <w:jc w:val="center"/>
        <w:outlineLvl w:val="1"/>
        <w:rPr>
          <w:rStyle w:val="98"/>
          <w:rFonts w:hint="eastAsia" w:ascii="仿宋" w:hAnsi="仿宋" w:eastAsia="仿宋" w:cs="仿宋"/>
          <w:sz w:val="32"/>
          <w:szCs w:val="32"/>
          <w:lang w:val="en-US" w:eastAsia="zh-CN"/>
        </w:rPr>
        <w:sectPr>
          <w:pgSz w:w="11906" w:h="16838"/>
          <w:pgMar w:top="1417" w:right="1247" w:bottom="1417" w:left="1417" w:header="850" w:footer="992" w:gutter="0"/>
          <w:pgNumType w:fmt="decimal"/>
          <w:cols w:space="0" w:num="1"/>
          <w:rtlGutter w:val="0"/>
          <w:docGrid w:type="lines" w:linePitch="330" w:charSpace="0"/>
        </w:sectPr>
      </w:pPr>
    </w:p>
    <w:p w14:paraId="7EE9AC5C">
      <w:pPr>
        <w:overflowPunct w:val="0"/>
        <w:spacing w:line="360" w:lineRule="auto"/>
        <w:jc w:val="center"/>
        <w:outlineLvl w:val="1"/>
        <w:rPr>
          <w:rStyle w:val="98"/>
          <w:rFonts w:hint="eastAsia" w:ascii="仿宋" w:hAnsi="仿宋" w:eastAsia="仿宋" w:cs="仿宋"/>
          <w:sz w:val="32"/>
          <w:szCs w:val="32"/>
        </w:rPr>
      </w:pPr>
      <w:bookmarkStart w:id="136" w:name="_Toc11250"/>
      <w:r>
        <w:rPr>
          <w:rStyle w:val="98"/>
          <w:rFonts w:hint="eastAsia" w:ascii="仿宋" w:hAnsi="仿宋" w:eastAsia="仿宋" w:cs="仿宋"/>
          <w:sz w:val="32"/>
          <w:szCs w:val="32"/>
          <w:lang w:val="en-US" w:eastAsia="zh-CN"/>
        </w:rPr>
        <w:t>八</w:t>
      </w:r>
      <w:r>
        <w:rPr>
          <w:rStyle w:val="98"/>
          <w:rFonts w:hint="eastAsia" w:ascii="仿宋" w:hAnsi="仿宋" w:eastAsia="仿宋" w:cs="仿宋"/>
          <w:sz w:val="32"/>
          <w:szCs w:val="32"/>
        </w:rPr>
        <w:t>、资格证明文件</w:t>
      </w:r>
      <w:bookmarkEnd w:id="136"/>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2.落实政府采购政策需满足的资格要求：</w:t>
      </w:r>
    </w:p>
    <w:p w14:paraId="005D40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b w:val="0"/>
          <w:bCs w:val="0"/>
          <w:sz w:val="24"/>
          <w:highlight w:val="none"/>
          <w:lang w:val="en-US" w:eastAsia="zh-CN"/>
        </w:rPr>
        <w:t>合同包1(办公用房数字化服务项目)落实政府采购政策需满足的资格要求如下:本项目专门面向中小企业采购。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合同包1(办公用房数字化服务项目)特定资格要求如下:</w:t>
      </w:r>
    </w:p>
    <w:p w14:paraId="71607A8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1EE4B5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43899A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9CC1FE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EF601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5、提供具有履行本合同所必需的专业技术能力的书面声明；</w:t>
      </w:r>
    </w:p>
    <w:p w14:paraId="587A97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48467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7、法定代表人直接参加磋商的，须出具法定代表人身份证明书及身份证；授权代表参加磋商的，须出具法定代表人授权书及授权代表身份证；</w:t>
      </w:r>
    </w:p>
    <w:p w14:paraId="2CFED8E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1CC35A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5733B7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10、供应商须具有国家测绘行政主管部门颁发的测绘乙级及以上资质，且专业类别内包含界线与不动产测绘；</w:t>
      </w:r>
    </w:p>
    <w:p w14:paraId="5B50E6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11、本项目专门面向中小企业采购，供应商提供中小企业声明函；</w:t>
      </w:r>
    </w:p>
    <w:p w14:paraId="3674F0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12、本项目不接受联合体响应。</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8"/>
        <w:shd w:val="clear" w:color="auto"/>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8"/>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17"/>
      <w:bookmarkEnd w:id="118"/>
      <w:bookmarkEnd w:id="119"/>
      <w:bookmarkEnd w:id="120"/>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3</w:t>
      </w:r>
      <w:r>
        <w:rPr>
          <w:rFonts w:hint="eastAsia" w:ascii="仿宋" w:hAnsi="仿宋" w:eastAsia="仿宋" w:cs="仿宋"/>
          <w:sz w:val="24"/>
          <w:szCs w:val="24"/>
          <w:highlight w:val="none"/>
          <w:shd w:val="clear" w:color="auto" w:fill="FFFFFF"/>
        </w:rPr>
        <w:t>、我方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4</w:t>
      </w:r>
      <w:r>
        <w:rPr>
          <w:rFonts w:hint="eastAsia" w:ascii="仿宋" w:hAnsi="仿宋" w:eastAsia="仿宋" w:cs="仿宋"/>
          <w:sz w:val="24"/>
          <w:szCs w:val="24"/>
          <w:highlight w:val="none"/>
          <w:shd w:val="clear" w:color="auto" w:fill="FFFFFF"/>
        </w:rPr>
        <w:t>、我方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5</w:t>
      </w:r>
      <w:r>
        <w:rPr>
          <w:rFonts w:hint="eastAsia" w:ascii="仿宋" w:hAnsi="仿宋" w:eastAsia="仿宋" w:cs="仿宋"/>
          <w:sz w:val="24"/>
          <w:szCs w:val="24"/>
          <w:highlight w:val="none"/>
          <w:shd w:val="clear" w:color="auto" w:fill="FFFFFF"/>
        </w:rPr>
        <w:t>、我方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0"/>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u w:val="single"/>
        </w:rPr>
        <w:t xml:space="preserve">      （供应商名称）    </w:t>
      </w:r>
      <w:r>
        <w:rPr>
          <w:rFonts w:hint="eastAsia" w:ascii="仿宋_GB2312" w:hAnsi="仿宋_GB2312" w:eastAsia="仿宋_GB2312" w:cs="仿宋_GB2312"/>
          <w:spacing w:val="4"/>
          <w:sz w:val="24"/>
          <w:szCs w:val="24"/>
        </w:rPr>
        <w:t xml:space="preserve"> 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w:t>
      </w:r>
      <w:r>
        <w:rPr>
          <w:rFonts w:hint="eastAsia" w:ascii="仿宋_GB2312" w:hAnsi="仿宋_GB2312" w:eastAsia="仿宋_GB2312" w:cs="仿宋_GB2312"/>
          <w:spacing w:val="4"/>
          <w:sz w:val="24"/>
          <w:szCs w:val="24"/>
          <w:u w:val="single"/>
        </w:rPr>
        <w:t xml:space="preserve">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，营业（生产经营）面积为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5"/>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8"/>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1.直接控股股东：是指其出资额占有限责任公司资本总额百分之五十以上或者其持有的股份占股份有限公司股份总额百分之五十以上的股东；出资额或者持有股份的比例虽然不足百分之五</w:t>
      </w:r>
      <w:r>
        <w:rPr>
          <w:rFonts w:hint="eastAsia" w:ascii="仿宋" w:hAnsi="仿宋" w:eastAsia="仿宋" w:cs="仿宋"/>
          <w:b w:val="0"/>
          <w:bCs/>
          <w:kern w:val="0"/>
          <w:sz w:val="24"/>
          <w:szCs w:val="24"/>
          <w:highlight w:val="none"/>
          <w:lang w:val="en-US" w:eastAsia="zh-CN"/>
        </w:rPr>
        <w:t>十</w:t>
      </w:r>
      <w:r>
        <w:rPr>
          <w:rFonts w:hint="eastAsia" w:ascii="仿宋" w:hAnsi="仿宋" w:eastAsia="仿宋" w:cs="仿宋"/>
          <w:b w:val="0"/>
          <w:bCs/>
          <w:kern w:val="0"/>
          <w:sz w:val="24"/>
          <w:szCs w:val="24"/>
          <w:highlight w:val="none"/>
          <w:lang w:val="zh-CN" w:eastAsia="zh-CN"/>
        </w:rPr>
        <w:t xml:space="preserve">，但依其出资额或者持有的股份所享有的表决权已足以对股东会、股东大会的决议产生重大影响的股东。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8"/>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2"/>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2"/>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2"/>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2"/>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2"/>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2"/>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2"/>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C8D042F">
      <w:pPr>
        <w:pStyle w:val="82"/>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37" w:name="_Toc61531865"/>
      <w:bookmarkStart w:id="138" w:name="OLE_LINK14"/>
      <w:bookmarkStart w:id="139" w:name="OLE_LINK13"/>
      <w:r>
        <w:rPr>
          <w:rFonts w:hint="eastAsia" w:ascii="仿宋" w:hAnsi="仿宋" w:eastAsia="仿宋" w:cs="仿宋"/>
          <w:b/>
          <w:bCs/>
          <w:sz w:val="28"/>
          <w:szCs w:val="24"/>
          <w:highlight w:val="none"/>
        </w:rPr>
        <w:t>中小企业声明函(服务</w:t>
      </w:r>
      <w:bookmarkEnd w:id="137"/>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w:t>
      </w:r>
      <w:r>
        <w:rPr>
          <w:rFonts w:hint="eastAsia" w:ascii="仿宋" w:hAnsi="仿宋" w:eastAsia="仿宋" w:cs="宋体"/>
          <w:kern w:val="0"/>
          <w:sz w:val="24"/>
          <w:highlight w:val="none"/>
          <w:u w:val="single"/>
          <w:lang w:val="en-US" w:eastAsia="zh-CN"/>
        </w:rPr>
        <w:t>确</w:t>
      </w:r>
      <w:r>
        <w:rPr>
          <w:rFonts w:hint="eastAsia" w:ascii="仿宋" w:hAnsi="仿宋" w:eastAsia="仿宋" w:cs="宋体"/>
          <w:kern w:val="0"/>
          <w:sz w:val="24"/>
          <w:highlight w:val="none"/>
          <w:u w:val="single"/>
        </w:rPr>
        <w:t xml:space="preserve">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w:t>
      </w:r>
      <w:r>
        <w:rPr>
          <w:rFonts w:hint="eastAsia" w:ascii="仿宋" w:hAnsi="仿宋" w:eastAsia="仿宋" w:cs="宋体"/>
          <w:kern w:val="0"/>
          <w:sz w:val="24"/>
          <w:highlight w:val="none"/>
          <w:u w:val="single"/>
          <w:lang w:val="en-US" w:eastAsia="zh-CN"/>
        </w:rPr>
        <w:t>确</w:t>
      </w:r>
      <w:r>
        <w:rPr>
          <w:rFonts w:hint="eastAsia" w:ascii="仿宋" w:hAnsi="仿宋" w:eastAsia="仿宋" w:cs="宋体"/>
          <w:kern w:val="0"/>
          <w:sz w:val="24"/>
          <w:highlight w:val="none"/>
          <w:u w:val="single"/>
        </w:rPr>
        <w:t xml:space="preserve">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38"/>
    <w:bookmarkEnd w:id="139"/>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0"/>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标段采购活动提供本单位制造的货物（由本单位承担工程/提供服务），或者提供其他残疾人福利性单位制造的货物（不包括使用非残疾人福利性单位注册商标的货物）。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320" w:firstLineChars="18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7" w:bottom="1417" w:left="1417" w:header="850" w:footer="992" w:gutter="0"/>
          <w:pgNumType w:fmt="decimal"/>
          <w:cols w:space="0" w:num="1"/>
          <w:rtlGutter w:val="0"/>
          <w:docGrid w:type="lines" w:linePitch="330"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bookmarkStart w:id="140" w:name="_Toc16262"/>
      <w:bookmarkStart w:id="141" w:name="_Toc27112"/>
      <w:bookmarkStart w:id="142" w:name="_Toc12758"/>
      <w:r>
        <w:rPr>
          <w:rFonts w:hint="eastAsia" w:ascii="仿宋" w:hAnsi="仿宋" w:eastAsia="仿宋" w:cs="仿宋"/>
          <w:bCs/>
          <w:sz w:val="28"/>
          <w:szCs w:val="28"/>
          <w:highlight w:val="none"/>
          <w:lang w:val="en-US" w:eastAsia="zh-CN"/>
        </w:rPr>
        <w:t>附件9：</w:t>
      </w:r>
    </w:p>
    <w:p w14:paraId="55CEB5EE">
      <w:pPr>
        <w:widowControl/>
        <w:spacing w:line="360" w:lineRule="auto"/>
        <w:jc w:val="center"/>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w:t>
      </w:r>
    </w:p>
    <w:p w14:paraId="5D63FEEE">
      <w:pPr>
        <w:pStyle w:val="10"/>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10"/>
        <w:rPr>
          <w:rFonts w:hint="eastAsia" w:ascii="仿宋_GB2312" w:hAnsi="仿宋_GB2312" w:eastAsia="仿宋_GB2312" w:cs="仿宋_GB2312"/>
          <w:color w:val="auto"/>
          <w:sz w:val="28"/>
          <w:szCs w:val="28"/>
        </w:rPr>
      </w:pPr>
    </w:p>
    <w:p w14:paraId="4B5CB21C">
      <w:pPr>
        <w:pStyle w:val="26"/>
        <w:rPr>
          <w:rFonts w:hint="eastAsia"/>
          <w:color w:val="auto"/>
        </w:rPr>
      </w:pPr>
    </w:p>
    <w:p w14:paraId="3B473768">
      <w:pPr>
        <w:pStyle w:val="10"/>
        <w:rPr>
          <w:rFonts w:hint="eastAsia" w:ascii="仿宋" w:hAnsi="仿宋" w:eastAsia="仿宋" w:cs="仿宋"/>
          <w:bCs/>
          <w:color w:val="auto"/>
          <w:sz w:val="28"/>
          <w:szCs w:val="28"/>
          <w:highlight w:val="none"/>
          <w:lang w:val="en-US" w:eastAsia="zh-CN"/>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3EFC9F7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8"/>
          <w:rFonts w:hint="eastAsia" w:ascii="仿宋" w:hAnsi="仿宋" w:eastAsia="仿宋" w:cs="仿宋"/>
          <w:sz w:val="32"/>
          <w:szCs w:val="32"/>
          <w:lang w:val="en-US" w:eastAsia="zh-CN"/>
        </w:rPr>
      </w:pPr>
      <w:bookmarkStart w:id="143" w:name="_Toc25825"/>
      <w:bookmarkStart w:id="144" w:name="_Toc26437"/>
      <w:r>
        <w:rPr>
          <w:rStyle w:val="98"/>
          <w:rFonts w:hint="eastAsia" w:ascii="仿宋" w:hAnsi="仿宋" w:eastAsia="仿宋" w:cs="仿宋"/>
          <w:sz w:val="32"/>
          <w:szCs w:val="32"/>
          <w:lang w:val="en-US" w:eastAsia="zh-CN"/>
        </w:rPr>
        <w:t>九、其他材料</w:t>
      </w:r>
      <w:bookmarkEnd w:id="143"/>
    </w:p>
    <w:bookmarkEnd w:id="144"/>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0"/>
    <w:bookmarkEnd w:id="141"/>
    <w:bookmarkEnd w:id="142"/>
    <w:p w14:paraId="168157BA">
      <w:pPr>
        <w:pStyle w:val="5"/>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0"/>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1"/>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10"/>
        <w:rPr>
          <w:highlight w:val="none"/>
        </w:rPr>
      </w:pPr>
    </w:p>
    <w:sectPr>
      <w:pgSz w:w="11906" w:h="16838"/>
      <w:pgMar w:top="1417" w:right="1247" w:bottom="1417" w:left="1417" w:header="850" w:footer="992" w:gutter="0"/>
      <w:pgNumType w:fmt="decimal"/>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60288;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办公用房数字化服务项目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C111D952"/>
    <w:multiLevelType w:val="singleLevel"/>
    <w:tmpl w:val="C111D952"/>
    <w:lvl w:ilvl="0" w:tentative="0">
      <w:start w:val="1"/>
      <w:numFmt w:val="decimal"/>
      <w:lvlText w:val="%1)"/>
      <w:lvlJc w:val="left"/>
      <w:pPr>
        <w:ind w:left="425" w:hanging="425"/>
      </w:pPr>
      <w:rPr>
        <w:rFonts w:hint="default"/>
      </w:rPr>
    </w:lvl>
  </w:abstractNum>
  <w:abstractNum w:abstractNumId="2">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3">
    <w:nsid w:val="3FC0ED61"/>
    <w:multiLevelType w:val="singleLevel"/>
    <w:tmpl w:val="3FC0ED61"/>
    <w:lvl w:ilvl="0" w:tentative="0">
      <w:start w:val="4"/>
      <w:numFmt w:val="chineseCounting"/>
      <w:suff w:val="space"/>
      <w:lvlText w:val="第%1章"/>
      <w:lvlJc w:val="left"/>
      <w:rPr>
        <w:rFonts w:hint="eastAsia"/>
      </w:rPr>
    </w:lvl>
  </w:abstractNum>
  <w:abstractNum w:abstractNumId="4">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B46F2C"/>
    <w:rsid w:val="01D839BD"/>
    <w:rsid w:val="020143AE"/>
    <w:rsid w:val="02066D67"/>
    <w:rsid w:val="022272EA"/>
    <w:rsid w:val="023A5678"/>
    <w:rsid w:val="02564B51"/>
    <w:rsid w:val="029001BF"/>
    <w:rsid w:val="029A778E"/>
    <w:rsid w:val="02AB73DD"/>
    <w:rsid w:val="02BD5294"/>
    <w:rsid w:val="02C66169"/>
    <w:rsid w:val="02E21323"/>
    <w:rsid w:val="02ED480B"/>
    <w:rsid w:val="03654D86"/>
    <w:rsid w:val="036653F8"/>
    <w:rsid w:val="03795BF7"/>
    <w:rsid w:val="039E22F4"/>
    <w:rsid w:val="03D02787"/>
    <w:rsid w:val="03D94482"/>
    <w:rsid w:val="041777C9"/>
    <w:rsid w:val="042E0790"/>
    <w:rsid w:val="043C240F"/>
    <w:rsid w:val="047F723D"/>
    <w:rsid w:val="04C73256"/>
    <w:rsid w:val="051E6132"/>
    <w:rsid w:val="05490A3B"/>
    <w:rsid w:val="056D58A2"/>
    <w:rsid w:val="0580326D"/>
    <w:rsid w:val="05932C6E"/>
    <w:rsid w:val="05B6269C"/>
    <w:rsid w:val="05C749CA"/>
    <w:rsid w:val="05D1012B"/>
    <w:rsid w:val="06583168"/>
    <w:rsid w:val="065F1A39"/>
    <w:rsid w:val="067007A0"/>
    <w:rsid w:val="06B878D4"/>
    <w:rsid w:val="071B5892"/>
    <w:rsid w:val="071F5BCC"/>
    <w:rsid w:val="078E032C"/>
    <w:rsid w:val="07A237BB"/>
    <w:rsid w:val="081E0B1B"/>
    <w:rsid w:val="085207C5"/>
    <w:rsid w:val="087C7181"/>
    <w:rsid w:val="08D315F8"/>
    <w:rsid w:val="09090A14"/>
    <w:rsid w:val="093322E7"/>
    <w:rsid w:val="09533E4E"/>
    <w:rsid w:val="099451F6"/>
    <w:rsid w:val="09AD10F2"/>
    <w:rsid w:val="09B32C87"/>
    <w:rsid w:val="09D70F07"/>
    <w:rsid w:val="09D724F3"/>
    <w:rsid w:val="09E01ABF"/>
    <w:rsid w:val="09E02E6F"/>
    <w:rsid w:val="0A03249E"/>
    <w:rsid w:val="0A03574F"/>
    <w:rsid w:val="0A0B19A8"/>
    <w:rsid w:val="0A252635"/>
    <w:rsid w:val="0A2637BC"/>
    <w:rsid w:val="0A4B74A5"/>
    <w:rsid w:val="0A533A95"/>
    <w:rsid w:val="0A825B11"/>
    <w:rsid w:val="0AC668E4"/>
    <w:rsid w:val="0ACD110A"/>
    <w:rsid w:val="0ACD76E7"/>
    <w:rsid w:val="0ADA51CD"/>
    <w:rsid w:val="0B370A3C"/>
    <w:rsid w:val="0B38232C"/>
    <w:rsid w:val="0B6E5C7D"/>
    <w:rsid w:val="0B834620"/>
    <w:rsid w:val="0B9D7606"/>
    <w:rsid w:val="0BA457DB"/>
    <w:rsid w:val="0BB137ED"/>
    <w:rsid w:val="0BEB09D7"/>
    <w:rsid w:val="0BF67405"/>
    <w:rsid w:val="0C443F60"/>
    <w:rsid w:val="0C89599F"/>
    <w:rsid w:val="0CC32696"/>
    <w:rsid w:val="0CDB5F8D"/>
    <w:rsid w:val="0CF63E15"/>
    <w:rsid w:val="0D1F2030"/>
    <w:rsid w:val="0D1F3617"/>
    <w:rsid w:val="0D241DEA"/>
    <w:rsid w:val="0D780CCE"/>
    <w:rsid w:val="0D7830CD"/>
    <w:rsid w:val="0DCA6AEA"/>
    <w:rsid w:val="0DD16D0D"/>
    <w:rsid w:val="0E551B69"/>
    <w:rsid w:val="0E872C2E"/>
    <w:rsid w:val="0E9C375D"/>
    <w:rsid w:val="0EA00BF8"/>
    <w:rsid w:val="0EC71F0D"/>
    <w:rsid w:val="0EC87A33"/>
    <w:rsid w:val="0F1B45CB"/>
    <w:rsid w:val="0F26717C"/>
    <w:rsid w:val="0F2C6307"/>
    <w:rsid w:val="0F2F2C29"/>
    <w:rsid w:val="0F6016B2"/>
    <w:rsid w:val="0FAE22A1"/>
    <w:rsid w:val="0FB15291"/>
    <w:rsid w:val="0FD87665"/>
    <w:rsid w:val="0FF94DD3"/>
    <w:rsid w:val="10025A51"/>
    <w:rsid w:val="10755AE8"/>
    <w:rsid w:val="10862995"/>
    <w:rsid w:val="108A4862"/>
    <w:rsid w:val="10CB4116"/>
    <w:rsid w:val="10D4477D"/>
    <w:rsid w:val="10F437D3"/>
    <w:rsid w:val="111E7A3F"/>
    <w:rsid w:val="113B5F52"/>
    <w:rsid w:val="11612DE7"/>
    <w:rsid w:val="11622F12"/>
    <w:rsid w:val="117D028D"/>
    <w:rsid w:val="117F6C7E"/>
    <w:rsid w:val="11864CAE"/>
    <w:rsid w:val="11BF02AB"/>
    <w:rsid w:val="11C957E2"/>
    <w:rsid w:val="11DA55CB"/>
    <w:rsid w:val="120D40DA"/>
    <w:rsid w:val="126F44AE"/>
    <w:rsid w:val="12AF63E3"/>
    <w:rsid w:val="12BD2907"/>
    <w:rsid w:val="12C119AD"/>
    <w:rsid w:val="12D363A6"/>
    <w:rsid w:val="12EB02B2"/>
    <w:rsid w:val="12F743D0"/>
    <w:rsid w:val="13184B04"/>
    <w:rsid w:val="131F2DF3"/>
    <w:rsid w:val="136B4277"/>
    <w:rsid w:val="13927931"/>
    <w:rsid w:val="13AE7BCD"/>
    <w:rsid w:val="13FA05B1"/>
    <w:rsid w:val="1412184F"/>
    <w:rsid w:val="144E7D68"/>
    <w:rsid w:val="146B6DB5"/>
    <w:rsid w:val="14814BAE"/>
    <w:rsid w:val="14AE29C6"/>
    <w:rsid w:val="14AE4E9E"/>
    <w:rsid w:val="14BC12D4"/>
    <w:rsid w:val="14D55B55"/>
    <w:rsid w:val="14E2746C"/>
    <w:rsid w:val="15364DB8"/>
    <w:rsid w:val="155213EE"/>
    <w:rsid w:val="1557566D"/>
    <w:rsid w:val="1570612F"/>
    <w:rsid w:val="15772301"/>
    <w:rsid w:val="15C24C1E"/>
    <w:rsid w:val="15C37496"/>
    <w:rsid w:val="15E61EE7"/>
    <w:rsid w:val="162D7A28"/>
    <w:rsid w:val="168D57EA"/>
    <w:rsid w:val="168F50FB"/>
    <w:rsid w:val="16C04AD8"/>
    <w:rsid w:val="17031836"/>
    <w:rsid w:val="170E3A0C"/>
    <w:rsid w:val="172059C3"/>
    <w:rsid w:val="173575C8"/>
    <w:rsid w:val="177B5642"/>
    <w:rsid w:val="17B43FAD"/>
    <w:rsid w:val="17B67E79"/>
    <w:rsid w:val="17D172BB"/>
    <w:rsid w:val="17E36735"/>
    <w:rsid w:val="17EB056B"/>
    <w:rsid w:val="17FF522B"/>
    <w:rsid w:val="180D4FC6"/>
    <w:rsid w:val="18237858"/>
    <w:rsid w:val="18573033"/>
    <w:rsid w:val="185D2675"/>
    <w:rsid w:val="18630674"/>
    <w:rsid w:val="18A94B85"/>
    <w:rsid w:val="18AB05AC"/>
    <w:rsid w:val="18F37F21"/>
    <w:rsid w:val="19035052"/>
    <w:rsid w:val="195B3A93"/>
    <w:rsid w:val="195B4159"/>
    <w:rsid w:val="198F76FC"/>
    <w:rsid w:val="19995302"/>
    <w:rsid w:val="19A93B5C"/>
    <w:rsid w:val="1A2357DA"/>
    <w:rsid w:val="1B164EE1"/>
    <w:rsid w:val="1B1F6520"/>
    <w:rsid w:val="1B387CCD"/>
    <w:rsid w:val="1B457073"/>
    <w:rsid w:val="1B6A61A2"/>
    <w:rsid w:val="1B882E13"/>
    <w:rsid w:val="1BA64C58"/>
    <w:rsid w:val="1BAA7C5C"/>
    <w:rsid w:val="1BCA1590"/>
    <w:rsid w:val="1BD25A4D"/>
    <w:rsid w:val="1BDF5DD7"/>
    <w:rsid w:val="1C1E3E82"/>
    <w:rsid w:val="1C676ADD"/>
    <w:rsid w:val="1C956CC3"/>
    <w:rsid w:val="1CA67C4D"/>
    <w:rsid w:val="1CA85E46"/>
    <w:rsid w:val="1CB752FE"/>
    <w:rsid w:val="1CC30EB7"/>
    <w:rsid w:val="1CDE025F"/>
    <w:rsid w:val="1D0272F8"/>
    <w:rsid w:val="1D505A7C"/>
    <w:rsid w:val="1DC1156E"/>
    <w:rsid w:val="1DD4626F"/>
    <w:rsid w:val="1DF519D4"/>
    <w:rsid w:val="1E226931"/>
    <w:rsid w:val="1EB773B0"/>
    <w:rsid w:val="1ED33FFC"/>
    <w:rsid w:val="1EEB6A49"/>
    <w:rsid w:val="1EFF6B48"/>
    <w:rsid w:val="1F025B67"/>
    <w:rsid w:val="1F426D78"/>
    <w:rsid w:val="1F975C85"/>
    <w:rsid w:val="1FB12E34"/>
    <w:rsid w:val="1FFA4EF4"/>
    <w:rsid w:val="203748DC"/>
    <w:rsid w:val="203E1CA9"/>
    <w:rsid w:val="204C2851"/>
    <w:rsid w:val="205310CF"/>
    <w:rsid w:val="205552D0"/>
    <w:rsid w:val="205D5850"/>
    <w:rsid w:val="209566F8"/>
    <w:rsid w:val="21204F2B"/>
    <w:rsid w:val="21A66ACF"/>
    <w:rsid w:val="22230513"/>
    <w:rsid w:val="22743D02"/>
    <w:rsid w:val="227A2221"/>
    <w:rsid w:val="22934AD2"/>
    <w:rsid w:val="22AF0D33"/>
    <w:rsid w:val="22C30F5F"/>
    <w:rsid w:val="22CD6561"/>
    <w:rsid w:val="232273F3"/>
    <w:rsid w:val="23637330"/>
    <w:rsid w:val="23701F96"/>
    <w:rsid w:val="23B33533"/>
    <w:rsid w:val="23D0369C"/>
    <w:rsid w:val="245711E5"/>
    <w:rsid w:val="24853FA4"/>
    <w:rsid w:val="24960543"/>
    <w:rsid w:val="24EB0296"/>
    <w:rsid w:val="24F429D4"/>
    <w:rsid w:val="255268D8"/>
    <w:rsid w:val="258A0126"/>
    <w:rsid w:val="25A10C0E"/>
    <w:rsid w:val="25CB59E7"/>
    <w:rsid w:val="25D6349D"/>
    <w:rsid w:val="260B3AF2"/>
    <w:rsid w:val="2684068A"/>
    <w:rsid w:val="269310DE"/>
    <w:rsid w:val="26C51C72"/>
    <w:rsid w:val="26C824CB"/>
    <w:rsid w:val="26DF6C4D"/>
    <w:rsid w:val="26F56530"/>
    <w:rsid w:val="27117D71"/>
    <w:rsid w:val="272351DA"/>
    <w:rsid w:val="274D367D"/>
    <w:rsid w:val="279938C3"/>
    <w:rsid w:val="27BB660B"/>
    <w:rsid w:val="27CA50AA"/>
    <w:rsid w:val="27D41D6F"/>
    <w:rsid w:val="27EC5193"/>
    <w:rsid w:val="28192A9D"/>
    <w:rsid w:val="281F00BE"/>
    <w:rsid w:val="289A25AC"/>
    <w:rsid w:val="289B4D50"/>
    <w:rsid w:val="289F69A7"/>
    <w:rsid w:val="28BA1342"/>
    <w:rsid w:val="28C373E1"/>
    <w:rsid w:val="28CB3EC1"/>
    <w:rsid w:val="28DB6270"/>
    <w:rsid w:val="29090E5E"/>
    <w:rsid w:val="291D0C4F"/>
    <w:rsid w:val="2926733A"/>
    <w:rsid w:val="29490736"/>
    <w:rsid w:val="2959623E"/>
    <w:rsid w:val="29743B7F"/>
    <w:rsid w:val="29CD5E3B"/>
    <w:rsid w:val="29D137E8"/>
    <w:rsid w:val="29FE7327"/>
    <w:rsid w:val="2A261D85"/>
    <w:rsid w:val="2A3B0D29"/>
    <w:rsid w:val="2ABE6686"/>
    <w:rsid w:val="2AE94167"/>
    <w:rsid w:val="2B6155BE"/>
    <w:rsid w:val="2BB26467"/>
    <w:rsid w:val="2BC34250"/>
    <w:rsid w:val="2BC370D8"/>
    <w:rsid w:val="2BC824AB"/>
    <w:rsid w:val="2BFC4078"/>
    <w:rsid w:val="2C4E1DAD"/>
    <w:rsid w:val="2CC613CB"/>
    <w:rsid w:val="2D032849"/>
    <w:rsid w:val="2D0F2711"/>
    <w:rsid w:val="2D2875D8"/>
    <w:rsid w:val="2D7175D5"/>
    <w:rsid w:val="2D91543B"/>
    <w:rsid w:val="2DB81892"/>
    <w:rsid w:val="2DB93127"/>
    <w:rsid w:val="2DC136D1"/>
    <w:rsid w:val="2DDE08F0"/>
    <w:rsid w:val="2DDF4554"/>
    <w:rsid w:val="2DEF23D6"/>
    <w:rsid w:val="2DFF5C18"/>
    <w:rsid w:val="2E3E638D"/>
    <w:rsid w:val="2E4B3FA8"/>
    <w:rsid w:val="2E6F6F6B"/>
    <w:rsid w:val="2E74088C"/>
    <w:rsid w:val="2E766669"/>
    <w:rsid w:val="2E8C4602"/>
    <w:rsid w:val="2EB75DE0"/>
    <w:rsid w:val="2EC00056"/>
    <w:rsid w:val="2F05294B"/>
    <w:rsid w:val="2F126410"/>
    <w:rsid w:val="2F180942"/>
    <w:rsid w:val="2FA15DE1"/>
    <w:rsid w:val="2FB90FDC"/>
    <w:rsid w:val="2FB944D3"/>
    <w:rsid w:val="2FDEE2C7"/>
    <w:rsid w:val="300B1767"/>
    <w:rsid w:val="303A2D32"/>
    <w:rsid w:val="306A72EA"/>
    <w:rsid w:val="308C7C42"/>
    <w:rsid w:val="309061AB"/>
    <w:rsid w:val="309D7E39"/>
    <w:rsid w:val="30C87C0A"/>
    <w:rsid w:val="30EE4C7F"/>
    <w:rsid w:val="30FB252D"/>
    <w:rsid w:val="310C3CE5"/>
    <w:rsid w:val="318E65F9"/>
    <w:rsid w:val="31B3122F"/>
    <w:rsid w:val="31D84DD7"/>
    <w:rsid w:val="31E43039"/>
    <w:rsid w:val="31F5620E"/>
    <w:rsid w:val="320F30B2"/>
    <w:rsid w:val="32454A35"/>
    <w:rsid w:val="32B9192E"/>
    <w:rsid w:val="32C2710D"/>
    <w:rsid w:val="32F61C22"/>
    <w:rsid w:val="33347A0A"/>
    <w:rsid w:val="33400A6D"/>
    <w:rsid w:val="334360CE"/>
    <w:rsid w:val="335224CC"/>
    <w:rsid w:val="335A1288"/>
    <w:rsid w:val="3390106E"/>
    <w:rsid w:val="33A239EE"/>
    <w:rsid w:val="33B5389C"/>
    <w:rsid w:val="343B6932"/>
    <w:rsid w:val="344D7405"/>
    <w:rsid w:val="34A233FA"/>
    <w:rsid w:val="34CD0436"/>
    <w:rsid w:val="352F0DCA"/>
    <w:rsid w:val="354C1821"/>
    <w:rsid w:val="35515ACE"/>
    <w:rsid w:val="35531DB4"/>
    <w:rsid w:val="355BB90B"/>
    <w:rsid w:val="35747DC3"/>
    <w:rsid w:val="35A6254C"/>
    <w:rsid w:val="35E714A8"/>
    <w:rsid w:val="360F461D"/>
    <w:rsid w:val="36263B37"/>
    <w:rsid w:val="3663227C"/>
    <w:rsid w:val="366D6646"/>
    <w:rsid w:val="37054AD1"/>
    <w:rsid w:val="37783A7D"/>
    <w:rsid w:val="377D0476"/>
    <w:rsid w:val="37B835C4"/>
    <w:rsid w:val="37C337CD"/>
    <w:rsid w:val="37E8067A"/>
    <w:rsid w:val="37EB4243"/>
    <w:rsid w:val="38083C0E"/>
    <w:rsid w:val="38621C2D"/>
    <w:rsid w:val="386237C7"/>
    <w:rsid w:val="387845C4"/>
    <w:rsid w:val="388614C8"/>
    <w:rsid w:val="38A67AE0"/>
    <w:rsid w:val="38CC7771"/>
    <w:rsid w:val="38D51E80"/>
    <w:rsid w:val="38E16B12"/>
    <w:rsid w:val="390A6033"/>
    <w:rsid w:val="394813E6"/>
    <w:rsid w:val="397B0335"/>
    <w:rsid w:val="39CB4D7F"/>
    <w:rsid w:val="3A29074D"/>
    <w:rsid w:val="3A451DB4"/>
    <w:rsid w:val="3A5C05D3"/>
    <w:rsid w:val="3AA21D55"/>
    <w:rsid w:val="3ABE69A4"/>
    <w:rsid w:val="3AC04519"/>
    <w:rsid w:val="3B614FD8"/>
    <w:rsid w:val="3BAE6679"/>
    <w:rsid w:val="3C071709"/>
    <w:rsid w:val="3C395EF0"/>
    <w:rsid w:val="3C53303F"/>
    <w:rsid w:val="3C6A6BB7"/>
    <w:rsid w:val="3C83772A"/>
    <w:rsid w:val="3C9C5ED7"/>
    <w:rsid w:val="3CB32841"/>
    <w:rsid w:val="3D0C3234"/>
    <w:rsid w:val="3D0D40C6"/>
    <w:rsid w:val="3D2456AE"/>
    <w:rsid w:val="3D3F727B"/>
    <w:rsid w:val="3D447823"/>
    <w:rsid w:val="3D4602B7"/>
    <w:rsid w:val="3D626168"/>
    <w:rsid w:val="3D850719"/>
    <w:rsid w:val="3D876CA3"/>
    <w:rsid w:val="3DC7164A"/>
    <w:rsid w:val="3E1675C3"/>
    <w:rsid w:val="3E7C15E5"/>
    <w:rsid w:val="3E841959"/>
    <w:rsid w:val="3E8B4D5B"/>
    <w:rsid w:val="3E8C2F03"/>
    <w:rsid w:val="3E9042A5"/>
    <w:rsid w:val="3EBE53BD"/>
    <w:rsid w:val="3ECA0ADA"/>
    <w:rsid w:val="3F172570"/>
    <w:rsid w:val="3F541D83"/>
    <w:rsid w:val="3F6A12B4"/>
    <w:rsid w:val="3F713809"/>
    <w:rsid w:val="3F73768E"/>
    <w:rsid w:val="3F8F587F"/>
    <w:rsid w:val="3F927149"/>
    <w:rsid w:val="3FFA3DB6"/>
    <w:rsid w:val="402976EF"/>
    <w:rsid w:val="40324859"/>
    <w:rsid w:val="404E1296"/>
    <w:rsid w:val="40A02CD3"/>
    <w:rsid w:val="40A5751C"/>
    <w:rsid w:val="40C727F3"/>
    <w:rsid w:val="40E67048"/>
    <w:rsid w:val="411E57CA"/>
    <w:rsid w:val="41237074"/>
    <w:rsid w:val="41605109"/>
    <w:rsid w:val="416A07BB"/>
    <w:rsid w:val="41807C8E"/>
    <w:rsid w:val="41972763"/>
    <w:rsid w:val="41A31E73"/>
    <w:rsid w:val="41BE41FA"/>
    <w:rsid w:val="41CE5A5E"/>
    <w:rsid w:val="42153AB9"/>
    <w:rsid w:val="42214965"/>
    <w:rsid w:val="423E3E73"/>
    <w:rsid w:val="425F0891"/>
    <w:rsid w:val="42795A04"/>
    <w:rsid w:val="42BC3DFA"/>
    <w:rsid w:val="42EB0EE8"/>
    <w:rsid w:val="430E6F58"/>
    <w:rsid w:val="4317458C"/>
    <w:rsid w:val="43374E41"/>
    <w:rsid w:val="4354266D"/>
    <w:rsid w:val="438235F5"/>
    <w:rsid w:val="4395631F"/>
    <w:rsid w:val="43AA1D1C"/>
    <w:rsid w:val="43FE4C26"/>
    <w:rsid w:val="44295E33"/>
    <w:rsid w:val="443B271B"/>
    <w:rsid w:val="44610BB9"/>
    <w:rsid w:val="447A4D50"/>
    <w:rsid w:val="4492209A"/>
    <w:rsid w:val="44922F79"/>
    <w:rsid w:val="44943B80"/>
    <w:rsid w:val="44D60EA3"/>
    <w:rsid w:val="450E3C7D"/>
    <w:rsid w:val="451156D2"/>
    <w:rsid w:val="4545387C"/>
    <w:rsid w:val="454D4B6C"/>
    <w:rsid w:val="456B25C8"/>
    <w:rsid w:val="456D199A"/>
    <w:rsid w:val="457D4E2C"/>
    <w:rsid w:val="458C5803"/>
    <w:rsid w:val="45E8387E"/>
    <w:rsid w:val="46421D06"/>
    <w:rsid w:val="466A1778"/>
    <w:rsid w:val="46882DF4"/>
    <w:rsid w:val="46896C28"/>
    <w:rsid w:val="46C45F14"/>
    <w:rsid w:val="46F1491E"/>
    <w:rsid w:val="473F6AAA"/>
    <w:rsid w:val="47486CB4"/>
    <w:rsid w:val="47982EBF"/>
    <w:rsid w:val="479B32AB"/>
    <w:rsid w:val="479B74B7"/>
    <w:rsid w:val="47D53006"/>
    <w:rsid w:val="47FD283F"/>
    <w:rsid w:val="48036570"/>
    <w:rsid w:val="485340A8"/>
    <w:rsid w:val="488E74E0"/>
    <w:rsid w:val="489D0500"/>
    <w:rsid w:val="48BE0390"/>
    <w:rsid w:val="490C3F55"/>
    <w:rsid w:val="490C74F2"/>
    <w:rsid w:val="49252778"/>
    <w:rsid w:val="493556E9"/>
    <w:rsid w:val="49513C1C"/>
    <w:rsid w:val="4951766D"/>
    <w:rsid w:val="495D022C"/>
    <w:rsid w:val="496136BD"/>
    <w:rsid w:val="49A14B2D"/>
    <w:rsid w:val="49CA2650"/>
    <w:rsid w:val="49CE0084"/>
    <w:rsid w:val="49FB3D32"/>
    <w:rsid w:val="4A5072FE"/>
    <w:rsid w:val="4A51301D"/>
    <w:rsid w:val="4A641D7C"/>
    <w:rsid w:val="4AE20B8A"/>
    <w:rsid w:val="4AEF0CB8"/>
    <w:rsid w:val="4B0227AD"/>
    <w:rsid w:val="4B0C5871"/>
    <w:rsid w:val="4B28767C"/>
    <w:rsid w:val="4B3319A9"/>
    <w:rsid w:val="4B660F61"/>
    <w:rsid w:val="4B9A4BBC"/>
    <w:rsid w:val="4BAB2A37"/>
    <w:rsid w:val="4BE72CF3"/>
    <w:rsid w:val="4BF91A12"/>
    <w:rsid w:val="4BFF47E7"/>
    <w:rsid w:val="4C1A0369"/>
    <w:rsid w:val="4C2B3187"/>
    <w:rsid w:val="4C622F61"/>
    <w:rsid w:val="4CB832B6"/>
    <w:rsid w:val="4CCD784F"/>
    <w:rsid w:val="4CF52198"/>
    <w:rsid w:val="4D00037B"/>
    <w:rsid w:val="4D073D43"/>
    <w:rsid w:val="4D194BB5"/>
    <w:rsid w:val="4D1C5778"/>
    <w:rsid w:val="4D284D2F"/>
    <w:rsid w:val="4D6421A1"/>
    <w:rsid w:val="4DC67576"/>
    <w:rsid w:val="4DE73FAF"/>
    <w:rsid w:val="4DF96402"/>
    <w:rsid w:val="4E755319"/>
    <w:rsid w:val="4E8F4547"/>
    <w:rsid w:val="4EA019FE"/>
    <w:rsid w:val="4EB629ED"/>
    <w:rsid w:val="4EDB5B27"/>
    <w:rsid w:val="4EE14C8C"/>
    <w:rsid w:val="4EE25A25"/>
    <w:rsid w:val="4EEA1FF1"/>
    <w:rsid w:val="4EF911E0"/>
    <w:rsid w:val="4F527C52"/>
    <w:rsid w:val="4F5675EC"/>
    <w:rsid w:val="4F5C39D0"/>
    <w:rsid w:val="4F631A95"/>
    <w:rsid w:val="4F9CB9D4"/>
    <w:rsid w:val="4FBF309A"/>
    <w:rsid w:val="4FD57B2B"/>
    <w:rsid w:val="4FFD5555"/>
    <w:rsid w:val="50063693"/>
    <w:rsid w:val="501B25C1"/>
    <w:rsid w:val="50282405"/>
    <w:rsid w:val="50605A80"/>
    <w:rsid w:val="50795E03"/>
    <w:rsid w:val="507F1834"/>
    <w:rsid w:val="50A73E77"/>
    <w:rsid w:val="51175266"/>
    <w:rsid w:val="512C7ED2"/>
    <w:rsid w:val="51384EF6"/>
    <w:rsid w:val="51447EB8"/>
    <w:rsid w:val="515B45AE"/>
    <w:rsid w:val="515E041A"/>
    <w:rsid w:val="51656440"/>
    <w:rsid w:val="51AE6B08"/>
    <w:rsid w:val="51BB5A4E"/>
    <w:rsid w:val="51E56C3A"/>
    <w:rsid w:val="51E74F62"/>
    <w:rsid w:val="5217598C"/>
    <w:rsid w:val="52477FB9"/>
    <w:rsid w:val="5270749E"/>
    <w:rsid w:val="52813798"/>
    <w:rsid w:val="52E7213A"/>
    <w:rsid w:val="53332CCF"/>
    <w:rsid w:val="533C7C39"/>
    <w:rsid w:val="53421DE6"/>
    <w:rsid w:val="53453E2E"/>
    <w:rsid w:val="53512AFE"/>
    <w:rsid w:val="53A771E4"/>
    <w:rsid w:val="53E0645B"/>
    <w:rsid w:val="53FB5528"/>
    <w:rsid w:val="540D26EC"/>
    <w:rsid w:val="54302D35"/>
    <w:rsid w:val="54437915"/>
    <w:rsid w:val="54627EC3"/>
    <w:rsid w:val="54705100"/>
    <w:rsid w:val="548633EE"/>
    <w:rsid w:val="548F06A5"/>
    <w:rsid w:val="54A174AE"/>
    <w:rsid w:val="54D2234C"/>
    <w:rsid w:val="54E16E62"/>
    <w:rsid w:val="54F26070"/>
    <w:rsid w:val="551306D9"/>
    <w:rsid w:val="5579BBE4"/>
    <w:rsid w:val="55A0224B"/>
    <w:rsid w:val="55CF37E9"/>
    <w:rsid w:val="55D24547"/>
    <w:rsid w:val="55D830B5"/>
    <w:rsid w:val="55E711DA"/>
    <w:rsid w:val="562C5FD5"/>
    <w:rsid w:val="564A004F"/>
    <w:rsid w:val="566221A5"/>
    <w:rsid w:val="567930DF"/>
    <w:rsid w:val="567E55E0"/>
    <w:rsid w:val="5682378C"/>
    <w:rsid w:val="56923BF1"/>
    <w:rsid w:val="56B339FB"/>
    <w:rsid w:val="56D31D63"/>
    <w:rsid w:val="56F44ADB"/>
    <w:rsid w:val="56F77BF7"/>
    <w:rsid w:val="56FB3045"/>
    <w:rsid w:val="570C40F4"/>
    <w:rsid w:val="57371AC5"/>
    <w:rsid w:val="573D7879"/>
    <w:rsid w:val="57523740"/>
    <w:rsid w:val="57662601"/>
    <w:rsid w:val="577974AF"/>
    <w:rsid w:val="577D524E"/>
    <w:rsid w:val="578C63DF"/>
    <w:rsid w:val="57C110E0"/>
    <w:rsid w:val="580E71E5"/>
    <w:rsid w:val="581A28CF"/>
    <w:rsid w:val="58514C4F"/>
    <w:rsid w:val="585A10A4"/>
    <w:rsid w:val="589876D9"/>
    <w:rsid w:val="58B67DDB"/>
    <w:rsid w:val="58D204C9"/>
    <w:rsid w:val="58DF00D7"/>
    <w:rsid w:val="58E41529"/>
    <w:rsid w:val="58E558F0"/>
    <w:rsid w:val="59161131"/>
    <w:rsid w:val="59B13FFB"/>
    <w:rsid w:val="59CC4189"/>
    <w:rsid w:val="59D56AC7"/>
    <w:rsid w:val="59FA5928"/>
    <w:rsid w:val="5A0B5DB7"/>
    <w:rsid w:val="5A1A42FD"/>
    <w:rsid w:val="5A617614"/>
    <w:rsid w:val="5A943ECD"/>
    <w:rsid w:val="5AB8771B"/>
    <w:rsid w:val="5B160A43"/>
    <w:rsid w:val="5B2A24B5"/>
    <w:rsid w:val="5B48305A"/>
    <w:rsid w:val="5B5A57CC"/>
    <w:rsid w:val="5B913620"/>
    <w:rsid w:val="5BCA3A6F"/>
    <w:rsid w:val="5BF5778D"/>
    <w:rsid w:val="5BFF784C"/>
    <w:rsid w:val="5BFFFAEC"/>
    <w:rsid w:val="5C0B6550"/>
    <w:rsid w:val="5CC146B8"/>
    <w:rsid w:val="5CF90EAB"/>
    <w:rsid w:val="5D234497"/>
    <w:rsid w:val="5D596CE2"/>
    <w:rsid w:val="5D9958D6"/>
    <w:rsid w:val="5D9A4EFD"/>
    <w:rsid w:val="5DA71300"/>
    <w:rsid w:val="5DAE23A7"/>
    <w:rsid w:val="5DC75BB3"/>
    <w:rsid w:val="5DD35D36"/>
    <w:rsid w:val="5E2C2993"/>
    <w:rsid w:val="5E59187D"/>
    <w:rsid w:val="5E683F93"/>
    <w:rsid w:val="5E7D126D"/>
    <w:rsid w:val="5E7F1DF2"/>
    <w:rsid w:val="5E885D0C"/>
    <w:rsid w:val="5EB3691D"/>
    <w:rsid w:val="5EFF1CDE"/>
    <w:rsid w:val="5F4A5D67"/>
    <w:rsid w:val="5F6F5E8B"/>
    <w:rsid w:val="5F7D4C95"/>
    <w:rsid w:val="5F8748DA"/>
    <w:rsid w:val="5F92022D"/>
    <w:rsid w:val="5FD52C27"/>
    <w:rsid w:val="60096A5F"/>
    <w:rsid w:val="60201E9B"/>
    <w:rsid w:val="602867D3"/>
    <w:rsid w:val="606A6585"/>
    <w:rsid w:val="60820545"/>
    <w:rsid w:val="608545AF"/>
    <w:rsid w:val="60C56AE9"/>
    <w:rsid w:val="60CA1CA6"/>
    <w:rsid w:val="60D274A6"/>
    <w:rsid w:val="60EC10DB"/>
    <w:rsid w:val="60F31CBA"/>
    <w:rsid w:val="610D33AD"/>
    <w:rsid w:val="612D083D"/>
    <w:rsid w:val="615733DC"/>
    <w:rsid w:val="61735D7E"/>
    <w:rsid w:val="61774699"/>
    <w:rsid w:val="61963FB3"/>
    <w:rsid w:val="61BF1193"/>
    <w:rsid w:val="620054DB"/>
    <w:rsid w:val="620A0F96"/>
    <w:rsid w:val="620B398A"/>
    <w:rsid w:val="62127AB7"/>
    <w:rsid w:val="623854C9"/>
    <w:rsid w:val="628337CD"/>
    <w:rsid w:val="628A2B23"/>
    <w:rsid w:val="62E41FCE"/>
    <w:rsid w:val="631D04A8"/>
    <w:rsid w:val="632366B5"/>
    <w:rsid w:val="633E139F"/>
    <w:rsid w:val="63C9234B"/>
    <w:rsid w:val="63DC5FEA"/>
    <w:rsid w:val="642D091A"/>
    <w:rsid w:val="64403B07"/>
    <w:rsid w:val="644D10C3"/>
    <w:rsid w:val="64943DD8"/>
    <w:rsid w:val="64B85521"/>
    <w:rsid w:val="64DE5FBC"/>
    <w:rsid w:val="6528077E"/>
    <w:rsid w:val="656C1129"/>
    <w:rsid w:val="658C7807"/>
    <w:rsid w:val="6598349C"/>
    <w:rsid w:val="65FF3EB1"/>
    <w:rsid w:val="66437A17"/>
    <w:rsid w:val="66524779"/>
    <w:rsid w:val="667A0688"/>
    <w:rsid w:val="66AE44DE"/>
    <w:rsid w:val="66E551E9"/>
    <w:rsid w:val="66F207E8"/>
    <w:rsid w:val="67035DD6"/>
    <w:rsid w:val="676E167A"/>
    <w:rsid w:val="67733446"/>
    <w:rsid w:val="67A3598E"/>
    <w:rsid w:val="67BB6955"/>
    <w:rsid w:val="67C30A8C"/>
    <w:rsid w:val="67D9E9C4"/>
    <w:rsid w:val="67DC5256"/>
    <w:rsid w:val="67DDD805"/>
    <w:rsid w:val="67F93FF4"/>
    <w:rsid w:val="681F3672"/>
    <w:rsid w:val="6823620F"/>
    <w:rsid w:val="6825519A"/>
    <w:rsid w:val="6871773A"/>
    <w:rsid w:val="68AB7F1E"/>
    <w:rsid w:val="68C22203"/>
    <w:rsid w:val="68F20A7E"/>
    <w:rsid w:val="6906520C"/>
    <w:rsid w:val="69690D6B"/>
    <w:rsid w:val="69934C07"/>
    <w:rsid w:val="69B06A65"/>
    <w:rsid w:val="6A042842"/>
    <w:rsid w:val="6A075959"/>
    <w:rsid w:val="6A230AF1"/>
    <w:rsid w:val="6A473329"/>
    <w:rsid w:val="6A4D41E9"/>
    <w:rsid w:val="6A935E99"/>
    <w:rsid w:val="6A9A1827"/>
    <w:rsid w:val="6AC360AA"/>
    <w:rsid w:val="6AC73A79"/>
    <w:rsid w:val="6B3D5262"/>
    <w:rsid w:val="6B992D08"/>
    <w:rsid w:val="6BCB1477"/>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9C243D"/>
    <w:rsid w:val="6DAC22A7"/>
    <w:rsid w:val="6DD0378F"/>
    <w:rsid w:val="6DEE0D89"/>
    <w:rsid w:val="6E194DA7"/>
    <w:rsid w:val="6E392E75"/>
    <w:rsid w:val="6E3C67F4"/>
    <w:rsid w:val="6E641B01"/>
    <w:rsid w:val="6E9A03A3"/>
    <w:rsid w:val="6EA3753C"/>
    <w:rsid w:val="6F0C4592"/>
    <w:rsid w:val="6F3B572B"/>
    <w:rsid w:val="6F3B6D06"/>
    <w:rsid w:val="6F8F17E5"/>
    <w:rsid w:val="6F995010"/>
    <w:rsid w:val="6FA41DD9"/>
    <w:rsid w:val="6FA86524"/>
    <w:rsid w:val="6FAF8AEC"/>
    <w:rsid w:val="6FCA1EA2"/>
    <w:rsid w:val="6FD87E72"/>
    <w:rsid w:val="70195400"/>
    <w:rsid w:val="70234204"/>
    <w:rsid w:val="70254DA3"/>
    <w:rsid w:val="70315FC9"/>
    <w:rsid w:val="70420F60"/>
    <w:rsid w:val="704C7282"/>
    <w:rsid w:val="70720FFE"/>
    <w:rsid w:val="707E4A26"/>
    <w:rsid w:val="70995A07"/>
    <w:rsid w:val="70A70E37"/>
    <w:rsid w:val="7193764F"/>
    <w:rsid w:val="71946559"/>
    <w:rsid w:val="71AB4D43"/>
    <w:rsid w:val="721A255F"/>
    <w:rsid w:val="723B0CC2"/>
    <w:rsid w:val="72573FCA"/>
    <w:rsid w:val="7259730A"/>
    <w:rsid w:val="72694F09"/>
    <w:rsid w:val="72A02886"/>
    <w:rsid w:val="72C34085"/>
    <w:rsid w:val="72C70CD2"/>
    <w:rsid w:val="72CF6D83"/>
    <w:rsid w:val="73681127"/>
    <w:rsid w:val="738E58F8"/>
    <w:rsid w:val="73AB3572"/>
    <w:rsid w:val="73B65723"/>
    <w:rsid w:val="73CD0678"/>
    <w:rsid w:val="74260A97"/>
    <w:rsid w:val="742F4C4C"/>
    <w:rsid w:val="74415A40"/>
    <w:rsid w:val="748702F8"/>
    <w:rsid w:val="748F53FE"/>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D47CF8"/>
    <w:rsid w:val="77F60A8C"/>
    <w:rsid w:val="77FD4885"/>
    <w:rsid w:val="785F7751"/>
    <w:rsid w:val="786619C4"/>
    <w:rsid w:val="786C3B6A"/>
    <w:rsid w:val="78736567"/>
    <w:rsid w:val="78C25DA2"/>
    <w:rsid w:val="78CB1AC5"/>
    <w:rsid w:val="78D43CB7"/>
    <w:rsid w:val="78E77689"/>
    <w:rsid w:val="78FF2EBC"/>
    <w:rsid w:val="790170AD"/>
    <w:rsid w:val="7906058B"/>
    <w:rsid w:val="79173FDF"/>
    <w:rsid w:val="792440B5"/>
    <w:rsid w:val="793D0A2C"/>
    <w:rsid w:val="79436DD9"/>
    <w:rsid w:val="79685363"/>
    <w:rsid w:val="79894B12"/>
    <w:rsid w:val="79AD92F8"/>
    <w:rsid w:val="79B06543"/>
    <w:rsid w:val="79BA1EB4"/>
    <w:rsid w:val="79BE0C60"/>
    <w:rsid w:val="79BF63C4"/>
    <w:rsid w:val="79F322CA"/>
    <w:rsid w:val="79FD0ED6"/>
    <w:rsid w:val="7A13111B"/>
    <w:rsid w:val="7A270205"/>
    <w:rsid w:val="7A9032B8"/>
    <w:rsid w:val="7ABB7E4F"/>
    <w:rsid w:val="7ABE4B2A"/>
    <w:rsid w:val="7AF43536"/>
    <w:rsid w:val="7AF818A5"/>
    <w:rsid w:val="7B116B88"/>
    <w:rsid w:val="7B1B73AF"/>
    <w:rsid w:val="7B1B74E2"/>
    <w:rsid w:val="7B21100A"/>
    <w:rsid w:val="7B501C76"/>
    <w:rsid w:val="7B6968FC"/>
    <w:rsid w:val="7BA022B3"/>
    <w:rsid w:val="7BA44225"/>
    <w:rsid w:val="7BBDD5BF"/>
    <w:rsid w:val="7BC97A9E"/>
    <w:rsid w:val="7BDF78F4"/>
    <w:rsid w:val="7BF769F1"/>
    <w:rsid w:val="7C33298E"/>
    <w:rsid w:val="7C6C666E"/>
    <w:rsid w:val="7CAE4AB6"/>
    <w:rsid w:val="7CC876FF"/>
    <w:rsid w:val="7CDD2CBE"/>
    <w:rsid w:val="7CF84D52"/>
    <w:rsid w:val="7D0C1497"/>
    <w:rsid w:val="7D466226"/>
    <w:rsid w:val="7D4F1BCF"/>
    <w:rsid w:val="7D871784"/>
    <w:rsid w:val="7D9964B3"/>
    <w:rsid w:val="7DD5318F"/>
    <w:rsid w:val="7DFD1245"/>
    <w:rsid w:val="7E272D5F"/>
    <w:rsid w:val="7E790A0F"/>
    <w:rsid w:val="7E7D104F"/>
    <w:rsid w:val="7EB44517"/>
    <w:rsid w:val="7ED437E6"/>
    <w:rsid w:val="7ED6644D"/>
    <w:rsid w:val="7EDCACBC"/>
    <w:rsid w:val="7EDFAA12"/>
    <w:rsid w:val="7EE4203A"/>
    <w:rsid w:val="7EFB3DBC"/>
    <w:rsid w:val="7EFF7BB0"/>
    <w:rsid w:val="7F036B11"/>
    <w:rsid w:val="7F2FF4AC"/>
    <w:rsid w:val="7F3D603B"/>
    <w:rsid w:val="7F9075B3"/>
    <w:rsid w:val="7FB727AA"/>
    <w:rsid w:val="7FBC5E0B"/>
    <w:rsid w:val="7FEE3921"/>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1"/>
    <w:qFormat/>
    <w:uiPriority w:val="0"/>
    <w:rPr>
      <w:color w:val="993300"/>
    </w:rPr>
  </w:style>
  <w:style w:type="paragraph" w:styleId="11">
    <w:name w:val="Date"/>
    <w:basedOn w:val="1"/>
    <w:next w:val="1"/>
    <w:qFormat/>
    <w:uiPriority w:val="0"/>
    <w:rPr>
      <w:rFonts w:ascii="宋体"/>
    </w:rPr>
  </w:style>
  <w:style w:type="paragraph" w:styleId="12">
    <w:name w:val="Body Text Indent"/>
    <w:basedOn w:val="1"/>
    <w:next w:val="13"/>
    <w:qFormat/>
    <w:uiPriority w:val="0"/>
    <w:pPr>
      <w:tabs>
        <w:tab w:val="left" w:pos="8640"/>
      </w:tabs>
      <w:ind w:firstLine="420"/>
    </w:pPr>
    <w:rPr>
      <w:rFonts w:ascii="楷体_GB2312" w:eastAsia="楷体_GB2312"/>
      <w:color w:val="000000"/>
      <w:sz w:val="28"/>
    </w:rPr>
  </w:style>
  <w:style w:type="paragraph" w:styleId="13">
    <w:name w:val="envelope return"/>
    <w:basedOn w:val="1"/>
    <w:unhideWhenUsed/>
    <w:qFormat/>
    <w:uiPriority w:val="99"/>
    <w:pPr>
      <w:snapToGrid w:val="0"/>
    </w:pPr>
    <w:rPr>
      <w:rFonts w:ascii="Arial" w:hAnsi="Arial"/>
    </w:rPr>
  </w:style>
  <w:style w:type="paragraph" w:styleId="14">
    <w:name w:val="Block Text"/>
    <w:basedOn w:val="1"/>
    <w:qFormat/>
    <w:uiPriority w:val="0"/>
    <w:pPr>
      <w:adjustRightInd w:val="0"/>
      <w:ind w:left="420" w:right="33"/>
      <w:jc w:val="left"/>
      <w:textAlignment w:val="baseline"/>
    </w:pPr>
    <w:rPr>
      <w:kern w:val="0"/>
    </w:rPr>
  </w:style>
  <w:style w:type="paragraph" w:styleId="15">
    <w:name w:val="Plain Text"/>
    <w:basedOn w:val="1"/>
    <w:next w:val="1"/>
    <w:link w:val="54"/>
    <w:qFormat/>
    <w:uiPriority w:val="99"/>
    <w:rPr>
      <w:rFonts w:ascii="宋体" w:hAnsi="Courier New" w:cs="Courier New"/>
      <w:szCs w:val="21"/>
    </w:rPr>
  </w:style>
  <w:style w:type="paragraph" w:styleId="16">
    <w:name w:val="toc 8"/>
    <w:basedOn w:val="1"/>
    <w:next w:val="1"/>
    <w:qFormat/>
    <w:uiPriority w:val="39"/>
    <w:pPr>
      <w:ind w:left="2940" w:leftChars="1400"/>
    </w:pPr>
  </w:style>
  <w:style w:type="paragraph" w:styleId="17">
    <w:name w:val="Balloon Text"/>
    <w:basedOn w:val="1"/>
    <w:link w:val="72"/>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
    <w:next w:val="1"/>
    <w:qFormat/>
    <w:uiPriority w:val="99"/>
    <w:pPr>
      <w:ind w:firstLine="420" w:firstLineChars="100"/>
    </w:pPr>
  </w:style>
  <w:style w:type="paragraph" w:styleId="31">
    <w:name w:val="Body Text First Indent 2"/>
    <w:basedOn w:val="12"/>
    <w:next w:val="22"/>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5"/>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列出段落5"/>
    <w:basedOn w:val="1"/>
    <w:qFormat/>
    <w:uiPriority w:val="0"/>
    <w:pPr>
      <w:ind w:firstLine="420" w:firstLineChars="200"/>
    </w:pPr>
  </w:style>
  <w:style w:type="paragraph" w:customStyle="1" w:styleId="100">
    <w:name w:val="null3"/>
    <w:qFormat/>
    <w:uiPriority w:val="0"/>
    <w:rPr>
      <w:rFonts w:hint="eastAsia" w:ascii="Calibri" w:hAnsi="Calibri" w:eastAsia="宋体" w:cs="Times New Roman"/>
      <w:lang w:val="en-US" w:eastAsia="zh-Hans"/>
    </w:rPr>
  </w:style>
  <w:style w:type="paragraph" w:customStyle="1" w:styleId="10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2837</Words>
  <Characters>3188</Characters>
  <Lines>297</Lines>
  <Paragraphs>83</Paragraphs>
  <TotalTime>2</TotalTime>
  <ScaleCrop>false</ScaleCrop>
  <LinksUpToDate>false</LinksUpToDate>
  <CharactersWithSpaces>3292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德仁招标</cp:lastModifiedBy>
  <cp:lastPrinted>2023-04-13T01:31:00Z</cp:lastPrinted>
  <dcterms:modified xsi:type="dcterms:W3CDTF">2026-04-07T08:45:27Z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9443795D83C94BC598665420D6B3D337_13</vt:lpwstr>
  </property>
  <property fmtid="{D5CDD505-2E9C-101B-9397-08002B2CF9AE}" pid="4" name="KSOTemplateDocerSaveRecord">
    <vt:lpwstr>eyJoZGlkIjoiNzNmNDZlOGE4YzBiODhkNTY3NTdiYjNiMTljZmEwZTciLCJ1c2VySWQiOiIyNzQ5OTcwMTQifQ==</vt:lpwstr>
  </property>
</Properties>
</file>