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339D0">
      <w:pPr>
        <w:autoSpaceDE w:val="0"/>
        <w:autoSpaceDN w:val="0"/>
        <w:adjustRightInd w:val="0"/>
        <w:snapToGrid w:val="0"/>
        <w:spacing w:line="360" w:lineRule="auto"/>
        <w:jc w:val="left"/>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政府采购项目</w:t>
      </w:r>
    </w:p>
    <w:p w14:paraId="5A42B603">
      <w:pPr>
        <w:autoSpaceDE w:val="0"/>
        <w:autoSpaceDN w:val="0"/>
        <w:adjustRightInd w:val="0"/>
        <w:snapToGrid w:val="0"/>
        <w:spacing w:line="360" w:lineRule="auto"/>
        <w:jc w:val="left"/>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采购项目编号：SCZD2026-CS-0796</w:t>
      </w:r>
      <w:r>
        <w:rPr>
          <w:rFonts w:hint="eastAsia" w:ascii="仿宋_GB2312" w:hAnsi="仿宋_GB2312" w:eastAsia="仿宋_GB2312" w:cs="仿宋_GB2312"/>
          <w:b/>
          <w:bCs/>
          <w:color w:val="auto"/>
          <w:sz w:val="30"/>
          <w:szCs w:val="30"/>
          <w:lang w:val="en-US" w:eastAsia="zh-CN"/>
        </w:rPr>
        <w:t>-</w:t>
      </w:r>
      <w:r>
        <w:rPr>
          <w:rFonts w:hint="eastAsia" w:ascii="仿宋_GB2312" w:hAnsi="仿宋_GB2312" w:eastAsia="仿宋_GB2312" w:cs="仿宋_GB2312"/>
          <w:b/>
          <w:bCs/>
          <w:color w:val="auto"/>
          <w:sz w:val="30"/>
          <w:szCs w:val="30"/>
          <w:lang w:val="zh-CN"/>
        </w:rPr>
        <w:t>001</w:t>
      </w:r>
    </w:p>
    <w:p w14:paraId="5BF3DDF8">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0"/>
          <w:szCs w:val="30"/>
        </w:rPr>
      </w:pPr>
    </w:p>
    <w:p w14:paraId="7099CA60">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p>
    <w:p w14:paraId="13BF9E82">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267628FA">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p>
    <w:p w14:paraId="477B23E9">
      <w:pPr>
        <w:autoSpaceDE w:val="0"/>
        <w:autoSpaceDN w:val="0"/>
        <w:adjustRightInd w:val="0"/>
        <w:snapToGrid w:val="0"/>
        <w:spacing w:line="360" w:lineRule="auto"/>
        <w:jc w:val="center"/>
        <w:rPr>
          <w:rFonts w:hint="eastAsia" w:ascii="仿宋_GB2312" w:hAnsi="仿宋_GB2312" w:eastAsia="仿宋_GB2312" w:cs="仿宋_GB2312"/>
          <w:b/>
          <w:bCs/>
          <w:color w:val="auto"/>
          <w:sz w:val="44"/>
          <w:szCs w:val="44"/>
          <w:lang w:eastAsia="zh-CN"/>
        </w:rPr>
      </w:pPr>
      <w:r>
        <w:rPr>
          <w:rFonts w:hint="eastAsia" w:ascii="仿宋_GB2312" w:hAnsi="仿宋_GB2312" w:eastAsia="仿宋_GB2312" w:cs="仿宋_GB2312"/>
          <w:b/>
          <w:bCs/>
          <w:color w:val="auto"/>
          <w:sz w:val="44"/>
          <w:szCs w:val="44"/>
          <w:lang w:val="en-US" w:eastAsia="zh-CN"/>
        </w:rPr>
        <w:t>宜川县人民医院介入中心导管室建设采购项目</w:t>
      </w:r>
    </w:p>
    <w:p w14:paraId="13F72CA6">
      <w:pPr>
        <w:tabs>
          <w:tab w:val="left" w:pos="5670"/>
        </w:tabs>
        <w:autoSpaceDE w:val="0"/>
        <w:autoSpaceDN w:val="0"/>
        <w:adjustRightInd w:val="0"/>
        <w:snapToGrid w:val="0"/>
        <w:spacing w:line="360" w:lineRule="auto"/>
        <w:jc w:val="center"/>
        <w:rPr>
          <w:rFonts w:hint="eastAsia" w:ascii="仿宋_GB2312" w:hAnsi="仿宋_GB2312" w:eastAsia="仿宋_GB2312" w:cs="仿宋_GB2312"/>
          <w:b/>
          <w:bCs/>
          <w:color w:val="auto"/>
          <w:sz w:val="30"/>
          <w:szCs w:val="30"/>
          <w:lang w:val="zh-CN" w:eastAsia="zh-CN"/>
        </w:rPr>
      </w:pPr>
      <w:r>
        <w:rPr>
          <w:rFonts w:hint="eastAsia" w:ascii="仿宋_GB2312" w:hAnsi="仿宋_GB2312" w:eastAsia="仿宋_GB2312" w:cs="仿宋_GB2312"/>
          <w:b/>
          <w:bCs/>
          <w:color w:val="auto"/>
          <w:sz w:val="30"/>
          <w:szCs w:val="30"/>
          <w:lang w:val="en-US" w:eastAsia="zh-CN"/>
        </w:rPr>
        <w:t xml:space="preserve"> </w:t>
      </w:r>
    </w:p>
    <w:p w14:paraId="65BF23CE">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lang w:val="zh-CN"/>
        </w:rPr>
      </w:pPr>
      <w:r>
        <w:rPr>
          <w:rFonts w:hint="eastAsia" w:ascii="仿宋_GB2312" w:hAnsi="仿宋_GB2312" w:eastAsia="仿宋_GB2312" w:cs="仿宋_GB2312"/>
          <w:b/>
          <w:bCs/>
          <w:color w:val="auto"/>
          <w:sz w:val="52"/>
          <w:szCs w:val="52"/>
          <w:lang w:val="zh-CN"/>
        </w:rPr>
        <w:t>竞争性磋商文件</w:t>
      </w:r>
    </w:p>
    <w:p w14:paraId="5C54E0A4">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0FD2265F">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37C36566">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397F3F8B">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23182791">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75007E37">
      <w:pPr>
        <w:pStyle w:val="22"/>
        <w:rPr>
          <w:rFonts w:ascii="仿宋_GB2312" w:hAnsi="仿宋_GB2312" w:eastAsia="仿宋_GB2312" w:cs="仿宋_GB2312"/>
          <w:b/>
          <w:bCs/>
          <w:color w:val="auto"/>
          <w:sz w:val="30"/>
          <w:szCs w:val="30"/>
        </w:rPr>
      </w:pPr>
    </w:p>
    <w:p w14:paraId="2CB450B2">
      <w:pPr>
        <w:rPr>
          <w:color w:val="auto"/>
        </w:rPr>
      </w:pPr>
    </w:p>
    <w:p w14:paraId="30C1EC7F">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05779E96">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val="zh-CN"/>
        </w:rPr>
        <w:t xml:space="preserve"> 陕西</w:t>
      </w:r>
      <w:r>
        <w:rPr>
          <w:rFonts w:hint="eastAsia" w:ascii="宋体" w:hAnsi="宋体"/>
          <w:color w:val="auto"/>
          <w:sz w:val="24"/>
        </w:rPr>
        <w:drawing>
          <wp:anchor distT="0" distB="0" distL="114300" distR="114300" simplePos="0" relativeHeight="251660288" behindDoc="1" locked="0" layoutInCell="1" allowOverlap="1">
            <wp:simplePos x="0" y="0"/>
            <wp:positionH relativeFrom="column">
              <wp:posOffset>4494530</wp:posOffset>
            </wp:positionH>
            <wp:positionV relativeFrom="paragraph">
              <wp:posOffset>5428615</wp:posOffset>
            </wp:positionV>
            <wp:extent cx="1473200" cy="1549400"/>
            <wp:effectExtent l="0" t="0" r="12700" b="12700"/>
            <wp:wrapNone/>
            <wp:docPr id="2" name="Picture 5" descr="采购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采购新"/>
                    <pic:cNvPicPr>
                      <a:picLocks noChangeAspect="1"/>
                    </pic:cNvPicPr>
                  </pic:nvPicPr>
                  <pic:blipFill>
                    <a:blip r:embed="rId16"/>
                    <a:stretch>
                      <a:fillRect/>
                    </a:stretch>
                  </pic:blipFill>
                  <pic:spPr>
                    <a:xfrm>
                      <a:off x="0" y="0"/>
                      <a:ext cx="1473200" cy="1549400"/>
                    </a:xfrm>
                    <a:prstGeom prst="rect">
                      <a:avLst/>
                    </a:prstGeom>
                    <a:noFill/>
                    <a:ln>
                      <a:noFill/>
                    </a:ln>
                  </pic:spPr>
                </pic:pic>
              </a:graphicData>
            </a:graphic>
          </wp:anchor>
        </w:drawing>
      </w:r>
      <w:r>
        <w:rPr>
          <w:rFonts w:hint="eastAsia" w:ascii="仿宋_GB2312" w:hAnsi="仿宋_GB2312" w:eastAsia="仿宋_GB2312" w:cs="仿宋_GB2312"/>
          <w:b/>
          <w:bCs/>
          <w:color w:val="auto"/>
          <w:sz w:val="30"/>
          <w:szCs w:val="30"/>
          <w:lang w:val="zh-CN"/>
        </w:rPr>
        <w:t>省采购招标有限责任公司</w:t>
      </w:r>
      <w:r>
        <w:rPr>
          <w:rFonts w:hint="eastAsia" w:ascii="仿宋_GB2312" w:hAnsi="仿宋_GB2312" w:eastAsia="仿宋_GB2312" w:cs="仿宋_GB2312"/>
          <w:b/>
          <w:bCs/>
          <w:color w:val="auto"/>
          <w:sz w:val="30"/>
          <w:szCs w:val="30"/>
        </w:rPr>
        <w:t xml:space="preserve"> </w:t>
      </w:r>
    </w:p>
    <w:p w14:paraId="3E89B437">
      <w:pPr>
        <w:tabs>
          <w:tab w:val="left" w:pos="5460"/>
        </w:tabs>
        <w:autoSpaceDE w:val="0"/>
        <w:autoSpaceDN w:val="0"/>
        <w:adjustRightInd w:val="0"/>
        <w:snapToGrid w:val="0"/>
        <w:spacing w:line="360" w:lineRule="auto"/>
        <w:jc w:val="center"/>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二〇二</w:t>
      </w:r>
      <w:r>
        <w:rPr>
          <w:rFonts w:hint="eastAsia" w:ascii="仿宋_GB2312" w:hAnsi="仿宋_GB2312" w:eastAsia="仿宋_GB2312" w:cs="仿宋_GB2312"/>
          <w:b/>
          <w:bCs/>
          <w:color w:val="auto"/>
          <w:sz w:val="30"/>
          <w:szCs w:val="30"/>
          <w:lang w:val="en-US" w:eastAsia="zh-CN"/>
        </w:rPr>
        <w:t>六</w:t>
      </w:r>
      <w:r>
        <w:rPr>
          <w:rFonts w:hint="eastAsia" w:ascii="仿宋_GB2312" w:hAnsi="仿宋_GB2312" w:eastAsia="仿宋_GB2312" w:cs="仿宋_GB2312"/>
          <w:b/>
          <w:bCs/>
          <w:color w:val="auto"/>
          <w:sz w:val="30"/>
          <w:szCs w:val="30"/>
          <w:lang w:val="zh-CN"/>
        </w:rPr>
        <w:t>年</w:t>
      </w:r>
      <w:r>
        <w:rPr>
          <w:rFonts w:hint="eastAsia" w:ascii="仿宋_GB2312" w:hAnsi="仿宋_GB2312" w:eastAsia="仿宋_GB2312" w:cs="仿宋_GB2312"/>
          <w:b/>
          <w:bCs/>
          <w:color w:val="auto"/>
          <w:sz w:val="30"/>
          <w:szCs w:val="30"/>
          <w:lang w:val="en-US" w:eastAsia="zh-CN"/>
        </w:rPr>
        <w:t>四</w:t>
      </w:r>
      <w:r>
        <w:rPr>
          <w:rFonts w:hint="eastAsia" w:ascii="仿宋_GB2312" w:hAnsi="仿宋_GB2312" w:eastAsia="仿宋_GB2312" w:cs="仿宋_GB2312"/>
          <w:b/>
          <w:bCs/>
          <w:color w:val="auto"/>
          <w:sz w:val="30"/>
          <w:szCs w:val="30"/>
          <w:lang w:val="zh-CN"/>
        </w:rPr>
        <w:t>月</w:t>
      </w:r>
    </w:p>
    <w:p w14:paraId="0CCEFB0E">
      <w:pPr>
        <w:tabs>
          <w:tab w:val="left" w:pos="3739"/>
        </w:tabs>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b/>
      </w:r>
    </w:p>
    <w:p w14:paraId="61A6D505">
      <w:pPr>
        <w:rPr>
          <w:color w:val="auto"/>
        </w:rPr>
        <w:sectPr>
          <w:headerReference r:id="rId4" w:type="first"/>
          <w:headerReference r:id="rId3" w:type="default"/>
          <w:footerReference r:id="rId5" w:type="default"/>
          <w:footerReference r:id="rId6" w:type="even"/>
          <w:pgSz w:w="11906" w:h="16838"/>
          <w:pgMar w:top="1440" w:right="1083" w:bottom="1440" w:left="1083" w:header="851" w:footer="992" w:gutter="0"/>
          <w:pgNumType w:fmt="decimal" w:start="0"/>
          <w:cols w:space="720" w:num="1"/>
          <w:titlePg/>
          <w:docGrid w:linePitch="312" w:charSpace="0"/>
        </w:sectPr>
      </w:pPr>
      <w:r>
        <w:rPr>
          <w:rFonts w:hint="eastAsia" w:ascii="仿宋_GB2312" w:hAnsi="仿宋_GB2312" w:eastAsia="仿宋_GB2312" w:cs="仿宋_GB2312"/>
          <w:color w:val="auto"/>
          <w:sz w:val="32"/>
          <w:szCs w:val="32"/>
        </w:rPr>
        <w:br w:type="page"/>
      </w:r>
    </w:p>
    <w:p w14:paraId="791F913B">
      <w:pPr>
        <w:pStyle w:val="5"/>
        <w:ind w:firstLine="0" w:firstLineChars="0"/>
        <w:jc w:val="center"/>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目  录</w:t>
      </w:r>
    </w:p>
    <w:p w14:paraId="64D7C8D7">
      <w:pPr>
        <w:pStyle w:val="35"/>
        <w:tabs>
          <w:tab w:val="right" w:leader="dot" w:pos="9070"/>
          <w:tab w:val="clear" w:pos="9344"/>
        </w:tabs>
        <w:rPr>
          <w:color w:val="auto"/>
        </w:rPr>
      </w:pPr>
      <w:r>
        <w:rPr>
          <w:rFonts w:hint="eastAsia" w:ascii="仿宋_GB2312" w:hAnsi="仿宋_GB2312" w:eastAsia="仿宋_GB2312" w:cs="仿宋_GB2312"/>
          <w:b w:val="0"/>
          <w:bCs w:val="0"/>
          <w:color w:val="auto"/>
          <w:sz w:val="20"/>
        </w:rPr>
        <w:fldChar w:fldCharType="begin"/>
      </w:r>
      <w:r>
        <w:rPr>
          <w:rFonts w:hint="eastAsia" w:ascii="仿宋_GB2312" w:hAnsi="仿宋_GB2312" w:eastAsia="仿宋_GB2312" w:cs="仿宋_GB2312"/>
          <w:b w:val="0"/>
          <w:bCs w:val="0"/>
          <w:color w:val="auto"/>
          <w:sz w:val="20"/>
        </w:rPr>
        <w:instrText xml:space="preserve"> TOC \o "1-2" \h \z \u </w:instrText>
      </w:r>
      <w:r>
        <w:rPr>
          <w:rFonts w:hint="eastAsia" w:ascii="仿宋_GB2312" w:hAnsi="仿宋_GB2312" w:eastAsia="仿宋_GB2312" w:cs="仿宋_GB2312"/>
          <w:b w:val="0"/>
          <w:bCs w:val="0"/>
          <w:color w:val="auto"/>
          <w:sz w:val="20"/>
        </w:rPr>
        <w:fldChar w:fldCharType="separate"/>
      </w:r>
      <w:r>
        <w:rPr>
          <w:rFonts w:hint="eastAsia" w:ascii="仿宋_GB2312" w:hAnsi="仿宋_GB2312" w:eastAsia="仿宋_GB2312" w:cs="仿宋_GB2312"/>
          <w:bCs w:val="0"/>
          <w:color w:val="auto"/>
        </w:rPr>
        <w:fldChar w:fldCharType="begin"/>
      </w:r>
      <w:r>
        <w:rPr>
          <w:rFonts w:hint="eastAsia" w:ascii="仿宋_GB2312" w:hAnsi="仿宋_GB2312" w:eastAsia="仿宋_GB2312" w:cs="仿宋_GB2312"/>
          <w:bCs w:val="0"/>
          <w:color w:val="auto"/>
        </w:rPr>
        <w:instrText xml:space="preserve"> HYPERLINK \l _Toc1875 </w:instrText>
      </w:r>
      <w:r>
        <w:rPr>
          <w:rFonts w:hint="eastAsia" w:ascii="仿宋_GB2312" w:hAnsi="仿宋_GB2312" w:eastAsia="仿宋_GB2312" w:cs="仿宋_GB2312"/>
          <w:bCs w:val="0"/>
          <w:color w:val="auto"/>
        </w:rPr>
        <w:fldChar w:fldCharType="separate"/>
      </w:r>
      <w:r>
        <w:rPr>
          <w:rFonts w:hint="eastAsia" w:ascii="仿宋_GB2312" w:hAnsi="仿宋_GB2312" w:eastAsia="仿宋_GB2312" w:cs="仿宋_GB2312"/>
          <w:color w:val="auto"/>
        </w:rPr>
        <w:t xml:space="preserve">第一章 </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磋商公告</w:t>
      </w:r>
      <w:r>
        <w:rPr>
          <w:color w:val="auto"/>
        </w:rPr>
        <w:tab/>
      </w:r>
      <w:r>
        <w:rPr>
          <w:color w:val="auto"/>
        </w:rPr>
        <w:fldChar w:fldCharType="begin"/>
      </w:r>
      <w:r>
        <w:rPr>
          <w:color w:val="auto"/>
        </w:rPr>
        <w:instrText xml:space="preserve"> PAGEREF _Toc1875 \h </w:instrText>
      </w:r>
      <w:r>
        <w:rPr>
          <w:color w:val="auto"/>
        </w:rPr>
        <w:fldChar w:fldCharType="separate"/>
      </w:r>
      <w:r>
        <w:rPr>
          <w:color w:val="auto"/>
        </w:rPr>
        <w:t>2</w:t>
      </w:r>
      <w:r>
        <w:rPr>
          <w:color w:val="auto"/>
        </w:rPr>
        <w:fldChar w:fldCharType="end"/>
      </w:r>
      <w:r>
        <w:rPr>
          <w:rFonts w:hint="eastAsia" w:ascii="仿宋_GB2312" w:hAnsi="仿宋_GB2312" w:eastAsia="仿宋_GB2312" w:cs="仿宋_GB2312"/>
          <w:bCs w:val="0"/>
          <w:color w:val="auto"/>
        </w:rPr>
        <w:fldChar w:fldCharType="end"/>
      </w:r>
    </w:p>
    <w:p w14:paraId="1A88A956">
      <w:pPr>
        <w:pStyle w:val="35"/>
        <w:tabs>
          <w:tab w:val="right" w:leader="dot" w:pos="9070"/>
          <w:tab w:val="clear" w:pos="9344"/>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_Toc14345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第二章  供应商须知</w:t>
      </w:r>
      <w:r>
        <w:rPr>
          <w:color w:val="auto"/>
        </w:rPr>
        <w:tab/>
      </w:r>
      <w:r>
        <w:rPr>
          <w:color w:val="auto"/>
        </w:rPr>
        <w:fldChar w:fldCharType="begin"/>
      </w:r>
      <w:r>
        <w:rPr>
          <w:color w:val="auto"/>
        </w:rPr>
        <w:instrText xml:space="preserve"> PAGEREF _Toc14345 \h </w:instrText>
      </w:r>
      <w:r>
        <w:rPr>
          <w:color w:val="auto"/>
        </w:rPr>
        <w:fldChar w:fldCharType="separate"/>
      </w:r>
      <w:r>
        <w:rPr>
          <w:color w:val="auto"/>
        </w:rPr>
        <w:t>6</w:t>
      </w:r>
      <w:r>
        <w:rPr>
          <w:color w:val="auto"/>
        </w:rPr>
        <w:fldChar w:fldCharType="end"/>
      </w:r>
      <w:r>
        <w:rPr>
          <w:rFonts w:hint="eastAsia" w:ascii="仿宋_GB2312" w:hAnsi="仿宋_GB2312" w:eastAsia="仿宋_GB2312" w:cs="仿宋_GB2312"/>
          <w:color w:val="auto"/>
          <w:szCs w:val="20"/>
        </w:rPr>
        <w:fldChar w:fldCharType="end"/>
      </w:r>
    </w:p>
    <w:p w14:paraId="78BCF27F">
      <w:pPr>
        <w:pStyle w:val="35"/>
        <w:tabs>
          <w:tab w:val="right" w:leader="dot" w:pos="9070"/>
          <w:tab w:val="clear" w:pos="9344"/>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_Toc9152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szCs w:val="24"/>
        </w:rPr>
        <w:t>第三章  评审办法和标准</w:t>
      </w:r>
      <w:r>
        <w:rPr>
          <w:color w:val="auto"/>
        </w:rPr>
        <w:tab/>
      </w:r>
      <w:r>
        <w:rPr>
          <w:color w:val="auto"/>
        </w:rPr>
        <w:fldChar w:fldCharType="begin"/>
      </w:r>
      <w:r>
        <w:rPr>
          <w:color w:val="auto"/>
        </w:rPr>
        <w:instrText xml:space="preserve"> PAGEREF _Toc9152 \h </w:instrText>
      </w:r>
      <w:r>
        <w:rPr>
          <w:color w:val="auto"/>
        </w:rPr>
        <w:fldChar w:fldCharType="separate"/>
      </w:r>
      <w:r>
        <w:rPr>
          <w:color w:val="auto"/>
        </w:rPr>
        <w:t>25</w:t>
      </w:r>
      <w:r>
        <w:rPr>
          <w:color w:val="auto"/>
        </w:rPr>
        <w:fldChar w:fldCharType="end"/>
      </w:r>
      <w:r>
        <w:rPr>
          <w:rFonts w:hint="eastAsia" w:ascii="仿宋_GB2312" w:hAnsi="仿宋_GB2312" w:eastAsia="仿宋_GB2312" w:cs="仿宋_GB2312"/>
          <w:color w:val="auto"/>
          <w:szCs w:val="20"/>
        </w:rPr>
        <w:fldChar w:fldCharType="end"/>
      </w:r>
    </w:p>
    <w:p w14:paraId="3B10A23D">
      <w:pPr>
        <w:pStyle w:val="35"/>
        <w:tabs>
          <w:tab w:val="right" w:leader="dot" w:pos="9070"/>
          <w:tab w:val="clear" w:pos="9344"/>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_Toc17462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szCs w:val="24"/>
        </w:rPr>
        <w:t>第四章  合同草案条款</w:t>
      </w:r>
      <w:r>
        <w:rPr>
          <w:color w:val="auto"/>
        </w:rPr>
        <w:tab/>
      </w:r>
      <w:r>
        <w:rPr>
          <w:color w:val="auto"/>
        </w:rPr>
        <w:fldChar w:fldCharType="begin"/>
      </w:r>
      <w:r>
        <w:rPr>
          <w:color w:val="auto"/>
        </w:rPr>
        <w:instrText xml:space="preserve"> PAGEREF _Toc17462 \h </w:instrText>
      </w:r>
      <w:r>
        <w:rPr>
          <w:color w:val="auto"/>
        </w:rPr>
        <w:fldChar w:fldCharType="separate"/>
      </w:r>
      <w:r>
        <w:rPr>
          <w:color w:val="auto"/>
        </w:rPr>
        <w:t>35</w:t>
      </w:r>
      <w:r>
        <w:rPr>
          <w:color w:val="auto"/>
        </w:rPr>
        <w:fldChar w:fldCharType="end"/>
      </w:r>
      <w:r>
        <w:rPr>
          <w:rFonts w:hint="eastAsia" w:ascii="仿宋_GB2312" w:hAnsi="仿宋_GB2312" w:eastAsia="仿宋_GB2312" w:cs="仿宋_GB2312"/>
          <w:color w:val="auto"/>
          <w:szCs w:val="20"/>
        </w:rPr>
        <w:fldChar w:fldCharType="end"/>
      </w:r>
    </w:p>
    <w:p w14:paraId="082D96BB">
      <w:pPr>
        <w:pStyle w:val="35"/>
        <w:tabs>
          <w:tab w:val="right" w:leader="dot" w:pos="9070"/>
          <w:tab w:val="clear" w:pos="9344"/>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_Toc23531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highlight w:val="none"/>
        </w:rPr>
        <w:t>第五章  采购内容及要求</w:t>
      </w:r>
      <w:r>
        <w:rPr>
          <w:color w:val="auto"/>
        </w:rPr>
        <w:tab/>
      </w:r>
      <w:r>
        <w:rPr>
          <w:color w:val="auto"/>
        </w:rPr>
        <w:fldChar w:fldCharType="begin"/>
      </w:r>
      <w:r>
        <w:rPr>
          <w:color w:val="auto"/>
        </w:rPr>
        <w:instrText xml:space="preserve"> PAGEREF _Toc23531 \h </w:instrText>
      </w:r>
      <w:r>
        <w:rPr>
          <w:color w:val="auto"/>
        </w:rPr>
        <w:fldChar w:fldCharType="separate"/>
      </w:r>
      <w:r>
        <w:rPr>
          <w:color w:val="auto"/>
        </w:rPr>
        <w:t>54</w:t>
      </w:r>
      <w:r>
        <w:rPr>
          <w:color w:val="auto"/>
        </w:rPr>
        <w:fldChar w:fldCharType="end"/>
      </w:r>
      <w:r>
        <w:rPr>
          <w:rFonts w:hint="eastAsia" w:ascii="仿宋_GB2312" w:hAnsi="仿宋_GB2312" w:eastAsia="仿宋_GB2312" w:cs="仿宋_GB2312"/>
          <w:color w:val="auto"/>
          <w:szCs w:val="20"/>
        </w:rPr>
        <w:fldChar w:fldCharType="end"/>
      </w:r>
    </w:p>
    <w:p w14:paraId="16332C41">
      <w:pPr>
        <w:pStyle w:val="35"/>
        <w:tabs>
          <w:tab w:val="right" w:leader="dot" w:pos="9070"/>
          <w:tab w:val="clear" w:pos="9344"/>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_Toc26286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 xml:space="preserve">第六章 </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磋商响应文件格式</w:t>
      </w:r>
      <w:r>
        <w:rPr>
          <w:color w:val="auto"/>
        </w:rPr>
        <w:tab/>
      </w:r>
      <w:r>
        <w:rPr>
          <w:color w:val="auto"/>
        </w:rPr>
        <w:fldChar w:fldCharType="begin"/>
      </w:r>
      <w:r>
        <w:rPr>
          <w:color w:val="auto"/>
        </w:rPr>
        <w:instrText xml:space="preserve"> PAGEREF _Toc26286 \h </w:instrText>
      </w:r>
      <w:r>
        <w:rPr>
          <w:color w:val="auto"/>
        </w:rPr>
        <w:fldChar w:fldCharType="separate"/>
      </w:r>
      <w:r>
        <w:rPr>
          <w:color w:val="auto"/>
        </w:rPr>
        <w:t>56</w:t>
      </w:r>
      <w:r>
        <w:rPr>
          <w:color w:val="auto"/>
        </w:rPr>
        <w:fldChar w:fldCharType="end"/>
      </w:r>
      <w:r>
        <w:rPr>
          <w:rFonts w:hint="eastAsia" w:ascii="仿宋_GB2312" w:hAnsi="仿宋_GB2312" w:eastAsia="仿宋_GB2312" w:cs="仿宋_GB2312"/>
          <w:color w:val="auto"/>
          <w:szCs w:val="20"/>
        </w:rPr>
        <w:fldChar w:fldCharType="end"/>
      </w:r>
    </w:p>
    <w:p w14:paraId="38C9C666">
      <w:pPr>
        <w:tabs>
          <w:tab w:val="center" w:pos="4677"/>
          <w:tab w:val="left" w:pos="5040"/>
        </w:tabs>
        <w:adjustRightInd w:val="0"/>
        <w:snapToGrid w:val="0"/>
        <w:spacing w:line="360" w:lineRule="auto"/>
        <w:jc w:val="left"/>
        <w:rPr>
          <w:rFonts w:ascii="仿宋_GB2312" w:hAnsi="仿宋_GB2312" w:eastAsia="仿宋_GB2312" w:cs="仿宋_GB2312"/>
          <w:color w:val="auto"/>
          <w:szCs w:val="20"/>
        </w:rPr>
      </w:pPr>
      <w:r>
        <w:rPr>
          <w:rFonts w:hint="eastAsia" w:ascii="仿宋_GB2312" w:hAnsi="仿宋_GB2312" w:eastAsia="仿宋_GB2312" w:cs="仿宋_GB2312"/>
          <w:color w:val="auto"/>
          <w:szCs w:val="20"/>
        </w:rPr>
        <w:fldChar w:fldCharType="end"/>
      </w:r>
    </w:p>
    <w:p w14:paraId="200EEBC4">
      <w:pPr>
        <w:pStyle w:val="46"/>
        <w:numPr>
          <w:ilvl w:val="0"/>
          <w:numId w:val="5"/>
        </w:numPr>
        <w:spacing w:line="360" w:lineRule="auto"/>
        <w:rPr>
          <w:rFonts w:ascii="仿宋_GB2312" w:hAnsi="仿宋_GB2312" w:eastAsia="仿宋_GB2312" w:cs="仿宋_GB2312"/>
          <w:color w:val="auto"/>
        </w:rPr>
        <w:sectPr>
          <w:footerReference r:id="rId9" w:type="first"/>
          <w:headerReference r:id="rId7" w:type="default"/>
          <w:footerReference r:id="rId8" w:type="default"/>
          <w:pgSz w:w="11906" w:h="16838"/>
          <w:pgMar w:top="1418" w:right="1418" w:bottom="1418" w:left="1418" w:header="851" w:footer="992" w:gutter="0"/>
          <w:pgNumType w:fmt="decimal" w:start="1"/>
          <w:cols w:space="720" w:num="1"/>
          <w:titlePg/>
          <w:docGrid w:linePitch="312" w:charSpace="0"/>
        </w:sectPr>
      </w:pPr>
      <w:bookmarkStart w:id="0" w:name="_Toc415499894"/>
      <w:bookmarkStart w:id="1" w:name="_Toc58504445"/>
      <w:bookmarkStart w:id="2" w:name="_Toc21755"/>
      <w:bookmarkStart w:id="3" w:name="_Toc500747187"/>
      <w:bookmarkStart w:id="4" w:name="_Toc177189234"/>
      <w:bookmarkStart w:id="5" w:name="_Toc70687138"/>
      <w:bookmarkStart w:id="6" w:name="_Toc500746964"/>
      <w:bookmarkStart w:id="7" w:name="_Toc492955413"/>
      <w:bookmarkStart w:id="8" w:name="_Toc496324577"/>
      <w:bookmarkStart w:id="9" w:name="_Toc503063420"/>
      <w:bookmarkStart w:id="10" w:name="_Toc499711882"/>
      <w:bookmarkStart w:id="11" w:name="_Toc500747060"/>
      <w:bookmarkStart w:id="12" w:name="_Toc177817333"/>
      <w:bookmarkStart w:id="13" w:name="_Toc499711041"/>
      <w:bookmarkStart w:id="14" w:name="_Toc53722839"/>
      <w:bookmarkStart w:id="15" w:name="_Toc176882541"/>
      <w:bookmarkStart w:id="16" w:name="_Toc177995472"/>
      <w:bookmarkStart w:id="17" w:name="_Toc385992325"/>
      <w:bookmarkStart w:id="18" w:name="_Toc385992324"/>
    </w:p>
    <w:p w14:paraId="11CE687A">
      <w:pPr>
        <w:pStyle w:val="46"/>
        <w:numPr>
          <w:ilvl w:val="0"/>
          <w:numId w:val="5"/>
        </w:num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 xml:space="preserve"> </w:t>
      </w:r>
      <w:bookmarkStart w:id="19" w:name="_Toc1875"/>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磋商公告</w:t>
      </w:r>
      <w:bookmarkEnd w:id="0"/>
      <w:bookmarkEnd w:id="1"/>
      <w:bookmarkEnd w:id="2"/>
      <w:bookmarkEnd w:id="19"/>
    </w:p>
    <w:p w14:paraId="4B454F95">
      <w:pPr>
        <w:pBdr>
          <w:top w:val="single" w:color="auto" w:sz="4" w:space="0"/>
          <w:left w:val="single" w:color="auto" w:sz="4" w:space="0"/>
          <w:bottom w:val="single" w:color="auto" w:sz="4" w:space="0"/>
          <w:right w:val="single" w:color="auto" w:sz="4" w:space="0"/>
        </w:pBdr>
        <w:autoSpaceDE w:val="0"/>
        <w:autoSpaceDN w:val="0"/>
        <w:adjustRightInd w:val="0"/>
        <w:spacing w:line="336"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项目概况：</w:t>
      </w:r>
    </w:p>
    <w:p w14:paraId="7FA7C59C">
      <w:pPr>
        <w:pBdr>
          <w:top w:val="single" w:color="auto" w:sz="4" w:space="0"/>
          <w:left w:val="single" w:color="auto" w:sz="4" w:space="0"/>
          <w:bottom w:val="single" w:color="auto" w:sz="4" w:space="0"/>
          <w:right w:val="single" w:color="auto" w:sz="4" w:space="0"/>
        </w:pBdr>
        <w:autoSpaceDE w:val="0"/>
        <w:autoSpaceDN w:val="0"/>
        <w:adjustRightInd w:val="0"/>
        <w:spacing w:line="336" w:lineRule="auto"/>
        <w:ind w:firstLine="570"/>
        <w:rPr>
          <w:rFonts w:hint="eastAsia" w:ascii="仿宋" w:hAnsi="仿宋" w:eastAsia="仿宋" w:cs="仿宋"/>
          <w:color w:val="auto"/>
          <w:sz w:val="24"/>
          <w:szCs w:val="24"/>
          <w:lang w:val="zh-CN"/>
        </w:rPr>
      </w:pPr>
      <w:r>
        <w:rPr>
          <w:rFonts w:hint="eastAsia" w:ascii="仿宋" w:hAnsi="仿宋" w:eastAsia="仿宋" w:cs="仿宋"/>
          <w:color w:val="auto"/>
          <w:sz w:val="24"/>
          <w:szCs w:val="24"/>
          <w:u w:val="single"/>
          <w:lang w:val="zh-CN" w:eastAsia="zh-CN"/>
        </w:rPr>
        <w:t>宜川县人民医院介入中心导管室建设采购项目</w:t>
      </w:r>
      <w:r>
        <w:rPr>
          <w:rFonts w:hint="eastAsia" w:ascii="仿宋" w:hAnsi="仿宋" w:eastAsia="仿宋" w:cs="仿宋"/>
          <w:color w:val="auto"/>
          <w:sz w:val="24"/>
          <w:szCs w:val="24"/>
          <w:lang w:val="zh-CN"/>
        </w:rPr>
        <w:t>的潜在供应商应在</w:t>
      </w:r>
      <w:r>
        <w:rPr>
          <w:rFonts w:hint="eastAsia" w:ascii="仿宋" w:hAnsi="仿宋" w:eastAsia="仿宋" w:cs="仿宋"/>
          <w:color w:val="auto"/>
          <w:sz w:val="24"/>
          <w:szCs w:val="24"/>
          <w:u w:val="single"/>
          <w:lang w:val="zh-CN"/>
        </w:rPr>
        <w:t>全国公共资源交易中心平台（陕西省·延安市）</w:t>
      </w:r>
      <w:r>
        <w:rPr>
          <w:rFonts w:hint="eastAsia" w:ascii="仿宋" w:hAnsi="仿宋" w:eastAsia="仿宋" w:cs="仿宋"/>
          <w:color w:val="auto"/>
          <w:sz w:val="24"/>
          <w:szCs w:val="24"/>
          <w:lang w:val="zh-CN"/>
        </w:rPr>
        <w:t>获取采购文件，并于</w:t>
      </w:r>
      <w:r>
        <w:rPr>
          <w:rFonts w:hint="eastAsia" w:ascii="仿宋" w:hAnsi="仿宋" w:eastAsia="仿宋" w:cs="仿宋"/>
          <w:strike w:val="0"/>
          <w:dstrike w:val="0"/>
          <w:color w:val="auto"/>
          <w:sz w:val="24"/>
          <w:szCs w:val="24"/>
          <w:highlight w:val="none"/>
          <w:u w:val="single"/>
          <w:lang w:val="zh-CN"/>
        </w:rPr>
        <w:t>202</w:t>
      </w:r>
      <w:r>
        <w:rPr>
          <w:rFonts w:hint="eastAsia" w:ascii="仿宋" w:hAnsi="仿宋" w:eastAsia="仿宋" w:cs="仿宋"/>
          <w:strike w:val="0"/>
          <w:dstrike w:val="0"/>
          <w:color w:val="auto"/>
          <w:sz w:val="24"/>
          <w:szCs w:val="24"/>
          <w:highlight w:val="none"/>
          <w:u w:val="single"/>
          <w:lang w:val="en-US" w:eastAsia="zh-CN"/>
        </w:rPr>
        <w:t>6</w:t>
      </w:r>
      <w:r>
        <w:rPr>
          <w:rFonts w:hint="eastAsia" w:ascii="仿宋" w:hAnsi="仿宋" w:eastAsia="仿宋" w:cs="仿宋"/>
          <w:strike w:val="0"/>
          <w:dstrike w:val="0"/>
          <w:color w:val="auto"/>
          <w:sz w:val="24"/>
          <w:szCs w:val="24"/>
          <w:highlight w:val="none"/>
          <w:u w:val="single"/>
          <w:lang w:val="zh-CN"/>
        </w:rPr>
        <w:t>年0</w:t>
      </w:r>
      <w:r>
        <w:rPr>
          <w:rFonts w:hint="eastAsia" w:ascii="仿宋" w:hAnsi="仿宋" w:eastAsia="仿宋" w:cs="仿宋"/>
          <w:strike w:val="0"/>
          <w:dstrike w:val="0"/>
          <w:color w:val="auto"/>
          <w:sz w:val="24"/>
          <w:szCs w:val="24"/>
          <w:highlight w:val="none"/>
          <w:u w:val="single"/>
          <w:lang w:val="en-US" w:eastAsia="zh-CN"/>
        </w:rPr>
        <w:t>4</w:t>
      </w:r>
      <w:r>
        <w:rPr>
          <w:rFonts w:hint="eastAsia" w:ascii="仿宋" w:hAnsi="仿宋" w:eastAsia="仿宋" w:cs="仿宋"/>
          <w:strike w:val="0"/>
          <w:dstrike w:val="0"/>
          <w:color w:val="auto"/>
          <w:sz w:val="24"/>
          <w:szCs w:val="24"/>
          <w:highlight w:val="none"/>
          <w:u w:val="single"/>
          <w:lang w:val="zh-CN"/>
        </w:rPr>
        <w:t>月</w:t>
      </w:r>
      <w:r>
        <w:rPr>
          <w:rFonts w:hint="eastAsia" w:ascii="仿宋" w:hAnsi="仿宋" w:eastAsia="仿宋" w:cs="仿宋"/>
          <w:strike w:val="0"/>
          <w:dstrike w:val="0"/>
          <w:color w:val="auto"/>
          <w:sz w:val="24"/>
          <w:szCs w:val="24"/>
          <w:highlight w:val="none"/>
          <w:u w:val="single"/>
          <w:lang w:val="en-US" w:eastAsia="zh-CN"/>
        </w:rPr>
        <w:t>20</w:t>
      </w:r>
      <w:r>
        <w:rPr>
          <w:rFonts w:hint="eastAsia" w:ascii="仿宋" w:hAnsi="仿宋" w:eastAsia="仿宋" w:cs="仿宋"/>
          <w:strike w:val="0"/>
          <w:dstrike w:val="0"/>
          <w:color w:val="auto"/>
          <w:sz w:val="24"/>
          <w:szCs w:val="24"/>
          <w:highlight w:val="none"/>
          <w:u w:val="single"/>
          <w:lang w:val="zh-CN"/>
        </w:rPr>
        <w:t>日</w:t>
      </w:r>
      <w:r>
        <w:rPr>
          <w:rFonts w:hint="eastAsia" w:ascii="仿宋" w:hAnsi="仿宋" w:eastAsia="仿宋" w:cs="仿宋"/>
          <w:strike w:val="0"/>
          <w:dstrike w:val="0"/>
          <w:color w:val="auto"/>
          <w:sz w:val="24"/>
          <w:szCs w:val="24"/>
          <w:highlight w:val="none"/>
          <w:u w:val="single"/>
          <w:lang w:val="en-US" w:eastAsia="zh-CN"/>
        </w:rPr>
        <w:t>15时30分</w:t>
      </w:r>
      <w:r>
        <w:rPr>
          <w:rFonts w:hint="eastAsia" w:ascii="仿宋" w:hAnsi="仿宋" w:eastAsia="仿宋" w:cs="仿宋"/>
          <w:color w:val="auto"/>
          <w:sz w:val="24"/>
          <w:szCs w:val="24"/>
          <w:lang w:val="zh-CN"/>
        </w:rPr>
        <w:t>（北京时间）前提交响应文件。</w:t>
      </w:r>
    </w:p>
    <w:p w14:paraId="11FA035A">
      <w:pPr>
        <w:autoSpaceDE w:val="0"/>
        <w:autoSpaceDN w:val="0"/>
        <w:adjustRightInd w:val="0"/>
        <w:spacing w:line="336" w:lineRule="auto"/>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一、项目基本情况：</w:t>
      </w:r>
    </w:p>
    <w:p w14:paraId="5348A0E9">
      <w:pPr>
        <w:autoSpaceDE w:val="0"/>
        <w:autoSpaceDN w:val="0"/>
        <w:adjustRightInd w:val="0"/>
        <w:spacing w:line="336" w:lineRule="auto"/>
        <w:ind w:firstLine="57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zh-CN"/>
        </w:rPr>
        <w:t>1、项目编号：SCZD2026-CS-0796</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lang w:val="zh-CN"/>
        </w:rPr>
        <w:t>001</w:t>
      </w:r>
    </w:p>
    <w:p w14:paraId="06A1BB6A">
      <w:pPr>
        <w:autoSpaceDE w:val="0"/>
        <w:autoSpaceDN w:val="0"/>
        <w:adjustRightInd w:val="0"/>
        <w:spacing w:line="336" w:lineRule="auto"/>
        <w:ind w:firstLine="57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2、项目名称：</w:t>
      </w:r>
      <w:r>
        <w:rPr>
          <w:rFonts w:hint="eastAsia" w:ascii="仿宋" w:hAnsi="仿宋" w:eastAsia="仿宋" w:cs="仿宋"/>
          <w:color w:val="auto"/>
          <w:sz w:val="24"/>
          <w:szCs w:val="24"/>
          <w:lang w:val="zh-CN" w:eastAsia="zh-CN"/>
        </w:rPr>
        <w:t>宜川县人民医院介入中心导管室建设采购项目</w:t>
      </w:r>
    </w:p>
    <w:p w14:paraId="55BAE0B6">
      <w:pPr>
        <w:autoSpaceDE w:val="0"/>
        <w:autoSpaceDN w:val="0"/>
        <w:adjustRightInd w:val="0"/>
        <w:spacing w:line="336" w:lineRule="auto"/>
        <w:ind w:firstLine="57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3、采购方式：竞争性磋商</w:t>
      </w:r>
    </w:p>
    <w:p w14:paraId="5AB89E70">
      <w:pPr>
        <w:autoSpaceDE w:val="0"/>
        <w:autoSpaceDN w:val="0"/>
        <w:adjustRightInd w:val="0"/>
        <w:spacing w:line="336" w:lineRule="auto"/>
        <w:ind w:firstLine="57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rPr>
        <w:t>4、预算金额：839,238.71元</w:t>
      </w:r>
    </w:p>
    <w:p w14:paraId="7C19F8F6">
      <w:pPr>
        <w:autoSpaceDE w:val="0"/>
        <w:autoSpaceDN w:val="0"/>
        <w:adjustRightInd w:val="0"/>
        <w:spacing w:line="336" w:lineRule="auto"/>
        <w:ind w:firstLine="57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5、采购需求：</w:t>
      </w:r>
    </w:p>
    <w:p w14:paraId="05A7898A">
      <w:pPr>
        <w:autoSpaceDE w:val="0"/>
        <w:autoSpaceDN w:val="0"/>
        <w:adjustRightInd w:val="0"/>
        <w:spacing w:line="336" w:lineRule="auto"/>
        <w:ind w:firstLine="57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合同包1(</w:t>
      </w:r>
      <w:r>
        <w:rPr>
          <w:rFonts w:hint="eastAsia" w:ascii="仿宋" w:hAnsi="仿宋" w:eastAsia="仿宋" w:cs="仿宋"/>
          <w:color w:val="auto"/>
          <w:sz w:val="24"/>
          <w:szCs w:val="24"/>
          <w:lang w:val="zh-CN" w:eastAsia="zh-CN"/>
        </w:rPr>
        <w:t>宜川县人民医院介入中心导管室建设采购项目</w:t>
      </w:r>
      <w:r>
        <w:rPr>
          <w:rFonts w:hint="eastAsia" w:ascii="仿宋" w:hAnsi="仿宋" w:eastAsia="仿宋" w:cs="仿宋"/>
          <w:color w:val="auto"/>
          <w:sz w:val="24"/>
          <w:szCs w:val="24"/>
          <w:lang w:val="zh-CN"/>
        </w:rPr>
        <w:t>):</w:t>
      </w:r>
    </w:p>
    <w:p w14:paraId="071380B4">
      <w:pPr>
        <w:autoSpaceDE w:val="0"/>
        <w:autoSpaceDN w:val="0"/>
        <w:adjustRightInd w:val="0"/>
        <w:spacing w:line="336" w:lineRule="auto"/>
        <w:ind w:firstLine="57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合同包预算金额：839,238.71元</w:t>
      </w:r>
    </w:p>
    <w:p w14:paraId="02F0A7F2">
      <w:pPr>
        <w:autoSpaceDE w:val="0"/>
        <w:autoSpaceDN w:val="0"/>
        <w:adjustRightInd w:val="0"/>
        <w:spacing w:line="336" w:lineRule="auto"/>
        <w:ind w:firstLine="57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合同包</w:t>
      </w:r>
      <w:r>
        <w:rPr>
          <w:rFonts w:hint="eastAsia" w:ascii="仿宋" w:hAnsi="仿宋" w:eastAsia="仿宋" w:cs="仿宋"/>
          <w:color w:val="auto"/>
          <w:sz w:val="24"/>
          <w:szCs w:val="24"/>
          <w:lang w:val="en-US" w:eastAsia="zh-CN"/>
        </w:rPr>
        <w:t>最高限价</w:t>
      </w:r>
      <w:r>
        <w:rPr>
          <w:rFonts w:hint="eastAsia" w:ascii="仿宋" w:hAnsi="仿宋" w:eastAsia="仿宋" w:cs="仿宋"/>
          <w:color w:val="auto"/>
          <w:sz w:val="24"/>
          <w:szCs w:val="24"/>
          <w:lang w:val="zh-CN"/>
        </w:rPr>
        <w:t>：839,238.71元</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875"/>
        <w:gridCol w:w="1287"/>
        <w:gridCol w:w="1201"/>
        <w:gridCol w:w="1201"/>
        <w:gridCol w:w="1983"/>
        <w:gridCol w:w="1984"/>
      </w:tblGrid>
      <w:tr w14:paraId="1FB0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 w:type="pct"/>
            <w:noWrap w:val="0"/>
            <w:vAlign w:val="center"/>
          </w:tcPr>
          <w:p w14:paraId="7EE29116">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品目号</w:t>
            </w:r>
          </w:p>
        </w:tc>
        <w:tc>
          <w:tcPr>
            <w:tcW w:w="471" w:type="pct"/>
            <w:noWrap w:val="0"/>
            <w:vAlign w:val="center"/>
          </w:tcPr>
          <w:p w14:paraId="291B66A2">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4"/>
                <w:szCs w:val="24"/>
                <w:vertAlign w:val="baseline"/>
                <w:lang w:val="zh-CN"/>
              </w:rPr>
            </w:pPr>
            <w:r>
              <w:rPr>
                <w:rFonts w:hint="eastAsia" w:ascii="仿宋" w:hAnsi="仿宋" w:eastAsia="仿宋" w:cs="仿宋"/>
                <w:b w:val="0"/>
                <w:bCs w:val="0"/>
                <w:color w:val="auto"/>
                <w:sz w:val="24"/>
                <w:szCs w:val="24"/>
                <w:vertAlign w:val="baseline"/>
                <w:lang w:val="en-US" w:eastAsia="zh-CN"/>
              </w:rPr>
              <w:t>品目</w:t>
            </w:r>
            <w:r>
              <w:rPr>
                <w:rFonts w:hint="eastAsia" w:ascii="仿宋" w:hAnsi="仿宋" w:eastAsia="仿宋" w:cs="仿宋"/>
                <w:b w:val="0"/>
                <w:bCs w:val="0"/>
                <w:color w:val="auto"/>
                <w:sz w:val="24"/>
                <w:szCs w:val="24"/>
                <w:vertAlign w:val="baseline"/>
                <w:lang w:val="zh-CN"/>
              </w:rPr>
              <w:t>名称</w:t>
            </w:r>
          </w:p>
        </w:tc>
        <w:tc>
          <w:tcPr>
            <w:tcW w:w="693" w:type="pct"/>
            <w:noWrap w:val="0"/>
            <w:vAlign w:val="center"/>
          </w:tcPr>
          <w:p w14:paraId="0AECBE1A">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采购标的</w:t>
            </w:r>
          </w:p>
        </w:tc>
        <w:tc>
          <w:tcPr>
            <w:tcW w:w="647" w:type="pct"/>
            <w:noWrap w:val="0"/>
            <w:vAlign w:val="center"/>
          </w:tcPr>
          <w:p w14:paraId="4057A5B6">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数量（单位）</w:t>
            </w:r>
          </w:p>
        </w:tc>
        <w:tc>
          <w:tcPr>
            <w:tcW w:w="647" w:type="pct"/>
            <w:noWrap w:val="0"/>
            <w:vAlign w:val="center"/>
          </w:tcPr>
          <w:p w14:paraId="0D2CBCF4">
            <w:pPr>
              <w:keepNext w:val="0"/>
              <w:keepLines w:val="0"/>
              <w:pageBreakBefore w:val="0"/>
              <w:widowControl/>
              <w:suppressLineNumbers w:val="0"/>
              <w:kinsoku/>
              <w:wordWrap w:val="0"/>
              <w:overflowPunct/>
              <w:topLinePunct w:val="0"/>
              <w:bidi w:val="0"/>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vertAlign w:val="baseline"/>
                <w:lang w:val="zh-CN"/>
              </w:rPr>
            </w:pPr>
            <w:r>
              <w:rPr>
                <w:rFonts w:hint="eastAsia" w:ascii="仿宋" w:hAnsi="仿宋" w:eastAsia="仿宋" w:cs="仿宋"/>
                <w:b w:val="0"/>
                <w:bCs w:val="0"/>
                <w:color w:val="auto"/>
                <w:sz w:val="24"/>
                <w:szCs w:val="24"/>
                <w:vertAlign w:val="baseline"/>
                <w:lang w:val="zh-CN"/>
              </w:rPr>
              <w:t>技术规格、参数及要求</w:t>
            </w:r>
          </w:p>
        </w:tc>
        <w:tc>
          <w:tcPr>
            <w:tcW w:w="1068" w:type="pct"/>
            <w:noWrap w:val="0"/>
            <w:vAlign w:val="center"/>
          </w:tcPr>
          <w:p w14:paraId="7975CE58">
            <w:pPr>
              <w:keepNext w:val="0"/>
              <w:keepLines w:val="0"/>
              <w:pageBreakBefore w:val="0"/>
              <w:widowControl/>
              <w:suppressLineNumbers w:val="0"/>
              <w:kinsoku/>
              <w:wordWrap w:val="0"/>
              <w:overflowPunct/>
              <w:topLinePunct w:val="0"/>
              <w:bidi w:val="0"/>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采购预算</w:t>
            </w:r>
          </w:p>
        </w:tc>
        <w:tc>
          <w:tcPr>
            <w:tcW w:w="1068" w:type="pct"/>
            <w:noWrap w:val="0"/>
            <w:vAlign w:val="center"/>
          </w:tcPr>
          <w:p w14:paraId="7BE73980">
            <w:pPr>
              <w:keepNext w:val="0"/>
              <w:keepLines w:val="0"/>
              <w:pageBreakBefore w:val="0"/>
              <w:widowControl/>
              <w:suppressLineNumbers w:val="0"/>
              <w:kinsoku/>
              <w:wordWrap w:val="0"/>
              <w:overflowPunct/>
              <w:topLinePunct w:val="0"/>
              <w:bidi w:val="0"/>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最高限价</w:t>
            </w:r>
          </w:p>
        </w:tc>
      </w:tr>
      <w:tr w14:paraId="0AD0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03" w:type="pct"/>
            <w:noWrap w:val="0"/>
            <w:vAlign w:val="center"/>
          </w:tcPr>
          <w:p w14:paraId="1AE32BF7">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1-1</w:t>
            </w:r>
          </w:p>
        </w:tc>
        <w:tc>
          <w:tcPr>
            <w:tcW w:w="471" w:type="pct"/>
            <w:noWrap w:val="0"/>
            <w:vAlign w:val="center"/>
          </w:tcPr>
          <w:p w14:paraId="7B1DF5FC">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其他专业施工</w:t>
            </w:r>
          </w:p>
        </w:tc>
        <w:tc>
          <w:tcPr>
            <w:tcW w:w="693" w:type="pct"/>
            <w:noWrap w:val="0"/>
            <w:vAlign w:val="center"/>
          </w:tcPr>
          <w:p w14:paraId="0525B330">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color w:val="auto"/>
                <w:sz w:val="24"/>
                <w:szCs w:val="24"/>
                <w:lang w:val="zh-CN" w:eastAsia="zh-CN"/>
              </w:rPr>
              <w:t>介入中心导管室建设</w:t>
            </w:r>
          </w:p>
        </w:tc>
        <w:tc>
          <w:tcPr>
            <w:tcW w:w="647" w:type="pct"/>
            <w:noWrap w:val="0"/>
            <w:vAlign w:val="center"/>
          </w:tcPr>
          <w:p w14:paraId="7CFFA9D5">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1（项）</w:t>
            </w:r>
          </w:p>
        </w:tc>
        <w:tc>
          <w:tcPr>
            <w:tcW w:w="647" w:type="pct"/>
            <w:noWrap w:val="0"/>
            <w:vAlign w:val="center"/>
          </w:tcPr>
          <w:p w14:paraId="73A2EED2">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4"/>
                <w:szCs w:val="24"/>
                <w:vertAlign w:val="baseline"/>
                <w:lang w:val="zh-CN"/>
              </w:rPr>
            </w:pPr>
            <w:r>
              <w:rPr>
                <w:rFonts w:hint="eastAsia" w:ascii="仿宋" w:hAnsi="仿宋" w:eastAsia="仿宋" w:cs="仿宋"/>
                <w:b w:val="0"/>
                <w:bCs w:val="0"/>
                <w:color w:val="auto"/>
                <w:sz w:val="24"/>
                <w:szCs w:val="24"/>
                <w:vertAlign w:val="baseline"/>
                <w:lang w:val="en-US" w:eastAsia="zh-CN"/>
              </w:rPr>
              <w:t>详见采购文件</w:t>
            </w:r>
          </w:p>
        </w:tc>
        <w:tc>
          <w:tcPr>
            <w:tcW w:w="1068" w:type="pct"/>
            <w:noWrap w:val="0"/>
            <w:vAlign w:val="center"/>
          </w:tcPr>
          <w:p w14:paraId="02468EDC">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4"/>
                <w:szCs w:val="24"/>
                <w:vertAlign w:val="baseline"/>
                <w:lang w:val="zh-CN"/>
              </w:rPr>
            </w:pPr>
            <w:r>
              <w:rPr>
                <w:rFonts w:hint="eastAsia" w:ascii="仿宋" w:hAnsi="仿宋" w:eastAsia="仿宋" w:cs="仿宋"/>
                <w:color w:val="auto"/>
                <w:sz w:val="24"/>
                <w:szCs w:val="24"/>
                <w:lang w:val="zh-CN"/>
              </w:rPr>
              <w:t>839,238.71元</w:t>
            </w:r>
          </w:p>
        </w:tc>
        <w:tc>
          <w:tcPr>
            <w:tcW w:w="1068" w:type="pct"/>
            <w:noWrap w:val="0"/>
            <w:vAlign w:val="center"/>
          </w:tcPr>
          <w:p w14:paraId="43EB881B">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rPr>
              <w:t>839,238.71元</w:t>
            </w:r>
          </w:p>
        </w:tc>
      </w:tr>
    </w:tbl>
    <w:p w14:paraId="66453290">
      <w:pPr>
        <w:autoSpaceDE w:val="0"/>
        <w:autoSpaceDN w:val="0"/>
        <w:adjustRightInd w:val="0"/>
        <w:spacing w:line="336" w:lineRule="auto"/>
        <w:ind w:firstLine="57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本合同包不接受联合体投标</w:t>
      </w:r>
    </w:p>
    <w:p w14:paraId="5FFB5A61">
      <w:pPr>
        <w:autoSpaceDE w:val="0"/>
        <w:autoSpaceDN w:val="0"/>
        <w:adjustRightInd w:val="0"/>
        <w:spacing w:line="336" w:lineRule="auto"/>
        <w:ind w:firstLine="57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合同履行期限：合同签订后40天完成。</w:t>
      </w:r>
    </w:p>
    <w:p w14:paraId="0D788AE3">
      <w:pPr>
        <w:autoSpaceDE w:val="0"/>
        <w:autoSpaceDN w:val="0"/>
        <w:adjustRightInd w:val="0"/>
        <w:spacing w:line="336"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二、</w:t>
      </w:r>
      <w:r>
        <w:rPr>
          <w:rFonts w:hint="eastAsia" w:ascii="仿宋" w:hAnsi="仿宋" w:eastAsia="仿宋" w:cs="仿宋"/>
          <w:color w:val="auto"/>
          <w:sz w:val="24"/>
          <w:szCs w:val="24"/>
          <w:lang w:val="en-US" w:eastAsia="zh-CN"/>
        </w:rPr>
        <w:t>申请人的</w:t>
      </w:r>
      <w:r>
        <w:rPr>
          <w:rFonts w:hint="eastAsia" w:ascii="仿宋" w:hAnsi="仿宋" w:eastAsia="仿宋" w:cs="仿宋"/>
          <w:color w:val="auto"/>
          <w:sz w:val="24"/>
          <w:szCs w:val="24"/>
          <w:lang w:val="zh-CN"/>
        </w:rPr>
        <w:t xml:space="preserve">资格要求 </w:t>
      </w:r>
    </w:p>
    <w:p w14:paraId="7373ED66">
      <w:pPr>
        <w:autoSpaceDE w:val="0"/>
        <w:autoSpaceDN w:val="0"/>
        <w:adjustRightInd w:val="0"/>
        <w:spacing w:line="336"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1、满足《中华人民共和国政府采购法》第二十二条规定</w:t>
      </w:r>
    </w:p>
    <w:p w14:paraId="01499F3A">
      <w:pPr>
        <w:keepNext w:val="0"/>
        <w:keepLines w:val="0"/>
        <w:pageBreakBefore w:val="0"/>
        <w:widowControl/>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2、合同包1(</w:t>
      </w:r>
      <w:r>
        <w:rPr>
          <w:rFonts w:hint="eastAsia" w:ascii="仿宋" w:hAnsi="仿宋" w:eastAsia="仿宋" w:cs="仿宋"/>
          <w:color w:val="auto"/>
          <w:sz w:val="24"/>
          <w:szCs w:val="24"/>
          <w:lang w:val="zh-CN" w:eastAsia="zh-CN"/>
        </w:rPr>
        <w:t>宜川县人民医院介入中心导管室建设采购项目</w:t>
      </w:r>
      <w:r>
        <w:rPr>
          <w:rFonts w:hint="eastAsia" w:ascii="仿宋" w:hAnsi="仿宋" w:eastAsia="仿宋" w:cs="仿宋"/>
          <w:color w:val="auto"/>
          <w:sz w:val="24"/>
          <w:szCs w:val="24"/>
          <w:lang w:val="zh-CN"/>
        </w:rPr>
        <w:t>)落实政府采购政策需满足的资格要求：</w:t>
      </w:r>
    </w:p>
    <w:p w14:paraId="0807150D">
      <w:pPr>
        <w:keepNext w:val="0"/>
        <w:keepLines w:val="0"/>
        <w:pageBreakBefore w:val="0"/>
        <w:widowControl/>
        <w:kinsoku/>
        <w:wordWrap/>
        <w:overflowPunct/>
        <w:topLinePunct w:val="0"/>
        <w:autoSpaceDE/>
        <w:autoSpaceDN/>
        <w:bidi w:val="0"/>
        <w:adjustRightInd/>
        <w:snapToGrid w:val="0"/>
        <w:spacing w:line="360" w:lineRule="auto"/>
        <w:ind w:right="0" w:rightChars="0" w:firstLine="482" w:firstLineChars="200"/>
        <w:jc w:val="both"/>
        <w:textAlignment w:val="auto"/>
        <w:rPr>
          <w:rFonts w:hint="eastAsia" w:ascii="仿宋" w:hAnsi="仿宋" w:eastAsia="仿宋" w:cs="仿宋"/>
          <w:b/>
          <w:bCs w:val="0"/>
          <w:i w:val="0"/>
          <w:iCs w:val="0"/>
          <w:color w:val="auto"/>
          <w:kern w:val="0"/>
          <w:sz w:val="24"/>
          <w:szCs w:val="24"/>
          <w:highlight w:val="none"/>
        </w:rPr>
      </w:pPr>
      <w:r>
        <w:rPr>
          <w:rFonts w:hint="eastAsia" w:ascii="仿宋" w:hAnsi="仿宋" w:eastAsia="仿宋" w:cs="仿宋"/>
          <w:b/>
          <w:bCs w:val="0"/>
          <w:color w:val="auto"/>
          <w:sz w:val="24"/>
          <w:lang w:val="en-US" w:eastAsia="zh-CN"/>
        </w:rPr>
        <w:t>本项目为专门面向中小企业项目，提供</w:t>
      </w:r>
      <w:r>
        <w:rPr>
          <w:rFonts w:hint="eastAsia" w:ascii="仿宋" w:hAnsi="仿宋" w:eastAsia="仿宋" w:cs="仿宋"/>
          <w:b/>
          <w:bCs w:val="0"/>
          <w:color w:val="auto"/>
          <w:sz w:val="24"/>
          <w:lang w:eastAsia="zh-CN"/>
        </w:rPr>
        <w:t>中小企业声明函或残疾人、监狱企业声明函</w:t>
      </w:r>
      <w:r>
        <w:rPr>
          <w:rFonts w:hint="eastAsia" w:ascii="仿宋" w:hAnsi="仿宋" w:eastAsia="仿宋" w:cs="仿宋"/>
          <w:b/>
          <w:bCs w:val="0"/>
          <w:color w:val="auto"/>
          <w:sz w:val="24"/>
          <w:szCs w:val="24"/>
          <w:lang w:val="zh-CN"/>
        </w:rPr>
        <w:t>。</w:t>
      </w:r>
    </w:p>
    <w:p w14:paraId="4675A3C0">
      <w:pPr>
        <w:widowControl/>
        <w:snapToGrid w:val="0"/>
        <w:spacing w:line="360" w:lineRule="auto"/>
        <w:ind w:right="-197" w:rightChars="-94"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3、本项目的特定资格要求：</w:t>
      </w:r>
    </w:p>
    <w:p w14:paraId="2D35EF19">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合同包1(</w:t>
      </w:r>
      <w:r>
        <w:rPr>
          <w:rFonts w:hint="eastAsia" w:ascii="仿宋" w:hAnsi="仿宋" w:eastAsia="仿宋" w:cs="仿宋"/>
          <w:color w:val="auto"/>
          <w:kern w:val="0"/>
          <w:sz w:val="24"/>
          <w:szCs w:val="24"/>
          <w:lang w:val="en-US" w:eastAsia="zh-CN"/>
        </w:rPr>
        <w:t>宜川县人民医院介入中心导管室建设采购项目</w:t>
      </w:r>
      <w:r>
        <w:rPr>
          <w:rFonts w:hint="eastAsia" w:ascii="仿宋" w:hAnsi="仿宋" w:eastAsia="仿宋" w:cs="仿宋"/>
          <w:color w:val="auto"/>
          <w:kern w:val="0"/>
          <w:sz w:val="24"/>
          <w:szCs w:val="24"/>
        </w:rPr>
        <w:t>)特定资格要求如下:</w:t>
      </w:r>
    </w:p>
    <w:p w14:paraId="65FBE5D6">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3.1供应商在递交响应文件截止时间前被“信用中国”网站（www.creditchina.gov.cn）列入失信被执行人、</w:t>
      </w:r>
      <w:r>
        <w:rPr>
          <w:rFonts w:hint="eastAsia" w:ascii="仿宋" w:hAnsi="仿宋" w:eastAsia="仿宋" w:cs="仿宋"/>
          <w:color w:val="auto"/>
          <w:kern w:val="0"/>
          <w:sz w:val="24"/>
          <w:szCs w:val="24"/>
          <w:highlight w:val="none"/>
          <w:lang w:eastAsia="zh-CN"/>
        </w:rPr>
        <w:t>重大税收违法失信主体</w:t>
      </w:r>
      <w:r>
        <w:rPr>
          <w:rFonts w:hint="eastAsia" w:ascii="仿宋" w:hAnsi="仿宋" w:eastAsia="仿宋" w:cs="仿宋"/>
          <w:color w:val="auto"/>
          <w:kern w:val="0"/>
          <w:sz w:val="24"/>
          <w:szCs w:val="24"/>
          <w:highlight w:val="none"/>
        </w:rPr>
        <w:t>的,或被中国政府采购网（www.ccgp.gov.cn）上列入政府采购严重违法失信行为记录名单的，不得参加磋商；</w:t>
      </w:r>
    </w:p>
    <w:p w14:paraId="159FB8C8">
      <w:pPr>
        <w:widowControl/>
        <w:snapToGrid w:val="0"/>
        <w:spacing w:line="360" w:lineRule="auto"/>
        <w:ind w:right="-197" w:rightChars="-94"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3.2供应商应授权合法的人员参加磋商全过程，其中法定代表人直接参加磋商的，须出具法人身份证，并与营业执照上信息一致。法定代表人授权代表参加磋商的，须出具法定代表人授权书及授权代表身份证、授权代表本单位证明（</w:t>
      </w:r>
      <w:r>
        <w:rPr>
          <w:rFonts w:hint="eastAsia" w:ascii="仿宋" w:hAnsi="仿宋" w:eastAsia="仿宋" w:cs="仿宋"/>
          <w:color w:val="auto"/>
          <w:kern w:val="0"/>
          <w:sz w:val="24"/>
          <w:szCs w:val="24"/>
          <w:lang w:eastAsia="zh-CN"/>
        </w:rPr>
        <w:t>养老保险</w:t>
      </w:r>
      <w:r>
        <w:rPr>
          <w:rFonts w:hint="eastAsia" w:ascii="仿宋" w:hAnsi="仿宋" w:eastAsia="仿宋" w:cs="仿宋"/>
          <w:color w:val="auto"/>
          <w:kern w:val="0"/>
          <w:sz w:val="24"/>
          <w:szCs w:val="24"/>
        </w:rPr>
        <w:t>缴纳证明）；</w:t>
      </w:r>
    </w:p>
    <w:p w14:paraId="35D777AE">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val="en-US" w:eastAsia="zh-CN"/>
        </w:rPr>
        <w:t>3供应商须具有建设行政主管部门颁发的建筑工程施工总承包三级及以上资质，具有有效的安全生产许可证；</w:t>
      </w:r>
    </w:p>
    <w:p w14:paraId="4066DC3C">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val="en-US" w:eastAsia="zh-CN"/>
        </w:rPr>
        <w:t>4供应商拟派项目经理具备注册建造师二级及以上执业资格（建筑工程专业）和有效的安全生产考核合格证书（建安B证），在本单位注册，且无其他在建项目（提供无在建工程的承诺函）；</w:t>
      </w:r>
    </w:p>
    <w:p w14:paraId="05FBAB41">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3.5供应商和拟派项目经理基本信息在“全国建筑市场监管公共服务平台”可查询且无不良记录；外省进陕企业同时提供陕西省住房和城乡建设厅官网企业库外省进陕企业信息首页截图。</w:t>
      </w:r>
    </w:p>
    <w:p w14:paraId="0FDA551B">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3.6需按照磋商公告要求的方式获取磋商文件并登记备案，未按磋商公告要求的方式获取磋商文件并登记备案的供应商均无资格参加磋商。</w:t>
      </w:r>
    </w:p>
    <w:p w14:paraId="681C2B8F">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3.7供应商不得存在下列情形之一：</w:t>
      </w:r>
    </w:p>
    <w:p w14:paraId="09532DED">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（1）单位负责人为同一人或者存在直接控股、管理关系的不同供应商，不得参加本次采购活动；</w:t>
      </w:r>
    </w:p>
    <w:p w14:paraId="3F6A1F38">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（2）为本项目提供整体设计、规范编制或者项目管理、监理、检测等服务的供应商，不得再参加本项目的采购活动；</w:t>
      </w:r>
    </w:p>
    <w:p w14:paraId="07E9F44C">
      <w:pPr>
        <w:keepNext w:val="0"/>
        <w:keepLines w:val="0"/>
        <w:pageBreakBefore w:val="0"/>
        <w:widowControl/>
        <w:kinsoku/>
        <w:wordWrap/>
        <w:overflowPunct/>
        <w:topLinePunct w:val="0"/>
        <w:bidi w:val="0"/>
        <w:snapToGrid w:val="0"/>
        <w:spacing w:line="360" w:lineRule="auto"/>
        <w:ind w:right="-197" w:rightChars="-94"/>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 xml:space="preserve">三、获取采购文件 </w:t>
      </w:r>
      <w:r>
        <w:rPr>
          <w:rFonts w:hint="eastAsia" w:ascii="仿宋" w:hAnsi="仿宋" w:eastAsia="仿宋" w:cs="仿宋"/>
          <w:color w:val="auto"/>
          <w:kern w:val="0"/>
          <w:sz w:val="24"/>
          <w:szCs w:val="24"/>
          <w:lang w:val="en-US" w:eastAsia="zh-CN"/>
        </w:rPr>
        <w:tab/>
      </w:r>
      <w:r>
        <w:rPr>
          <w:rFonts w:hint="eastAsia" w:ascii="仿宋" w:hAnsi="仿宋" w:eastAsia="仿宋" w:cs="仿宋"/>
          <w:color w:val="auto"/>
          <w:kern w:val="0"/>
          <w:sz w:val="24"/>
          <w:szCs w:val="24"/>
          <w:lang w:val="en-US" w:eastAsia="zh-CN"/>
        </w:rPr>
        <w:tab/>
      </w:r>
    </w:p>
    <w:p w14:paraId="791D96DA">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时间：</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en-US" w:eastAsia="zh-CN"/>
        </w:rPr>
        <w:t>09</w:t>
      </w:r>
      <w:r>
        <w:rPr>
          <w:rFonts w:hint="eastAsia" w:ascii="仿宋" w:hAnsi="仿宋" w:eastAsia="仿宋" w:cs="仿宋"/>
          <w:color w:val="auto"/>
          <w:sz w:val="24"/>
          <w:szCs w:val="24"/>
          <w:highlight w:val="none"/>
          <w:lang w:val="zh-CN"/>
        </w:rPr>
        <w:t>日至</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en-US" w:eastAsia="zh-CN"/>
        </w:rPr>
        <w:t>04</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lang w:val="zh-CN"/>
        </w:rPr>
        <w:t>，每天上午0</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val="zh-CN"/>
        </w:rPr>
        <w:t>:00:00至12:00:00下午 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rPr>
        <w:t>:00:00至</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59</w:t>
      </w:r>
      <w:r>
        <w:rPr>
          <w:rFonts w:hint="eastAsia" w:ascii="仿宋" w:hAnsi="仿宋" w:eastAsia="仿宋" w:cs="仿宋"/>
          <w:color w:val="auto"/>
          <w:sz w:val="24"/>
          <w:szCs w:val="24"/>
          <w:lang w:val="zh-CN"/>
        </w:rPr>
        <w:t>:</w:t>
      </w:r>
      <w:r>
        <w:rPr>
          <w:rFonts w:hint="eastAsia" w:ascii="仿宋" w:hAnsi="仿宋" w:eastAsia="仿宋" w:cs="仿宋"/>
          <w:color w:val="auto"/>
          <w:sz w:val="24"/>
          <w:szCs w:val="24"/>
          <w:lang w:val="en-US" w:eastAsia="zh-CN"/>
        </w:rPr>
        <w:t>59</w:t>
      </w:r>
      <w:r>
        <w:rPr>
          <w:rFonts w:hint="eastAsia" w:ascii="仿宋" w:hAnsi="仿宋" w:eastAsia="仿宋" w:cs="仿宋"/>
          <w:color w:val="auto"/>
          <w:sz w:val="24"/>
          <w:szCs w:val="24"/>
          <w:lang w:val="zh-CN"/>
        </w:rPr>
        <w:t>（北京时间,法定节假日除外）</w:t>
      </w:r>
    </w:p>
    <w:p w14:paraId="1944709A">
      <w:pPr>
        <w:autoSpaceDE w:val="0"/>
        <w:autoSpaceDN w:val="0"/>
        <w:adjustRightInd w:val="0"/>
        <w:spacing w:line="360" w:lineRule="auto"/>
        <w:ind w:firstLine="570"/>
        <w:rPr>
          <w:rFonts w:hint="eastAsia" w:ascii="仿宋" w:hAnsi="仿宋" w:eastAsia="仿宋" w:cs="仿宋"/>
          <w:color w:val="auto"/>
          <w:sz w:val="24"/>
          <w:szCs w:val="24"/>
          <w:highlight w:val="red"/>
          <w:lang w:val="zh-CN"/>
        </w:rPr>
      </w:pPr>
      <w:r>
        <w:rPr>
          <w:rFonts w:hint="eastAsia" w:ascii="仿宋" w:hAnsi="仿宋" w:eastAsia="仿宋" w:cs="仿宋"/>
          <w:color w:val="auto"/>
          <w:sz w:val="24"/>
          <w:szCs w:val="24"/>
          <w:highlight w:val="none"/>
          <w:lang w:val="en-US" w:eastAsia="zh-CN"/>
        </w:rPr>
        <w:t>途径</w:t>
      </w:r>
      <w:r>
        <w:rPr>
          <w:rFonts w:hint="eastAsia" w:ascii="仿宋" w:hAnsi="仿宋" w:eastAsia="仿宋" w:cs="仿宋"/>
          <w:color w:val="auto"/>
          <w:sz w:val="24"/>
          <w:szCs w:val="24"/>
          <w:highlight w:val="none"/>
          <w:lang w:val="zh-CN"/>
        </w:rPr>
        <w:t>：全国公共资源交易平台（陕西省·</w:t>
      </w:r>
      <w:r>
        <w:rPr>
          <w:rFonts w:hint="eastAsia" w:ascii="仿宋" w:hAnsi="仿宋" w:eastAsia="仿宋" w:cs="仿宋"/>
          <w:color w:val="auto"/>
          <w:sz w:val="24"/>
          <w:szCs w:val="24"/>
          <w:highlight w:val="none"/>
          <w:lang w:val="en-US" w:eastAsia="zh-CN"/>
        </w:rPr>
        <w:t>延安市</w:t>
      </w:r>
      <w:r>
        <w:rPr>
          <w:rFonts w:hint="eastAsia" w:ascii="仿宋" w:hAnsi="仿宋" w:eastAsia="仿宋" w:cs="仿宋"/>
          <w:color w:val="auto"/>
          <w:sz w:val="24"/>
          <w:szCs w:val="24"/>
          <w:highlight w:val="none"/>
          <w:lang w:val="zh-CN"/>
        </w:rPr>
        <w:t>）</w:t>
      </w:r>
    </w:p>
    <w:p w14:paraId="69ADED0B">
      <w:pPr>
        <w:autoSpaceDE w:val="0"/>
        <w:autoSpaceDN w:val="0"/>
        <w:adjustRightInd w:val="0"/>
        <w:spacing w:line="360" w:lineRule="auto"/>
        <w:ind w:firstLine="57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方式：在线获取</w:t>
      </w:r>
    </w:p>
    <w:p w14:paraId="5C565504">
      <w:pPr>
        <w:autoSpaceDE w:val="0"/>
        <w:autoSpaceDN w:val="0"/>
        <w:spacing w:line="360" w:lineRule="auto"/>
        <w:ind w:firstLine="570"/>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rPr>
        <w:t>售价：</w:t>
      </w:r>
      <w:r>
        <w:rPr>
          <w:rFonts w:hint="eastAsia" w:ascii="仿宋" w:hAnsi="仿宋" w:eastAsia="仿宋" w:cs="仿宋"/>
          <w:color w:val="auto"/>
          <w:sz w:val="24"/>
          <w:szCs w:val="24"/>
        </w:rPr>
        <w:t>0元</w:t>
      </w:r>
    </w:p>
    <w:p w14:paraId="26FA83BD">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lang w:val="zh-CN"/>
        </w:rPr>
        <w:t>四、 响</w:t>
      </w:r>
      <w:r>
        <w:rPr>
          <w:rFonts w:hint="eastAsia" w:ascii="仿宋" w:hAnsi="仿宋" w:eastAsia="仿宋" w:cs="仿宋"/>
          <w:color w:val="auto"/>
          <w:sz w:val="24"/>
          <w:szCs w:val="24"/>
          <w:highlight w:val="none"/>
          <w:lang w:val="zh-CN"/>
        </w:rPr>
        <w:t>应文件</w:t>
      </w:r>
      <w:r>
        <w:rPr>
          <w:rFonts w:hint="eastAsia" w:ascii="仿宋" w:hAnsi="仿宋" w:eastAsia="仿宋" w:cs="仿宋"/>
          <w:color w:val="auto"/>
          <w:sz w:val="24"/>
          <w:szCs w:val="24"/>
          <w:highlight w:val="none"/>
          <w:lang w:val="en-US" w:eastAsia="zh-CN"/>
        </w:rPr>
        <w:t>提</w:t>
      </w:r>
      <w:r>
        <w:rPr>
          <w:rFonts w:hint="eastAsia" w:ascii="仿宋" w:hAnsi="仿宋" w:eastAsia="仿宋" w:cs="仿宋"/>
          <w:color w:val="auto"/>
          <w:sz w:val="24"/>
          <w:szCs w:val="24"/>
          <w:highlight w:val="none"/>
          <w:lang w:val="zh-CN"/>
        </w:rPr>
        <w:t xml:space="preserve">交 </w:t>
      </w:r>
    </w:p>
    <w:p w14:paraId="2E40DF84">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rPr>
        <w:t>年0</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en-US" w:eastAsia="zh-CN"/>
        </w:rPr>
        <w:t>15时30分</w:t>
      </w:r>
      <w:r>
        <w:rPr>
          <w:rFonts w:hint="eastAsia" w:ascii="仿宋" w:hAnsi="仿宋" w:eastAsia="仿宋" w:cs="仿宋"/>
          <w:color w:val="auto"/>
          <w:sz w:val="24"/>
          <w:szCs w:val="24"/>
          <w:highlight w:val="none"/>
          <w:lang w:val="zh-CN"/>
        </w:rPr>
        <w:t>00秒（北京时间）</w:t>
      </w:r>
    </w:p>
    <w:p w14:paraId="7B502BD6">
      <w:pPr>
        <w:spacing w:line="400" w:lineRule="exact"/>
        <w:ind w:firstLine="480" w:firstLineChars="200"/>
        <w:outlineLvl w:val="1"/>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地点：</w:t>
      </w:r>
      <w:r>
        <w:rPr>
          <w:rFonts w:hint="eastAsia" w:ascii="仿宋" w:hAnsi="仿宋" w:eastAsia="仿宋" w:cs="仿宋"/>
          <w:color w:val="auto"/>
          <w:sz w:val="24"/>
          <w:szCs w:val="24"/>
          <w:highlight w:val="none"/>
          <w:lang w:eastAsia="zh-CN"/>
        </w:rPr>
        <w:t>延安市公共资源交易中心</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交易</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厅</w:t>
      </w:r>
      <w:r>
        <w:rPr>
          <w:rFonts w:hint="eastAsia" w:ascii="仿宋" w:hAnsi="仿宋" w:eastAsia="仿宋" w:cs="仿宋"/>
          <w:color w:val="auto"/>
          <w:sz w:val="24"/>
          <w:szCs w:val="24"/>
          <w:highlight w:val="none"/>
          <w:lang w:val="en-US" w:eastAsia="zh-CN"/>
        </w:rPr>
        <w:t>线下递交</w:t>
      </w:r>
    </w:p>
    <w:p w14:paraId="15981D12">
      <w:pPr>
        <w:spacing w:line="400" w:lineRule="exact"/>
        <w:outlineLvl w:val="1"/>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五、</w:t>
      </w:r>
      <w:r>
        <w:rPr>
          <w:rFonts w:hint="eastAsia" w:ascii="仿宋" w:hAnsi="仿宋" w:eastAsia="仿宋" w:cs="仿宋"/>
          <w:color w:val="auto"/>
          <w:sz w:val="24"/>
          <w:szCs w:val="24"/>
          <w:highlight w:val="none"/>
          <w:lang w:val="en-US" w:eastAsia="zh-CN"/>
        </w:rPr>
        <w:t>开启</w:t>
      </w:r>
    </w:p>
    <w:p w14:paraId="66570F78">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CN"/>
        </w:rPr>
        <w:t>年0</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en-US" w:eastAsia="zh-CN"/>
        </w:rPr>
        <w:t>15时30分</w:t>
      </w:r>
      <w:r>
        <w:rPr>
          <w:rFonts w:hint="eastAsia" w:ascii="仿宋" w:hAnsi="仿宋" w:eastAsia="仿宋" w:cs="仿宋"/>
          <w:color w:val="auto"/>
          <w:sz w:val="24"/>
          <w:szCs w:val="24"/>
          <w:highlight w:val="none"/>
          <w:lang w:val="zh-CN"/>
        </w:rPr>
        <w:t>00秒（北京时间）</w:t>
      </w:r>
    </w:p>
    <w:p w14:paraId="587B8FA5">
      <w:pPr>
        <w:spacing w:line="400" w:lineRule="exact"/>
        <w:ind w:firstLine="480" w:firstLineChars="200"/>
        <w:outlineLvl w:val="1"/>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地点：</w:t>
      </w:r>
      <w:r>
        <w:rPr>
          <w:rFonts w:hint="eastAsia" w:ascii="仿宋" w:hAnsi="仿宋" w:eastAsia="仿宋" w:cs="仿宋"/>
          <w:color w:val="auto"/>
          <w:sz w:val="24"/>
          <w:szCs w:val="24"/>
          <w:highlight w:val="none"/>
          <w:lang w:eastAsia="zh-CN"/>
        </w:rPr>
        <w:t>延安市公共资源交易中心</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交易</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厅</w:t>
      </w:r>
    </w:p>
    <w:p w14:paraId="70997426">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六、公告期限</w:t>
      </w:r>
    </w:p>
    <w:p w14:paraId="77E9EF83">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自本公告发布之日起</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rPr>
        <w:t>个工作日。</w:t>
      </w:r>
    </w:p>
    <w:p w14:paraId="5BCDA6DD">
      <w:pPr>
        <w:keepNext w:val="0"/>
        <w:keepLines w:val="0"/>
        <w:pageBreakBefore w:val="0"/>
        <w:numPr>
          <w:ilvl w:val="0"/>
          <w:numId w:val="6"/>
        </w:numPr>
        <w:kinsoku/>
        <w:wordWrap/>
        <w:overflowPunct/>
        <w:topLinePunct w:val="0"/>
        <w:autoSpaceDE w:val="0"/>
        <w:autoSpaceDN w:val="0"/>
        <w:bidi w:val="0"/>
        <w:adjustRightInd w:val="0"/>
        <w:spacing w:line="360" w:lineRule="auto"/>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其他补充事宜</w:t>
      </w:r>
    </w:p>
    <w:p w14:paraId="24C13AB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1、落实政府采购政策：</w:t>
      </w:r>
    </w:p>
    <w:p w14:paraId="7D175A7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1.1《关于进一步加大政府采购支持中小企业力度的通知》（财库〔2022〕19号）、《政府采购促进中小企业发展管理办法》（财库〔2020〕46号）、《财政部 司法部关于政府采购支持监狱企业发展有关问题的通知》（财库〔2014〕68号）、《财政部 民政部 中国残疾人联合会关于促进残疾人就业政府采购政策的通知》（财库〔2017〕141号）。</w:t>
      </w:r>
    </w:p>
    <w:p w14:paraId="19A2C48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46E32DD7">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1.3《关于运用政府采购政策支持乡村产业振兴的通知》（财库〔2021〕19 号）、《关于印发&lt;关于深入开展政府采购脱贫地区农副产品工作推进乡村产业振兴的实施意见&gt;的通知》（财库〔2021〕20 号）。</w:t>
      </w:r>
    </w:p>
    <w:p w14:paraId="1CA41E59">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1.4《国家互联网信息办公室 工业和信息化部 公安部 财政部 国家认证认可监督管理委员会关于调整网络安全专用产品安全管理有关事项的公告》（2023年第1号）。</w:t>
      </w:r>
    </w:p>
    <w:p w14:paraId="1DBF4B3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1.5《陕西省财政厅关于加快推进我省中小企业政府采购信用融资工作的通知》（陕财办采〔2020〕15 号）、《陕西省财政厅关于印发&lt;陕西省中小企业政府采购信用融资办法&gt;的通知》（陕财办采〔2018〕23 号）。</w:t>
      </w:r>
    </w:p>
    <w:p w14:paraId="000F0325">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w:t>
      </w:r>
    </w:p>
    <w:p w14:paraId="53893EED">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若享受以上政策优惠的企业，提供相应声明函或品目清单范围内产品的有效认证证书或相关证明。</w:t>
      </w:r>
    </w:p>
    <w:p w14:paraId="0D370D3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u w:val="none"/>
          <w:lang w:val="zh-CN"/>
        </w:rPr>
      </w:pPr>
      <w:r>
        <w:rPr>
          <w:rFonts w:hint="eastAsia" w:ascii="仿宋" w:hAnsi="仿宋" w:eastAsia="仿宋" w:cs="仿宋"/>
          <w:color w:val="auto"/>
          <w:kern w:val="2"/>
          <w:sz w:val="24"/>
          <w:szCs w:val="24"/>
          <w:u w:val="none"/>
          <w:lang w:val="zh-CN" w:eastAsia="zh-CN" w:bidi="ar-SA"/>
        </w:rPr>
        <w:t>2、获取文件</w:t>
      </w:r>
      <w:r>
        <w:rPr>
          <w:rFonts w:hint="eastAsia" w:ascii="仿宋" w:hAnsi="仿宋" w:eastAsia="仿宋" w:cs="仿宋"/>
          <w:color w:val="auto"/>
          <w:sz w:val="24"/>
          <w:szCs w:val="24"/>
          <w:u w:val="none"/>
          <w:lang w:val="zh-CN"/>
        </w:rPr>
        <w:t>须知：使用捆绑省交易平台的CA锁登录电子交易平台，通过政府采购系统企业端进入，点击我要投标，完善相关投标信息。</w:t>
      </w:r>
      <w:r>
        <w:rPr>
          <w:rStyle w:val="61"/>
          <w:rFonts w:hint="eastAsia" w:ascii="仿宋" w:hAnsi="仿宋" w:eastAsia="仿宋" w:cs="仿宋"/>
          <w:color w:val="auto"/>
          <w:sz w:val="24"/>
          <w:szCs w:val="24"/>
          <w:u w:val="none"/>
          <w:lang w:val="zh-CN"/>
        </w:rPr>
        <w:t>网上投标确认后在线下载</w:t>
      </w:r>
      <w:r>
        <w:rPr>
          <w:rStyle w:val="61"/>
          <w:rFonts w:hint="eastAsia" w:ascii="仿宋" w:hAnsi="仿宋" w:eastAsia="仿宋" w:cs="仿宋"/>
          <w:color w:val="auto"/>
          <w:sz w:val="24"/>
          <w:szCs w:val="24"/>
          <w:u w:val="none"/>
          <w:lang w:val="en-US" w:eastAsia="zh-CN"/>
        </w:rPr>
        <w:t>磋商</w:t>
      </w:r>
      <w:r>
        <w:rPr>
          <w:rStyle w:val="61"/>
          <w:rFonts w:hint="eastAsia" w:ascii="仿宋" w:hAnsi="仿宋" w:eastAsia="仿宋" w:cs="仿宋"/>
          <w:color w:val="auto"/>
          <w:sz w:val="24"/>
          <w:szCs w:val="24"/>
          <w:u w:val="none"/>
          <w:lang w:val="zh-CN"/>
        </w:rPr>
        <w:t>文件，未完成网上响应成功的或未在文件</w:t>
      </w:r>
      <w:r>
        <w:rPr>
          <w:rStyle w:val="61"/>
          <w:rFonts w:hint="eastAsia" w:ascii="仿宋" w:hAnsi="仿宋" w:eastAsia="仿宋" w:cs="仿宋"/>
          <w:color w:val="auto"/>
          <w:sz w:val="24"/>
          <w:szCs w:val="24"/>
          <w:u w:val="none"/>
          <w:lang w:val="en-US" w:eastAsia="zh-CN"/>
        </w:rPr>
        <w:t>获取</w:t>
      </w:r>
      <w:r>
        <w:rPr>
          <w:rStyle w:val="61"/>
          <w:rFonts w:hint="eastAsia" w:ascii="仿宋" w:hAnsi="仿宋" w:eastAsia="仿宋" w:cs="仿宋"/>
          <w:color w:val="auto"/>
          <w:sz w:val="24"/>
          <w:szCs w:val="24"/>
          <w:u w:val="none"/>
          <w:lang w:val="zh-CN"/>
        </w:rPr>
        <w:t>时间内从电子交易平台下载</w:t>
      </w:r>
      <w:r>
        <w:rPr>
          <w:rStyle w:val="61"/>
          <w:rFonts w:hint="eastAsia" w:ascii="仿宋" w:hAnsi="仿宋" w:eastAsia="仿宋" w:cs="仿宋"/>
          <w:color w:val="auto"/>
          <w:sz w:val="24"/>
          <w:szCs w:val="24"/>
          <w:u w:val="none"/>
          <w:lang w:val="en-US" w:eastAsia="zh-CN"/>
        </w:rPr>
        <w:t>磋商</w:t>
      </w:r>
      <w:r>
        <w:rPr>
          <w:rStyle w:val="61"/>
          <w:rFonts w:hint="eastAsia" w:ascii="仿宋" w:hAnsi="仿宋" w:eastAsia="仿宋" w:cs="仿宋"/>
          <w:color w:val="auto"/>
          <w:sz w:val="24"/>
          <w:szCs w:val="24"/>
          <w:u w:val="none"/>
          <w:lang w:val="zh-CN"/>
        </w:rPr>
        <w:t>文件的，无法完成后续流程。</w:t>
      </w:r>
    </w:p>
    <w:p w14:paraId="1CC8E25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kern w:val="2"/>
          <w:sz w:val="24"/>
          <w:szCs w:val="24"/>
          <w:lang w:val="zh-CN" w:eastAsia="zh-CN" w:bidi="ar-SA"/>
        </w:rPr>
        <w:t>3、</w:t>
      </w:r>
      <w:r>
        <w:rPr>
          <w:rFonts w:hint="eastAsia" w:ascii="仿宋" w:hAnsi="仿宋" w:eastAsia="仿宋" w:cs="仿宋"/>
          <w:color w:val="auto"/>
          <w:sz w:val="24"/>
          <w:szCs w:val="24"/>
          <w:lang w:val="zh-CN"/>
        </w:rPr>
        <w:t>相关操作流程详见全国公共资源交易平台（陕西省）网站[服务指南-下载专区]中的《陕西省公共资源交易中心政府招标项目投标指南》。文件技术支持：4009280095、4009980000。</w:t>
      </w:r>
    </w:p>
    <w:p w14:paraId="569F2E1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、请各</w:t>
      </w:r>
      <w:r>
        <w:rPr>
          <w:rFonts w:hint="eastAsia" w:ascii="仿宋" w:hAnsi="仿宋" w:eastAsia="仿宋" w:cs="仿宋"/>
          <w:color w:val="auto"/>
          <w:sz w:val="24"/>
          <w:szCs w:val="24"/>
          <w:lang w:val="en-US" w:eastAsia="zh-CN"/>
        </w:rPr>
        <w:t>供应商获取磋商</w:t>
      </w:r>
      <w:r>
        <w:rPr>
          <w:rFonts w:hint="eastAsia" w:ascii="仿宋" w:hAnsi="仿宋" w:eastAsia="仿宋" w:cs="仿宋"/>
          <w:color w:val="auto"/>
          <w:sz w:val="24"/>
          <w:szCs w:val="24"/>
          <w:lang w:val="zh-CN"/>
        </w:rPr>
        <w:t>文件后，按照陕西省财政厅《关于政府采</w:t>
      </w:r>
      <w:r>
        <w:rPr>
          <w:rFonts w:hint="eastAsia" w:ascii="仿宋" w:hAnsi="仿宋" w:eastAsia="仿宋" w:cs="仿宋"/>
          <w:color w:val="auto"/>
          <w:sz w:val="24"/>
          <w:szCs w:val="24"/>
          <w:lang w:val="en-US" w:eastAsia="zh-CN"/>
        </w:rPr>
        <w:t>购</w:t>
      </w:r>
      <w:r>
        <w:rPr>
          <w:rFonts w:hint="eastAsia" w:ascii="仿宋" w:hAnsi="仿宋" w:eastAsia="仿宋" w:cs="仿宋"/>
          <w:color w:val="auto"/>
          <w:sz w:val="24"/>
          <w:szCs w:val="24"/>
          <w:lang w:val="zh-CN"/>
        </w:rPr>
        <w:t>供应商注册登记有关事项的通知》要求，通过陕西省政府采购网注册登记加入陕西省政府采购供应商库。</w:t>
      </w:r>
    </w:p>
    <w:p w14:paraId="7D5DC10C">
      <w:pPr>
        <w:keepNext w:val="0"/>
        <w:keepLines w:val="0"/>
        <w:pageBreakBefore w:val="0"/>
        <w:numPr>
          <w:ilvl w:val="0"/>
          <w:numId w:val="6"/>
        </w:numPr>
        <w:kinsoku/>
        <w:wordWrap/>
        <w:overflowPunct/>
        <w:topLinePunct w:val="0"/>
        <w:autoSpaceDE w:val="0"/>
        <w:autoSpaceDN w:val="0"/>
        <w:bidi w:val="0"/>
        <w:adjustRightInd w:val="0"/>
        <w:spacing w:line="360" w:lineRule="auto"/>
        <w:ind w:left="0" w:leftChars="0" w:firstLine="0" w:firstLineChars="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凡对本次采购提出询问，请按以下方式联系。</w:t>
      </w:r>
    </w:p>
    <w:p w14:paraId="746F5CE1">
      <w:pPr>
        <w:pStyle w:val="22"/>
        <w:rPr>
          <w:rFonts w:hint="eastAsia" w:ascii="仿宋" w:hAnsi="仿宋" w:eastAsia="仿宋" w:cs="仿宋"/>
          <w:color w:val="auto"/>
          <w:sz w:val="24"/>
          <w:szCs w:val="24"/>
        </w:rPr>
      </w:pPr>
      <w:r>
        <w:rPr>
          <w:rFonts w:hint="eastAsia" w:ascii="仿宋" w:hAnsi="仿宋" w:eastAsia="仿宋" w:cs="仿宋"/>
          <w:color w:val="auto"/>
          <w:sz w:val="24"/>
          <w:szCs w:val="24"/>
        </w:rPr>
        <w:t>1、采购人信息：</w:t>
      </w:r>
    </w:p>
    <w:p w14:paraId="2DA17825">
      <w:pPr>
        <w:pStyle w:val="22"/>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名称：</w:t>
      </w:r>
      <w:r>
        <w:rPr>
          <w:rFonts w:hint="eastAsia" w:ascii="仿宋" w:hAnsi="仿宋" w:eastAsia="仿宋" w:cs="仿宋"/>
          <w:color w:val="auto"/>
          <w:sz w:val="24"/>
          <w:szCs w:val="24"/>
          <w:lang w:eastAsia="zh-CN"/>
        </w:rPr>
        <w:t>宜川县人民医院</w:t>
      </w:r>
    </w:p>
    <w:p w14:paraId="64099998">
      <w:pPr>
        <w:pStyle w:val="22"/>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地址：宜川县南大街31号</w:t>
      </w:r>
    </w:p>
    <w:p w14:paraId="5879D6A4">
      <w:pPr>
        <w:pStyle w:val="22"/>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联系方式：</w:t>
      </w:r>
      <w:r>
        <w:rPr>
          <w:rFonts w:hint="eastAsia" w:ascii="仿宋" w:hAnsi="仿宋" w:eastAsia="仿宋" w:cs="仿宋"/>
          <w:color w:val="auto"/>
          <w:sz w:val="24"/>
        </w:rPr>
        <w:t>0911-8371118</w:t>
      </w:r>
    </w:p>
    <w:p w14:paraId="29916802">
      <w:pPr>
        <w:pStyle w:val="22"/>
        <w:rPr>
          <w:rFonts w:hint="eastAsia" w:ascii="仿宋" w:hAnsi="仿宋" w:eastAsia="仿宋" w:cs="仿宋"/>
          <w:color w:val="auto"/>
          <w:sz w:val="24"/>
          <w:szCs w:val="24"/>
        </w:rPr>
      </w:pPr>
      <w:r>
        <w:rPr>
          <w:rFonts w:hint="eastAsia" w:ascii="仿宋" w:hAnsi="仿宋" w:eastAsia="仿宋" w:cs="仿宋"/>
          <w:color w:val="auto"/>
          <w:sz w:val="24"/>
          <w:szCs w:val="24"/>
        </w:rPr>
        <w:t>2、采购代理机构信息</w:t>
      </w:r>
    </w:p>
    <w:p w14:paraId="140A6200">
      <w:pPr>
        <w:pStyle w:val="22"/>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名称：陕西省采购招标有限责任公司</w:t>
      </w:r>
    </w:p>
    <w:p w14:paraId="2E3644C7">
      <w:pPr>
        <w:pStyle w:val="22"/>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联系地址：</w:t>
      </w:r>
      <w:r>
        <w:rPr>
          <w:rFonts w:hint="eastAsia" w:ascii="仿宋" w:hAnsi="仿宋" w:eastAsia="仿宋" w:cs="仿宋"/>
          <w:color w:val="auto"/>
          <w:sz w:val="24"/>
          <w:szCs w:val="24"/>
          <w:lang w:val="en-US" w:eastAsia="zh-CN"/>
        </w:rPr>
        <w:t>西安市高新区都市之门C座9层</w:t>
      </w:r>
    </w:p>
    <w:p w14:paraId="26FFD03D">
      <w:pPr>
        <w:pStyle w:val="22"/>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联系方式：</w:t>
      </w:r>
      <w:r>
        <w:rPr>
          <w:rFonts w:hint="eastAsia" w:ascii="仿宋" w:hAnsi="仿宋" w:eastAsia="仿宋" w:cs="仿宋"/>
          <w:color w:val="auto"/>
          <w:sz w:val="24"/>
          <w:szCs w:val="24"/>
          <w:lang w:val="en-US" w:eastAsia="zh-CN"/>
        </w:rPr>
        <w:t>15009283469</w:t>
      </w:r>
    </w:p>
    <w:p w14:paraId="58C58391">
      <w:pPr>
        <w:pStyle w:val="22"/>
        <w:rPr>
          <w:rFonts w:hint="eastAsia" w:ascii="仿宋" w:hAnsi="仿宋" w:eastAsia="仿宋" w:cs="仿宋"/>
          <w:color w:val="auto"/>
          <w:sz w:val="24"/>
          <w:szCs w:val="24"/>
        </w:rPr>
      </w:pPr>
      <w:r>
        <w:rPr>
          <w:rFonts w:hint="eastAsia" w:ascii="仿宋" w:hAnsi="仿宋" w:eastAsia="仿宋" w:cs="仿宋"/>
          <w:color w:val="auto"/>
          <w:sz w:val="24"/>
          <w:szCs w:val="24"/>
        </w:rPr>
        <w:t>3、项目联系方式：</w:t>
      </w:r>
    </w:p>
    <w:p w14:paraId="7EE44D9A">
      <w:pPr>
        <w:pStyle w:val="22"/>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项目联系人：</w:t>
      </w:r>
      <w:r>
        <w:rPr>
          <w:rFonts w:hint="eastAsia" w:ascii="仿宋" w:hAnsi="仿宋" w:eastAsia="仿宋" w:cs="仿宋"/>
          <w:color w:val="auto"/>
          <w:sz w:val="24"/>
          <w:szCs w:val="24"/>
          <w:lang w:val="en-US" w:eastAsia="zh-CN"/>
        </w:rPr>
        <w:t>周乐</w:t>
      </w:r>
      <w:r>
        <w:rPr>
          <w:rFonts w:hint="eastAsia" w:ascii="仿宋" w:hAnsi="仿宋" w:eastAsia="仿宋" w:cs="仿宋"/>
          <w:color w:val="auto"/>
          <w:sz w:val="24"/>
          <w:szCs w:val="24"/>
        </w:rPr>
        <w:t>、雷鹏</w:t>
      </w:r>
    </w:p>
    <w:p w14:paraId="65BDFB63">
      <w:pPr>
        <w:pStyle w:val="22"/>
        <w:ind w:firstLine="480" w:firstLineChars="200"/>
        <w:rPr>
          <w:rFonts w:ascii="仿宋_GB2312" w:hAnsi="仿宋_GB2312" w:eastAsia="仿宋_GB2312" w:cs="仿宋_GB2312"/>
          <w:color w:val="auto"/>
        </w:rPr>
      </w:pPr>
      <w:r>
        <w:rPr>
          <w:rFonts w:hint="eastAsia" w:ascii="仿宋" w:hAnsi="仿宋" w:eastAsia="仿宋" w:cs="仿宋"/>
          <w:color w:val="auto"/>
          <w:sz w:val="24"/>
          <w:szCs w:val="24"/>
        </w:rPr>
        <w:t>电话：</w:t>
      </w:r>
      <w:r>
        <w:rPr>
          <w:rFonts w:hint="eastAsia" w:ascii="仿宋" w:hAnsi="仿宋" w:eastAsia="仿宋" w:cs="仿宋"/>
          <w:color w:val="auto"/>
          <w:sz w:val="24"/>
          <w:szCs w:val="24"/>
          <w:lang w:val="en-US" w:eastAsia="zh-CN"/>
        </w:rPr>
        <w:t>15009283469</w:t>
      </w:r>
      <w:r>
        <w:rPr>
          <w:rFonts w:hint="eastAsia" w:ascii="仿宋_GB2312" w:hAnsi="仿宋_GB2312" w:eastAsia="仿宋_GB2312" w:cs="仿宋_GB2312"/>
          <w:color w:val="auto"/>
        </w:rPr>
        <w:br w:type="page"/>
      </w:r>
    </w:p>
    <w:bookmarkEnd w:id="3"/>
    <w:bookmarkEnd w:id="4"/>
    <w:bookmarkEnd w:id="5"/>
    <w:bookmarkEnd w:id="6"/>
    <w:bookmarkEnd w:id="7"/>
    <w:bookmarkEnd w:id="8"/>
    <w:bookmarkEnd w:id="9"/>
    <w:bookmarkEnd w:id="10"/>
    <w:bookmarkEnd w:id="11"/>
    <w:bookmarkEnd w:id="12"/>
    <w:bookmarkEnd w:id="13"/>
    <w:bookmarkEnd w:id="14"/>
    <w:bookmarkEnd w:id="15"/>
    <w:bookmarkEnd w:id="16"/>
    <w:p w14:paraId="7C347C43">
      <w:pPr>
        <w:pStyle w:val="46"/>
        <w:rPr>
          <w:rFonts w:ascii="仿宋_GB2312" w:hAnsi="仿宋_GB2312" w:eastAsia="仿宋_GB2312" w:cs="仿宋_GB2312"/>
          <w:color w:val="auto"/>
        </w:rPr>
      </w:pPr>
      <w:bookmarkStart w:id="20" w:name="_Toc230099796"/>
      <w:bookmarkStart w:id="21" w:name="_Toc58504446"/>
      <w:bookmarkStart w:id="22" w:name="_Toc415499895"/>
      <w:bookmarkStart w:id="23" w:name="_Toc232176271"/>
      <w:bookmarkStart w:id="24" w:name="_Toc21126"/>
      <w:bookmarkStart w:id="25" w:name="_Toc256342142"/>
      <w:bookmarkStart w:id="26" w:name="_Toc14345"/>
      <w:bookmarkStart w:id="27" w:name="_Toc249525158"/>
      <w:bookmarkStart w:id="28" w:name="_Toc230013631"/>
      <w:bookmarkStart w:id="29" w:name="_Toc184043011"/>
      <w:bookmarkStart w:id="30" w:name="_Toc249515277"/>
      <w:bookmarkStart w:id="31" w:name="_Toc230583540"/>
      <w:bookmarkStart w:id="32" w:name="_Toc232395211"/>
      <w:bookmarkStart w:id="33" w:name="_Toc249515389"/>
      <w:bookmarkStart w:id="34" w:name="_Toc503063421"/>
      <w:bookmarkStart w:id="35" w:name="_Toc499711883"/>
      <w:bookmarkStart w:id="36" w:name="_Toc184043012"/>
      <w:bookmarkStart w:id="37" w:name="_Toc249525159"/>
      <w:bookmarkStart w:id="38" w:name="_Toc177995473"/>
      <w:bookmarkStart w:id="39" w:name="_Toc249515278"/>
      <w:bookmarkStart w:id="40" w:name="_Toc230013632"/>
      <w:bookmarkStart w:id="41" w:name="_Toc177817334"/>
      <w:bookmarkStart w:id="42" w:name="_Toc230583541"/>
      <w:bookmarkStart w:id="43" w:name="_Toc256342143"/>
      <w:bookmarkStart w:id="44" w:name="_Toc176882542"/>
      <w:bookmarkStart w:id="45" w:name="_Toc500747061"/>
      <w:bookmarkStart w:id="46" w:name="_Toc53722840"/>
      <w:bookmarkStart w:id="47" w:name="_Toc232395212"/>
      <w:bookmarkStart w:id="48" w:name="_Toc177189235"/>
      <w:bookmarkStart w:id="49" w:name="_Toc232176272"/>
      <w:bookmarkStart w:id="50" w:name="_Toc249515390"/>
      <w:bookmarkStart w:id="51" w:name="_Toc500746965"/>
      <w:bookmarkStart w:id="52" w:name="_Toc496324578"/>
      <w:bookmarkStart w:id="53" w:name="_Toc500747188"/>
      <w:bookmarkStart w:id="54" w:name="_Toc499711042"/>
      <w:bookmarkStart w:id="55" w:name="_Toc70687139"/>
      <w:bookmarkStart w:id="56" w:name="_Toc492955414"/>
      <w:bookmarkStart w:id="57" w:name="_Toc230099797"/>
      <w:r>
        <w:rPr>
          <w:rFonts w:hint="eastAsia" w:ascii="仿宋_GB2312" w:hAnsi="仿宋_GB2312" w:eastAsia="仿宋_GB2312" w:cs="仿宋_GB2312"/>
          <w:color w:val="auto"/>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8FF7D79">
      <w:pPr>
        <w:pStyle w:val="85"/>
        <w:spacing w:before="240" w:beforeLines="100" w:after="24"/>
        <w:jc w:val="center"/>
        <w:rPr>
          <w:rFonts w:ascii="仿宋_GB2312" w:hAnsi="仿宋_GB2312" w:eastAsia="仿宋_GB2312" w:cs="仿宋_GB2312"/>
          <w:color w:val="auto"/>
          <w:sz w:val="28"/>
          <w:szCs w:val="28"/>
        </w:rPr>
      </w:pPr>
      <w:bookmarkStart w:id="58" w:name="_Toc18910"/>
      <w:r>
        <w:rPr>
          <w:rFonts w:hint="eastAsia" w:ascii="仿宋_GB2312" w:hAnsi="仿宋_GB2312" w:eastAsia="仿宋_GB2312" w:cs="仿宋_GB2312"/>
          <w:color w:val="auto"/>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1D34B82">
      <w:pPr>
        <w:rPr>
          <w:rFonts w:ascii="仿宋_GB2312" w:hAnsi="仿宋_GB2312" w:eastAsia="仿宋_GB2312" w:cs="仿宋_GB2312"/>
          <w:color w:val="auto"/>
          <w:sz w:val="28"/>
          <w:szCs w:val="28"/>
        </w:rPr>
      </w:pPr>
    </w:p>
    <w:p w14:paraId="7D9C72C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本表是对供应商须知的具体补充和修改，如有矛盾，均以本表为准。</w:t>
      </w:r>
    </w:p>
    <w:p w14:paraId="3A8554F1">
      <w:pPr>
        <w:ind w:left="823" w:hanging="823" w:hangingChars="343"/>
        <w:rPr>
          <w:rFonts w:ascii="仿宋_GB2312" w:hAnsi="仿宋_GB2312" w:eastAsia="仿宋_GB2312" w:cs="仿宋_GB2312"/>
          <w:b/>
          <w:color w:val="auto"/>
          <w:sz w:val="24"/>
        </w:rPr>
      </w:pPr>
      <w:r>
        <w:rPr>
          <w:rFonts w:hint="eastAsia" w:ascii="仿宋_GB2312" w:hAnsi="仿宋_GB2312" w:eastAsia="仿宋_GB2312" w:cs="仿宋_GB2312"/>
          <w:color w:val="auto"/>
          <w:sz w:val="24"/>
        </w:rPr>
        <w:t xml:space="preserve">   </w:t>
      </w:r>
    </w:p>
    <w:bookmarkEnd w:id="17"/>
    <w:tbl>
      <w:tblPr>
        <w:tblStyle w:val="50"/>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832"/>
      </w:tblGrid>
      <w:tr w14:paraId="60C9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15694601">
            <w:pPr>
              <w:pStyle w:val="28"/>
              <w:keepNext w:val="0"/>
              <w:keepLines w:val="0"/>
              <w:pageBreakBefore w:val="0"/>
              <w:kinsoku/>
              <w:overflowPunct/>
              <w:topLinePunct w:val="0"/>
              <w:bidi w:val="0"/>
              <w:adjustRightInd w:val="0"/>
              <w:snapToGrid w:val="0"/>
              <w:spacing w:line="240" w:lineRule="auto"/>
              <w:jc w:val="center"/>
              <w:textAlignment w:val="auto"/>
              <w:rPr>
                <w:rFonts w:ascii="仿宋_GB2312" w:hAnsi="仿宋_GB2312" w:eastAsia="仿宋_GB2312" w:cs="仿宋_GB2312"/>
                <w:b/>
                <w:color w:val="auto"/>
                <w:sz w:val="24"/>
                <w:szCs w:val="24"/>
              </w:rPr>
            </w:pPr>
            <w:bookmarkStart w:id="59" w:name="_Hlt14560610"/>
            <w:bookmarkEnd w:id="59"/>
            <w:bookmarkStart w:id="60" w:name="_Toc503063423"/>
            <w:bookmarkStart w:id="61" w:name="_Toc492955416"/>
            <w:bookmarkStart w:id="62" w:name="_Toc500747063"/>
            <w:bookmarkStart w:id="63" w:name="_Toc500747190"/>
            <w:bookmarkStart w:id="64" w:name="_Toc385992326"/>
            <w:bookmarkStart w:id="65" w:name="_Toc500746967"/>
            <w:bookmarkStart w:id="66" w:name="_Toc499711885"/>
            <w:bookmarkStart w:id="67" w:name="_Toc499711044"/>
            <w:bookmarkStart w:id="68" w:name="_Toc389620165"/>
            <w:bookmarkStart w:id="69" w:name="_Toc496324580"/>
            <w:r>
              <w:rPr>
                <w:rFonts w:hint="eastAsia" w:ascii="仿宋_GB2312" w:hAnsi="仿宋_GB2312" w:eastAsia="仿宋_GB2312" w:cs="仿宋_GB2312"/>
                <w:b/>
                <w:color w:val="auto"/>
                <w:sz w:val="24"/>
                <w:szCs w:val="24"/>
              </w:rPr>
              <w:t>条款号</w:t>
            </w:r>
          </w:p>
        </w:tc>
        <w:tc>
          <w:tcPr>
            <w:tcW w:w="7832" w:type="dxa"/>
            <w:vAlign w:val="center"/>
          </w:tcPr>
          <w:p w14:paraId="11BEEDC3">
            <w:pPr>
              <w:pStyle w:val="28"/>
              <w:keepNext w:val="0"/>
              <w:keepLines w:val="0"/>
              <w:pageBreakBefore w:val="0"/>
              <w:kinsoku/>
              <w:overflowPunct/>
              <w:topLinePunct w:val="0"/>
              <w:bidi w:val="0"/>
              <w:adjustRightInd w:val="0"/>
              <w:snapToGrid w:val="0"/>
              <w:spacing w:line="240" w:lineRule="auto"/>
              <w:jc w:val="center"/>
              <w:textAlignment w:val="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内容说明</w:t>
            </w:r>
          </w:p>
        </w:tc>
      </w:tr>
      <w:tr w14:paraId="4AE7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22387C8E">
            <w:pPr>
              <w:pStyle w:val="28"/>
              <w:keepNext w:val="0"/>
              <w:keepLines w:val="0"/>
              <w:pageBreakBefore w:val="0"/>
              <w:kinsoku/>
              <w:overflowPunct/>
              <w:topLinePunct w:val="0"/>
              <w:bidi w:val="0"/>
              <w:adjustRightInd w:val="0"/>
              <w:snapToGrid w:val="0"/>
              <w:spacing w:line="240" w:lineRule="auto"/>
              <w:jc w:val="center"/>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7832" w:type="dxa"/>
            <w:vAlign w:val="center"/>
          </w:tcPr>
          <w:p w14:paraId="35FC94FB">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项目名称：宜川县人民医院介入中心导管室建设采购项目</w:t>
            </w:r>
          </w:p>
          <w:p w14:paraId="5D64C569">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项目编号：SCZD2026-CS-0796-001</w:t>
            </w:r>
          </w:p>
          <w:p w14:paraId="27D2ED41">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资金来源：自筹资金</w:t>
            </w:r>
          </w:p>
          <w:p w14:paraId="09D6A65E">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预算金额：839,238.71元</w:t>
            </w:r>
          </w:p>
          <w:p w14:paraId="6DDAFBBB">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en-US" w:eastAsia="zh-CN" w:bidi="ar-SA"/>
              </w:rPr>
              <w:t>最高限价</w:t>
            </w:r>
            <w:r>
              <w:rPr>
                <w:rFonts w:hint="eastAsia" w:ascii="仿宋" w:hAnsi="仿宋" w:eastAsia="仿宋" w:cs="仿宋"/>
                <w:color w:val="auto"/>
                <w:kern w:val="2"/>
                <w:sz w:val="24"/>
                <w:szCs w:val="24"/>
                <w:lang w:val="zh-CN" w:eastAsia="zh-CN" w:bidi="ar-SA"/>
              </w:rPr>
              <w:t>：839,238.71元</w:t>
            </w:r>
          </w:p>
          <w:p w14:paraId="2D161EF5">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采购方式：竞争性磋商</w:t>
            </w:r>
          </w:p>
          <w:p w14:paraId="2CBCFCFD">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采购内容：详见本磋商文件第五章</w:t>
            </w:r>
          </w:p>
          <w:p w14:paraId="290CDDAE">
            <w:pPr>
              <w:keepNext w:val="0"/>
              <w:keepLines w:val="0"/>
              <w:pageBreakBefore w:val="0"/>
              <w:widowControl/>
              <w:shd w:val="clear" w:color="auto" w:fill="FFFFFF"/>
              <w:kinsoku/>
              <w:wordWrap/>
              <w:overflowPunct/>
              <w:topLinePunct w:val="0"/>
              <w:autoSpaceDE/>
              <w:autoSpaceDN/>
              <w:bidi w:val="0"/>
              <w:adjustRightInd/>
              <w:snapToGrid w:val="0"/>
              <w:spacing w:line="24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项目所属行业：建筑业</w:t>
            </w:r>
          </w:p>
        </w:tc>
      </w:tr>
      <w:tr w14:paraId="3AFF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1F8D6A2F">
            <w:pPr>
              <w:pStyle w:val="28"/>
              <w:keepNext w:val="0"/>
              <w:keepLines w:val="0"/>
              <w:pageBreakBefore w:val="0"/>
              <w:kinsoku/>
              <w:overflowPunct/>
              <w:topLinePunct w:val="0"/>
              <w:bidi w:val="0"/>
              <w:adjustRightInd w:val="0"/>
              <w:snapToGrid w:val="0"/>
              <w:spacing w:line="240" w:lineRule="auto"/>
              <w:jc w:val="center"/>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w:t>
            </w:r>
          </w:p>
        </w:tc>
        <w:tc>
          <w:tcPr>
            <w:tcW w:w="7832" w:type="dxa"/>
            <w:vAlign w:val="center"/>
          </w:tcPr>
          <w:p w14:paraId="0991EAF9">
            <w:pPr>
              <w:pStyle w:val="28"/>
              <w:keepNext w:val="0"/>
              <w:keepLines w:val="0"/>
              <w:pageBreakBefore w:val="0"/>
              <w:kinsoku/>
              <w:overflowPunct/>
              <w:topLinePunct w:val="0"/>
              <w:bidi w:val="0"/>
              <w:adjustRightInd w:val="0"/>
              <w:snapToGrid w:val="0"/>
              <w:spacing w:line="24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采购人：</w:t>
            </w:r>
            <w:r>
              <w:rPr>
                <w:rFonts w:hint="eastAsia" w:ascii="仿宋" w:hAnsi="仿宋" w:eastAsia="仿宋" w:cs="仿宋"/>
                <w:color w:val="auto"/>
                <w:kern w:val="2"/>
                <w:sz w:val="24"/>
                <w:szCs w:val="24"/>
                <w:lang w:val="en-US" w:eastAsia="zh-CN" w:bidi="ar-SA"/>
              </w:rPr>
              <w:t>宜川县人民医院</w:t>
            </w:r>
          </w:p>
        </w:tc>
      </w:tr>
      <w:tr w14:paraId="7C42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35416786">
            <w:pPr>
              <w:pStyle w:val="28"/>
              <w:keepNext w:val="0"/>
              <w:keepLines w:val="0"/>
              <w:pageBreakBefore w:val="0"/>
              <w:kinsoku/>
              <w:overflowPunct/>
              <w:topLinePunct w:val="0"/>
              <w:bidi w:val="0"/>
              <w:adjustRightInd w:val="0"/>
              <w:snapToGrid w:val="0"/>
              <w:spacing w:line="240" w:lineRule="auto"/>
              <w:jc w:val="center"/>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w:t>
            </w:r>
          </w:p>
        </w:tc>
        <w:tc>
          <w:tcPr>
            <w:tcW w:w="7832" w:type="dxa"/>
            <w:vAlign w:val="center"/>
          </w:tcPr>
          <w:p w14:paraId="07126BB1">
            <w:pPr>
              <w:pStyle w:val="28"/>
              <w:keepNext w:val="0"/>
              <w:keepLines w:val="0"/>
              <w:pageBreakBefore w:val="0"/>
              <w:kinsoku/>
              <w:overflowPunct/>
              <w:topLinePunct w:val="0"/>
              <w:bidi w:val="0"/>
              <w:adjustRightInd w:val="0"/>
              <w:snapToGrid w:val="0"/>
              <w:spacing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采购代理机构：陕西省采购招标有限责任公司</w:t>
            </w:r>
          </w:p>
        </w:tc>
      </w:tr>
      <w:tr w14:paraId="2D8F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0" w:type="dxa"/>
            <w:vAlign w:val="center"/>
          </w:tcPr>
          <w:p w14:paraId="457F8843">
            <w:pPr>
              <w:pStyle w:val="28"/>
              <w:keepNext w:val="0"/>
              <w:keepLines w:val="0"/>
              <w:pageBreakBefore w:val="0"/>
              <w:kinsoku/>
              <w:overflowPunct/>
              <w:topLinePunct w:val="0"/>
              <w:bidi w:val="0"/>
              <w:adjustRightInd w:val="0"/>
              <w:snapToGrid w:val="0"/>
              <w:spacing w:line="240" w:lineRule="auto"/>
              <w:jc w:val="center"/>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w:t>
            </w:r>
          </w:p>
        </w:tc>
        <w:tc>
          <w:tcPr>
            <w:tcW w:w="7832" w:type="dxa"/>
            <w:vAlign w:val="center"/>
          </w:tcPr>
          <w:p w14:paraId="7B5C4A8A">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邀请供应商的方式：发布磋商公告</w:t>
            </w:r>
          </w:p>
        </w:tc>
      </w:tr>
      <w:tr w14:paraId="5BA9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26A3D51">
            <w:pPr>
              <w:pStyle w:val="28"/>
              <w:keepNext w:val="0"/>
              <w:keepLines w:val="0"/>
              <w:pageBreakBefore w:val="0"/>
              <w:kinsoku/>
              <w:overflowPunct/>
              <w:topLinePunct w:val="0"/>
              <w:bidi w:val="0"/>
              <w:adjustRightInd w:val="0"/>
              <w:snapToGrid w:val="0"/>
              <w:spacing w:line="240" w:lineRule="auto"/>
              <w:jc w:val="center"/>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w:t>
            </w:r>
          </w:p>
        </w:tc>
        <w:tc>
          <w:tcPr>
            <w:tcW w:w="7832" w:type="dxa"/>
            <w:vAlign w:val="center"/>
          </w:tcPr>
          <w:p w14:paraId="6A38A334">
            <w:pPr>
              <w:keepNext w:val="0"/>
              <w:keepLines w:val="0"/>
              <w:pageBreakBefore w:val="0"/>
              <w:widowControl/>
              <w:shd w:val="clear" w:color="auto" w:fill="FFFFFF"/>
              <w:kinsoku/>
              <w:overflowPunct/>
              <w:topLinePunct w:val="0"/>
              <w:bidi w:val="0"/>
              <w:snapToGrid w:val="0"/>
              <w:spacing w:line="24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对供应商的资格要求：</w:t>
            </w:r>
          </w:p>
          <w:p w14:paraId="3D703EC8">
            <w:pPr>
              <w:keepNext w:val="0"/>
              <w:keepLines w:val="0"/>
              <w:pageBreakBefore w:val="0"/>
              <w:widowControl/>
              <w:shd w:val="clear" w:color="auto" w:fill="FFFFFF"/>
              <w:kinsoku/>
              <w:overflowPunct/>
              <w:topLinePunct w:val="0"/>
              <w:bidi w:val="0"/>
              <w:snapToGrid w:val="0"/>
              <w:spacing w:line="240" w:lineRule="auto"/>
              <w:jc w:val="left"/>
              <w:textAlignment w:val="auto"/>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1、基本资格条件：符合《中华人民共和国政府采购法》第二十二条的规定；</w:t>
            </w:r>
          </w:p>
          <w:p w14:paraId="7F107712">
            <w:pPr>
              <w:keepNext w:val="0"/>
              <w:keepLines w:val="0"/>
              <w:pageBreakBefore w:val="0"/>
              <w:widowControl/>
              <w:shd w:val="clear" w:color="auto" w:fill="FFFFFF"/>
              <w:kinsoku/>
              <w:overflowPunct/>
              <w:topLinePunct w:val="0"/>
              <w:bidi w:val="0"/>
              <w:snapToGrid w:val="0"/>
              <w:spacing w:line="24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bCs/>
                <w:color w:val="auto"/>
                <w:sz w:val="24"/>
                <w:lang w:eastAsia="zh-CN"/>
              </w:rPr>
              <w:t>政府采购政策资格要求：</w:t>
            </w:r>
            <w:r>
              <w:rPr>
                <w:rFonts w:hint="eastAsia" w:ascii="仿宋" w:hAnsi="仿宋" w:eastAsia="仿宋" w:cs="仿宋"/>
                <w:bCs/>
                <w:color w:val="auto"/>
                <w:sz w:val="24"/>
                <w:lang w:val="en-US" w:eastAsia="zh-CN"/>
              </w:rPr>
              <w:t>专门面向中小企业项目，提供</w:t>
            </w:r>
            <w:r>
              <w:rPr>
                <w:rFonts w:hint="eastAsia" w:ascii="仿宋" w:hAnsi="仿宋" w:eastAsia="仿宋" w:cs="仿宋"/>
                <w:bCs/>
                <w:color w:val="auto"/>
                <w:sz w:val="24"/>
                <w:lang w:eastAsia="zh-CN"/>
              </w:rPr>
              <w:t>中小企业声明函或残疾人、监狱企业声明函；</w:t>
            </w:r>
          </w:p>
          <w:p w14:paraId="7C18AF88">
            <w:pPr>
              <w:keepNext w:val="0"/>
              <w:keepLines w:val="0"/>
              <w:pageBreakBefore w:val="0"/>
              <w:widowControl/>
              <w:shd w:val="clear" w:color="auto" w:fill="FFFFFF"/>
              <w:kinsoku/>
              <w:overflowPunct/>
              <w:topLinePunct w:val="0"/>
              <w:bidi w:val="0"/>
              <w:snapToGrid w:val="0"/>
              <w:spacing w:line="240" w:lineRule="auto"/>
              <w:jc w:val="left"/>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、特定资格条件：</w:t>
            </w:r>
          </w:p>
          <w:p w14:paraId="369EC32B">
            <w:pPr>
              <w:pStyle w:val="6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lang w:val="en-US"/>
              </w:rPr>
            </w:pPr>
            <w:r>
              <w:rPr>
                <w:rFonts w:hint="eastAsia" w:ascii="仿宋" w:hAnsi="仿宋" w:eastAsia="仿宋" w:cs="仿宋"/>
                <w:color w:val="auto"/>
                <w:lang w:val="en-US"/>
              </w:rPr>
              <w:t>3.1供应商在递交响应文件截止时间前被“信用中国”网站（www.creditchina.gov.cn）列入失信被执行人、重大税收违法失信主体的,或被中国政府采购网（www.ccgp.gov.cn）上列入政府采购严重违法失信行为记录名单的，不得参加磋商；</w:t>
            </w:r>
          </w:p>
          <w:p w14:paraId="60348E25">
            <w:pPr>
              <w:pStyle w:val="6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lang w:val="en-US"/>
              </w:rPr>
            </w:pPr>
            <w:r>
              <w:rPr>
                <w:rFonts w:hint="eastAsia" w:ascii="仿宋" w:hAnsi="仿宋" w:eastAsia="仿宋" w:cs="仿宋"/>
                <w:color w:val="auto"/>
                <w:lang w:val="en-US"/>
              </w:rPr>
              <w:t>3.2供应商应授权合法的人员参加磋商全过程，其中法定代表人直接参加磋商的，须出具法人身份证，并与营业执照上信息一致。法定代表人授权代表参加磋商的，须出具法定代表人授权书及授权代表身份证、授权代表本单位证明（养老保险缴纳证明）；</w:t>
            </w:r>
          </w:p>
          <w:p w14:paraId="5CEFB184">
            <w:pPr>
              <w:pStyle w:val="6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lang w:val="en-US" w:eastAsia="zh-CN"/>
              </w:rPr>
            </w:pPr>
            <w:r>
              <w:rPr>
                <w:rFonts w:hint="eastAsia" w:ascii="仿宋" w:hAnsi="仿宋" w:eastAsia="仿宋" w:cs="仿宋"/>
                <w:color w:val="auto"/>
                <w:lang w:val="en-US"/>
              </w:rPr>
              <w:t>3.</w:t>
            </w:r>
            <w:r>
              <w:rPr>
                <w:rFonts w:hint="eastAsia" w:ascii="仿宋" w:hAnsi="仿宋" w:eastAsia="仿宋" w:cs="仿宋"/>
                <w:color w:val="auto"/>
                <w:lang w:val="en-US" w:eastAsia="zh-CN"/>
              </w:rPr>
              <w:t>3供应商须具有建设行政主管部门颁发的建筑工程施工总承包三级及以上资质，具有有效的安全生产许可证；</w:t>
            </w:r>
          </w:p>
          <w:p w14:paraId="0DDB0991">
            <w:pPr>
              <w:pStyle w:val="6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lang w:val="en-US"/>
              </w:rPr>
            </w:pPr>
            <w:r>
              <w:rPr>
                <w:rFonts w:hint="eastAsia" w:ascii="仿宋" w:hAnsi="仿宋" w:eastAsia="仿宋" w:cs="仿宋"/>
                <w:color w:val="auto"/>
                <w:lang w:val="en-US"/>
              </w:rPr>
              <w:t>3.</w:t>
            </w:r>
            <w:r>
              <w:rPr>
                <w:rFonts w:hint="eastAsia" w:ascii="仿宋" w:hAnsi="仿宋" w:eastAsia="仿宋" w:cs="仿宋"/>
                <w:color w:val="auto"/>
                <w:lang w:val="en-US" w:eastAsia="zh-CN"/>
              </w:rPr>
              <w:t>4供应商拟派项目经理具备注册建造师二级及以上执业资格（建筑工程专业）和有效的安全生产考核合格证书（建安B证），在本单位注册，且无其他在建项目（提供无在建工程的承诺函）；</w:t>
            </w:r>
          </w:p>
          <w:p w14:paraId="50EB59CE">
            <w:pPr>
              <w:pStyle w:val="6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lang w:val="en-US"/>
              </w:rPr>
            </w:pPr>
            <w:r>
              <w:rPr>
                <w:rFonts w:hint="eastAsia" w:ascii="仿宋" w:hAnsi="仿宋" w:eastAsia="仿宋" w:cs="仿宋"/>
                <w:color w:val="auto"/>
                <w:lang w:val="en-US"/>
              </w:rPr>
              <w:t>3.5供应商和拟派项目经理基本信息在“全国建筑市场监管公共服务平台”可查询且无不良记录；外省进陕企业同时提供陕西省住房和城乡建设厅官网企业库外省进陕企业信息首页截图。</w:t>
            </w:r>
          </w:p>
          <w:p w14:paraId="3F2AE92D">
            <w:pPr>
              <w:pStyle w:val="6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lang w:val="en-US"/>
              </w:rPr>
            </w:pPr>
            <w:r>
              <w:rPr>
                <w:rFonts w:hint="eastAsia" w:ascii="仿宋" w:hAnsi="仿宋" w:eastAsia="仿宋" w:cs="仿宋"/>
                <w:color w:val="auto"/>
                <w:lang w:val="en-US"/>
              </w:rPr>
              <w:t>3.6需按照磋商公告要求的方式获取磋商文件并登记备案，未按磋商公告要求的方式获取磋商文件并登记备案的供应商均无资格参加磋商。</w:t>
            </w:r>
          </w:p>
          <w:p w14:paraId="51C9D3E9">
            <w:pPr>
              <w:pStyle w:val="6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lang w:val="en-US"/>
              </w:rPr>
            </w:pPr>
            <w:r>
              <w:rPr>
                <w:rFonts w:hint="eastAsia" w:ascii="仿宋" w:hAnsi="仿宋" w:eastAsia="仿宋" w:cs="仿宋"/>
                <w:color w:val="auto"/>
                <w:lang w:val="en-US"/>
              </w:rPr>
              <w:t>3.7供应商不得存在下列情形之一：</w:t>
            </w:r>
          </w:p>
          <w:p w14:paraId="222C9D80">
            <w:pPr>
              <w:pStyle w:val="6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lang w:val="en-US"/>
              </w:rPr>
            </w:pPr>
            <w:r>
              <w:rPr>
                <w:rFonts w:hint="eastAsia" w:ascii="仿宋" w:hAnsi="仿宋" w:eastAsia="仿宋" w:cs="仿宋"/>
                <w:color w:val="auto"/>
                <w:lang w:val="en-US"/>
              </w:rPr>
              <w:t>（1）单位负责人为同一人或者存在直接控股、管理关系的不同供应商，不得参加本次采购活动；</w:t>
            </w:r>
          </w:p>
          <w:p w14:paraId="433EA427">
            <w:pPr>
              <w:pStyle w:val="6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lang w:val="en-US"/>
              </w:rPr>
            </w:pPr>
            <w:r>
              <w:rPr>
                <w:rFonts w:hint="eastAsia" w:ascii="仿宋" w:hAnsi="仿宋" w:eastAsia="仿宋" w:cs="仿宋"/>
                <w:color w:val="auto"/>
                <w:lang w:val="en-US"/>
              </w:rPr>
              <w:t>（2）为本项目提供整体设计、规范编制或者项目管理、监理、检测等服务的供应商，不得再参加本项目的采购活动；</w:t>
            </w:r>
          </w:p>
        </w:tc>
      </w:tr>
      <w:tr w14:paraId="7B7D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4C1D49F7">
            <w:pPr>
              <w:pStyle w:val="28"/>
              <w:keepNext w:val="0"/>
              <w:keepLines w:val="0"/>
              <w:pageBreakBefore w:val="0"/>
              <w:kinsoku/>
              <w:overflowPunct/>
              <w:topLinePunct w:val="0"/>
              <w:bidi w:val="0"/>
              <w:adjustRightInd w:val="0"/>
              <w:snapToGrid w:val="0"/>
              <w:spacing w:line="240" w:lineRule="auto"/>
              <w:jc w:val="center"/>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w:t>
            </w:r>
          </w:p>
        </w:tc>
        <w:tc>
          <w:tcPr>
            <w:tcW w:w="7832" w:type="dxa"/>
            <w:vAlign w:val="center"/>
          </w:tcPr>
          <w:p w14:paraId="741A3992">
            <w:pPr>
              <w:keepNext w:val="0"/>
              <w:keepLines w:val="0"/>
              <w:pageBreakBefore w:val="0"/>
              <w:widowControl w:val="0"/>
              <w:kinsoku/>
              <w:wordWrap/>
              <w:overflowPunct/>
              <w:topLinePunct w:val="0"/>
              <w:autoSpaceDE/>
              <w:autoSpaceDN/>
              <w:bidi w:val="0"/>
              <w:spacing w:line="240" w:lineRule="auto"/>
              <w:textAlignment w:val="auto"/>
              <w:rPr>
                <w:rFonts w:ascii="仿宋_GB2312" w:hAnsi="仿宋_GB2312" w:eastAsia="仿宋_GB2312" w:cs="仿宋_GB2312"/>
                <w:i/>
                <w:color w:val="auto"/>
                <w:sz w:val="24"/>
              </w:rPr>
            </w:pPr>
            <w:r>
              <w:rPr>
                <w:rFonts w:hint="eastAsia" w:ascii="仿宋_GB2312" w:hAnsi="仿宋_GB2312" w:eastAsia="仿宋_GB2312" w:cs="仿宋_GB2312"/>
                <w:color w:val="auto"/>
                <w:sz w:val="24"/>
              </w:rPr>
              <w:t>成交响应报价</w:t>
            </w:r>
            <w:r>
              <w:rPr>
                <w:rFonts w:hint="eastAsia" w:ascii="仿宋_GB2312" w:hAnsi="仿宋_GB2312" w:eastAsia="仿宋_GB2312" w:cs="仿宋_GB2312"/>
                <w:color w:val="auto"/>
                <w:sz w:val="24"/>
                <w:lang w:eastAsia="zh-CN"/>
              </w:rPr>
              <w:t>为</w:t>
            </w:r>
            <w:r>
              <w:rPr>
                <w:rFonts w:hint="eastAsia" w:ascii="仿宋_GB2312" w:hAnsi="仿宋_GB2312" w:eastAsia="仿宋_GB2312" w:cs="仿宋_GB2312"/>
                <w:color w:val="auto"/>
                <w:sz w:val="24"/>
                <w:lang w:val="en-US" w:eastAsia="zh-CN"/>
              </w:rPr>
              <w:t>按照采购人提供的</w:t>
            </w:r>
            <w:r>
              <w:rPr>
                <w:rFonts w:hint="eastAsia" w:ascii="仿宋_GB2312" w:hAnsi="仿宋_GB2312" w:eastAsia="仿宋_GB2312" w:cs="仿宋_GB2312"/>
                <w:color w:val="auto"/>
                <w:sz w:val="24"/>
                <w:lang w:eastAsia="zh-CN"/>
              </w:rPr>
              <w:t>工程量清单自主报价，报价</w:t>
            </w:r>
            <w:r>
              <w:rPr>
                <w:rFonts w:hint="eastAsia" w:ascii="仿宋_GB2312" w:hAnsi="仿宋_GB2312" w:eastAsia="仿宋_GB2312" w:cs="仿宋_GB2312"/>
                <w:color w:val="auto"/>
                <w:sz w:val="24"/>
              </w:rPr>
              <w:t>为完成本项目并达到磋商文件要求所需要的全部费用</w:t>
            </w:r>
            <w:r>
              <w:rPr>
                <w:rFonts w:hint="eastAsia" w:ascii="仿宋_GB2312" w:hAnsi="仿宋_GB2312" w:eastAsia="仿宋_GB2312" w:cs="仿宋_GB2312"/>
                <w:color w:val="auto"/>
                <w:sz w:val="24"/>
                <w:lang w:eastAsia="zh-CN"/>
              </w:rPr>
              <w:t>，包括材料费、安装费、运输费、人工费、税费等</w:t>
            </w:r>
            <w:r>
              <w:rPr>
                <w:rFonts w:hint="eastAsia" w:ascii="仿宋_GB2312" w:hAnsi="仿宋_GB2312" w:eastAsia="仿宋_GB2312" w:cs="仿宋_GB2312"/>
                <w:color w:val="auto"/>
                <w:sz w:val="24"/>
              </w:rPr>
              <w:t>。</w:t>
            </w:r>
          </w:p>
          <w:p w14:paraId="351C2652">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（1）报价货币：人民币；</w:t>
            </w:r>
          </w:p>
          <w:p w14:paraId="47990D55">
            <w:pPr>
              <w:pStyle w:val="28"/>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（2）严格按照分项报价表进行分项报价。</w:t>
            </w:r>
          </w:p>
        </w:tc>
      </w:tr>
      <w:tr w14:paraId="212C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Align w:val="center"/>
          </w:tcPr>
          <w:p w14:paraId="5334904E">
            <w:pPr>
              <w:pStyle w:val="28"/>
              <w:keepNext w:val="0"/>
              <w:keepLines w:val="0"/>
              <w:pageBreakBefore w:val="0"/>
              <w:kinsoku/>
              <w:overflowPunct/>
              <w:topLinePunct w:val="0"/>
              <w:bidi w:val="0"/>
              <w:adjustRightInd w:val="0"/>
              <w:snapToGrid w:val="0"/>
              <w:spacing w:line="24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14.1</w:t>
            </w:r>
          </w:p>
        </w:tc>
        <w:tc>
          <w:tcPr>
            <w:tcW w:w="7832" w:type="dxa"/>
            <w:vAlign w:val="center"/>
          </w:tcPr>
          <w:p w14:paraId="2F4B7895">
            <w:pPr>
              <w:pStyle w:val="28"/>
              <w:keepNext w:val="0"/>
              <w:keepLines w:val="0"/>
              <w:pageBreakBefore w:val="0"/>
              <w:kinsoku/>
              <w:overflowPunct/>
              <w:topLinePunct w:val="0"/>
              <w:bidi w:val="0"/>
              <w:adjustRightInd w:val="0"/>
              <w:snapToGrid w:val="0"/>
              <w:spacing w:line="240" w:lineRule="auto"/>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供应商</w:t>
            </w:r>
            <w:r>
              <w:rPr>
                <w:rFonts w:hint="eastAsia" w:ascii="仿宋_GB2312" w:hAnsi="仿宋_GB2312" w:eastAsia="仿宋_GB2312" w:cs="仿宋_GB2312"/>
                <w:color w:val="auto"/>
                <w:sz w:val="24"/>
                <w:szCs w:val="24"/>
              </w:rPr>
              <w:t>须从公户向采购代理机构递交人民币：</w:t>
            </w:r>
            <w:r>
              <w:rPr>
                <w:rFonts w:hint="eastAsia" w:ascii="仿宋_GB2312" w:hAnsi="仿宋_GB2312" w:eastAsia="仿宋_GB2312" w:cs="仿宋_GB2312"/>
                <w:color w:val="auto"/>
                <w:sz w:val="24"/>
                <w:szCs w:val="24"/>
                <w:lang w:val="en-US" w:eastAsia="zh-CN"/>
              </w:rPr>
              <w:t>壹万伍仟</w:t>
            </w:r>
            <w:r>
              <w:rPr>
                <w:rFonts w:hint="eastAsia" w:ascii="仿宋_GB2312" w:hAnsi="仿宋_GB2312" w:eastAsia="仿宋_GB2312" w:cs="仿宋_GB2312"/>
                <w:color w:val="auto"/>
                <w:sz w:val="24"/>
                <w:szCs w:val="24"/>
              </w:rPr>
              <w:t>元（￥</w:t>
            </w: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000.00元）的</w:t>
            </w:r>
            <w:r>
              <w:rPr>
                <w:rFonts w:hint="eastAsia" w:ascii="仿宋_GB2312" w:hAnsi="仿宋_GB2312" w:eastAsia="仿宋_GB2312" w:cs="仿宋_GB2312"/>
                <w:color w:val="auto"/>
                <w:sz w:val="24"/>
                <w:szCs w:val="24"/>
                <w:lang w:eastAsia="zh-CN"/>
              </w:rPr>
              <w:t>磋商</w:t>
            </w:r>
            <w:r>
              <w:rPr>
                <w:rFonts w:hint="eastAsia" w:ascii="仿宋_GB2312" w:hAnsi="仿宋_GB2312" w:eastAsia="仿宋_GB2312" w:cs="仿宋_GB2312"/>
                <w:color w:val="auto"/>
                <w:sz w:val="24"/>
                <w:szCs w:val="24"/>
              </w:rPr>
              <w:t>保证金。</w:t>
            </w:r>
            <w:r>
              <w:rPr>
                <w:rFonts w:hint="eastAsia" w:ascii="仿宋_GB2312" w:hAnsi="仿宋_GB2312" w:eastAsia="仿宋_GB2312" w:cs="仿宋_GB2312"/>
                <w:color w:val="auto"/>
                <w:sz w:val="24"/>
                <w:szCs w:val="24"/>
                <w:lang w:eastAsia="zh-CN"/>
              </w:rPr>
              <w:t>磋商</w:t>
            </w:r>
            <w:r>
              <w:rPr>
                <w:rFonts w:hint="eastAsia" w:ascii="仿宋_GB2312" w:hAnsi="仿宋_GB2312" w:eastAsia="仿宋_GB2312" w:cs="仿宋_GB2312"/>
                <w:color w:val="auto"/>
                <w:sz w:val="24"/>
                <w:szCs w:val="24"/>
              </w:rPr>
              <w:t>保证金应用人民币，采用支票，汇票、本票、保函的任何一种非现金形式支付。</w:t>
            </w:r>
          </w:p>
          <w:p w14:paraId="339ADFB6">
            <w:pPr>
              <w:pStyle w:val="28"/>
              <w:keepNext w:val="0"/>
              <w:keepLines w:val="0"/>
              <w:pageBreakBefore w:val="0"/>
              <w:kinsoku/>
              <w:overflowPunct/>
              <w:topLinePunct w:val="0"/>
              <w:bidi w:val="0"/>
              <w:adjustRightInd w:val="0"/>
              <w:snapToGrid w:val="0"/>
              <w:spacing w:line="240" w:lineRule="auto"/>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收取保证金单位名称：陕西省采购招标有限责任公司</w:t>
            </w:r>
          </w:p>
          <w:p w14:paraId="6A807FD0">
            <w:pPr>
              <w:pStyle w:val="28"/>
              <w:keepNext w:val="0"/>
              <w:keepLines w:val="0"/>
              <w:pageBreakBefore w:val="0"/>
              <w:kinsoku/>
              <w:overflowPunct/>
              <w:topLinePunct w:val="0"/>
              <w:bidi w:val="0"/>
              <w:adjustRightInd w:val="0"/>
              <w:snapToGrid w:val="0"/>
              <w:spacing w:line="240" w:lineRule="auto"/>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开户银行：中国银行西安南郊支行营业部</w:t>
            </w:r>
          </w:p>
          <w:p w14:paraId="1F3B5FCA">
            <w:pPr>
              <w:pStyle w:val="28"/>
              <w:keepNext w:val="0"/>
              <w:keepLines w:val="0"/>
              <w:pageBreakBefore w:val="0"/>
              <w:kinsoku/>
              <w:overflowPunct/>
              <w:topLinePunct w:val="0"/>
              <w:bidi w:val="0"/>
              <w:adjustRightInd w:val="0"/>
              <w:snapToGrid w:val="0"/>
              <w:spacing w:line="240" w:lineRule="auto"/>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帐号：102061557820</w:t>
            </w:r>
          </w:p>
          <w:p w14:paraId="76F41417">
            <w:pPr>
              <w:pStyle w:val="28"/>
              <w:keepNext w:val="0"/>
              <w:keepLines w:val="0"/>
              <w:pageBreakBefore w:val="0"/>
              <w:kinsoku/>
              <w:overflowPunct/>
              <w:topLinePunct w:val="0"/>
              <w:bidi w:val="0"/>
              <w:adjustRightInd w:val="0"/>
              <w:snapToGrid w:val="0"/>
              <w:spacing w:line="240" w:lineRule="auto"/>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联系人：侯娜    联系电话：029-85256853</w:t>
            </w:r>
          </w:p>
          <w:p w14:paraId="4F4806A4">
            <w:pPr>
              <w:pStyle w:val="28"/>
              <w:keepNext w:val="0"/>
              <w:keepLines w:val="0"/>
              <w:pageBreakBefore w:val="0"/>
              <w:kinsoku/>
              <w:overflowPunct/>
              <w:topLinePunct w:val="0"/>
              <w:bidi w:val="0"/>
              <w:adjustRightInd w:val="0"/>
              <w:snapToGrid w:val="0"/>
              <w:spacing w:line="240" w:lineRule="auto"/>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注：</w:t>
            </w:r>
            <w:r>
              <w:rPr>
                <w:rFonts w:hint="eastAsia" w:ascii="仿宋_GB2312" w:hAnsi="仿宋_GB2312" w:eastAsia="仿宋_GB2312" w:cs="仿宋_GB2312"/>
                <w:color w:val="auto"/>
                <w:sz w:val="24"/>
                <w:szCs w:val="24"/>
                <w:lang w:eastAsia="zh-CN"/>
              </w:rPr>
              <w:t>供应商</w:t>
            </w:r>
            <w:r>
              <w:rPr>
                <w:rFonts w:hint="eastAsia" w:ascii="仿宋_GB2312" w:hAnsi="仿宋_GB2312" w:eastAsia="仿宋_GB2312" w:cs="仿宋_GB2312"/>
                <w:color w:val="auto"/>
                <w:sz w:val="24"/>
                <w:szCs w:val="24"/>
              </w:rPr>
              <w:t>有下列情形之一的，采购代理机构不予退还其交纳的</w:t>
            </w:r>
            <w:r>
              <w:rPr>
                <w:rFonts w:hint="eastAsia" w:ascii="仿宋_GB2312" w:hAnsi="仿宋_GB2312" w:eastAsia="仿宋_GB2312" w:cs="仿宋_GB2312"/>
                <w:color w:val="auto"/>
                <w:sz w:val="24"/>
                <w:szCs w:val="24"/>
                <w:lang w:eastAsia="zh-CN"/>
              </w:rPr>
              <w:t>磋商</w:t>
            </w:r>
            <w:r>
              <w:rPr>
                <w:rFonts w:hint="eastAsia" w:ascii="仿宋_GB2312" w:hAnsi="仿宋_GB2312" w:eastAsia="仿宋_GB2312" w:cs="仿宋_GB2312"/>
                <w:color w:val="auto"/>
                <w:sz w:val="24"/>
                <w:szCs w:val="24"/>
              </w:rPr>
              <w:t>保证金，并在项目财政主管部门备案；情节严重的，由财政部门将其列入不良行为纪录名单予以通报，在一至三年内禁止参加政府采购活动：</w:t>
            </w:r>
          </w:p>
          <w:p w14:paraId="7844D23D">
            <w:pPr>
              <w:pStyle w:val="28"/>
              <w:keepNext w:val="0"/>
              <w:keepLines w:val="0"/>
              <w:pageBreakBefore w:val="0"/>
              <w:kinsoku/>
              <w:overflowPunct/>
              <w:topLinePunct w:val="0"/>
              <w:bidi w:val="0"/>
              <w:adjustRightInd w:val="0"/>
              <w:snapToGrid w:val="0"/>
              <w:spacing w:line="240" w:lineRule="auto"/>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供应商</w:t>
            </w:r>
            <w:r>
              <w:rPr>
                <w:rFonts w:hint="eastAsia" w:ascii="仿宋_GB2312" w:hAnsi="仿宋_GB2312" w:eastAsia="仿宋_GB2312" w:cs="仿宋_GB2312"/>
                <w:color w:val="auto"/>
                <w:sz w:val="24"/>
                <w:szCs w:val="24"/>
              </w:rPr>
              <w:t>在</w:t>
            </w:r>
            <w:r>
              <w:rPr>
                <w:rFonts w:hint="eastAsia" w:ascii="仿宋_GB2312" w:hAnsi="仿宋_GB2312" w:eastAsia="仿宋_GB2312" w:cs="仿宋_GB2312"/>
                <w:color w:val="auto"/>
                <w:sz w:val="24"/>
                <w:szCs w:val="24"/>
                <w:lang w:eastAsia="zh-CN"/>
              </w:rPr>
              <w:t>磋商</w:t>
            </w:r>
            <w:r>
              <w:rPr>
                <w:rFonts w:hint="eastAsia" w:ascii="仿宋_GB2312" w:hAnsi="仿宋_GB2312" w:eastAsia="仿宋_GB2312" w:cs="仿宋_GB2312"/>
                <w:color w:val="auto"/>
                <w:sz w:val="24"/>
                <w:szCs w:val="24"/>
              </w:rPr>
              <w:t>截止时间后撤销</w:t>
            </w:r>
            <w:r>
              <w:rPr>
                <w:rFonts w:hint="eastAsia" w:ascii="仿宋_GB2312" w:hAnsi="仿宋_GB2312" w:eastAsia="仿宋_GB2312" w:cs="仿宋_GB2312"/>
                <w:color w:val="auto"/>
                <w:sz w:val="24"/>
                <w:szCs w:val="24"/>
                <w:lang w:eastAsia="zh-CN"/>
              </w:rPr>
              <w:t>响应</w:t>
            </w:r>
            <w:r>
              <w:rPr>
                <w:rFonts w:hint="eastAsia" w:ascii="仿宋_GB2312" w:hAnsi="仿宋_GB2312" w:eastAsia="仿宋_GB2312" w:cs="仿宋_GB2312"/>
                <w:color w:val="auto"/>
                <w:sz w:val="24"/>
                <w:szCs w:val="24"/>
              </w:rPr>
              <w:t>文件的；</w:t>
            </w:r>
          </w:p>
          <w:p w14:paraId="667920DC">
            <w:pPr>
              <w:pStyle w:val="28"/>
              <w:keepNext w:val="0"/>
              <w:keepLines w:val="0"/>
              <w:pageBreakBefore w:val="0"/>
              <w:kinsoku/>
              <w:overflowPunct/>
              <w:topLinePunct w:val="0"/>
              <w:bidi w:val="0"/>
              <w:adjustRightInd w:val="0"/>
              <w:snapToGrid w:val="0"/>
              <w:spacing w:line="240" w:lineRule="auto"/>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eastAsia="zh-CN"/>
              </w:rPr>
              <w:t>供应商</w:t>
            </w:r>
            <w:r>
              <w:rPr>
                <w:rFonts w:hint="eastAsia" w:ascii="仿宋_GB2312" w:hAnsi="仿宋_GB2312" w:eastAsia="仿宋_GB2312" w:cs="仿宋_GB2312"/>
                <w:color w:val="auto"/>
                <w:sz w:val="24"/>
                <w:szCs w:val="24"/>
              </w:rPr>
              <w:t>在</w:t>
            </w:r>
            <w:r>
              <w:rPr>
                <w:rFonts w:hint="eastAsia" w:ascii="仿宋_GB2312" w:hAnsi="仿宋_GB2312" w:eastAsia="仿宋_GB2312" w:cs="仿宋_GB2312"/>
                <w:color w:val="auto"/>
                <w:sz w:val="24"/>
                <w:szCs w:val="24"/>
                <w:lang w:eastAsia="zh-CN"/>
              </w:rPr>
              <w:t>响应</w:t>
            </w:r>
            <w:r>
              <w:rPr>
                <w:rFonts w:hint="eastAsia" w:ascii="仿宋_GB2312" w:hAnsi="仿宋_GB2312" w:eastAsia="仿宋_GB2312" w:cs="仿宋_GB2312"/>
                <w:color w:val="auto"/>
                <w:sz w:val="24"/>
                <w:szCs w:val="24"/>
              </w:rPr>
              <w:t>文件中提供虚假材料的；</w:t>
            </w:r>
          </w:p>
          <w:p w14:paraId="0D386CB3">
            <w:pPr>
              <w:pStyle w:val="28"/>
              <w:keepNext w:val="0"/>
              <w:keepLines w:val="0"/>
              <w:pageBreakBefore w:val="0"/>
              <w:kinsoku/>
              <w:overflowPunct/>
              <w:topLinePunct w:val="0"/>
              <w:bidi w:val="0"/>
              <w:adjustRightInd w:val="0"/>
              <w:snapToGrid w:val="0"/>
              <w:spacing w:line="240" w:lineRule="auto"/>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（3）除因不可抗力或</w:t>
            </w:r>
            <w:r>
              <w:rPr>
                <w:rFonts w:hint="eastAsia" w:ascii="仿宋_GB2312" w:hAnsi="仿宋_GB2312" w:eastAsia="仿宋_GB2312" w:cs="仿宋_GB2312"/>
                <w:color w:val="auto"/>
                <w:sz w:val="24"/>
                <w:szCs w:val="24"/>
                <w:lang w:eastAsia="zh-CN"/>
              </w:rPr>
              <w:t>磋商</w:t>
            </w:r>
            <w:r>
              <w:rPr>
                <w:rFonts w:hint="eastAsia" w:ascii="仿宋_GB2312" w:hAnsi="仿宋_GB2312" w:eastAsia="仿宋_GB2312" w:cs="仿宋_GB2312"/>
                <w:color w:val="auto"/>
                <w:sz w:val="24"/>
                <w:szCs w:val="24"/>
              </w:rPr>
              <w:t>文件认可的情形以外，</w:t>
            </w:r>
            <w:r>
              <w:rPr>
                <w:rFonts w:hint="eastAsia" w:ascii="仿宋_GB2312" w:hAnsi="仿宋_GB2312" w:eastAsia="仿宋_GB2312" w:cs="仿宋_GB2312"/>
                <w:color w:val="auto"/>
                <w:sz w:val="24"/>
                <w:szCs w:val="24"/>
                <w:lang w:eastAsia="zh-CN"/>
              </w:rPr>
              <w:t>成交</w:t>
            </w:r>
            <w:r>
              <w:rPr>
                <w:rFonts w:hint="eastAsia" w:ascii="仿宋_GB2312" w:hAnsi="仿宋_GB2312" w:eastAsia="仿宋_GB2312" w:cs="仿宋_GB2312"/>
                <w:color w:val="auto"/>
                <w:sz w:val="24"/>
                <w:szCs w:val="24"/>
              </w:rPr>
              <w:t>人不与采购人签订合同的；</w:t>
            </w:r>
          </w:p>
          <w:p w14:paraId="4341583C">
            <w:pPr>
              <w:pStyle w:val="28"/>
              <w:keepNext w:val="0"/>
              <w:keepLines w:val="0"/>
              <w:pageBreakBefore w:val="0"/>
              <w:kinsoku/>
              <w:overflowPunct/>
              <w:topLinePunct w:val="0"/>
              <w:bidi w:val="0"/>
              <w:adjustRightInd w:val="0"/>
              <w:snapToGrid w:val="0"/>
              <w:spacing w:line="240" w:lineRule="auto"/>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eastAsia="zh-CN"/>
              </w:rPr>
              <w:t>供应商</w:t>
            </w:r>
            <w:r>
              <w:rPr>
                <w:rFonts w:hint="eastAsia" w:ascii="仿宋_GB2312" w:hAnsi="仿宋_GB2312" w:eastAsia="仿宋_GB2312" w:cs="仿宋_GB2312"/>
                <w:color w:val="auto"/>
                <w:sz w:val="24"/>
                <w:szCs w:val="24"/>
              </w:rPr>
              <w:t>与采购人、其他</w:t>
            </w:r>
            <w:r>
              <w:rPr>
                <w:rFonts w:hint="eastAsia" w:ascii="仿宋_GB2312" w:hAnsi="仿宋_GB2312" w:eastAsia="仿宋_GB2312" w:cs="仿宋_GB2312"/>
                <w:color w:val="auto"/>
                <w:sz w:val="24"/>
                <w:szCs w:val="24"/>
                <w:lang w:eastAsia="zh-CN"/>
              </w:rPr>
              <w:t>供应商</w:t>
            </w:r>
            <w:r>
              <w:rPr>
                <w:rFonts w:hint="eastAsia" w:ascii="仿宋_GB2312" w:hAnsi="仿宋_GB2312" w:eastAsia="仿宋_GB2312" w:cs="仿宋_GB2312"/>
                <w:color w:val="auto"/>
                <w:sz w:val="24"/>
                <w:szCs w:val="24"/>
              </w:rPr>
              <w:t>或者采购代理机构恶意串通的；</w:t>
            </w:r>
          </w:p>
          <w:p w14:paraId="5419C4CC">
            <w:pPr>
              <w:pStyle w:val="28"/>
              <w:keepNext w:val="0"/>
              <w:keepLines w:val="0"/>
              <w:pageBreakBefore w:val="0"/>
              <w:kinsoku/>
              <w:overflowPunct/>
              <w:topLinePunct w:val="0"/>
              <w:bidi w:val="0"/>
              <w:adjustRightInd w:val="0"/>
              <w:snapToGrid w:val="0"/>
              <w:spacing w:line="240" w:lineRule="auto"/>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lang w:eastAsia="zh-CN"/>
              </w:rPr>
              <w:t>成交</w:t>
            </w:r>
            <w:r>
              <w:rPr>
                <w:rFonts w:hint="eastAsia" w:ascii="仿宋_GB2312" w:hAnsi="仿宋_GB2312" w:eastAsia="仿宋_GB2312" w:cs="仿宋_GB2312"/>
                <w:color w:val="auto"/>
                <w:sz w:val="24"/>
                <w:szCs w:val="24"/>
              </w:rPr>
              <w:t>人将项目转让给他人，或者在</w:t>
            </w:r>
            <w:r>
              <w:rPr>
                <w:rFonts w:hint="eastAsia" w:ascii="仿宋_GB2312" w:hAnsi="仿宋_GB2312" w:eastAsia="仿宋_GB2312" w:cs="仿宋_GB2312"/>
                <w:color w:val="auto"/>
                <w:sz w:val="24"/>
                <w:szCs w:val="24"/>
                <w:lang w:eastAsia="zh-CN"/>
              </w:rPr>
              <w:t>响应</w:t>
            </w:r>
            <w:r>
              <w:rPr>
                <w:rFonts w:hint="eastAsia" w:ascii="仿宋_GB2312" w:hAnsi="仿宋_GB2312" w:eastAsia="仿宋_GB2312" w:cs="仿宋_GB2312"/>
                <w:color w:val="auto"/>
                <w:sz w:val="24"/>
                <w:szCs w:val="24"/>
              </w:rPr>
              <w:t>文件中未说明，且未经采购人同意，将中标项目分包给他人的；</w:t>
            </w:r>
          </w:p>
          <w:p w14:paraId="766E9EC5">
            <w:pPr>
              <w:pStyle w:val="28"/>
              <w:keepNext w:val="0"/>
              <w:keepLines w:val="0"/>
              <w:pageBreakBefore w:val="0"/>
              <w:kinsoku/>
              <w:overflowPunct/>
              <w:topLinePunct w:val="0"/>
              <w:bidi w:val="0"/>
              <w:adjustRightInd w:val="0"/>
              <w:snapToGrid w:val="0"/>
              <w:spacing w:line="240" w:lineRule="auto"/>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r>
              <w:rPr>
                <w:rFonts w:hint="eastAsia" w:ascii="仿宋_GB2312" w:hAnsi="仿宋_GB2312" w:eastAsia="仿宋_GB2312" w:cs="仿宋_GB2312"/>
                <w:color w:val="auto"/>
                <w:sz w:val="24"/>
                <w:szCs w:val="24"/>
                <w:lang w:eastAsia="zh-CN"/>
              </w:rPr>
              <w:t>成交</w:t>
            </w:r>
            <w:r>
              <w:rPr>
                <w:rFonts w:hint="eastAsia" w:ascii="仿宋_GB2312" w:hAnsi="仿宋_GB2312" w:eastAsia="仿宋_GB2312" w:cs="仿宋_GB2312"/>
                <w:color w:val="auto"/>
                <w:sz w:val="24"/>
                <w:szCs w:val="24"/>
              </w:rPr>
              <w:t>人拒绝履行合同义务的。</w:t>
            </w:r>
          </w:p>
          <w:p w14:paraId="04D8C45B">
            <w:pPr>
              <w:pStyle w:val="28"/>
              <w:keepNext w:val="0"/>
              <w:keepLines w:val="0"/>
              <w:pageBreakBefore w:val="0"/>
              <w:kinsoku/>
              <w:overflowPunct/>
              <w:topLinePunct w:val="0"/>
              <w:bidi w:val="0"/>
              <w:adjustRightInd w:val="0"/>
              <w:snapToGrid w:val="0"/>
              <w:spacing w:line="240" w:lineRule="auto"/>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w:t>
            </w:r>
            <w:r>
              <w:rPr>
                <w:rFonts w:hint="eastAsia" w:ascii="仿宋_GB2312" w:hAnsi="仿宋_GB2312" w:eastAsia="仿宋_GB2312" w:cs="仿宋_GB2312"/>
                <w:color w:val="auto"/>
                <w:sz w:val="24"/>
                <w:szCs w:val="24"/>
                <w:lang w:eastAsia="zh-CN"/>
              </w:rPr>
              <w:t>成交</w:t>
            </w:r>
            <w:r>
              <w:rPr>
                <w:rFonts w:hint="eastAsia" w:ascii="仿宋_GB2312" w:hAnsi="仿宋_GB2312" w:eastAsia="仿宋_GB2312" w:cs="仿宋_GB2312"/>
                <w:color w:val="auto"/>
                <w:sz w:val="24"/>
                <w:szCs w:val="24"/>
              </w:rPr>
              <w:t>通知书发出之日起五个工作日内退还未中标人的</w:t>
            </w:r>
            <w:r>
              <w:rPr>
                <w:rFonts w:hint="eastAsia" w:ascii="仿宋_GB2312" w:hAnsi="仿宋_GB2312" w:eastAsia="仿宋_GB2312" w:cs="仿宋_GB2312"/>
                <w:color w:val="auto"/>
                <w:sz w:val="24"/>
                <w:szCs w:val="24"/>
                <w:lang w:eastAsia="zh-CN"/>
              </w:rPr>
              <w:t>磋商</w:t>
            </w:r>
            <w:r>
              <w:rPr>
                <w:rFonts w:hint="eastAsia" w:ascii="仿宋_GB2312" w:hAnsi="仿宋_GB2312" w:eastAsia="仿宋_GB2312" w:cs="仿宋_GB2312"/>
                <w:color w:val="auto"/>
                <w:sz w:val="24"/>
                <w:szCs w:val="24"/>
              </w:rPr>
              <w:t>保证金，自采购合同签订之日起五个工作日内退还中标人的投标保证金或者转为</w:t>
            </w:r>
            <w:r>
              <w:rPr>
                <w:rFonts w:hint="eastAsia" w:ascii="仿宋_GB2312" w:hAnsi="仿宋_GB2312" w:eastAsia="仿宋_GB2312" w:cs="仿宋_GB2312"/>
                <w:color w:val="auto"/>
                <w:sz w:val="24"/>
                <w:szCs w:val="24"/>
                <w:lang w:eastAsia="zh-CN"/>
              </w:rPr>
              <w:t>成交</w:t>
            </w:r>
            <w:r>
              <w:rPr>
                <w:rFonts w:hint="eastAsia" w:ascii="仿宋_GB2312" w:hAnsi="仿宋_GB2312" w:eastAsia="仿宋_GB2312" w:cs="仿宋_GB2312"/>
                <w:color w:val="auto"/>
                <w:sz w:val="24"/>
                <w:szCs w:val="24"/>
              </w:rPr>
              <w:t>人的履约保证金。</w:t>
            </w:r>
          </w:p>
          <w:p w14:paraId="0273EA1C">
            <w:pPr>
              <w:pStyle w:val="28"/>
              <w:keepNext w:val="0"/>
              <w:keepLines w:val="0"/>
              <w:pageBreakBefore w:val="0"/>
              <w:kinsoku/>
              <w:overflowPunct/>
              <w:topLinePunct w:val="0"/>
              <w:bidi w:val="0"/>
              <w:adjustRightInd w:val="0"/>
              <w:snapToGrid w:val="0"/>
              <w:spacing w:line="240" w:lineRule="auto"/>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成交</w:t>
            </w:r>
            <w:r>
              <w:rPr>
                <w:rFonts w:hint="eastAsia" w:ascii="仿宋_GB2312" w:hAnsi="仿宋_GB2312" w:eastAsia="仿宋_GB2312" w:cs="仿宋_GB2312"/>
                <w:color w:val="auto"/>
                <w:sz w:val="24"/>
                <w:szCs w:val="24"/>
              </w:rPr>
              <w:t xml:space="preserve">人需在合同签订后3日内持合同原件至采购代理机构办理投标保证金退还手续。 </w:t>
            </w:r>
          </w:p>
        </w:tc>
      </w:tr>
      <w:tr w14:paraId="43F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Align w:val="center"/>
          </w:tcPr>
          <w:p w14:paraId="137CBF48">
            <w:pPr>
              <w:pStyle w:val="28"/>
              <w:keepNext w:val="0"/>
              <w:keepLines w:val="0"/>
              <w:pageBreakBefore w:val="0"/>
              <w:kinsoku/>
              <w:overflowPunct/>
              <w:topLinePunct w:val="0"/>
              <w:bidi w:val="0"/>
              <w:adjustRightInd w:val="0"/>
              <w:snapToGrid w:val="0"/>
              <w:spacing w:line="240" w:lineRule="auto"/>
              <w:jc w:val="center"/>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.1</w:t>
            </w:r>
          </w:p>
        </w:tc>
        <w:tc>
          <w:tcPr>
            <w:tcW w:w="7832" w:type="dxa"/>
            <w:vAlign w:val="center"/>
          </w:tcPr>
          <w:p w14:paraId="79ABE6CF">
            <w:pPr>
              <w:pStyle w:val="28"/>
              <w:keepNext w:val="0"/>
              <w:keepLines w:val="0"/>
              <w:pageBreakBefore w:val="0"/>
              <w:kinsoku/>
              <w:overflowPunct/>
              <w:topLinePunct w:val="0"/>
              <w:bidi w:val="0"/>
              <w:adjustRightInd w:val="0"/>
              <w:snapToGrid w:val="0"/>
              <w:spacing w:line="240" w:lineRule="auto"/>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磋商有效期：自响应文件递交之</w:t>
            </w:r>
            <w:r>
              <w:rPr>
                <w:rFonts w:hint="eastAsia" w:ascii="仿宋_GB2312" w:hAnsi="仿宋_GB2312" w:eastAsia="仿宋_GB2312" w:cs="仿宋_GB2312"/>
                <w:color w:val="auto"/>
                <w:sz w:val="24"/>
                <w:szCs w:val="24"/>
                <w:shd w:val="clear" w:color="auto" w:fill="auto"/>
              </w:rPr>
              <w:t>日起</w:t>
            </w:r>
            <w:r>
              <w:rPr>
                <w:rFonts w:hint="eastAsia" w:ascii="仿宋_GB2312" w:hAnsi="仿宋_GB2312" w:eastAsia="仿宋_GB2312" w:cs="仿宋_GB2312"/>
                <w:color w:val="auto"/>
                <w:sz w:val="24"/>
                <w:szCs w:val="24"/>
                <w:u w:val="single"/>
                <w:shd w:val="clear" w:color="auto" w:fill="auto"/>
              </w:rPr>
              <w:t>6</w:t>
            </w:r>
            <w:r>
              <w:rPr>
                <w:rFonts w:hint="eastAsia" w:ascii="仿宋_GB2312" w:hAnsi="仿宋_GB2312" w:eastAsia="仿宋_GB2312" w:cs="仿宋_GB2312"/>
                <w:color w:val="auto"/>
                <w:sz w:val="24"/>
                <w:szCs w:val="24"/>
                <w:u w:val="single"/>
                <w:shd w:val="clear" w:color="auto" w:fill="auto"/>
                <w:lang w:val="en-US" w:eastAsia="zh-CN"/>
              </w:rPr>
              <w:t>0</w:t>
            </w:r>
            <w:r>
              <w:rPr>
                <w:rFonts w:hint="eastAsia" w:ascii="仿宋_GB2312" w:hAnsi="仿宋_GB2312" w:eastAsia="仿宋_GB2312" w:cs="仿宋_GB2312"/>
                <w:color w:val="auto"/>
                <w:sz w:val="24"/>
                <w:szCs w:val="24"/>
                <w:shd w:val="clear" w:color="auto" w:fill="auto"/>
              </w:rPr>
              <w:t>日历天。</w:t>
            </w:r>
          </w:p>
        </w:tc>
      </w:tr>
      <w:tr w14:paraId="77C9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80" w:type="dxa"/>
            <w:vAlign w:val="center"/>
          </w:tcPr>
          <w:p w14:paraId="448D7307">
            <w:pPr>
              <w:pStyle w:val="28"/>
              <w:keepNext w:val="0"/>
              <w:keepLines w:val="0"/>
              <w:pageBreakBefore w:val="0"/>
              <w:kinsoku/>
              <w:overflowPunct/>
              <w:topLinePunct w:val="0"/>
              <w:bidi w:val="0"/>
              <w:adjustRightInd w:val="0"/>
              <w:snapToGrid w:val="0"/>
              <w:spacing w:line="240" w:lineRule="auto"/>
              <w:jc w:val="center"/>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.1</w:t>
            </w:r>
          </w:p>
        </w:tc>
        <w:tc>
          <w:tcPr>
            <w:tcW w:w="7832" w:type="dxa"/>
            <w:vAlign w:val="center"/>
          </w:tcPr>
          <w:p w14:paraId="7A9552B8">
            <w:pPr>
              <w:pStyle w:val="28"/>
              <w:keepNext w:val="0"/>
              <w:keepLines w:val="0"/>
              <w:pageBreakBefore w:val="0"/>
              <w:kinsoku/>
              <w:overflowPunct/>
              <w:topLinePunct w:val="0"/>
              <w:bidi w:val="0"/>
              <w:adjustRightInd w:val="0"/>
              <w:snapToGrid w:val="0"/>
              <w:spacing w:line="240" w:lineRule="auto"/>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响应文件的份数：</w:t>
            </w:r>
            <w:r>
              <w:rPr>
                <w:rFonts w:hint="eastAsia" w:ascii="仿宋_GB2312" w:hAnsi="仿宋_GB2312" w:eastAsia="仿宋_GB2312" w:cs="仿宋_GB2312"/>
                <w:color w:val="auto"/>
                <w:sz w:val="24"/>
                <w:szCs w:val="24"/>
                <w:lang w:val="en-US" w:eastAsia="zh-CN"/>
              </w:rPr>
              <w:t>正本1份，副本2份</w:t>
            </w:r>
            <w:r>
              <w:rPr>
                <w:rFonts w:hint="eastAsia" w:ascii="仿宋_GB2312" w:hAnsi="仿宋_GB2312" w:eastAsia="仿宋_GB2312" w:cs="仿宋_GB2312"/>
                <w:color w:val="auto"/>
                <w:sz w:val="24"/>
                <w:szCs w:val="24"/>
              </w:rPr>
              <w:t>。</w:t>
            </w:r>
          </w:p>
        </w:tc>
      </w:tr>
      <w:tr w14:paraId="2731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80" w:type="dxa"/>
            <w:vAlign w:val="center"/>
          </w:tcPr>
          <w:p w14:paraId="1EFFA345">
            <w:pPr>
              <w:pStyle w:val="28"/>
              <w:keepNext w:val="0"/>
              <w:keepLines w:val="0"/>
              <w:pageBreakBefore w:val="0"/>
              <w:kinsoku/>
              <w:overflowPunct/>
              <w:topLinePunct w:val="0"/>
              <w:bidi w:val="0"/>
              <w:adjustRightInd w:val="0"/>
              <w:snapToGrid w:val="0"/>
              <w:spacing w:line="240" w:lineRule="auto"/>
              <w:jc w:val="center"/>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17.3</w:t>
            </w:r>
          </w:p>
        </w:tc>
        <w:tc>
          <w:tcPr>
            <w:tcW w:w="7832" w:type="dxa"/>
            <w:vAlign w:val="center"/>
          </w:tcPr>
          <w:p w14:paraId="3D0EA69E">
            <w:pPr>
              <w:pStyle w:val="28"/>
              <w:keepNext w:val="0"/>
              <w:keepLines w:val="0"/>
              <w:pageBreakBefore w:val="0"/>
              <w:kinsoku/>
              <w:overflowPunct/>
              <w:topLinePunct w:val="0"/>
              <w:bidi w:val="0"/>
              <w:adjustRightInd w:val="0"/>
              <w:snapToGrid w:val="0"/>
              <w:spacing w:line="240" w:lineRule="auto"/>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本项目不要求提交样品。</w:t>
            </w:r>
          </w:p>
        </w:tc>
      </w:tr>
      <w:tr w14:paraId="7BA8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0" w:type="dxa"/>
            <w:vAlign w:val="center"/>
          </w:tcPr>
          <w:p w14:paraId="41663711">
            <w:pPr>
              <w:pStyle w:val="28"/>
              <w:keepNext w:val="0"/>
              <w:keepLines w:val="0"/>
              <w:pageBreakBefore w:val="0"/>
              <w:kinsoku/>
              <w:overflowPunct/>
              <w:topLinePunct w:val="0"/>
              <w:bidi w:val="0"/>
              <w:adjustRightInd w:val="0"/>
              <w:snapToGrid w:val="0"/>
              <w:spacing w:line="240" w:lineRule="auto"/>
              <w:jc w:val="center"/>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18.1</w:t>
            </w:r>
          </w:p>
        </w:tc>
        <w:tc>
          <w:tcPr>
            <w:tcW w:w="7832" w:type="dxa"/>
            <w:vAlign w:val="center"/>
          </w:tcPr>
          <w:p w14:paraId="4C7FB821">
            <w:pPr>
              <w:keepNext w:val="0"/>
              <w:keepLines w:val="0"/>
              <w:pageBreakBefore w:val="0"/>
              <w:tabs>
                <w:tab w:val="left" w:pos="588"/>
              </w:tabs>
              <w:kinsoku/>
              <w:overflowPunct/>
              <w:topLinePunct w:val="0"/>
              <w:bidi w:val="0"/>
              <w:spacing w:line="240" w:lineRule="auto"/>
              <w:textAlignment w:val="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响应文件递交截止时间：</w:t>
            </w:r>
            <w:r>
              <w:rPr>
                <w:rFonts w:hint="eastAsia" w:ascii="仿宋_GB2312" w:hAnsi="仿宋_GB2312" w:eastAsia="仿宋_GB2312" w:cs="仿宋_GB2312"/>
                <w:color w:val="auto"/>
                <w:sz w:val="24"/>
                <w:highlight w:val="none"/>
                <w:lang w:eastAsia="zh-CN"/>
              </w:rPr>
              <w:t>2025年0</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lang w:eastAsia="zh-CN"/>
              </w:rPr>
              <w:t>月</w:t>
            </w:r>
            <w:r>
              <w:rPr>
                <w:rFonts w:hint="eastAsia" w:ascii="仿宋_GB2312" w:hAnsi="仿宋_GB2312" w:eastAsia="仿宋_GB2312" w:cs="仿宋_GB2312"/>
                <w:color w:val="auto"/>
                <w:sz w:val="24"/>
                <w:highlight w:val="none"/>
                <w:lang w:val="en-US" w:eastAsia="zh-CN"/>
              </w:rPr>
              <w:t>20</w:t>
            </w:r>
            <w:r>
              <w:rPr>
                <w:rFonts w:hint="eastAsia" w:ascii="仿宋_GB2312" w:hAnsi="仿宋_GB2312" w:eastAsia="仿宋_GB2312" w:cs="仿宋_GB2312"/>
                <w:color w:val="auto"/>
                <w:sz w:val="24"/>
                <w:highlight w:val="none"/>
                <w:lang w:eastAsia="zh-CN"/>
              </w:rPr>
              <w:t>日</w:t>
            </w:r>
            <w:r>
              <w:rPr>
                <w:rFonts w:hint="eastAsia" w:ascii="仿宋_GB2312" w:hAnsi="仿宋_GB2312" w:eastAsia="仿宋_GB2312" w:cs="仿宋_GB2312"/>
                <w:color w:val="auto"/>
                <w:sz w:val="24"/>
                <w:highlight w:val="none"/>
                <w:lang w:val="en-US" w:eastAsia="zh-CN"/>
              </w:rPr>
              <w:t>15</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30</w:t>
            </w:r>
            <w:r>
              <w:rPr>
                <w:rFonts w:hint="eastAsia" w:ascii="仿宋_GB2312" w:hAnsi="仿宋_GB2312" w:eastAsia="仿宋_GB2312" w:cs="仿宋_GB2312"/>
                <w:color w:val="auto"/>
                <w:kern w:val="24"/>
                <w:sz w:val="24"/>
              </w:rPr>
              <w:t>（北京时间）。</w:t>
            </w:r>
          </w:p>
          <w:p w14:paraId="67ED76C3">
            <w:pPr>
              <w:keepNext w:val="0"/>
              <w:keepLines w:val="0"/>
              <w:pageBreakBefore w:val="0"/>
              <w:tabs>
                <w:tab w:val="left" w:pos="588"/>
              </w:tabs>
              <w:kinsoku/>
              <w:overflowPunct/>
              <w:topLinePunct w:val="0"/>
              <w:bidi w:val="0"/>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kern w:val="24"/>
                <w:sz w:val="24"/>
              </w:rPr>
              <w:t>响应文件递交地点：</w:t>
            </w:r>
            <w:r>
              <w:rPr>
                <w:rFonts w:hint="eastAsia" w:ascii="仿宋_GB2312" w:hAnsi="仿宋_GB2312" w:eastAsia="仿宋_GB2312" w:cs="仿宋_GB2312"/>
                <w:color w:val="auto"/>
                <w:kern w:val="24"/>
                <w:sz w:val="24"/>
                <w:lang w:val="en-US" w:eastAsia="zh-CN"/>
              </w:rPr>
              <w:t>延安市公共资源交易中心 交易三厅</w:t>
            </w:r>
          </w:p>
        </w:tc>
      </w:tr>
      <w:tr w14:paraId="5331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80" w:type="dxa"/>
            <w:vAlign w:val="center"/>
          </w:tcPr>
          <w:p w14:paraId="103E1079">
            <w:pPr>
              <w:pStyle w:val="28"/>
              <w:keepNext w:val="0"/>
              <w:keepLines w:val="0"/>
              <w:pageBreakBefore w:val="0"/>
              <w:kinsoku/>
              <w:overflowPunct/>
              <w:topLinePunct w:val="0"/>
              <w:bidi w:val="0"/>
              <w:adjustRightInd w:val="0"/>
              <w:snapToGrid w:val="0"/>
              <w:spacing w:line="240" w:lineRule="auto"/>
              <w:jc w:val="center"/>
              <w:textAlignment w:val="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21.1</w:t>
            </w:r>
          </w:p>
        </w:tc>
        <w:tc>
          <w:tcPr>
            <w:tcW w:w="7832" w:type="dxa"/>
            <w:vAlign w:val="center"/>
          </w:tcPr>
          <w:p w14:paraId="4B926DC2">
            <w:pPr>
              <w:keepNext w:val="0"/>
              <w:keepLines w:val="0"/>
              <w:pageBreakBefore w:val="0"/>
              <w:kinsoku/>
              <w:overflowPunct/>
              <w:topLinePunct w:val="0"/>
              <w:bidi w:val="0"/>
              <w:spacing w:line="240" w:lineRule="auto"/>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磋商小组由</w:t>
            </w:r>
            <w:r>
              <w:rPr>
                <w:rFonts w:hint="eastAsia" w:ascii="仿宋_GB2312" w:hAnsi="仿宋_GB2312" w:eastAsia="仿宋_GB2312" w:cs="仿宋_GB2312"/>
                <w:color w:val="auto"/>
                <w:sz w:val="24"/>
                <w:u w:val="single"/>
              </w:rPr>
              <w:t>（</w:t>
            </w:r>
            <w:r>
              <w:rPr>
                <w:rFonts w:hint="eastAsia" w:ascii="仿宋_GB2312" w:hAnsi="仿宋_GB2312" w:eastAsia="仿宋_GB2312" w:cs="仿宋_GB2312"/>
                <w:color w:val="auto"/>
                <w:sz w:val="24"/>
                <w:u w:val="single"/>
                <w:lang w:val="en-US" w:eastAsia="zh-CN"/>
              </w:rPr>
              <w:t>3</w:t>
            </w:r>
            <w:r>
              <w:rPr>
                <w:rFonts w:hint="eastAsia" w:ascii="仿宋_GB2312" w:hAnsi="仿宋_GB2312" w:eastAsia="仿宋_GB2312" w:cs="仿宋_GB2312"/>
                <w:color w:val="auto"/>
                <w:sz w:val="24"/>
                <w:u w:val="single"/>
              </w:rPr>
              <w:t>）</w:t>
            </w:r>
            <w:r>
              <w:rPr>
                <w:rFonts w:hint="eastAsia" w:ascii="仿宋_GB2312" w:hAnsi="仿宋_GB2312" w:eastAsia="仿宋_GB2312" w:cs="仿宋_GB2312"/>
                <w:color w:val="auto"/>
                <w:sz w:val="24"/>
              </w:rPr>
              <w:t>人组成，其中评审专家</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2</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人，采购人代表</w:t>
            </w:r>
            <w:r>
              <w:rPr>
                <w:rFonts w:hint="eastAsia" w:ascii="仿宋_GB2312" w:hAnsi="仿宋_GB2312" w:eastAsia="仿宋_GB2312" w:cs="仿宋_GB2312"/>
                <w:color w:val="auto"/>
                <w:sz w:val="24"/>
                <w:u w:val="single"/>
              </w:rPr>
              <w:t xml:space="preserve"> 1</w:t>
            </w:r>
            <w:r>
              <w:rPr>
                <w:rFonts w:hint="eastAsia" w:ascii="仿宋_GB2312" w:hAnsi="仿宋_GB2312" w:eastAsia="仿宋_GB2312" w:cs="仿宋_GB2312"/>
                <w:color w:val="auto"/>
                <w:sz w:val="24"/>
              </w:rPr>
              <w:t>人。</w:t>
            </w:r>
          </w:p>
        </w:tc>
      </w:tr>
      <w:tr w14:paraId="1729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80" w:type="dxa"/>
            <w:shd w:val="clear" w:color="auto" w:fill="auto"/>
            <w:vAlign w:val="center"/>
          </w:tcPr>
          <w:p w14:paraId="11D7EC79">
            <w:pPr>
              <w:pStyle w:val="28"/>
              <w:adjustRightInd w:val="0"/>
              <w:snapToGrid w:val="0"/>
              <w:spacing w:line="240" w:lineRule="auto"/>
              <w:jc w:val="center"/>
              <w:rPr>
                <w:rFonts w:hint="eastAsia" w:ascii="Times New Roman" w:hAnsi="Times New Roman" w:eastAsia="仿宋_GB2312" w:cs="Times New Roman"/>
                <w:color w:val="auto"/>
                <w:kern w:val="2"/>
                <w:sz w:val="24"/>
                <w:szCs w:val="24"/>
                <w:lang w:val="en-US" w:eastAsia="zh-CN" w:bidi="ar-SA"/>
              </w:rPr>
            </w:pPr>
            <w:bookmarkStart w:id="70" w:name="_Toc177189236"/>
            <w:bookmarkStart w:id="71" w:name="_Toc70687140"/>
            <w:bookmarkStart w:id="72" w:name="_Toc176882543"/>
            <w:bookmarkStart w:id="73" w:name="_Toc177995474"/>
            <w:bookmarkStart w:id="74" w:name="_Toc249515279"/>
            <w:bookmarkStart w:id="75" w:name="_Toc184043013"/>
            <w:bookmarkStart w:id="76" w:name="_Toc230583542"/>
            <w:bookmarkStart w:id="77" w:name="_Toc230013633"/>
            <w:bookmarkStart w:id="78" w:name="_Toc232395213"/>
            <w:bookmarkStart w:id="79" w:name="_Toc177817335"/>
            <w:bookmarkStart w:id="80" w:name="_Toc249525160"/>
            <w:bookmarkStart w:id="81" w:name="_Toc256342144"/>
            <w:bookmarkStart w:id="82" w:name="_Toc53722841"/>
            <w:bookmarkStart w:id="83" w:name="_Toc230099798"/>
            <w:bookmarkStart w:id="84" w:name="_Toc249515391"/>
            <w:bookmarkStart w:id="85" w:name="_Toc232176273"/>
            <w:r>
              <w:rPr>
                <w:rFonts w:hint="default" w:ascii="Times New Roman" w:hAnsi="Times New Roman" w:eastAsia="仿宋_GB2312" w:cs="Times New Roman"/>
                <w:color w:val="auto"/>
                <w:sz w:val="24"/>
                <w:szCs w:val="24"/>
                <w:lang w:val="en-US" w:eastAsia="zh-CN"/>
              </w:rPr>
              <w:t>23.2.2</w:t>
            </w:r>
          </w:p>
        </w:tc>
        <w:tc>
          <w:tcPr>
            <w:tcW w:w="7832" w:type="dxa"/>
            <w:shd w:val="clear" w:color="auto" w:fill="auto"/>
            <w:vAlign w:val="center"/>
          </w:tcPr>
          <w:p w14:paraId="3C0A6EE4">
            <w:pPr>
              <w:spacing w:line="360" w:lineRule="auto"/>
              <w:rPr>
                <w:rFonts w:hint="default" w:ascii="Times New Roman" w:hAnsi="Times New Roman" w:eastAsia="仿宋_GB2312" w:cs="Times New Roman"/>
                <w:color w:val="auto"/>
                <w:sz w:val="24"/>
                <w:highlight w:val="none"/>
                <w:u w:val="single"/>
                <w:lang w:val="en-US" w:eastAsia="zh-CN"/>
              </w:rPr>
            </w:pPr>
            <w:r>
              <w:rPr>
                <w:rFonts w:hint="default" w:ascii="Times New Roman" w:hAnsi="Times New Roman" w:eastAsia="仿宋_GB2312" w:cs="Times New Roman"/>
                <w:color w:val="auto"/>
                <w:sz w:val="24"/>
                <w:highlight w:val="none"/>
                <w:u w:val="none"/>
                <w:lang w:val="en-US" w:eastAsia="zh-CN"/>
              </w:rPr>
              <w:t>（12）本项目涉及的政府强制采购产品：</w:t>
            </w:r>
            <w:r>
              <w:rPr>
                <w:rFonts w:hint="eastAsia" w:ascii="Times New Roman" w:hAnsi="Times New Roman" w:eastAsia="仿宋_GB2312" w:cs="Times New Roman"/>
                <w:color w:val="auto"/>
                <w:sz w:val="24"/>
                <w:highlight w:val="none"/>
                <w:u w:val="single"/>
                <w:lang w:val="en-US" w:eastAsia="zh-CN"/>
              </w:rPr>
              <w:t xml:space="preserve">/  </w:t>
            </w:r>
          </w:p>
          <w:p w14:paraId="275EE935">
            <w:pPr>
              <w:spacing w:line="360" w:lineRule="auto"/>
              <w:rPr>
                <w:rFonts w:hint="default" w:ascii="Times New Roman" w:hAnsi="Times New Roman" w:eastAsia="仿宋_GB2312" w:cs="Times New Roman"/>
                <w:color w:val="auto"/>
                <w:sz w:val="24"/>
                <w:highlight w:val="none"/>
                <w:u w:val="none"/>
                <w:lang w:val="en-US" w:eastAsia="zh-CN"/>
              </w:rPr>
            </w:pPr>
            <w:r>
              <w:rPr>
                <w:rFonts w:hint="default" w:ascii="Times New Roman" w:hAnsi="Times New Roman" w:eastAsia="仿宋_GB2312" w:cs="Times New Roman"/>
                <w:color w:val="auto"/>
                <w:sz w:val="24"/>
                <w:highlight w:val="none"/>
                <w:u w:val="none"/>
                <w:lang w:val="en-US" w:eastAsia="zh-CN"/>
              </w:rPr>
              <w:t xml:space="preserve">（13）本项目涉及的网络关键设备和网络安全专用产品： </w:t>
            </w:r>
            <w:r>
              <w:rPr>
                <w:rFonts w:hint="eastAsia" w:ascii="Times New Roman" w:hAnsi="Times New Roman" w:eastAsia="仿宋_GB2312" w:cs="Times New Roman"/>
                <w:color w:val="auto"/>
                <w:sz w:val="24"/>
                <w:highlight w:val="none"/>
                <w:u w:val="none"/>
                <w:lang w:val="en-US" w:eastAsia="zh-CN"/>
              </w:rPr>
              <w:t>/</w:t>
            </w:r>
          </w:p>
          <w:p w14:paraId="37135E82">
            <w:pPr>
              <w:spacing w:line="360" w:lineRule="auto"/>
              <w:rPr>
                <w:rFonts w:hint="default" w:ascii="Times New Roman" w:hAnsi="Times New Roman" w:eastAsia="仿宋_GB2312" w:cs="Times New Roman"/>
                <w:color w:val="auto"/>
                <w:sz w:val="24"/>
                <w:highlight w:val="none"/>
                <w:u w:val="none"/>
                <w:lang w:val="en-US" w:eastAsia="zh-CN"/>
              </w:rPr>
            </w:pPr>
            <w:r>
              <w:rPr>
                <w:rFonts w:hint="default" w:ascii="Times New Roman" w:hAnsi="Times New Roman" w:eastAsia="仿宋_GB2312" w:cs="Times New Roman"/>
                <w:color w:val="auto"/>
                <w:sz w:val="24"/>
                <w:highlight w:val="none"/>
                <w:u w:val="none"/>
                <w:lang w:val="en-US" w:eastAsia="zh-CN"/>
              </w:rPr>
              <w:t>（14）支持本国产品：</w:t>
            </w:r>
          </w:p>
          <w:p w14:paraId="00FC30B5">
            <w:pPr>
              <w:spacing w:line="360" w:lineRule="auto"/>
              <w:rPr>
                <w:rFonts w:hint="default" w:ascii="Times New Roman" w:hAnsi="Times New Roman" w:eastAsia="仿宋_GB2312" w:cs="Times New Roman"/>
                <w:color w:val="auto"/>
                <w:sz w:val="24"/>
                <w:highlight w:val="none"/>
                <w:u w:val="none"/>
                <w:lang w:val="en-US" w:eastAsia="zh-CN"/>
              </w:rPr>
            </w:pPr>
            <w:r>
              <w:rPr>
                <w:rFonts w:hint="default" w:ascii="Times New Roman" w:hAnsi="Times New Roman" w:eastAsia="仿宋_GB2312" w:cs="Times New Roman"/>
                <w:color w:val="auto"/>
                <w:sz w:val="24"/>
                <w:highlight w:val="none"/>
                <w:u w:val="none"/>
                <w:lang w:val="en-US" w:eastAsia="zh-CN"/>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D4E46CC">
            <w:pPr>
              <w:spacing w:line="360" w:lineRule="auto"/>
              <w:rPr>
                <w:rFonts w:hint="eastAsia" w:ascii="Times New Roman" w:hAnsi="Times New Roman" w:eastAsia="仿宋_GB2312" w:cs="Times New Roman"/>
                <w:color w:val="auto"/>
                <w:kern w:val="2"/>
                <w:sz w:val="24"/>
                <w:szCs w:val="24"/>
                <w:highlight w:val="yellow"/>
                <w:u w:val="single"/>
                <w:lang w:val="en-US" w:eastAsia="zh-CN" w:bidi="ar-SA"/>
              </w:rPr>
            </w:pPr>
            <w:r>
              <w:rPr>
                <w:rFonts w:hint="eastAsia" w:ascii="Times New Roman" w:hAnsi="Times New Roman" w:eastAsia="仿宋_GB2312" w:cs="Times New Roman"/>
                <w:color w:val="auto"/>
                <w:sz w:val="24"/>
                <w:highlight w:val="none"/>
                <w:u w:val="none"/>
                <w:lang w:val="en-US" w:eastAsia="zh-CN"/>
              </w:rPr>
              <w:t>☑</w:t>
            </w:r>
            <w:r>
              <w:rPr>
                <w:rFonts w:hint="default" w:ascii="Times New Roman" w:hAnsi="Times New Roman" w:eastAsia="仿宋_GB2312" w:cs="Times New Roman"/>
                <w:color w:val="auto"/>
                <w:sz w:val="24"/>
                <w:highlight w:val="none"/>
                <w:u w:val="none"/>
                <w:lang w:val="en-US" w:eastAsia="zh-CN"/>
              </w:rPr>
              <w:t>不适用</w:t>
            </w:r>
          </w:p>
        </w:tc>
      </w:tr>
      <w:tr w14:paraId="4F74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80" w:type="dxa"/>
            <w:shd w:val="clear" w:color="auto" w:fill="auto"/>
            <w:vAlign w:val="center"/>
          </w:tcPr>
          <w:p w14:paraId="52764971">
            <w:pPr>
              <w:jc w:val="center"/>
              <w:rPr>
                <w:rFonts w:hint="eastAsia"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rPr>
              <w:t>28.1</w:t>
            </w:r>
          </w:p>
        </w:tc>
        <w:tc>
          <w:tcPr>
            <w:tcW w:w="7832" w:type="dxa"/>
            <w:shd w:val="clear" w:color="auto" w:fill="auto"/>
            <w:vAlign w:val="center"/>
          </w:tcPr>
          <w:p w14:paraId="254E331D">
            <w:pPr>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 xml:space="preserve"> 本项目要求履约保证金，金额为成交合同金额的</w:t>
            </w:r>
            <w:r>
              <w:rPr>
                <w:rFonts w:hint="default" w:ascii="Times New Roman" w:hAnsi="Times New Roman" w:eastAsia="仿宋_GB2312" w:cs="Times New Roman"/>
                <w:b/>
                <w:color w:val="auto"/>
                <w:sz w:val="24"/>
                <w:u w:val="single"/>
              </w:rPr>
              <w:t xml:space="preserve">5% </w:t>
            </w:r>
          </w:p>
          <w:p w14:paraId="34800585">
            <w:pPr>
              <w:pStyle w:val="22"/>
              <w:rPr>
                <w:rFonts w:hint="default" w:ascii="Times New Roman" w:hAnsi="Times New Roman" w:eastAsia="仿宋_GB2312" w:cs="Times New Roman"/>
                <w:color w:val="auto"/>
              </w:rPr>
            </w:pPr>
          </w:p>
          <w:p w14:paraId="6C2F61E1">
            <w:pPr>
              <w:jc w:val="left"/>
              <w:rPr>
                <w:rFonts w:hint="eastAsia" w:ascii="Times New Roman" w:hAnsi="Times New Roman" w:eastAsia="仿宋_GB2312" w:cs="Times New Roman"/>
                <w:color w:val="auto"/>
                <w:kern w:val="2"/>
                <w:sz w:val="21"/>
                <w:szCs w:val="24"/>
                <w:lang w:val="en-US" w:eastAsia="zh-CN" w:bidi="ar-SA"/>
              </w:rPr>
            </w:pPr>
            <w:r>
              <w:rPr>
                <w:rFonts w:hint="eastAsia"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本项目不要求履约保证金。</w:t>
            </w:r>
          </w:p>
        </w:tc>
      </w:tr>
      <w:tr w14:paraId="6CDF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80" w:type="dxa"/>
            <w:shd w:val="clear" w:color="auto" w:fill="auto"/>
            <w:vAlign w:val="center"/>
          </w:tcPr>
          <w:p w14:paraId="151A018D">
            <w:pPr>
              <w:jc w:val="center"/>
              <w:rPr>
                <w:rFonts w:hint="eastAsia"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lang w:val="en-US" w:eastAsia="zh-CN"/>
              </w:rPr>
              <w:t>29</w:t>
            </w:r>
          </w:p>
        </w:tc>
        <w:tc>
          <w:tcPr>
            <w:tcW w:w="7832" w:type="dxa"/>
            <w:shd w:val="clear" w:color="auto" w:fill="auto"/>
            <w:vAlign w:val="center"/>
          </w:tcPr>
          <w:p w14:paraId="46C8D905">
            <w:pPr>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val="en-US" w:eastAsia="zh-CN"/>
              </w:rPr>
              <w:t>成交供应商</w:t>
            </w:r>
            <w:r>
              <w:rPr>
                <w:rFonts w:hint="default" w:ascii="Times New Roman" w:hAnsi="Times New Roman" w:eastAsia="仿宋_GB2312" w:cs="Times New Roman"/>
                <w:color w:val="auto"/>
                <w:sz w:val="24"/>
              </w:rPr>
              <w:t>在领取</w:t>
            </w:r>
            <w:r>
              <w:rPr>
                <w:rFonts w:hint="default" w:ascii="Times New Roman" w:hAnsi="Times New Roman" w:eastAsia="仿宋_GB2312" w:cs="Times New Roman"/>
                <w:color w:val="auto"/>
                <w:sz w:val="24"/>
                <w:lang w:val="en-US" w:eastAsia="zh-CN"/>
              </w:rPr>
              <w:t>成交</w:t>
            </w:r>
            <w:r>
              <w:rPr>
                <w:rFonts w:hint="default" w:ascii="Times New Roman" w:hAnsi="Times New Roman" w:eastAsia="仿宋_GB2312" w:cs="Times New Roman"/>
                <w:color w:val="auto"/>
                <w:sz w:val="24"/>
              </w:rPr>
              <w:t>通知书前，须向采购代理机构支付代理服务费，代理服务费由采购人与采购代理机构约定：</w:t>
            </w:r>
          </w:p>
          <w:p w14:paraId="0F71D499">
            <w:pPr>
              <w:spacing w:line="360" w:lineRule="auto"/>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 xml:space="preserve"> 参照原国家计委计价格〔2002〕1980号文和国家发改委发改办价格〔2003〕857号文的计算方法</w:t>
            </w:r>
            <w:r>
              <w:rPr>
                <w:rFonts w:hint="default" w:ascii="Times New Roman" w:hAnsi="Times New Roman" w:eastAsia="仿宋_GB2312" w:cs="Times New Roman"/>
                <w:color w:val="auto"/>
                <w:sz w:val="24"/>
                <w:lang w:val="en-US" w:eastAsia="zh-CN"/>
              </w:rPr>
              <w:t>按标准</w:t>
            </w:r>
            <w:r>
              <w:rPr>
                <w:rFonts w:hint="default" w:ascii="Times New Roman" w:hAnsi="Times New Roman" w:eastAsia="仿宋_GB2312" w:cs="Times New Roman"/>
                <w:color w:val="auto"/>
                <w:sz w:val="24"/>
              </w:rPr>
              <w:t>收取</w:t>
            </w:r>
            <w:r>
              <w:rPr>
                <w:rFonts w:hint="eastAsia" w:ascii="Times New Roman" w:hAnsi="Times New Roman" w:eastAsia="仿宋_GB2312" w:cs="Times New Roman"/>
                <w:color w:val="auto"/>
                <w:sz w:val="24"/>
                <w:lang w:eastAsia="zh-CN"/>
              </w:rPr>
              <w:t>。</w:t>
            </w:r>
          </w:p>
          <w:p w14:paraId="7F346A3A">
            <w:pPr>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eastAsia="zh-CN"/>
              </w:rPr>
              <w:t>□</w:t>
            </w:r>
            <w:r>
              <w:rPr>
                <w:rFonts w:hint="default" w:ascii="Times New Roman" w:hAnsi="Times New Roman" w:eastAsia="仿宋_GB2312" w:cs="Times New Roman"/>
                <w:color w:val="auto"/>
                <w:sz w:val="24"/>
              </w:rPr>
              <w:t xml:space="preserve"> 由采购人与采购代理机构约定，按</w:t>
            </w:r>
            <w:r>
              <w:rPr>
                <w:rFonts w:hint="default" w:ascii="Times New Roman" w:hAnsi="Times New Roman" w:eastAsia="仿宋_GB2312" w:cs="Times New Roman"/>
                <w:color w:val="auto"/>
                <w:sz w:val="24"/>
                <w:u w:val="single"/>
              </w:rPr>
              <w:t xml:space="preserve">       </w:t>
            </w:r>
            <w:r>
              <w:rPr>
                <w:rFonts w:hint="default" w:ascii="Times New Roman" w:hAnsi="Times New Roman" w:eastAsia="仿宋_GB2312" w:cs="Times New Roman"/>
                <w:color w:val="auto"/>
                <w:sz w:val="24"/>
              </w:rPr>
              <w:t>元收取。</w:t>
            </w:r>
          </w:p>
          <w:p w14:paraId="3C8DA350">
            <w:pPr>
              <w:snapToGrid w:val="0"/>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lang w:val="en-US" w:eastAsia="zh-CN"/>
              </w:rPr>
              <w:t>成交供应商</w:t>
            </w:r>
            <w:r>
              <w:rPr>
                <w:rFonts w:hint="default" w:ascii="Times New Roman" w:hAnsi="Times New Roman" w:eastAsia="仿宋_GB2312" w:cs="Times New Roman"/>
                <w:color w:val="auto"/>
                <w:sz w:val="24"/>
              </w:rPr>
              <w:t>的招标代理服务费交纳信息</w:t>
            </w:r>
          </w:p>
          <w:p w14:paraId="59D09EA4">
            <w:pPr>
              <w:snapToGrid w:val="0"/>
              <w:spacing w:line="360" w:lineRule="auto"/>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银行户名：陕西省采购招标有限责任公司</w:t>
            </w:r>
          </w:p>
          <w:p w14:paraId="5E735A77">
            <w:pPr>
              <w:snapToGrid w:val="0"/>
              <w:spacing w:line="360" w:lineRule="auto"/>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开户银行：中国光大银行西安友谊路支行</w:t>
            </w:r>
          </w:p>
          <w:p w14:paraId="2128008F">
            <w:pPr>
              <w:autoSpaceDE w:val="0"/>
              <w:autoSpaceDN w:val="0"/>
              <w:adjustRightInd w:val="0"/>
              <w:snapToGrid w:val="0"/>
              <w:spacing w:line="360" w:lineRule="auto"/>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账    号：78560188000095264</w:t>
            </w:r>
          </w:p>
          <w:p w14:paraId="74C4A87A">
            <w:pPr>
              <w:snapToGrid w:val="0"/>
              <w:spacing w:line="360" w:lineRule="auto"/>
              <w:ind w:firstLine="480" w:firstLineChars="2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联 系 人：财务部</w:t>
            </w:r>
          </w:p>
          <w:p w14:paraId="2E8F37BD">
            <w:pPr>
              <w:ind w:firstLine="480" w:firstLineChars="200"/>
              <w:jc w:val="left"/>
              <w:rPr>
                <w:rFonts w:hint="eastAsia"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rPr>
              <w:t>联系电话：029-85263975</w:t>
            </w:r>
          </w:p>
        </w:tc>
      </w:tr>
    </w:tbl>
    <w:p w14:paraId="76BAF23A">
      <w:pPr>
        <w:rPr>
          <w:rFonts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5443B9D7">
      <w:pPr>
        <w:pStyle w:val="85"/>
        <w:spacing w:before="24" w:after="24"/>
        <w:jc w:val="center"/>
        <w:rPr>
          <w:rFonts w:ascii="仿宋_GB2312" w:hAnsi="仿宋_GB2312" w:eastAsia="仿宋_GB2312" w:cs="仿宋_GB2312"/>
          <w:color w:val="auto"/>
          <w:szCs w:val="32"/>
        </w:rPr>
      </w:pPr>
      <w:bookmarkStart w:id="86" w:name="_Toc17948"/>
      <w:r>
        <w:rPr>
          <w:rFonts w:hint="eastAsia" w:ascii="仿宋_GB2312" w:hAnsi="仿宋_GB2312" w:eastAsia="仿宋_GB2312" w:cs="仿宋_GB2312"/>
          <w:color w:val="auto"/>
          <w:szCs w:val="32"/>
        </w:rPr>
        <w:t>（二）供应商须知</w:t>
      </w:r>
      <w:bookmarkEnd w:id="86"/>
    </w:p>
    <w:p w14:paraId="642ECC07">
      <w:pPr>
        <w:pStyle w:val="85"/>
        <w:spacing w:before="24" w:after="24"/>
        <w:jc w:val="center"/>
        <w:rPr>
          <w:rFonts w:ascii="仿宋_GB2312" w:hAnsi="仿宋_GB2312" w:eastAsia="仿宋_GB2312" w:cs="仿宋_GB2312"/>
          <w:color w:val="auto"/>
          <w:sz w:val="30"/>
          <w:szCs w:val="30"/>
        </w:rPr>
      </w:pPr>
      <w:bookmarkStart w:id="87" w:name="_Toc15328"/>
      <w:r>
        <w:rPr>
          <w:rFonts w:hint="eastAsia" w:ascii="仿宋_GB2312" w:hAnsi="仿宋_GB2312" w:eastAsia="仿宋_GB2312" w:cs="仿宋_GB2312"/>
          <w:color w:val="auto"/>
          <w:sz w:val="30"/>
          <w:szCs w:val="30"/>
        </w:rPr>
        <w:t>一、总  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7"/>
    </w:p>
    <w:p w14:paraId="3F9739D5">
      <w:pPr>
        <w:rPr>
          <w:rFonts w:ascii="仿宋_GB2312" w:hAnsi="仿宋_GB2312" w:eastAsia="仿宋_GB2312" w:cs="仿宋_GB2312"/>
          <w:color w:val="auto"/>
        </w:rPr>
      </w:pPr>
    </w:p>
    <w:p w14:paraId="514F76C9">
      <w:pPr>
        <w:pStyle w:val="4"/>
        <w:rPr>
          <w:rFonts w:ascii="仿宋_GB2312" w:hAnsi="仿宋_GB2312" w:eastAsia="仿宋_GB2312" w:cs="仿宋_GB2312"/>
          <w:b/>
          <w:color w:val="auto"/>
          <w:sz w:val="24"/>
        </w:rPr>
      </w:pPr>
      <w:bookmarkStart w:id="88" w:name="_Hlt14560612"/>
      <w:bookmarkEnd w:id="88"/>
      <w:bookmarkStart w:id="89" w:name="_Toc25504"/>
      <w:bookmarkStart w:id="90" w:name="_Toc249515392"/>
      <w:bookmarkStart w:id="91" w:name="_Toc249525161"/>
      <w:bookmarkStart w:id="92" w:name="_Toc184043014"/>
      <w:bookmarkStart w:id="93" w:name="_Toc249515280"/>
      <w:r>
        <w:rPr>
          <w:rFonts w:hint="eastAsia" w:ascii="仿宋_GB2312" w:hAnsi="仿宋_GB2312" w:eastAsia="仿宋_GB2312" w:cs="仿宋_GB2312"/>
          <w:b/>
          <w:color w:val="auto"/>
          <w:sz w:val="24"/>
        </w:rPr>
        <w:t>1.     项目说明</w:t>
      </w:r>
      <w:bookmarkEnd w:id="89"/>
      <w:bookmarkEnd w:id="90"/>
      <w:bookmarkEnd w:id="91"/>
      <w:bookmarkEnd w:id="92"/>
      <w:bookmarkEnd w:id="93"/>
    </w:p>
    <w:p w14:paraId="02F1BDD3">
      <w:pPr>
        <w:pStyle w:val="72"/>
        <w:widowControl w:val="0"/>
        <w:tabs>
          <w:tab w:val="left" w:pos="588"/>
        </w:tabs>
        <w:spacing w:before="0" w:beforeAutospacing="0" w:after="0" w:afterAutospacing="0"/>
        <w:textAlignment w:val="auto"/>
        <w:rPr>
          <w:rFonts w:ascii="仿宋_GB2312" w:hAnsi="仿宋_GB2312" w:eastAsia="仿宋_GB2312" w:cs="仿宋_GB2312"/>
          <w:color w:val="auto"/>
          <w:kern w:val="24"/>
        </w:rPr>
      </w:pPr>
      <w:r>
        <w:rPr>
          <w:rFonts w:hint="eastAsia" w:ascii="仿宋_GB2312" w:hAnsi="仿宋_GB2312" w:eastAsia="仿宋_GB2312" w:cs="仿宋_GB2312"/>
          <w:color w:val="auto"/>
          <w:kern w:val="24"/>
        </w:rPr>
        <w:t>1.1    项目说明：</w:t>
      </w:r>
      <w:r>
        <w:rPr>
          <w:rFonts w:hint="eastAsia" w:ascii="仿宋_GB2312" w:hAnsi="仿宋_GB2312" w:eastAsia="仿宋_GB2312" w:cs="仿宋_GB2312"/>
          <w:b/>
          <w:color w:val="auto"/>
          <w:kern w:val="24"/>
        </w:rPr>
        <w:t>见供应商须知前附表</w:t>
      </w:r>
      <w:r>
        <w:rPr>
          <w:rFonts w:hint="eastAsia" w:ascii="仿宋_GB2312" w:hAnsi="仿宋_GB2312" w:eastAsia="仿宋_GB2312" w:cs="仿宋_GB2312"/>
          <w:color w:val="auto"/>
          <w:kern w:val="24"/>
        </w:rPr>
        <w:t>。</w:t>
      </w:r>
    </w:p>
    <w:p w14:paraId="6710B243">
      <w:pPr>
        <w:pStyle w:val="4"/>
        <w:rPr>
          <w:rFonts w:ascii="仿宋_GB2312" w:hAnsi="仿宋_GB2312" w:eastAsia="仿宋_GB2312" w:cs="仿宋_GB2312"/>
          <w:b/>
          <w:color w:val="auto"/>
          <w:sz w:val="24"/>
        </w:rPr>
      </w:pPr>
      <w:bookmarkStart w:id="94" w:name="_Toc184043015"/>
      <w:bookmarkStart w:id="95" w:name="_Toc31509"/>
      <w:bookmarkStart w:id="96" w:name="_Toc249515393"/>
      <w:bookmarkStart w:id="97" w:name="_Toc249515281"/>
      <w:bookmarkStart w:id="98" w:name="_Toc249525162"/>
      <w:bookmarkStart w:id="99" w:name="_Toc70687142"/>
      <w:r>
        <w:rPr>
          <w:rFonts w:hint="eastAsia" w:ascii="仿宋_GB2312" w:hAnsi="仿宋_GB2312" w:eastAsia="仿宋_GB2312" w:cs="仿宋_GB2312"/>
          <w:b/>
          <w:color w:val="auto"/>
          <w:sz w:val="24"/>
        </w:rPr>
        <w:t>2.     定义</w:t>
      </w:r>
      <w:bookmarkEnd w:id="94"/>
      <w:bookmarkEnd w:id="95"/>
      <w:bookmarkEnd w:id="96"/>
      <w:bookmarkEnd w:id="97"/>
      <w:bookmarkEnd w:id="98"/>
      <w:bookmarkEnd w:id="99"/>
    </w:p>
    <w:p w14:paraId="5CC2F987">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2.1    采购人：</w:t>
      </w:r>
      <w:r>
        <w:rPr>
          <w:rFonts w:hint="eastAsia" w:ascii="仿宋_GB2312" w:hAnsi="仿宋_GB2312" w:eastAsia="仿宋_GB2312" w:cs="仿宋_GB2312"/>
          <w:b/>
          <w:color w:val="auto"/>
          <w:sz w:val="24"/>
        </w:rPr>
        <w:t>见供应商须知前附表</w:t>
      </w:r>
      <w:r>
        <w:rPr>
          <w:rFonts w:hint="eastAsia" w:ascii="仿宋_GB2312" w:hAnsi="仿宋_GB2312" w:eastAsia="仿宋_GB2312" w:cs="仿宋_GB2312"/>
          <w:color w:val="auto"/>
          <w:sz w:val="24"/>
        </w:rPr>
        <w:t>。</w:t>
      </w:r>
    </w:p>
    <w:p w14:paraId="27FBBFB0">
      <w:pPr>
        <w:pStyle w:val="22"/>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2.2    采购代理机构：</w:t>
      </w:r>
      <w:r>
        <w:rPr>
          <w:rFonts w:hint="eastAsia" w:ascii="仿宋_GB2312" w:hAnsi="仿宋_GB2312" w:eastAsia="仿宋_GB2312" w:cs="仿宋_GB2312"/>
          <w:b/>
          <w:color w:val="auto"/>
          <w:kern w:val="24"/>
          <w:sz w:val="24"/>
        </w:rPr>
        <w:t>见供应商须知前附表</w:t>
      </w:r>
      <w:r>
        <w:rPr>
          <w:rFonts w:hint="eastAsia" w:ascii="仿宋_GB2312" w:hAnsi="仿宋_GB2312" w:eastAsia="仿宋_GB2312" w:cs="仿宋_GB2312"/>
          <w:color w:val="auto"/>
          <w:kern w:val="24"/>
          <w:sz w:val="24"/>
        </w:rPr>
        <w:t>。</w:t>
      </w:r>
    </w:p>
    <w:p w14:paraId="1BE29DCA">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    供应商：指响应磋商文件要求、参加竞争性磋商采购的法人、其他组织或者自然人。本次政府采购项目邀请供应商方式见</w:t>
      </w:r>
      <w:r>
        <w:rPr>
          <w:rFonts w:hint="eastAsia" w:ascii="仿宋_GB2312" w:hAnsi="仿宋_GB2312" w:eastAsia="仿宋_GB2312" w:cs="仿宋_GB2312"/>
          <w:b/>
          <w:color w:val="auto"/>
          <w:sz w:val="24"/>
        </w:rPr>
        <w:t>供应商须知前附表。</w:t>
      </w:r>
    </w:p>
    <w:p w14:paraId="4C58E7EB">
      <w:pPr>
        <w:pStyle w:val="22"/>
        <w:tabs>
          <w:tab w:val="left" w:pos="360"/>
        </w:tabs>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2.4    磋商小组：指依据《中华人民共和国政府采购法》和财政部《政府采购竞争性磋商采购方式管理暂行办法》有关规定组建，依法依规履行其职责和义务的机构。</w:t>
      </w:r>
    </w:p>
    <w:p w14:paraId="30881186">
      <w:pPr>
        <w:pStyle w:val="4"/>
        <w:rPr>
          <w:rFonts w:ascii="仿宋_GB2312" w:hAnsi="仿宋_GB2312" w:eastAsia="仿宋_GB2312" w:cs="仿宋_GB2312"/>
          <w:b/>
          <w:color w:val="auto"/>
          <w:sz w:val="24"/>
        </w:rPr>
      </w:pPr>
      <w:bookmarkStart w:id="100" w:name="_Toc385992329"/>
      <w:bookmarkStart w:id="101" w:name="_Toc249525163"/>
      <w:bookmarkStart w:id="102" w:name="_Toc184043016"/>
      <w:bookmarkStart w:id="103" w:name="_Toc249515394"/>
      <w:bookmarkStart w:id="104" w:name="_Toc23705"/>
      <w:bookmarkStart w:id="105" w:name="_Toc70687143"/>
      <w:bookmarkStart w:id="106" w:name="_Toc249515282"/>
      <w:bookmarkStart w:id="107" w:name="_Toc389620168"/>
      <w:r>
        <w:rPr>
          <w:rFonts w:hint="eastAsia" w:ascii="仿宋_GB2312" w:hAnsi="仿宋_GB2312" w:eastAsia="仿宋_GB2312" w:cs="仿宋_GB2312"/>
          <w:b/>
          <w:color w:val="auto"/>
          <w:sz w:val="24"/>
        </w:rPr>
        <w:t>3.     合格的供应商</w:t>
      </w:r>
      <w:bookmarkEnd w:id="100"/>
      <w:bookmarkEnd w:id="101"/>
      <w:bookmarkEnd w:id="102"/>
      <w:bookmarkEnd w:id="103"/>
      <w:bookmarkEnd w:id="104"/>
      <w:bookmarkEnd w:id="105"/>
      <w:bookmarkEnd w:id="106"/>
      <w:bookmarkEnd w:id="107"/>
    </w:p>
    <w:p w14:paraId="2AD0B250">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3.1    供应商基本资质要求详见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kern w:val="24"/>
          <w:sz w:val="24"/>
        </w:rPr>
        <w:t>。</w:t>
      </w:r>
    </w:p>
    <w:p w14:paraId="5A50DC5C">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3.2    本项目将执行在政府采购活动中查询及使用信用记录的规定，具体要求为：</w:t>
      </w:r>
    </w:p>
    <w:p w14:paraId="3969A552">
      <w:pPr>
        <w:tabs>
          <w:tab w:val="left" w:pos="588"/>
        </w:tabs>
        <w:spacing w:line="360" w:lineRule="auto"/>
        <w:ind w:left="960" w:hanging="960" w:hangingChars="40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3.2.1  供应商应当未被列入失信被执行人、</w:t>
      </w:r>
      <w:r>
        <w:rPr>
          <w:rFonts w:hint="eastAsia" w:ascii="仿宋_GB2312" w:hAnsi="仿宋_GB2312" w:eastAsia="仿宋_GB2312" w:cs="仿宋_GB2312"/>
          <w:color w:val="auto"/>
          <w:kern w:val="24"/>
          <w:sz w:val="24"/>
          <w:lang w:eastAsia="zh-CN"/>
        </w:rPr>
        <w:t>重大税收违法失信主体</w:t>
      </w:r>
      <w:r>
        <w:rPr>
          <w:rFonts w:hint="eastAsia" w:ascii="仿宋_GB2312" w:hAnsi="仿宋_GB2312" w:eastAsia="仿宋_GB2312" w:cs="仿宋_GB2312"/>
          <w:color w:val="auto"/>
          <w:kern w:val="24"/>
          <w:sz w:val="24"/>
        </w:rPr>
        <w:t>、政府采购严重违法失信行为记录名单，否则不得参与政府采购活动。</w:t>
      </w:r>
    </w:p>
    <w:p w14:paraId="4AD13275">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3.2.2  信用信息查询的时间：磋商</w:t>
      </w:r>
      <w:r>
        <w:rPr>
          <w:rFonts w:hint="eastAsia" w:ascii="仿宋_GB2312" w:hAnsi="仿宋_GB2312" w:eastAsia="仿宋_GB2312" w:cs="仿宋_GB2312"/>
          <w:color w:val="auto"/>
          <w:sz w:val="24"/>
        </w:rPr>
        <w:t>资格性</w:t>
      </w:r>
      <w:r>
        <w:rPr>
          <w:rFonts w:hint="eastAsia" w:ascii="仿宋_GB2312" w:hAnsi="仿宋_GB2312" w:eastAsia="仿宋_GB2312" w:cs="仿宋_GB2312"/>
          <w:color w:val="auto"/>
          <w:sz w:val="24"/>
          <w:lang w:eastAsia="zh-CN"/>
        </w:rPr>
        <w:t>审查当天</w:t>
      </w:r>
      <w:r>
        <w:rPr>
          <w:rFonts w:hint="eastAsia" w:ascii="仿宋_GB2312" w:hAnsi="仿宋_GB2312" w:eastAsia="仿宋_GB2312" w:cs="仿宋_GB2312"/>
          <w:color w:val="auto"/>
          <w:kern w:val="24"/>
          <w:sz w:val="24"/>
        </w:rPr>
        <w:t xml:space="preserve">。 </w:t>
      </w:r>
    </w:p>
    <w:p w14:paraId="42735082">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 xml:space="preserve">3.2.3  查询渠道：“信用中国”网站（www.creditchina.gov.cn）和中国政府采购网（www.ccgp.gov.cn）； </w:t>
      </w:r>
    </w:p>
    <w:p w14:paraId="2536C391">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 xml:space="preserve">3.2.4  信用信息查询记录和证据留存具体方式：将经查询存在不良信用记录的潜在供应商的查询结果网页截图作为查询记录和证据，与其他采购文件一并保存； </w:t>
      </w:r>
    </w:p>
    <w:p w14:paraId="7C332F06">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3.3.5  信用信息的使用规则：采购人或采购代理机构若发现参与本项目政府采购活动的供应商在存在不良信用记录的，将信用信息查询记录提交给磋商小组，作无效文件进行处理。</w:t>
      </w:r>
    </w:p>
    <w:p w14:paraId="7F8AD084">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3.4    供应商必须向采购人领取磋商文件并登记备案，未向采购人领取磋商文件并登记备案的潜在供应商均无资格参加本次采购。</w:t>
      </w:r>
    </w:p>
    <w:p w14:paraId="33C49118">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3.5    供应商应遵守《中华人民共和国政府采购法》及其它有关的中国法律和法规。</w:t>
      </w:r>
    </w:p>
    <w:p w14:paraId="3149C46D">
      <w:pPr>
        <w:pStyle w:val="4"/>
        <w:rPr>
          <w:rFonts w:ascii="仿宋_GB2312" w:hAnsi="仿宋_GB2312" w:eastAsia="仿宋_GB2312" w:cs="仿宋_GB2312"/>
          <w:b/>
          <w:color w:val="auto"/>
          <w:sz w:val="24"/>
        </w:rPr>
      </w:pPr>
      <w:bookmarkStart w:id="108" w:name="_Toc389620169"/>
      <w:bookmarkStart w:id="109" w:name="_Toc385992330"/>
      <w:bookmarkStart w:id="110" w:name="_Toc184043017"/>
      <w:bookmarkStart w:id="111" w:name="_Toc249525164"/>
      <w:bookmarkStart w:id="112" w:name="_Toc70687144"/>
      <w:bookmarkStart w:id="113" w:name="_Toc249515395"/>
      <w:bookmarkStart w:id="114" w:name="_Toc26580"/>
      <w:bookmarkStart w:id="115" w:name="_Toc249515283"/>
      <w:r>
        <w:rPr>
          <w:rFonts w:hint="eastAsia" w:ascii="仿宋_GB2312" w:hAnsi="仿宋_GB2312" w:eastAsia="仿宋_GB2312" w:cs="仿宋_GB2312"/>
          <w:b/>
          <w:color w:val="auto"/>
          <w:sz w:val="24"/>
        </w:rPr>
        <w:t>4.     磋商费用</w:t>
      </w:r>
      <w:bookmarkEnd w:id="108"/>
      <w:bookmarkEnd w:id="109"/>
      <w:bookmarkEnd w:id="110"/>
      <w:bookmarkEnd w:id="111"/>
      <w:bookmarkEnd w:id="112"/>
      <w:bookmarkEnd w:id="113"/>
      <w:bookmarkEnd w:id="114"/>
      <w:bookmarkEnd w:id="115"/>
    </w:p>
    <w:p w14:paraId="15C07E06">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4.1    供应商应承担所有与编写和提交响应文件有关的费用，无论磋商过程和结果如何，采购人在任何情况下均无义务和责任承担这些费用。</w:t>
      </w:r>
    </w:p>
    <w:p w14:paraId="6AD2887D">
      <w:pPr>
        <w:pStyle w:val="22"/>
        <w:rPr>
          <w:rFonts w:ascii="仿宋_GB2312" w:hAnsi="仿宋_GB2312" w:eastAsia="仿宋_GB2312" w:cs="仿宋_GB2312"/>
          <w:color w:val="auto"/>
          <w:sz w:val="24"/>
        </w:rPr>
      </w:pPr>
    </w:p>
    <w:p w14:paraId="54AFD4C7">
      <w:pPr>
        <w:pStyle w:val="85"/>
        <w:spacing w:before="24" w:after="24"/>
        <w:ind w:left="3313"/>
        <w:rPr>
          <w:rFonts w:ascii="仿宋_GB2312" w:hAnsi="仿宋_GB2312" w:eastAsia="仿宋_GB2312" w:cs="仿宋_GB2312"/>
          <w:color w:val="auto"/>
          <w:sz w:val="24"/>
        </w:rPr>
      </w:pPr>
      <w:bookmarkStart w:id="116" w:name="_Toc23569"/>
      <w:r>
        <w:rPr>
          <w:rFonts w:hint="eastAsia" w:ascii="仿宋_GB2312" w:hAnsi="仿宋_GB2312" w:eastAsia="仿宋_GB2312" w:cs="仿宋_GB2312"/>
          <w:color w:val="auto"/>
          <w:sz w:val="24"/>
        </w:rPr>
        <w:t>二、磋商文件说明</w:t>
      </w:r>
      <w:bookmarkEnd w:id="116"/>
    </w:p>
    <w:p w14:paraId="135F5D50">
      <w:pPr>
        <w:rPr>
          <w:rFonts w:ascii="仿宋_GB2312" w:hAnsi="仿宋_GB2312" w:eastAsia="仿宋_GB2312" w:cs="仿宋_GB2312"/>
          <w:color w:val="auto"/>
          <w:sz w:val="24"/>
        </w:rPr>
      </w:pPr>
    </w:p>
    <w:p w14:paraId="249E599A">
      <w:pPr>
        <w:pStyle w:val="4"/>
        <w:numPr>
          <w:ilvl w:val="0"/>
          <w:numId w:val="7"/>
        </w:numPr>
        <w:rPr>
          <w:rFonts w:ascii="仿宋_GB2312" w:hAnsi="仿宋_GB2312" w:eastAsia="仿宋_GB2312" w:cs="仿宋_GB2312"/>
          <w:b/>
          <w:color w:val="auto"/>
          <w:sz w:val="24"/>
        </w:rPr>
      </w:pPr>
      <w:bookmarkStart w:id="117" w:name="_Toc128"/>
      <w:bookmarkStart w:id="118" w:name="_Toc385992332"/>
      <w:bookmarkStart w:id="119" w:name="_Toc249525166"/>
      <w:bookmarkStart w:id="120" w:name="_Toc249515285"/>
      <w:bookmarkStart w:id="121" w:name="_Toc184043019"/>
      <w:bookmarkStart w:id="122" w:name="_Toc389620171"/>
      <w:bookmarkStart w:id="123" w:name="_Toc70687146"/>
      <w:bookmarkStart w:id="124" w:name="_Toc249515397"/>
      <w:r>
        <w:rPr>
          <w:rFonts w:hint="eastAsia" w:ascii="仿宋_GB2312" w:hAnsi="仿宋_GB2312" w:eastAsia="仿宋_GB2312" w:cs="仿宋_GB2312"/>
          <w:b/>
          <w:color w:val="auto"/>
          <w:sz w:val="24"/>
        </w:rPr>
        <w:t xml:space="preserve">    通知</w:t>
      </w:r>
      <w:bookmarkEnd w:id="117"/>
    </w:p>
    <w:p w14:paraId="5B93D0CE">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7C05E8C8">
      <w:pPr>
        <w:pStyle w:val="4"/>
        <w:rPr>
          <w:rFonts w:ascii="仿宋_GB2312" w:hAnsi="仿宋_GB2312" w:eastAsia="仿宋_GB2312" w:cs="仿宋_GB2312"/>
          <w:b/>
          <w:color w:val="auto"/>
          <w:sz w:val="24"/>
        </w:rPr>
      </w:pPr>
      <w:bookmarkStart w:id="125" w:name="_Toc27223"/>
      <w:r>
        <w:rPr>
          <w:rFonts w:hint="eastAsia" w:ascii="仿宋_GB2312" w:hAnsi="仿宋_GB2312" w:eastAsia="仿宋_GB2312" w:cs="仿宋_GB2312"/>
          <w:b/>
          <w:color w:val="auto"/>
          <w:sz w:val="24"/>
        </w:rPr>
        <w:t>6.     磋商文件的构成</w:t>
      </w:r>
      <w:bookmarkEnd w:id="118"/>
      <w:bookmarkEnd w:id="119"/>
      <w:bookmarkEnd w:id="120"/>
      <w:bookmarkEnd w:id="121"/>
      <w:bookmarkEnd w:id="122"/>
      <w:bookmarkEnd w:id="123"/>
      <w:bookmarkEnd w:id="124"/>
      <w:bookmarkEnd w:id="125"/>
    </w:p>
    <w:p w14:paraId="7475304B">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6.1    磋商文件用以阐明供应商所需提供的货物以及其它类似的义务、采购响应程序和合同条款。磋商文件包括如下五章内容：</w:t>
      </w:r>
    </w:p>
    <w:p w14:paraId="24BBC811">
      <w:pPr>
        <w:pStyle w:val="22"/>
        <w:ind w:left="838"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第一章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磋商公告</w:t>
      </w:r>
    </w:p>
    <w:p w14:paraId="1AE8374A">
      <w:pPr>
        <w:pStyle w:val="22"/>
        <w:ind w:left="838"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第二章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供应商须知</w:t>
      </w:r>
    </w:p>
    <w:p w14:paraId="276F5705">
      <w:pPr>
        <w:pStyle w:val="22"/>
        <w:ind w:left="838"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第三章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评审办法和标准</w:t>
      </w:r>
    </w:p>
    <w:p w14:paraId="0D47F159">
      <w:pPr>
        <w:pStyle w:val="22"/>
        <w:ind w:left="838"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第四章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合同草案条款</w:t>
      </w:r>
    </w:p>
    <w:p w14:paraId="344EEA92">
      <w:pPr>
        <w:pStyle w:val="22"/>
        <w:ind w:left="838"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第五章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采购内容及要求</w:t>
      </w:r>
    </w:p>
    <w:p w14:paraId="3A46BDC4">
      <w:pPr>
        <w:pStyle w:val="22"/>
        <w:ind w:left="838"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第六章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磋商响应文件格式</w:t>
      </w:r>
    </w:p>
    <w:p w14:paraId="492B33C6">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661343F3">
      <w:pPr>
        <w:pStyle w:val="4"/>
        <w:rPr>
          <w:rFonts w:ascii="仿宋_GB2312" w:hAnsi="仿宋_GB2312" w:eastAsia="仿宋_GB2312" w:cs="仿宋_GB2312"/>
          <w:b/>
          <w:color w:val="auto"/>
          <w:sz w:val="24"/>
        </w:rPr>
      </w:pPr>
      <w:bookmarkStart w:id="126" w:name="_Toc249515286"/>
      <w:bookmarkStart w:id="127" w:name="_Toc70687147"/>
      <w:bookmarkStart w:id="128" w:name="_Toc184043020"/>
      <w:bookmarkStart w:id="129" w:name="_Toc249515398"/>
      <w:bookmarkStart w:id="130" w:name="_Toc249525167"/>
      <w:bookmarkStart w:id="131" w:name="_Toc385992333"/>
      <w:bookmarkStart w:id="132" w:name="_Toc389620172"/>
      <w:bookmarkStart w:id="133" w:name="_Toc10350"/>
      <w:r>
        <w:rPr>
          <w:rFonts w:hint="eastAsia" w:ascii="仿宋_GB2312" w:hAnsi="仿宋_GB2312" w:eastAsia="仿宋_GB2312" w:cs="仿宋_GB2312"/>
          <w:b/>
          <w:color w:val="auto"/>
          <w:sz w:val="24"/>
        </w:rPr>
        <w:t>7.     磋商文件的澄清</w:t>
      </w:r>
      <w:bookmarkEnd w:id="126"/>
      <w:bookmarkEnd w:id="127"/>
      <w:bookmarkEnd w:id="128"/>
      <w:bookmarkEnd w:id="129"/>
      <w:bookmarkEnd w:id="130"/>
      <w:bookmarkEnd w:id="131"/>
      <w:bookmarkEnd w:id="132"/>
      <w:r>
        <w:rPr>
          <w:rFonts w:hint="eastAsia" w:ascii="仿宋_GB2312" w:hAnsi="仿宋_GB2312" w:eastAsia="仿宋_GB2312" w:cs="仿宋_GB2312"/>
          <w:b/>
          <w:color w:val="auto"/>
          <w:sz w:val="24"/>
        </w:rPr>
        <w:t>和修改</w:t>
      </w:r>
      <w:bookmarkEnd w:id="133"/>
    </w:p>
    <w:p w14:paraId="2C45EEB7">
      <w:pPr>
        <w:tabs>
          <w:tab w:val="left" w:pos="588"/>
        </w:tabs>
        <w:spacing w:line="360" w:lineRule="auto"/>
        <w:ind w:left="840" w:hanging="840" w:hangingChars="350"/>
        <w:rPr>
          <w:rFonts w:ascii="仿宋_GB2312" w:hAnsi="仿宋_GB2312" w:eastAsia="仿宋_GB2312" w:cs="仿宋_GB2312"/>
          <w:color w:val="auto"/>
          <w:sz w:val="24"/>
        </w:rPr>
      </w:pPr>
      <w:bookmarkStart w:id="134" w:name="_Toc70687148"/>
      <w:bookmarkStart w:id="135" w:name="_Toc389620173"/>
      <w:bookmarkStart w:id="136" w:name="_Toc385992334"/>
      <w:r>
        <w:rPr>
          <w:rFonts w:hint="eastAsia" w:ascii="仿宋_GB2312" w:hAnsi="仿宋_GB2312" w:eastAsia="仿宋_GB2312" w:cs="仿宋_GB2312"/>
          <w:color w:val="auto"/>
          <w:sz w:val="24"/>
        </w:rPr>
        <w:t xml:space="preserve">7.1    </w:t>
      </w:r>
      <w:bookmarkEnd w:id="134"/>
      <w:bookmarkEnd w:id="135"/>
      <w:bookmarkEnd w:id="136"/>
      <w:bookmarkStart w:id="137" w:name="_Toc492955418"/>
      <w:bookmarkStart w:id="138" w:name="_Toc385992335"/>
      <w:bookmarkStart w:id="139" w:name="_Toc389620174"/>
      <w:bookmarkStart w:id="140" w:name="_Toc53722843"/>
      <w:bookmarkStart w:id="141" w:name="_Toc503063425"/>
      <w:bookmarkStart w:id="142" w:name="_Toc500747065"/>
      <w:bookmarkStart w:id="143" w:name="_Toc500747192"/>
      <w:bookmarkStart w:id="144" w:name="_Toc500746969"/>
      <w:bookmarkStart w:id="145" w:name="_Toc496324582"/>
      <w:bookmarkStart w:id="146" w:name="_Toc70687149"/>
      <w:bookmarkStart w:id="147" w:name="_Toc499711046"/>
      <w:bookmarkStart w:id="148" w:name="_Toc499711887"/>
      <w:r>
        <w:rPr>
          <w:rFonts w:hint="eastAsia" w:ascii="仿宋_GB2312" w:hAnsi="仿宋_GB2312" w:eastAsia="仿宋_GB2312" w:cs="仿宋_GB2312"/>
          <w:color w:val="auto"/>
          <w:sz w:val="24"/>
        </w:rPr>
        <w:t>在首次响应文件递交截止时间前，采购人或采购代理机构可以对已发出的磋商文件进行必要的澄清或修改，澄清或修改的内容为磋商文件的组成部分。</w:t>
      </w:r>
    </w:p>
    <w:p w14:paraId="0EA4C0E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7.2    磋商文件的修改将以书面形式通知所有领取磋商文件的供应商，并对其具有约束力。供应商在收到上述通知后，应立即向采购人回函确认。</w:t>
      </w:r>
    </w:p>
    <w:p w14:paraId="4E311E4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7.3    澄清或修改的内容可能影响响应文件编制的，采购人或采购代理机构可适当延长首次响应文件递交截止时间，并以书面形式通知所有领取磋商文件的供应商。</w:t>
      </w:r>
    </w:p>
    <w:p w14:paraId="466D09F6">
      <w:pPr>
        <w:pStyle w:val="85"/>
        <w:spacing w:before="24" w:after="24"/>
        <w:ind w:left="3313"/>
        <w:rPr>
          <w:rFonts w:ascii="仿宋_GB2312" w:hAnsi="仿宋_GB2312" w:eastAsia="仿宋_GB2312" w:cs="仿宋_GB2312"/>
          <w:color w:val="auto"/>
          <w:sz w:val="24"/>
        </w:rPr>
      </w:pPr>
      <w:bookmarkStart w:id="149" w:name="_Toc184043022"/>
      <w:bookmarkStart w:id="150" w:name="_Toc232176275"/>
      <w:bookmarkStart w:id="151" w:name="_Toc256342146"/>
      <w:bookmarkStart w:id="152" w:name="_Toc177817337"/>
      <w:bookmarkStart w:id="153" w:name="_Toc230099800"/>
      <w:bookmarkStart w:id="154" w:name="_Toc249515400"/>
      <w:bookmarkStart w:id="155" w:name="_Toc29750"/>
      <w:bookmarkStart w:id="156" w:name="_Toc249515288"/>
      <w:bookmarkStart w:id="157" w:name="_Toc177189238"/>
      <w:bookmarkStart w:id="158" w:name="_Toc176882545"/>
      <w:bookmarkStart w:id="159" w:name="_Toc177995476"/>
      <w:bookmarkStart w:id="160" w:name="_Toc249525169"/>
      <w:bookmarkStart w:id="161" w:name="_Toc230583544"/>
      <w:bookmarkStart w:id="162" w:name="_Toc232395215"/>
      <w:bookmarkStart w:id="163" w:name="_Toc230013635"/>
      <w:r>
        <w:rPr>
          <w:rFonts w:hint="eastAsia" w:ascii="仿宋_GB2312" w:hAnsi="仿宋_GB2312" w:eastAsia="仿宋_GB2312" w:cs="仿宋_GB2312"/>
          <w:color w:val="auto"/>
          <w:sz w:val="24"/>
        </w:rPr>
        <w:t>三、响应文件的编写</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FD5044">
      <w:pPr>
        <w:pStyle w:val="4"/>
        <w:rPr>
          <w:rFonts w:ascii="仿宋_GB2312" w:hAnsi="仿宋_GB2312" w:eastAsia="仿宋_GB2312" w:cs="仿宋_GB2312"/>
          <w:b/>
          <w:color w:val="auto"/>
          <w:sz w:val="24"/>
        </w:rPr>
      </w:pPr>
      <w:bookmarkStart w:id="164" w:name="_Toc30150"/>
      <w:bookmarkStart w:id="165" w:name="_Toc70687150"/>
      <w:bookmarkStart w:id="166" w:name="_Toc184043023"/>
      <w:bookmarkStart w:id="167" w:name="_Toc249525170"/>
      <w:bookmarkStart w:id="168" w:name="_Toc249515289"/>
      <w:bookmarkStart w:id="169" w:name="_Toc249515401"/>
      <w:bookmarkStart w:id="170" w:name="_Toc389620176"/>
      <w:bookmarkStart w:id="171" w:name="_Toc385992337"/>
      <w:r>
        <w:rPr>
          <w:rFonts w:hint="eastAsia" w:ascii="仿宋_GB2312" w:hAnsi="仿宋_GB2312" w:eastAsia="仿宋_GB2312" w:cs="仿宋_GB2312"/>
          <w:b/>
          <w:color w:val="auto"/>
          <w:sz w:val="24"/>
        </w:rPr>
        <w:t>8.     响应文件语言</w:t>
      </w:r>
      <w:bookmarkEnd w:id="164"/>
      <w:bookmarkEnd w:id="165"/>
      <w:bookmarkEnd w:id="166"/>
      <w:bookmarkEnd w:id="167"/>
      <w:bookmarkEnd w:id="168"/>
      <w:bookmarkEnd w:id="169"/>
    </w:p>
    <w:p w14:paraId="142FC30A">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8.1    响应文件及与响应相关的所有文件均应以中文书写。</w:t>
      </w:r>
    </w:p>
    <w:p w14:paraId="37E4B8C0">
      <w:pPr>
        <w:pStyle w:val="4"/>
        <w:rPr>
          <w:rFonts w:ascii="仿宋_GB2312" w:hAnsi="仿宋_GB2312" w:eastAsia="仿宋_GB2312" w:cs="仿宋_GB2312"/>
          <w:b/>
          <w:color w:val="auto"/>
          <w:sz w:val="24"/>
        </w:rPr>
      </w:pPr>
      <w:bookmarkStart w:id="172" w:name="_Toc249515290"/>
      <w:bookmarkStart w:id="173" w:name="_Toc70687151"/>
      <w:bookmarkStart w:id="174" w:name="_Toc18327"/>
      <w:bookmarkStart w:id="175" w:name="_Toc249525171"/>
      <w:bookmarkStart w:id="176" w:name="_Toc249515402"/>
      <w:bookmarkStart w:id="177" w:name="_Toc184043024"/>
      <w:r>
        <w:rPr>
          <w:rFonts w:hint="eastAsia" w:ascii="仿宋_GB2312" w:hAnsi="仿宋_GB2312" w:eastAsia="仿宋_GB2312" w:cs="仿宋_GB2312"/>
          <w:b/>
          <w:color w:val="auto"/>
          <w:sz w:val="24"/>
        </w:rPr>
        <w:t>9.     计量单位</w:t>
      </w:r>
      <w:bookmarkEnd w:id="170"/>
      <w:bookmarkEnd w:id="171"/>
      <w:bookmarkEnd w:id="172"/>
      <w:bookmarkEnd w:id="173"/>
      <w:bookmarkEnd w:id="174"/>
      <w:bookmarkEnd w:id="175"/>
      <w:bookmarkEnd w:id="176"/>
      <w:bookmarkEnd w:id="177"/>
    </w:p>
    <w:p w14:paraId="010AD1E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9.1    除在磋商文件的技术规格中另有规定外，计量单位应使用中华人民共和国法定计量单位。</w:t>
      </w:r>
    </w:p>
    <w:p w14:paraId="39731C9D">
      <w:pPr>
        <w:pStyle w:val="4"/>
        <w:rPr>
          <w:rFonts w:ascii="仿宋_GB2312" w:hAnsi="仿宋_GB2312" w:eastAsia="仿宋_GB2312" w:cs="仿宋_GB2312"/>
          <w:b/>
          <w:color w:val="auto"/>
          <w:sz w:val="24"/>
        </w:rPr>
      </w:pPr>
      <w:bookmarkStart w:id="178" w:name="_Toc249515403"/>
      <w:bookmarkStart w:id="179" w:name="_Toc249515291"/>
      <w:bookmarkStart w:id="180" w:name="_Toc249525172"/>
      <w:bookmarkStart w:id="181" w:name="_Toc29318"/>
      <w:bookmarkStart w:id="182" w:name="_Toc70687152"/>
      <w:bookmarkStart w:id="183" w:name="_Toc389620177"/>
      <w:bookmarkStart w:id="184" w:name="_Toc385992338"/>
      <w:bookmarkStart w:id="185" w:name="_Toc184043025"/>
      <w:r>
        <w:rPr>
          <w:rFonts w:hint="eastAsia" w:ascii="仿宋_GB2312" w:hAnsi="仿宋_GB2312" w:eastAsia="仿宋_GB2312" w:cs="仿宋_GB2312"/>
          <w:b/>
          <w:color w:val="auto"/>
          <w:sz w:val="24"/>
        </w:rPr>
        <w:t>10.    响应文件的组成</w:t>
      </w:r>
      <w:bookmarkEnd w:id="178"/>
      <w:bookmarkEnd w:id="179"/>
      <w:bookmarkEnd w:id="180"/>
      <w:bookmarkEnd w:id="181"/>
      <w:bookmarkEnd w:id="182"/>
      <w:bookmarkEnd w:id="183"/>
      <w:bookmarkEnd w:id="184"/>
      <w:bookmarkEnd w:id="185"/>
    </w:p>
    <w:p w14:paraId="6A1BAC7F">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10.1   供应商编写的响应文件由以下三部分组成，应包括但不限于以下内容：</w:t>
      </w:r>
    </w:p>
    <w:p w14:paraId="136F4227">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第一部分 资格证明文件</w:t>
      </w:r>
    </w:p>
    <w:p w14:paraId="7F544629">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第二部分 符合性证明文件</w:t>
      </w:r>
    </w:p>
    <w:p w14:paraId="55BB655A">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第三部分 磋商方案说明</w:t>
      </w:r>
    </w:p>
    <w:p w14:paraId="13502B58">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10.2   供应商提供的以上材料必须真实有效，任何一项的虚假将导致其响应被拒绝。</w:t>
      </w:r>
    </w:p>
    <w:p w14:paraId="1A530D36">
      <w:pPr>
        <w:pStyle w:val="4"/>
        <w:rPr>
          <w:rFonts w:ascii="仿宋_GB2312" w:hAnsi="仿宋_GB2312" w:eastAsia="仿宋_GB2312" w:cs="仿宋_GB2312"/>
          <w:b/>
          <w:color w:val="auto"/>
          <w:sz w:val="24"/>
        </w:rPr>
      </w:pPr>
      <w:bookmarkStart w:id="186" w:name="_Toc389620178"/>
      <w:bookmarkStart w:id="187" w:name="_Toc385992339"/>
      <w:bookmarkStart w:id="188" w:name="_Toc184043026"/>
      <w:bookmarkStart w:id="189" w:name="_Toc70687153"/>
      <w:bookmarkStart w:id="190" w:name="_Toc249525173"/>
      <w:bookmarkStart w:id="191" w:name="_Toc249515404"/>
      <w:bookmarkStart w:id="192" w:name="_Toc26312"/>
      <w:bookmarkStart w:id="193" w:name="_Toc249515292"/>
      <w:r>
        <w:rPr>
          <w:rFonts w:hint="eastAsia" w:ascii="仿宋_GB2312" w:hAnsi="仿宋_GB2312" w:eastAsia="仿宋_GB2312" w:cs="仿宋_GB2312"/>
          <w:b/>
          <w:color w:val="auto"/>
          <w:sz w:val="24"/>
        </w:rPr>
        <w:t>11.    响应文件格式</w:t>
      </w:r>
      <w:bookmarkEnd w:id="186"/>
      <w:bookmarkEnd w:id="187"/>
      <w:bookmarkEnd w:id="188"/>
      <w:bookmarkEnd w:id="189"/>
      <w:bookmarkEnd w:id="190"/>
      <w:bookmarkEnd w:id="191"/>
      <w:bookmarkEnd w:id="192"/>
      <w:bookmarkEnd w:id="193"/>
    </w:p>
    <w:p w14:paraId="7D84D45A">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11.1   对于磋商文件第六章中已经提供了格式的响应文件内容，供应商必须按提供的响应文件格式进行填写和编制，没有提供格式的可自行设计。</w:t>
      </w:r>
    </w:p>
    <w:p w14:paraId="22066015">
      <w:pPr>
        <w:pStyle w:val="4"/>
        <w:rPr>
          <w:rFonts w:ascii="仿宋_GB2312" w:hAnsi="仿宋_GB2312" w:eastAsia="仿宋_GB2312" w:cs="仿宋_GB2312"/>
          <w:b/>
          <w:color w:val="auto"/>
          <w:sz w:val="24"/>
        </w:rPr>
      </w:pPr>
      <w:bookmarkStart w:id="194" w:name="_Toc26688"/>
      <w:r>
        <w:rPr>
          <w:rFonts w:hint="eastAsia" w:ascii="仿宋_GB2312" w:hAnsi="仿宋_GB2312" w:eastAsia="仿宋_GB2312" w:cs="仿宋_GB2312"/>
          <w:b/>
          <w:color w:val="auto"/>
          <w:sz w:val="24"/>
        </w:rPr>
        <w:t>12.    响应报价</w:t>
      </w:r>
      <w:bookmarkEnd w:id="194"/>
    </w:p>
    <w:p w14:paraId="014E7BA1">
      <w:pPr>
        <w:tabs>
          <w:tab w:val="left" w:pos="0"/>
          <w:tab w:val="left" w:pos="540"/>
          <w:tab w:val="left" w:pos="720"/>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kern w:val="24"/>
          <w:sz w:val="24"/>
        </w:rPr>
        <w:t>12.1   响应报价应包括供应商为完成磋商文件中规定的本项目采购内容和范围所需要的全部费用，以及与所报</w:t>
      </w:r>
      <w:r>
        <w:rPr>
          <w:rFonts w:hint="eastAsia" w:ascii="仿宋_GB2312" w:hAnsi="仿宋_GB2312" w:eastAsia="仿宋_GB2312" w:cs="仿宋_GB2312"/>
          <w:color w:val="auto"/>
          <w:kern w:val="24"/>
          <w:sz w:val="24"/>
          <w:lang w:val="en-US" w:eastAsia="zh-CN"/>
        </w:rPr>
        <w:t>工程</w:t>
      </w:r>
      <w:r>
        <w:rPr>
          <w:rFonts w:hint="eastAsia" w:ascii="仿宋_GB2312" w:hAnsi="仿宋_GB2312" w:eastAsia="仿宋_GB2312" w:cs="仿宋_GB2312"/>
          <w:color w:val="auto"/>
          <w:kern w:val="24"/>
          <w:sz w:val="24"/>
        </w:rPr>
        <w:t>相关的所有税费，具体包括但不限于第五章列出的内容。供应商估算错误或漏项的风险一律由供应商承担。见</w:t>
      </w:r>
      <w:r>
        <w:rPr>
          <w:rFonts w:hint="eastAsia" w:ascii="仿宋_GB2312" w:hAnsi="仿宋_GB2312" w:eastAsia="仿宋_GB2312" w:cs="仿宋_GB2312"/>
          <w:b/>
          <w:color w:val="auto"/>
          <w:kern w:val="24"/>
          <w:sz w:val="24"/>
        </w:rPr>
        <w:t>供应商须知前附表。</w:t>
      </w:r>
    </w:p>
    <w:p w14:paraId="7A09255F">
      <w:pPr>
        <w:tabs>
          <w:tab w:val="left" w:pos="540"/>
          <w:tab w:val="left" w:pos="8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12.2   供应商应在</w:t>
      </w:r>
      <w:r>
        <w:rPr>
          <w:rFonts w:hint="eastAsia" w:ascii="仿宋_GB2312" w:hAnsi="仿宋_GB2312" w:eastAsia="仿宋_GB2312" w:cs="仿宋_GB2312"/>
          <w:color w:val="auto"/>
          <w:kern w:val="24"/>
          <w:sz w:val="24"/>
          <w:lang w:val="en-US" w:eastAsia="zh-CN"/>
        </w:rPr>
        <w:t>在响应文件中提供已标价的工程量清单</w:t>
      </w:r>
      <w:r>
        <w:rPr>
          <w:rFonts w:hint="eastAsia" w:ascii="仿宋_GB2312" w:hAnsi="仿宋_GB2312" w:eastAsia="仿宋_GB2312" w:cs="仿宋_GB2312"/>
          <w:color w:val="auto"/>
          <w:kern w:val="24"/>
          <w:sz w:val="24"/>
        </w:rPr>
        <w:t>。</w:t>
      </w:r>
    </w:p>
    <w:p w14:paraId="24C7FAA4">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 xml:space="preserve">12.3   </w:t>
      </w:r>
      <w:r>
        <w:rPr>
          <w:rFonts w:hint="eastAsia" w:ascii="仿宋_GB2312" w:hAnsi="仿宋_GB2312" w:eastAsia="仿宋_GB2312" w:cs="仿宋_GB2312"/>
          <w:color w:val="auto"/>
          <w:kern w:val="24"/>
          <w:sz w:val="24"/>
          <w:lang w:val="en-US" w:eastAsia="zh-CN"/>
        </w:rPr>
        <w:t>已标价工程量清单</w:t>
      </w:r>
      <w:r>
        <w:rPr>
          <w:rFonts w:hint="eastAsia" w:ascii="仿宋_GB2312" w:hAnsi="仿宋_GB2312" w:eastAsia="仿宋_GB2312" w:cs="仿宋_GB2312"/>
          <w:color w:val="auto"/>
          <w:kern w:val="24"/>
          <w:sz w:val="24"/>
        </w:rPr>
        <w:t>的总价应和响应报价一览表的响应报价相一致，也包括供应商为完成本项目所发生的一切费用且已包括与所报</w:t>
      </w:r>
      <w:r>
        <w:rPr>
          <w:rFonts w:hint="eastAsia" w:ascii="仿宋_GB2312" w:hAnsi="仿宋_GB2312" w:eastAsia="仿宋_GB2312" w:cs="仿宋_GB2312"/>
          <w:color w:val="auto"/>
          <w:kern w:val="24"/>
          <w:sz w:val="24"/>
          <w:lang w:val="en-US" w:eastAsia="zh-CN"/>
        </w:rPr>
        <w:t>工程</w:t>
      </w:r>
      <w:r>
        <w:rPr>
          <w:rFonts w:hint="eastAsia" w:ascii="仿宋_GB2312" w:hAnsi="仿宋_GB2312" w:eastAsia="仿宋_GB2312" w:cs="仿宋_GB2312"/>
          <w:color w:val="auto"/>
          <w:kern w:val="24"/>
          <w:sz w:val="24"/>
        </w:rPr>
        <w:t>相关的所有税费。若</w:t>
      </w:r>
      <w:r>
        <w:rPr>
          <w:rFonts w:hint="eastAsia" w:ascii="仿宋_GB2312" w:hAnsi="仿宋_GB2312" w:eastAsia="仿宋_GB2312" w:cs="仿宋_GB2312"/>
          <w:color w:val="auto"/>
          <w:kern w:val="24"/>
          <w:sz w:val="24"/>
          <w:lang w:val="en-US" w:eastAsia="zh-CN"/>
        </w:rPr>
        <w:t>已标价工程量清单</w:t>
      </w:r>
      <w:r>
        <w:rPr>
          <w:rFonts w:hint="eastAsia" w:ascii="仿宋_GB2312" w:hAnsi="仿宋_GB2312" w:eastAsia="仿宋_GB2312" w:cs="仿宋_GB2312"/>
          <w:color w:val="auto"/>
          <w:kern w:val="24"/>
          <w:sz w:val="24"/>
        </w:rPr>
        <w:t>的总价和响应报价一览表的响应报价不一致，则供应商的报价以《响应报价一览表》的响应报价为准。</w:t>
      </w:r>
    </w:p>
    <w:p w14:paraId="1D7B44B5">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12.4   供应商的所报单价在合同执行过程中是固定不变的，未经采购人许可不得以任何理由予以变更。以可调整的价格提交的响应文件将作为非实质性响应而予以拒绝。</w:t>
      </w:r>
    </w:p>
    <w:p w14:paraId="717382DE">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12.5   供应商每次对每种</w:t>
      </w:r>
      <w:r>
        <w:rPr>
          <w:rFonts w:hint="eastAsia" w:ascii="仿宋_GB2312" w:hAnsi="仿宋_GB2312" w:eastAsia="仿宋_GB2312" w:cs="仿宋_GB2312"/>
          <w:color w:val="auto"/>
          <w:kern w:val="24"/>
          <w:sz w:val="24"/>
          <w:u w:val="single"/>
          <w:lang w:val="en-US" w:eastAsia="zh-CN"/>
        </w:rPr>
        <w:t>子目</w:t>
      </w:r>
      <w:r>
        <w:rPr>
          <w:rFonts w:hint="eastAsia" w:ascii="仿宋_GB2312" w:hAnsi="仿宋_GB2312" w:eastAsia="仿宋_GB2312" w:cs="仿宋_GB2312"/>
          <w:color w:val="auto"/>
          <w:kern w:val="24"/>
          <w:sz w:val="24"/>
        </w:rPr>
        <w:t>只允许有一个报价，采购人不接受有任何选择的报价。</w:t>
      </w:r>
    </w:p>
    <w:p w14:paraId="7EE339CE">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sz w:val="24"/>
        </w:rPr>
        <w:t>12.6   供应商根据本须知12.2条规定将响应报价分成几部分并按</w:t>
      </w:r>
      <w:r>
        <w:rPr>
          <w:rFonts w:hint="eastAsia" w:ascii="仿宋_GB2312" w:hAnsi="仿宋_GB2312" w:eastAsia="仿宋_GB2312" w:cs="仿宋_GB2312"/>
          <w:color w:val="auto"/>
          <w:kern w:val="24"/>
          <w:sz w:val="24"/>
        </w:rPr>
        <w:t>磋商文件第六章提供的格式填写“响应分项报价表”，只是为了方便采购人对响应文件进行比较，并不限制采购人以其它方式签订合同的权力。</w:t>
      </w:r>
    </w:p>
    <w:p w14:paraId="11200F1D">
      <w:pPr>
        <w:pStyle w:val="4"/>
        <w:rPr>
          <w:rFonts w:ascii="仿宋_GB2312" w:hAnsi="仿宋_GB2312" w:eastAsia="仿宋_GB2312" w:cs="仿宋_GB2312"/>
          <w:b/>
          <w:color w:val="auto"/>
          <w:sz w:val="24"/>
        </w:rPr>
      </w:pPr>
      <w:bookmarkStart w:id="195" w:name="_Toc249525175"/>
      <w:bookmarkStart w:id="196" w:name="_Toc385992341"/>
      <w:bookmarkStart w:id="197" w:name="_Toc249515294"/>
      <w:bookmarkStart w:id="198" w:name="_Toc70687155"/>
      <w:bookmarkStart w:id="199" w:name="_Toc184043028"/>
      <w:bookmarkStart w:id="200" w:name="_Toc249515406"/>
      <w:bookmarkStart w:id="201" w:name="_Toc389620180"/>
      <w:bookmarkStart w:id="202" w:name="_Toc20687"/>
      <w:r>
        <w:rPr>
          <w:rFonts w:hint="eastAsia" w:ascii="仿宋_GB2312" w:hAnsi="仿宋_GB2312" w:eastAsia="仿宋_GB2312" w:cs="仿宋_GB2312"/>
          <w:b/>
          <w:color w:val="auto"/>
          <w:sz w:val="24"/>
        </w:rPr>
        <w:t>13.    报价货币</w:t>
      </w:r>
      <w:bookmarkEnd w:id="195"/>
      <w:bookmarkEnd w:id="196"/>
      <w:bookmarkEnd w:id="197"/>
      <w:bookmarkEnd w:id="198"/>
      <w:bookmarkEnd w:id="199"/>
      <w:bookmarkEnd w:id="200"/>
      <w:bookmarkEnd w:id="201"/>
      <w:bookmarkEnd w:id="202"/>
    </w:p>
    <w:p w14:paraId="5EC41BA0">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12.3   磋商响应函、响应报价一览表、响应分项报价表、最后报价表等所有报价一律用人民币填报。采购人不接受任何非人民币币种的报价。</w:t>
      </w:r>
      <w:bookmarkStart w:id="203" w:name="_Toc389620181"/>
      <w:bookmarkStart w:id="204" w:name="_Toc385992342"/>
    </w:p>
    <w:bookmarkEnd w:id="203"/>
    <w:bookmarkEnd w:id="204"/>
    <w:p w14:paraId="67006C12">
      <w:pPr>
        <w:pStyle w:val="4"/>
        <w:rPr>
          <w:rFonts w:ascii="仿宋_GB2312" w:hAnsi="仿宋_GB2312" w:eastAsia="仿宋_GB2312" w:cs="仿宋_GB2312"/>
          <w:b/>
          <w:color w:val="auto"/>
          <w:kern w:val="24"/>
          <w:sz w:val="24"/>
        </w:rPr>
      </w:pPr>
      <w:bookmarkStart w:id="205" w:name="止观"/>
      <w:bookmarkEnd w:id="205"/>
      <w:r>
        <w:rPr>
          <w:rFonts w:hint="eastAsia" w:ascii="仿宋_GB2312" w:hAnsi="仿宋_GB2312" w:eastAsia="仿宋_GB2312" w:cs="仿宋_GB2312"/>
          <w:b/>
          <w:color w:val="auto"/>
          <w:sz w:val="24"/>
        </w:rPr>
        <w:t>14.    磋商保证金</w:t>
      </w:r>
    </w:p>
    <w:p w14:paraId="1431021F">
      <w:pPr>
        <w:tabs>
          <w:tab w:val="left" w:pos="588"/>
        </w:tabs>
        <w:spacing w:line="360" w:lineRule="auto"/>
        <w:ind w:left="840" w:hanging="840" w:hangingChars="350"/>
        <w:rPr>
          <w:rFonts w:hint="eastAsia" w:ascii="仿宋_GB2312" w:hAnsi="仿宋_GB2312" w:eastAsia="仿宋_GB2312" w:cs="仿宋_GB2312"/>
          <w:color w:val="auto"/>
          <w:kern w:val="24"/>
          <w:sz w:val="24"/>
          <w:lang w:eastAsia="zh-CN"/>
        </w:rPr>
      </w:pPr>
      <w:r>
        <w:rPr>
          <w:rFonts w:hint="eastAsia" w:ascii="仿宋_GB2312" w:hAnsi="仿宋_GB2312" w:eastAsia="仿宋_GB2312" w:cs="仿宋_GB2312"/>
          <w:color w:val="auto"/>
          <w:sz w:val="24"/>
        </w:rPr>
        <w:t>14.1   本项目</w:t>
      </w:r>
      <w:r>
        <w:rPr>
          <w:rFonts w:hint="eastAsia" w:ascii="仿宋_GB2312" w:hAnsi="仿宋_GB2312" w:eastAsia="仿宋_GB2312" w:cs="仿宋_GB2312"/>
          <w:color w:val="auto"/>
          <w:sz w:val="24"/>
          <w:lang w:val="en-US" w:eastAsia="zh-CN"/>
        </w:rPr>
        <w:t>需要缴纳磋商保证金</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具体内容详见供应商须知前附表。</w:t>
      </w:r>
    </w:p>
    <w:p w14:paraId="56DD618D">
      <w:pPr>
        <w:pStyle w:val="4"/>
        <w:rPr>
          <w:rFonts w:ascii="仿宋_GB2312" w:hAnsi="仿宋_GB2312" w:eastAsia="仿宋_GB2312" w:cs="仿宋_GB2312"/>
          <w:b/>
          <w:color w:val="auto"/>
          <w:sz w:val="24"/>
        </w:rPr>
      </w:pPr>
      <w:bookmarkStart w:id="206" w:name="_Hlt491765640"/>
      <w:bookmarkEnd w:id="206"/>
      <w:bookmarkStart w:id="207" w:name="_Toc7949"/>
      <w:bookmarkStart w:id="208" w:name="_Toc249525177"/>
      <w:bookmarkStart w:id="209" w:name="_Toc249515296"/>
      <w:bookmarkStart w:id="210" w:name="_Toc249515408"/>
      <w:bookmarkStart w:id="211" w:name="_Toc249515410"/>
      <w:bookmarkStart w:id="212" w:name="_Toc70687161"/>
      <w:bookmarkStart w:id="213" w:name="_Toc496324583"/>
      <w:bookmarkStart w:id="214" w:name="_Toc176882546"/>
      <w:bookmarkStart w:id="215" w:name="_Toc184043034"/>
      <w:bookmarkStart w:id="216" w:name="_Toc230583545"/>
      <w:bookmarkStart w:id="217" w:name="_Toc389620186"/>
      <w:bookmarkStart w:id="218" w:name="_Toc177995477"/>
      <w:bookmarkStart w:id="219" w:name="_Toc499711047"/>
      <w:bookmarkStart w:id="220" w:name="_Toc500747066"/>
      <w:bookmarkStart w:id="221" w:name="_Toc492955419"/>
      <w:bookmarkStart w:id="222" w:name="_Toc177189239"/>
      <w:bookmarkStart w:id="223" w:name="_Toc503063426"/>
      <w:bookmarkStart w:id="224" w:name="_Toc500747193"/>
      <w:bookmarkStart w:id="225" w:name="_Toc230013636"/>
      <w:bookmarkStart w:id="226" w:name="_Toc232395216"/>
      <w:bookmarkStart w:id="227" w:name="_Toc53722844"/>
      <w:bookmarkStart w:id="228" w:name="_Toc249515298"/>
      <w:bookmarkStart w:id="229" w:name="_Toc500746970"/>
      <w:bookmarkStart w:id="230" w:name="_Toc385992347"/>
      <w:bookmarkStart w:id="231" w:name="_Toc249525179"/>
      <w:bookmarkStart w:id="232" w:name="_Toc232176276"/>
      <w:bookmarkStart w:id="233" w:name="_Toc256342147"/>
      <w:bookmarkStart w:id="234" w:name="_Toc230099801"/>
      <w:bookmarkStart w:id="235" w:name="_Toc177817338"/>
      <w:bookmarkStart w:id="236" w:name="_Toc499711888"/>
      <w:r>
        <w:rPr>
          <w:rFonts w:hint="eastAsia" w:ascii="仿宋_GB2312" w:hAnsi="仿宋_GB2312" w:eastAsia="仿宋_GB2312" w:cs="仿宋_GB2312"/>
          <w:b/>
          <w:color w:val="auto"/>
          <w:sz w:val="24"/>
        </w:rPr>
        <w:t>15.    磋商有效期</w:t>
      </w:r>
      <w:bookmarkEnd w:id="207"/>
      <w:bookmarkEnd w:id="208"/>
      <w:bookmarkEnd w:id="209"/>
      <w:bookmarkEnd w:id="210"/>
    </w:p>
    <w:p w14:paraId="3EA5E786">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15.1   磋商有效期见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sz w:val="24"/>
        </w:rPr>
        <w:t>。在磋商有效期内，所有响应文件均保持有效。响应文件的有效期比本须知规定的有效期短的，将被视为非实质响应，采购人有权拒绝。</w:t>
      </w:r>
    </w:p>
    <w:p w14:paraId="1241B92C">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15.2   特殊情况下，采购人可于原磋商有效期满之前要求供应商同意延长有效期，要求与答复均应为书面形式。供应商可以拒绝上述要求。对于同意该要求的供应商，既不要求也不允许其修改响应文件。</w:t>
      </w:r>
    </w:p>
    <w:p w14:paraId="3D09AF5C">
      <w:pPr>
        <w:pStyle w:val="4"/>
        <w:rPr>
          <w:rFonts w:ascii="仿宋_GB2312" w:hAnsi="仿宋_GB2312" w:eastAsia="仿宋_GB2312" w:cs="仿宋_GB2312"/>
          <w:b/>
          <w:color w:val="auto"/>
          <w:sz w:val="24"/>
        </w:rPr>
      </w:pPr>
      <w:bookmarkStart w:id="237" w:name="_Toc16612"/>
      <w:bookmarkStart w:id="238" w:name="_Toc385992346"/>
      <w:bookmarkStart w:id="239" w:name="_Toc249515409"/>
      <w:bookmarkStart w:id="240" w:name="_Toc184043033"/>
      <w:bookmarkStart w:id="241" w:name="_Toc389620185"/>
      <w:bookmarkStart w:id="242" w:name="_Toc70687160"/>
      <w:bookmarkStart w:id="243" w:name="_Toc249515297"/>
      <w:bookmarkStart w:id="244" w:name="_Toc249525178"/>
      <w:r>
        <w:rPr>
          <w:rFonts w:hint="eastAsia" w:ascii="仿宋_GB2312" w:hAnsi="仿宋_GB2312" w:eastAsia="仿宋_GB2312" w:cs="仿宋_GB2312"/>
          <w:b/>
          <w:color w:val="auto"/>
          <w:sz w:val="24"/>
        </w:rPr>
        <w:t>16.    响应文件的制作和签署</w:t>
      </w:r>
      <w:bookmarkEnd w:id="237"/>
      <w:bookmarkEnd w:id="238"/>
      <w:bookmarkEnd w:id="239"/>
      <w:bookmarkEnd w:id="240"/>
      <w:bookmarkEnd w:id="241"/>
      <w:bookmarkEnd w:id="242"/>
      <w:bookmarkEnd w:id="243"/>
      <w:bookmarkEnd w:id="244"/>
    </w:p>
    <w:p w14:paraId="57DC1865">
      <w:pPr>
        <w:tabs>
          <w:tab w:val="left" w:pos="588"/>
        </w:tabs>
        <w:spacing w:line="360" w:lineRule="auto"/>
        <w:ind w:left="840" w:hanging="840" w:hangingChars="35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16.1   供应商应准备一份响应文件正本和“</w:t>
      </w:r>
      <w:r>
        <w:rPr>
          <w:rFonts w:hint="default" w:ascii="Times New Roman" w:hAnsi="Times New Roman" w:eastAsia="仿宋_GB2312" w:cs="Times New Roman"/>
          <w:b/>
          <w:color w:val="auto"/>
          <w:sz w:val="24"/>
        </w:rPr>
        <w:t>供应商须知前附表</w:t>
      </w:r>
      <w:r>
        <w:rPr>
          <w:rFonts w:hint="default" w:ascii="Times New Roman" w:hAnsi="Times New Roman" w:eastAsia="仿宋_GB2312" w:cs="Times New Roman"/>
          <w:color w:val="auto"/>
          <w:sz w:val="24"/>
        </w:rPr>
        <w:t>”中规定数目的副本，每套响应文件须清楚地标明“正本”、“副本”。若正本和副本不符，以正本为准。</w:t>
      </w:r>
    </w:p>
    <w:p w14:paraId="6A054D7E">
      <w:pPr>
        <w:tabs>
          <w:tab w:val="left" w:pos="588"/>
        </w:tabs>
        <w:spacing w:line="360" w:lineRule="auto"/>
        <w:ind w:left="840" w:hanging="840" w:hangingChars="35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16.2   响应文件须用中文编写，并采用A4纸张装订成册。装订须牢固，不易拆散和换页，采用软胶装，不得采用活页方式装订，封面不建议硬装。</w:t>
      </w:r>
    </w:p>
    <w:p w14:paraId="76729B4B">
      <w:pPr>
        <w:tabs>
          <w:tab w:val="left" w:pos="588"/>
        </w:tabs>
        <w:spacing w:line="360" w:lineRule="auto"/>
        <w:ind w:left="840" w:hanging="840" w:hangingChars="35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16.3   响应文件的正本，一律用不褪色的墨水书写或打印，签字页加盖供应商单位公章，并由供应商的法定代表人或其授权的代理人签署。响应文件的副本可采用正本的复印件。</w:t>
      </w:r>
    </w:p>
    <w:p w14:paraId="58AFAC5C">
      <w:pPr>
        <w:tabs>
          <w:tab w:val="left" w:pos="588"/>
        </w:tabs>
        <w:spacing w:line="360" w:lineRule="auto"/>
        <w:ind w:left="840" w:hanging="840" w:hangingChars="35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16.4   任何行间插字、涂改或增删，必须由</w:t>
      </w:r>
      <w:r>
        <w:rPr>
          <w:rFonts w:hint="default" w:ascii="Times New Roman" w:hAnsi="Times New Roman" w:eastAsia="仿宋_GB2312" w:cs="Times New Roman"/>
          <w:color w:val="auto"/>
          <w:sz w:val="24"/>
          <w:lang w:val="en-US" w:eastAsia="zh-CN"/>
        </w:rPr>
        <w:t>供应商</w:t>
      </w:r>
      <w:r>
        <w:rPr>
          <w:rFonts w:hint="default" w:ascii="Times New Roman" w:hAnsi="Times New Roman" w:eastAsia="仿宋_GB2312" w:cs="Times New Roman"/>
          <w:color w:val="auto"/>
          <w:sz w:val="24"/>
        </w:rPr>
        <w:t>的法定代表人或委托代理人在每一修改处签字。</w:t>
      </w:r>
    </w:p>
    <w:p w14:paraId="2829253B">
      <w:pPr>
        <w:tabs>
          <w:tab w:val="left" w:pos="588"/>
        </w:tabs>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16.5   采购人不接受以电报、电话、传真、电子邮件形式递交的响应文件。</w:t>
      </w:r>
    </w:p>
    <w:p w14:paraId="2559BB89">
      <w:pPr>
        <w:keepNext w:val="0"/>
        <w:keepLines w:val="0"/>
        <w:pageBreakBefore w:val="0"/>
        <w:widowControl w:val="0"/>
        <w:kinsoku/>
        <w:wordWrap/>
        <w:overflowPunct/>
        <w:topLinePunct w:val="0"/>
        <w:autoSpaceDE/>
        <w:autoSpaceDN/>
        <w:bidi w:val="0"/>
        <w:adjustRightInd/>
        <w:snapToGrid/>
        <w:spacing w:line="360" w:lineRule="auto"/>
        <w:ind w:left="720" w:hanging="720" w:hangingChars="300"/>
        <w:textAlignment w:val="auto"/>
        <w:rPr>
          <w:color w:val="auto"/>
        </w:rPr>
      </w:pPr>
      <w:r>
        <w:rPr>
          <w:rFonts w:hint="default" w:ascii="Times New Roman" w:hAnsi="Times New Roman" w:eastAsia="仿宋_GB2312" w:cs="Times New Roman"/>
          <w:color w:val="auto"/>
          <w:sz w:val="24"/>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2E1CA9D2">
      <w:pPr>
        <w:pStyle w:val="85"/>
        <w:spacing w:before="24" w:after="24"/>
        <w:jc w:val="center"/>
        <w:rPr>
          <w:rFonts w:ascii="仿宋_GB2312" w:hAnsi="仿宋_GB2312" w:eastAsia="仿宋_GB2312" w:cs="仿宋_GB2312"/>
          <w:color w:val="auto"/>
          <w:sz w:val="24"/>
        </w:rPr>
      </w:pPr>
      <w:bookmarkStart w:id="245" w:name="_Toc2576"/>
      <w:r>
        <w:rPr>
          <w:rFonts w:hint="eastAsia" w:ascii="仿宋_GB2312" w:hAnsi="仿宋_GB2312" w:eastAsia="仿宋_GB2312" w:cs="仿宋_GB2312"/>
          <w:color w:val="auto"/>
          <w:sz w:val="24"/>
        </w:rPr>
        <w:t>四、</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45"/>
      <w:r>
        <w:rPr>
          <w:rFonts w:hint="eastAsia" w:ascii="仿宋_GB2312" w:hAnsi="仿宋_GB2312" w:eastAsia="仿宋_GB2312" w:cs="仿宋_GB2312"/>
          <w:color w:val="auto"/>
          <w:sz w:val="24"/>
        </w:rPr>
        <w:t>响应文件的密封和递交</w:t>
      </w:r>
    </w:p>
    <w:p w14:paraId="7BEFC308">
      <w:pPr>
        <w:rPr>
          <w:rFonts w:ascii="仿宋_GB2312" w:hAnsi="仿宋_GB2312" w:eastAsia="仿宋_GB2312" w:cs="仿宋_GB2312"/>
          <w:color w:val="auto"/>
          <w:sz w:val="24"/>
        </w:rPr>
      </w:pPr>
    </w:p>
    <w:p w14:paraId="07C411A0">
      <w:pPr>
        <w:pStyle w:val="4"/>
        <w:rPr>
          <w:rFonts w:hint="default" w:ascii="Times New Roman" w:hAnsi="Times New Roman" w:eastAsia="仿宋_GB2312" w:cs="Times New Roman"/>
          <w:b/>
          <w:color w:val="auto"/>
          <w:sz w:val="24"/>
          <w:szCs w:val="21"/>
        </w:rPr>
      </w:pPr>
      <w:bookmarkStart w:id="246" w:name="_Toc389620187"/>
      <w:bookmarkStart w:id="247" w:name="_Toc184043035"/>
      <w:bookmarkStart w:id="248" w:name="_Toc249515299"/>
      <w:bookmarkStart w:id="249" w:name="_Toc249525180"/>
      <w:bookmarkStart w:id="250" w:name="_Toc4042"/>
      <w:bookmarkStart w:id="251" w:name="_Toc385992348"/>
      <w:bookmarkStart w:id="252" w:name="_Toc70687162"/>
      <w:bookmarkStart w:id="253" w:name="_Toc249515411"/>
      <w:r>
        <w:rPr>
          <w:rFonts w:hint="default" w:ascii="Times New Roman" w:hAnsi="Times New Roman" w:eastAsia="仿宋_GB2312" w:cs="Times New Roman"/>
          <w:b/>
          <w:color w:val="auto"/>
          <w:sz w:val="24"/>
          <w:szCs w:val="21"/>
        </w:rPr>
        <w:t>17.    响应文件的密封和标记</w:t>
      </w:r>
      <w:bookmarkEnd w:id="246"/>
      <w:bookmarkEnd w:id="247"/>
      <w:bookmarkEnd w:id="248"/>
      <w:bookmarkEnd w:id="249"/>
      <w:bookmarkEnd w:id="250"/>
      <w:bookmarkEnd w:id="251"/>
      <w:bookmarkEnd w:id="252"/>
      <w:bookmarkEnd w:id="253"/>
    </w:p>
    <w:p w14:paraId="098D8FD2">
      <w:pPr>
        <w:tabs>
          <w:tab w:val="left" w:pos="588"/>
        </w:tabs>
        <w:spacing w:line="360" w:lineRule="auto"/>
        <w:ind w:left="840" w:hanging="840" w:hangingChars="350"/>
        <w:rPr>
          <w:rFonts w:hint="default" w:ascii="Times New Roman" w:hAnsi="Times New Roman" w:eastAsia="仿宋_GB2312" w:cs="Times New Roman"/>
          <w:color w:val="auto"/>
          <w:sz w:val="24"/>
        </w:rPr>
      </w:pPr>
      <w:bookmarkStart w:id="254" w:name="_Toc389620188"/>
      <w:bookmarkStart w:id="255" w:name="_Toc385992349"/>
      <w:bookmarkStart w:id="256" w:name="_Toc70687163"/>
      <w:bookmarkStart w:id="257" w:name="_Toc184043036"/>
      <w:r>
        <w:rPr>
          <w:rFonts w:hint="default" w:ascii="Times New Roman" w:hAnsi="Times New Roman" w:eastAsia="仿宋_GB2312" w:cs="Times New Roman"/>
          <w:color w:val="auto"/>
          <w:kern w:val="0"/>
          <w:sz w:val="24"/>
          <w:szCs w:val="21"/>
        </w:rPr>
        <w:t>17.1   供应商应将响应文件</w:t>
      </w:r>
      <w:r>
        <w:rPr>
          <w:rFonts w:hint="eastAsia" w:eastAsia="仿宋_GB2312" w:cs="Times New Roman"/>
          <w:color w:val="auto"/>
          <w:kern w:val="0"/>
          <w:sz w:val="24"/>
          <w:szCs w:val="21"/>
          <w:lang w:val="en-US" w:eastAsia="zh-CN"/>
        </w:rPr>
        <w:t>统一</w:t>
      </w:r>
      <w:r>
        <w:rPr>
          <w:rFonts w:hint="default" w:ascii="Times New Roman" w:hAnsi="Times New Roman" w:eastAsia="仿宋_GB2312" w:cs="Times New Roman"/>
          <w:color w:val="auto"/>
          <w:kern w:val="0"/>
          <w:sz w:val="24"/>
          <w:szCs w:val="21"/>
        </w:rPr>
        <w:t>密封在</w:t>
      </w:r>
      <w:r>
        <w:rPr>
          <w:rFonts w:hint="eastAsia" w:eastAsia="仿宋_GB2312" w:cs="Times New Roman"/>
          <w:color w:val="auto"/>
          <w:kern w:val="0"/>
          <w:sz w:val="24"/>
          <w:szCs w:val="21"/>
          <w:lang w:val="en-US" w:eastAsia="zh-CN"/>
        </w:rPr>
        <w:t>一个</w:t>
      </w:r>
      <w:r>
        <w:rPr>
          <w:rFonts w:hint="default" w:ascii="Times New Roman" w:hAnsi="Times New Roman" w:eastAsia="仿宋_GB2312" w:cs="Times New Roman"/>
          <w:color w:val="auto"/>
          <w:kern w:val="0"/>
          <w:sz w:val="24"/>
          <w:szCs w:val="21"/>
        </w:rPr>
        <w:t>密封袋（箱）中，并在密封袋（箱）上标明</w:t>
      </w:r>
      <w:r>
        <w:rPr>
          <w:rFonts w:hint="eastAsia" w:eastAsia="仿宋_GB2312" w:cs="Times New Roman"/>
          <w:color w:val="auto"/>
          <w:kern w:val="0"/>
          <w:sz w:val="24"/>
          <w:szCs w:val="21"/>
          <w:lang w:val="en-US" w:eastAsia="zh-CN"/>
        </w:rPr>
        <w:t>项目名称、项目编号等内容</w:t>
      </w:r>
      <w:r>
        <w:rPr>
          <w:rFonts w:hint="default" w:ascii="Times New Roman" w:hAnsi="Times New Roman" w:eastAsia="仿宋_GB2312" w:cs="Times New Roman"/>
          <w:color w:val="auto"/>
          <w:kern w:val="0"/>
          <w:sz w:val="24"/>
          <w:szCs w:val="21"/>
        </w:rPr>
        <w:t>，封口处应加盖公章或</w:t>
      </w:r>
      <w:r>
        <w:rPr>
          <w:rFonts w:hint="default" w:ascii="Times New Roman" w:hAnsi="Times New Roman" w:eastAsia="仿宋_GB2312" w:cs="Times New Roman"/>
          <w:color w:val="auto"/>
          <w:kern w:val="0"/>
          <w:sz w:val="24"/>
          <w:szCs w:val="21"/>
          <w:lang w:eastAsia="zh-CN"/>
        </w:rPr>
        <w:t>委托代理人</w:t>
      </w:r>
      <w:r>
        <w:rPr>
          <w:rFonts w:hint="default" w:ascii="Times New Roman" w:hAnsi="Times New Roman" w:eastAsia="仿宋_GB2312" w:cs="Times New Roman"/>
          <w:color w:val="auto"/>
          <w:kern w:val="0"/>
          <w:sz w:val="24"/>
          <w:szCs w:val="21"/>
        </w:rPr>
        <w:t>签字。</w:t>
      </w:r>
    </w:p>
    <w:p w14:paraId="1CD5E19D">
      <w:pPr>
        <w:tabs>
          <w:tab w:val="left" w:pos="588"/>
        </w:tabs>
        <w:autoSpaceDE w:val="0"/>
        <w:autoSpaceDN w:val="0"/>
        <w:adjustRightInd w:val="0"/>
        <w:spacing w:line="360" w:lineRule="auto"/>
        <w:ind w:left="840" w:hanging="840" w:hangingChars="350"/>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kern w:val="0"/>
          <w:sz w:val="24"/>
          <w:szCs w:val="21"/>
        </w:rPr>
        <w:t>17.2   密封袋（箱）上标识的内容见</w:t>
      </w:r>
      <w:r>
        <w:rPr>
          <w:rFonts w:hint="default" w:ascii="Times New Roman" w:hAnsi="Times New Roman" w:eastAsia="仿宋_GB2312" w:cs="Times New Roman"/>
          <w:b/>
          <w:color w:val="auto"/>
          <w:sz w:val="24"/>
        </w:rPr>
        <w:t>供应商须知前附表。</w:t>
      </w:r>
      <w:r>
        <w:rPr>
          <w:rFonts w:hint="default" w:ascii="Times New Roman" w:hAnsi="Times New Roman" w:eastAsia="仿宋_GB2312" w:cs="Times New Roman"/>
          <w:color w:val="auto"/>
          <w:sz w:val="24"/>
          <w:szCs w:val="21"/>
        </w:rPr>
        <w:t>响应文件</w:t>
      </w:r>
      <w:r>
        <w:rPr>
          <w:rFonts w:hint="default" w:ascii="Times New Roman" w:hAnsi="Times New Roman" w:eastAsia="仿宋_GB2312" w:cs="Times New Roman"/>
          <w:color w:val="auto"/>
          <w:kern w:val="0"/>
          <w:sz w:val="24"/>
          <w:szCs w:val="21"/>
        </w:rPr>
        <w:t>如果</w:t>
      </w:r>
      <w:r>
        <w:rPr>
          <w:rFonts w:hint="default" w:ascii="Times New Roman" w:hAnsi="Times New Roman" w:eastAsia="仿宋_GB2312" w:cs="Times New Roman"/>
          <w:color w:val="auto"/>
          <w:sz w:val="24"/>
          <w:szCs w:val="21"/>
        </w:rPr>
        <w:t>未按上述规定密封和标记，采购代理机构应当拒绝接收。</w:t>
      </w:r>
    </w:p>
    <w:p w14:paraId="6AF3F238">
      <w:pPr>
        <w:pStyle w:val="22"/>
        <w:ind w:left="840" w:hanging="840" w:hangingChars="35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hint="default" w:ascii="Times New Roman" w:hAnsi="Times New Roman" w:eastAsia="仿宋_GB2312" w:cs="Times New Roman"/>
          <w:b/>
          <w:color w:val="auto"/>
          <w:sz w:val="24"/>
        </w:rPr>
        <w:t>供应商须知前附表</w:t>
      </w:r>
      <w:r>
        <w:rPr>
          <w:rFonts w:hint="default" w:ascii="Times New Roman" w:hAnsi="Times New Roman" w:eastAsia="仿宋_GB2312" w:cs="Times New Roman"/>
          <w:color w:val="auto"/>
          <w:sz w:val="24"/>
        </w:rPr>
        <w:t>。</w:t>
      </w:r>
    </w:p>
    <w:bookmarkEnd w:id="254"/>
    <w:bookmarkEnd w:id="255"/>
    <w:p w14:paraId="3EA42733">
      <w:pPr>
        <w:pStyle w:val="4"/>
        <w:rPr>
          <w:rFonts w:hint="default" w:ascii="Times New Roman" w:hAnsi="Times New Roman" w:eastAsia="仿宋_GB2312" w:cs="Times New Roman"/>
          <w:b/>
          <w:color w:val="auto"/>
          <w:sz w:val="24"/>
          <w:szCs w:val="21"/>
        </w:rPr>
      </w:pPr>
      <w:bookmarkStart w:id="258" w:name="_Toc249525181"/>
      <w:bookmarkStart w:id="259" w:name="_Toc31171"/>
      <w:bookmarkStart w:id="260" w:name="_Toc249515300"/>
      <w:bookmarkStart w:id="261" w:name="_Toc249515412"/>
      <w:r>
        <w:rPr>
          <w:rFonts w:hint="default" w:ascii="Times New Roman" w:hAnsi="Times New Roman" w:eastAsia="仿宋_GB2312" w:cs="Times New Roman"/>
          <w:b/>
          <w:color w:val="auto"/>
          <w:sz w:val="24"/>
          <w:szCs w:val="21"/>
        </w:rPr>
        <w:t>18.    响应文件递交截止时间</w:t>
      </w:r>
      <w:bookmarkEnd w:id="256"/>
      <w:bookmarkEnd w:id="257"/>
      <w:bookmarkEnd w:id="258"/>
      <w:bookmarkEnd w:id="259"/>
      <w:bookmarkEnd w:id="260"/>
      <w:bookmarkEnd w:id="261"/>
    </w:p>
    <w:p w14:paraId="7C60F600">
      <w:pPr>
        <w:tabs>
          <w:tab w:val="left" w:pos="588"/>
        </w:tabs>
        <w:spacing w:line="360" w:lineRule="auto"/>
        <w:rPr>
          <w:rFonts w:hint="default" w:ascii="Times New Roman" w:hAnsi="Times New Roman" w:eastAsia="仿宋_GB2312" w:cs="Times New Roman"/>
          <w:color w:val="auto"/>
          <w:sz w:val="24"/>
        </w:rPr>
      </w:pPr>
      <w:bookmarkStart w:id="262" w:name="_Toc184043037"/>
      <w:bookmarkStart w:id="263" w:name="_Toc70687164"/>
      <w:bookmarkStart w:id="264" w:name="_Toc389620189"/>
      <w:bookmarkStart w:id="265" w:name="_Toc385992350"/>
      <w:r>
        <w:rPr>
          <w:rFonts w:hint="default" w:ascii="Times New Roman" w:hAnsi="Times New Roman" w:eastAsia="仿宋_GB2312" w:cs="Times New Roman"/>
          <w:color w:val="auto"/>
          <w:sz w:val="24"/>
        </w:rPr>
        <w:t>18.1   响应文件递交截止时间和地点见</w:t>
      </w:r>
      <w:r>
        <w:rPr>
          <w:rFonts w:hint="default" w:ascii="Times New Roman" w:hAnsi="Times New Roman" w:eastAsia="仿宋_GB2312" w:cs="Times New Roman"/>
          <w:b/>
          <w:color w:val="auto"/>
          <w:sz w:val="24"/>
        </w:rPr>
        <w:t>供应商须知前附表</w:t>
      </w:r>
      <w:r>
        <w:rPr>
          <w:rFonts w:hint="default" w:ascii="Times New Roman" w:hAnsi="Times New Roman" w:eastAsia="仿宋_GB2312" w:cs="Times New Roman"/>
          <w:color w:val="auto"/>
          <w:sz w:val="24"/>
        </w:rPr>
        <w:t>。</w:t>
      </w:r>
    </w:p>
    <w:p w14:paraId="79AF10E4">
      <w:pPr>
        <w:tabs>
          <w:tab w:val="left" w:pos="588"/>
        </w:tabs>
        <w:spacing w:line="360" w:lineRule="auto"/>
        <w:ind w:left="840" w:hanging="840" w:hangingChars="35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18.2   供应商须由其合法的授权</w:t>
      </w:r>
      <w:r>
        <w:rPr>
          <w:rFonts w:hint="default" w:ascii="Times New Roman" w:hAnsi="Times New Roman" w:eastAsia="仿宋_GB2312" w:cs="Times New Roman"/>
          <w:color w:val="auto"/>
          <w:sz w:val="24"/>
          <w:lang w:val="en-US" w:eastAsia="zh-CN"/>
        </w:rPr>
        <w:t>委托代理</w:t>
      </w:r>
      <w:r>
        <w:rPr>
          <w:rFonts w:hint="default" w:ascii="Times New Roman" w:hAnsi="Times New Roman" w:eastAsia="仿宋_GB2312" w:cs="Times New Roman"/>
          <w:color w:val="auto"/>
          <w:sz w:val="24"/>
        </w:rPr>
        <w:t>人在响应文件递交截止时间之前将响应文件在响应文件递交地点送达采购人并签字确认。供应商须承担因未送达并签字所造成的一切责任。</w:t>
      </w:r>
    </w:p>
    <w:p w14:paraId="59CFF1A3">
      <w:pPr>
        <w:tabs>
          <w:tab w:val="left" w:pos="588"/>
        </w:tabs>
        <w:spacing w:line="360" w:lineRule="auto"/>
        <w:ind w:left="840" w:hanging="840" w:hangingChars="35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18.3   采购人可以按本须知第7条规定，通知修改磋商文件，适当延长响应文件递交截止时间。在此情况下，采购人和供应商受响应文件递交截止时间制约的所有权利和义务均应延长至新的截止期。</w:t>
      </w:r>
    </w:p>
    <w:p w14:paraId="1DB461E2">
      <w:pPr>
        <w:pStyle w:val="4"/>
        <w:rPr>
          <w:rFonts w:hint="default" w:ascii="Times New Roman" w:hAnsi="Times New Roman" w:eastAsia="仿宋_GB2312" w:cs="Times New Roman"/>
          <w:b/>
          <w:color w:val="auto"/>
          <w:sz w:val="24"/>
          <w:szCs w:val="21"/>
        </w:rPr>
      </w:pPr>
      <w:bookmarkStart w:id="266" w:name="_Toc249525182"/>
      <w:bookmarkStart w:id="267" w:name="_Toc7175"/>
      <w:bookmarkStart w:id="268" w:name="_Toc249515413"/>
      <w:bookmarkStart w:id="269" w:name="_Toc249515301"/>
      <w:r>
        <w:rPr>
          <w:rFonts w:hint="default" w:ascii="Times New Roman" w:hAnsi="Times New Roman" w:eastAsia="仿宋_GB2312" w:cs="Times New Roman"/>
          <w:b/>
          <w:color w:val="auto"/>
          <w:sz w:val="24"/>
          <w:szCs w:val="21"/>
        </w:rPr>
        <w:t>19.    迟交的响应文件</w:t>
      </w:r>
      <w:bookmarkEnd w:id="262"/>
      <w:bookmarkEnd w:id="263"/>
      <w:bookmarkEnd w:id="264"/>
      <w:bookmarkEnd w:id="265"/>
      <w:bookmarkEnd w:id="266"/>
      <w:bookmarkEnd w:id="267"/>
      <w:bookmarkEnd w:id="268"/>
      <w:bookmarkEnd w:id="269"/>
    </w:p>
    <w:p w14:paraId="27EF5080">
      <w:pPr>
        <w:tabs>
          <w:tab w:val="left" w:pos="588"/>
        </w:tabs>
        <w:spacing w:line="360" w:lineRule="auto"/>
        <w:ind w:left="840" w:hanging="840" w:hangingChars="35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19.1   采购人将拒绝接收第18条规定的响应文件递交截止时间后递交的任何响应文件。</w:t>
      </w:r>
    </w:p>
    <w:p w14:paraId="7C7BC399">
      <w:pPr>
        <w:pStyle w:val="4"/>
        <w:rPr>
          <w:rFonts w:hint="default" w:ascii="Times New Roman" w:hAnsi="Times New Roman" w:eastAsia="仿宋_GB2312" w:cs="Times New Roman"/>
          <w:b/>
          <w:color w:val="auto"/>
          <w:sz w:val="24"/>
          <w:szCs w:val="21"/>
        </w:rPr>
      </w:pPr>
      <w:bookmarkStart w:id="270" w:name="_Toc249525183"/>
      <w:bookmarkStart w:id="271" w:name="_Toc184043038"/>
      <w:bookmarkStart w:id="272" w:name="_Toc10272"/>
      <w:bookmarkStart w:id="273" w:name="_Toc249515414"/>
      <w:bookmarkStart w:id="274" w:name="_Toc389620190"/>
      <w:bookmarkStart w:id="275" w:name="_Toc70687165"/>
      <w:bookmarkStart w:id="276" w:name="_Toc249515302"/>
      <w:bookmarkStart w:id="277" w:name="_Toc385992351"/>
      <w:r>
        <w:rPr>
          <w:rFonts w:hint="default" w:ascii="Times New Roman" w:hAnsi="Times New Roman" w:eastAsia="仿宋_GB2312" w:cs="Times New Roman"/>
          <w:b/>
          <w:color w:val="auto"/>
          <w:sz w:val="24"/>
          <w:szCs w:val="21"/>
        </w:rPr>
        <w:t>20.    响应文件的修改和撤</w:t>
      </w:r>
      <w:bookmarkEnd w:id="270"/>
      <w:bookmarkEnd w:id="271"/>
      <w:bookmarkEnd w:id="272"/>
      <w:bookmarkEnd w:id="273"/>
      <w:bookmarkEnd w:id="274"/>
      <w:bookmarkEnd w:id="275"/>
      <w:bookmarkEnd w:id="276"/>
      <w:bookmarkEnd w:id="277"/>
      <w:r>
        <w:rPr>
          <w:rFonts w:hint="default" w:ascii="Times New Roman" w:hAnsi="Times New Roman" w:eastAsia="仿宋_GB2312" w:cs="Times New Roman"/>
          <w:b/>
          <w:color w:val="auto"/>
          <w:sz w:val="24"/>
          <w:szCs w:val="21"/>
        </w:rPr>
        <w:t>回</w:t>
      </w:r>
    </w:p>
    <w:p w14:paraId="4A3F18DF">
      <w:pPr>
        <w:tabs>
          <w:tab w:val="left" w:pos="588"/>
        </w:tabs>
        <w:spacing w:line="360" w:lineRule="auto"/>
        <w:ind w:left="840" w:leftChars="40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37FE83B4">
      <w:pPr>
        <w:tabs>
          <w:tab w:val="left" w:pos="588"/>
        </w:tabs>
        <w:spacing w:line="360" w:lineRule="auto"/>
        <w:ind w:left="840" w:hanging="840" w:hangingChars="35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20.1   供应商对响应文件修改的书面材料或撤回的通知应按第16和17条规定进行编写、密封、标注和递送，并注明“修改响应文件”或“撤回响应文件”字样。</w:t>
      </w:r>
    </w:p>
    <w:p w14:paraId="3D3EC1FA">
      <w:pPr>
        <w:tabs>
          <w:tab w:val="left" w:pos="588"/>
        </w:tabs>
        <w:spacing w:line="360" w:lineRule="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   在响应文件递交截止时间之后，供应商不得对其响应文件做任何修改。</w:t>
      </w:r>
    </w:p>
    <w:p w14:paraId="1E4FBAB7">
      <w:pPr>
        <w:tabs>
          <w:tab w:val="left" w:pos="588"/>
        </w:tabs>
        <w:spacing w:line="360" w:lineRule="auto"/>
        <w:ind w:left="840" w:hanging="840" w:hangingChars="350"/>
        <w:rPr>
          <w:rFonts w:ascii="仿宋_GB2312" w:hAnsi="仿宋_GB2312" w:eastAsia="仿宋_GB2312" w:cs="仿宋_GB2312"/>
          <w:color w:val="auto"/>
          <w:sz w:val="24"/>
        </w:rPr>
      </w:pPr>
      <w:r>
        <w:rPr>
          <w:rFonts w:hint="default" w:ascii="Times New Roman" w:hAnsi="Times New Roman" w:eastAsia="仿宋_GB2312" w:cs="Times New Roman"/>
          <w:color w:val="auto"/>
          <w:sz w:val="24"/>
        </w:rPr>
        <w:t>20.3   供应商不得在响应文件递交截止时间起至响应文件有效期期满前撤销其响应文件。</w:t>
      </w:r>
    </w:p>
    <w:p w14:paraId="637482A2">
      <w:pPr>
        <w:pStyle w:val="85"/>
        <w:spacing w:before="24" w:after="24"/>
        <w:ind w:left="3313"/>
        <w:rPr>
          <w:rFonts w:ascii="仿宋_GB2312" w:hAnsi="仿宋_GB2312" w:eastAsia="仿宋_GB2312" w:cs="仿宋_GB2312"/>
          <w:color w:val="auto"/>
          <w:sz w:val="24"/>
        </w:rPr>
      </w:pPr>
      <w:bookmarkStart w:id="278" w:name="_Hlt491765712"/>
      <w:bookmarkEnd w:id="278"/>
      <w:bookmarkStart w:id="279" w:name="_Hlt497729441"/>
      <w:bookmarkEnd w:id="279"/>
      <w:bookmarkStart w:id="280" w:name="_Toc249525184"/>
      <w:bookmarkStart w:id="281" w:name="_Toc256342148"/>
      <w:bookmarkStart w:id="282" w:name="_Toc249515303"/>
      <w:bookmarkStart w:id="283" w:name="_Toc249515415"/>
      <w:bookmarkStart w:id="284" w:name="_Toc5204"/>
      <w:bookmarkStart w:id="285" w:name="_Toc53722845"/>
      <w:bookmarkStart w:id="286" w:name="_Toc499711889"/>
      <w:bookmarkStart w:id="287" w:name="_Toc500747067"/>
      <w:bookmarkStart w:id="288" w:name="_Toc503063427"/>
      <w:bookmarkStart w:id="289" w:name="_Toc176882547"/>
      <w:bookmarkStart w:id="290" w:name="_Toc500746971"/>
      <w:bookmarkStart w:id="291" w:name="_Toc177189240"/>
      <w:bookmarkStart w:id="292" w:name="_Toc389620191"/>
      <w:bookmarkStart w:id="293" w:name="_Toc492955420"/>
      <w:bookmarkStart w:id="294" w:name="_Toc177817339"/>
      <w:bookmarkStart w:id="295" w:name="_Toc177995478"/>
      <w:bookmarkStart w:id="296" w:name="_Toc184043039"/>
      <w:bookmarkStart w:id="297" w:name="_Toc70687166"/>
      <w:bookmarkStart w:id="298" w:name="_Toc500747194"/>
      <w:bookmarkStart w:id="299" w:name="_Toc385992352"/>
      <w:bookmarkStart w:id="300" w:name="_Toc496324584"/>
      <w:bookmarkStart w:id="301" w:name="_Toc499711048"/>
      <w:r>
        <w:rPr>
          <w:rFonts w:hint="eastAsia" w:ascii="仿宋_GB2312" w:hAnsi="仿宋_GB2312" w:eastAsia="仿宋_GB2312" w:cs="仿宋_GB2312"/>
          <w:color w:val="auto"/>
          <w:sz w:val="24"/>
        </w:rPr>
        <w:t>五、评审与</w:t>
      </w:r>
      <w:bookmarkEnd w:id="280"/>
      <w:bookmarkEnd w:id="281"/>
      <w:bookmarkEnd w:id="282"/>
      <w:bookmarkEnd w:id="283"/>
      <w:r>
        <w:rPr>
          <w:rFonts w:hint="eastAsia" w:ascii="仿宋_GB2312" w:hAnsi="仿宋_GB2312" w:eastAsia="仿宋_GB2312" w:cs="仿宋_GB2312"/>
          <w:color w:val="auto"/>
          <w:sz w:val="24"/>
        </w:rPr>
        <w:t>磋商</w:t>
      </w:r>
      <w:bookmarkEnd w:id="284"/>
    </w:p>
    <w:p w14:paraId="6111B6C5">
      <w:pPr>
        <w:pStyle w:val="4"/>
        <w:numPr>
          <w:ilvl w:val="0"/>
          <w:numId w:val="8"/>
        </w:numPr>
        <w:rPr>
          <w:rFonts w:ascii="仿宋_GB2312" w:hAnsi="仿宋_GB2312" w:eastAsia="仿宋_GB2312" w:cs="仿宋_GB2312"/>
          <w:b/>
          <w:color w:val="auto"/>
          <w:sz w:val="24"/>
        </w:rPr>
      </w:pPr>
      <w:bookmarkStart w:id="302" w:name="_Toc16042"/>
      <w:bookmarkStart w:id="303" w:name="_Toc249525186"/>
      <w:bookmarkStart w:id="304" w:name="_Toc249515305"/>
      <w:bookmarkStart w:id="305" w:name="_Toc249515417"/>
      <w:r>
        <w:rPr>
          <w:rFonts w:hint="eastAsia" w:ascii="仿宋_GB2312" w:hAnsi="仿宋_GB2312" w:eastAsia="仿宋_GB2312" w:cs="仿宋_GB2312"/>
          <w:b/>
          <w:color w:val="auto"/>
          <w:sz w:val="24"/>
        </w:rPr>
        <w:t xml:space="preserve">   磋商小组</w:t>
      </w:r>
      <w:bookmarkEnd w:id="302"/>
      <w:bookmarkEnd w:id="303"/>
      <w:bookmarkEnd w:id="304"/>
      <w:bookmarkEnd w:id="305"/>
    </w:p>
    <w:p w14:paraId="7994DF58">
      <w:pPr>
        <w:pStyle w:val="28"/>
        <w:adjustRightInd w:val="0"/>
        <w:snapToGrid w:val="0"/>
        <w:ind w:left="840" w:hanging="840" w:hangingChars="350"/>
        <w:rPr>
          <w:rFonts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21.1   在磋商开始前组建磋商小组，磋商小组由采购人代表及有关专家组成。专家从政府采购评审专家库相关专业中随机抽取。磋商小组组成见</w:t>
      </w:r>
      <w:r>
        <w:rPr>
          <w:rFonts w:hint="eastAsia" w:ascii="仿宋_GB2312" w:hAnsi="仿宋_GB2312" w:eastAsia="仿宋_GB2312" w:cs="仿宋_GB2312"/>
          <w:b/>
          <w:color w:val="auto"/>
          <w:sz w:val="24"/>
          <w:szCs w:val="24"/>
        </w:rPr>
        <w:t>供应商须知前附表。</w:t>
      </w:r>
    </w:p>
    <w:p w14:paraId="1EE72343">
      <w:pPr>
        <w:pStyle w:val="28"/>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21.2   磋商小组职责</w:t>
      </w:r>
    </w:p>
    <w:p w14:paraId="50D7D4EF">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（1）确认竞争性磋商文件；</w:t>
      </w:r>
    </w:p>
    <w:p w14:paraId="253A1D19">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（2）确定符合要求的供应商参加磋商；</w:t>
      </w:r>
    </w:p>
    <w:p w14:paraId="4A655DED">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（3）审查供应商的响应文件并做出评价；</w:t>
      </w:r>
    </w:p>
    <w:p w14:paraId="461798CB">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（4）要求供应商解释或者澄清其响应文件；</w:t>
      </w:r>
    </w:p>
    <w:p w14:paraId="438C127E">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（5）编写评审报告；</w:t>
      </w:r>
    </w:p>
    <w:p w14:paraId="49D64E2D">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（6）告知采购人、采购代理机构在评审过程中发现的供应商的违法违规行为。</w:t>
      </w:r>
    </w:p>
    <w:p w14:paraId="0820BBCE">
      <w:pPr>
        <w:pStyle w:val="28"/>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21.3   磋商小组义务</w:t>
      </w:r>
    </w:p>
    <w:p w14:paraId="1E46C4B7">
      <w:pPr>
        <w:pStyle w:val="28"/>
        <w:adjustRightInd w:val="0"/>
        <w:snapToGrid w:val="0"/>
        <w:ind w:left="838"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（1）遵纪客观、公正、审慎的原则；</w:t>
      </w:r>
    </w:p>
    <w:p w14:paraId="3A7A19D7">
      <w:pPr>
        <w:pStyle w:val="28"/>
        <w:adjustRightInd w:val="0"/>
        <w:snapToGrid w:val="0"/>
        <w:ind w:left="838"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（2）根据磋商文件的规定评审程序、评审方法和评审标准独立进行评审，对个人的评审意见承担法律责任；</w:t>
      </w:r>
    </w:p>
    <w:p w14:paraId="64500810">
      <w:pPr>
        <w:pStyle w:val="28"/>
        <w:adjustRightInd w:val="0"/>
        <w:snapToGrid w:val="0"/>
        <w:ind w:left="838"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（3）参与评审报告的起草；</w:t>
      </w:r>
    </w:p>
    <w:p w14:paraId="64816852">
      <w:pPr>
        <w:pStyle w:val="28"/>
        <w:adjustRightInd w:val="0"/>
        <w:snapToGrid w:val="0"/>
        <w:ind w:left="838"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（4）配合采购人、采购代理机构答复供应商提出的质疑；</w:t>
      </w:r>
    </w:p>
    <w:p w14:paraId="3301CFA2">
      <w:pPr>
        <w:pStyle w:val="28"/>
        <w:adjustRightInd w:val="0"/>
        <w:snapToGrid w:val="0"/>
        <w:ind w:left="838"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（5）配合财政部门的投诉处理和监督检查工作。</w:t>
      </w:r>
    </w:p>
    <w:p w14:paraId="1100F308">
      <w:pPr>
        <w:pStyle w:val="28"/>
        <w:adjustRightInd w:val="0"/>
        <w:snapToGrid w:val="0"/>
        <w:ind w:left="840" w:hanging="840" w:hangingChars="35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21.4   确认磋商文件：磋商小组对磋商文件进行审阅，无修改进行签字确认，有修改，修改内容经采购人确认后，磋商小组以书面形式通知所有供应商。</w:t>
      </w:r>
    </w:p>
    <w:p w14:paraId="1A85566B">
      <w:pPr>
        <w:pStyle w:val="4"/>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22.    磋商小组成员有下列情形之一的，应当回避：</w:t>
      </w:r>
    </w:p>
    <w:p w14:paraId="6B1659CF">
      <w:pPr>
        <w:pStyle w:val="4"/>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22.1   参加采购活动前3年内与供应商存在劳动关系；</w:t>
      </w:r>
    </w:p>
    <w:p w14:paraId="1658AE8D">
      <w:pPr>
        <w:pStyle w:val="4"/>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22.2   参加采购活动前3年内担任供应商的董事、监事；</w:t>
      </w:r>
    </w:p>
    <w:p w14:paraId="4F1051EB">
      <w:pPr>
        <w:pStyle w:val="4"/>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22.3   参加采购活动前3年内是供应商的控股股东或者实际控制人；</w:t>
      </w:r>
    </w:p>
    <w:p w14:paraId="1F34E04F">
      <w:pPr>
        <w:pStyle w:val="4"/>
        <w:tabs>
          <w:tab w:val="left" w:pos="360"/>
        </w:tabs>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22.4   与供应商的法定代表人或者负责人有夫妻、直系血亲、三代以内旁系血亲或者近姻亲关系；</w:t>
      </w:r>
    </w:p>
    <w:p w14:paraId="7955DE91">
      <w:pPr>
        <w:pStyle w:val="4"/>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22.5   与供应商有其他可能影响政府采购活动公平、公正进行的关系。</w:t>
      </w:r>
    </w:p>
    <w:p w14:paraId="2BE34A56">
      <w:pPr>
        <w:pStyle w:val="4"/>
        <w:rPr>
          <w:rFonts w:ascii="仿宋_GB2312" w:hAnsi="仿宋_GB2312" w:eastAsia="仿宋_GB2312" w:cs="仿宋_GB2312"/>
          <w:b/>
          <w:color w:val="auto"/>
          <w:sz w:val="24"/>
        </w:rPr>
      </w:pPr>
      <w:bookmarkStart w:id="306" w:name="_Toc249515418"/>
      <w:bookmarkStart w:id="307" w:name="_Toc20608"/>
      <w:bookmarkStart w:id="308" w:name="_Toc249515306"/>
      <w:bookmarkStart w:id="309" w:name="_Toc83547667"/>
      <w:bookmarkStart w:id="310" w:name="_Toc249525187"/>
      <w:r>
        <w:rPr>
          <w:rFonts w:hint="eastAsia" w:ascii="仿宋_GB2312" w:hAnsi="仿宋_GB2312" w:eastAsia="仿宋_GB2312" w:cs="仿宋_GB2312"/>
          <w:b/>
          <w:color w:val="auto"/>
          <w:sz w:val="24"/>
        </w:rPr>
        <w:t>23.    磋商程序</w:t>
      </w:r>
    </w:p>
    <w:p w14:paraId="7ECD633F">
      <w:pPr>
        <w:pStyle w:val="4"/>
        <w:tabs>
          <w:tab w:val="left" w:pos="360"/>
        </w:tabs>
        <w:rPr>
          <w:rFonts w:ascii="仿宋_GB2312" w:hAnsi="仿宋_GB2312" w:eastAsia="仿宋_GB2312" w:cs="仿宋_GB2312"/>
          <w:b/>
          <w:color w:val="auto"/>
          <w:sz w:val="24"/>
        </w:rPr>
      </w:pPr>
      <w:bookmarkStart w:id="311" w:name="_Toc58504507"/>
      <w:r>
        <w:rPr>
          <w:rFonts w:hint="eastAsia" w:ascii="仿宋_GB2312" w:hAnsi="仿宋_GB2312" w:eastAsia="仿宋_GB2312" w:cs="仿宋_GB2312"/>
          <w:b/>
          <w:color w:val="auto"/>
          <w:sz w:val="24"/>
        </w:rPr>
        <w:t>23.1   磋商会议</w:t>
      </w:r>
      <w:bookmarkEnd w:id="311"/>
    </w:p>
    <w:p w14:paraId="7073AF62">
      <w:pPr>
        <w:pStyle w:val="22"/>
        <w:ind w:left="840" w:leftChars="400"/>
        <w:rPr>
          <w:rFonts w:hint="default" w:ascii="Times New Roman" w:hAnsi="Times New Roman" w:eastAsia="仿宋_GB2312" w:cs="Times New Roman"/>
          <w:color w:val="auto"/>
          <w:sz w:val="24"/>
          <w:szCs w:val="32"/>
          <w:highlight w:val="none"/>
        </w:rPr>
      </w:pPr>
      <w:bookmarkStart w:id="312" w:name="_Toc58504508"/>
      <w:bookmarkStart w:id="313" w:name="_Toc58504511"/>
      <w:r>
        <w:rPr>
          <w:rFonts w:hint="default" w:ascii="Times New Roman" w:hAnsi="Times New Roman" w:eastAsia="仿宋_GB2312" w:cs="Times New Roman"/>
          <w:color w:val="auto"/>
          <w:sz w:val="24"/>
          <w:szCs w:val="32"/>
          <w:highlight w:val="none"/>
        </w:rPr>
        <w:t>（1）在磋商文件规定的时间和地点，由采购代理机构组织磋商工作，供应商须委派代表参加，签</w:t>
      </w:r>
      <w:r>
        <w:rPr>
          <w:rFonts w:hint="default" w:ascii="Times New Roman" w:hAnsi="Times New Roman" w:eastAsia="仿宋_GB2312" w:cs="Times New Roman"/>
          <w:color w:val="auto"/>
          <w:sz w:val="24"/>
          <w:szCs w:val="32"/>
          <w:highlight w:val="none"/>
          <w:lang w:val="en-US" w:eastAsia="zh-CN"/>
        </w:rPr>
        <w:t>到</w:t>
      </w:r>
      <w:r>
        <w:rPr>
          <w:rFonts w:hint="default" w:ascii="Times New Roman" w:hAnsi="Times New Roman" w:eastAsia="仿宋_GB2312" w:cs="Times New Roman"/>
          <w:color w:val="auto"/>
          <w:sz w:val="24"/>
          <w:szCs w:val="32"/>
          <w:highlight w:val="none"/>
        </w:rPr>
        <w:t>以证明其出席。</w:t>
      </w:r>
      <w:bookmarkEnd w:id="312"/>
    </w:p>
    <w:p w14:paraId="5C20F56D">
      <w:pPr>
        <w:pStyle w:val="22"/>
        <w:ind w:left="840" w:leftChars="400"/>
        <w:rPr>
          <w:rFonts w:hint="default" w:ascii="Times New Roman" w:hAnsi="Times New Roman" w:eastAsia="仿宋_GB2312" w:cs="Times New Roman"/>
          <w:color w:val="auto"/>
          <w:sz w:val="24"/>
          <w:szCs w:val="32"/>
          <w:highlight w:val="none"/>
        </w:rPr>
      </w:pPr>
      <w:bookmarkStart w:id="314" w:name="_Toc58504509"/>
      <w:r>
        <w:rPr>
          <w:rFonts w:hint="default" w:ascii="Times New Roman" w:hAnsi="Times New Roman" w:eastAsia="仿宋_GB2312" w:cs="Times New Roman"/>
          <w:color w:val="auto"/>
          <w:sz w:val="24"/>
          <w:szCs w:val="32"/>
          <w:highlight w:val="none"/>
        </w:rPr>
        <w:t>（2）各供应商或其推荐的代表检查</w:t>
      </w:r>
      <w:r>
        <w:rPr>
          <w:rFonts w:hint="default" w:ascii="Times New Roman" w:hAnsi="Times New Roman" w:eastAsia="仿宋_GB2312" w:cs="Times New Roman"/>
          <w:color w:val="auto"/>
          <w:sz w:val="24"/>
          <w:szCs w:val="32"/>
          <w:highlight w:val="none"/>
          <w:lang w:val="en-US" w:eastAsia="zh-CN"/>
        </w:rPr>
        <w:t>自己或所代表的</w:t>
      </w:r>
      <w:r>
        <w:rPr>
          <w:rFonts w:hint="default" w:ascii="Times New Roman" w:hAnsi="Times New Roman" w:eastAsia="仿宋_GB2312" w:cs="Times New Roman"/>
          <w:color w:val="auto"/>
          <w:sz w:val="24"/>
          <w:szCs w:val="32"/>
          <w:highlight w:val="none"/>
        </w:rPr>
        <w:t>响应文件的密封情况，经检查无误后，签字确认。</w:t>
      </w:r>
      <w:bookmarkEnd w:id="314"/>
    </w:p>
    <w:p w14:paraId="10206FD5">
      <w:pPr>
        <w:pStyle w:val="22"/>
        <w:ind w:left="840" w:leftChars="400"/>
        <w:rPr>
          <w:rFonts w:hint="eastAsia" w:ascii="仿宋" w:hAnsi="仿宋" w:eastAsia="仿宋" w:cs="仿宋"/>
          <w:color w:val="auto"/>
          <w:sz w:val="24"/>
          <w:highlight w:val="none"/>
        </w:rPr>
      </w:pPr>
      <w:bookmarkStart w:id="315" w:name="_Toc58504510"/>
      <w:r>
        <w:rPr>
          <w:rFonts w:hint="default" w:ascii="Times New Roman" w:hAnsi="Times New Roman" w:eastAsia="仿宋_GB2312" w:cs="Times New Roman"/>
          <w:color w:val="auto"/>
          <w:sz w:val="24"/>
          <w:szCs w:val="32"/>
          <w:highlight w:val="none"/>
        </w:rPr>
        <w:t>（3）采购代理机构工作人员将各供应商首次响应文件的份数等内容公布，无异议后，由供应商法定代表人或</w:t>
      </w:r>
      <w:r>
        <w:rPr>
          <w:rFonts w:hint="default" w:ascii="Times New Roman" w:hAnsi="Times New Roman" w:eastAsia="仿宋_GB2312" w:cs="Times New Roman"/>
          <w:color w:val="auto"/>
          <w:sz w:val="24"/>
          <w:szCs w:val="32"/>
          <w:highlight w:val="none"/>
          <w:lang w:eastAsia="zh-CN"/>
        </w:rPr>
        <w:t>委托代理人</w:t>
      </w:r>
      <w:r>
        <w:rPr>
          <w:rFonts w:hint="default" w:ascii="Times New Roman" w:hAnsi="Times New Roman" w:eastAsia="仿宋_GB2312" w:cs="Times New Roman"/>
          <w:color w:val="auto"/>
          <w:sz w:val="24"/>
          <w:szCs w:val="32"/>
          <w:highlight w:val="none"/>
        </w:rPr>
        <w:t>签字确认。</w:t>
      </w:r>
      <w:bookmarkEnd w:id="315"/>
    </w:p>
    <w:p w14:paraId="7819D5AF">
      <w:pPr>
        <w:pStyle w:val="4"/>
        <w:tabs>
          <w:tab w:val="left" w:pos="360"/>
        </w:tabs>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23.2   响应文件</w:t>
      </w:r>
      <w:bookmarkEnd w:id="306"/>
      <w:bookmarkEnd w:id="307"/>
      <w:bookmarkEnd w:id="308"/>
      <w:bookmarkEnd w:id="309"/>
      <w:bookmarkEnd w:id="310"/>
      <w:r>
        <w:rPr>
          <w:rFonts w:hint="eastAsia" w:ascii="仿宋_GB2312" w:hAnsi="仿宋_GB2312" w:eastAsia="仿宋_GB2312" w:cs="仿宋_GB2312"/>
          <w:b/>
          <w:color w:val="auto"/>
          <w:sz w:val="24"/>
        </w:rPr>
        <w:t>评审</w:t>
      </w:r>
      <w:bookmarkEnd w:id="313"/>
    </w:p>
    <w:p w14:paraId="673B4144">
      <w:pPr>
        <w:tabs>
          <w:tab w:val="left" w:pos="360"/>
          <w:tab w:val="left" w:pos="588"/>
        </w:tabs>
        <w:spacing w:line="360" w:lineRule="auto"/>
        <w:ind w:left="843" w:hanging="843" w:hangingChars="350"/>
        <w:rPr>
          <w:rFonts w:ascii="仿宋_GB2312" w:hAnsi="仿宋_GB2312" w:eastAsia="仿宋_GB2312" w:cs="仿宋_GB2312"/>
          <w:color w:val="auto"/>
          <w:sz w:val="24"/>
        </w:rPr>
      </w:pPr>
      <w:bookmarkStart w:id="316" w:name="_Toc83547671"/>
      <w:r>
        <w:rPr>
          <w:rFonts w:hint="eastAsia" w:ascii="仿宋_GB2312" w:hAnsi="仿宋_GB2312" w:eastAsia="仿宋_GB2312" w:cs="仿宋_GB2312"/>
          <w:b/>
          <w:color w:val="auto"/>
          <w:sz w:val="24"/>
        </w:rPr>
        <w:t>23.2.1 响应文件的资格性审查</w:t>
      </w:r>
      <w:r>
        <w:rPr>
          <w:rFonts w:hint="eastAsia" w:ascii="仿宋_GB2312" w:hAnsi="仿宋_GB2312" w:eastAsia="仿宋_GB2312" w:cs="仿宋_GB2312"/>
          <w:color w:val="auto"/>
          <w:sz w:val="24"/>
        </w:rPr>
        <w:t>。依据法律法规和磋商文件的规定，对响应文件中的资格要求文件等进行审查，以确认供应商具备相应资格。资格性审查出现下列情况者（但不限于），按无效文件处理：</w:t>
      </w:r>
    </w:p>
    <w:p w14:paraId="0A9B4A9A">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（1）供应商资格不符合《中华人民共和国政府采购法》第二十二条的规定和特定资格条件要求的。</w:t>
      </w:r>
    </w:p>
    <w:p w14:paraId="7DA613A0">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（2）供应商没有经过正常渠道免费领取磋商文件或供应商的名称与登记领取磋商文件单位的名称不符。</w:t>
      </w:r>
    </w:p>
    <w:p w14:paraId="19E31E9F">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14:paraId="3C22F4F2">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（4）信用查询中列入失信被执行人、</w:t>
      </w:r>
      <w:r>
        <w:rPr>
          <w:rFonts w:hint="eastAsia" w:ascii="仿宋_GB2312" w:hAnsi="仿宋_GB2312" w:eastAsia="仿宋_GB2312" w:cs="仿宋_GB2312"/>
          <w:color w:val="auto"/>
          <w:sz w:val="24"/>
          <w:lang w:eastAsia="zh-CN"/>
        </w:rPr>
        <w:t>重大税收违法失信主体</w:t>
      </w:r>
      <w:r>
        <w:rPr>
          <w:rFonts w:hint="eastAsia" w:ascii="仿宋_GB2312" w:hAnsi="仿宋_GB2312" w:eastAsia="仿宋_GB2312" w:cs="仿宋_GB2312"/>
          <w:color w:val="auto"/>
          <w:sz w:val="24"/>
        </w:rPr>
        <w:t>、政府采购严重违法失信行为记录名单及其他不符合《中华人民共和国政府采购法》第二十二条规定条件的供应商，拒绝参与政府采购活动。采购人或采购代理机构通过“信用中国”网站(www.creditchina.gov.cn)、中国政府采购网(www.ccgp.gov.cn) 等查询相关主体信用记录，并将查询网页打印、存档备查。查询时间为评审</w:t>
      </w:r>
      <w:r>
        <w:rPr>
          <w:rFonts w:hint="eastAsia" w:ascii="仿宋_GB2312" w:hAnsi="仿宋_GB2312" w:eastAsia="仿宋_GB2312" w:cs="仿宋_GB2312"/>
          <w:color w:val="auto"/>
          <w:sz w:val="24"/>
          <w:lang w:eastAsia="zh-CN"/>
        </w:rPr>
        <w:t>当天</w:t>
      </w:r>
      <w:r>
        <w:rPr>
          <w:rFonts w:hint="eastAsia" w:ascii="仿宋_GB2312" w:hAnsi="仿宋_GB2312" w:eastAsia="仿宋_GB2312" w:cs="仿宋_GB2312"/>
          <w:color w:val="auto"/>
          <w:sz w:val="24"/>
        </w:rPr>
        <w:t>，此段时间段外，网站信息发生的任何变更均不作为资格审查依据。</w:t>
      </w:r>
    </w:p>
    <w:p w14:paraId="5AFCB1C0">
      <w:pPr>
        <w:pStyle w:val="22"/>
        <w:ind w:left="843" w:hanging="843" w:hangingChars="350"/>
        <w:rPr>
          <w:rFonts w:ascii="仿宋_GB2312" w:hAnsi="仿宋_GB2312" w:eastAsia="仿宋_GB2312" w:cs="仿宋_GB2312"/>
          <w:color w:val="auto"/>
          <w:sz w:val="24"/>
        </w:rPr>
      </w:pPr>
      <w:r>
        <w:rPr>
          <w:rFonts w:hint="eastAsia" w:ascii="仿宋_GB2312" w:hAnsi="仿宋_GB2312" w:eastAsia="仿宋_GB2312" w:cs="仿宋_GB2312"/>
          <w:b/>
          <w:color w:val="auto"/>
          <w:sz w:val="24"/>
        </w:rPr>
        <w:t>23.2.2 磋商响应文件符合性审查：</w:t>
      </w:r>
      <w:r>
        <w:rPr>
          <w:rFonts w:hint="eastAsia" w:ascii="仿宋_GB2312" w:hAnsi="仿宋_GB2312" w:eastAsia="仿宋_GB2312" w:cs="仿宋_GB2312"/>
          <w:color w:val="auto"/>
          <w:sz w:val="24"/>
        </w:rPr>
        <w:t>依据磋商文件的规定，对响应文件的符合性进行审查，以确定是否满足磋商文件要求，出现下列情况者（但不限于），按无效文件处理。</w:t>
      </w:r>
    </w:p>
    <w:p w14:paraId="03EC8F77">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（1）供应商未按磋商文件要求加盖单位公章；</w:t>
      </w:r>
    </w:p>
    <w:p w14:paraId="7E673A8F">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（2）磋商响应文件未按磋商文件要求法定代表人或其授权代表签字；</w:t>
      </w:r>
    </w:p>
    <w:p w14:paraId="22E45D8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（3）无有效期或有效期达不到磋商文件的要求。</w:t>
      </w:r>
    </w:p>
    <w:p w14:paraId="72DB9838">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（4）供应商首次磋商报价出现选择性报价。</w:t>
      </w:r>
    </w:p>
    <w:p w14:paraId="2B106389">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（5）首次磋商报价超出采购预算；</w:t>
      </w:r>
    </w:p>
    <w:p w14:paraId="20FD9939">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（6）响应文件中对合同草案条款附加了采购人难以接受的条件。</w:t>
      </w:r>
    </w:p>
    <w:p w14:paraId="4F02DC0A">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（7）磋商内容出现漏项或数量与要求不符，出现重大负偏差。</w:t>
      </w:r>
    </w:p>
    <w:p w14:paraId="3A10E8D2">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（8）响应文件中技术指标达不到采购要求，降低了产品档次或影响产品性能、功能。</w:t>
      </w:r>
    </w:p>
    <w:p w14:paraId="6B9EBE5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（9）响应报价与市场价偏离较大，低于成本，形成不正当竞争。</w:t>
      </w:r>
    </w:p>
    <w:p w14:paraId="70979308">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（10）供应商提供虚假证明，开具虚假资质，出现虚假应答或故意隐瞒行为。</w:t>
      </w:r>
    </w:p>
    <w:p w14:paraId="5F800A3B">
      <w:pPr>
        <w:pStyle w:val="4"/>
        <w:tabs>
          <w:tab w:val="left" w:pos="360"/>
        </w:tabs>
        <w:rPr>
          <w:rFonts w:ascii="仿宋_GB2312" w:hAnsi="仿宋_GB2312" w:eastAsia="仿宋_GB2312" w:cs="仿宋_GB2312"/>
          <w:b/>
          <w:color w:val="auto"/>
          <w:sz w:val="24"/>
        </w:rPr>
      </w:pPr>
      <w:bookmarkStart w:id="317" w:name="_Toc58504512"/>
      <w:r>
        <w:rPr>
          <w:rFonts w:hint="eastAsia" w:ascii="仿宋_GB2312" w:hAnsi="仿宋_GB2312" w:eastAsia="仿宋_GB2312" w:cs="仿宋_GB2312"/>
          <w:b/>
          <w:color w:val="auto"/>
          <w:sz w:val="24"/>
        </w:rPr>
        <w:t>23.3   磋商</w:t>
      </w:r>
      <w:bookmarkEnd w:id="317"/>
    </w:p>
    <w:p w14:paraId="0E37A6FD">
      <w:pPr>
        <w:pStyle w:val="22"/>
        <w:ind w:left="840" w:hanging="840" w:hangingChars="350"/>
        <w:rPr>
          <w:rFonts w:ascii="仿宋_GB2312" w:hAnsi="仿宋_GB2312" w:eastAsia="仿宋_GB2312" w:cs="仿宋_GB2312"/>
          <w:color w:val="auto"/>
          <w:sz w:val="24"/>
        </w:rPr>
      </w:pPr>
      <w:bookmarkStart w:id="318" w:name="_Toc58504513"/>
      <w:r>
        <w:rPr>
          <w:rFonts w:hint="eastAsia" w:ascii="仿宋_GB2312" w:hAnsi="仿宋_GB2312" w:eastAsia="仿宋_GB2312" w:cs="仿宋_GB2312"/>
          <w:color w:val="auto"/>
          <w:sz w:val="24"/>
        </w:rPr>
        <w:t>23.3.1 磋商小组集中与各供应商分别进行磋商，并给所有参加磋商供应商平等的磋商机会。</w:t>
      </w:r>
      <w:bookmarkEnd w:id="318"/>
    </w:p>
    <w:p w14:paraId="0EC9EA52">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23.3.2 磋商小组在对响应文件的有效性、完整性和响应程度进行审核时，以</w:t>
      </w:r>
      <w:r>
        <w:rPr>
          <w:rFonts w:hint="eastAsia" w:ascii="仿宋_GB2312" w:hAnsi="仿宋_GB2312" w:eastAsia="仿宋_GB2312" w:cs="仿宋_GB2312"/>
          <w:b/>
          <w:color w:val="auto"/>
          <w:sz w:val="24"/>
        </w:rPr>
        <w:t>书面形式</w:t>
      </w:r>
      <w:r>
        <w:rPr>
          <w:rFonts w:hint="eastAsia" w:ascii="仿宋_GB2312" w:hAnsi="仿宋_GB2312" w:eastAsia="仿宋_GB2312" w:cs="仿宋_GB2312"/>
          <w:color w:val="auto"/>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5AD9A76B">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14:paraId="14F49EC4">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23.3.4 如出现下述情形之一的，视为供应商主动退出磋商，其响应将被拒绝：</w:t>
      </w:r>
    </w:p>
    <w:p w14:paraId="31CC2BBB">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（1）供应商未按要求确认磋商小组确定的本项目最终技术需求的；</w:t>
      </w:r>
    </w:p>
    <w:p w14:paraId="29174A3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（2）最后报价未实质性响应磋商小组确定的本项目最终技术需求的，或附有采购人无法接受的条件的。</w:t>
      </w:r>
    </w:p>
    <w:p w14:paraId="397B877E">
      <w:pPr>
        <w:pStyle w:val="2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23.4   最后报价</w:t>
      </w:r>
    </w:p>
    <w:p w14:paraId="5D3AF8D7">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23.4.1 磋商结束后，磋商小组要求所有实质性响应的供应商在规定时间内提交最后报价，提交最后报价的供应商不少于3家。最后报价是供应商响应文件的有效组成部分。</w:t>
      </w:r>
    </w:p>
    <w:p w14:paraId="0BE16B86">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23.4.2 最后报价应按报价的格式内容填写，并且提交最后响应报价表</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已标价工程量清单在签订合同时等比例下浮</w:t>
      </w:r>
      <w:r>
        <w:rPr>
          <w:rFonts w:hint="eastAsia" w:ascii="仿宋_GB2312" w:hAnsi="仿宋_GB2312" w:eastAsia="仿宋_GB2312" w:cs="仿宋_GB2312"/>
          <w:color w:val="auto"/>
          <w:sz w:val="24"/>
        </w:rPr>
        <w:t>。各供应商在提交响应文件时，应对最后报价加盖供应商红色公章，且由法定代表人（或授权代表人）签字。</w:t>
      </w:r>
    </w:p>
    <w:p w14:paraId="2FD805ED">
      <w:pPr>
        <w:pStyle w:val="4"/>
        <w:rPr>
          <w:rFonts w:ascii="仿宋_GB2312" w:hAnsi="仿宋_GB2312" w:eastAsia="仿宋_GB2312" w:cs="仿宋_GB2312"/>
          <w:b/>
          <w:bCs/>
          <w:color w:val="auto"/>
          <w:sz w:val="24"/>
        </w:rPr>
      </w:pPr>
      <w:bookmarkStart w:id="319" w:name="_Toc127151546"/>
      <w:bookmarkStart w:id="320" w:name="_Toc164608815"/>
      <w:bookmarkStart w:id="321" w:name="_Toc249525191"/>
      <w:bookmarkStart w:id="322" w:name="_Toc249515422"/>
      <w:bookmarkStart w:id="323" w:name="_Toc164229241"/>
      <w:bookmarkStart w:id="324" w:name="_Toc151190173"/>
      <w:bookmarkStart w:id="325" w:name="_Toc520356170"/>
      <w:bookmarkStart w:id="326" w:name="_Toc127161460"/>
      <w:bookmarkStart w:id="327" w:name="_Toc150774646"/>
      <w:bookmarkStart w:id="328" w:name="_Toc164351640"/>
      <w:bookmarkStart w:id="329" w:name="_Toc249515310"/>
      <w:bookmarkStart w:id="330" w:name="_Toc151193860"/>
      <w:bookmarkStart w:id="331" w:name="_Toc151193788"/>
      <w:bookmarkStart w:id="332" w:name="_Toc150509297"/>
      <w:bookmarkStart w:id="333" w:name="_Toc195842911"/>
      <w:bookmarkStart w:id="334" w:name="_Toc13753"/>
      <w:bookmarkStart w:id="335" w:name="_Toc149720839"/>
      <w:bookmarkStart w:id="336" w:name="_Toc164229387"/>
      <w:bookmarkStart w:id="337" w:name="_Toc127151747"/>
      <w:bookmarkStart w:id="338" w:name="_Toc142311048"/>
      <w:bookmarkStart w:id="339" w:name="_Toc164608660"/>
      <w:bookmarkStart w:id="340" w:name="_Toc150480784"/>
      <w:bookmarkStart w:id="341" w:name="_Toc151193934"/>
      <w:bookmarkStart w:id="342" w:name="_Toc150774751"/>
      <w:bookmarkStart w:id="343" w:name="_Toc151193716"/>
      <w:bookmarkStart w:id="344" w:name="_Toc151193644"/>
      <w:bookmarkStart w:id="345" w:name="_Ref467307010"/>
      <w:r>
        <w:rPr>
          <w:rFonts w:hint="eastAsia" w:ascii="仿宋_GB2312" w:hAnsi="仿宋_GB2312" w:eastAsia="仿宋_GB2312" w:cs="仿宋_GB2312"/>
          <w:b/>
          <w:bCs/>
          <w:color w:val="auto"/>
          <w:sz w:val="24"/>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仿宋_GB2312" w:hAnsi="仿宋_GB2312" w:eastAsia="仿宋_GB2312" w:cs="仿宋_GB2312"/>
          <w:b/>
          <w:bCs/>
          <w:color w:val="auto"/>
          <w:sz w:val="24"/>
        </w:rPr>
        <w:t>落实政府采购政策，详见第三章。</w:t>
      </w:r>
    </w:p>
    <w:p w14:paraId="2E85BE64">
      <w:pPr>
        <w:rPr>
          <w:rFonts w:ascii="仿宋_GB2312" w:hAnsi="仿宋_GB2312" w:eastAsia="仿宋_GB2312" w:cs="仿宋_GB2312"/>
          <w:color w:val="auto"/>
          <w:sz w:val="24"/>
        </w:rPr>
      </w:pPr>
    </w:p>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16"/>
    <w:p w14:paraId="097DCB4F">
      <w:pPr>
        <w:pStyle w:val="85"/>
        <w:spacing w:before="24" w:after="24"/>
        <w:jc w:val="center"/>
        <w:rPr>
          <w:rFonts w:ascii="仿宋_GB2312" w:hAnsi="仿宋_GB2312" w:eastAsia="仿宋_GB2312" w:cs="仿宋_GB2312"/>
          <w:color w:val="auto"/>
          <w:sz w:val="24"/>
        </w:rPr>
      </w:pPr>
      <w:bookmarkStart w:id="346" w:name="_Hlt491765714"/>
      <w:bookmarkEnd w:id="346"/>
      <w:bookmarkStart w:id="347" w:name="_Hlt497729446"/>
      <w:bookmarkEnd w:id="347"/>
      <w:bookmarkStart w:id="348" w:name="_Toc7680"/>
      <w:bookmarkStart w:id="349" w:name="_Toc249525192"/>
      <w:bookmarkStart w:id="350" w:name="_Toc249515311"/>
      <w:bookmarkStart w:id="351" w:name="_Toc232176278"/>
      <w:bookmarkStart w:id="352" w:name="_Toc249515423"/>
      <w:bookmarkStart w:id="353" w:name="_Toc232395218"/>
      <w:bookmarkStart w:id="354" w:name="_Toc256342149"/>
      <w:bookmarkStart w:id="355" w:name="_Toc499711890"/>
      <w:bookmarkStart w:id="356" w:name="_Toc177995479"/>
      <w:bookmarkStart w:id="357" w:name="_Toc500747195"/>
      <w:bookmarkStart w:id="358" w:name="_Toc500746972"/>
      <w:bookmarkStart w:id="359" w:name="_Toc385992360"/>
      <w:bookmarkStart w:id="360" w:name="_Toc492955421"/>
      <w:bookmarkStart w:id="361" w:name="_Toc503063428"/>
      <w:bookmarkStart w:id="362" w:name="_Toc70687174"/>
      <w:bookmarkStart w:id="363" w:name="_Toc53722846"/>
      <w:bookmarkStart w:id="364" w:name="_Toc500747068"/>
      <w:bookmarkStart w:id="365" w:name="_Toc176882548"/>
      <w:bookmarkStart w:id="366" w:name="_Toc496324585"/>
      <w:bookmarkStart w:id="367" w:name="_Toc389620199"/>
      <w:bookmarkStart w:id="368" w:name="_Toc177189241"/>
      <w:bookmarkStart w:id="369" w:name="_Toc177817340"/>
      <w:bookmarkStart w:id="370" w:name="_Toc499711049"/>
      <w:bookmarkStart w:id="371" w:name="_Toc184043047"/>
      <w:r>
        <w:rPr>
          <w:rFonts w:hint="eastAsia" w:ascii="仿宋_GB2312" w:hAnsi="仿宋_GB2312" w:eastAsia="仿宋_GB2312" w:cs="仿宋_GB2312"/>
          <w:color w:val="auto"/>
          <w:sz w:val="24"/>
        </w:rPr>
        <w:t>六、确定成交单位、授予合同</w:t>
      </w:r>
      <w:bookmarkEnd w:id="348"/>
      <w:bookmarkEnd w:id="349"/>
      <w:bookmarkEnd w:id="350"/>
      <w:bookmarkEnd w:id="351"/>
      <w:bookmarkEnd w:id="352"/>
      <w:bookmarkEnd w:id="353"/>
      <w:bookmarkEnd w:id="354"/>
    </w:p>
    <w:p w14:paraId="2C55E34E">
      <w:pPr>
        <w:rPr>
          <w:rFonts w:ascii="仿宋_GB2312" w:hAnsi="仿宋_GB2312" w:eastAsia="仿宋_GB2312" w:cs="仿宋_GB2312"/>
          <w:color w:val="auto"/>
          <w:sz w:val="24"/>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14:paraId="587482A8">
      <w:pPr>
        <w:pStyle w:val="4"/>
        <w:numPr>
          <w:ilvl w:val="0"/>
          <w:numId w:val="9"/>
        </w:numPr>
        <w:rPr>
          <w:rFonts w:ascii="仿宋_GB2312" w:hAnsi="仿宋_GB2312" w:eastAsia="仿宋_GB2312" w:cs="仿宋_GB2312"/>
          <w:b/>
          <w:bCs/>
          <w:color w:val="auto"/>
          <w:sz w:val="24"/>
        </w:rPr>
      </w:pPr>
      <w:bookmarkStart w:id="372" w:name="_Toc389620200"/>
      <w:bookmarkStart w:id="373" w:name="_Toc249515424"/>
      <w:bookmarkStart w:id="374" w:name="_Toc70687175"/>
      <w:bookmarkStart w:id="375" w:name="_Toc249515312"/>
      <w:bookmarkStart w:id="376" w:name="_Toc385992361"/>
      <w:bookmarkStart w:id="377" w:name="_Toc27151"/>
      <w:bookmarkStart w:id="378" w:name="_Toc184043048"/>
      <w:bookmarkStart w:id="379" w:name="_Toc249525193"/>
      <w:r>
        <w:rPr>
          <w:rFonts w:hint="eastAsia" w:ascii="仿宋_GB2312" w:hAnsi="仿宋_GB2312" w:eastAsia="仿宋_GB2312" w:cs="仿宋_GB2312"/>
          <w:b/>
          <w:bCs/>
          <w:color w:val="auto"/>
          <w:sz w:val="24"/>
        </w:rPr>
        <w:t xml:space="preserve">   确定成交</w:t>
      </w:r>
      <w:bookmarkEnd w:id="372"/>
      <w:bookmarkEnd w:id="373"/>
      <w:bookmarkEnd w:id="374"/>
      <w:bookmarkEnd w:id="375"/>
      <w:bookmarkEnd w:id="376"/>
      <w:bookmarkEnd w:id="377"/>
      <w:bookmarkEnd w:id="378"/>
      <w:bookmarkEnd w:id="379"/>
      <w:r>
        <w:rPr>
          <w:rFonts w:hint="eastAsia" w:ascii="仿宋_GB2312" w:hAnsi="仿宋_GB2312" w:eastAsia="仿宋_GB2312" w:cs="仿宋_GB2312"/>
          <w:b/>
          <w:bCs/>
          <w:color w:val="auto"/>
          <w:sz w:val="24"/>
        </w:rPr>
        <w:t>单位</w:t>
      </w:r>
    </w:p>
    <w:p w14:paraId="5435A5B8">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25.1   采购代理机构应在评审结束后两个工作日内，将评审报告送采购人。</w:t>
      </w:r>
    </w:p>
    <w:p w14:paraId="1E85B33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25.2   采购人在收到评审报告后五个工作日内，根据评审报告对评审过程及结果进行严格审核后确定成交供应商，复函采购代理机构。</w:t>
      </w:r>
    </w:p>
    <w:p w14:paraId="0AFEA79D">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25.3   采购代理机构在接到采购人的成交复函后，在财政部门指定的政府采购信息发布媒体上公告，公告期限为一个工作日，并向成交供应商发出成交通知书。成交通知书是合同文件的组成部分。</w:t>
      </w:r>
    </w:p>
    <w:p w14:paraId="58869557">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25.4   采购代理机构将评审过程及成交供应商情况书面报监督机构备案。</w:t>
      </w:r>
      <w:bookmarkStart w:id="380" w:name="_Toc389620203"/>
      <w:bookmarkStart w:id="381" w:name="_Toc385992364"/>
    </w:p>
    <w:bookmarkEnd w:id="380"/>
    <w:bookmarkEnd w:id="381"/>
    <w:p w14:paraId="1E8378AE">
      <w:pPr>
        <w:pStyle w:val="4"/>
        <w:rPr>
          <w:rFonts w:ascii="仿宋_GB2312" w:hAnsi="仿宋_GB2312" w:eastAsia="仿宋_GB2312" w:cs="仿宋_GB2312"/>
          <w:b/>
          <w:bCs/>
          <w:color w:val="auto"/>
          <w:sz w:val="24"/>
        </w:rPr>
      </w:pPr>
      <w:bookmarkStart w:id="382" w:name="_Toc385992365"/>
      <w:bookmarkStart w:id="383" w:name="_Toc389620204"/>
      <w:r>
        <w:rPr>
          <w:rFonts w:hint="eastAsia" w:ascii="仿宋_GB2312" w:hAnsi="仿宋_GB2312" w:eastAsia="仿宋_GB2312" w:cs="仿宋_GB2312"/>
          <w:b/>
          <w:bCs/>
          <w:color w:val="auto"/>
          <w:sz w:val="24"/>
        </w:rPr>
        <w:t>26.    合同</w:t>
      </w:r>
    </w:p>
    <w:p w14:paraId="7A0A5319">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26.1   自成交通知书发出后</w:t>
      </w:r>
      <w:r>
        <w:rPr>
          <w:rFonts w:hint="eastAsia" w:ascii="仿宋_GB2312" w:hAnsi="仿宋_GB2312" w:eastAsia="仿宋_GB2312" w:cs="仿宋_GB2312"/>
          <w:color w:val="auto"/>
          <w:sz w:val="24"/>
          <w:lang w:val="en-US" w:eastAsia="zh-CN"/>
        </w:rPr>
        <w:t>25日</w:t>
      </w:r>
      <w:r>
        <w:rPr>
          <w:rFonts w:hint="eastAsia" w:ascii="仿宋_GB2312" w:hAnsi="仿宋_GB2312" w:eastAsia="仿宋_GB2312" w:cs="仿宋_GB2312"/>
          <w:color w:val="auto"/>
          <w:sz w:val="24"/>
        </w:rPr>
        <w:t>内，按照磋商文件和成交供应商响应文件的约定，采购人与成交供应商洽谈合同条款，并签订合同。磋商文件及成交供应商的响应文件均作为合同的组成部分。</w:t>
      </w:r>
    </w:p>
    <w:p w14:paraId="34C3A5BD">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26.2   </w:t>
      </w:r>
      <w:r>
        <w:rPr>
          <w:rFonts w:hint="eastAsia" w:ascii="仿宋" w:hAnsi="仿宋" w:eastAsia="仿宋" w:cs="仿宋"/>
          <w:color w:val="auto"/>
          <w:sz w:val="24"/>
        </w:rPr>
        <w:t>确定成交单位后，成交供应商因自身原因未按程序签订合同，采购人将取消其成交资格，同时报请监督机构备案。在此情况下，采购人可按评审结果顺序将合同授予下一成交候选人或重新采购</w:t>
      </w:r>
      <w:r>
        <w:rPr>
          <w:rFonts w:hint="eastAsia" w:ascii="仿宋_GB2312" w:hAnsi="仿宋_GB2312" w:eastAsia="仿宋_GB2312" w:cs="仿宋_GB2312"/>
          <w:color w:val="auto"/>
          <w:sz w:val="24"/>
        </w:rPr>
        <w:t>。</w:t>
      </w:r>
    </w:p>
    <w:p w14:paraId="5871163E">
      <w:pPr>
        <w:pStyle w:val="4"/>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27.    询问与质疑 </w:t>
      </w:r>
    </w:p>
    <w:p w14:paraId="590FB041">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27.1   供应商对政府采购活动事项有疑问的，可以向采购人提出询问。</w:t>
      </w:r>
    </w:p>
    <w:p w14:paraId="3FCE177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27.2   供应商认为采购文件、采购过程和中标、成交结果使自己的权益受到损害的，可以在知道或者应知其权益受到损害之日起七个工作日内，以书面形式向采购人提出质疑。</w:t>
      </w:r>
    </w:p>
    <w:p w14:paraId="705D2899">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27.3   质疑供应商在法定质疑期内须一次性提出针对同一采购程序环节的质疑。</w:t>
      </w:r>
    </w:p>
    <w:p w14:paraId="3363C425">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27.4   供应商提出质疑应当提交质疑函和必要的证明材料。质疑函应当包括下列内容：</w:t>
      </w:r>
    </w:p>
    <w:p w14:paraId="41D4B6B9">
      <w:pPr>
        <w:pStyle w:val="76"/>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供应商的姓名或者名称、地址、邮编、联系人及联系电话；</w:t>
      </w:r>
    </w:p>
    <w:p w14:paraId="0B369C2C">
      <w:pPr>
        <w:pStyle w:val="76"/>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质疑项目的名称、编号；</w:t>
      </w:r>
    </w:p>
    <w:p w14:paraId="7377B72D">
      <w:pPr>
        <w:pStyle w:val="76"/>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具体、明确的质疑事项和与质疑事项相关的请求；</w:t>
      </w:r>
    </w:p>
    <w:p w14:paraId="1D5392B7">
      <w:pPr>
        <w:pStyle w:val="76"/>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事实依据；</w:t>
      </w:r>
    </w:p>
    <w:p w14:paraId="65886359">
      <w:pPr>
        <w:pStyle w:val="76"/>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必要的法律依据；</w:t>
      </w:r>
    </w:p>
    <w:p w14:paraId="377E4C70">
      <w:pPr>
        <w:pStyle w:val="76"/>
        <w:numPr>
          <w:ilvl w:val="0"/>
          <w:numId w:val="10"/>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提出质疑的日期。</w:t>
      </w:r>
    </w:p>
    <w:p w14:paraId="0B7BAD70">
      <w:pPr>
        <w:pStyle w:val="76"/>
        <w:tabs>
          <w:tab w:val="left" w:pos="588"/>
        </w:tabs>
        <w:spacing w:line="360" w:lineRule="auto"/>
        <w:ind w:left="838" w:leftChars="399" w:firstLine="0" w:firstLineChars="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供应商为自然人的，应当由本人签字；供应商为法人或者其他组织的，应当由法定代表人或负责人签字或盖章，同时其授权代表签字，并加盖公章。</w:t>
      </w:r>
    </w:p>
    <w:p w14:paraId="3A846301">
      <w:pPr>
        <w:tabs>
          <w:tab w:val="left" w:pos="588"/>
        </w:tabs>
        <w:spacing w:line="360" w:lineRule="auto"/>
        <w:ind w:left="960" w:hanging="960" w:hanging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27.5   符合要求的质疑，采购代理机构将予以受理并答复。</w:t>
      </w:r>
    </w:p>
    <w:p w14:paraId="4458A223">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r>
        <w:rPr>
          <w:rFonts w:hint="eastAsia" w:ascii="仿宋_GB2312" w:hAnsi="仿宋_GB2312" w:eastAsia="仿宋_GB2312" w:cs="仿宋_GB2312"/>
          <w:color w:val="auto"/>
          <w:sz w:val="24"/>
          <w:lang w:val="en-US" w:eastAsia="zh-CN"/>
        </w:rPr>
        <w:t>马超</w:t>
      </w:r>
      <w:r>
        <w:rPr>
          <w:rFonts w:hint="eastAsia" w:ascii="仿宋_GB2312" w:hAnsi="仿宋_GB2312" w:eastAsia="仿宋_GB2312" w:cs="仿宋_GB2312"/>
          <w:color w:val="auto"/>
          <w:sz w:val="24"/>
        </w:rPr>
        <w:t>、王亚宁，联系电话：029-85235014</w:t>
      </w:r>
    </w:p>
    <w:p w14:paraId="2AE29BE9">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27.6   供应商进行虚假和恶意质疑的，采购代理机构将提供相关资料报监督机构，按其情况进行相应处理。</w:t>
      </w:r>
    </w:p>
    <w:bookmarkEnd w:id="382"/>
    <w:bookmarkEnd w:id="383"/>
    <w:p w14:paraId="371F9C46">
      <w:pPr>
        <w:pStyle w:val="4"/>
        <w:rPr>
          <w:rFonts w:ascii="仿宋_GB2312" w:hAnsi="仿宋_GB2312" w:eastAsia="仿宋_GB2312" w:cs="仿宋_GB2312"/>
          <w:b/>
          <w:bCs/>
          <w:color w:val="auto"/>
          <w:sz w:val="24"/>
        </w:rPr>
      </w:pPr>
      <w:bookmarkStart w:id="384" w:name="_Toc25547"/>
      <w:r>
        <w:rPr>
          <w:rFonts w:hint="eastAsia" w:ascii="仿宋_GB2312" w:hAnsi="仿宋_GB2312" w:eastAsia="仿宋_GB2312" w:cs="仿宋_GB2312"/>
          <w:b/>
          <w:bCs/>
          <w:color w:val="auto"/>
          <w:sz w:val="24"/>
        </w:rPr>
        <w:t>28.    履约保证金</w:t>
      </w:r>
    </w:p>
    <w:p w14:paraId="2A395EE2">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28.1   履约保证金金额：</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p>
    <w:p w14:paraId="611A8CF2">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28.2   履约保证金缴纳时间：合同签订前必须交纳至（采购人）。</w:t>
      </w:r>
    </w:p>
    <w:p w14:paraId="1E9FA4A0">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28.3   履约保证金缴纳形式：成交供应商应当以支票、汇票、本票、保函（格式见附件2）等非现金形式缴纳。</w:t>
      </w:r>
    </w:p>
    <w:p w14:paraId="3DDFDACF">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28.4   履约保证金收取单位名称：</w:t>
      </w:r>
      <w:r>
        <w:rPr>
          <w:rFonts w:hint="eastAsia" w:ascii="仿宋_GB2312" w:hAnsi="仿宋_GB2312" w:eastAsia="仿宋_GB2312" w:cs="仿宋_GB2312"/>
          <w:color w:val="auto"/>
          <w:sz w:val="24"/>
          <w:u w:val="single"/>
          <w:lang w:val="en-US" w:eastAsia="zh-CN"/>
        </w:rPr>
        <w:t>/</w:t>
      </w:r>
    </w:p>
    <w:p w14:paraId="308296C0">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w:t>
      </w:r>
      <w:r>
        <w:rPr>
          <w:rFonts w:hint="eastAsia" w:ascii="仿宋_GB2312" w:hAnsi="仿宋_GB2312" w:eastAsia="仿宋_GB2312" w:cs="仿宋_GB2312"/>
          <w:color w:val="auto"/>
          <w:sz w:val="24"/>
          <w:u w:val="single"/>
          <w:lang w:val="en-US" w:eastAsia="zh-CN"/>
        </w:rPr>
        <w:t>/</w:t>
      </w:r>
    </w:p>
    <w:p w14:paraId="55D72C41">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账号：</w:t>
      </w:r>
      <w:r>
        <w:rPr>
          <w:rFonts w:hint="eastAsia" w:ascii="仿宋_GB2312" w:hAnsi="仿宋_GB2312" w:eastAsia="仿宋_GB2312" w:cs="仿宋_GB2312"/>
          <w:color w:val="auto"/>
          <w:sz w:val="24"/>
          <w:u w:val="single"/>
          <w:lang w:val="en-US" w:eastAsia="zh-CN"/>
        </w:rPr>
        <w:t>/</w:t>
      </w:r>
    </w:p>
    <w:p w14:paraId="1A3EA8ED">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rPr>
        <w:t xml:space="preserve">               </w:t>
      </w:r>
    </w:p>
    <w:p w14:paraId="6A08911C">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r>
        <w:rPr>
          <w:rFonts w:hint="eastAsia" w:ascii="仿宋_GB2312" w:hAnsi="仿宋_GB2312" w:eastAsia="仿宋_GB2312" w:cs="仿宋_GB2312"/>
          <w:color w:val="auto"/>
          <w:sz w:val="24"/>
          <w:u w:val="single"/>
          <w:lang w:val="en-US" w:eastAsia="zh-CN"/>
        </w:rPr>
        <w:t>/</w:t>
      </w:r>
    </w:p>
    <w:p w14:paraId="473CED49">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28.5   履约保证金退还的方式、时间、条件：</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 xml:space="preserve"> </w:t>
      </w:r>
    </w:p>
    <w:p w14:paraId="40225484">
      <w:pPr>
        <w:tabs>
          <w:tab w:val="left" w:pos="588"/>
        </w:tabs>
        <w:spacing w:line="360" w:lineRule="auto"/>
        <w:rPr>
          <w:rFonts w:ascii="仿宋_GB2312" w:hAnsi="仿宋_GB2312" w:eastAsia="仿宋_GB2312" w:cs="仿宋_GB2312"/>
          <w:color w:val="auto"/>
          <w:sz w:val="24"/>
          <w:u w:val="single"/>
        </w:rPr>
      </w:pPr>
      <w:r>
        <w:rPr>
          <w:rFonts w:hint="eastAsia" w:ascii="仿宋_GB2312" w:hAnsi="仿宋_GB2312" w:eastAsia="仿宋_GB2312" w:cs="仿宋_GB2312"/>
          <w:color w:val="auto"/>
          <w:sz w:val="24"/>
        </w:rPr>
        <w:t>28.6   履约保证金不予退还的情况：</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p>
    <w:p w14:paraId="296FF2CC">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28.7   逾期退还履约保证金的违约责任：</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p>
    <w:p w14:paraId="69D4CDC3">
      <w:pPr>
        <w:pStyle w:val="4"/>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29.    成交服务费</w:t>
      </w:r>
      <w:bookmarkEnd w:id="384"/>
    </w:p>
    <w:p w14:paraId="74299A0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29.1   成交供应商在领取成交通知书前，须向采购代理机构支付成交服务费，服务费由采购人与采购代理机构约定：</w:t>
      </w:r>
    </w:p>
    <w:p w14:paraId="37ED6C5E">
      <w:pPr>
        <w:tabs>
          <w:tab w:val="left" w:pos="588"/>
        </w:tabs>
        <w:spacing w:line="360" w:lineRule="auto"/>
        <w:ind w:left="840" w:hanging="840" w:hangingChars="350"/>
        <w:rPr>
          <w:rFonts w:ascii="仿宋_GB2312" w:hAnsi="仿宋_GB2312" w:eastAsia="仿宋_GB2312" w:cs="仿宋_GB2312"/>
          <w:color w:val="auto"/>
          <w:sz w:val="24"/>
        </w:rPr>
      </w:pPr>
      <w:r>
        <w:rPr>
          <w:rFonts w:ascii="仿宋_GB2312" w:hAnsi="仿宋_GB2312" w:eastAsia="仿宋_GB2312" w:cs="仿宋_GB2312"/>
          <w:color w:val="auto"/>
          <w:sz w:val="24"/>
        </w:rPr>
        <w:tab/>
      </w:r>
      <w:r>
        <w:rPr>
          <w:rFonts w:ascii="仿宋_GB2312" w:hAnsi="仿宋_GB2312" w:eastAsia="仿宋_GB2312" w:cs="仿宋_GB2312"/>
          <w:color w:val="auto"/>
          <w:sz w:val="24"/>
        </w:rPr>
        <w:tab/>
      </w:r>
      <w:r>
        <w:rPr>
          <w:rFonts w:hint="eastAsia" w:ascii="仿宋_GB2312" w:hAnsi="仿宋_GB2312" w:eastAsia="仿宋_GB2312" w:cs="仿宋_GB2312"/>
          <w:color w:val="auto"/>
          <w:sz w:val="24"/>
        </w:rPr>
        <w:t>参照原国家计委计价格【2002】1980号文和国家发改委发改办价格【2003】857号文的计算方法收取。</w:t>
      </w:r>
    </w:p>
    <w:p w14:paraId="3B94B638">
      <w:pPr>
        <w:snapToGrid w:val="0"/>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29.2   成交单位的代理服务费交纳信息</w:t>
      </w:r>
    </w:p>
    <w:p w14:paraId="73F68E85">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银行户名：陕西省采购招标有限责任公司</w:t>
      </w:r>
    </w:p>
    <w:p w14:paraId="44E61D14">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开户银行：中国光大银行西安友谊路支行</w:t>
      </w:r>
    </w:p>
    <w:p w14:paraId="40943115">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账    号：78560188000095264</w:t>
      </w:r>
    </w:p>
    <w:p w14:paraId="6907BD62">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联系人：张婕   联系电话：029-85263975</w:t>
      </w:r>
    </w:p>
    <w:p w14:paraId="6DC14C0E">
      <w:pPr>
        <w:pStyle w:val="4"/>
        <w:numPr>
          <w:ilvl w:val="0"/>
          <w:numId w:val="11"/>
        </w:numPr>
        <w:rPr>
          <w:rFonts w:ascii="仿宋_GB2312" w:hAnsi="仿宋_GB2312" w:eastAsia="仿宋_GB2312" w:cs="仿宋_GB2312"/>
          <w:b/>
          <w:bCs/>
          <w:color w:val="auto"/>
          <w:sz w:val="24"/>
        </w:rPr>
      </w:pPr>
      <w:bookmarkStart w:id="385" w:name="_Toc1585"/>
      <w:r>
        <w:rPr>
          <w:rFonts w:hint="eastAsia" w:ascii="仿宋_GB2312" w:hAnsi="仿宋_GB2312" w:eastAsia="仿宋_GB2312" w:cs="仿宋_GB2312"/>
          <w:b/>
          <w:bCs/>
          <w:color w:val="auto"/>
          <w:sz w:val="24"/>
        </w:rPr>
        <w:t xml:space="preserve">  采购人追加采购数量的权力</w:t>
      </w:r>
      <w:bookmarkEnd w:id="385"/>
    </w:p>
    <w:p w14:paraId="06643515">
      <w:pPr>
        <w:tabs>
          <w:tab w:val="left" w:pos="588"/>
        </w:tabs>
        <w:spacing w:line="360" w:lineRule="auto"/>
        <w:ind w:left="840" w:leftChars="400"/>
        <w:rPr>
          <w:rFonts w:ascii="仿宋_GB2312" w:hAnsi="仿宋_GB2312" w:eastAsia="仿宋_GB2312" w:cs="仿宋_GB2312"/>
          <w:color w:val="auto"/>
          <w:sz w:val="24"/>
        </w:rPr>
      </w:pPr>
      <w:bookmarkStart w:id="386" w:name="_Toc389620205"/>
      <w:bookmarkStart w:id="387" w:name="_Toc385992366"/>
      <w:r>
        <w:rPr>
          <w:rFonts w:hint="eastAsia" w:ascii="仿宋_GB2312" w:hAnsi="仿宋_GB2312" w:eastAsia="仿宋_GB2312" w:cs="仿宋_GB2312"/>
          <w:color w:val="auto"/>
          <w:sz w:val="24"/>
        </w:rPr>
        <w:t>在合同履行中，采购人需追加与合同标的相同货物的，在不改变合同其他条款的前提下，采购人有权与成交供应商协商签订补充合同，但所有补充合同的采购金额不得超过原合同采购金额的10%。</w:t>
      </w:r>
    </w:p>
    <w:p w14:paraId="31C2A918">
      <w:pPr>
        <w:pStyle w:val="22"/>
        <w:numPr>
          <w:ilvl w:val="0"/>
          <w:numId w:val="11"/>
        </w:numPr>
        <w:shd w:val="clear" w:color="auto" w:fill="FFFFFF" w:themeFill="background1"/>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 xml:space="preserve">   其他情况</w:t>
      </w:r>
    </w:p>
    <w:p w14:paraId="1B299FD1">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31.1   磋商截止时间结束后，递交响应文件或者经评审的实质性响应磋商文件的供应商不足三家（符合《财库〔2015〕124号》的情况除外），采购代理机构应当终止竞争性磋商活动，发布项目终止公告并说明原因，重新开展采购活动。</w:t>
      </w:r>
    </w:p>
    <w:p w14:paraId="54EB291E">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31.2   连续两次进行竞争性磋商活动，因符合磋商要求供应商不足3家，经请示政府采购管理部门同意后，可继续进行竞争性磋商活动。</w:t>
      </w:r>
    </w:p>
    <w:p w14:paraId="00FEE55A">
      <w:pPr>
        <w:pStyle w:val="22"/>
        <w:numPr>
          <w:ilvl w:val="0"/>
          <w:numId w:val="11"/>
        </w:numPr>
        <w:shd w:val="clear" w:color="auto" w:fill="FFFFFF" w:themeFill="background1"/>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 xml:space="preserve">  </w:t>
      </w:r>
      <w:bookmarkEnd w:id="386"/>
      <w:bookmarkEnd w:id="387"/>
      <w:bookmarkStart w:id="388" w:name="_Toc230013637"/>
      <w:bookmarkStart w:id="389" w:name="_Toc184025279"/>
      <w:bookmarkStart w:id="390" w:name="_Toc184114070"/>
      <w:bookmarkStart w:id="391" w:name="_Toc230099802"/>
      <w:r>
        <w:rPr>
          <w:rFonts w:hint="eastAsia" w:ascii="仿宋_GB2312" w:hAnsi="仿宋_GB2312" w:eastAsia="仿宋_GB2312" w:cs="仿宋_GB2312"/>
          <w:b/>
          <w:bCs/>
          <w:color w:val="auto"/>
          <w:sz w:val="24"/>
        </w:rPr>
        <w:t xml:space="preserve">  </w:t>
      </w:r>
      <w:r>
        <w:rPr>
          <w:rFonts w:ascii="仿宋_GB2312" w:hAnsi="仿宋_GB2312" w:eastAsia="仿宋_GB2312" w:cs="仿宋_GB2312"/>
          <w:b/>
          <w:bCs/>
          <w:color w:val="auto"/>
          <w:sz w:val="24"/>
        </w:rPr>
        <w:t xml:space="preserve"> </w:t>
      </w:r>
      <w:r>
        <w:rPr>
          <w:rFonts w:hint="eastAsia" w:ascii="仿宋_GB2312" w:hAnsi="仿宋_GB2312" w:eastAsia="仿宋_GB2312" w:cs="仿宋_GB2312"/>
          <w:b/>
          <w:bCs/>
          <w:color w:val="auto"/>
          <w:sz w:val="24"/>
        </w:rPr>
        <w:t>政府采购信用担保及融资</w:t>
      </w:r>
    </w:p>
    <w:p w14:paraId="56AC4759">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32.1   本项目是否属于信用担保试点范围见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sz w:val="24"/>
        </w:rPr>
        <w:t>。</w:t>
      </w:r>
    </w:p>
    <w:p w14:paraId="46E81314">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32.2   供应商递交的履约担保函应符合本磋商文件的规定。</w:t>
      </w:r>
    </w:p>
    <w:p w14:paraId="550CD3ED">
      <w:pPr>
        <w:keepNext w:val="0"/>
        <w:keepLines w:val="0"/>
        <w:pageBreakBefore w:val="0"/>
        <w:widowControl w:val="0"/>
        <w:kinsoku/>
        <w:wordWrap w:val="0"/>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rPr>
      </w:pPr>
      <w:r>
        <w:rPr>
          <w:rFonts w:hint="eastAsia" w:ascii="仿宋_GB2312" w:hAnsi="仿宋_GB2312" w:eastAsia="仿宋_GB2312" w:cs="仿宋_GB2312"/>
          <w:color w:val="auto"/>
          <w:sz w:val="24"/>
        </w:rPr>
        <w:t xml:space="preserve">32.3   </w:t>
      </w:r>
      <w:r>
        <w:rPr>
          <w:rFonts w:hint="eastAsia" w:ascii="仿宋" w:hAnsi="仿宋" w:eastAsia="仿宋" w:cs="仿宋"/>
          <w:color w:val="auto"/>
          <w:sz w:val="24"/>
        </w:rPr>
        <w:t>为缓解中小企业融资困难，陕西省财政厅出台了《陕西省中小企业政府采购信用融资办法》（陕财办采﹝2018﹞23号），中标人如有融资需求，可登录“陕西省政府采购网-陕西省政府采购信用融资平台（http://www.ccgp-shaanxi.gov.cn/zcdservice/zcd/shanxi/）”了解详情。</w:t>
      </w:r>
    </w:p>
    <w:p w14:paraId="05640E51">
      <w:pPr>
        <w:keepNext w:val="0"/>
        <w:keepLines w:val="0"/>
        <w:pageBreakBefore w:val="0"/>
        <w:widowControl w:val="0"/>
        <w:kinsoku/>
        <w:wordWrap/>
        <w:overflowPunct/>
        <w:topLinePunct w:val="0"/>
        <w:autoSpaceDE/>
        <w:autoSpaceDN/>
        <w:bidi w:val="0"/>
        <w:adjustRightInd/>
        <w:snapToGrid/>
        <w:spacing w:line="360" w:lineRule="auto"/>
        <w:ind w:left="958" w:leftChars="456"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政府采购信用融资，是指银行业金融机构（以下简称银行）以政府采购诚信考核和信用审查为基础，凭借政府采购合同，按优于一般中小企业的贷款利率直接向申请贷款的</w:t>
      </w:r>
      <w:r>
        <w:rPr>
          <w:rFonts w:hint="eastAsia" w:ascii="仿宋" w:hAnsi="仿宋" w:eastAsia="仿宋" w:cs="仿宋"/>
          <w:color w:val="auto"/>
          <w:sz w:val="24"/>
          <w:lang w:eastAsia="zh-CN"/>
        </w:rPr>
        <w:t>供应商</w:t>
      </w:r>
      <w:r>
        <w:rPr>
          <w:rFonts w:hint="eastAsia" w:ascii="仿宋" w:hAnsi="仿宋" w:eastAsia="仿宋" w:cs="仿宋"/>
          <w:color w:val="auto"/>
          <w:sz w:val="24"/>
        </w:rPr>
        <w:t>发放贷款的一种融资方式。</w:t>
      </w:r>
    </w:p>
    <w:p w14:paraId="3FBCC781">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政府采购</w:t>
      </w:r>
      <w:r>
        <w:rPr>
          <w:rFonts w:hint="eastAsia" w:ascii="仿宋" w:hAnsi="仿宋" w:eastAsia="仿宋" w:cs="仿宋"/>
          <w:color w:val="auto"/>
          <w:sz w:val="24"/>
          <w:lang w:eastAsia="zh-CN"/>
        </w:rPr>
        <w:t>供应商</w:t>
      </w:r>
      <w:r>
        <w:rPr>
          <w:rFonts w:hint="eastAsia" w:ascii="仿宋" w:hAnsi="仿宋" w:eastAsia="仿宋" w:cs="仿宋"/>
          <w:color w:val="auto"/>
          <w:sz w:val="24"/>
        </w:rPr>
        <w:t>申请信用融资时，如融资金额未超过政府采购合同金额的，银</w:t>
      </w:r>
    </w:p>
    <w:p w14:paraId="552DBAE9">
      <w:pPr>
        <w:keepNext w:val="0"/>
        <w:keepLines w:val="0"/>
        <w:pageBreakBefore w:val="0"/>
        <w:widowControl w:val="0"/>
        <w:kinsoku/>
        <w:wordWrap/>
        <w:overflowPunct/>
        <w:topLinePunct w:val="0"/>
        <w:autoSpaceDE/>
        <w:autoSpaceDN/>
        <w:bidi w:val="0"/>
        <w:adjustRightInd/>
        <w:snapToGrid/>
        <w:spacing w:line="360" w:lineRule="auto"/>
        <w:ind w:left="958" w:leftChars="456"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行原则上不得要求</w:t>
      </w:r>
      <w:r>
        <w:rPr>
          <w:rFonts w:hint="eastAsia" w:ascii="仿宋" w:hAnsi="仿宋" w:eastAsia="仿宋" w:cs="仿宋"/>
          <w:color w:val="auto"/>
          <w:sz w:val="24"/>
          <w:lang w:eastAsia="zh-CN"/>
        </w:rPr>
        <w:t>供应商</w:t>
      </w:r>
      <w:r>
        <w:rPr>
          <w:rFonts w:hint="eastAsia" w:ascii="仿宋" w:hAnsi="仿宋" w:eastAsia="仿宋" w:cs="仿宋"/>
          <w:color w:val="auto"/>
          <w:sz w:val="24"/>
        </w:rPr>
        <w:t>提供财产抵押或第三方担保，或附加其他任何形式的担保条件，切实做到以政府采购信用为基础，简化手续，提高效率，降低</w:t>
      </w:r>
      <w:r>
        <w:rPr>
          <w:rFonts w:hint="eastAsia" w:ascii="仿宋" w:hAnsi="仿宋" w:eastAsia="仿宋" w:cs="仿宋"/>
          <w:color w:val="auto"/>
          <w:sz w:val="24"/>
          <w:lang w:eastAsia="zh-CN"/>
        </w:rPr>
        <w:t>供应商</w:t>
      </w:r>
      <w:r>
        <w:rPr>
          <w:rFonts w:hint="eastAsia" w:ascii="仿宋" w:hAnsi="仿宋" w:eastAsia="仿宋" w:cs="仿宋"/>
          <w:color w:val="auto"/>
          <w:sz w:val="24"/>
        </w:rPr>
        <w:t>融资成本。</w:t>
      </w:r>
    </w:p>
    <w:p w14:paraId="08F55F8A">
      <w:pPr>
        <w:spacing w:line="360" w:lineRule="auto"/>
        <w:ind w:left="832" w:leftChars="396" w:firstLine="7"/>
        <w:rPr>
          <w:rFonts w:hint="eastAsia" w:ascii="仿宋" w:hAnsi="仿宋" w:eastAsia="仿宋" w:cs="仿宋"/>
          <w:color w:val="auto"/>
          <w:sz w:val="24"/>
        </w:rPr>
      </w:pPr>
      <w:r>
        <w:rPr>
          <w:rFonts w:hint="eastAsia" w:ascii="仿宋" w:hAnsi="仿宋" w:eastAsia="仿宋" w:cs="仿宋"/>
          <w:color w:val="auto"/>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38ADCE4F">
      <w:pPr>
        <w:spacing w:line="360" w:lineRule="auto"/>
        <w:ind w:left="832" w:leftChars="396" w:firstLine="7"/>
        <w:rPr>
          <w:rFonts w:hint="eastAsia" w:ascii="仿宋" w:hAnsi="仿宋" w:eastAsia="仿宋" w:cs="仿宋"/>
          <w:color w:val="auto"/>
          <w:sz w:val="24"/>
        </w:rPr>
      </w:pPr>
      <w:r>
        <w:rPr>
          <w:rFonts w:hint="eastAsia" w:ascii="仿宋" w:hAnsi="仿宋" w:eastAsia="仿宋" w:cs="仿宋"/>
          <w:color w:val="auto"/>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71032F6B">
      <w:pPr>
        <w:spacing w:line="360" w:lineRule="auto"/>
        <w:ind w:left="832" w:leftChars="396" w:firstLine="7"/>
        <w:rPr>
          <w:rFonts w:hint="eastAsia" w:ascii="仿宋" w:hAnsi="仿宋" w:eastAsia="仿宋" w:cs="仿宋"/>
          <w:color w:val="auto"/>
          <w:sz w:val="24"/>
        </w:rPr>
      </w:pPr>
      <w:r>
        <w:rPr>
          <w:rFonts w:hint="eastAsia" w:ascii="仿宋" w:hAnsi="仿宋" w:eastAsia="仿宋" w:cs="仿宋"/>
          <w:color w:val="auto"/>
          <w:sz w:val="24"/>
        </w:rPr>
        <w:t>对拟用于信用融资的政府采购合同，</w:t>
      </w:r>
      <w:r>
        <w:rPr>
          <w:rFonts w:hint="eastAsia" w:ascii="仿宋" w:hAnsi="仿宋" w:eastAsia="仿宋" w:cs="仿宋"/>
          <w:color w:val="auto"/>
          <w:sz w:val="24"/>
          <w:lang w:eastAsia="zh-CN"/>
        </w:rPr>
        <w:t>供应商</w:t>
      </w:r>
      <w:r>
        <w:rPr>
          <w:rFonts w:hint="eastAsia" w:ascii="仿宋" w:hAnsi="仿宋" w:eastAsia="仿宋" w:cs="仿宋"/>
          <w:color w:val="auto"/>
          <w:sz w:val="24"/>
        </w:rPr>
        <w:t>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08EB5B1E">
      <w:pPr>
        <w:pStyle w:val="22"/>
        <w:tabs>
          <w:tab w:val="left" w:pos="567"/>
        </w:tabs>
        <w:spacing w:line="360" w:lineRule="auto"/>
        <w:ind w:left="840" w:leftChars="400" w:firstLine="0" w:firstLineChars="0"/>
        <w:rPr>
          <w:rFonts w:hint="eastAsia" w:ascii="Times New Roman" w:hAnsi="Times New Roman" w:eastAsia="仿宋_GB2312" w:cs="Times New Roman"/>
          <w:i w:val="0"/>
          <w:iCs w:val="0"/>
          <w:color w:val="auto"/>
          <w:kern w:val="2"/>
          <w:sz w:val="24"/>
          <w:szCs w:val="24"/>
          <w:highlight w:val="none"/>
          <w:lang w:val="en-US" w:eastAsia="zh-CN" w:bidi="ar-SA"/>
        </w:rPr>
      </w:pPr>
      <w:r>
        <w:rPr>
          <w:rFonts w:hint="eastAsia" w:ascii="仿宋" w:hAnsi="仿宋" w:eastAsia="仿宋" w:cs="仿宋"/>
          <w:color w:val="auto"/>
          <w:sz w:val="24"/>
        </w:rPr>
        <w:t>业务流程简图如下</w:t>
      </w:r>
      <w:r>
        <w:rPr>
          <w:rFonts w:hint="eastAsia" w:ascii="Times New Roman" w:hAnsi="Times New Roman" w:eastAsia="仿宋_GB2312" w:cs="Times New Roman"/>
          <w:i w:val="0"/>
          <w:iCs w:val="0"/>
          <w:color w:val="auto"/>
          <w:kern w:val="2"/>
          <w:sz w:val="24"/>
          <w:szCs w:val="24"/>
          <w:highlight w:val="none"/>
          <w:lang w:val="en-US" w:eastAsia="zh-CN" w:bidi="ar-SA"/>
        </w:rPr>
        <w:t>：</w:t>
      </w:r>
    </w:p>
    <w:p w14:paraId="32C51691">
      <w:pPr>
        <w:pStyle w:val="22"/>
        <w:tabs>
          <w:tab w:val="left" w:pos="567"/>
        </w:tabs>
        <w:spacing w:line="360" w:lineRule="auto"/>
        <w:rPr>
          <w:rFonts w:hint="eastAsia" w:ascii="仿宋" w:hAnsi="仿宋" w:eastAsia="仿宋" w:cs="仿宋"/>
          <w:color w:val="auto"/>
        </w:rPr>
      </w:pPr>
      <w:r>
        <w:rPr>
          <w:rFonts w:hint="eastAsia" w:ascii="仿宋" w:hAnsi="仿宋" w:eastAsia="仿宋" w:cs="仿宋"/>
          <w:color w:val="auto"/>
        </w:rP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7"/>
                    <a:stretch>
                      <a:fillRect/>
                    </a:stretch>
                  </pic:blipFill>
                  <pic:spPr>
                    <a:xfrm>
                      <a:off x="0" y="0"/>
                      <a:ext cx="5756275" cy="3310255"/>
                    </a:xfrm>
                    <a:prstGeom prst="rect">
                      <a:avLst/>
                    </a:prstGeom>
                    <a:noFill/>
                    <a:ln>
                      <a:noFill/>
                    </a:ln>
                  </pic:spPr>
                </pic:pic>
              </a:graphicData>
            </a:graphic>
          </wp:inline>
        </w:drawing>
      </w:r>
    </w:p>
    <w:p w14:paraId="28F29C31">
      <w:pPr>
        <w:pStyle w:val="22"/>
        <w:tabs>
          <w:tab w:val="left" w:pos="567"/>
        </w:tabs>
        <w:spacing w:line="360" w:lineRule="auto"/>
        <w:rPr>
          <w:rFonts w:hint="eastAsia" w:ascii="仿宋" w:hAnsi="仿宋" w:eastAsia="仿宋" w:cs="仿宋"/>
          <w:color w:val="auto"/>
        </w:rPr>
      </w:pPr>
      <w:r>
        <w:rPr>
          <w:rFonts w:hint="eastAsia" w:ascii="仿宋" w:hAnsi="仿宋" w:eastAsia="仿宋" w:cs="仿宋"/>
          <w:color w:val="auto"/>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8"/>
                    <a:stretch>
                      <a:fillRect/>
                    </a:stretch>
                  </pic:blipFill>
                  <pic:spPr>
                    <a:xfrm>
                      <a:off x="0" y="0"/>
                      <a:ext cx="5758815" cy="3242310"/>
                    </a:xfrm>
                    <a:prstGeom prst="rect">
                      <a:avLst/>
                    </a:prstGeom>
                    <a:noFill/>
                    <a:ln>
                      <a:noFill/>
                    </a:ln>
                  </pic:spPr>
                </pic:pic>
              </a:graphicData>
            </a:graphic>
          </wp:inline>
        </w:drawing>
      </w:r>
    </w:p>
    <w:p w14:paraId="503C69EE">
      <w:pPr>
        <w:pStyle w:val="22"/>
        <w:tabs>
          <w:tab w:val="left" w:pos="567"/>
        </w:tabs>
        <w:spacing w:line="360" w:lineRule="exact"/>
        <w:rPr>
          <w:rFonts w:hint="eastAsia" w:ascii="仿宋" w:hAnsi="仿宋" w:eastAsia="仿宋" w:cs="仿宋"/>
          <w:color w:val="auto"/>
        </w:rPr>
      </w:pPr>
      <w:r>
        <w:rPr>
          <w:rFonts w:hint="eastAsia" w:ascii="仿宋" w:hAnsi="仿宋" w:eastAsia="仿宋" w:cs="仿宋"/>
          <w:color w:val="auto"/>
        </w:rPr>
        <w:t xml:space="preserve">     省级政府采购项目贷款银行信息：</w:t>
      </w:r>
    </w:p>
    <w:p w14:paraId="0AD33E1E">
      <w:pPr>
        <w:spacing w:line="360" w:lineRule="exact"/>
        <w:rPr>
          <w:rFonts w:hint="eastAsia" w:ascii="仿宋" w:hAnsi="仿宋" w:eastAsia="仿宋" w:cs="仿宋"/>
          <w:b/>
          <w:color w:val="auto"/>
          <w:sz w:val="24"/>
        </w:rPr>
      </w:pPr>
      <w:r>
        <w:rPr>
          <w:rFonts w:hint="eastAsia" w:ascii="仿宋" w:hAnsi="仿宋" w:eastAsia="仿宋" w:cs="仿宋"/>
          <w:color w:val="auto"/>
          <w:sz w:val="24"/>
        </w:rPr>
        <w:t xml:space="preserve"> </w:t>
      </w:r>
      <w:r>
        <w:rPr>
          <w:rFonts w:hint="eastAsia" w:ascii="仿宋" w:hAnsi="仿宋" w:eastAsia="仿宋" w:cs="仿宋"/>
          <w:b/>
          <w:color w:val="auto"/>
          <w:sz w:val="24"/>
        </w:rPr>
        <w:t>一、陕西建行（E政通）</w:t>
      </w:r>
    </w:p>
    <w:p w14:paraId="510CD8A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陕西省分行营业部</w:t>
      </w:r>
      <w:r>
        <w:rPr>
          <w:rFonts w:hint="eastAsia" w:ascii="仿宋" w:hAnsi="仿宋" w:eastAsia="仿宋" w:cs="仿宋"/>
          <w:color w:val="auto"/>
          <w:sz w:val="24"/>
        </w:rPr>
        <w:tab/>
      </w:r>
      <w:r>
        <w:rPr>
          <w:rFonts w:hint="eastAsia" w:ascii="仿宋" w:hAnsi="仿宋" w:eastAsia="仿宋" w:cs="仿宋"/>
          <w:color w:val="auto"/>
          <w:sz w:val="24"/>
        </w:rPr>
        <w:t>西安市南广济街38号</w:t>
      </w:r>
      <w:r>
        <w:rPr>
          <w:rFonts w:hint="eastAsia" w:ascii="仿宋" w:hAnsi="仿宋" w:eastAsia="仿宋" w:cs="仿宋"/>
          <w:color w:val="auto"/>
          <w:sz w:val="24"/>
        </w:rPr>
        <w:tab/>
      </w:r>
      <w:r>
        <w:rPr>
          <w:rFonts w:hint="eastAsia" w:ascii="仿宋" w:hAnsi="仿宋" w:eastAsia="仿宋" w:cs="仿宋"/>
          <w:color w:val="auto"/>
          <w:sz w:val="24"/>
        </w:rPr>
        <w:t>白玉皓</w:t>
      </w:r>
      <w:r>
        <w:rPr>
          <w:rFonts w:hint="eastAsia" w:ascii="仿宋" w:hAnsi="仿宋" w:eastAsia="仿宋" w:cs="仿宋"/>
          <w:color w:val="auto"/>
          <w:sz w:val="24"/>
        </w:rPr>
        <w:tab/>
      </w:r>
      <w:r>
        <w:rPr>
          <w:rFonts w:hint="eastAsia" w:ascii="仿宋" w:hAnsi="仿宋" w:eastAsia="仿宋" w:cs="仿宋"/>
          <w:color w:val="auto"/>
          <w:sz w:val="24"/>
        </w:rPr>
        <w:t>13201603166</w:t>
      </w:r>
    </w:p>
    <w:p w14:paraId="72E7AD2A">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西安莲湖路支行</w:t>
      </w:r>
      <w:r>
        <w:rPr>
          <w:rFonts w:hint="eastAsia" w:ascii="仿宋" w:hAnsi="仿宋" w:eastAsia="仿宋" w:cs="仿宋"/>
          <w:color w:val="auto"/>
          <w:sz w:val="24"/>
        </w:rPr>
        <w:tab/>
      </w:r>
      <w:r>
        <w:rPr>
          <w:rFonts w:hint="eastAsia" w:ascii="仿宋" w:hAnsi="仿宋" w:eastAsia="仿宋" w:cs="仿宋"/>
          <w:color w:val="auto"/>
          <w:sz w:val="24"/>
        </w:rPr>
        <w:t>西安市莲湖路35号</w:t>
      </w:r>
      <w:r>
        <w:rPr>
          <w:rFonts w:hint="eastAsia" w:ascii="仿宋" w:hAnsi="仿宋" w:eastAsia="仿宋" w:cs="仿宋"/>
          <w:color w:val="auto"/>
          <w:sz w:val="24"/>
        </w:rPr>
        <w:tab/>
      </w:r>
      <w:r>
        <w:rPr>
          <w:rFonts w:hint="eastAsia" w:ascii="仿宋" w:hAnsi="仿宋" w:eastAsia="仿宋" w:cs="仿宋"/>
          <w:color w:val="auto"/>
          <w:sz w:val="24"/>
        </w:rPr>
        <w:t>刘  冲</w:t>
      </w:r>
      <w:r>
        <w:rPr>
          <w:rFonts w:hint="eastAsia" w:ascii="仿宋" w:hAnsi="仿宋" w:eastAsia="仿宋" w:cs="仿宋"/>
          <w:color w:val="auto"/>
          <w:sz w:val="24"/>
        </w:rPr>
        <w:tab/>
      </w:r>
      <w:r>
        <w:rPr>
          <w:rFonts w:hint="eastAsia" w:ascii="仿宋" w:hAnsi="仿宋" w:eastAsia="仿宋" w:cs="仿宋"/>
          <w:color w:val="auto"/>
          <w:sz w:val="24"/>
        </w:rPr>
        <w:t>17702902131</w:t>
      </w:r>
    </w:p>
    <w:p w14:paraId="3D6CB691">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西安曲江支行</w:t>
      </w:r>
      <w:r>
        <w:rPr>
          <w:rFonts w:hint="eastAsia" w:ascii="仿宋" w:hAnsi="仿宋" w:eastAsia="仿宋" w:cs="仿宋"/>
          <w:color w:val="auto"/>
          <w:sz w:val="24"/>
        </w:rPr>
        <w:tab/>
      </w:r>
      <w:r>
        <w:rPr>
          <w:rFonts w:hint="eastAsia" w:ascii="仿宋" w:hAnsi="仿宋" w:eastAsia="仿宋" w:cs="仿宋"/>
          <w:color w:val="auto"/>
          <w:sz w:val="24"/>
        </w:rPr>
        <w:t>西安市雁塔南路2216号</w:t>
      </w:r>
      <w:r>
        <w:rPr>
          <w:rFonts w:hint="eastAsia" w:ascii="仿宋" w:hAnsi="仿宋" w:eastAsia="仿宋" w:cs="仿宋"/>
          <w:color w:val="auto"/>
          <w:sz w:val="24"/>
        </w:rPr>
        <w:tab/>
      </w:r>
      <w:r>
        <w:rPr>
          <w:rFonts w:hint="eastAsia" w:ascii="仿宋" w:hAnsi="仿宋" w:eastAsia="仿宋" w:cs="仿宋"/>
          <w:color w:val="auto"/>
          <w:sz w:val="24"/>
        </w:rPr>
        <w:t>樊理君</w:t>
      </w:r>
      <w:r>
        <w:rPr>
          <w:rFonts w:hint="eastAsia" w:ascii="仿宋" w:hAnsi="仿宋" w:eastAsia="仿宋" w:cs="仿宋"/>
          <w:color w:val="auto"/>
          <w:sz w:val="24"/>
        </w:rPr>
        <w:tab/>
      </w:r>
      <w:r>
        <w:rPr>
          <w:rFonts w:hint="eastAsia" w:ascii="仿宋" w:hAnsi="仿宋" w:eastAsia="仿宋" w:cs="仿宋"/>
          <w:color w:val="auto"/>
          <w:sz w:val="24"/>
        </w:rPr>
        <w:t>18691568151</w:t>
      </w:r>
    </w:p>
    <w:p w14:paraId="215E180A">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西安高新区支行</w:t>
      </w:r>
      <w:r>
        <w:rPr>
          <w:rFonts w:hint="eastAsia" w:ascii="仿宋" w:hAnsi="仿宋" w:eastAsia="仿宋" w:cs="仿宋"/>
          <w:color w:val="auto"/>
          <w:sz w:val="24"/>
        </w:rPr>
        <w:tab/>
      </w:r>
      <w:r>
        <w:rPr>
          <w:rFonts w:hint="eastAsia" w:ascii="仿宋" w:hAnsi="仿宋" w:eastAsia="仿宋" w:cs="仿宋"/>
          <w:color w:val="auto"/>
          <w:sz w:val="24"/>
        </w:rPr>
        <w:t>西安市高新路42号</w:t>
      </w:r>
      <w:r>
        <w:rPr>
          <w:rFonts w:hint="eastAsia" w:ascii="仿宋" w:hAnsi="仿宋" w:eastAsia="仿宋" w:cs="仿宋"/>
          <w:color w:val="auto"/>
          <w:sz w:val="24"/>
        </w:rPr>
        <w:tab/>
      </w:r>
      <w:r>
        <w:rPr>
          <w:rFonts w:hint="eastAsia" w:ascii="仿宋" w:hAnsi="仿宋" w:eastAsia="仿宋" w:cs="仿宋"/>
          <w:color w:val="auto"/>
          <w:sz w:val="24"/>
        </w:rPr>
        <w:t>卞斯超</w:t>
      </w:r>
      <w:r>
        <w:rPr>
          <w:rFonts w:hint="eastAsia" w:ascii="仿宋" w:hAnsi="仿宋" w:eastAsia="仿宋" w:cs="仿宋"/>
          <w:color w:val="auto"/>
          <w:sz w:val="24"/>
        </w:rPr>
        <w:tab/>
      </w:r>
      <w:r>
        <w:rPr>
          <w:rFonts w:hint="eastAsia" w:ascii="仿宋" w:hAnsi="仿宋" w:eastAsia="仿宋" w:cs="仿宋"/>
          <w:color w:val="auto"/>
          <w:sz w:val="24"/>
        </w:rPr>
        <w:t>15191075651</w:t>
      </w:r>
    </w:p>
    <w:p w14:paraId="001CAFC1">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西安经开区支行</w:t>
      </w:r>
      <w:r>
        <w:rPr>
          <w:rFonts w:hint="eastAsia" w:ascii="仿宋" w:hAnsi="仿宋" w:eastAsia="仿宋" w:cs="仿宋"/>
          <w:color w:val="auto"/>
          <w:sz w:val="24"/>
        </w:rPr>
        <w:tab/>
      </w:r>
      <w:r>
        <w:rPr>
          <w:rFonts w:hint="eastAsia" w:ascii="仿宋" w:hAnsi="仿宋" w:eastAsia="仿宋" w:cs="仿宋"/>
          <w:color w:val="auto"/>
          <w:sz w:val="24"/>
        </w:rPr>
        <w:t>西安市未央路125号</w:t>
      </w:r>
      <w:r>
        <w:rPr>
          <w:rFonts w:hint="eastAsia" w:ascii="仿宋" w:hAnsi="仿宋" w:eastAsia="仿宋" w:cs="仿宋"/>
          <w:color w:val="auto"/>
          <w:sz w:val="24"/>
        </w:rPr>
        <w:tab/>
      </w:r>
      <w:r>
        <w:rPr>
          <w:rFonts w:hint="eastAsia" w:ascii="仿宋" w:hAnsi="仿宋" w:eastAsia="仿宋" w:cs="仿宋"/>
          <w:color w:val="auto"/>
          <w:sz w:val="24"/>
        </w:rPr>
        <w:t>惠  媛</w:t>
      </w:r>
      <w:r>
        <w:rPr>
          <w:rFonts w:hint="eastAsia" w:ascii="仿宋" w:hAnsi="仿宋" w:eastAsia="仿宋" w:cs="仿宋"/>
          <w:color w:val="auto"/>
          <w:sz w:val="24"/>
        </w:rPr>
        <w:tab/>
      </w:r>
      <w:r>
        <w:rPr>
          <w:rFonts w:hint="eastAsia" w:ascii="仿宋" w:hAnsi="仿宋" w:eastAsia="仿宋" w:cs="仿宋"/>
          <w:color w:val="auto"/>
          <w:sz w:val="24"/>
        </w:rPr>
        <w:t>17792256100</w:t>
      </w:r>
    </w:p>
    <w:p w14:paraId="3456046B">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西安南大街支行</w:t>
      </w:r>
      <w:r>
        <w:rPr>
          <w:rFonts w:hint="eastAsia" w:ascii="仿宋" w:hAnsi="仿宋" w:eastAsia="仿宋" w:cs="仿宋"/>
          <w:color w:val="auto"/>
          <w:sz w:val="24"/>
        </w:rPr>
        <w:tab/>
      </w:r>
      <w:r>
        <w:rPr>
          <w:rFonts w:hint="eastAsia" w:ascii="仿宋" w:hAnsi="仿宋" w:eastAsia="仿宋" w:cs="仿宋"/>
          <w:color w:val="auto"/>
          <w:sz w:val="24"/>
        </w:rPr>
        <w:t>西安市南大街15号</w:t>
      </w:r>
      <w:r>
        <w:rPr>
          <w:rFonts w:hint="eastAsia" w:ascii="仿宋" w:hAnsi="仿宋" w:eastAsia="仿宋" w:cs="仿宋"/>
          <w:color w:val="auto"/>
          <w:sz w:val="24"/>
        </w:rPr>
        <w:tab/>
      </w:r>
      <w:r>
        <w:rPr>
          <w:rFonts w:hint="eastAsia" w:ascii="仿宋" w:hAnsi="仿宋" w:eastAsia="仿宋" w:cs="仿宋"/>
          <w:color w:val="auto"/>
          <w:sz w:val="24"/>
        </w:rPr>
        <w:t>乔  鉴</w:t>
      </w:r>
      <w:r>
        <w:rPr>
          <w:rFonts w:hint="eastAsia" w:ascii="仿宋" w:hAnsi="仿宋" w:eastAsia="仿宋" w:cs="仿宋"/>
          <w:color w:val="auto"/>
          <w:sz w:val="24"/>
        </w:rPr>
        <w:tab/>
      </w:r>
      <w:r>
        <w:rPr>
          <w:rFonts w:hint="eastAsia" w:ascii="仿宋" w:hAnsi="仿宋" w:eastAsia="仿宋" w:cs="仿宋"/>
          <w:color w:val="auto"/>
          <w:sz w:val="24"/>
        </w:rPr>
        <w:t>18089136919</w:t>
      </w:r>
    </w:p>
    <w:p w14:paraId="07AAC15F">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西安和平路支行</w:t>
      </w:r>
      <w:r>
        <w:rPr>
          <w:rFonts w:hint="eastAsia" w:ascii="仿宋" w:hAnsi="仿宋" w:eastAsia="仿宋" w:cs="仿宋"/>
          <w:color w:val="auto"/>
          <w:sz w:val="24"/>
        </w:rPr>
        <w:tab/>
      </w:r>
      <w:r>
        <w:rPr>
          <w:rFonts w:hint="eastAsia" w:ascii="仿宋" w:hAnsi="仿宋" w:eastAsia="仿宋" w:cs="仿宋"/>
          <w:color w:val="auto"/>
          <w:sz w:val="24"/>
        </w:rPr>
        <w:t>西安市和平路101号</w:t>
      </w:r>
      <w:r>
        <w:rPr>
          <w:rFonts w:hint="eastAsia" w:ascii="仿宋" w:hAnsi="仿宋" w:eastAsia="仿宋" w:cs="仿宋"/>
          <w:color w:val="auto"/>
          <w:sz w:val="24"/>
        </w:rPr>
        <w:tab/>
      </w:r>
      <w:r>
        <w:rPr>
          <w:rFonts w:hint="eastAsia" w:ascii="仿宋" w:hAnsi="仿宋" w:eastAsia="仿宋" w:cs="仿宋"/>
          <w:color w:val="auto"/>
          <w:sz w:val="24"/>
        </w:rPr>
        <w:t>陈  歆</w:t>
      </w:r>
      <w:r>
        <w:rPr>
          <w:rFonts w:hint="eastAsia" w:ascii="仿宋" w:hAnsi="仿宋" w:eastAsia="仿宋" w:cs="仿宋"/>
          <w:color w:val="auto"/>
          <w:sz w:val="24"/>
        </w:rPr>
        <w:tab/>
      </w:r>
      <w:r>
        <w:rPr>
          <w:rFonts w:hint="eastAsia" w:ascii="仿宋" w:hAnsi="仿宋" w:eastAsia="仿宋" w:cs="仿宋"/>
          <w:color w:val="auto"/>
          <w:sz w:val="24"/>
        </w:rPr>
        <w:t>18691816821</w:t>
      </w:r>
    </w:p>
    <w:p w14:paraId="5F644043">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西安兴庆路支行</w:t>
      </w:r>
      <w:r>
        <w:rPr>
          <w:rFonts w:hint="eastAsia" w:ascii="仿宋" w:hAnsi="仿宋" w:eastAsia="仿宋" w:cs="仿宋"/>
          <w:color w:val="auto"/>
          <w:sz w:val="24"/>
        </w:rPr>
        <w:tab/>
      </w:r>
      <w:r>
        <w:rPr>
          <w:rFonts w:hint="eastAsia" w:ascii="仿宋" w:hAnsi="仿宋" w:eastAsia="仿宋" w:cs="仿宋"/>
          <w:color w:val="auto"/>
          <w:sz w:val="24"/>
        </w:rPr>
        <w:t>西安市兴庆路61号</w:t>
      </w:r>
      <w:r>
        <w:rPr>
          <w:rFonts w:hint="eastAsia" w:ascii="仿宋" w:hAnsi="仿宋" w:eastAsia="仿宋" w:cs="仿宋"/>
          <w:color w:val="auto"/>
          <w:sz w:val="24"/>
        </w:rPr>
        <w:tab/>
      </w:r>
      <w:r>
        <w:rPr>
          <w:rFonts w:hint="eastAsia" w:ascii="仿宋" w:hAnsi="仿宋" w:eastAsia="仿宋" w:cs="仿宋"/>
          <w:color w:val="auto"/>
          <w:sz w:val="24"/>
        </w:rPr>
        <w:t>李  妍</w:t>
      </w:r>
      <w:r>
        <w:rPr>
          <w:rFonts w:hint="eastAsia" w:ascii="仿宋" w:hAnsi="仿宋" w:eastAsia="仿宋" w:cs="仿宋"/>
          <w:color w:val="auto"/>
          <w:sz w:val="24"/>
        </w:rPr>
        <w:tab/>
      </w:r>
      <w:r>
        <w:rPr>
          <w:rFonts w:hint="eastAsia" w:ascii="仿宋" w:hAnsi="仿宋" w:eastAsia="仿宋" w:cs="仿宋"/>
          <w:color w:val="auto"/>
          <w:sz w:val="24"/>
        </w:rPr>
        <w:t>13892880386</w:t>
      </w:r>
    </w:p>
    <w:p w14:paraId="1E093758">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西安新城支行</w:t>
      </w:r>
      <w:r>
        <w:rPr>
          <w:rFonts w:hint="eastAsia" w:ascii="仿宋" w:hAnsi="仿宋" w:eastAsia="仿宋" w:cs="仿宋"/>
          <w:color w:val="auto"/>
          <w:sz w:val="24"/>
        </w:rPr>
        <w:tab/>
      </w:r>
      <w:r>
        <w:rPr>
          <w:rFonts w:hint="eastAsia" w:ascii="仿宋" w:hAnsi="仿宋" w:eastAsia="仿宋" w:cs="仿宋"/>
          <w:color w:val="auto"/>
          <w:sz w:val="24"/>
        </w:rPr>
        <w:t>西安市南新街29号</w:t>
      </w:r>
      <w:r>
        <w:rPr>
          <w:rFonts w:hint="eastAsia" w:ascii="仿宋" w:hAnsi="仿宋" w:eastAsia="仿宋" w:cs="仿宋"/>
          <w:color w:val="auto"/>
          <w:sz w:val="24"/>
        </w:rPr>
        <w:tab/>
      </w:r>
      <w:r>
        <w:rPr>
          <w:rFonts w:hint="eastAsia" w:ascii="仿宋" w:hAnsi="仿宋" w:eastAsia="仿宋" w:cs="仿宋"/>
          <w:color w:val="auto"/>
          <w:sz w:val="24"/>
        </w:rPr>
        <w:t>朱子君</w:t>
      </w:r>
      <w:r>
        <w:rPr>
          <w:rFonts w:hint="eastAsia" w:ascii="仿宋" w:hAnsi="仿宋" w:eastAsia="仿宋" w:cs="仿宋"/>
          <w:color w:val="auto"/>
          <w:sz w:val="24"/>
        </w:rPr>
        <w:tab/>
      </w:r>
      <w:r>
        <w:rPr>
          <w:rFonts w:hint="eastAsia" w:ascii="仿宋" w:hAnsi="仿宋" w:eastAsia="仿宋" w:cs="仿宋"/>
          <w:color w:val="auto"/>
          <w:sz w:val="24"/>
        </w:rPr>
        <w:t>18629286269</w:t>
      </w:r>
    </w:p>
    <w:p w14:paraId="31083585">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西安长安区支行</w:t>
      </w:r>
      <w:r>
        <w:rPr>
          <w:rFonts w:hint="eastAsia" w:ascii="仿宋" w:hAnsi="仿宋" w:eastAsia="仿宋" w:cs="仿宋"/>
          <w:color w:val="auto"/>
          <w:sz w:val="24"/>
        </w:rPr>
        <w:tab/>
      </w:r>
      <w:r>
        <w:rPr>
          <w:rFonts w:hint="eastAsia" w:ascii="仿宋" w:hAnsi="仿宋" w:eastAsia="仿宋" w:cs="仿宋"/>
          <w:color w:val="auto"/>
          <w:sz w:val="24"/>
        </w:rPr>
        <w:t>西安市长安区青年街2号</w:t>
      </w:r>
      <w:r>
        <w:rPr>
          <w:rFonts w:hint="eastAsia" w:ascii="仿宋" w:hAnsi="仿宋" w:eastAsia="仿宋" w:cs="仿宋"/>
          <w:color w:val="auto"/>
          <w:sz w:val="24"/>
        </w:rPr>
        <w:tab/>
      </w:r>
      <w:r>
        <w:rPr>
          <w:rFonts w:hint="eastAsia" w:ascii="仿宋" w:hAnsi="仿宋" w:eastAsia="仿宋" w:cs="仿宋"/>
          <w:color w:val="auto"/>
          <w:sz w:val="24"/>
        </w:rPr>
        <w:t>王淑芸</w:t>
      </w:r>
      <w:r>
        <w:rPr>
          <w:rFonts w:hint="eastAsia" w:ascii="仿宋" w:hAnsi="仿宋" w:eastAsia="仿宋" w:cs="仿宋"/>
          <w:color w:val="auto"/>
          <w:sz w:val="24"/>
        </w:rPr>
        <w:tab/>
      </w:r>
      <w:r>
        <w:rPr>
          <w:rFonts w:hint="eastAsia" w:ascii="仿宋" w:hAnsi="仿宋" w:eastAsia="仿宋" w:cs="仿宋"/>
          <w:color w:val="auto"/>
          <w:sz w:val="24"/>
        </w:rPr>
        <w:t>13572289603</w:t>
      </w:r>
    </w:p>
    <w:p w14:paraId="4262EC52">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咸阳市西兰路4号</w:t>
      </w:r>
      <w:r>
        <w:rPr>
          <w:rFonts w:hint="eastAsia" w:ascii="仿宋" w:hAnsi="仿宋" w:eastAsia="仿宋" w:cs="仿宋"/>
          <w:color w:val="auto"/>
          <w:sz w:val="24"/>
        </w:rPr>
        <w:tab/>
      </w:r>
      <w:r>
        <w:rPr>
          <w:rFonts w:hint="eastAsia" w:ascii="仿宋" w:hAnsi="仿宋" w:eastAsia="仿宋" w:cs="仿宋"/>
          <w:color w:val="auto"/>
          <w:sz w:val="24"/>
        </w:rPr>
        <w:t>邰  洋</w:t>
      </w:r>
      <w:r>
        <w:rPr>
          <w:rFonts w:hint="eastAsia" w:ascii="仿宋" w:hAnsi="仿宋" w:eastAsia="仿宋" w:cs="仿宋"/>
          <w:color w:val="auto"/>
          <w:sz w:val="24"/>
        </w:rPr>
        <w:tab/>
      </w:r>
      <w:r>
        <w:rPr>
          <w:rFonts w:hint="eastAsia" w:ascii="仿宋" w:hAnsi="仿宋" w:eastAsia="仿宋" w:cs="仿宋"/>
          <w:color w:val="auto"/>
          <w:sz w:val="24"/>
        </w:rPr>
        <w:t>13299079906</w:t>
      </w:r>
    </w:p>
    <w:p w14:paraId="50162F8E">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宝鸡市红旗路36号</w:t>
      </w:r>
      <w:r>
        <w:rPr>
          <w:rFonts w:hint="eastAsia" w:ascii="仿宋" w:hAnsi="仿宋" w:eastAsia="仿宋" w:cs="仿宋"/>
          <w:color w:val="auto"/>
          <w:sz w:val="24"/>
        </w:rPr>
        <w:tab/>
      </w:r>
      <w:r>
        <w:rPr>
          <w:rFonts w:hint="eastAsia" w:ascii="仿宋" w:hAnsi="仿宋" w:eastAsia="仿宋" w:cs="仿宋"/>
          <w:color w:val="auto"/>
          <w:sz w:val="24"/>
        </w:rPr>
        <w:t>李  倩</w:t>
      </w:r>
      <w:r>
        <w:rPr>
          <w:rFonts w:hint="eastAsia" w:ascii="仿宋" w:hAnsi="仿宋" w:eastAsia="仿宋" w:cs="仿宋"/>
          <w:color w:val="auto"/>
          <w:sz w:val="24"/>
        </w:rPr>
        <w:tab/>
      </w:r>
      <w:r>
        <w:rPr>
          <w:rFonts w:hint="eastAsia" w:ascii="仿宋" w:hAnsi="仿宋" w:eastAsia="仿宋" w:cs="仿宋"/>
          <w:color w:val="auto"/>
          <w:sz w:val="24"/>
        </w:rPr>
        <w:t>18629019817</w:t>
      </w:r>
    </w:p>
    <w:p w14:paraId="0EB00DDB">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铜川分行</w:t>
      </w:r>
      <w:r>
        <w:rPr>
          <w:rFonts w:hint="eastAsia" w:ascii="仿宋" w:hAnsi="仿宋" w:eastAsia="仿宋" w:cs="仿宋"/>
          <w:color w:val="auto"/>
          <w:sz w:val="24"/>
        </w:rPr>
        <w:tab/>
      </w:r>
      <w:r>
        <w:rPr>
          <w:rFonts w:hint="eastAsia" w:ascii="仿宋" w:hAnsi="仿宋" w:eastAsia="仿宋" w:cs="仿宋"/>
          <w:color w:val="auto"/>
          <w:sz w:val="24"/>
        </w:rPr>
        <w:t>铜川市新区正阳路与长虹路十字</w:t>
      </w:r>
      <w:r>
        <w:rPr>
          <w:rFonts w:hint="eastAsia" w:ascii="仿宋" w:hAnsi="仿宋" w:eastAsia="仿宋" w:cs="仿宋"/>
          <w:color w:val="auto"/>
          <w:sz w:val="24"/>
        </w:rPr>
        <w:tab/>
      </w:r>
      <w:r>
        <w:rPr>
          <w:rFonts w:hint="eastAsia" w:ascii="仿宋" w:hAnsi="仿宋" w:eastAsia="仿宋" w:cs="仿宋"/>
          <w:color w:val="auto"/>
          <w:sz w:val="24"/>
        </w:rPr>
        <w:t>张小波</w:t>
      </w:r>
      <w:r>
        <w:rPr>
          <w:rFonts w:hint="eastAsia" w:ascii="仿宋" w:hAnsi="仿宋" w:eastAsia="仿宋" w:cs="仿宋"/>
          <w:color w:val="auto"/>
          <w:sz w:val="24"/>
        </w:rPr>
        <w:tab/>
      </w:r>
      <w:r>
        <w:rPr>
          <w:rFonts w:hint="eastAsia" w:ascii="仿宋" w:hAnsi="仿宋" w:eastAsia="仿宋" w:cs="仿宋"/>
          <w:color w:val="auto"/>
          <w:sz w:val="24"/>
        </w:rPr>
        <w:t>18691932636</w:t>
      </w:r>
    </w:p>
    <w:p w14:paraId="1161CB13">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榆林市高新技术产业园区创业大厦</w:t>
      </w:r>
      <w:r>
        <w:rPr>
          <w:rFonts w:hint="eastAsia" w:ascii="仿宋" w:hAnsi="仿宋" w:eastAsia="仿宋" w:cs="仿宋"/>
          <w:color w:val="auto"/>
          <w:sz w:val="24"/>
        </w:rPr>
        <w:tab/>
      </w:r>
      <w:r>
        <w:rPr>
          <w:rFonts w:hint="eastAsia" w:ascii="仿宋" w:hAnsi="仿宋" w:eastAsia="仿宋" w:cs="仿宋"/>
          <w:color w:val="auto"/>
          <w:sz w:val="24"/>
        </w:rPr>
        <w:t>张君君</w:t>
      </w:r>
      <w:r>
        <w:rPr>
          <w:rFonts w:hint="eastAsia" w:ascii="仿宋" w:hAnsi="仿宋" w:eastAsia="仿宋" w:cs="仿宋"/>
          <w:color w:val="auto"/>
          <w:sz w:val="24"/>
        </w:rPr>
        <w:tab/>
      </w:r>
      <w:r>
        <w:rPr>
          <w:rFonts w:hint="eastAsia" w:ascii="仿宋" w:hAnsi="仿宋" w:eastAsia="仿宋" w:cs="仿宋"/>
          <w:color w:val="auto"/>
          <w:sz w:val="24"/>
        </w:rPr>
        <w:t>15991929275</w:t>
      </w:r>
    </w:p>
    <w:p w14:paraId="08CE9837">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延安市宝塔区中心街</w:t>
      </w:r>
      <w:r>
        <w:rPr>
          <w:rFonts w:hint="eastAsia" w:ascii="仿宋" w:hAnsi="仿宋" w:eastAsia="仿宋" w:cs="仿宋"/>
          <w:color w:val="auto"/>
          <w:sz w:val="24"/>
        </w:rPr>
        <w:tab/>
      </w:r>
      <w:r>
        <w:rPr>
          <w:rFonts w:hint="eastAsia" w:ascii="仿宋" w:hAnsi="仿宋" w:eastAsia="仿宋" w:cs="仿宋"/>
          <w:color w:val="auto"/>
          <w:sz w:val="24"/>
        </w:rPr>
        <w:t>陈进佃</w:t>
      </w:r>
      <w:r>
        <w:rPr>
          <w:rFonts w:hint="eastAsia" w:ascii="仿宋" w:hAnsi="仿宋" w:eastAsia="仿宋" w:cs="仿宋"/>
          <w:color w:val="auto"/>
          <w:sz w:val="24"/>
        </w:rPr>
        <w:tab/>
      </w:r>
      <w:r>
        <w:rPr>
          <w:rFonts w:hint="eastAsia" w:ascii="仿宋" w:hAnsi="仿宋" w:eastAsia="仿宋" w:cs="仿宋"/>
          <w:color w:val="auto"/>
          <w:sz w:val="24"/>
        </w:rPr>
        <w:t>15609110557</w:t>
      </w:r>
    </w:p>
    <w:p w14:paraId="0CABECC9">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汉中市石灰巷21号</w:t>
      </w:r>
      <w:r>
        <w:rPr>
          <w:rFonts w:hint="eastAsia" w:ascii="仿宋" w:hAnsi="仿宋" w:eastAsia="仿宋" w:cs="仿宋"/>
          <w:color w:val="auto"/>
          <w:sz w:val="24"/>
        </w:rPr>
        <w:tab/>
      </w:r>
      <w:r>
        <w:rPr>
          <w:rFonts w:hint="eastAsia" w:ascii="仿宋" w:hAnsi="仿宋" w:eastAsia="仿宋" w:cs="仿宋"/>
          <w:color w:val="auto"/>
          <w:sz w:val="24"/>
        </w:rPr>
        <w:t>王晨旭</w:t>
      </w:r>
      <w:r>
        <w:rPr>
          <w:rFonts w:hint="eastAsia" w:ascii="仿宋" w:hAnsi="仿宋" w:eastAsia="仿宋" w:cs="仿宋"/>
          <w:color w:val="auto"/>
          <w:sz w:val="24"/>
        </w:rPr>
        <w:tab/>
      </w:r>
      <w:r>
        <w:rPr>
          <w:rFonts w:hint="eastAsia" w:ascii="仿宋" w:hAnsi="仿宋" w:eastAsia="仿宋" w:cs="仿宋"/>
          <w:color w:val="auto"/>
          <w:sz w:val="24"/>
        </w:rPr>
        <w:t>15319375850</w:t>
      </w:r>
    </w:p>
    <w:p w14:paraId="3A09E28F">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安康分行</w:t>
      </w:r>
      <w:r>
        <w:rPr>
          <w:rFonts w:hint="eastAsia" w:ascii="仿宋" w:hAnsi="仿宋" w:eastAsia="仿宋" w:cs="仿宋"/>
          <w:color w:val="auto"/>
          <w:sz w:val="24"/>
        </w:rPr>
        <w:tab/>
      </w:r>
      <w:r>
        <w:rPr>
          <w:rFonts w:hint="eastAsia" w:ascii="仿宋" w:hAnsi="仿宋" w:eastAsia="仿宋" w:cs="仿宋"/>
          <w:color w:val="auto"/>
          <w:sz w:val="24"/>
        </w:rPr>
        <w:t>安康市育才路102号</w:t>
      </w:r>
      <w:r>
        <w:rPr>
          <w:rFonts w:hint="eastAsia" w:ascii="仿宋" w:hAnsi="仿宋" w:eastAsia="仿宋" w:cs="仿宋"/>
          <w:color w:val="auto"/>
          <w:sz w:val="24"/>
        </w:rPr>
        <w:tab/>
      </w:r>
      <w:r>
        <w:rPr>
          <w:rFonts w:hint="eastAsia" w:ascii="仿宋" w:hAnsi="仿宋" w:eastAsia="仿宋" w:cs="仿宋"/>
          <w:color w:val="auto"/>
          <w:sz w:val="24"/>
        </w:rPr>
        <w:t>张少帅</w:t>
      </w:r>
      <w:r>
        <w:rPr>
          <w:rFonts w:hint="eastAsia" w:ascii="仿宋" w:hAnsi="仿宋" w:eastAsia="仿宋" w:cs="仿宋"/>
          <w:color w:val="auto"/>
          <w:sz w:val="24"/>
        </w:rPr>
        <w:tab/>
      </w:r>
      <w:r>
        <w:rPr>
          <w:rFonts w:hint="eastAsia" w:ascii="仿宋" w:hAnsi="仿宋" w:eastAsia="仿宋" w:cs="仿宋"/>
          <w:color w:val="auto"/>
          <w:sz w:val="24"/>
        </w:rPr>
        <w:t>13165762680</w:t>
      </w:r>
    </w:p>
    <w:p w14:paraId="6B225407">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商洛市名人街广电大楼下</w:t>
      </w:r>
      <w:r>
        <w:rPr>
          <w:rFonts w:hint="eastAsia" w:ascii="仿宋" w:hAnsi="仿宋" w:eastAsia="仿宋" w:cs="仿宋"/>
          <w:color w:val="auto"/>
          <w:sz w:val="24"/>
        </w:rPr>
        <w:tab/>
      </w:r>
      <w:r>
        <w:rPr>
          <w:rFonts w:hint="eastAsia" w:ascii="仿宋" w:hAnsi="仿宋" w:eastAsia="仿宋" w:cs="仿宋"/>
          <w:color w:val="auto"/>
          <w:sz w:val="24"/>
        </w:rPr>
        <w:t>郭  杨</w:t>
      </w:r>
      <w:r>
        <w:rPr>
          <w:rFonts w:hint="eastAsia" w:ascii="仿宋" w:hAnsi="仿宋" w:eastAsia="仿宋" w:cs="仿宋"/>
          <w:color w:val="auto"/>
          <w:sz w:val="24"/>
        </w:rPr>
        <w:tab/>
      </w:r>
      <w:r>
        <w:rPr>
          <w:rFonts w:hint="eastAsia" w:ascii="仿宋" w:hAnsi="仿宋" w:eastAsia="仿宋" w:cs="仿宋"/>
          <w:color w:val="auto"/>
          <w:sz w:val="24"/>
        </w:rPr>
        <w:t>17809267188</w:t>
      </w:r>
    </w:p>
    <w:p w14:paraId="51D565B2">
      <w:pPr>
        <w:spacing w:line="360" w:lineRule="exact"/>
        <w:rPr>
          <w:rFonts w:hint="eastAsia" w:ascii="仿宋" w:hAnsi="仿宋" w:eastAsia="仿宋" w:cs="仿宋"/>
          <w:b/>
          <w:color w:val="auto"/>
          <w:sz w:val="24"/>
        </w:rPr>
      </w:pPr>
      <w:r>
        <w:rPr>
          <w:rFonts w:hint="eastAsia" w:ascii="仿宋" w:hAnsi="仿宋" w:eastAsia="仿宋" w:cs="仿宋"/>
          <w:b/>
          <w:color w:val="auto"/>
          <w:sz w:val="24"/>
        </w:rPr>
        <w:t>二、北京银行（政府订单贷）</w:t>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p>
    <w:p w14:paraId="13E646C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西安分行营业部</w:t>
      </w:r>
      <w:r>
        <w:rPr>
          <w:rFonts w:hint="eastAsia" w:ascii="仿宋" w:hAnsi="仿宋" w:eastAsia="仿宋" w:cs="仿宋"/>
          <w:color w:val="auto"/>
          <w:sz w:val="24"/>
        </w:rPr>
        <w:tab/>
      </w:r>
      <w:r>
        <w:rPr>
          <w:rFonts w:hint="eastAsia" w:ascii="仿宋" w:hAnsi="仿宋" w:eastAsia="仿宋" w:cs="仿宋"/>
          <w:color w:val="auto"/>
          <w:sz w:val="24"/>
        </w:rPr>
        <w:t xml:space="preserve">        刘晓伟</w:t>
      </w:r>
      <w:r>
        <w:rPr>
          <w:rFonts w:hint="eastAsia" w:ascii="仿宋" w:hAnsi="仿宋" w:eastAsia="仿宋" w:cs="仿宋"/>
          <w:color w:val="auto"/>
          <w:sz w:val="24"/>
        </w:rPr>
        <w:tab/>
      </w:r>
      <w:r>
        <w:rPr>
          <w:rFonts w:hint="eastAsia" w:ascii="仿宋" w:hAnsi="仿宋" w:eastAsia="仿宋" w:cs="仿宋"/>
          <w:color w:val="auto"/>
          <w:sz w:val="24"/>
        </w:rPr>
        <w:t>总经理助理</w:t>
      </w:r>
      <w:r>
        <w:rPr>
          <w:rFonts w:hint="eastAsia" w:ascii="仿宋" w:hAnsi="仿宋" w:eastAsia="仿宋" w:cs="仿宋"/>
          <w:color w:val="auto"/>
          <w:sz w:val="24"/>
        </w:rPr>
        <w:tab/>
      </w:r>
      <w:r>
        <w:rPr>
          <w:rFonts w:hint="eastAsia" w:ascii="仿宋" w:hAnsi="仿宋" w:eastAsia="仿宋" w:cs="仿宋"/>
          <w:color w:val="auto"/>
          <w:sz w:val="24"/>
        </w:rPr>
        <w:t>029-61828763</w:t>
      </w:r>
      <w:r>
        <w:rPr>
          <w:rFonts w:hint="eastAsia" w:ascii="仿宋" w:hAnsi="仿宋" w:eastAsia="仿宋" w:cs="仿宋"/>
          <w:color w:val="auto"/>
          <w:sz w:val="24"/>
        </w:rPr>
        <w:tab/>
      </w:r>
      <w:r>
        <w:rPr>
          <w:rFonts w:hint="eastAsia" w:ascii="仿宋" w:hAnsi="仿宋" w:eastAsia="仿宋" w:cs="仿宋"/>
          <w:color w:val="auto"/>
          <w:sz w:val="24"/>
        </w:rPr>
        <w:t>18066630518</w:t>
      </w:r>
    </w:p>
    <w:p w14:paraId="27EB16A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西安高新开发区支行</w:t>
      </w:r>
      <w:r>
        <w:rPr>
          <w:rFonts w:hint="eastAsia" w:ascii="仿宋" w:hAnsi="仿宋" w:eastAsia="仿宋" w:cs="仿宋"/>
          <w:color w:val="auto"/>
          <w:sz w:val="24"/>
        </w:rPr>
        <w:tab/>
      </w:r>
      <w:r>
        <w:rPr>
          <w:rFonts w:hint="eastAsia" w:ascii="仿宋" w:hAnsi="仿宋" w:eastAsia="仿宋" w:cs="仿宋"/>
          <w:color w:val="auto"/>
          <w:sz w:val="24"/>
        </w:rPr>
        <w:t xml:space="preserve">    梁凡</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029-61828531</w:t>
      </w:r>
      <w:r>
        <w:rPr>
          <w:rFonts w:hint="eastAsia" w:ascii="仿宋" w:hAnsi="仿宋" w:eastAsia="仿宋" w:cs="仿宋"/>
          <w:color w:val="auto"/>
          <w:sz w:val="24"/>
        </w:rPr>
        <w:tab/>
      </w:r>
      <w:r>
        <w:rPr>
          <w:rFonts w:hint="eastAsia" w:ascii="仿宋" w:hAnsi="仿宋" w:eastAsia="仿宋" w:cs="仿宋"/>
          <w:color w:val="auto"/>
          <w:sz w:val="24"/>
        </w:rPr>
        <w:t>18681945597</w:t>
      </w:r>
    </w:p>
    <w:p w14:paraId="6EAAA53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西安曲江文创支行</w:t>
      </w:r>
      <w:r>
        <w:rPr>
          <w:rFonts w:hint="eastAsia" w:ascii="仿宋" w:hAnsi="仿宋" w:eastAsia="仿宋" w:cs="仿宋"/>
          <w:color w:val="auto"/>
          <w:sz w:val="24"/>
        </w:rPr>
        <w:tab/>
      </w:r>
      <w:r>
        <w:rPr>
          <w:rFonts w:hint="eastAsia" w:ascii="仿宋" w:hAnsi="仿宋" w:eastAsia="仿宋" w:cs="仿宋"/>
          <w:color w:val="auto"/>
          <w:sz w:val="24"/>
        </w:rPr>
        <w:t xml:space="preserve">    蒋超</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029-65667366</w:t>
      </w:r>
      <w:r>
        <w:rPr>
          <w:rFonts w:hint="eastAsia" w:ascii="仿宋" w:hAnsi="仿宋" w:eastAsia="仿宋" w:cs="仿宋"/>
          <w:color w:val="auto"/>
          <w:sz w:val="24"/>
        </w:rPr>
        <w:tab/>
      </w:r>
      <w:r>
        <w:rPr>
          <w:rFonts w:hint="eastAsia" w:ascii="仿宋" w:hAnsi="仿宋" w:eastAsia="仿宋" w:cs="仿宋"/>
          <w:color w:val="auto"/>
          <w:sz w:val="24"/>
        </w:rPr>
        <w:t>15891737329</w:t>
      </w:r>
    </w:p>
    <w:p w14:paraId="5E528D1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西安经济技术开发区支行</w:t>
      </w:r>
      <w:r>
        <w:rPr>
          <w:rFonts w:hint="eastAsia" w:ascii="仿宋" w:hAnsi="仿宋" w:eastAsia="仿宋" w:cs="仿宋"/>
          <w:color w:val="auto"/>
          <w:sz w:val="24"/>
        </w:rPr>
        <w:tab/>
      </w:r>
      <w:r>
        <w:rPr>
          <w:rFonts w:hint="eastAsia" w:ascii="仿宋" w:hAnsi="仿宋" w:eastAsia="仿宋" w:cs="仿宋"/>
          <w:color w:val="auto"/>
          <w:sz w:val="24"/>
        </w:rPr>
        <w:t>孟庆龙</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029-61828272</w:t>
      </w:r>
      <w:r>
        <w:rPr>
          <w:rFonts w:hint="eastAsia" w:ascii="仿宋" w:hAnsi="仿宋" w:eastAsia="仿宋" w:cs="仿宋"/>
          <w:color w:val="auto"/>
          <w:sz w:val="24"/>
        </w:rPr>
        <w:tab/>
      </w:r>
      <w:r>
        <w:rPr>
          <w:rFonts w:hint="eastAsia" w:ascii="仿宋" w:hAnsi="仿宋" w:eastAsia="仿宋" w:cs="仿宋"/>
          <w:color w:val="auto"/>
          <w:sz w:val="24"/>
        </w:rPr>
        <w:t>13991990373</w:t>
      </w:r>
    </w:p>
    <w:p w14:paraId="62D9C8B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西安长缨路支行</w:t>
      </w:r>
      <w:r>
        <w:rPr>
          <w:rFonts w:hint="eastAsia" w:ascii="仿宋" w:hAnsi="仿宋" w:eastAsia="仿宋" w:cs="仿宋"/>
          <w:color w:val="auto"/>
          <w:sz w:val="24"/>
        </w:rPr>
        <w:tab/>
      </w:r>
      <w:r>
        <w:rPr>
          <w:rFonts w:hint="eastAsia" w:ascii="仿宋" w:hAnsi="仿宋" w:eastAsia="仿宋" w:cs="仿宋"/>
          <w:color w:val="auto"/>
          <w:sz w:val="24"/>
        </w:rPr>
        <w:t xml:space="preserve">        范凯</w:t>
      </w:r>
      <w:r>
        <w:rPr>
          <w:rFonts w:hint="eastAsia" w:ascii="仿宋" w:hAnsi="仿宋" w:eastAsia="仿宋" w:cs="仿宋"/>
          <w:color w:val="auto"/>
          <w:sz w:val="24"/>
        </w:rPr>
        <w:tab/>
      </w:r>
      <w:r>
        <w:rPr>
          <w:rFonts w:hint="eastAsia" w:ascii="仿宋" w:hAnsi="仿宋" w:eastAsia="仿宋" w:cs="仿宋"/>
          <w:color w:val="auto"/>
          <w:sz w:val="24"/>
        </w:rPr>
        <w:t>副行长</w:t>
      </w:r>
      <w:r>
        <w:rPr>
          <w:rFonts w:hint="eastAsia" w:ascii="仿宋" w:hAnsi="仿宋" w:eastAsia="仿宋" w:cs="仿宋"/>
          <w:color w:val="auto"/>
          <w:sz w:val="24"/>
        </w:rPr>
        <w:tab/>
      </w:r>
      <w:r>
        <w:rPr>
          <w:rFonts w:hint="eastAsia" w:ascii="仿宋" w:hAnsi="仿宋" w:eastAsia="仿宋" w:cs="仿宋"/>
          <w:color w:val="auto"/>
          <w:sz w:val="24"/>
        </w:rPr>
        <w:t>029-68717760</w:t>
      </w:r>
      <w:r>
        <w:rPr>
          <w:rFonts w:hint="eastAsia" w:ascii="仿宋" w:hAnsi="仿宋" w:eastAsia="仿宋" w:cs="仿宋"/>
          <w:color w:val="auto"/>
          <w:sz w:val="24"/>
        </w:rPr>
        <w:tab/>
      </w:r>
      <w:r>
        <w:rPr>
          <w:rFonts w:hint="eastAsia" w:ascii="仿宋" w:hAnsi="仿宋" w:eastAsia="仿宋" w:cs="仿宋"/>
          <w:color w:val="auto"/>
          <w:sz w:val="24"/>
        </w:rPr>
        <w:t>13991315609</w:t>
      </w:r>
    </w:p>
    <w:p w14:paraId="7DD4990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长安区西长安街支行   </w:t>
      </w:r>
      <w:r>
        <w:rPr>
          <w:rFonts w:hint="eastAsia" w:ascii="仿宋" w:hAnsi="仿宋" w:eastAsia="仿宋" w:cs="仿宋"/>
          <w:color w:val="auto"/>
          <w:sz w:val="24"/>
        </w:rPr>
        <w:tab/>
      </w:r>
      <w:r>
        <w:rPr>
          <w:rFonts w:hint="eastAsia" w:ascii="仿宋" w:hAnsi="仿宋" w:eastAsia="仿宋" w:cs="仿宋"/>
          <w:color w:val="auto"/>
          <w:sz w:val="24"/>
        </w:rPr>
        <w:t>陈明</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029-85724301</w:t>
      </w:r>
      <w:r>
        <w:rPr>
          <w:rFonts w:hint="eastAsia" w:ascii="仿宋" w:hAnsi="仿宋" w:eastAsia="仿宋" w:cs="仿宋"/>
          <w:color w:val="auto"/>
          <w:sz w:val="24"/>
        </w:rPr>
        <w:tab/>
      </w:r>
      <w:r>
        <w:rPr>
          <w:rFonts w:hint="eastAsia" w:ascii="仿宋" w:hAnsi="仿宋" w:eastAsia="仿宋" w:cs="仿宋"/>
          <w:color w:val="auto"/>
          <w:sz w:val="24"/>
        </w:rPr>
        <w:t>18149209660</w:t>
      </w:r>
    </w:p>
    <w:p w14:paraId="48C907D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泾渭工业园支行</w:t>
      </w:r>
      <w:r>
        <w:rPr>
          <w:rFonts w:hint="eastAsia" w:ascii="仿宋" w:hAnsi="仿宋" w:eastAsia="仿宋" w:cs="仿宋"/>
          <w:color w:val="auto"/>
          <w:sz w:val="24"/>
        </w:rPr>
        <w:tab/>
      </w:r>
      <w:r>
        <w:rPr>
          <w:rFonts w:hint="eastAsia" w:ascii="仿宋" w:hAnsi="仿宋" w:eastAsia="仿宋" w:cs="仿宋"/>
          <w:color w:val="auto"/>
          <w:sz w:val="24"/>
        </w:rPr>
        <w:t xml:space="preserve">        杨奕</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029-68213773</w:t>
      </w:r>
      <w:r>
        <w:rPr>
          <w:rFonts w:hint="eastAsia" w:ascii="仿宋" w:hAnsi="仿宋" w:eastAsia="仿宋" w:cs="仿宋"/>
          <w:color w:val="auto"/>
          <w:sz w:val="24"/>
        </w:rPr>
        <w:tab/>
      </w:r>
      <w:r>
        <w:rPr>
          <w:rFonts w:hint="eastAsia" w:ascii="仿宋" w:hAnsi="仿宋" w:eastAsia="仿宋" w:cs="仿宋"/>
          <w:color w:val="auto"/>
          <w:sz w:val="24"/>
        </w:rPr>
        <w:t>15934802021</w:t>
      </w:r>
    </w:p>
    <w:p w14:paraId="12178D5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北客站科技支行</w:t>
      </w:r>
      <w:r>
        <w:rPr>
          <w:rFonts w:hint="eastAsia" w:ascii="仿宋" w:hAnsi="仿宋" w:eastAsia="仿宋" w:cs="仿宋"/>
          <w:color w:val="auto"/>
          <w:sz w:val="24"/>
        </w:rPr>
        <w:tab/>
      </w:r>
      <w:r>
        <w:rPr>
          <w:rFonts w:hint="eastAsia" w:ascii="仿宋" w:hAnsi="仿宋" w:eastAsia="仿宋" w:cs="仿宋"/>
          <w:color w:val="auto"/>
          <w:sz w:val="24"/>
        </w:rPr>
        <w:t xml:space="preserve">        周洁</w:t>
      </w:r>
      <w:r>
        <w:rPr>
          <w:rFonts w:hint="eastAsia" w:ascii="仿宋" w:hAnsi="仿宋" w:eastAsia="仿宋" w:cs="仿宋"/>
          <w:color w:val="auto"/>
          <w:sz w:val="24"/>
        </w:rPr>
        <w:tab/>
      </w:r>
      <w:r>
        <w:rPr>
          <w:rFonts w:hint="eastAsia" w:ascii="仿宋" w:hAnsi="仿宋" w:eastAsia="仿宋" w:cs="仿宋"/>
          <w:color w:val="auto"/>
          <w:sz w:val="24"/>
        </w:rPr>
        <w:t>副行长</w:t>
      </w:r>
      <w:r>
        <w:rPr>
          <w:rFonts w:hint="eastAsia" w:ascii="仿宋" w:hAnsi="仿宋" w:eastAsia="仿宋" w:cs="仿宋"/>
          <w:color w:val="auto"/>
          <w:sz w:val="24"/>
        </w:rPr>
        <w:tab/>
      </w:r>
      <w:r>
        <w:rPr>
          <w:rFonts w:hint="eastAsia" w:ascii="仿宋" w:hAnsi="仿宋" w:eastAsia="仿宋" w:cs="仿宋"/>
          <w:color w:val="auto"/>
          <w:sz w:val="24"/>
        </w:rPr>
        <w:t>029-61828129</w:t>
      </w:r>
      <w:r>
        <w:rPr>
          <w:rFonts w:hint="eastAsia" w:ascii="仿宋" w:hAnsi="仿宋" w:eastAsia="仿宋" w:cs="仿宋"/>
          <w:color w:val="auto"/>
          <w:sz w:val="24"/>
        </w:rPr>
        <w:tab/>
      </w:r>
      <w:r>
        <w:rPr>
          <w:rFonts w:hint="eastAsia" w:ascii="仿宋" w:hAnsi="仿宋" w:eastAsia="仿宋" w:cs="仿宋"/>
          <w:color w:val="auto"/>
          <w:sz w:val="24"/>
        </w:rPr>
        <w:t>18629518636</w:t>
      </w:r>
    </w:p>
    <w:p w14:paraId="1C7BB3C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解放路支行</w:t>
      </w:r>
      <w:r>
        <w:rPr>
          <w:rFonts w:hint="eastAsia" w:ascii="仿宋" w:hAnsi="仿宋" w:eastAsia="仿宋" w:cs="仿宋"/>
          <w:color w:val="auto"/>
          <w:sz w:val="24"/>
        </w:rPr>
        <w:tab/>
      </w:r>
      <w:r>
        <w:rPr>
          <w:rFonts w:hint="eastAsia" w:ascii="仿宋" w:hAnsi="仿宋" w:eastAsia="仿宋" w:cs="仿宋"/>
          <w:color w:val="auto"/>
          <w:sz w:val="24"/>
        </w:rPr>
        <w:t xml:space="preserve">            王莉</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029-61828185</w:t>
      </w:r>
      <w:r>
        <w:rPr>
          <w:rFonts w:hint="eastAsia" w:ascii="仿宋" w:hAnsi="仿宋" w:eastAsia="仿宋" w:cs="仿宋"/>
          <w:color w:val="auto"/>
          <w:sz w:val="24"/>
        </w:rPr>
        <w:tab/>
      </w:r>
      <w:r>
        <w:rPr>
          <w:rFonts w:hint="eastAsia" w:ascii="仿宋" w:hAnsi="仿宋" w:eastAsia="仿宋" w:cs="仿宋"/>
          <w:color w:val="auto"/>
          <w:sz w:val="24"/>
        </w:rPr>
        <w:t>15802966196</w:t>
      </w:r>
    </w:p>
    <w:p w14:paraId="2C180AB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 xml:space="preserve">            奥宝森</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0911-8076038</w:t>
      </w:r>
      <w:r>
        <w:rPr>
          <w:rFonts w:hint="eastAsia" w:ascii="仿宋" w:hAnsi="仿宋" w:eastAsia="仿宋" w:cs="仿宋"/>
          <w:color w:val="auto"/>
          <w:sz w:val="24"/>
        </w:rPr>
        <w:tab/>
      </w:r>
      <w:r>
        <w:rPr>
          <w:rFonts w:hint="eastAsia" w:ascii="仿宋" w:hAnsi="仿宋" w:eastAsia="仿宋" w:cs="仿宋"/>
          <w:color w:val="auto"/>
          <w:sz w:val="24"/>
        </w:rPr>
        <w:t>15592925222</w:t>
      </w:r>
    </w:p>
    <w:p w14:paraId="52B9B0FF">
      <w:pPr>
        <w:spacing w:line="360" w:lineRule="exact"/>
        <w:rPr>
          <w:rFonts w:hint="eastAsia" w:ascii="仿宋" w:hAnsi="仿宋" w:eastAsia="仿宋" w:cs="仿宋"/>
          <w:b/>
          <w:color w:val="auto"/>
          <w:sz w:val="24"/>
        </w:rPr>
      </w:pPr>
      <w:r>
        <w:rPr>
          <w:rFonts w:hint="eastAsia" w:ascii="仿宋" w:hAnsi="仿宋" w:eastAsia="仿宋" w:cs="仿宋"/>
          <w:b/>
          <w:color w:val="auto"/>
          <w:sz w:val="24"/>
        </w:rPr>
        <w:t>三、工商银行（政采贷）</w:t>
      </w:r>
    </w:p>
    <w:p w14:paraId="4E00869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张岭</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0912-6183827</w:t>
      </w:r>
      <w:r>
        <w:rPr>
          <w:rFonts w:hint="eastAsia" w:ascii="仿宋" w:hAnsi="仿宋" w:eastAsia="仿宋" w:cs="仿宋"/>
          <w:color w:val="auto"/>
          <w:sz w:val="24"/>
        </w:rPr>
        <w:tab/>
      </w:r>
      <w:r>
        <w:rPr>
          <w:rFonts w:hint="eastAsia" w:ascii="仿宋" w:hAnsi="仿宋" w:eastAsia="仿宋" w:cs="仿宋"/>
          <w:color w:val="auto"/>
          <w:sz w:val="24"/>
        </w:rPr>
        <w:t>15353386777</w:t>
      </w:r>
    </w:p>
    <w:p w14:paraId="1900D62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郭进</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0917-3238282</w:t>
      </w:r>
      <w:r>
        <w:rPr>
          <w:rFonts w:hint="eastAsia" w:ascii="仿宋" w:hAnsi="仿宋" w:eastAsia="仿宋" w:cs="仿宋"/>
          <w:color w:val="auto"/>
          <w:sz w:val="24"/>
        </w:rPr>
        <w:tab/>
      </w:r>
      <w:r>
        <w:rPr>
          <w:rFonts w:hint="eastAsia" w:ascii="仿宋" w:hAnsi="仿宋" w:eastAsia="仿宋" w:cs="仿宋"/>
          <w:color w:val="auto"/>
          <w:sz w:val="24"/>
        </w:rPr>
        <w:t>18991749262</w:t>
      </w:r>
    </w:p>
    <w:p w14:paraId="5E1FDAA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安康分行</w:t>
      </w:r>
      <w:r>
        <w:rPr>
          <w:rFonts w:hint="eastAsia" w:ascii="仿宋" w:hAnsi="仿宋" w:eastAsia="仿宋" w:cs="仿宋"/>
          <w:color w:val="auto"/>
          <w:sz w:val="24"/>
        </w:rPr>
        <w:tab/>
      </w:r>
      <w:r>
        <w:rPr>
          <w:rFonts w:hint="eastAsia" w:ascii="仿宋" w:hAnsi="仿宋" w:eastAsia="仿宋" w:cs="仿宋"/>
          <w:color w:val="auto"/>
          <w:sz w:val="24"/>
        </w:rPr>
        <w:t>郑婕</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0915-3236275</w:t>
      </w:r>
      <w:r>
        <w:rPr>
          <w:rFonts w:hint="eastAsia" w:ascii="仿宋" w:hAnsi="仿宋" w:eastAsia="仿宋" w:cs="仿宋"/>
          <w:color w:val="auto"/>
          <w:sz w:val="24"/>
        </w:rPr>
        <w:tab/>
      </w:r>
      <w:r>
        <w:rPr>
          <w:rFonts w:hint="eastAsia" w:ascii="仿宋" w:hAnsi="仿宋" w:eastAsia="仿宋" w:cs="仿宋"/>
          <w:color w:val="auto"/>
          <w:sz w:val="24"/>
        </w:rPr>
        <w:t>15667856663</w:t>
      </w:r>
    </w:p>
    <w:p w14:paraId="50BE309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铜川分行</w:t>
      </w:r>
      <w:r>
        <w:rPr>
          <w:rFonts w:hint="eastAsia" w:ascii="仿宋" w:hAnsi="仿宋" w:eastAsia="仿宋" w:cs="仿宋"/>
          <w:color w:val="auto"/>
          <w:sz w:val="24"/>
        </w:rPr>
        <w:tab/>
      </w:r>
      <w:r>
        <w:rPr>
          <w:rFonts w:hint="eastAsia" w:ascii="仿宋" w:hAnsi="仿宋" w:eastAsia="仿宋" w:cs="仿宋"/>
          <w:color w:val="auto"/>
          <w:sz w:val="24"/>
        </w:rPr>
        <w:t>彭东东</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0919-2151878</w:t>
      </w:r>
      <w:r>
        <w:rPr>
          <w:rFonts w:hint="eastAsia" w:ascii="仿宋" w:hAnsi="仿宋" w:eastAsia="仿宋" w:cs="仿宋"/>
          <w:color w:val="auto"/>
          <w:sz w:val="24"/>
        </w:rPr>
        <w:tab/>
      </w:r>
      <w:r>
        <w:rPr>
          <w:rFonts w:hint="eastAsia" w:ascii="仿宋" w:hAnsi="仿宋" w:eastAsia="仿宋" w:cs="仿宋"/>
          <w:color w:val="auto"/>
          <w:sz w:val="24"/>
        </w:rPr>
        <w:t>17392898832</w:t>
      </w:r>
    </w:p>
    <w:p w14:paraId="26CDF9E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党莹</w:t>
      </w:r>
      <w:r>
        <w:rPr>
          <w:rFonts w:hint="eastAsia" w:ascii="仿宋" w:hAnsi="仿宋" w:eastAsia="仿宋" w:cs="仿宋"/>
          <w:color w:val="auto"/>
          <w:sz w:val="24"/>
        </w:rPr>
        <w:tab/>
      </w:r>
      <w:r>
        <w:rPr>
          <w:rFonts w:hint="eastAsia" w:ascii="仿宋" w:hAnsi="仿宋" w:eastAsia="仿宋" w:cs="仿宋"/>
          <w:color w:val="auto"/>
          <w:sz w:val="24"/>
        </w:rPr>
        <w:t>经理助理</w:t>
      </w:r>
      <w:r>
        <w:rPr>
          <w:rFonts w:hint="eastAsia" w:ascii="仿宋" w:hAnsi="仿宋" w:eastAsia="仿宋" w:cs="仿宋"/>
          <w:color w:val="auto"/>
          <w:sz w:val="24"/>
        </w:rPr>
        <w:tab/>
      </w:r>
      <w:r>
        <w:rPr>
          <w:rFonts w:hint="eastAsia" w:ascii="仿宋" w:hAnsi="仿宋" w:eastAsia="仿宋" w:cs="仿宋"/>
          <w:color w:val="auto"/>
          <w:sz w:val="24"/>
        </w:rPr>
        <w:t>0911-2380826</w:t>
      </w:r>
      <w:r>
        <w:rPr>
          <w:rFonts w:hint="eastAsia" w:ascii="仿宋" w:hAnsi="仿宋" w:eastAsia="仿宋" w:cs="仿宋"/>
          <w:color w:val="auto"/>
          <w:sz w:val="24"/>
        </w:rPr>
        <w:tab/>
      </w:r>
      <w:r>
        <w:rPr>
          <w:rFonts w:hint="eastAsia" w:ascii="仿宋" w:hAnsi="仿宋" w:eastAsia="仿宋" w:cs="仿宋"/>
          <w:color w:val="auto"/>
          <w:sz w:val="24"/>
        </w:rPr>
        <w:t>15291142933</w:t>
      </w:r>
    </w:p>
    <w:p w14:paraId="74DEACB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杨薇薇</w:t>
      </w:r>
      <w:r>
        <w:rPr>
          <w:rFonts w:hint="eastAsia" w:ascii="仿宋" w:hAnsi="仿宋" w:eastAsia="仿宋" w:cs="仿宋"/>
          <w:color w:val="auto"/>
          <w:sz w:val="24"/>
        </w:rPr>
        <w:tab/>
      </w:r>
      <w:r>
        <w:rPr>
          <w:rFonts w:hint="eastAsia" w:ascii="仿宋" w:hAnsi="仿宋" w:eastAsia="仿宋" w:cs="仿宋"/>
          <w:color w:val="auto"/>
          <w:sz w:val="24"/>
        </w:rPr>
        <w:t>部门副经理</w:t>
      </w:r>
      <w:r>
        <w:rPr>
          <w:rFonts w:hint="eastAsia" w:ascii="仿宋" w:hAnsi="仿宋" w:eastAsia="仿宋" w:cs="仿宋"/>
          <w:color w:val="auto"/>
          <w:sz w:val="24"/>
        </w:rPr>
        <w:tab/>
      </w:r>
      <w:r>
        <w:rPr>
          <w:rFonts w:hint="eastAsia" w:ascii="仿宋" w:hAnsi="仿宋" w:eastAsia="仿宋" w:cs="仿宋"/>
          <w:color w:val="auto"/>
          <w:sz w:val="24"/>
        </w:rPr>
        <w:t>0916-2606773</w:t>
      </w:r>
      <w:r>
        <w:rPr>
          <w:rFonts w:hint="eastAsia" w:ascii="仿宋" w:hAnsi="仿宋" w:eastAsia="仿宋" w:cs="仿宋"/>
          <w:color w:val="auto"/>
          <w:sz w:val="24"/>
        </w:rPr>
        <w:tab/>
      </w:r>
      <w:r>
        <w:rPr>
          <w:rFonts w:hint="eastAsia" w:ascii="仿宋" w:hAnsi="仿宋" w:eastAsia="仿宋" w:cs="仿宋"/>
          <w:color w:val="auto"/>
          <w:sz w:val="24"/>
        </w:rPr>
        <w:t>18591607453</w:t>
      </w:r>
    </w:p>
    <w:p w14:paraId="756E01C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张欢</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09132095066</w:t>
      </w:r>
      <w:r>
        <w:rPr>
          <w:rFonts w:hint="eastAsia" w:ascii="仿宋" w:hAnsi="仿宋" w:eastAsia="仿宋" w:cs="仿宋"/>
          <w:color w:val="auto"/>
          <w:sz w:val="24"/>
        </w:rPr>
        <w:tab/>
      </w:r>
      <w:r>
        <w:rPr>
          <w:rFonts w:hint="eastAsia" w:ascii="仿宋" w:hAnsi="仿宋" w:eastAsia="仿宋" w:cs="仿宋"/>
          <w:color w:val="auto"/>
          <w:sz w:val="24"/>
        </w:rPr>
        <w:t>15229730006</w:t>
      </w:r>
    </w:p>
    <w:p w14:paraId="3297E34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袁霖</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029-33259370</w:t>
      </w:r>
      <w:r>
        <w:rPr>
          <w:rFonts w:hint="eastAsia" w:ascii="仿宋" w:hAnsi="仿宋" w:eastAsia="仿宋" w:cs="仿宋"/>
          <w:color w:val="auto"/>
          <w:sz w:val="24"/>
        </w:rPr>
        <w:tab/>
      </w:r>
      <w:r>
        <w:rPr>
          <w:rFonts w:hint="eastAsia" w:ascii="仿宋" w:hAnsi="仿宋" w:eastAsia="仿宋" w:cs="仿宋"/>
          <w:color w:val="auto"/>
          <w:sz w:val="24"/>
        </w:rPr>
        <w:t>18591006506</w:t>
      </w:r>
    </w:p>
    <w:p w14:paraId="0DEB0D3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张铮</w:t>
      </w:r>
      <w:r>
        <w:rPr>
          <w:rFonts w:hint="eastAsia" w:ascii="仿宋" w:hAnsi="仿宋" w:eastAsia="仿宋" w:cs="仿宋"/>
          <w:color w:val="auto"/>
          <w:sz w:val="24"/>
        </w:rPr>
        <w:tab/>
      </w:r>
      <w:r>
        <w:rPr>
          <w:rFonts w:hint="eastAsia" w:ascii="仿宋" w:hAnsi="仿宋" w:eastAsia="仿宋" w:cs="仿宋"/>
          <w:color w:val="auto"/>
          <w:sz w:val="24"/>
        </w:rPr>
        <w:t>经理助理</w:t>
      </w:r>
      <w:r>
        <w:rPr>
          <w:rFonts w:hint="eastAsia" w:ascii="仿宋" w:hAnsi="仿宋" w:eastAsia="仿宋" w:cs="仿宋"/>
          <w:color w:val="auto"/>
          <w:sz w:val="24"/>
        </w:rPr>
        <w:tab/>
      </w:r>
      <w:r>
        <w:rPr>
          <w:rFonts w:hint="eastAsia" w:ascii="仿宋" w:hAnsi="仿宋" w:eastAsia="仿宋" w:cs="仿宋"/>
          <w:color w:val="auto"/>
          <w:sz w:val="24"/>
        </w:rPr>
        <w:t>0914-2310908</w:t>
      </w:r>
      <w:r>
        <w:rPr>
          <w:rFonts w:hint="eastAsia" w:ascii="仿宋" w:hAnsi="仿宋" w:eastAsia="仿宋" w:cs="仿宋"/>
          <w:color w:val="auto"/>
          <w:sz w:val="24"/>
        </w:rPr>
        <w:tab/>
      </w:r>
      <w:r>
        <w:rPr>
          <w:rFonts w:hint="eastAsia" w:ascii="仿宋" w:hAnsi="仿宋" w:eastAsia="仿宋" w:cs="仿宋"/>
          <w:color w:val="auto"/>
          <w:sz w:val="24"/>
        </w:rPr>
        <w:t>18691410305</w:t>
      </w:r>
    </w:p>
    <w:p w14:paraId="0AFFAAA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余勇博</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0914-2310908</w:t>
      </w:r>
      <w:r>
        <w:rPr>
          <w:rFonts w:hint="eastAsia" w:ascii="仿宋" w:hAnsi="仿宋" w:eastAsia="仿宋" w:cs="仿宋"/>
          <w:color w:val="auto"/>
          <w:sz w:val="24"/>
        </w:rPr>
        <w:tab/>
      </w:r>
      <w:r>
        <w:rPr>
          <w:rFonts w:hint="eastAsia" w:ascii="仿宋" w:hAnsi="仿宋" w:eastAsia="仿宋" w:cs="仿宋"/>
          <w:color w:val="auto"/>
          <w:sz w:val="24"/>
        </w:rPr>
        <w:t>18092802280</w:t>
      </w:r>
    </w:p>
    <w:p w14:paraId="4DE0FA4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巩越</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029-87609419</w:t>
      </w:r>
      <w:r>
        <w:rPr>
          <w:rFonts w:hint="eastAsia" w:ascii="仿宋" w:hAnsi="仿宋" w:eastAsia="仿宋" w:cs="仿宋"/>
          <w:color w:val="auto"/>
          <w:sz w:val="24"/>
        </w:rPr>
        <w:tab/>
      </w:r>
      <w:r>
        <w:rPr>
          <w:rFonts w:hint="eastAsia" w:ascii="仿宋" w:hAnsi="仿宋" w:eastAsia="仿宋" w:cs="仿宋"/>
          <w:color w:val="auto"/>
          <w:sz w:val="24"/>
        </w:rPr>
        <w:t>18629450680</w:t>
      </w:r>
    </w:p>
    <w:p w14:paraId="25678FC6">
      <w:pPr>
        <w:spacing w:line="360" w:lineRule="exact"/>
        <w:rPr>
          <w:rFonts w:hint="eastAsia" w:ascii="仿宋" w:hAnsi="仿宋" w:eastAsia="仿宋" w:cs="仿宋"/>
          <w:b/>
          <w:color w:val="auto"/>
          <w:sz w:val="24"/>
        </w:rPr>
      </w:pPr>
      <w:r>
        <w:rPr>
          <w:rFonts w:hint="eastAsia" w:ascii="仿宋" w:hAnsi="仿宋" w:eastAsia="仿宋" w:cs="仿宋"/>
          <w:b/>
          <w:color w:val="auto"/>
          <w:sz w:val="24"/>
        </w:rPr>
        <w:t>四、中信银行 （政采e贷）</w:t>
      </w:r>
    </w:p>
    <w:p w14:paraId="6BF9DBD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西安市朱雀大街中段1号</w:t>
      </w:r>
      <w:r>
        <w:rPr>
          <w:rFonts w:hint="eastAsia" w:ascii="仿宋" w:hAnsi="仿宋" w:eastAsia="仿宋" w:cs="仿宋"/>
          <w:color w:val="auto"/>
          <w:sz w:val="24"/>
        </w:rPr>
        <w:tab/>
      </w:r>
      <w:r>
        <w:rPr>
          <w:rFonts w:hint="eastAsia" w:ascii="仿宋" w:hAnsi="仿宋" w:eastAsia="仿宋" w:cs="仿宋"/>
          <w:color w:val="auto"/>
          <w:sz w:val="24"/>
        </w:rPr>
        <w:t>曹晓聪</w:t>
      </w:r>
      <w:r>
        <w:rPr>
          <w:rFonts w:hint="eastAsia" w:ascii="仿宋" w:hAnsi="仿宋" w:eastAsia="仿宋" w:cs="仿宋"/>
          <w:color w:val="auto"/>
          <w:sz w:val="24"/>
        </w:rPr>
        <w:tab/>
      </w:r>
      <w:r>
        <w:rPr>
          <w:rFonts w:hint="eastAsia" w:ascii="仿宋" w:hAnsi="仿宋" w:eastAsia="仿宋" w:cs="仿宋"/>
          <w:color w:val="auto"/>
          <w:sz w:val="24"/>
        </w:rPr>
        <w:t>13759957407</w:t>
      </w:r>
    </w:p>
    <w:p w14:paraId="3FD0A6F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秦皇中路绿苑大厦</w:t>
      </w:r>
      <w:r>
        <w:rPr>
          <w:rFonts w:hint="eastAsia" w:ascii="仿宋" w:hAnsi="仿宋" w:eastAsia="仿宋" w:cs="仿宋"/>
          <w:color w:val="auto"/>
          <w:sz w:val="24"/>
        </w:rPr>
        <w:tab/>
      </w:r>
      <w:r>
        <w:rPr>
          <w:rFonts w:hint="eastAsia" w:ascii="仿宋" w:hAnsi="仿宋" w:eastAsia="仿宋" w:cs="仿宋"/>
          <w:color w:val="auto"/>
          <w:sz w:val="24"/>
        </w:rPr>
        <w:t>杭群</w:t>
      </w:r>
      <w:r>
        <w:rPr>
          <w:rFonts w:hint="eastAsia" w:ascii="仿宋" w:hAnsi="仿宋" w:eastAsia="仿宋" w:cs="仿宋"/>
          <w:color w:val="auto"/>
          <w:sz w:val="24"/>
        </w:rPr>
        <w:tab/>
      </w:r>
      <w:r>
        <w:rPr>
          <w:rFonts w:hint="eastAsia" w:ascii="仿宋" w:hAnsi="仿宋" w:eastAsia="仿宋" w:cs="仿宋"/>
          <w:color w:val="auto"/>
          <w:sz w:val="24"/>
        </w:rPr>
        <w:t>13992016859</w:t>
      </w:r>
    </w:p>
    <w:p w14:paraId="0E66B8C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宝鸡市高新大道50号财富大厦B座</w:t>
      </w:r>
      <w:r>
        <w:rPr>
          <w:rFonts w:hint="eastAsia" w:ascii="仿宋" w:hAnsi="仿宋" w:eastAsia="仿宋" w:cs="仿宋"/>
          <w:color w:val="auto"/>
          <w:sz w:val="24"/>
        </w:rPr>
        <w:tab/>
      </w:r>
      <w:r>
        <w:rPr>
          <w:rFonts w:hint="eastAsia" w:ascii="仿宋" w:hAnsi="仿宋" w:eastAsia="仿宋" w:cs="仿宋"/>
          <w:color w:val="auto"/>
          <w:sz w:val="24"/>
        </w:rPr>
        <w:t>王尧</w:t>
      </w:r>
      <w:r>
        <w:rPr>
          <w:rFonts w:hint="eastAsia" w:ascii="仿宋" w:hAnsi="仿宋" w:eastAsia="仿宋" w:cs="仿宋"/>
          <w:color w:val="auto"/>
          <w:sz w:val="24"/>
        </w:rPr>
        <w:tab/>
      </w:r>
      <w:r>
        <w:rPr>
          <w:rFonts w:hint="eastAsia" w:ascii="仿宋" w:hAnsi="仿宋" w:eastAsia="仿宋" w:cs="仿宋"/>
          <w:color w:val="auto"/>
          <w:sz w:val="24"/>
        </w:rPr>
        <w:t>13636762976</w:t>
      </w:r>
    </w:p>
    <w:p w14:paraId="25119F8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渭南市朝阳大街中段信达广场世纪明珠大厦</w:t>
      </w:r>
      <w:r>
        <w:rPr>
          <w:rFonts w:hint="eastAsia" w:ascii="仿宋" w:hAnsi="仿宋" w:eastAsia="仿宋" w:cs="仿宋"/>
          <w:color w:val="auto"/>
          <w:sz w:val="24"/>
        </w:rPr>
        <w:tab/>
      </w:r>
      <w:r>
        <w:rPr>
          <w:rFonts w:hint="eastAsia" w:ascii="仿宋" w:hAnsi="仿宋" w:eastAsia="仿宋" w:cs="仿宋"/>
          <w:color w:val="auto"/>
          <w:sz w:val="24"/>
        </w:rPr>
        <w:t>杨阳</w:t>
      </w:r>
      <w:r>
        <w:rPr>
          <w:rFonts w:hint="eastAsia" w:ascii="仿宋" w:hAnsi="仿宋" w:eastAsia="仿宋" w:cs="仿宋"/>
          <w:color w:val="auto"/>
          <w:sz w:val="24"/>
        </w:rPr>
        <w:tab/>
      </w:r>
      <w:r>
        <w:rPr>
          <w:rFonts w:hint="eastAsia" w:ascii="仿宋" w:hAnsi="仿宋" w:eastAsia="仿宋" w:cs="仿宋"/>
          <w:color w:val="auto"/>
          <w:sz w:val="24"/>
        </w:rPr>
        <w:t>18191815559</w:t>
      </w:r>
    </w:p>
    <w:p w14:paraId="57A3417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榆林市高新区长兴路248号中信银行</w:t>
      </w:r>
      <w:r>
        <w:rPr>
          <w:rFonts w:hint="eastAsia" w:ascii="仿宋" w:hAnsi="仿宋" w:eastAsia="仿宋" w:cs="仿宋"/>
          <w:color w:val="auto"/>
          <w:sz w:val="24"/>
        </w:rPr>
        <w:tab/>
      </w:r>
      <w:r>
        <w:rPr>
          <w:rFonts w:hint="eastAsia" w:ascii="仿宋" w:hAnsi="仿宋" w:eastAsia="仿宋" w:cs="仿宋"/>
          <w:color w:val="auto"/>
          <w:sz w:val="24"/>
        </w:rPr>
        <w:t>刘洪巍</w:t>
      </w:r>
      <w:r>
        <w:rPr>
          <w:rFonts w:hint="eastAsia" w:ascii="仿宋" w:hAnsi="仿宋" w:eastAsia="仿宋" w:cs="仿宋"/>
          <w:color w:val="auto"/>
          <w:sz w:val="24"/>
        </w:rPr>
        <w:tab/>
      </w:r>
      <w:r>
        <w:rPr>
          <w:rFonts w:hint="eastAsia" w:ascii="仿宋" w:hAnsi="仿宋" w:eastAsia="仿宋" w:cs="仿宋"/>
          <w:color w:val="auto"/>
          <w:sz w:val="24"/>
        </w:rPr>
        <w:t>13636885556</w:t>
      </w:r>
    </w:p>
    <w:p w14:paraId="0BE1C5A1">
      <w:pPr>
        <w:spacing w:line="360" w:lineRule="exact"/>
        <w:ind w:left="1860" w:leftChars="200" w:hanging="1440" w:hangingChars="60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汉中市汉台区西二环路与劳动西路东南汉中滨江•公园壹号（产业孵化区）3B号楼</w:t>
      </w:r>
      <w:r>
        <w:rPr>
          <w:rFonts w:hint="eastAsia" w:ascii="仿宋" w:hAnsi="仿宋" w:eastAsia="仿宋" w:cs="仿宋"/>
          <w:color w:val="auto"/>
          <w:sz w:val="24"/>
        </w:rPr>
        <w:tab/>
      </w:r>
      <w:r>
        <w:rPr>
          <w:rFonts w:hint="eastAsia" w:ascii="仿宋" w:hAnsi="仿宋" w:eastAsia="仿宋" w:cs="仿宋"/>
          <w:color w:val="auto"/>
          <w:sz w:val="24"/>
        </w:rPr>
        <w:t>陈真</w:t>
      </w:r>
      <w:r>
        <w:rPr>
          <w:rFonts w:hint="eastAsia" w:ascii="仿宋" w:hAnsi="仿宋" w:eastAsia="仿宋" w:cs="仿宋"/>
          <w:color w:val="auto"/>
          <w:sz w:val="24"/>
        </w:rPr>
        <w:tab/>
      </w:r>
      <w:r>
        <w:rPr>
          <w:rFonts w:hint="eastAsia" w:ascii="仿宋" w:hAnsi="仿宋" w:eastAsia="仿宋" w:cs="仿宋"/>
          <w:color w:val="auto"/>
          <w:sz w:val="24"/>
        </w:rPr>
        <w:t>18509165068</w:t>
      </w:r>
    </w:p>
    <w:p w14:paraId="3FC4643A">
      <w:pPr>
        <w:spacing w:line="360" w:lineRule="exact"/>
        <w:rPr>
          <w:rFonts w:hint="eastAsia" w:ascii="仿宋" w:hAnsi="仿宋" w:eastAsia="仿宋" w:cs="仿宋"/>
          <w:b/>
          <w:color w:val="auto"/>
          <w:sz w:val="24"/>
        </w:rPr>
      </w:pPr>
      <w:r>
        <w:rPr>
          <w:rFonts w:hint="eastAsia" w:ascii="仿宋" w:hAnsi="仿宋" w:eastAsia="仿宋" w:cs="仿宋"/>
          <w:b/>
          <w:color w:val="auto"/>
          <w:sz w:val="24"/>
        </w:rPr>
        <w:t>五、中国光大银行（阳光政采贷）</w:t>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p>
    <w:p w14:paraId="513876D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杨 欢</w:t>
      </w:r>
      <w:r>
        <w:rPr>
          <w:rFonts w:hint="eastAsia" w:ascii="仿宋" w:hAnsi="仿宋" w:eastAsia="仿宋" w:cs="仿宋"/>
          <w:color w:val="auto"/>
          <w:sz w:val="24"/>
        </w:rPr>
        <w:tab/>
      </w:r>
      <w:r>
        <w:rPr>
          <w:rFonts w:hint="eastAsia" w:ascii="仿宋" w:hAnsi="仿宋" w:eastAsia="仿宋" w:cs="仿宋"/>
          <w:color w:val="auto"/>
          <w:sz w:val="24"/>
        </w:rPr>
        <w:t>0917-3451055</w:t>
      </w:r>
      <w:r>
        <w:rPr>
          <w:rFonts w:hint="eastAsia" w:ascii="仿宋" w:hAnsi="仿宋" w:eastAsia="仿宋" w:cs="仿宋"/>
          <w:color w:val="auto"/>
          <w:sz w:val="24"/>
        </w:rPr>
        <w:tab/>
      </w:r>
      <w:r>
        <w:rPr>
          <w:rFonts w:hint="eastAsia" w:ascii="仿宋" w:hAnsi="仿宋" w:eastAsia="仿宋" w:cs="仿宋"/>
          <w:color w:val="auto"/>
          <w:sz w:val="24"/>
        </w:rPr>
        <w:t>18329677163</w:t>
      </w:r>
    </w:p>
    <w:p w14:paraId="29C87E6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尚云鹏</w:t>
      </w:r>
      <w:r>
        <w:rPr>
          <w:rFonts w:hint="eastAsia" w:ascii="仿宋" w:hAnsi="仿宋" w:eastAsia="仿宋" w:cs="仿宋"/>
          <w:color w:val="auto"/>
          <w:sz w:val="24"/>
        </w:rPr>
        <w:tab/>
      </w:r>
      <w:r>
        <w:rPr>
          <w:rFonts w:hint="eastAsia" w:ascii="仿宋" w:hAnsi="仿宋" w:eastAsia="仿宋" w:cs="仿宋"/>
          <w:color w:val="auto"/>
          <w:sz w:val="24"/>
        </w:rPr>
        <w:t>0912-3548019</w:t>
      </w:r>
      <w:r>
        <w:rPr>
          <w:rFonts w:hint="eastAsia" w:ascii="仿宋" w:hAnsi="仿宋" w:eastAsia="仿宋" w:cs="仿宋"/>
          <w:color w:val="auto"/>
          <w:sz w:val="24"/>
        </w:rPr>
        <w:tab/>
      </w:r>
      <w:r>
        <w:rPr>
          <w:rFonts w:hint="eastAsia" w:ascii="仿宋" w:hAnsi="仿宋" w:eastAsia="仿宋" w:cs="仿宋"/>
          <w:color w:val="auto"/>
          <w:sz w:val="24"/>
        </w:rPr>
        <w:t>18690473126</w:t>
      </w:r>
    </w:p>
    <w:p w14:paraId="26C9413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汪昊田</w:t>
      </w:r>
      <w:r>
        <w:rPr>
          <w:rFonts w:hint="eastAsia" w:ascii="仿宋" w:hAnsi="仿宋" w:eastAsia="仿宋" w:cs="仿宋"/>
          <w:color w:val="auto"/>
          <w:sz w:val="24"/>
        </w:rPr>
        <w:tab/>
      </w:r>
      <w:r>
        <w:rPr>
          <w:rFonts w:hint="eastAsia" w:ascii="仿宋" w:hAnsi="仿宋" w:eastAsia="仿宋" w:cs="仿宋"/>
          <w:color w:val="auto"/>
          <w:sz w:val="24"/>
        </w:rPr>
        <w:t>0911-8011831</w:t>
      </w:r>
      <w:r>
        <w:rPr>
          <w:rFonts w:hint="eastAsia" w:ascii="仿宋" w:hAnsi="仿宋" w:eastAsia="仿宋" w:cs="仿宋"/>
          <w:color w:val="auto"/>
          <w:sz w:val="24"/>
        </w:rPr>
        <w:tab/>
      </w:r>
      <w:r>
        <w:rPr>
          <w:rFonts w:hint="eastAsia" w:ascii="仿宋" w:hAnsi="仿宋" w:eastAsia="仿宋" w:cs="仿宋"/>
          <w:color w:val="auto"/>
          <w:sz w:val="24"/>
        </w:rPr>
        <w:t>13509115500</w:t>
      </w:r>
    </w:p>
    <w:p w14:paraId="3E37B58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侯 佳</w:t>
      </w:r>
      <w:r>
        <w:rPr>
          <w:rFonts w:hint="eastAsia" w:ascii="仿宋" w:hAnsi="仿宋" w:eastAsia="仿宋" w:cs="仿宋"/>
          <w:color w:val="auto"/>
          <w:sz w:val="24"/>
        </w:rPr>
        <w:tab/>
      </w:r>
      <w:r>
        <w:rPr>
          <w:rFonts w:hint="eastAsia" w:ascii="仿宋" w:hAnsi="仿宋" w:eastAsia="仿宋" w:cs="仿宋"/>
          <w:color w:val="auto"/>
          <w:sz w:val="24"/>
        </w:rPr>
        <w:t>32100021</w:t>
      </w:r>
      <w:r>
        <w:rPr>
          <w:rFonts w:hint="eastAsia" w:ascii="仿宋" w:hAnsi="仿宋" w:eastAsia="仿宋" w:cs="仿宋"/>
          <w:color w:val="auto"/>
          <w:sz w:val="24"/>
        </w:rPr>
        <w:tab/>
      </w:r>
      <w:r>
        <w:rPr>
          <w:rFonts w:hint="eastAsia" w:ascii="仿宋" w:hAnsi="仿宋" w:eastAsia="仿宋" w:cs="仿宋"/>
          <w:color w:val="auto"/>
          <w:sz w:val="24"/>
        </w:rPr>
        <w:t>15229500088</w:t>
      </w:r>
    </w:p>
    <w:p w14:paraId="0548FD3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营销一部</w:t>
      </w:r>
      <w:r>
        <w:rPr>
          <w:rFonts w:hint="eastAsia" w:ascii="仿宋" w:hAnsi="仿宋" w:eastAsia="仿宋" w:cs="仿宋"/>
          <w:color w:val="auto"/>
          <w:sz w:val="24"/>
        </w:rPr>
        <w:tab/>
      </w:r>
      <w:r>
        <w:rPr>
          <w:rFonts w:hint="eastAsia" w:ascii="仿宋" w:hAnsi="仿宋" w:eastAsia="仿宋" w:cs="仿宋"/>
          <w:color w:val="auto"/>
          <w:sz w:val="24"/>
        </w:rPr>
        <w:t>李 敏</w:t>
      </w:r>
      <w:r>
        <w:rPr>
          <w:rFonts w:hint="eastAsia" w:ascii="仿宋" w:hAnsi="仿宋" w:eastAsia="仿宋" w:cs="仿宋"/>
          <w:color w:val="auto"/>
          <w:sz w:val="24"/>
        </w:rPr>
        <w:tab/>
      </w:r>
      <w:r>
        <w:rPr>
          <w:rFonts w:hint="eastAsia" w:ascii="仿宋" w:hAnsi="仿宋" w:eastAsia="仿宋" w:cs="仿宋"/>
          <w:color w:val="auto"/>
          <w:sz w:val="24"/>
        </w:rPr>
        <w:t>87236311</w:t>
      </w:r>
      <w:r>
        <w:rPr>
          <w:rFonts w:hint="eastAsia" w:ascii="仿宋" w:hAnsi="仿宋" w:eastAsia="仿宋" w:cs="仿宋"/>
          <w:color w:val="auto"/>
          <w:sz w:val="24"/>
        </w:rPr>
        <w:tab/>
      </w:r>
      <w:r>
        <w:rPr>
          <w:rFonts w:hint="eastAsia" w:ascii="仿宋" w:hAnsi="仿宋" w:eastAsia="仿宋" w:cs="仿宋"/>
          <w:color w:val="auto"/>
          <w:sz w:val="24"/>
        </w:rPr>
        <w:t>13772031109</w:t>
      </w:r>
    </w:p>
    <w:p w14:paraId="33BC672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营销二部</w:t>
      </w:r>
      <w:r>
        <w:rPr>
          <w:rFonts w:hint="eastAsia" w:ascii="仿宋" w:hAnsi="仿宋" w:eastAsia="仿宋" w:cs="仿宋"/>
          <w:color w:val="auto"/>
          <w:sz w:val="24"/>
        </w:rPr>
        <w:tab/>
      </w:r>
      <w:r>
        <w:rPr>
          <w:rFonts w:hint="eastAsia" w:ascii="仿宋" w:hAnsi="仿宋" w:eastAsia="仿宋" w:cs="仿宋"/>
          <w:color w:val="auto"/>
          <w:sz w:val="24"/>
        </w:rPr>
        <w:t>朱翰辰</w:t>
      </w:r>
      <w:r>
        <w:rPr>
          <w:rFonts w:hint="eastAsia" w:ascii="仿宋" w:hAnsi="仿宋" w:eastAsia="仿宋" w:cs="仿宋"/>
          <w:color w:val="auto"/>
          <w:sz w:val="24"/>
        </w:rPr>
        <w:tab/>
      </w:r>
      <w:r>
        <w:rPr>
          <w:rFonts w:hint="eastAsia" w:ascii="仿宋" w:hAnsi="仿宋" w:eastAsia="仿宋" w:cs="仿宋"/>
          <w:color w:val="auto"/>
          <w:sz w:val="24"/>
        </w:rPr>
        <w:t>87236201</w:t>
      </w:r>
      <w:r>
        <w:rPr>
          <w:rFonts w:hint="eastAsia" w:ascii="仿宋" w:hAnsi="仿宋" w:eastAsia="仿宋" w:cs="仿宋"/>
          <w:color w:val="auto"/>
          <w:sz w:val="24"/>
        </w:rPr>
        <w:tab/>
      </w:r>
      <w:r>
        <w:rPr>
          <w:rFonts w:hint="eastAsia" w:ascii="仿宋" w:hAnsi="仿宋" w:eastAsia="仿宋" w:cs="仿宋"/>
          <w:color w:val="auto"/>
          <w:sz w:val="24"/>
        </w:rPr>
        <w:t>17791788078</w:t>
      </w:r>
    </w:p>
    <w:p w14:paraId="4972510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营业部</w:t>
      </w:r>
      <w:r>
        <w:rPr>
          <w:rFonts w:hint="eastAsia" w:ascii="仿宋" w:hAnsi="仿宋" w:eastAsia="仿宋" w:cs="仿宋"/>
          <w:color w:val="auto"/>
          <w:sz w:val="24"/>
        </w:rPr>
        <w:tab/>
      </w:r>
      <w:r>
        <w:rPr>
          <w:rFonts w:hint="eastAsia" w:ascii="仿宋" w:hAnsi="仿宋" w:eastAsia="仿宋" w:cs="仿宋"/>
          <w:color w:val="auto"/>
          <w:sz w:val="24"/>
        </w:rPr>
        <w:t>张翔琮</w:t>
      </w:r>
      <w:r>
        <w:rPr>
          <w:rFonts w:hint="eastAsia" w:ascii="仿宋" w:hAnsi="仿宋" w:eastAsia="仿宋" w:cs="仿宋"/>
          <w:color w:val="auto"/>
          <w:sz w:val="24"/>
        </w:rPr>
        <w:tab/>
      </w:r>
      <w:r>
        <w:rPr>
          <w:rFonts w:hint="eastAsia" w:ascii="仿宋" w:hAnsi="仿宋" w:eastAsia="仿宋" w:cs="仿宋"/>
          <w:color w:val="auto"/>
          <w:sz w:val="24"/>
        </w:rPr>
        <w:t>87236306</w:t>
      </w:r>
      <w:r>
        <w:rPr>
          <w:rFonts w:hint="eastAsia" w:ascii="仿宋" w:hAnsi="仿宋" w:eastAsia="仿宋" w:cs="仿宋"/>
          <w:color w:val="auto"/>
          <w:sz w:val="24"/>
        </w:rPr>
        <w:tab/>
      </w:r>
      <w:r>
        <w:rPr>
          <w:rFonts w:hint="eastAsia" w:ascii="仿宋" w:hAnsi="仿宋" w:eastAsia="仿宋" w:cs="仿宋"/>
          <w:color w:val="auto"/>
          <w:sz w:val="24"/>
        </w:rPr>
        <w:t>18829235568</w:t>
      </w:r>
    </w:p>
    <w:p w14:paraId="02ABD08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电子城支行</w:t>
      </w:r>
      <w:r>
        <w:rPr>
          <w:rFonts w:hint="eastAsia" w:ascii="仿宋" w:hAnsi="仿宋" w:eastAsia="仿宋" w:cs="仿宋"/>
          <w:color w:val="auto"/>
          <w:sz w:val="24"/>
        </w:rPr>
        <w:tab/>
      </w:r>
      <w:r>
        <w:rPr>
          <w:rFonts w:hint="eastAsia" w:ascii="仿宋" w:hAnsi="仿宋" w:eastAsia="仿宋" w:cs="仿宋"/>
          <w:color w:val="auto"/>
          <w:sz w:val="24"/>
        </w:rPr>
        <w:t>张曼玉</w:t>
      </w:r>
      <w:r>
        <w:rPr>
          <w:rFonts w:hint="eastAsia" w:ascii="仿宋" w:hAnsi="仿宋" w:eastAsia="仿宋" w:cs="仿宋"/>
          <w:color w:val="auto"/>
          <w:sz w:val="24"/>
        </w:rPr>
        <w:tab/>
      </w:r>
      <w:r>
        <w:rPr>
          <w:rFonts w:hint="eastAsia" w:ascii="仿宋" w:hAnsi="仿宋" w:eastAsia="仿宋" w:cs="仿宋"/>
          <w:color w:val="auto"/>
          <w:sz w:val="24"/>
        </w:rPr>
        <w:t>88247071</w:t>
      </w:r>
      <w:r>
        <w:rPr>
          <w:rFonts w:hint="eastAsia" w:ascii="仿宋" w:hAnsi="仿宋" w:eastAsia="仿宋" w:cs="仿宋"/>
          <w:color w:val="auto"/>
          <w:sz w:val="24"/>
        </w:rPr>
        <w:tab/>
      </w:r>
      <w:r>
        <w:rPr>
          <w:rFonts w:hint="eastAsia" w:ascii="仿宋" w:hAnsi="仿宋" w:eastAsia="仿宋" w:cs="仿宋"/>
          <w:color w:val="auto"/>
          <w:sz w:val="24"/>
        </w:rPr>
        <w:t>18009298787</w:t>
      </w:r>
    </w:p>
    <w:p w14:paraId="0624D8B0">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明德门支行</w:t>
      </w:r>
      <w:r>
        <w:rPr>
          <w:rFonts w:hint="eastAsia" w:ascii="仿宋" w:hAnsi="仿宋" w:eastAsia="仿宋" w:cs="仿宋"/>
          <w:color w:val="auto"/>
          <w:sz w:val="24"/>
        </w:rPr>
        <w:tab/>
      </w:r>
      <w:r>
        <w:rPr>
          <w:rFonts w:hint="eastAsia" w:ascii="仿宋" w:hAnsi="仿宋" w:eastAsia="仿宋" w:cs="仿宋"/>
          <w:color w:val="auto"/>
          <w:sz w:val="24"/>
        </w:rPr>
        <w:t>王 晨</w:t>
      </w:r>
      <w:r>
        <w:rPr>
          <w:rFonts w:hint="eastAsia" w:ascii="仿宋" w:hAnsi="仿宋" w:eastAsia="仿宋" w:cs="仿宋"/>
          <w:color w:val="auto"/>
          <w:sz w:val="24"/>
        </w:rPr>
        <w:tab/>
      </w:r>
      <w:r>
        <w:rPr>
          <w:rFonts w:hint="eastAsia" w:ascii="仿宋" w:hAnsi="仿宋" w:eastAsia="仿宋" w:cs="仿宋"/>
          <w:color w:val="auto"/>
          <w:sz w:val="24"/>
        </w:rPr>
        <w:t>85350770</w:t>
      </w:r>
      <w:r>
        <w:rPr>
          <w:rFonts w:hint="eastAsia" w:ascii="仿宋" w:hAnsi="仿宋" w:eastAsia="仿宋" w:cs="仿宋"/>
          <w:color w:val="auto"/>
          <w:sz w:val="24"/>
        </w:rPr>
        <w:tab/>
      </w:r>
      <w:r>
        <w:rPr>
          <w:rFonts w:hint="eastAsia" w:ascii="仿宋" w:hAnsi="仿宋" w:eastAsia="仿宋" w:cs="仿宋"/>
          <w:color w:val="auto"/>
          <w:sz w:val="24"/>
        </w:rPr>
        <w:t>13991249430</w:t>
      </w:r>
    </w:p>
    <w:p w14:paraId="3937AFB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东大街支行</w:t>
      </w:r>
      <w:r>
        <w:rPr>
          <w:rFonts w:hint="eastAsia" w:ascii="仿宋" w:hAnsi="仿宋" w:eastAsia="仿宋" w:cs="仿宋"/>
          <w:color w:val="auto"/>
          <w:sz w:val="24"/>
        </w:rPr>
        <w:tab/>
      </w:r>
      <w:r>
        <w:rPr>
          <w:rFonts w:hint="eastAsia" w:ascii="仿宋" w:hAnsi="仿宋" w:eastAsia="仿宋" w:cs="仿宋"/>
          <w:color w:val="auto"/>
          <w:sz w:val="24"/>
        </w:rPr>
        <w:t>刘 林</w:t>
      </w:r>
      <w:r>
        <w:rPr>
          <w:rFonts w:hint="eastAsia" w:ascii="仿宋" w:hAnsi="仿宋" w:eastAsia="仿宋" w:cs="仿宋"/>
          <w:color w:val="auto"/>
          <w:sz w:val="24"/>
        </w:rPr>
        <w:tab/>
      </w:r>
      <w:r>
        <w:rPr>
          <w:rFonts w:hint="eastAsia" w:ascii="仿宋" w:hAnsi="仿宋" w:eastAsia="仿宋" w:cs="仿宋"/>
          <w:color w:val="auto"/>
          <w:sz w:val="24"/>
        </w:rPr>
        <w:t>87438914</w:t>
      </w:r>
      <w:r>
        <w:rPr>
          <w:rFonts w:hint="eastAsia" w:ascii="仿宋" w:hAnsi="仿宋" w:eastAsia="仿宋" w:cs="仿宋"/>
          <w:color w:val="auto"/>
          <w:sz w:val="24"/>
        </w:rPr>
        <w:tab/>
      </w:r>
      <w:r>
        <w:rPr>
          <w:rFonts w:hint="eastAsia" w:ascii="仿宋" w:hAnsi="仿宋" w:eastAsia="仿宋" w:cs="仿宋"/>
          <w:color w:val="auto"/>
          <w:sz w:val="24"/>
        </w:rPr>
        <w:t>15029673754</w:t>
      </w:r>
    </w:p>
    <w:p w14:paraId="0C21FEE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经济开发区支行</w:t>
      </w:r>
      <w:r>
        <w:rPr>
          <w:rFonts w:hint="eastAsia" w:ascii="仿宋" w:hAnsi="仿宋" w:eastAsia="仿宋" w:cs="仿宋"/>
          <w:color w:val="auto"/>
          <w:sz w:val="24"/>
        </w:rPr>
        <w:tab/>
      </w:r>
      <w:r>
        <w:rPr>
          <w:rFonts w:hint="eastAsia" w:ascii="仿宋" w:hAnsi="仿宋" w:eastAsia="仿宋" w:cs="仿宋"/>
          <w:color w:val="auto"/>
          <w:sz w:val="24"/>
        </w:rPr>
        <w:t>陆家俊</w:t>
      </w:r>
      <w:r>
        <w:rPr>
          <w:rFonts w:hint="eastAsia" w:ascii="仿宋" w:hAnsi="仿宋" w:eastAsia="仿宋" w:cs="仿宋"/>
          <w:color w:val="auto"/>
          <w:sz w:val="24"/>
        </w:rPr>
        <w:tab/>
      </w:r>
      <w:r>
        <w:rPr>
          <w:rFonts w:hint="eastAsia" w:ascii="仿宋" w:hAnsi="仿宋" w:eastAsia="仿宋" w:cs="仿宋"/>
          <w:color w:val="auto"/>
          <w:sz w:val="24"/>
        </w:rPr>
        <w:t>86525176</w:t>
      </w:r>
      <w:r>
        <w:rPr>
          <w:rFonts w:hint="eastAsia" w:ascii="仿宋" w:hAnsi="仿宋" w:eastAsia="仿宋" w:cs="仿宋"/>
          <w:color w:val="auto"/>
          <w:sz w:val="24"/>
        </w:rPr>
        <w:tab/>
      </w:r>
      <w:r>
        <w:rPr>
          <w:rFonts w:hint="eastAsia" w:ascii="仿宋" w:hAnsi="仿宋" w:eastAsia="仿宋" w:cs="仿宋"/>
          <w:color w:val="auto"/>
          <w:sz w:val="24"/>
        </w:rPr>
        <w:t>18629303397</w:t>
      </w:r>
    </w:p>
    <w:p w14:paraId="4A6DD91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凤城九路支行</w:t>
      </w:r>
      <w:r>
        <w:rPr>
          <w:rFonts w:hint="eastAsia" w:ascii="仿宋" w:hAnsi="仿宋" w:eastAsia="仿宋" w:cs="仿宋"/>
          <w:color w:val="auto"/>
          <w:sz w:val="24"/>
        </w:rPr>
        <w:tab/>
      </w:r>
      <w:r>
        <w:rPr>
          <w:rFonts w:hint="eastAsia" w:ascii="仿宋" w:hAnsi="仿宋" w:eastAsia="仿宋" w:cs="仿宋"/>
          <w:color w:val="auto"/>
          <w:sz w:val="24"/>
        </w:rPr>
        <w:t>宋 宜</w:t>
      </w:r>
      <w:r>
        <w:rPr>
          <w:rFonts w:hint="eastAsia" w:ascii="仿宋" w:hAnsi="仿宋" w:eastAsia="仿宋" w:cs="仿宋"/>
          <w:color w:val="auto"/>
          <w:sz w:val="24"/>
        </w:rPr>
        <w:tab/>
      </w:r>
      <w:r>
        <w:rPr>
          <w:rFonts w:hint="eastAsia" w:ascii="仿宋" w:hAnsi="仿宋" w:eastAsia="仿宋" w:cs="仿宋"/>
          <w:color w:val="auto"/>
          <w:sz w:val="24"/>
        </w:rPr>
        <w:t>89155022</w:t>
      </w:r>
      <w:r>
        <w:rPr>
          <w:rFonts w:hint="eastAsia" w:ascii="仿宋" w:hAnsi="仿宋" w:eastAsia="仿宋" w:cs="仿宋"/>
          <w:color w:val="auto"/>
          <w:sz w:val="24"/>
        </w:rPr>
        <w:tab/>
      </w:r>
      <w:r>
        <w:rPr>
          <w:rFonts w:hint="eastAsia" w:ascii="仿宋" w:hAnsi="仿宋" w:eastAsia="仿宋" w:cs="仿宋"/>
          <w:color w:val="auto"/>
          <w:sz w:val="24"/>
        </w:rPr>
        <w:t>18966911622</w:t>
      </w:r>
    </w:p>
    <w:p w14:paraId="755237A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兴庆路支行</w:t>
      </w:r>
      <w:r>
        <w:rPr>
          <w:rFonts w:hint="eastAsia" w:ascii="仿宋" w:hAnsi="仿宋" w:eastAsia="仿宋" w:cs="仿宋"/>
          <w:color w:val="auto"/>
          <w:sz w:val="24"/>
        </w:rPr>
        <w:tab/>
      </w:r>
      <w:r>
        <w:rPr>
          <w:rFonts w:hint="eastAsia" w:ascii="仿宋" w:hAnsi="仿宋" w:eastAsia="仿宋" w:cs="仿宋"/>
          <w:color w:val="auto"/>
          <w:sz w:val="24"/>
        </w:rPr>
        <w:t>司 洋</w:t>
      </w:r>
      <w:r>
        <w:rPr>
          <w:rFonts w:hint="eastAsia" w:ascii="仿宋" w:hAnsi="仿宋" w:eastAsia="仿宋" w:cs="仿宋"/>
          <w:color w:val="auto"/>
          <w:sz w:val="24"/>
        </w:rPr>
        <w:tab/>
      </w:r>
      <w:r>
        <w:rPr>
          <w:rFonts w:hint="eastAsia" w:ascii="仿宋" w:hAnsi="仿宋" w:eastAsia="仿宋" w:cs="仿宋"/>
          <w:color w:val="auto"/>
          <w:sz w:val="24"/>
        </w:rPr>
        <w:t>83290033</w:t>
      </w:r>
      <w:r>
        <w:rPr>
          <w:rFonts w:hint="eastAsia" w:ascii="仿宋" w:hAnsi="仿宋" w:eastAsia="仿宋" w:cs="仿宋"/>
          <w:color w:val="auto"/>
          <w:sz w:val="24"/>
        </w:rPr>
        <w:tab/>
      </w:r>
      <w:r>
        <w:rPr>
          <w:rFonts w:hint="eastAsia" w:ascii="仿宋" w:hAnsi="仿宋" w:eastAsia="仿宋" w:cs="仿宋"/>
          <w:color w:val="auto"/>
          <w:sz w:val="24"/>
        </w:rPr>
        <w:t>18629251819</w:t>
      </w:r>
    </w:p>
    <w:p w14:paraId="514FFA7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长乐西路支行</w:t>
      </w:r>
      <w:r>
        <w:rPr>
          <w:rFonts w:hint="eastAsia" w:ascii="仿宋" w:hAnsi="仿宋" w:eastAsia="仿宋" w:cs="仿宋"/>
          <w:color w:val="auto"/>
          <w:sz w:val="24"/>
        </w:rPr>
        <w:tab/>
      </w:r>
      <w:r>
        <w:rPr>
          <w:rFonts w:hint="eastAsia" w:ascii="仿宋" w:hAnsi="仿宋" w:eastAsia="仿宋" w:cs="仿宋"/>
          <w:color w:val="auto"/>
          <w:sz w:val="24"/>
        </w:rPr>
        <w:t>张 超</w:t>
      </w:r>
      <w:r>
        <w:rPr>
          <w:rFonts w:hint="eastAsia" w:ascii="仿宋" w:hAnsi="仿宋" w:eastAsia="仿宋" w:cs="仿宋"/>
          <w:color w:val="auto"/>
          <w:sz w:val="24"/>
        </w:rPr>
        <w:tab/>
      </w:r>
      <w:r>
        <w:rPr>
          <w:rFonts w:hint="eastAsia" w:ascii="仿宋" w:hAnsi="仿宋" w:eastAsia="仿宋" w:cs="仿宋"/>
          <w:color w:val="auto"/>
          <w:sz w:val="24"/>
        </w:rPr>
        <w:t>82566208</w:t>
      </w:r>
      <w:r>
        <w:rPr>
          <w:rFonts w:hint="eastAsia" w:ascii="仿宋" w:hAnsi="仿宋" w:eastAsia="仿宋" w:cs="仿宋"/>
          <w:color w:val="auto"/>
          <w:sz w:val="24"/>
        </w:rPr>
        <w:tab/>
      </w:r>
      <w:r>
        <w:rPr>
          <w:rFonts w:hint="eastAsia" w:ascii="仿宋" w:hAnsi="仿宋" w:eastAsia="仿宋" w:cs="仿宋"/>
          <w:color w:val="auto"/>
          <w:sz w:val="24"/>
        </w:rPr>
        <w:t>15877390201</w:t>
      </w:r>
    </w:p>
    <w:p w14:paraId="207C2E0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友谊路支行</w:t>
      </w:r>
      <w:r>
        <w:rPr>
          <w:rFonts w:hint="eastAsia" w:ascii="仿宋" w:hAnsi="仿宋" w:eastAsia="仿宋" w:cs="仿宋"/>
          <w:color w:val="auto"/>
          <w:sz w:val="24"/>
        </w:rPr>
        <w:tab/>
      </w:r>
      <w:r>
        <w:rPr>
          <w:rFonts w:hint="eastAsia" w:ascii="仿宋" w:hAnsi="仿宋" w:eastAsia="仿宋" w:cs="仿宋"/>
          <w:color w:val="auto"/>
          <w:sz w:val="24"/>
        </w:rPr>
        <w:t>贠程敏</w:t>
      </w:r>
      <w:r>
        <w:rPr>
          <w:rFonts w:hint="eastAsia" w:ascii="仿宋" w:hAnsi="仿宋" w:eastAsia="仿宋" w:cs="仿宋"/>
          <w:color w:val="auto"/>
          <w:sz w:val="24"/>
        </w:rPr>
        <w:tab/>
      </w:r>
      <w:r>
        <w:rPr>
          <w:rFonts w:hint="eastAsia" w:ascii="仿宋" w:hAnsi="仿宋" w:eastAsia="仿宋" w:cs="仿宋"/>
          <w:color w:val="auto"/>
          <w:sz w:val="24"/>
        </w:rPr>
        <w:t>88422067</w:t>
      </w:r>
      <w:r>
        <w:rPr>
          <w:rFonts w:hint="eastAsia" w:ascii="仿宋" w:hAnsi="仿宋" w:eastAsia="仿宋" w:cs="仿宋"/>
          <w:color w:val="auto"/>
          <w:sz w:val="24"/>
        </w:rPr>
        <w:tab/>
      </w:r>
      <w:r>
        <w:rPr>
          <w:rFonts w:hint="eastAsia" w:ascii="仿宋" w:hAnsi="仿宋" w:eastAsia="仿宋" w:cs="仿宋"/>
          <w:color w:val="auto"/>
          <w:sz w:val="24"/>
        </w:rPr>
        <w:t>18792795210</w:t>
      </w:r>
    </w:p>
    <w:p w14:paraId="528029E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边家村支行</w:t>
      </w:r>
      <w:r>
        <w:rPr>
          <w:rFonts w:hint="eastAsia" w:ascii="仿宋" w:hAnsi="仿宋" w:eastAsia="仿宋" w:cs="仿宋"/>
          <w:color w:val="auto"/>
          <w:sz w:val="24"/>
        </w:rPr>
        <w:tab/>
      </w:r>
      <w:r>
        <w:rPr>
          <w:rFonts w:hint="eastAsia" w:ascii="仿宋" w:hAnsi="仿宋" w:eastAsia="仿宋" w:cs="仿宋"/>
          <w:color w:val="auto"/>
          <w:sz w:val="24"/>
        </w:rPr>
        <w:t>王 鹏</w:t>
      </w:r>
      <w:r>
        <w:rPr>
          <w:rFonts w:hint="eastAsia" w:ascii="仿宋" w:hAnsi="仿宋" w:eastAsia="仿宋" w:cs="仿宋"/>
          <w:color w:val="auto"/>
          <w:sz w:val="24"/>
        </w:rPr>
        <w:tab/>
      </w:r>
      <w:r>
        <w:rPr>
          <w:rFonts w:hint="eastAsia" w:ascii="仿宋" w:hAnsi="仿宋" w:eastAsia="仿宋" w:cs="仿宋"/>
          <w:color w:val="auto"/>
          <w:sz w:val="24"/>
        </w:rPr>
        <w:t>85251673</w:t>
      </w:r>
      <w:r>
        <w:rPr>
          <w:rFonts w:hint="eastAsia" w:ascii="仿宋" w:hAnsi="仿宋" w:eastAsia="仿宋" w:cs="仿宋"/>
          <w:color w:val="auto"/>
          <w:sz w:val="24"/>
        </w:rPr>
        <w:tab/>
      </w:r>
      <w:r>
        <w:rPr>
          <w:rFonts w:hint="eastAsia" w:ascii="仿宋" w:hAnsi="仿宋" w:eastAsia="仿宋" w:cs="仿宋"/>
          <w:color w:val="auto"/>
          <w:sz w:val="24"/>
        </w:rPr>
        <w:t>15309223048</w:t>
      </w:r>
    </w:p>
    <w:p w14:paraId="2941025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北关支行</w:t>
      </w:r>
      <w:r>
        <w:rPr>
          <w:rFonts w:hint="eastAsia" w:ascii="仿宋" w:hAnsi="仿宋" w:eastAsia="仿宋" w:cs="仿宋"/>
          <w:color w:val="auto"/>
          <w:sz w:val="24"/>
        </w:rPr>
        <w:tab/>
      </w:r>
      <w:r>
        <w:rPr>
          <w:rFonts w:hint="eastAsia" w:ascii="仿宋" w:hAnsi="仿宋" w:eastAsia="仿宋" w:cs="仿宋"/>
          <w:color w:val="auto"/>
          <w:sz w:val="24"/>
        </w:rPr>
        <w:t>菅新培</w:t>
      </w:r>
      <w:r>
        <w:rPr>
          <w:rFonts w:hint="eastAsia" w:ascii="仿宋" w:hAnsi="仿宋" w:eastAsia="仿宋" w:cs="仿宋"/>
          <w:color w:val="auto"/>
          <w:sz w:val="24"/>
        </w:rPr>
        <w:tab/>
      </w:r>
      <w:r>
        <w:rPr>
          <w:rFonts w:hint="eastAsia" w:ascii="仿宋" w:hAnsi="仿宋" w:eastAsia="仿宋" w:cs="仿宋"/>
          <w:color w:val="auto"/>
          <w:sz w:val="24"/>
        </w:rPr>
        <w:t>86248203</w:t>
      </w:r>
      <w:r>
        <w:rPr>
          <w:rFonts w:hint="eastAsia" w:ascii="仿宋" w:hAnsi="仿宋" w:eastAsia="仿宋" w:cs="仿宋"/>
          <w:color w:val="auto"/>
          <w:sz w:val="24"/>
        </w:rPr>
        <w:tab/>
      </w:r>
      <w:r>
        <w:rPr>
          <w:rFonts w:hint="eastAsia" w:ascii="仿宋" w:hAnsi="仿宋" w:eastAsia="仿宋" w:cs="仿宋"/>
          <w:color w:val="auto"/>
          <w:sz w:val="24"/>
        </w:rPr>
        <w:t>18092169361</w:t>
      </w:r>
    </w:p>
    <w:p w14:paraId="50D483A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南郊支行</w:t>
      </w:r>
      <w:r>
        <w:rPr>
          <w:rFonts w:hint="eastAsia" w:ascii="仿宋" w:hAnsi="仿宋" w:eastAsia="仿宋" w:cs="仿宋"/>
          <w:color w:val="auto"/>
          <w:sz w:val="24"/>
        </w:rPr>
        <w:tab/>
      </w:r>
      <w:r>
        <w:rPr>
          <w:rFonts w:hint="eastAsia" w:ascii="仿宋" w:hAnsi="仿宋" w:eastAsia="仿宋" w:cs="仿宋"/>
          <w:color w:val="auto"/>
          <w:sz w:val="24"/>
        </w:rPr>
        <w:t>程 拓</w:t>
      </w:r>
      <w:r>
        <w:rPr>
          <w:rFonts w:hint="eastAsia" w:ascii="仿宋" w:hAnsi="仿宋" w:eastAsia="仿宋" w:cs="仿宋"/>
          <w:color w:val="auto"/>
          <w:sz w:val="24"/>
        </w:rPr>
        <w:tab/>
      </w:r>
      <w:r>
        <w:rPr>
          <w:rFonts w:hint="eastAsia" w:ascii="仿宋" w:hAnsi="仿宋" w:eastAsia="仿宋" w:cs="仿宋"/>
          <w:color w:val="auto"/>
          <w:sz w:val="24"/>
        </w:rPr>
        <w:t>85265234</w:t>
      </w:r>
      <w:r>
        <w:rPr>
          <w:rFonts w:hint="eastAsia" w:ascii="仿宋" w:hAnsi="仿宋" w:eastAsia="仿宋" w:cs="仿宋"/>
          <w:color w:val="auto"/>
          <w:sz w:val="24"/>
        </w:rPr>
        <w:tab/>
      </w:r>
      <w:r>
        <w:rPr>
          <w:rFonts w:hint="eastAsia" w:ascii="仿宋" w:hAnsi="仿宋" w:eastAsia="仿宋" w:cs="仿宋"/>
          <w:color w:val="auto"/>
          <w:sz w:val="24"/>
        </w:rPr>
        <w:t>13772491661</w:t>
      </w:r>
    </w:p>
    <w:p w14:paraId="4D32016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西关正街</w:t>
      </w:r>
      <w:r>
        <w:rPr>
          <w:rFonts w:hint="eastAsia" w:ascii="仿宋" w:hAnsi="仿宋" w:eastAsia="仿宋" w:cs="仿宋"/>
          <w:color w:val="auto"/>
          <w:sz w:val="24"/>
        </w:rPr>
        <w:tab/>
      </w:r>
      <w:r>
        <w:rPr>
          <w:rFonts w:hint="eastAsia" w:ascii="仿宋" w:hAnsi="仿宋" w:eastAsia="仿宋" w:cs="仿宋"/>
          <w:color w:val="auto"/>
          <w:sz w:val="24"/>
        </w:rPr>
        <w:t>马 瑜</w:t>
      </w:r>
      <w:r>
        <w:rPr>
          <w:rFonts w:hint="eastAsia" w:ascii="仿宋" w:hAnsi="仿宋" w:eastAsia="仿宋" w:cs="仿宋"/>
          <w:color w:val="auto"/>
          <w:sz w:val="24"/>
        </w:rPr>
        <w:tab/>
      </w:r>
      <w:r>
        <w:rPr>
          <w:rFonts w:hint="eastAsia" w:ascii="仿宋" w:hAnsi="仿宋" w:eastAsia="仿宋" w:cs="仿宋"/>
          <w:color w:val="auto"/>
          <w:sz w:val="24"/>
        </w:rPr>
        <w:t>89548109</w:t>
      </w:r>
      <w:r>
        <w:rPr>
          <w:rFonts w:hint="eastAsia" w:ascii="仿宋" w:hAnsi="仿宋" w:eastAsia="仿宋" w:cs="仿宋"/>
          <w:color w:val="auto"/>
          <w:sz w:val="24"/>
        </w:rPr>
        <w:tab/>
      </w:r>
      <w:r>
        <w:rPr>
          <w:rFonts w:hint="eastAsia" w:ascii="仿宋" w:hAnsi="仿宋" w:eastAsia="仿宋" w:cs="仿宋"/>
          <w:color w:val="auto"/>
          <w:sz w:val="24"/>
        </w:rPr>
        <w:t>13772337373</w:t>
      </w:r>
    </w:p>
    <w:p w14:paraId="17EFC03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丈八东路支行</w:t>
      </w:r>
      <w:r>
        <w:rPr>
          <w:rFonts w:hint="eastAsia" w:ascii="仿宋" w:hAnsi="仿宋" w:eastAsia="仿宋" w:cs="仿宋"/>
          <w:color w:val="auto"/>
          <w:sz w:val="24"/>
        </w:rPr>
        <w:tab/>
      </w:r>
      <w:r>
        <w:rPr>
          <w:rFonts w:hint="eastAsia" w:ascii="仿宋" w:hAnsi="仿宋" w:eastAsia="仿宋" w:cs="仿宋"/>
          <w:color w:val="auto"/>
          <w:sz w:val="24"/>
        </w:rPr>
        <w:t>杨筱凡</w:t>
      </w:r>
      <w:r>
        <w:rPr>
          <w:rFonts w:hint="eastAsia" w:ascii="仿宋" w:hAnsi="仿宋" w:eastAsia="仿宋" w:cs="仿宋"/>
          <w:color w:val="auto"/>
          <w:sz w:val="24"/>
        </w:rPr>
        <w:tab/>
      </w:r>
      <w:r>
        <w:rPr>
          <w:rFonts w:hint="eastAsia" w:ascii="仿宋" w:hAnsi="仿宋" w:eastAsia="仿宋" w:cs="仿宋"/>
          <w:color w:val="auto"/>
          <w:sz w:val="24"/>
        </w:rPr>
        <w:t>81026910</w:t>
      </w:r>
      <w:r>
        <w:rPr>
          <w:rFonts w:hint="eastAsia" w:ascii="仿宋" w:hAnsi="仿宋" w:eastAsia="仿宋" w:cs="仿宋"/>
          <w:color w:val="auto"/>
          <w:sz w:val="24"/>
        </w:rPr>
        <w:tab/>
      </w:r>
      <w:r>
        <w:rPr>
          <w:rFonts w:hint="eastAsia" w:ascii="仿宋" w:hAnsi="仿宋" w:eastAsia="仿宋" w:cs="仿宋"/>
          <w:color w:val="auto"/>
          <w:sz w:val="24"/>
        </w:rPr>
        <w:t>15129044185</w:t>
      </w:r>
    </w:p>
    <w:p w14:paraId="19C3DEC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雁塔路支行</w:t>
      </w:r>
      <w:r>
        <w:rPr>
          <w:rFonts w:hint="eastAsia" w:ascii="仿宋" w:hAnsi="仿宋" w:eastAsia="仿宋" w:cs="仿宋"/>
          <w:color w:val="auto"/>
          <w:sz w:val="24"/>
        </w:rPr>
        <w:tab/>
      </w:r>
      <w:r>
        <w:rPr>
          <w:rFonts w:hint="eastAsia" w:ascii="仿宋" w:hAnsi="仿宋" w:eastAsia="仿宋" w:cs="仿宋"/>
          <w:color w:val="auto"/>
          <w:sz w:val="24"/>
        </w:rPr>
        <w:t>闫梓闶</w:t>
      </w:r>
      <w:r>
        <w:rPr>
          <w:rFonts w:hint="eastAsia" w:ascii="仿宋" w:hAnsi="仿宋" w:eastAsia="仿宋" w:cs="仿宋"/>
          <w:color w:val="auto"/>
          <w:sz w:val="24"/>
        </w:rPr>
        <w:tab/>
      </w:r>
      <w:r>
        <w:rPr>
          <w:rFonts w:hint="eastAsia" w:ascii="仿宋" w:hAnsi="仿宋" w:eastAsia="仿宋" w:cs="仿宋"/>
          <w:color w:val="auto"/>
          <w:sz w:val="24"/>
        </w:rPr>
        <w:t>82222501</w:t>
      </w:r>
      <w:r>
        <w:rPr>
          <w:rFonts w:hint="eastAsia" w:ascii="仿宋" w:hAnsi="仿宋" w:eastAsia="仿宋" w:cs="仿宋"/>
          <w:color w:val="auto"/>
          <w:sz w:val="24"/>
        </w:rPr>
        <w:tab/>
      </w:r>
      <w:r>
        <w:rPr>
          <w:rFonts w:hint="eastAsia" w:ascii="仿宋" w:hAnsi="仿宋" w:eastAsia="仿宋" w:cs="仿宋"/>
          <w:color w:val="auto"/>
          <w:sz w:val="24"/>
        </w:rPr>
        <w:t>18691561524</w:t>
      </w:r>
    </w:p>
    <w:p w14:paraId="3881279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唐延路支行</w:t>
      </w:r>
      <w:r>
        <w:rPr>
          <w:rFonts w:hint="eastAsia" w:ascii="仿宋" w:hAnsi="仿宋" w:eastAsia="仿宋" w:cs="仿宋"/>
          <w:color w:val="auto"/>
          <w:sz w:val="24"/>
        </w:rPr>
        <w:tab/>
      </w:r>
      <w:r>
        <w:rPr>
          <w:rFonts w:hint="eastAsia" w:ascii="仿宋" w:hAnsi="仿宋" w:eastAsia="仿宋" w:cs="仿宋"/>
          <w:color w:val="auto"/>
          <w:sz w:val="24"/>
        </w:rPr>
        <w:t>尉二宝</w:t>
      </w:r>
      <w:r>
        <w:rPr>
          <w:rFonts w:hint="eastAsia" w:ascii="仿宋" w:hAnsi="仿宋" w:eastAsia="仿宋" w:cs="仿宋"/>
          <w:color w:val="auto"/>
          <w:sz w:val="24"/>
        </w:rPr>
        <w:tab/>
      </w:r>
      <w:r>
        <w:rPr>
          <w:rFonts w:hint="eastAsia" w:ascii="仿宋" w:hAnsi="仿宋" w:eastAsia="仿宋" w:cs="仿宋"/>
          <w:color w:val="auto"/>
          <w:sz w:val="24"/>
        </w:rPr>
        <w:t>88329478</w:t>
      </w:r>
      <w:r>
        <w:rPr>
          <w:rFonts w:hint="eastAsia" w:ascii="仿宋" w:hAnsi="仿宋" w:eastAsia="仿宋" w:cs="仿宋"/>
          <w:color w:val="auto"/>
          <w:sz w:val="24"/>
        </w:rPr>
        <w:tab/>
      </w:r>
      <w:r>
        <w:rPr>
          <w:rFonts w:hint="eastAsia" w:ascii="仿宋" w:hAnsi="仿宋" w:eastAsia="仿宋" w:cs="仿宋"/>
          <w:color w:val="auto"/>
          <w:sz w:val="24"/>
        </w:rPr>
        <w:t>13991930150</w:t>
      </w:r>
    </w:p>
    <w:p w14:paraId="2DC4B38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枫林绿洲支行</w:t>
      </w:r>
      <w:r>
        <w:rPr>
          <w:rFonts w:hint="eastAsia" w:ascii="仿宋" w:hAnsi="仿宋" w:eastAsia="仿宋" w:cs="仿宋"/>
          <w:color w:val="auto"/>
          <w:sz w:val="24"/>
        </w:rPr>
        <w:tab/>
      </w:r>
      <w:r>
        <w:rPr>
          <w:rFonts w:hint="eastAsia" w:ascii="仿宋" w:hAnsi="仿宋" w:eastAsia="仿宋" w:cs="仿宋"/>
          <w:color w:val="auto"/>
          <w:sz w:val="24"/>
        </w:rPr>
        <w:t>杨 嘉</w:t>
      </w:r>
      <w:r>
        <w:rPr>
          <w:rFonts w:hint="eastAsia" w:ascii="仿宋" w:hAnsi="仿宋" w:eastAsia="仿宋" w:cs="仿宋"/>
          <w:color w:val="auto"/>
          <w:sz w:val="24"/>
        </w:rPr>
        <w:tab/>
      </w:r>
      <w:r>
        <w:rPr>
          <w:rFonts w:hint="eastAsia" w:ascii="仿宋" w:hAnsi="仿宋" w:eastAsia="仿宋" w:cs="仿宋"/>
          <w:color w:val="auto"/>
          <w:sz w:val="24"/>
        </w:rPr>
        <w:t>87302120</w:t>
      </w:r>
      <w:r>
        <w:rPr>
          <w:rFonts w:hint="eastAsia" w:ascii="仿宋" w:hAnsi="仿宋" w:eastAsia="仿宋" w:cs="仿宋"/>
          <w:color w:val="auto"/>
          <w:sz w:val="24"/>
        </w:rPr>
        <w:tab/>
      </w:r>
      <w:r>
        <w:rPr>
          <w:rFonts w:hint="eastAsia" w:ascii="仿宋" w:hAnsi="仿宋" w:eastAsia="仿宋" w:cs="仿宋"/>
          <w:color w:val="auto"/>
          <w:sz w:val="24"/>
        </w:rPr>
        <w:t>13609199490</w:t>
      </w:r>
    </w:p>
    <w:p w14:paraId="31C8C11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南关正街支行</w:t>
      </w:r>
      <w:r>
        <w:rPr>
          <w:rFonts w:hint="eastAsia" w:ascii="仿宋" w:hAnsi="仿宋" w:eastAsia="仿宋" w:cs="仿宋"/>
          <w:color w:val="auto"/>
          <w:sz w:val="24"/>
        </w:rPr>
        <w:tab/>
      </w:r>
      <w:r>
        <w:rPr>
          <w:rFonts w:hint="eastAsia" w:ascii="仿宋" w:hAnsi="仿宋" w:eastAsia="仿宋" w:cs="仿宋"/>
          <w:color w:val="auto"/>
          <w:sz w:val="24"/>
        </w:rPr>
        <w:t>郭 敏</w:t>
      </w:r>
      <w:r>
        <w:rPr>
          <w:rFonts w:hint="eastAsia" w:ascii="仿宋" w:hAnsi="仿宋" w:eastAsia="仿宋" w:cs="仿宋"/>
          <w:color w:val="auto"/>
          <w:sz w:val="24"/>
        </w:rPr>
        <w:tab/>
      </w:r>
      <w:r>
        <w:rPr>
          <w:rFonts w:hint="eastAsia" w:ascii="仿宋" w:hAnsi="仿宋" w:eastAsia="仿宋" w:cs="仿宋"/>
          <w:color w:val="auto"/>
          <w:sz w:val="24"/>
        </w:rPr>
        <w:t>85230722</w:t>
      </w:r>
      <w:r>
        <w:rPr>
          <w:rFonts w:hint="eastAsia" w:ascii="仿宋" w:hAnsi="仿宋" w:eastAsia="仿宋" w:cs="仿宋"/>
          <w:color w:val="auto"/>
          <w:sz w:val="24"/>
        </w:rPr>
        <w:tab/>
      </w:r>
      <w:r>
        <w:rPr>
          <w:rFonts w:hint="eastAsia" w:ascii="仿宋" w:hAnsi="仿宋" w:eastAsia="仿宋" w:cs="仿宋"/>
          <w:color w:val="auto"/>
          <w:sz w:val="24"/>
        </w:rPr>
        <w:t>18066610983</w:t>
      </w:r>
    </w:p>
    <w:p w14:paraId="3F674DF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南二环支行</w:t>
      </w:r>
      <w:r>
        <w:rPr>
          <w:rFonts w:hint="eastAsia" w:ascii="仿宋" w:hAnsi="仿宋" w:eastAsia="仿宋" w:cs="仿宋"/>
          <w:color w:val="auto"/>
          <w:sz w:val="24"/>
        </w:rPr>
        <w:tab/>
      </w:r>
      <w:r>
        <w:rPr>
          <w:rFonts w:hint="eastAsia" w:ascii="仿宋" w:hAnsi="仿宋" w:eastAsia="仿宋" w:cs="仿宋"/>
          <w:color w:val="auto"/>
          <w:sz w:val="24"/>
        </w:rPr>
        <w:t>刘 超</w:t>
      </w:r>
      <w:r>
        <w:rPr>
          <w:rFonts w:hint="eastAsia" w:ascii="仿宋" w:hAnsi="仿宋" w:eastAsia="仿宋" w:cs="仿宋"/>
          <w:color w:val="auto"/>
          <w:sz w:val="24"/>
        </w:rPr>
        <w:tab/>
      </w:r>
      <w:r>
        <w:rPr>
          <w:rFonts w:hint="eastAsia" w:ascii="仿宋" w:hAnsi="仿宋" w:eastAsia="仿宋" w:cs="仿宋"/>
          <w:color w:val="auto"/>
          <w:sz w:val="24"/>
        </w:rPr>
        <w:t>88362861</w:t>
      </w:r>
      <w:r>
        <w:rPr>
          <w:rFonts w:hint="eastAsia" w:ascii="仿宋" w:hAnsi="仿宋" w:eastAsia="仿宋" w:cs="仿宋"/>
          <w:color w:val="auto"/>
          <w:sz w:val="24"/>
        </w:rPr>
        <w:tab/>
      </w:r>
      <w:r>
        <w:rPr>
          <w:rFonts w:hint="eastAsia" w:ascii="仿宋" w:hAnsi="仿宋" w:eastAsia="仿宋" w:cs="仿宋"/>
          <w:color w:val="auto"/>
          <w:sz w:val="24"/>
        </w:rPr>
        <w:t>18192080396</w:t>
      </w:r>
    </w:p>
    <w:p w14:paraId="79C1DBE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曲江支行</w:t>
      </w:r>
      <w:r>
        <w:rPr>
          <w:rFonts w:hint="eastAsia" w:ascii="仿宋" w:hAnsi="仿宋" w:eastAsia="仿宋" w:cs="仿宋"/>
          <w:color w:val="auto"/>
          <w:sz w:val="24"/>
        </w:rPr>
        <w:tab/>
      </w:r>
      <w:r>
        <w:rPr>
          <w:rFonts w:hint="eastAsia" w:ascii="仿宋" w:hAnsi="仿宋" w:eastAsia="仿宋" w:cs="仿宋"/>
          <w:color w:val="auto"/>
          <w:sz w:val="24"/>
        </w:rPr>
        <w:t>田 鹏</w:t>
      </w:r>
      <w:r>
        <w:rPr>
          <w:rFonts w:hint="eastAsia" w:ascii="仿宋" w:hAnsi="仿宋" w:eastAsia="仿宋" w:cs="仿宋"/>
          <w:color w:val="auto"/>
          <w:sz w:val="24"/>
        </w:rPr>
        <w:tab/>
      </w:r>
      <w:r>
        <w:rPr>
          <w:rFonts w:hint="eastAsia" w:ascii="仿宋" w:hAnsi="仿宋" w:eastAsia="仿宋" w:cs="仿宋"/>
          <w:color w:val="auto"/>
          <w:sz w:val="24"/>
        </w:rPr>
        <w:t>81205890</w:t>
      </w:r>
      <w:r>
        <w:rPr>
          <w:rFonts w:hint="eastAsia" w:ascii="仿宋" w:hAnsi="仿宋" w:eastAsia="仿宋" w:cs="仿宋"/>
          <w:color w:val="auto"/>
          <w:sz w:val="24"/>
        </w:rPr>
        <w:tab/>
      </w:r>
      <w:r>
        <w:rPr>
          <w:rFonts w:hint="eastAsia" w:ascii="仿宋" w:hAnsi="仿宋" w:eastAsia="仿宋" w:cs="仿宋"/>
          <w:color w:val="auto"/>
          <w:sz w:val="24"/>
        </w:rPr>
        <w:t>13991937977</w:t>
      </w:r>
    </w:p>
    <w:p w14:paraId="1551810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太白路支行</w:t>
      </w:r>
      <w:r>
        <w:rPr>
          <w:rFonts w:hint="eastAsia" w:ascii="仿宋" w:hAnsi="仿宋" w:eastAsia="仿宋" w:cs="仿宋"/>
          <w:color w:val="auto"/>
          <w:sz w:val="24"/>
        </w:rPr>
        <w:tab/>
      </w:r>
      <w:r>
        <w:rPr>
          <w:rFonts w:hint="eastAsia" w:ascii="仿宋" w:hAnsi="仿宋" w:eastAsia="仿宋" w:cs="仿宋"/>
          <w:color w:val="auto"/>
          <w:sz w:val="24"/>
        </w:rPr>
        <w:t>马振林</w:t>
      </w:r>
      <w:r>
        <w:rPr>
          <w:rFonts w:hint="eastAsia" w:ascii="仿宋" w:hAnsi="仿宋" w:eastAsia="仿宋" w:cs="仿宋"/>
          <w:color w:val="auto"/>
          <w:sz w:val="24"/>
        </w:rPr>
        <w:tab/>
      </w:r>
      <w:r>
        <w:rPr>
          <w:rFonts w:hint="eastAsia" w:ascii="仿宋" w:hAnsi="仿宋" w:eastAsia="仿宋" w:cs="仿宋"/>
          <w:color w:val="auto"/>
          <w:sz w:val="24"/>
        </w:rPr>
        <w:t>68912880</w:t>
      </w:r>
      <w:r>
        <w:rPr>
          <w:rFonts w:hint="eastAsia" w:ascii="仿宋" w:hAnsi="仿宋" w:eastAsia="仿宋" w:cs="仿宋"/>
          <w:color w:val="auto"/>
          <w:sz w:val="24"/>
        </w:rPr>
        <w:tab/>
      </w:r>
      <w:r>
        <w:rPr>
          <w:rFonts w:hint="eastAsia" w:ascii="仿宋" w:hAnsi="仿宋" w:eastAsia="仿宋" w:cs="仿宋"/>
          <w:color w:val="auto"/>
          <w:sz w:val="24"/>
        </w:rPr>
        <w:t>15353736656</w:t>
      </w:r>
    </w:p>
    <w:p w14:paraId="4AF0D5E5">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明光路支行</w:t>
      </w:r>
      <w:r>
        <w:rPr>
          <w:rFonts w:hint="eastAsia" w:ascii="仿宋" w:hAnsi="仿宋" w:eastAsia="仿宋" w:cs="仿宋"/>
          <w:color w:val="auto"/>
          <w:sz w:val="24"/>
        </w:rPr>
        <w:tab/>
      </w:r>
      <w:r>
        <w:rPr>
          <w:rFonts w:hint="eastAsia" w:ascii="仿宋" w:hAnsi="仿宋" w:eastAsia="仿宋" w:cs="仿宋"/>
          <w:color w:val="auto"/>
          <w:sz w:val="24"/>
        </w:rPr>
        <w:t>刘二渭</w:t>
      </w:r>
      <w:r>
        <w:rPr>
          <w:rFonts w:hint="eastAsia" w:ascii="仿宋" w:hAnsi="仿宋" w:eastAsia="仿宋" w:cs="仿宋"/>
          <w:color w:val="auto"/>
          <w:sz w:val="24"/>
        </w:rPr>
        <w:tab/>
      </w:r>
      <w:r>
        <w:rPr>
          <w:rFonts w:hint="eastAsia" w:ascii="仿宋" w:hAnsi="仿宋" w:eastAsia="仿宋" w:cs="仿宋"/>
          <w:color w:val="auto"/>
          <w:sz w:val="24"/>
        </w:rPr>
        <w:t>81623506</w:t>
      </w:r>
      <w:r>
        <w:rPr>
          <w:rFonts w:hint="eastAsia" w:ascii="仿宋" w:hAnsi="仿宋" w:eastAsia="仿宋" w:cs="仿宋"/>
          <w:color w:val="auto"/>
          <w:sz w:val="24"/>
        </w:rPr>
        <w:tab/>
      </w:r>
      <w:r>
        <w:rPr>
          <w:rFonts w:hint="eastAsia" w:ascii="仿宋" w:hAnsi="仿宋" w:eastAsia="仿宋" w:cs="仿宋"/>
          <w:color w:val="auto"/>
          <w:sz w:val="24"/>
        </w:rPr>
        <w:t>13201793405</w:t>
      </w:r>
    </w:p>
    <w:p w14:paraId="3130CE2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凤城二路支行</w:t>
      </w:r>
      <w:r>
        <w:rPr>
          <w:rFonts w:hint="eastAsia" w:ascii="仿宋" w:hAnsi="仿宋" w:eastAsia="仿宋" w:cs="仿宋"/>
          <w:color w:val="auto"/>
          <w:sz w:val="24"/>
        </w:rPr>
        <w:tab/>
      </w:r>
      <w:r>
        <w:rPr>
          <w:rFonts w:hint="eastAsia" w:ascii="仿宋" w:hAnsi="仿宋" w:eastAsia="仿宋" w:cs="仿宋"/>
          <w:color w:val="auto"/>
          <w:sz w:val="24"/>
        </w:rPr>
        <w:t>张 洋</w:t>
      </w:r>
      <w:r>
        <w:rPr>
          <w:rFonts w:hint="eastAsia" w:ascii="仿宋" w:hAnsi="仿宋" w:eastAsia="仿宋" w:cs="仿宋"/>
          <w:color w:val="auto"/>
          <w:sz w:val="24"/>
        </w:rPr>
        <w:tab/>
      </w:r>
      <w:r>
        <w:rPr>
          <w:rFonts w:hint="eastAsia" w:ascii="仿宋" w:hAnsi="仿宋" w:eastAsia="仿宋" w:cs="仿宋"/>
          <w:color w:val="auto"/>
          <w:sz w:val="24"/>
        </w:rPr>
        <w:t>86680267</w:t>
      </w:r>
      <w:r>
        <w:rPr>
          <w:rFonts w:hint="eastAsia" w:ascii="仿宋" w:hAnsi="仿宋" w:eastAsia="仿宋" w:cs="仿宋"/>
          <w:color w:val="auto"/>
          <w:sz w:val="24"/>
        </w:rPr>
        <w:tab/>
      </w:r>
      <w:r>
        <w:rPr>
          <w:rFonts w:hint="eastAsia" w:ascii="仿宋" w:hAnsi="仿宋" w:eastAsia="仿宋" w:cs="仿宋"/>
          <w:color w:val="auto"/>
          <w:sz w:val="24"/>
        </w:rPr>
        <w:t>13720423343</w:t>
      </w:r>
    </w:p>
    <w:p w14:paraId="15E0025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昆明路支行</w:t>
      </w:r>
      <w:r>
        <w:rPr>
          <w:rFonts w:hint="eastAsia" w:ascii="仿宋" w:hAnsi="仿宋" w:eastAsia="仿宋" w:cs="仿宋"/>
          <w:color w:val="auto"/>
          <w:sz w:val="24"/>
        </w:rPr>
        <w:tab/>
      </w:r>
      <w:r>
        <w:rPr>
          <w:rFonts w:hint="eastAsia" w:ascii="仿宋" w:hAnsi="仿宋" w:eastAsia="仿宋" w:cs="仿宋"/>
          <w:color w:val="auto"/>
          <w:sz w:val="24"/>
        </w:rPr>
        <w:t>张 洁</w:t>
      </w:r>
      <w:r>
        <w:rPr>
          <w:rFonts w:hint="eastAsia" w:ascii="仿宋" w:hAnsi="仿宋" w:eastAsia="仿宋" w:cs="仿宋"/>
          <w:color w:val="auto"/>
          <w:sz w:val="24"/>
        </w:rPr>
        <w:tab/>
      </w:r>
      <w:r>
        <w:rPr>
          <w:rFonts w:hint="eastAsia" w:ascii="仿宋" w:hAnsi="仿宋" w:eastAsia="仿宋" w:cs="仿宋"/>
          <w:color w:val="auto"/>
          <w:sz w:val="24"/>
        </w:rPr>
        <w:t>84592506</w:t>
      </w:r>
      <w:r>
        <w:rPr>
          <w:rFonts w:hint="eastAsia" w:ascii="仿宋" w:hAnsi="仿宋" w:eastAsia="仿宋" w:cs="仿宋"/>
          <w:color w:val="auto"/>
          <w:sz w:val="24"/>
        </w:rPr>
        <w:tab/>
      </w:r>
      <w:r>
        <w:rPr>
          <w:rFonts w:hint="eastAsia" w:ascii="仿宋" w:hAnsi="仿宋" w:eastAsia="仿宋" w:cs="仿宋"/>
          <w:color w:val="auto"/>
          <w:sz w:val="24"/>
        </w:rPr>
        <w:t>13991821278</w:t>
      </w:r>
    </w:p>
    <w:p w14:paraId="4959DC1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丈八北路支行</w:t>
      </w:r>
      <w:r>
        <w:rPr>
          <w:rFonts w:hint="eastAsia" w:ascii="仿宋" w:hAnsi="仿宋" w:eastAsia="仿宋" w:cs="仿宋"/>
          <w:color w:val="auto"/>
          <w:sz w:val="24"/>
        </w:rPr>
        <w:tab/>
      </w:r>
      <w:r>
        <w:rPr>
          <w:rFonts w:hint="eastAsia" w:ascii="仿宋" w:hAnsi="仿宋" w:eastAsia="仿宋" w:cs="仿宋"/>
          <w:color w:val="auto"/>
          <w:sz w:val="24"/>
        </w:rPr>
        <w:t>郭 浩</w:t>
      </w:r>
      <w:r>
        <w:rPr>
          <w:rFonts w:hint="eastAsia" w:ascii="仿宋" w:hAnsi="仿宋" w:eastAsia="仿宋" w:cs="仿宋"/>
          <w:color w:val="auto"/>
          <w:sz w:val="24"/>
        </w:rPr>
        <w:tab/>
      </w:r>
      <w:r>
        <w:rPr>
          <w:rFonts w:hint="eastAsia" w:ascii="仿宋" w:hAnsi="仿宋" w:eastAsia="仿宋" w:cs="仿宋"/>
          <w:color w:val="auto"/>
          <w:sz w:val="24"/>
        </w:rPr>
        <w:t>81875192</w:t>
      </w:r>
      <w:r>
        <w:rPr>
          <w:rFonts w:hint="eastAsia" w:ascii="仿宋" w:hAnsi="仿宋" w:eastAsia="仿宋" w:cs="仿宋"/>
          <w:color w:val="auto"/>
          <w:sz w:val="24"/>
        </w:rPr>
        <w:tab/>
      </w:r>
      <w:r>
        <w:rPr>
          <w:rFonts w:hint="eastAsia" w:ascii="仿宋" w:hAnsi="仿宋" w:eastAsia="仿宋" w:cs="仿宋"/>
          <w:color w:val="auto"/>
          <w:sz w:val="24"/>
        </w:rPr>
        <w:t>15667087662</w:t>
      </w:r>
    </w:p>
    <w:p w14:paraId="57D6BB6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新城支行</w:t>
      </w:r>
      <w:r>
        <w:rPr>
          <w:rFonts w:hint="eastAsia" w:ascii="仿宋" w:hAnsi="仿宋" w:eastAsia="仿宋" w:cs="仿宋"/>
          <w:color w:val="auto"/>
          <w:sz w:val="24"/>
        </w:rPr>
        <w:tab/>
      </w:r>
      <w:r>
        <w:rPr>
          <w:rFonts w:hint="eastAsia" w:ascii="仿宋" w:hAnsi="仿宋" w:eastAsia="仿宋" w:cs="仿宋"/>
          <w:color w:val="auto"/>
          <w:sz w:val="24"/>
        </w:rPr>
        <w:t>余振东</w:t>
      </w:r>
      <w:r>
        <w:rPr>
          <w:rFonts w:hint="eastAsia" w:ascii="仿宋" w:hAnsi="仿宋" w:eastAsia="仿宋" w:cs="仿宋"/>
          <w:color w:val="auto"/>
          <w:sz w:val="24"/>
        </w:rPr>
        <w:tab/>
      </w:r>
      <w:r>
        <w:rPr>
          <w:rFonts w:hint="eastAsia" w:ascii="仿宋" w:hAnsi="仿宋" w:eastAsia="仿宋" w:cs="仿宋"/>
          <w:color w:val="auto"/>
          <w:sz w:val="24"/>
        </w:rPr>
        <w:t>87251680</w:t>
      </w:r>
      <w:r>
        <w:rPr>
          <w:rFonts w:hint="eastAsia" w:ascii="仿宋" w:hAnsi="仿宋" w:eastAsia="仿宋" w:cs="仿宋"/>
          <w:color w:val="auto"/>
          <w:sz w:val="24"/>
        </w:rPr>
        <w:tab/>
      </w:r>
      <w:r>
        <w:rPr>
          <w:rFonts w:hint="eastAsia" w:ascii="仿宋" w:hAnsi="仿宋" w:eastAsia="仿宋" w:cs="仿宋"/>
          <w:color w:val="auto"/>
          <w:sz w:val="24"/>
        </w:rPr>
        <w:t>18066617238</w:t>
      </w:r>
    </w:p>
    <w:p w14:paraId="549229B6">
      <w:pPr>
        <w:spacing w:line="360" w:lineRule="exact"/>
        <w:rPr>
          <w:rFonts w:hint="eastAsia" w:ascii="仿宋" w:hAnsi="仿宋" w:eastAsia="仿宋" w:cs="仿宋"/>
          <w:b/>
          <w:color w:val="auto"/>
          <w:sz w:val="24"/>
        </w:rPr>
      </w:pPr>
      <w:r>
        <w:rPr>
          <w:rFonts w:hint="eastAsia" w:ascii="仿宋" w:hAnsi="仿宋" w:eastAsia="仿宋" w:cs="仿宋"/>
          <w:b/>
          <w:color w:val="auto"/>
          <w:sz w:val="24"/>
        </w:rPr>
        <w:t>六、浦发银行 （政采e贷）</w:t>
      </w:r>
    </w:p>
    <w:p w14:paraId="46711A6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吴晨雨</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029-63603803</w:t>
      </w:r>
      <w:r>
        <w:rPr>
          <w:rFonts w:hint="eastAsia" w:ascii="仿宋" w:hAnsi="仿宋" w:eastAsia="仿宋" w:cs="仿宋"/>
          <w:color w:val="auto"/>
          <w:sz w:val="24"/>
        </w:rPr>
        <w:tab/>
      </w:r>
      <w:r>
        <w:rPr>
          <w:rFonts w:hint="eastAsia" w:ascii="仿宋" w:hAnsi="仿宋" w:eastAsia="仿宋" w:cs="仿宋"/>
          <w:color w:val="auto"/>
          <w:sz w:val="24"/>
        </w:rPr>
        <w:t>15991724645</w:t>
      </w:r>
    </w:p>
    <w:p w14:paraId="169FA08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陈福全</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029-63603441</w:t>
      </w:r>
      <w:r>
        <w:rPr>
          <w:rFonts w:hint="eastAsia" w:ascii="仿宋" w:hAnsi="仿宋" w:eastAsia="仿宋" w:cs="仿宋"/>
          <w:color w:val="auto"/>
          <w:sz w:val="24"/>
        </w:rPr>
        <w:tab/>
      </w:r>
      <w:r>
        <w:rPr>
          <w:rFonts w:hint="eastAsia" w:ascii="仿宋" w:hAnsi="仿宋" w:eastAsia="仿宋" w:cs="仿宋"/>
          <w:color w:val="auto"/>
          <w:sz w:val="24"/>
        </w:rPr>
        <w:t>17782511994</w:t>
      </w:r>
    </w:p>
    <w:p w14:paraId="7BC11EC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韩瑾</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029-63603443</w:t>
      </w:r>
      <w:r>
        <w:rPr>
          <w:rFonts w:hint="eastAsia" w:ascii="仿宋" w:hAnsi="仿宋" w:eastAsia="仿宋" w:cs="仿宋"/>
          <w:color w:val="auto"/>
          <w:sz w:val="24"/>
        </w:rPr>
        <w:tab/>
      </w:r>
      <w:r>
        <w:rPr>
          <w:rFonts w:hint="eastAsia" w:ascii="仿宋" w:hAnsi="仿宋" w:eastAsia="仿宋" w:cs="仿宋"/>
          <w:color w:val="auto"/>
          <w:sz w:val="24"/>
        </w:rPr>
        <w:t>18202909790</w:t>
      </w:r>
    </w:p>
    <w:p w14:paraId="2BAECDE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李瑞雪</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029-63603445</w:t>
      </w:r>
      <w:r>
        <w:rPr>
          <w:rFonts w:hint="eastAsia" w:ascii="仿宋" w:hAnsi="仿宋" w:eastAsia="仿宋" w:cs="仿宋"/>
          <w:color w:val="auto"/>
          <w:sz w:val="24"/>
        </w:rPr>
        <w:tab/>
      </w:r>
      <w:r>
        <w:rPr>
          <w:rFonts w:hint="eastAsia" w:ascii="仿宋" w:hAnsi="仿宋" w:eastAsia="仿宋" w:cs="仿宋"/>
          <w:color w:val="auto"/>
          <w:sz w:val="24"/>
        </w:rPr>
        <w:t>18220862398</w:t>
      </w:r>
    </w:p>
    <w:p w14:paraId="543D7C4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陈晓晓</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0912-2216068</w:t>
      </w:r>
      <w:r>
        <w:rPr>
          <w:rFonts w:hint="eastAsia" w:ascii="仿宋" w:hAnsi="仿宋" w:eastAsia="仿宋" w:cs="仿宋"/>
          <w:color w:val="auto"/>
          <w:sz w:val="24"/>
        </w:rPr>
        <w:tab/>
      </w:r>
      <w:r>
        <w:rPr>
          <w:rFonts w:hint="eastAsia" w:ascii="仿宋" w:hAnsi="仿宋" w:eastAsia="仿宋" w:cs="仿宋"/>
          <w:color w:val="auto"/>
          <w:sz w:val="24"/>
        </w:rPr>
        <w:t>15691269965</w:t>
      </w:r>
    </w:p>
    <w:p w14:paraId="5A535645">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郭小东</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0912-2216008</w:t>
      </w:r>
      <w:r>
        <w:rPr>
          <w:rFonts w:hint="eastAsia" w:ascii="仿宋" w:hAnsi="仿宋" w:eastAsia="仿宋" w:cs="仿宋"/>
          <w:color w:val="auto"/>
          <w:sz w:val="24"/>
        </w:rPr>
        <w:tab/>
      </w:r>
      <w:r>
        <w:rPr>
          <w:rFonts w:hint="eastAsia" w:ascii="仿宋" w:hAnsi="仿宋" w:eastAsia="仿宋" w:cs="仿宋"/>
          <w:color w:val="auto"/>
          <w:sz w:val="24"/>
        </w:rPr>
        <w:t>15291820586</w:t>
      </w:r>
    </w:p>
    <w:p w14:paraId="6F6EA7B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张一岚</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 xml:space="preserve">0917-8662919 </w:t>
      </w:r>
      <w:r>
        <w:rPr>
          <w:rFonts w:hint="eastAsia" w:ascii="仿宋" w:hAnsi="仿宋" w:eastAsia="仿宋" w:cs="仿宋"/>
          <w:color w:val="auto"/>
          <w:sz w:val="24"/>
        </w:rPr>
        <w:tab/>
      </w:r>
      <w:r>
        <w:rPr>
          <w:rFonts w:hint="eastAsia" w:ascii="仿宋" w:hAnsi="仿宋" w:eastAsia="仿宋" w:cs="仿宋"/>
          <w:color w:val="auto"/>
          <w:sz w:val="24"/>
        </w:rPr>
        <w:t>18690008816</w:t>
      </w:r>
    </w:p>
    <w:p w14:paraId="325EB3A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朱强</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 xml:space="preserve">0917-8662926 </w:t>
      </w:r>
      <w:r>
        <w:rPr>
          <w:rFonts w:hint="eastAsia" w:ascii="仿宋" w:hAnsi="仿宋" w:eastAsia="仿宋" w:cs="仿宋"/>
          <w:color w:val="auto"/>
          <w:sz w:val="24"/>
        </w:rPr>
        <w:tab/>
      </w:r>
      <w:r>
        <w:rPr>
          <w:rFonts w:hint="eastAsia" w:ascii="仿宋" w:hAnsi="仿宋" w:eastAsia="仿宋" w:cs="仿宋"/>
          <w:color w:val="auto"/>
          <w:sz w:val="24"/>
        </w:rPr>
        <w:t>13909176381</w:t>
      </w:r>
    </w:p>
    <w:p w14:paraId="2E9F36D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王晓峰</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0913-3357080</w:t>
      </w:r>
      <w:r>
        <w:rPr>
          <w:rFonts w:hint="eastAsia" w:ascii="仿宋" w:hAnsi="仿宋" w:eastAsia="仿宋" w:cs="仿宋"/>
          <w:color w:val="auto"/>
          <w:sz w:val="24"/>
        </w:rPr>
        <w:tab/>
      </w:r>
      <w:r>
        <w:rPr>
          <w:rFonts w:hint="eastAsia" w:ascii="仿宋" w:hAnsi="仿宋" w:eastAsia="仿宋" w:cs="仿宋"/>
          <w:color w:val="auto"/>
          <w:sz w:val="24"/>
        </w:rPr>
        <w:t>13992363166</w:t>
      </w:r>
    </w:p>
    <w:p w14:paraId="6FB497E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薛晗</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029-32083788</w:t>
      </w:r>
      <w:r>
        <w:rPr>
          <w:rFonts w:hint="eastAsia" w:ascii="仿宋" w:hAnsi="仿宋" w:eastAsia="仿宋" w:cs="仿宋"/>
          <w:color w:val="auto"/>
          <w:sz w:val="24"/>
        </w:rPr>
        <w:tab/>
      </w:r>
      <w:r>
        <w:rPr>
          <w:rFonts w:hint="eastAsia" w:ascii="仿宋" w:hAnsi="仿宋" w:eastAsia="仿宋" w:cs="仿宋"/>
          <w:color w:val="auto"/>
          <w:sz w:val="24"/>
        </w:rPr>
        <w:t>15109226216</w:t>
      </w:r>
    </w:p>
    <w:p w14:paraId="1F47A753">
      <w:pPr>
        <w:spacing w:line="360" w:lineRule="exact"/>
        <w:rPr>
          <w:rFonts w:hint="eastAsia" w:ascii="仿宋" w:hAnsi="仿宋" w:eastAsia="仿宋" w:cs="仿宋"/>
          <w:b/>
          <w:color w:val="auto"/>
          <w:sz w:val="24"/>
        </w:rPr>
      </w:pPr>
      <w:r>
        <w:rPr>
          <w:rFonts w:hint="eastAsia" w:ascii="仿宋" w:hAnsi="仿宋" w:eastAsia="仿宋" w:cs="仿宋"/>
          <w:b/>
          <w:color w:val="auto"/>
          <w:sz w:val="24"/>
        </w:rPr>
        <w:t>七、兴业银行（政采贷）</w:t>
      </w:r>
    </w:p>
    <w:p w14:paraId="3D501B1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朱靖</w:t>
      </w:r>
      <w:r>
        <w:rPr>
          <w:rFonts w:hint="eastAsia" w:ascii="仿宋" w:hAnsi="仿宋" w:eastAsia="仿宋" w:cs="仿宋"/>
          <w:color w:val="auto"/>
          <w:sz w:val="24"/>
        </w:rPr>
        <w:tab/>
      </w:r>
      <w:r>
        <w:rPr>
          <w:rFonts w:hint="eastAsia" w:ascii="仿宋" w:hAnsi="仿宋" w:eastAsia="仿宋" w:cs="仿宋"/>
          <w:color w:val="auto"/>
          <w:sz w:val="24"/>
        </w:rPr>
        <w:t>总监</w:t>
      </w:r>
      <w:r>
        <w:rPr>
          <w:rFonts w:hint="eastAsia" w:ascii="仿宋" w:hAnsi="仿宋" w:eastAsia="仿宋" w:cs="仿宋"/>
          <w:color w:val="auto"/>
          <w:sz w:val="24"/>
        </w:rPr>
        <w:tab/>
      </w:r>
      <w:r>
        <w:rPr>
          <w:rFonts w:hint="eastAsia" w:ascii="仿宋" w:hAnsi="仿宋" w:eastAsia="仿宋" w:cs="仿宋"/>
          <w:color w:val="auto"/>
          <w:sz w:val="24"/>
        </w:rPr>
        <w:t>029-87482998</w:t>
      </w:r>
      <w:r>
        <w:rPr>
          <w:rFonts w:hint="eastAsia" w:ascii="仿宋" w:hAnsi="仿宋" w:eastAsia="仿宋" w:cs="仿宋"/>
          <w:color w:val="auto"/>
          <w:sz w:val="24"/>
        </w:rPr>
        <w:tab/>
      </w:r>
      <w:r>
        <w:rPr>
          <w:rFonts w:hint="eastAsia" w:ascii="仿宋" w:hAnsi="仿宋" w:eastAsia="仿宋" w:cs="仿宋"/>
          <w:color w:val="auto"/>
          <w:sz w:val="24"/>
        </w:rPr>
        <w:t>13363979983</w:t>
      </w:r>
    </w:p>
    <w:p w14:paraId="0CDCA0B4">
      <w:pPr>
        <w:spacing w:line="360" w:lineRule="exact"/>
        <w:rPr>
          <w:rFonts w:hint="eastAsia" w:ascii="仿宋" w:hAnsi="仿宋" w:eastAsia="仿宋" w:cs="仿宋"/>
          <w:b/>
          <w:color w:val="auto"/>
          <w:sz w:val="24"/>
        </w:rPr>
      </w:pPr>
      <w:r>
        <w:rPr>
          <w:rFonts w:hint="eastAsia" w:ascii="仿宋" w:hAnsi="仿宋" w:eastAsia="仿宋" w:cs="仿宋"/>
          <w:b/>
          <w:color w:val="auto"/>
          <w:sz w:val="24"/>
        </w:rPr>
        <w:t>八、中国民生银行（政采贷）</w:t>
      </w:r>
    </w:p>
    <w:p w14:paraId="24F2CEAA">
      <w:pPr>
        <w:spacing w:line="360" w:lineRule="exact"/>
        <w:ind w:left="2580" w:leftChars="200" w:hanging="2160" w:hangingChars="900"/>
        <w:rPr>
          <w:rFonts w:hint="eastAsia" w:ascii="仿宋" w:hAnsi="仿宋" w:eastAsia="仿宋" w:cs="仿宋"/>
          <w:color w:val="auto"/>
          <w:sz w:val="24"/>
        </w:rPr>
      </w:pPr>
      <w:r>
        <w:rPr>
          <w:rFonts w:hint="eastAsia" w:ascii="仿宋" w:hAnsi="仿宋" w:eastAsia="仿宋" w:cs="仿宋"/>
          <w:color w:val="auto"/>
          <w:sz w:val="24"/>
        </w:rPr>
        <w:t>民生银行西安分行  联系人：陈经理 联系电话：61815275 /18821669199</w:t>
      </w:r>
    </w:p>
    <w:p w14:paraId="309EF2E4">
      <w:pPr>
        <w:spacing w:line="360" w:lineRule="exact"/>
        <w:ind w:left="2580" w:leftChars="200" w:hanging="2160" w:hangingChars="900"/>
        <w:rPr>
          <w:rFonts w:hint="eastAsia" w:ascii="仿宋" w:hAnsi="仿宋" w:eastAsia="仿宋" w:cs="仿宋"/>
          <w:color w:val="auto"/>
          <w:sz w:val="24"/>
        </w:rPr>
      </w:pPr>
      <w:r>
        <w:rPr>
          <w:rFonts w:hint="eastAsia" w:ascii="仿宋" w:hAnsi="仿宋" w:eastAsia="仿宋" w:cs="仿宋"/>
          <w:color w:val="auto"/>
          <w:sz w:val="24"/>
        </w:rPr>
        <w:t xml:space="preserve">联系人：王经理 联系电话：61815280 /18591953690 </w:t>
      </w:r>
    </w:p>
    <w:p w14:paraId="1E4BA885">
      <w:pPr>
        <w:spacing w:line="360" w:lineRule="exact"/>
        <w:rPr>
          <w:rFonts w:hint="eastAsia" w:ascii="仿宋" w:hAnsi="仿宋" w:eastAsia="仿宋" w:cs="仿宋"/>
          <w:b/>
          <w:color w:val="auto"/>
          <w:sz w:val="24"/>
        </w:rPr>
      </w:pPr>
      <w:r>
        <w:rPr>
          <w:rFonts w:hint="eastAsia" w:ascii="仿宋" w:hAnsi="仿宋" w:eastAsia="仿宋" w:cs="仿宋"/>
          <w:b/>
          <w:color w:val="auto"/>
          <w:sz w:val="24"/>
        </w:rPr>
        <w:t>九、浙商银行 （政采贷）</w:t>
      </w:r>
    </w:p>
    <w:p w14:paraId="6AA233C0">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西安市雁塔区科技路259号</w:t>
      </w:r>
      <w:r>
        <w:rPr>
          <w:rFonts w:hint="eastAsia" w:ascii="仿宋" w:hAnsi="仿宋" w:eastAsia="仿宋" w:cs="仿宋"/>
          <w:color w:val="auto"/>
          <w:sz w:val="24"/>
        </w:rPr>
        <w:tab/>
      </w:r>
      <w:r>
        <w:rPr>
          <w:rFonts w:hint="eastAsia" w:ascii="仿宋" w:hAnsi="仿宋" w:eastAsia="仿宋" w:cs="仿宋"/>
          <w:color w:val="auto"/>
          <w:sz w:val="24"/>
        </w:rPr>
        <w:t>曹金辉</w:t>
      </w:r>
      <w:r>
        <w:rPr>
          <w:rFonts w:hint="eastAsia" w:ascii="仿宋" w:hAnsi="仿宋" w:eastAsia="仿宋" w:cs="仿宋"/>
          <w:color w:val="auto"/>
          <w:sz w:val="24"/>
        </w:rPr>
        <w:tab/>
      </w:r>
      <w:r>
        <w:rPr>
          <w:rFonts w:hint="eastAsia" w:ascii="仿宋" w:hAnsi="仿宋" w:eastAsia="仿宋" w:cs="仿宋"/>
          <w:color w:val="auto"/>
          <w:sz w:val="24"/>
        </w:rPr>
        <w:t>18710993980</w:t>
      </w:r>
    </w:p>
    <w:p w14:paraId="2FFDE5BF">
      <w:pPr>
        <w:spacing w:line="360" w:lineRule="exact"/>
        <w:rPr>
          <w:rFonts w:hint="eastAsia" w:ascii="仿宋" w:hAnsi="仿宋" w:eastAsia="仿宋" w:cs="仿宋"/>
          <w:b/>
          <w:color w:val="auto"/>
          <w:sz w:val="24"/>
        </w:rPr>
      </w:pPr>
      <w:r>
        <w:rPr>
          <w:rFonts w:hint="eastAsia" w:ascii="仿宋" w:hAnsi="仿宋" w:eastAsia="仿宋" w:cs="仿宋"/>
          <w:b/>
          <w:color w:val="auto"/>
          <w:sz w:val="24"/>
        </w:rPr>
        <w:t xml:space="preserve">十、 招商银行（政采贷） </w:t>
      </w:r>
    </w:p>
    <w:p w14:paraId="6A6C398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招商银行西安分行   联系人：任瑾；85438988</w:t>
      </w:r>
    </w:p>
    <w:p w14:paraId="32DDF24C">
      <w:pPr>
        <w:spacing w:line="360" w:lineRule="exact"/>
        <w:rPr>
          <w:rFonts w:hint="eastAsia" w:ascii="仿宋" w:hAnsi="仿宋" w:eastAsia="仿宋" w:cs="仿宋"/>
          <w:b/>
          <w:color w:val="auto"/>
          <w:sz w:val="24"/>
        </w:rPr>
      </w:pPr>
      <w:r>
        <w:rPr>
          <w:rFonts w:hint="eastAsia" w:ascii="仿宋" w:hAnsi="仿宋" w:eastAsia="仿宋" w:cs="仿宋"/>
          <w:b/>
          <w:color w:val="auto"/>
          <w:sz w:val="24"/>
        </w:rPr>
        <w:t xml:space="preserve">十一、 长安银行（小微贷） </w:t>
      </w:r>
    </w:p>
    <w:p w14:paraId="39EEDEE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长安银行西安曲江新区支行 地址：西安市曲江新区雁南一路3号  </w:t>
      </w:r>
    </w:p>
    <w:p w14:paraId="5918CF1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联系人：陈瑶 13629266833 </w:t>
      </w:r>
    </w:p>
    <w:p w14:paraId="6673552D">
      <w:pPr>
        <w:spacing w:line="360" w:lineRule="exact"/>
        <w:rPr>
          <w:rFonts w:hint="eastAsia" w:ascii="仿宋" w:hAnsi="仿宋" w:eastAsia="仿宋" w:cs="仿宋"/>
          <w:b/>
          <w:color w:val="auto"/>
          <w:sz w:val="24"/>
        </w:rPr>
      </w:pPr>
      <w:r>
        <w:rPr>
          <w:rFonts w:hint="eastAsia" w:ascii="仿宋" w:hAnsi="仿宋" w:eastAsia="仿宋" w:cs="仿宋"/>
          <w:b/>
          <w:color w:val="auto"/>
          <w:sz w:val="24"/>
        </w:rPr>
        <w:t>十二、网商银行（合同贷）</w:t>
      </w:r>
    </w:p>
    <w:p w14:paraId="13C1C01D">
      <w:pPr>
        <w:spacing w:line="360" w:lineRule="exact"/>
        <w:rPr>
          <w:rFonts w:hint="eastAsia" w:ascii="仿宋" w:hAnsi="仿宋" w:eastAsia="仿宋" w:cs="仿宋"/>
          <w:b/>
          <w:color w:val="auto"/>
          <w:sz w:val="24"/>
        </w:rPr>
      </w:pPr>
      <w:r>
        <w:rPr>
          <w:rFonts w:hint="eastAsia" w:ascii="仿宋" w:hAnsi="仿宋" w:eastAsia="仿宋" w:cs="仿宋"/>
          <w:b/>
          <w:color w:val="auto"/>
          <w:sz w:val="24"/>
        </w:rPr>
        <w:t>十三、中国邮政储蓄银行陕西省分行（政采贷）</w:t>
      </w:r>
    </w:p>
    <w:p w14:paraId="0FA10105">
      <w:pPr>
        <w:pStyle w:val="22"/>
        <w:tabs>
          <w:tab w:val="left" w:pos="567"/>
        </w:tabs>
        <w:spacing w:line="360" w:lineRule="exact"/>
        <w:rPr>
          <w:rFonts w:hint="eastAsia" w:ascii="仿宋" w:hAnsi="仿宋" w:eastAsia="仿宋" w:cs="仿宋"/>
          <w:color w:val="auto"/>
        </w:rPr>
      </w:pPr>
      <w:r>
        <w:rPr>
          <w:rFonts w:hint="eastAsia" w:ascii="仿宋" w:hAnsi="仿宋" w:eastAsia="仿宋" w:cs="仿宋"/>
          <w:color w:val="auto"/>
        </w:rPr>
        <w:t>渭南市政府采购贷款银行信息：</w:t>
      </w:r>
    </w:p>
    <w:tbl>
      <w:tblPr>
        <w:tblStyle w:val="50"/>
        <w:tblW w:w="0" w:type="auto"/>
        <w:tblInd w:w="0" w:type="dxa"/>
        <w:tblLayout w:type="fixed"/>
        <w:tblCellMar>
          <w:top w:w="0" w:type="dxa"/>
          <w:left w:w="108" w:type="dxa"/>
          <w:bottom w:w="0" w:type="dxa"/>
          <w:right w:w="108" w:type="dxa"/>
        </w:tblCellMar>
      </w:tblPr>
      <w:tblGrid>
        <w:gridCol w:w="1330"/>
        <w:gridCol w:w="2210"/>
        <w:gridCol w:w="2871"/>
        <w:gridCol w:w="2871"/>
      </w:tblGrid>
      <w:tr w14:paraId="328618D5">
        <w:tblPrEx>
          <w:tblCellMar>
            <w:top w:w="0" w:type="dxa"/>
            <w:left w:w="108" w:type="dxa"/>
            <w:bottom w:w="0" w:type="dxa"/>
            <w:right w:w="108" w:type="dxa"/>
          </w:tblCellMar>
        </w:tblPrEx>
        <w:trPr>
          <w:trHeight w:val="558" w:hRule="atLeast"/>
        </w:trPr>
        <w:tc>
          <w:tcPr>
            <w:tcW w:w="1330" w:type="dxa"/>
            <w:tcBorders>
              <w:top w:val="single" w:color="000000" w:sz="4" w:space="0"/>
              <w:left w:val="single" w:color="000000" w:sz="4" w:space="0"/>
              <w:bottom w:val="single" w:color="000000" w:sz="4" w:space="0"/>
              <w:right w:val="single" w:color="000000" w:sz="4" w:space="0"/>
            </w:tcBorders>
            <w:noWrap w:val="0"/>
            <w:vAlign w:val="center"/>
          </w:tcPr>
          <w:p w14:paraId="22EA324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序号</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C90AA4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单位名称</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2EC102A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联系人</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5514E26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联系电话</w:t>
            </w:r>
          </w:p>
        </w:tc>
      </w:tr>
      <w:tr w14:paraId="4301C29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BC5A8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52B7C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建设银行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3189E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郭煜庆 田宇</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2820C4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13892535580</w:t>
            </w:r>
          </w:p>
          <w:p w14:paraId="5DA9FEC0">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17797059890</w:t>
            </w:r>
          </w:p>
        </w:tc>
      </w:tr>
      <w:tr w14:paraId="7D040F8D">
        <w:tblPrEx>
          <w:tblCellMar>
            <w:top w:w="0" w:type="dxa"/>
            <w:left w:w="108" w:type="dxa"/>
            <w:bottom w:w="0" w:type="dxa"/>
            <w:right w:w="108" w:type="dxa"/>
          </w:tblCellMar>
        </w:tblPrEx>
        <w:trPr>
          <w:trHeight w:val="480"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4F35F">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FED0B">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D01BE">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33A71">
            <w:pPr>
              <w:spacing w:line="240" w:lineRule="exact"/>
              <w:jc w:val="center"/>
              <w:rPr>
                <w:rFonts w:hint="eastAsia" w:ascii="仿宋" w:hAnsi="仿宋" w:eastAsia="仿宋" w:cs="仿宋"/>
                <w:color w:val="auto"/>
                <w:sz w:val="24"/>
              </w:rPr>
            </w:pPr>
          </w:p>
        </w:tc>
      </w:tr>
      <w:tr w14:paraId="6FF10201">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F8976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2</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4AD918">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浦发银行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10C9594">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孙哲龙 蒙波</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36D4A7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13892383911</w:t>
            </w:r>
          </w:p>
          <w:p w14:paraId="022D47D7">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15249035320</w:t>
            </w:r>
          </w:p>
        </w:tc>
      </w:tr>
      <w:tr w14:paraId="2B8F8CCC">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5EF65">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60BA8">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DD89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4FB90">
            <w:pPr>
              <w:spacing w:line="240" w:lineRule="exact"/>
              <w:jc w:val="center"/>
              <w:rPr>
                <w:rFonts w:hint="eastAsia" w:ascii="仿宋" w:hAnsi="仿宋" w:eastAsia="仿宋" w:cs="仿宋"/>
                <w:color w:val="auto"/>
                <w:sz w:val="24"/>
              </w:rPr>
            </w:pPr>
          </w:p>
        </w:tc>
      </w:tr>
      <w:tr w14:paraId="7268751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99BF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3</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5F99C0">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中信银行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A6E742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杨洋 耿浩</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E2803A">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18191815559</w:t>
            </w:r>
          </w:p>
          <w:p w14:paraId="3EF86AA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13193388328</w:t>
            </w:r>
          </w:p>
        </w:tc>
      </w:tr>
      <w:tr w14:paraId="106E2CC3">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B0F1F">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1901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07C97">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7F4FE">
            <w:pPr>
              <w:spacing w:line="240" w:lineRule="exact"/>
              <w:jc w:val="center"/>
              <w:rPr>
                <w:rFonts w:hint="eastAsia" w:ascii="仿宋" w:hAnsi="仿宋" w:eastAsia="仿宋" w:cs="仿宋"/>
                <w:color w:val="auto"/>
                <w:sz w:val="24"/>
              </w:rPr>
            </w:pPr>
          </w:p>
        </w:tc>
      </w:tr>
      <w:tr w14:paraId="1E9818E6">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576B5">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4</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52625">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兴业银行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40036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权奥星</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11422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15706090239</w:t>
            </w:r>
          </w:p>
        </w:tc>
      </w:tr>
      <w:tr w14:paraId="1A7F4993">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0B781">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69C57">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8D6E1">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2399D">
            <w:pPr>
              <w:spacing w:line="240" w:lineRule="exact"/>
              <w:jc w:val="center"/>
              <w:rPr>
                <w:rFonts w:hint="eastAsia" w:ascii="仿宋" w:hAnsi="仿宋" w:eastAsia="仿宋" w:cs="仿宋"/>
                <w:color w:val="auto"/>
                <w:sz w:val="24"/>
              </w:rPr>
            </w:pPr>
          </w:p>
        </w:tc>
      </w:tr>
      <w:tr w14:paraId="0E225BA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C8F0F1">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5</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055182">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工商银行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174B39">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张剑 张欢</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BBFC49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18191356300</w:t>
            </w:r>
          </w:p>
          <w:p w14:paraId="3D63830F">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15229730006</w:t>
            </w:r>
          </w:p>
        </w:tc>
      </w:tr>
      <w:tr w14:paraId="2B944787">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EDF7D">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F0EF0">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E08F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1164F">
            <w:pPr>
              <w:spacing w:line="240" w:lineRule="exact"/>
              <w:jc w:val="center"/>
              <w:rPr>
                <w:rFonts w:hint="eastAsia" w:ascii="仿宋" w:hAnsi="仿宋" w:eastAsia="仿宋" w:cs="仿宋"/>
                <w:color w:val="auto"/>
                <w:sz w:val="24"/>
              </w:rPr>
            </w:pPr>
          </w:p>
        </w:tc>
      </w:tr>
      <w:tr w14:paraId="12371EC7">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FD5E64">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6</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6498C8">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长安银行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32F9F7">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李华</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68177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13335331958</w:t>
            </w:r>
          </w:p>
        </w:tc>
      </w:tr>
      <w:tr w14:paraId="1380EF68">
        <w:tblPrEx>
          <w:tblCellMar>
            <w:top w:w="0" w:type="dxa"/>
            <w:left w:w="108" w:type="dxa"/>
            <w:bottom w:w="0" w:type="dxa"/>
            <w:right w:w="108" w:type="dxa"/>
          </w:tblCellMar>
        </w:tblPrEx>
        <w:trPr>
          <w:trHeight w:val="312"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948D7">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751AC">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8EC5E">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3560D">
            <w:pPr>
              <w:spacing w:line="240" w:lineRule="exact"/>
              <w:jc w:val="center"/>
              <w:rPr>
                <w:rFonts w:hint="eastAsia" w:ascii="仿宋" w:hAnsi="仿宋" w:eastAsia="仿宋" w:cs="仿宋"/>
                <w:color w:val="auto"/>
                <w:sz w:val="24"/>
              </w:rPr>
            </w:pPr>
          </w:p>
        </w:tc>
      </w:tr>
      <w:tr w14:paraId="35560C4A">
        <w:tblPrEx>
          <w:tblCellMar>
            <w:top w:w="0" w:type="dxa"/>
            <w:left w:w="108" w:type="dxa"/>
            <w:bottom w:w="0" w:type="dxa"/>
            <w:right w:w="108" w:type="dxa"/>
          </w:tblCellMar>
        </w:tblPrEx>
        <w:trPr>
          <w:trHeight w:val="570" w:hRule="atLeast"/>
        </w:trPr>
        <w:tc>
          <w:tcPr>
            <w:tcW w:w="1330" w:type="dxa"/>
            <w:tcBorders>
              <w:top w:val="single" w:color="000000" w:sz="4" w:space="0"/>
              <w:left w:val="single" w:color="000000" w:sz="4" w:space="0"/>
              <w:bottom w:val="single" w:color="000000" w:sz="4" w:space="0"/>
              <w:right w:val="single" w:color="000000" w:sz="4" w:space="0"/>
            </w:tcBorders>
            <w:noWrap w:val="0"/>
            <w:vAlign w:val="center"/>
          </w:tcPr>
          <w:p w14:paraId="08A93F0F">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7</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FDCA0C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邮储银行</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10B8332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张萱</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2D9FDEB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13028431555</w:t>
            </w:r>
          </w:p>
          <w:p w14:paraId="04DDBCF2">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18091365182</w:t>
            </w:r>
          </w:p>
        </w:tc>
      </w:tr>
    </w:tbl>
    <w:p w14:paraId="06432899">
      <w:pPr>
        <w:pStyle w:val="22"/>
        <w:tabs>
          <w:tab w:val="left" w:pos="567"/>
        </w:tabs>
        <w:rPr>
          <w:rFonts w:hint="eastAsia" w:ascii="仿宋" w:hAnsi="仿宋" w:eastAsia="仿宋" w:cs="仿宋"/>
          <w:color w:val="auto"/>
        </w:rPr>
      </w:pPr>
      <w:r>
        <w:rPr>
          <w:rFonts w:hint="eastAsia" w:ascii="仿宋" w:hAnsi="仿宋" w:eastAsia="仿宋" w:cs="仿宋"/>
          <w:color w:val="auto"/>
        </w:rPr>
        <w:t>延安市政府采购贷款银行信息：</w:t>
      </w:r>
    </w:p>
    <w:tbl>
      <w:tblPr>
        <w:tblStyle w:val="50"/>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807"/>
        <w:gridCol w:w="3467"/>
        <w:gridCol w:w="983"/>
        <w:gridCol w:w="1550"/>
      </w:tblGrid>
      <w:tr w14:paraId="2CF8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14:paraId="3ED298EB">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序号</w:t>
            </w:r>
          </w:p>
        </w:tc>
        <w:tc>
          <w:tcPr>
            <w:tcW w:w="2807" w:type="dxa"/>
            <w:noWrap w:val="0"/>
            <w:vAlign w:val="center"/>
          </w:tcPr>
          <w:p w14:paraId="5C85E22F">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银行</w:t>
            </w:r>
          </w:p>
        </w:tc>
        <w:tc>
          <w:tcPr>
            <w:tcW w:w="3467" w:type="dxa"/>
            <w:noWrap w:val="0"/>
            <w:vAlign w:val="center"/>
          </w:tcPr>
          <w:p w14:paraId="51CE5C98">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地址</w:t>
            </w:r>
          </w:p>
        </w:tc>
        <w:tc>
          <w:tcPr>
            <w:tcW w:w="983" w:type="dxa"/>
            <w:noWrap w:val="0"/>
            <w:vAlign w:val="center"/>
          </w:tcPr>
          <w:p w14:paraId="09BAF4FD">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联系人</w:t>
            </w:r>
          </w:p>
        </w:tc>
        <w:tc>
          <w:tcPr>
            <w:tcW w:w="1550" w:type="dxa"/>
            <w:noWrap w:val="0"/>
            <w:vAlign w:val="center"/>
          </w:tcPr>
          <w:p w14:paraId="0511DCFF">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电话</w:t>
            </w:r>
          </w:p>
        </w:tc>
      </w:tr>
      <w:tr w14:paraId="4462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F69ED04">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w:t>
            </w:r>
          </w:p>
        </w:tc>
        <w:tc>
          <w:tcPr>
            <w:tcW w:w="2807" w:type="dxa"/>
            <w:noWrap w:val="0"/>
            <w:vAlign w:val="center"/>
          </w:tcPr>
          <w:p w14:paraId="182A296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中国建设银行延安分行</w:t>
            </w:r>
          </w:p>
        </w:tc>
        <w:tc>
          <w:tcPr>
            <w:tcW w:w="3467" w:type="dxa"/>
            <w:noWrap w:val="0"/>
            <w:vAlign w:val="center"/>
          </w:tcPr>
          <w:p w14:paraId="0715144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延安市宝塔区中心街</w:t>
            </w:r>
          </w:p>
        </w:tc>
        <w:tc>
          <w:tcPr>
            <w:tcW w:w="983" w:type="dxa"/>
            <w:noWrap w:val="0"/>
            <w:vAlign w:val="center"/>
          </w:tcPr>
          <w:p w14:paraId="30FF3B9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徐欣蕾</w:t>
            </w:r>
          </w:p>
        </w:tc>
        <w:tc>
          <w:tcPr>
            <w:tcW w:w="1550" w:type="dxa"/>
            <w:noWrap w:val="0"/>
            <w:vAlign w:val="center"/>
          </w:tcPr>
          <w:p w14:paraId="6D1622A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15891686951</w:t>
            </w:r>
          </w:p>
        </w:tc>
      </w:tr>
      <w:tr w14:paraId="3050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6AE7B892">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2</w:t>
            </w:r>
          </w:p>
        </w:tc>
        <w:tc>
          <w:tcPr>
            <w:tcW w:w="2807" w:type="dxa"/>
            <w:noWrap w:val="0"/>
            <w:vAlign w:val="center"/>
          </w:tcPr>
          <w:p w14:paraId="49CD8CF6">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中国工商银行延安分行</w:t>
            </w:r>
          </w:p>
        </w:tc>
        <w:tc>
          <w:tcPr>
            <w:tcW w:w="3467" w:type="dxa"/>
            <w:noWrap w:val="0"/>
            <w:vAlign w:val="center"/>
          </w:tcPr>
          <w:p w14:paraId="0471F72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延安市宝塔区师范路</w:t>
            </w:r>
          </w:p>
        </w:tc>
        <w:tc>
          <w:tcPr>
            <w:tcW w:w="983" w:type="dxa"/>
            <w:noWrap w:val="0"/>
            <w:vAlign w:val="center"/>
          </w:tcPr>
          <w:p w14:paraId="6B4EB002">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姬悦</w:t>
            </w:r>
          </w:p>
        </w:tc>
        <w:tc>
          <w:tcPr>
            <w:tcW w:w="1550" w:type="dxa"/>
            <w:noWrap w:val="0"/>
            <w:vAlign w:val="center"/>
          </w:tcPr>
          <w:p w14:paraId="1F68E516">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18391156580</w:t>
            </w:r>
          </w:p>
        </w:tc>
      </w:tr>
      <w:tr w14:paraId="47A9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EF939D4">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3</w:t>
            </w:r>
          </w:p>
        </w:tc>
        <w:tc>
          <w:tcPr>
            <w:tcW w:w="2807" w:type="dxa"/>
            <w:noWrap w:val="0"/>
            <w:vAlign w:val="center"/>
          </w:tcPr>
          <w:p w14:paraId="1057798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北京银行延安分行</w:t>
            </w:r>
          </w:p>
        </w:tc>
        <w:tc>
          <w:tcPr>
            <w:tcW w:w="3467" w:type="dxa"/>
            <w:noWrap w:val="0"/>
            <w:vAlign w:val="center"/>
          </w:tcPr>
          <w:p w14:paraId="6E1FBFAD">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延安市宝塔区双拥大道</w:t>
            </w:r>
          </w:p>
        </w:tc>
        <w:tc>
          <w:tcPr>
            <w:tcW w:w="983" w:type="dxa"/>
            <w:noWrap w:val="0"/>
            <w:vAlign w:val="center"/>
          </w:tcPr>
          <w:p w14:paraId="5AF4686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奥宝森</w:t>
            </w:r>
          </w:p>
        </w:tc>
        <w:tc>
          <w:tcPr>
            <w:tcW w:w="1550" w:type="dxa"/>
            <w:noWrap w:val="0"/>
            <w:vAlign w:val="center"/>
          </w:tcPr>
          <w:p w14:paraId="41480C8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15592925222</w:t>
            </w:r>
          </w:p>
        </w:tc>
      </w:tr>
      <w:tr w14:paraId="451D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0670A35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4</w:t>
            </w:r>
          </w:p>
        </w:tc>
        <w:tc>
          <w:tcPr>
            <w:tcW w:w="2807" w:type="dxa"/>
            <w:noWrap w:val="0"/>
            <w:vAlign w:val="center"/>
          </w:tcPr>
          <w:p w14:paraId="0BBBEA21">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邮储银行延安分行</w:t>
            </w:r>
          </w:p>
        </w:tc>
        <w:tc>
          <w:tcPr>
            <w:tcW w:w="3467" w:type="dxa"/>
            <w:noWrap w:val="0"/>
            <w:vAlign w:val="center"/>
          </w:tcPr>
          <w:p w14:paraId="306C161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宝塔区枣园路志丹大厦</w:t>
            </w:r>
          </w:p>
        </w:tc>
        <w:tc>
          <w:tcPr>
            <w:tcW w:w="983" w:type="dxa"/>
            <w:noWrap w:val="0"/>
            <w:vAlign w:val="center"/>
          </w:tcPr>
          <w:p w14:paraId="21521C5C">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刘凯</w:t>
            </w:r>
          </w:p>
        </w:tc>
        <w:tc>
          <w:tcPr>
            <w:tcW w:w="1550" w:type="dxa"/>
            <w:noWrap w:val="0"/>
            <w:vAlign w:val="center"/>
          </w:tcPr>
          <w:p w14:paraId="2888FD7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18691114222</w:t>
            </w:r>
          </w:p>
        </w:tc>
      </w:tr>
      <w:tr w14:paraId="7AAD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02517D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5</w:t>
            </w:r>
          </w:p>
        </w:tc>
        <w:tc>
          <w:tcPr>
            <w:tcW w:w="2807" w:type="dxa"/>
            <w:noWrap w:val="0"/>
            <w:vAlign w:val="center"/>
          </w:tcPr>
          <w:p w14:paraId="456AE1A0">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光大银行延安分行</w:t>
            </w:r>
          </w:p>
        </w:tc>
        <w:tc>
          <w:tcPr>
            <w:tcW w:w="3467" w:type="dxa"/>
            <w:noWrap w:val="0"/>
            <w:vAlign w:val="center"/>
          </w:tcPr>
          <w:p w14:paraId="7F766E2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宝塔区卷烟厂东信时代一、二层</w:t>
            </w:r>
          </w:p>
        </w:tc>
        <w:tc>
          <w:tcPr>
            <w:tcW w:w="983" w:type="dxa"/>
            <w:noWrap w:val="0"/>
            <w:vAlign w:val="center"/>
          </w:tcPr>
          <w:p w14:paraId="769E2C2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汪昊田</w:t>
            </w:r>
          </w:p>
        </w:tc>
        <w:tc>
          <w:tcPr>
            <w:tcW w:w="1550" w:type="dxa"/>
            <w:noWrap w:val="0"/>
            <w:vAlign w:val="center"/>
          </w:tcPr>
          <w:p w14:paraId="077E10C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13509115500</w:t>
            </w:r>
          </w:p>
        </w:tc>
      </w:tr>
      <w:tr w14:paraId="79C7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3BEEC0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6</w:t>
            </w:r>
          </w:p>
        </w:tc>
        <w:tc>
          <w:tcPr>
            <w:tcW w:w="2807" w:type="dxa"/>
            <w:noWrap w:val="0"/>
            <w:vAlign w:val="center"/>
          </w:tcPr>
          <w:p w14:paraId="558EDD4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交通银行延安分行</w:t>
            </w:r>
          </w:p>
        </w:tc>
        <w:tc>
          <w:tcPr>
            <w:tcW w:w="3467" w:type="dxa"/>
            <w:noWrap w:val="0"/>
            <w:vAlign w:val="center"/>
          </w:tcPr>
          <w:p w14:paraId="32A4436A">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延安市宝塔区北大街95号</w:t>
            </w:r>
          </w:p>
        </w:tc>
        <w:tc>
          <w:tcPr>
            <w:tcW w:w="983" w:type="dxa"/>
            <w:noWrap w:val="0"/>
            <w:vAlign w:val="center"/>
          </w:tcPr>
          <w:p w14:paraId="3EE302F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王瑶</w:t>
            </w:r>
          </w:p>
        </w:tc>
        <w:tc>
          <w:tcPr>
            <w:tcW w:w="1550" w:type="dxa"/>
            <w:noWrap w:val="0"/>
            <w:vAlign w:val="center"/>
          </w:tcPr>
          <w:p w14:paraId="708F186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13389119518</w:t>
            </w:r>
          </w:p>
        </w:tc>
      </w:tr>
      <w:tr w14:paraId="3F5D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D3B81F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7</w:t>
            </w:r>
          </w:p>
        </w:tc>
        <w:tc>
          <w:tcPr>
            <w:tcW w:w="2807" w:type="dxa"/>
            <w:noWrap w:val="0"/>
            <w:vAlign w:val="center"/>
          </w:tcPr>
          <w:p w14:paraId="3F5F072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延安农商行</w:t>
            </w:r>
          </w:p>
        </w:tc>
        <w:tc>
          <w:tcPr>
            <w:tcW w:w="3467" w:type="dxa"/>
            <w:noWrap w:val="0"/>
            <w:vAlign w:val="center"/>
          </w:tcPr>
          <w:p w14:paraId="031B8C9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延安市宝塔区百米大道永兴路农商银行大厦</w:t>
            </w:r>
          </w:p>
        </w:tc>
        <w:tc>
          <w:tcPr>
            <w:tcW w:w="983" w:type="dxa"/>
            <w:noWrap w:val="0"/>
            <w:vAlign w:val="center"/>
          </w:tcPr>
          <w:p w14:paraId="1CA78806">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段田瑞</w:t>
            </w:r>
          </w:p>
        </w:tc>
        <w:tc>
          <w:tcPr>
            <w:tcW w:w="1550" w:type="dxa"/>
            <w:noWrap w:val="0"/>
            <w:vAlign w:val="center"/>
          </w:tcPr>
          <w:p w14:paraId="341404F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18700166012</w:t>
            </w:r>
          </w:p>
        </w:tc>
      </w:tr>
      <w:tr w14:paraId="0CFF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218132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8</w:t>
            </w:r>
          </w:p>
        </w:tc>
        <w:tc>
          <w:tcPr>
            <w:tcW w:w="2807" w:type="dxa"/>
            <w:noWrap w:val="0"/>
            <w:vAlign w:val="center"/>
          </w:tcPr>
          <w:p w14:paraId="2873BF0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甘泉农商行</w:t>
            </w:r>
          </w:p>
        </w:tc>
        <w:tc>
          <w:tcPr>
            <w:tcW w:w="3467" w:type="dxa"/>
            <w:noWrap w:val="0"/>
            <w:vAlign w:val="center"/>
          </w:tcPr>
          <w:p w14:paraId="5455C17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甘泉县中心街019号</w:t>
            </w:r>
          </w:p>
        </w:tc>
        <w:tc>
          <w:tcPr>
            <w:tcW w:w="983" w:type="dxa"/>
            <w:noWrap w:val="0"/>
            <w:vAlign w:val="center"/>
          </w:tcPr>
          <w:p w14:paraId="2C24AC8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白晶晶</w:t>
            </w:r>
          </w:p>
        </w:tc>
        <w:tc>
          <w:tcPr>
            <w:tcW w:w="1550" w:type="dxa"/>
            <w:noWrap w:val="0"/>
            <w:vAlign w:val="center"/>
          </w:tcPr>
          <w:p w14:paraId="05252D1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15129872940</w:t>
            </w:r>
          </w:p>
        </w:tc>
      </w:tr>
      <w:tr w14:paraId="3164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7FBBFFD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9</w:t>
            </w:r>
          </w:p>
        </w:tc>
        <w:tc>
          <w:tcPr>
            <w:tcW w:w="2807" w:type="dxa"/>
            <w:noWrap w:val="0"/>
            <w:vAlign w:val="center"/>
          </w:tcPr>
          <w:p w14:paraId="522660B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延长联社</w:t>
            </w:r>
          </w:p>
        </w:tc>
        <w:tc>
          <w:tcPr>
            <w:tcW w:w="3467" w:type="dxa"/>
            <w:noWrap w:val="0"/>
            <w:vAlign w:val="center"/>
          </w:tcPr>
          <w:p w14:paraId="15D2DBE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延长县七里村镇街道城区中街</w:t>
            </w:r>
          </w:p>
        </w:tc>
        <w:tc>
          <w:tcPr>
            <w:tcW w:w="983" w:type="dxa"/>
            <w:noWrap w:val="0"/>
            <w:vAlign w:val="center"/>
          </w:tcPr>
          <w:p w14:paraId="584BA17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白永卿</w:t>
            </w:r>
          </w:p>
        </w:tc>
        <w:tc>
          <w:tcPr>
            <w:tcW w:w="1550" w:type="dxa"/>
            <w:noWrap w:val="0"/>
            <w:vAlign w:val="center"/>
          </w:tcPr>
          <w:p w14:paraId="7B9CC7F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18109119635</w:t>
            </w:r>
          </w:p>
        </w:tc>
      </w:tr>
      <w:tr w14:paraId="4584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196DAA1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10</w:t>
            </w:r>
          </w:p>
        </w:tc>
        <w:tc>
          <w:tcPr>
            <w:tcW w:w="2807" w:type="dxa"/>
            <w:noWrap w:val="0"/>
            <w:vAlign w:val="center"/>
          </w:tcPr>
          <w:p w14:paraId="2A63B13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延川联社</w:t>
            </w:r>
          </w:p>
        </w:tc>
        <w:tc>
          <w:tcPr>
            <w:tcW w:w="3467" w:type="dxa"/>
            <w:noWrap w:val="0"/>
            <w:vAlign w:val="center"/>
          </w:tcPr>
          <w:p w14:paraId="0616432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延川县大禹街道北关信用合作联社</w:t>
            </w:r>
          </w:p>
        </w:tc>
        <w:tc>
          <w:tcPr>
            <w:tcW w:w="983" w:type="dxa"/>
            <w:noWrap w:val="0"/>
            <w:vAlign w:val="center"/>
          </w:tcPr>
          <w:p w14:paraId="1DCCE80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张沛兴</w:t>
            </w:r>
          </w:p>
        </w:tc>
        <w:tc>
          <w:tcPr>
            <w:tcW w:w="1550" w:type="dxa"/>
            <w:noWrap w:val="0"/>
            <w:vAlign w:val="center"/>
          </w:tcPr>
          <w:p w14:paraId="59FE5A39">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15129756920</w:t>
            </w:r>
          </w:p>
        </w:tc>
      </w:tr>
      <w:tr w14:paraId="63E9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A835CB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11</w:t>
            </w:r>
          </w:p>
        </w:tc>
        <w:tc>
          <w:tcPr>
            <w:tcW w:w="2807" w:type="dxa"/>
            <w:noWrap w:val="0"/>
            <w:vAlign w:val="center"/>
          </w:tcPr>
          <w:p w14:paraId="30CE734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子长农商行</w:t>
            </w:r>
          </w:p>
        </w:tc>
        <w:tc>
          <w:tcPr>
            <w:tcW w:w="3467" w:type="dxa"/>
            <w:noWrap w:val="0"/>
            <w:vAlign w:val="center"/>
          </w:tcPr>
          <w:p w14:paraId="1185AFB1">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子长市长兴街</w:t>
            </w:r>
          </w:p>
        </w:tc>
        <w:tc>
          <w:tcPr>
            <w:tcW w:w="983" w:type="dxa"/>
            <w:noWrap w:val="0"/>
            <w:vAlign w:val="center"/>
          </w:tcPr>
          <w:p w14:paraId="3346F11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王莉</w:t>
            </w:r>
          </w:p>
        </w:tc>
        <w:tc>
          <w:tcPr>
            <w:tcW w:w="1550" w:type="dxa"/>
            <w:noWrap w:val="0"/>
            <w:vAlign w:val="center"/>
          </w:tcPr>
          <w:p w14:paraId="3E1FDB5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13992153010</w:t>
            </w:r>
          </w:p>
        </w:tc>
      </w:tr>
      <w:tr w14:paraId="75FC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45508CE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12</w:t>
            </w:r>
          </w:p>
        </w:tc>
        <w:tc>
          <w:tcPr>
            <w:tcW w:w="2807" w:type="dxa"/>
            <w:noWrap w:val="0"/>
            <w:vAlign w:val="center"/>
          </w:tcPr>
          <w:p w14:paraId="5E506F6B">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安塞农商行</w:t>
            </w:r>
          </w:p>
        </w:tc>
        <w:tc>
          <w:tcPr>
            <w:tcW w:w="3467" w:type="dxa"/>
            <w:noWrap w:val="0"/>
            <w:vAlign w:val="center"/>
          </w:tcPr>
          <w:p w14:paraId="66B74DA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延安市安塞区富民街22号</w:t>
            </w:r>
          </w:p>
        </w:tc>
        <w:tc>
          <w:tcPr>
            <w:tcW w:w="983" w:type="dxa"/>
            <w:noWrap w:val="0"/>
            <w:vAlign w:val="center"/>
          </w:tcPr>
          <w:p w14:paraId="25EBB70D">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王平</w:t>
            </w:r>
          </w:p>
        </w:tc>
        <w:tc>
          <w:tcPr>
            <w:tcW w:w="1550" w:type="dxa"/>
            <w:noWrap w:val="0"/>
            <w:vAlign w:val="center"/>
          </w:tcPr>
          <w:p w14:paraId="3312DFD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15991569027</w:t>
            </w:r>
          </w:p>
        </w:tc>
      </w:tr>
      <w:tr w14:paraId="0C48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4EC7CA3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w:t>
            </w:r>
          </w:p>
        </w:tc>
        <w:tc>
          <w:tcPr>
            <w:tcW w:w="2807" w:type="dxa"/>
            <w:noWrap w:val="0"/>
            <w:vAlign w:val="center"/>
          </w:tcPr>
          <w:p w14:paraId="40B70ECB">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志丹联社</w:t>
            </w:r>
          </w:p>
        </w:tc>
        <w:tc>
          <w:tcPr>
            <w:tcW w:w="3467" w:type="dxa"/>
            <w:noWrap w:val="0"/>
            <w:vAlign w:val="center"/>
          </w:tcPr>
          <w:p w14:paraId="49ACB71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延安市志丹县保安街134号信合大厦</w:t>
            </w:r>
          </w:p>
        </w:tc>
        <w:tc>
          <w:tcPr>
            <w:tcW w:w="983" w:type="dxa"/>
            <w:noWrap w:val="0"/>
            <w:vAlign w:val="center"/>
          </w:tcPr>
          <w:p w14:paraId="27A62C1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李倩</w:t>
            </w:r>
          </w:p>
        </w:tc>
        <w:tc>
          <w:tcPr>
            <w:tcW w:w="1550" w:type="dxa"/>
            <w:noWrap w:val="0"/>
            <w:vAlign w:val="center"/>
          </w:tcPr>
          <w:p w14:paraId="0BCF8A5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18792408171</w:t>
            </w:r>
          </w:p>
        </w:tc>
      </w:tr>
      <w:tr w14:paraId="01F5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6C8A0AD">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14</w:t>
            </w:r>
          </w:p>
        </w:tc>
        <w:tc>
          <w:tcPr>
            <w:tcW w:w="2807" w:type="dxa"/>
            <w:noWrap w:val="0"/>
            <w:vAlign w:val="center"/>
          </w:tcPr>
          <w:p w14:paraId="3DC8FC3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吴起农合行</w:t>
            </w:r>
          </w:p>
        </w:tc>
        <w:tc>
          <w:tcPr>
            <w:tcW w:w="3467" w:type="dxa"/>
            <w:noWrap w:val="0"/>
            <w:vAlign w:val="center"/>
          </w:tcPr>
          <w:p w14:paraId="47D5AA7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陕西省延安市吴起县北苑东路26号</w:t>
            </w:r>
          </w:p>
        </w:tc>
        <w:tc>
          <w:tcPr>
            <w:tcW w:w="983" w:type="dxa"/>
            <w:noWrap w:val="0"/>
            <w:vAlign w:val="center"/>
          </w:tcPr>
          <w:p w14:paraId="65C067D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李娜玲</w:t>
            </w:r>
          </w:p>
        </w:tc>
        <w:tc>
          <w:tcPr>
            <w:tcW w:w="1550" w:type="dxa"/>
            <w:noWrap w:val="0"/>
            <w:vAlign w:val="center"/>
          </w:tcPr>
          <w:p w14:paraId="3600C5B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15591103321</w:t>
            </w:r>
          </w:p>
        </w:tc>
      </w:tr>
      <w:tr w14:paraId="78D7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9B28AB9">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w:t>
            </w:r>
          </w:p>
        </w:tc>
        <w:tc>
          <w:tcPr>
            <w:tcW w:w="2807" w:type="dxa"/>
            <w:noWrap w:val="0"/>
            <w:vAlign w:val="center"/>
          </w:tcPr>
          <w:p w14:paraId="523F672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洛川农商行</w:t>
            </w:r>
          </w:p>
        </w:tc>
        <w:tc>
          <w:tcPr>
            <w:tcW w:w="3467" w:type="dxa"/>
            <w:noWrap w:val="0"/>
            <w:vAlign w:val="center"/>
          </w:tcPr>
          <w:p w14:paraId="3CAB9ED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陕西省延安市洛川县中心街</w:t>
            </w:r>
          </w:p>
        </w:tc>
        <w:tc>
          <w:tcPr>
            <w:tcW w:w="983" w:type="dxa"/>
            <w:noWrap w:val="0"/>
            <w:vAlign w:val="center"/>
          </w:tcPr>
          <w:p w14:paraId="450A319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史云云</w:t>
            </w:r>
          </w:p>
        </w:tc>
        <w:tc>
          <w:tcPr>
            <w:tcW w:w="1550" w:type="dxa"/>
            <w:noWrap w:val="0"/>
            <w:vAlign w:val="center"/>
          </w:tcPr>
          <w:p w14:paraId="494B35E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15291172848</w:t>
            </w:r>
          </w:p>
        </w:tc>
      </w:tr>
      <w:tr w14:paraId="2537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07B2B09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16</w:t>
            </w:r>
          </w:p>
        </w:tc>
        <w:tc>
          <w:tcPr>
            <w:tcW w:w="2807" w:type="dxa"/>
            <w:noWrap w:val="0"/>
            <w:vAlign w:val="center"/>
          </w:tcPr>
          <w:p w14:paraId="402E8EA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富县农合行</w:t>
            </w:r>
          </w:p>
        </w:tc>
        <w:tc>
          <w:tcPr>
            <w:tcW w:w="3467" w:type="dxa"/>
            <w:noWrap w:val="0"/>
            <w:vAlign w:val="center"/>
          </w:tcPr>
          <w:p w14:paraId="3A981D5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富县富城镇正街8号</w:t>
            </w:r>
          </w:p>
        </w:tc>
        <w:tc>
          <w:tcPr>
            <w:tcW w:w="983" w:type="dxa"/>
            <w:noWrap w:val="0"/>
            <w:vAlign w:val="center"/>
          </w:tcPr>
          <w:p w14:paraId="109EEF4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逯其玲</w:t>
            </w:r>
          </w:p>
        </w:tc>
        <w:tc>
          <w:tcPr>
            <w:tcW w:w="1550" w:type="dxa"/>
            <w:noWrap w:val="0"/>
            <w:vAlign w:val="center"/>
          </w:tcPr>
          <w:p w14:paraId="0F4CFE3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18091126065</w:t>
            </w:r>
          </w:p>
        </w:tc>
      </w:tr>
      <w:tr w14:paraId="644D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64982E8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17</w:t>
            </w:r>
          </w:p>
        </w:tc>
        <w:tc>
          <w:tcPr>
            <w:tcW w:w="2807" w:type="dxa"/>
            <w:noWrap w:val="0"/>
            <w:vAlign w:val="center"/>
          </w:tcPr>
          <w:p w14:paraId="496CEC66">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黄陵联社</w:t>
            </w:r>
          </w:p>
        </w:tc>
        <w:tc>
          <w:tcPr>
            <w:tcW w:w="3467" w:type="dxa"/>
            <w:noWrap w:val="0"/>
            <w:vAlign w:val="center"/>
          </w:tcPr>
          <w:p w14:paraId="4A30ECE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黄陵县桥山大厦</w:t>
            </w:r>
          </w:p>
        </w:tc>
        <w:tc>
          <w:tcPr>
            <w:tcW w:w="983" w:type="dxa"/>
            <w:noWrap w:val="0"/>
            <w:vAlign w:val="center"/>
          </w:tcPr>
          <w:p w14:paraId="4BE21001">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曹涛</w:t>
            </w:r>
          </w:p>
        </w:tc>
        <w:tc>
          <w:tcPr>
            <w:tcW w:w="1550" w:type="dxa"/>
            <w:noWrap w:val="0"/>
            <w:vAlign w:val="center"/>
          </w:tcPr>
          <w:p w14:paraId="1880FD7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13772255164</w:t>
            </w:r>
          </w:p>
        </w:tc>
      </w:tr>
      <w:tr w14:paraId="5177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7B159C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w:t>
            </w:r>
          </w:p>
        </w:tc>
        <w:tc>
          <w:tcPr>
            <w:tcW w:w="2807" w:type="dxa"/>
            <w:noWrap w:val="0"/>
            <w:vAlign w:val="center"/>
          </w:tcPr>
          <w:p w14:paraId="7D42016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宜川联社</w:t>
            </w:r>
          </w:p>
        </w:tc>
        <w:tc>
          <w:tcPr>
            <w:tcW w:w="3467" w:type="dxa"/>
            <w:noWrap w:val="0"/>
            <w:vAlign w:val="center"/>
          </w:tcPr>
          <w:p w14:paraId="2655B2C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宜川县党湾街65号</w:t>
            </w:r>
          </w:p>
        </w:tc>
        <w:tc>
          <w:tcPr>
            <w:tcW w:w="983" w:type="dxa"/>
            <w:noWrap w:val="0"/>
            <w:vAlign w:val="center"/>
          </w:tcPr>
          <w:p w14:paraId="619E9D9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毛永良</w:t>
            </w:r>
          </w:p>
        </w:tc>
        <w:tc>
          <w:tcPr>
            <w:tcW w:w="1550" w:type="dxa"/>
            <w:noWrap w:val="0"/>
            <w:vAlign w:val="center"/>
          </w:tcPr>
          <w:p w14:paraId="704EBB8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15009118628</w:t>
            </w:r>
          </w:p>
        </w:tc>
      </w:tr>
      <w:tr w14:paraId="4EB1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7B2D96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19</w:t>
            </w:r>
          </w:p>
        </w:tc>
        <w:tc>
          <w:tcPr>
            <w:tcW w:w="2807" w:type="dxa"/>
            <w:noWrap w:val="0"/>
            <w:vAlign w:val="center"/>
          </w:tcPr>
          <w:p w14:paraId="7CE6CFA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黄龙联社</w:t>
            </w:r>
          </w:p>
        </w:tc>
        <w:tc>
          <w:tcPr>
            <w:tcW w:w="3467" w:type="dxa"/>
            <w:noWrap w:val="0"/>
            <w:vAlign w:val="center"/>
          </w:tcPr>
          <w:p w14:paraId="1A607B6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黄龙县石堡镇广场大街40号</w:t>
            </w:r>
          </w:p>
        </w:tc>
        <w:tc>
          <w:tcPr>
            <w:tcW w:w="983" w:type="dxa"/>
            <w:noWrap w:val="0"/>
            <w:vAlign w:val="center"/>
          </w:tcPr>
          <w:p w14:paraId="258026C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郑国强</w:t>
            </w:r>
          </w:p>
        </w:tc>
        <w:tc>
          <w:tcPr>
            <w:tcW w:w="1550" w:type="dxa"/>
            <w:noWrap w:val="0"/>
            <w:vAlign w:val="center"/>
          </w:tcPr>
          <w:p w14:paraId="516F116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15991595662</w:t>
            </w:r>
          </w:p>
        </w:tc>
      </w:tr>
    </w:tbl>
    <w:p w14:paraId="4F121BA4">
      <w:pPr>
        <w:tabs>
          <w:tab w:val="left" w:pos="588"/>
        </w:tabs>
        <w:spacing w:line="360" w:lineRule="auto"/>
        <w:rPr>
          <w:rFonts w:ascii="仿宋_GB2312" w:hAnsi="仿宋_GB2312" w:eastAsia="仿宋_GB2312" w:cs="仿宋_GB2312"/>
          <w:color w:val="auto"/>
          <w:sz w:val="24"/>
        </w:rPr>
      </w:pPr>
    </w:p>
    <w:bookmarkEnd w:id="388"/>
    <w:bookmarkEnd w:id="389"/>
    <w:bookmarkEnd w:id="390"/>
    <w:bookmarkEnd w:id="391"/>
    <w:p w14:paraId="208651D2">
      <w:pPr>
        <w:rPr>
          <w:rFonts w:hint="eastAsia" w:ascii="仿宋_GB2312" w:hAnsi="仿宋_GB2312" w:eastAsia="仿宋_GB2312" w:cs="仿宋_GB2312"/>
          <w:color w:val="auto"/>
          <w:sz w:val="24"/>
          <w:szCs w:val="24"/>
        </w:rPr>
      </w:pPr>
      <w:bookmarkStart w:id="392" w:name="_Toc9152"/>
      <w:bookmarkStart w:id="393" w:name="_Toc58504447"/>
      <w:bookmarkStart w:id="394" w:name="_Toc17469"/>
      <w:r>
        <w:rPr>
          <w:rFonts w:hint="eastAsia" w:ascii="仿宋_GB2312" w:hAnsi="仿宋_GB2312" w:eastAsia="仿宋_GB2312" w:cs="仿宋_GB2312"/>
          <w:color w:val="auto"/>
          <w:sz w:val="24"/>
          <w:szCs w:val="24"/>
        </w:rPr>
        <w:br w:type="page"/>
      </w:r>
    </w:p>
    <w:p w14:paraId="4EDEE0F6">
      <w:pPr>
        <w:pStyle w:val="4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第三章  评审办法和标准</w:t>
      </w:r>
      <w:bookmarkEnd w:id="392"/>
    </w:p>
    <w:p w14:paraId="1B95CC0C">
      <w:pPr>
        <w:tabs>
          <w:tab w:val="left" w:pos="360"/>
          <w:tab w:val="left" w:pos="588"/>
        </w:tabs>
        <w:spacing w:line="360" w:lineRule="auto"/>
        <w:ind w:left="840"/>
        <w:rPr>
          <w:rFonts w:ascii="仿宋_GB2312" w:hAnsi="仿宋_GB2312" w:eastAsia="仿宋_GB2312" w:cs="仿宋_GB2312"/>
          <w:color w:val="auto"/>
          <w:sz w:val="24"/>
        </w:rPr>
      </w:pPr>
    </w:p>
    <w:p w14:paraId="0453BAAB">
      <w:pPr>
        <w:pStyle w:val="85"/>
        <w:spacing w:before="24" w:after="24"/>
        <w:rPr>
          <w:rFonts w:ascii="仿宋_GB2312" w:hAnsi="仿宋_GB2312" w:eastAsia="仿宋_GB2312" w:cs="仿宋_GB2312"/>
          <w:color w:val="auto"/>
          <w:sz w:val="24"/>
        </w:rPr>
      </w:pPr>
      <w:bookmarkStart w:id="395" w:name="_Toc5542"/>
      <w:bookmarkStart w:id="396" w:name="_Toc7005040"/>
      <w:r>
        <w:rPr>
          <w:rFonts w:hint="eastAsia" w:ascii="仿宋_GB2312" w:hAnsi="仿宋_GB2312" w:eastAsia="仿宋_GB2312" w:cs="仿宋_GB2312"/>
          <w:color w:val="auto"/>
          <w:sz w:val="24"/>
        </w:rPr>
        <w:t>1.评审方法</w:t>
      </w:r>
      <w:bookmarkEnd w:id="395"/>
      <w:bookmarkEnd w:id="396"/>
    </w:p>
    <w:p w14:paraId="056C905B">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10A8FBC7">
      <w:pPr>
        <w:pStyle w:val="85"/>
        <w:spacing w:before="24" w:after="24"/>
        <w:rPr>
          <w:rFonts w:ascii="仿宋_GB2312" w:hAnsi="仿宋_GB2312" w:eastAsia="仿宋_GB2312" w:cs="仿宋_GB2312"/>
          <w:color w:val="auto"/>
          <w:sz w:val="24"/>
        </w:rPr>
      </w:pPr>
      <w:bookmarkStart w:id="397" w:name="_Toc7005041"/>
      <w:bookmarkStart w:id="398" w:name="_Toc13369"/>
      <w:r>
        <w:rPr>
          <w:rFonts w:hint="eastAsia" w:ascii="仿宋_GB2312" w:hAnsi="仿宋_GB2312" w:eastAsia="仿宋_GB2312" w:cs="仿宋_GB2312"/>
          <w:color w:val="auto"/>
          <w:sz w:val="24"/>
        </w:rPr>
        <w:t>2.评审标准</w:t>
      </w:r>
      <w:bookmarkEnd w:id="397"/>
      <w:bookmarkEnd w:id="398"/>
    </w:p>
    <w:p w14:paraId="61A8822D">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2.1 资格审查和符合性评审标准：见附表一和附表二。</w:t>
      </w:r>
    </w:p>
    <w:p w14:paraId="2E1A6078">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2.2 分值构成：总分100分，其中</w:t>
      </w:r>
    </w:p>
    <w:p w14:paraId="185B4595">
      <w:pPr>
        <w:pStyle w:val="22"/>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商务和技术部分分值：</w:t>
      </w:r>
      <w:r>
        <w:rPr>
          <w:rFonts w:hint="eastAsia" w:ascii="仿宋_GB2312" w:hAnsi="仿宋_GB2312" w:eastAsia="仿宋_GB2312" w:cs="仿宋_GB2312"/>
          <w:color w:val="auto"/>
          <w:sz w:val="24"/>
          <w:lang w:val="en-US" w:eastAsia="zh-CN"/>
        </w:rPr>
        <w:t>70</w:t>
      </w:r>
      <w:r>
        <w:rPr>
          <w:rFonts w:hint="eastAsia" w:ascii="仿宋_GB2312" w:hAnsi="仿宋_GB2312" w:eastAsia="仿宋_GB2312" w:cs="仿宋_GB2312"/>
          <w:color w:val="auto"/>
          <w:sz w:val="24"/>
        </w:rPr>
        <w:t xml:space="preserve">分；  </w:t>
      </w:r>
    </w:p>
    <w:p w14:paraId="4E0ECCFE">
      <w:pPr>
        <w:pStyle w:val="22"/>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报价部分分值：</w:t>
      </w:r>
      <w:r>
        <w:rPr>
          <w:rFonts w:hint="eastAsia" w:ascii="仿宋_GB2312" w:hAnsi="仿宋_GB2312" w:eastAsia="仿宋_GB2312" w:cs="仿宋_GB2312"/>
          <w:color w:val="auto"/>
          <w:sz w:val="24"/>
          <w:lang w:val="en-US" w:eastAsia="zh-CN"/>
        </w:rPr>
        <w:t>30</w:t>
      </w:r>
      <w:r>
        <w:rPr>
          <w:rFonts w:hint="eastAsia" w:ascii="仿宋_GB2312" w:hAnsi="仿宋_GB2312" w:eastAsia="仿宋_GB2312" w:cs="仿宋_GB2312"/>
          <w:color w:val="auto"/>
          <w:sz w:val="24"/>
        </w:rPr>
        <w:t>分。</w:t>
      </w:r>
    </w:p>
    <w:p w14:paraId="69666B72">
      <w:pPr>
        <w:pStyle w:val="22"/>
        <w:rPr>
          <w:rFonts w:ascii="仿宋_GB2312" w:hAnsi="仿宋_GB2312" w:eastAsia="仿宋_GB2312" w:cs="仿宋_GB2312"/>
          <w:color w:val="auto"/>
          <w:sz w:val="24"/>
        </w:rPr>
      </w:pPr>
      <w:bookmarkStart w:id="399" w:name="_Ref426362114"/>
      <w:r>
        <w:rPr>
          <w:rFonts w:hint="eastAsia" w:ascii="仿宋_GB2312" w:hAnsi="仿宋_GB2312" w:eastAsia="仿宋_GB2312" w:cs="仿宋_GB2312"/>
          <w:color w:val="auto"/>
          <w:sz w:val="24"/>
        </w:rPr>
        <w:t>2.3  评审</w:t>
      </w:r>
      <w:bookmarkEnd w:id="399"/>
      <w:r>
        <w:rPr>
          <w:rFonts w:hint="eastAsia" w:ascii="仿宋_GB2312" w:hAnsi="仿宋_GB2312" w:eastAsia="仿宋_GB2312" w:cs="仿宋_GB2312"/>
          <w:color w:val="auto"/>
          <w:sz w:val="24"/>
        </w:rPr>
        <w:t>细则</w:t>
      </w:r>
    </w:p>
    <w:p w14:paraId="66E97C1A">
      <w:pPr>
        <w:pStyle w:val="22"/>
        <w:rPr>
          <w:rFonts w:ascii="仿宋_GB2312" w:hAnsi="仿宋_GB2312" w:eastAsia="仿宋_GB2312" w:cs="仿宋_GB2312"/>
          <w:color w:val="auto"/>
          <w:sz w:val="24"/>
        </w:rPr>
      </w:pPr>
      <w:bookmarkStart w:id="400" w:name="_Ref426362140"/>
      <w:r>
        <w:rPr>
          <w:rFonts w:hint="eastAsia" w:ascii="仿宋_GB2312" w:hAnsi="仿宋_GB2312" w:eastAsia="仿宋_GB2312" w:cs="仿宋_GB2312"/>
          <w:color w:val="auto"/>
          <w:sz w:val="24"/>
        </w:rPr>
        <w:t>2.3.1商务和技术部分评分标准：见附表</w:t>
      </w:r>
      <w:bookmarkEnd w:id="400"/>
      <w:r>
        <w:rPr>
          <w:rFonts w:hint="eastAsia" w:ascii="仿宋_GB2312" w:hAnsi="仿宋_GB2312" w:eastAsia="仿宋_GB2312" w:cs="仿宋_GB2312"/>
          <w:color w:val="auto"/>
          <w:sz w:val="24"/>
        </w:rPr>
        <w:t>三</w:t>
      </w:r>
    </w:p>
    <w:p w14:paraId="51D914BB">
      <w:pPr>
        <w:pStyle w:val="22"/>
        <w:rPr>
          <w:rFonts w:ascii="仿宋_GB2312" w:hAnsi="仿宋_GB2312" w:eastAsia="仿宋_GB2312" w:cs="仿宋_GB2312"/>
          <w:color w:val="auto"/>
          <w:sz w:val="24"/>
        </w:rPr>
      </w:pPr>
      <w:bookmarkStart w:id="401" w:name="_Ref426362176"/>
      <w:r>
        <w:rPr>
          <w:rFonts w:hint="eastAsia" w:ascii="仿宋_GB2312" w:hAnsi="仿宋_GB2312" w:eastAsia="仿宋_GB2312" w:cs="仿宋_GB2312"/>
          <w:color w:val="auto"/>
          <w:sz w:val="24"/>
        </w:rPr>
        <w:t>2.3.2报价评分标准：</w:t>
      </w:r>
      <w:bookmarkEnd w:id="401"/>
      <w:r>
        <w:rPr>
          <w:rFonts w:hint="eastAsia" w:ascii="仿宋_GB2312" w:hAnsi="仿宋_GB2312" w:eastAsia="仿宋_GB2312" w:cs="仿宋_GB2312"/>
          <w:color w:val="auto"/>
          <w:sz w:val="24"/>
        </w:rPr>
        <w:t>见附表四</w:t>
      </w:r>
    </w:p>
    <w:p w14:paraId="53F3AA35">
      <w:pPr>
        <w:pStyle w:val="22"/>
        <w:rPr>
          <w:rFonts w:hint="eastAsia" w:ascii="仿宋" w:hAnsi="仿宋" w:eastAsia="仿宋" w:cs="仿宋"/>
          <w:color w:val="auto"/>
          <w:sz w:val="24"/>
        </w:rPr>
      </w:pPr>
      <w:r>
        <w:rPr>
          <w:rFonts w:hint="eastAsia" w:ascii="仿宋" w:hAnsi="仿宋" w:eastAsia="仿宋" w:cs="仿宋"/>
          <w:color w:val="auto"/>
          <w:sz w:val="24"/>
        </w:rPr>
        <w:t>（1）根据《关于调整优化节能产品、环境标志产品政府采购执行机制的通知》（财库〔2019〕9号）的规定，</w:t>
      </w:r>
      <w:r>
        <w:rPr>
          <w:rFonts w:hint="eastAsia" w:ascii="仿宋" w:hAnsi="仿宋" w:eastAsia="仿宋" w:cs="仿宋"/>
          <w:color w:val="auto"/>
          <w:sz w:val="24"/>
          <w:lang w:eastAsia="zh-CN"/>
        </w:rPr>
        <w:t>供应商</w:t>
      </w:r>
      <w:r>
        <w:rPr>
          <w:rFonts w:hint="eastAsia" w:ascii="仿宋" w:hAnsi="仿宋" w:eastAsia="仿宋" w:cs="仿宋"/>
          <w:color w:val="auto"/>
          <w:sz w:val="24"/>
        </w:rPr>
        <w:t>为提供服务所伴随的货物属于节能产品、环境标志产品品目清单范围内，且</w:t>
      </w:r>
      <w:r>
        <w:rPr>
          <w:rFonts w:hint="eastAsia" w:ascii="仿宋" w:hAnsi="仿宋" w:eastAsia="仿宋" w:cs="仿宋"/>
          <w:color w:val="auto"/>
          <w:sz w:val="24"/>
          <w:lang w:eastAsia="zh-CN"/>
        </w:rPr>
        <w:t>供应商</w:t>
      </w:r>
      <w:r>
        <w:rPr>
          <w:rFonts w:hint="eastAsia" w:ascii="仿宋" w:hAnsi="仿宋" w:eastAsia="仿宋" w:cs="仿宋"/>
          <w:color w:val="auto"/>
          <w:sz w:val="24"/>
        </w:rPr>
        <w:t>所投产品具有有效期内的产品认证证书，在评标时予以优先采购，具体见评审因素和指标内容。</w:t>
      </w:r>
    </w:p>
    <w:p w14:paraId="7D77848A">
      <w:pPr>
        <w:pStyle w:val="22"/>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2</w:t>
      </w:r>
      <w:r>
        <w:rPr>
          <w:rFonts w:hint="eastAsia" w:ascii="仿宋" w:hAnsi="仿宋" w:eastAsia="仿宋" w:cs="仿宋"/>
          <w:color w:val="auto"/>
          <w:sz w:val="24"/>
        </w:rPr>
        <w:t>）评审基准价。有效响应文件中的最后报价最低报价为评审基准价。</w:t>
      </w:r>
    </w:p>
    <w:p w14:paraId="67EA459F">
      <w:pPr>
        <w:pStyle w:val="22"/>
        <w:rPr>
          <w:rFonts w:hint="default" w:ascii="仿宋" w:hAnsi="仿宋" w:eastAsia="仿宋" w:cs="仿宋"/>
          <w:color w:val="auto"/>
          <w:sz w:val="24"/>
          <w:lang w:val="en-US"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3</w:t>
      </w:r>
      <w:r>
        <w:rPr>
          <w:rFonts w:hint="eastAsia" w:ascii="仿宋" w:hAnsi="仿宋" w:eastAsia="仿宋" w:cs="仿宋"/>
          <w:color w:val="auto"/>
          <w:sz w:val="24"/>
        </w:rPr>
        <w:t>）供应商报价得分=(评审基准价／最后报价)×</w:t>
      </w:r>
      <w:r>
        <w:rPr>
          <w:rFonts w:hint="eastAsia" w:ascii="仿宋" w:hAnsi="仿宋" w:eastAsia="仿宋" w:cs="仿宋"/>
          <w:color w:val="auto"/>
          <w:sz w:val="24"/>
          <w:lang w:val="en-US" w:eastAsia="zh-CN"/>
        </w:rPr>
        <w:t>30</w:t>
      </w:r>
    </w:p>
    <w:p w14:paraId="7FB90F1D">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2.3.</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 xml:space="preserve"> 响应文件出现下列情况之一者，磋商小组在评审过程中按以下原则修正：</w:t>
      </w:r>
    </w:p>
    <w:p w14:paraId="232B2D12">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（1）大写金额与小写金额不一致的，以大写金额为准；</w:t>
      </w:r>
    </w:p>
    <w:p w14:paraId="08738AE6">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（2）总价金额与按单价汇总金额不一致的，以单价金额计算结果为准；</w:t>
      </w:r>
    </w:p>
    <w:p w14:paraId="00103AD6">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（3）单价金额小数点有明显错位的，应以总价为准，并修改单价；</w:t>
      </w:r>
    </w:p>
    <w:p w14:paraId="0C67DD57">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（4）对不同文字文本响应文件的解释发生异议的，以中文文本为准；</w:t>
      </w:r>
    </w:p>
    <w:p w14:paraId="10AD028B">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（5）文字与图表不一致的，以文字为准；</w:t>
      </w:r>
    </w:p>
    <w:p w14:paraId="50064C61">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（6）正本与副本不一致的，以正本为准；</w:t>
      </w:r>
    </w:p>
    <w:p w14:paraId="221AFB1F">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（7）响应文件的文字叙述与制造厂商的产品样本/检测报告不符时，以产品样本/检测报告为准。</w:t>
      </w:r>
    </w:p>
    <w:p w14:paraId="2A8BE59B">
      <w:pPr>
        <w:pStyle w:val="85"/>
        <w:spacing w:before="24" w:after="24"/>
        <w:rPr>
          <w:rFonts w:ascii="仿宋_GB2312" w:hAnsi="仿宋_GB2312" w:eastAsia="仿宋_GB2312" w:cs="仿宋_GB2312"/>
          <w:color w:val="auto"/>
          <w:sz w:val="24"/>
        </w:rPr>
      </w:pPr>
      <w:bookmarkStart w:id="402" w:name="_Toc17056"/>
      <w:bookmarkStart w:id="403" w:name="_Toc7005042"/>
      <w:r>
        <w:rPr>
          <w:rFonts w:hint="eastAsia" w:ascii="仿宋_GB2312" w:hAnsi="仿宋_GB2312" w:eastAsia="仿宋_GB2312" w:cs="仿宋_GB2312"/>
          <w:color w:val="auto"/>
          <w:sz w:val="24"/>
        </w:rPr>
        <w:t>3.评审程序</w:t>
      </w:r>
      <w:bookmarkEnd w:id="402"/>
      <w:bookmarkEnd w:id="403"/>
    </w:p>
    <w:p w14:paraId="69C29A01">
      <w:pPr>
        <w:pStyle w:val="22"/>
        <w:rPr>
          <w:rFonts w:ascii="仿宋_GB2312" w:hAnsi="仿宋_GB2312" w:eastAsia="仿宋_GB2312" w:cs="仿宋_GB2312"/>
          <w:b/>
          <w:color w:val="auto"/>
          <w:sz w:val="24"/>
        </w:rPr>
      </w:pPr>
      <w:bookmarkStart w:id="404" w:name="_Toc7005043"/>
      <w:r>
        <w:rPr>
          <w:rFonts w:hint="eastAsia" w:ascii="仿宋_GB2312" w:hAnsi="仿宋_GB2312" w:eastAsia="仿宋_GB2312" w:cs="仿宋_GB2312"/>
          <w:b/>
          <w:color w:val="auto"/>
          <w:sz w:val="24"/>
        </w:rPr>
        <w:t>3.1资格审查及符合性审查</w:t>
      </w:r>
      <w:bookmarkEnd w:id="404"/>
    </w:p>
    <w:p w14:paraId="51C5EE05">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3.1.1 </w:t>
      </w:r>
      <w:r>
        <w:rPr>
          <w:rFonts w:hint="eastAsia" w:ascii="仿宋_GB2312" w:hAnsi="仿宋_GB2312" w:eastAsia="仿宋_GB2312" w:cs="仿宋_GB2312"/>
          <w:color w:val="auto"/>
          <w:sz w:val="24"/>
          <w:lang w:val="en-US" w:eastAsia="zh-CN"/>
        </w:rPr>
        <w:t>采购人或采购代理机构</w:t>
      </w:r>
      <w:r>
        <w:rPr>
          <w:rFonts w:hint="eastAsia" w:ascii="仿宋_GB2312" w:hAnsi="仿宋_GB2312" w:eastAsia="仿宋_GB2312" w:cs="仿宋_GB2312"/>
          <w:color w:val="auto"/>
          <w:sz w:val="24"/>
        </w:rPr>
        <w:t>按附表一所列审查标准，对供应商资格进行审查，以确定供应商是否具备磋商资格。</w:t>
      </w:r>
    </w:p>
    <w:p w14:paraId="4B5E51D9">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3.1.2 磋商小组对符合资格要求的供应商按附表二进行符合性审查，以确定其是否满足磋商文件的实质性要求（见本章内的符合性审查表）。</w:t>
      </w:r>
    </w:p>
    <w:p w14:paraId="216348FF">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4E9B24C4">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磋商小组不接受供应商主动提出的澄清、说明或补正。</w:t>
      </w:r>
    </w:p>
    <w:p w14:paraId="6922CFD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供应商的书面澄清、说明和补正属于响应文件的组成部分。</w:t>
      </w:r>
    </w:p>
    <w:p w14:paraId="684FFDDD">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磋商小组对供应商提交的澄清、说明或补正有疑问的，可以要求供应商进一步澄清、说明或补正，直至满足评审小组的要求。</w:t>
      </w:r>
    </w:p>
    <w:p w14:paraId="44B912F7">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3.1.4 不具备磋商文件要求的资格或未通过符合性审查的供应商，不参与磋商，由磋商小组告知该供应商。</w:t>
      </w:r>
    </w:p>
    <w:p w14:paraId="458B1B00">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3.1.5 通过资格审查和符合性审查的合格供应商不足3家的，不再进行评审和磋商（符合《财库〔2015〕124号》的情况除外）。</w:t>
      </w:r>
    </w:p>
    <w:p w14:paraId="10EF4385">
      <w:pPr>
        <w:pStyle w:val="22"/>
        <w:rPr>
          <w:rFonts w:ascii="仿宋_GB2312" w:hAnsi="仿宋_GB2312" w:eastAsia="仿宋_GB2312" w:cs="仿宋_GB2312"/>
          <w:b/>
          <w:color w:val="auto"/>
          <w:sz w:val="24"/>
        </w:rPr>
      </w:pPr>
      <w:bookmarkStart w:id="405" w:name="_Toc7005044"/>
      <w:r>
        <w:rPr>
          <w:rFonts w:hint="eastAsia" w:ascii="仿宋_GB2312" w:hAnsi="仿宋_GB2312" w:eastAsia="仿宋_GB2312" w:cs="仿宋_GB2312"/>
          <w:b/>
          <w:color w:val="auto"/>
          <w:sz w:val="24"/>
        </w:rPr>
        <w:t>3.2 磋商</w:t>
      </w:r>
      <w:bookmarkEnd w:id="405"/>
    </w:p>
    <w:p w14:paraId="1C1EC724">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3.2.1按“供应商须知”第五条规定，由磋商小组与供应商进行磋商。</w:t>
      </w:r>
    </w:p>
    <w:p w14:paraId="79E5A26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16CCEDE5">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3.2.3 磋商结束后，磋商小组可以要求所有继续参加磋商的供应商在规定时间内提交最后报价函。</w:t>
      </w:r>
    </w:p>
    <w:p w14:paraId="50FB99DA">
      <w:pPr>
        <w:pStyle w:val="22"/>
        <w:rPr>
          <w:rFonts w:ascii="仿宋_GB2312" w:hAnsi="仿宋_GB2312" w:eastAsia="仿宋_GB2312" w:cs="仿宋_GB2312"/>
          <w:b/>
          <w:color w:val="auto"/>
          <w:sz w:val="24"/>
        </w:rPr>
      </w:pPr>
      <w:bookmarkStart w:id="406" w:name="_Toc7005045"/>
      <w:r>
        <w:rPr>
          <w:rFonts w:hint="eastAsia" w:ascii="仿宋_GB2312" w:hAnsi="仿宋_GB2312" w:eastAsia="仿宋_GB2312" w:cs="仿宋_GB2312"/>
          <w:b/>
          <w:color w:val="auto"/>
          <w:sz w:val="24"/>
        </w:rPr>
        <w:t>3.3评审</w:t>
      </w:r>
      <w:bookmarkEnd w:id="406"/>
    </w:p>
    <w:p w14:paraId="05BF4E2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3.3.1 比较与评价</w:t>
      </w:r>
    </w:p>
    <w:p w14:paraId="19E2B22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磋商小组按本章第2.3款[商务和技术评审标准]对供应商提交的响应文件（包括最后报价函）进行商务和技术评估，综合比较与评价。</w:t>
      </w:r>
    </w:p>
    <w:p w14:paraId="320ADEE2">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4C51BBF2">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3.3.2 磋商小组按本章第2.3款规定的量化因素和分值进行打分，并计算出综合评估得分。</w:t>
      </w:r>
    </w:p>
    <w:p w14:paraId="60525F4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（1）按本章第2.3.1项规定的评审因素和分值对商务和技术部分计算出得分A；</w:t>
      </w:r>
    </w:p>
    <w:p w14:paraId="2E0C623D">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（2）按本章第2.3.</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项规定的评审因素和分值对报价部分计算出得分B。</w:t>
      </w:r>
    </w:p>
    <w:p w14:paraId="5628375E">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3.3.3评分分值计算保留小数点后两位，小数点后第三位“四舍五入”。</w:t>
      </w:r>
    </w:p>
    <w:p w14:paraId="7BEFB690">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3.3.4供应商得分=A＋B</w:t>
      </w:r>
    </w:p>
    <w:p w14:paraId="1BF6F758">
      <w:pPr>
        <w:pStyle w:val="2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3.4 评审结果</w:t>
      </w:r>
    </w:p>
    <w:p w14:paraId="56F8668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3.4.1 除第二章“供应商须知”前附表授权直接确定成交供应商外，磋商小组按照得分由高到低的顺序推荐3名成交候选人。</w:t>
      </w:r>
    </w:p>
    <w:p w14:paraId="3DD06C69">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3.4.2 磋商小组完成评审后，应当向采购人提交书面评审报告。</w:t>
      </w:r>
    </w:p>
    <w:p w14:paraId="4A12B69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3D605D25">
      <w:pPr>
        <w:spacing w:line="360" w:lineRule="auto"/>
        <w:jc w:val="center"/>
        <w:outlineLvl w:val="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附表一 资格审查表</w:t>
      </w:r>
    </w:p>
    <w:tbl>
      <w:tblPr>
        <w:tblStyle w:val="5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800"/>
        <w:gridCol w:w="3019"/>
        <w:gridCol w:w="3858"/>
      </w:tblGrid>
      <w:tr w14:paraId="023B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2" w:type="dxa"/>
            <w:vAlign w:val="center"/>
          </w:tcPr>
          <w:p w14:paraId="480D736E">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资格要求</w:t>
            </w:r>
          </w:p>
        </w:tc>
        <w:tc>
          <w:tcPr>
            <w:tcW w:w="800" w:type="dxa"/>
            <w:vAlign w:val="center"/>
          </w:tcPr>
          <w:p w14:paraId="09852A14">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序号</w:t>
            </w:r>
          </w:p>
        </w:tc>
        <w:tc>
          <w:tcPr>
            <w:tcW w:w="3019" w:type="dxa"/>
            <w:vAlign w:val="center"/>
          </w:tcPr>
          <w:p w14:paraId="670061B7">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评审内容</w:t>
            </w:r>
          </w:p>
        </w:tc>
        <w:tc>
          <w:tcPr>
            <w:tcW w:w="3858" w:type="dxa"/>
            <w:vAlign w:val="center"/>
          </w:tcPr>
          <w:p w14:paraId="1178B5B7">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评审合格标准</w:t>
            </w:r>
          </w:p>
        </w:tc>
      </w:tr>
      <w:tr w14:paraId="2481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502" w:type="dxa"/>
            <w:vMerge w:val="restart"/>
            <w:vAlign w:val="center"/>
          </w:tcPr>
          <w:p w14:paraId="3C26590F">
            <w:pPr>
              <w:snapToGrid w:val="0"/>
              <w:jc w:val="center"/>
              <w:rPr>
                <w:rFonts w:hint="eastAsia" w:ascii="仿宋_GB2312" w:eastAsia="仿宋_GB2312"/>
                <w:bCs/>
                <w:color w:val="auto"/>
                <w:sz w:val="24"/>
              </w:rPr>
            </w:pPr>
            <w:r>
              <w:rPr>
                <w:rFonts w:hint="eastAsia" w:ascii="仿宋_GB2312" w:eastAsia="仿宋_GB2312"/>
                <w:bCs/>
                <w:color w:val="auto"/>
                <w:sz w:val="24"/>
              </w:rPr>
              <w:t>基本资格条件：符合《中华人民共和国政府采购法》第二十二条的规定</w:t>
            </w:r>
          </w:p>
        </w:tc>
        <w:tc>
          <w:tcPr>
            <w:tcW w:w="800" w:type="dxa"/>
            <w:vAlign w:val="center"/>
          </w:tcPr>
          <w:p w14:paraId="46F0C1CE">
            <w:pPr>
              <w:snapToGrid w:val="0"/>
              <w:jc w:val="center"/>
              <w:rPr>
                <w:rFonts w:hint="eastAsia" w:ascii="仿宋_GB2312" w:eastAsia="仿宋_GB2312"/>
                <w:bCs/>
                <w:color w:val="auto"/>
                <w:sz w:val="24"/>
              </w:rPr>
            </w:pPr>
            <w:r>
              <w:rPr>
                <w:rFonts w:hint="eastAsia" w:ascii="仿宋_GB2312" w:eastAsia="仿宋_GB2312"/>
                <w:bCs/>
                <w:color w:val="auto"/>
                <w:sz w:val="24"/>
              </w:rPr>
              <w:t>1</w:t>
            </w:r>
          </w:p>
        </w:tc>
        <w:tc>
          <w:tcPr>
            <w:tcW w:w="3019" w:type="dxa"/>
            <w:vAlign w:val="center"/>
          </w:tcPr>
          <w:p w14:paraId="267DDC73">
            <w:pPr>
              <w:snapToGrid w:val="0"/>
              <w:jc w:val="center"/>
              <w:rPr>
                <w:rFonts w:hint="eastAsia" w:ascii="仿宋_GB2312" w:eastAsia="仿宋_GB2312"/>
                <w:bCs/>
                <w:color w:val="auto"/>
                <w:sz w:val="24"/>
              </w:rPr>
            </w:pPr>
            <w:r>
              <w:rPr>
                <w:rFonts w:hint="eastAsia" w:ascii="仿宋_GB2312" w:eastAsia="仿宋_GB2312"/>
                <w:bCs/>
                <w:color w:val="auto"/>
                <w:sz w:val="24"/>
              </w:rPr>
              <w:t>具有独立承担民事责任的能力</w:t>
            </w:r>
          </w:p>
        </w:tc>
        <w:tc>
          <w:tcPr>
            <w:tcW w:w="3858" w:type="dxa"/>
            <w:vAlign w:val="center"/>
          </w:tcPr>
          <w:p w14:paraId="66041423">
            <w:pPr>
              <w:snapToGrid w:val="0"/>
              <w:jc w:val="center"/>
              <w:rPr>
                <w:rFonts w:hint="eastAsia" w:ascii="仿宋_GB2312" w:eastAsia="仿宋_GB2312"/>
                <w:bCs/>
                <w:color w:val="auto"/>
                <w:sz w:val="24"/>
              </w:rPr>
            </w:pPr>
            <w:r>
              <w:rPr>
                <w:rFonts w:hint="eastAsia" w:ascii="仿宋_GB2312" w:eastAsia="仿宋_GB2312"/>
                <w:bCs/>
                <w:color w:val="auto"/>
                <w:sz w:val="24"/>
              </w:rPr>
              <w:t>提供供应商合法注册的法人或其他组织的营业执照等证明文件，自然人的身份证明</w:t>
            </w:r>
          </w:p>
        </w:tc>
      </w:tr>
      <w:tr w14:paraId="6357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02" w:type="dxa"/>
            <w:vMerge w:val="continue"/>
            <w:vAlign w:val="center"/>
          </w:tcPr>
          <w:p w14:paraId="716E52BF">
            <w:pPr>
              <w:snapToGrid w:val="0"/>
              <w:jc w:val="center"/>
              <w:rPr>
                <w:rFonts w:hint="eastAsia" w:ascii="仿宋_GB2312" w:eastAsia="仿宋_GB2312"/>
                <w:bCs/>
                <w:color w:val="auto"/>
                <w:sz w:val="24"/>
              </w:rPr>
            </w:pPr>
          </w:p>
        </w:tc>
        <w:tc>
          <w:tcPr>
            <w:tcW w:w="800" w:type="dxa"/>
            <w:vAlign w:val="center"/>
          </w:tcPr>
          <w:p w14:paraId="5CFF9303">
            <w:pPr>
              <w:snapToGrid w:val="0"/>
              <w:jc w:val="center"/>
              <w:rPr>
                <w:rFonts w:hint="eastAsia" w:ascii="仿宋_GB2312" w:eastAsia="仿宋_GB2312"/>
                <w:bCs/>
                <w:color w:val="auto"/>
                <w:sz w:val="24"/>
              </w:rPr>
            </w:pPr>
            <w:r>
              <w:rPr>
                <w:rFonts w:hint="eastAsia" w:ascii="仿宋_GB2312" w:eastAsia="仿宋_GB2312"/>
                <w:bCs/>
                <w:color w:val="auto"/>
                <w:sz w:val="24"/>
              </w:rPr>
              <w:t>2</w:t>
            </w:r>
          </w:p>
        </w:tc>
        <w:tc>
          <w:tcPr>
            <w:tcW w:w="3019" w:type="dxa"/>
            <w:vAlign w:val="center"/>
          </w:tcPr>
          <w:p w14:paraId="3A8E4715">
            <w:pPr>
              <w:snapToGrid w:val="0"/>
              <w:jc w:val="center"/>
              <w:rPr>
                <w:rFonts w:hint="eastAsia" w:ascii="仿宋_GB2312" w:eastAsia="仿宋_GB2312"/>
                <w:bCs/>
                <w:color w:val="auto"/>
                <w:sz w:val="24"/>
              </w:rPr>
            </w:pPr>
            <w:r>
              <w:rPr>
                <w:rFonts w:hint="eastAsia" w:ascii="仿宋_GB2312" w:eastAsia="仿宋_GB2312"/>
                <w:bCs/>
                <w:color w:val="auto"/>
                <w:sz w:val="24"/>
              </w:rPr>
              <w:t>具有良好的商业信誉和健全的财务会计制度</w:t>
            </w:r>
          </w:p>
        </w:tc>
        <w:tc>
          <w:tcPr>
            <w:tcW w:w="3858" w:type="dxa"/>
            <w:vAlign w:val="center"/>
          </w:tcPr>
          <w:p w14:paraId="33922FAA">
            <w:pPr>
              <w:snapToGrid w:val="0"/>
              <w:jc w:val="center"/>
              <w:rPr>
                <w:rFonts w:hint="eastAsia" w:ascii="仿宋_GB2312" w:eastAsia="仿宋_GB2312"/>
                <w:bCs/>
                <w:color w:val="auto"/>
                <w:sz w:val="24"/>
              </w:rPr>
            </w:pPr>
            <w:r>
              <w:rPr>
                <w:rFonts w:hint="eastAsia" w:ascii="仿宋_GB2312" w:eastAsia="仿宋_GB2312"/>
                <w:bCs/>
                <w:color w:val="auto"/>
                <w:sz w:val="24"/>
              </w:rPr>
              <w:t>提供</w:t>
            </w:r>
            <w:r>
              <w:rPr>
                <w:rFonts w:hint="eastAsia" w:ascii="仿宋_GB2312" w:eastAsia="仿宋_GB2312"/>
                <w:bCs/>
                <w:color w:val="auto"/>
                <w:sz w:val="24"/>
                <w:lang w:eastAsia="zh-CN"/>
              </w:rPr>
              <w:t>202</w:t>
            </w:r>
            <w:r>
              <w:rPr>
                <w:rFonts w:hint="eastAsia" w:ascii="仿宋_GB2312" w:eastAsia="仿宋_GB2312"/>
                <w:bCs/>
                <w:color w:val="auto"/>
                <w:sz w:val="24"/>
                <w:lang w:val="en-US" w:eastAsia="zh-CN"/>
              </w:rPr>
              <w:t>4</w:t>
            </w:r>
            <w:r>
              <w:rPr>
                <w:rFonts w:hint="eastAsia" w:ascii="仿宋_GB2312" w:eastAsia="仿宋_GB2312"/>
                <w:bCs/>
                <w:color w:val="auto"/>
                <w:sz w:val="24"/>
                <w:lang w:eastAsia="zh-CN"/>
              </w:rPr>
              <w:t>年度</w:t>
            </w:r>
            <w:r>
              <w:rPr>
                <w:rFonts w:hint="eastAsia" w:ascii="仿宋_GB2312" w:eastAsia="仿宋_GB2312"/>
                <w:bCs/>
                <w:color w:val="auto"/>
                <w:sz w:val="24"/>
                <w:lang w:val="en-US" w:eastAsia="zh-CN"/>
              </w:rPr>
              <w:t>或2025年度</w:t>
            </w:r>
            <w:r>
              <w:rPr>
                <w:rFonts w:hint="eastAsia" w:ascii="仿宋_GB2312" w:eastAsia="仿宋_GB2312"/>
                <w:bCs/>
                <w:color w:val="auto"/>
                <w:sz w:val="24"/>
                <w:lang w:eastAsia="zh-CN"/>
              </w:rPr>
              <w:t>经审计的财务报表复印件</w:t>
            </w:r>
            <w:r>
              <w:rPr>
                <w:rFonts w:hint="eastAsia" w:ascii="仿宋_GB2312" w:eastAsia="仿宋_GB2312"/>
                <w:bCs/>
                <w:color w:val="auto"/>
                <w:sz w:val="24"/>
              </w:rPr>
              <w:t>（包括资产负债表、现金流量表、利润表）且审计报告应当经过注册会计师行业统一监管平台备案赋码。</w:t>
            </w:r>
            <w:r>
              <w:rPr>
                <w:rFonts w:hint="eastAsia" w:ascii="仿宋_GB2312" w:eastAsia="仿宋_GB2312"/>
                <w:b/>
                <w:bCs w:val="0"/>
                <w:color w:val="auto"/>
                <w:sz w:val="24"/>
              </w:rPr>
              <w:t>或本年度基本开户银行出具的资信证明</w:t>
            </w:r>
          </w:p>
        </w:tc>
      </w:tr>
      <w:tr w14:paraId="3AC1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502" w:type="dxa"/>
            <w:vMerge w:val="continue"/>
            <w:vAlign w:val="center"/>
          </w:tcPr>
          <w:p w14:paraId="449AA5D3">
            <w:pPr>
              <w:snapToGrid w:val="0"/>
              <w:jc w:val="center"/>
              <w:rPr>
                <w:rFonts w:hint="eastAsia" w:ascii="仿宋_GB2312" w:eastAsia="仿宋_GB2312"/>
                <w:bCs/>
                <w:color w:val="auto"/>
                <w:sz w:val="24"/>
              </w:rPr>
            </w:pPr>
          </w:p>
        </w:tc>
        <w:tc>
          <w:tcPr>
            <w:tcW w:w="800" w:type="dxa"/>
            <w:vAlign w:val="center"/>
          </w:tcPr>
          <w:p w14:paraId="37BC0512">
            <w:pPr>
              <w:snapToGrid w:val="0"/>
              <w:jc w:val="center"/>
              <w:rPr>
                <w:rFonts w:hint="eastAsia" w:ascii="仿宋_GB2312" w:eastAsia="仿宋_GB2312"/>
                <w:bCs/>
                <w:color w:val="auto"/>
                <w:sz w:val="24"/>
              </w:rPr>
            </w:pPr>
            <w:r>
              <w:rPr>
                <w:rFonts w:hint="eastAsia" w:ascii="仿宋_GB2312" w:eastAsia="仿宋_GB2312"/>
                <w:bCs/>
                <w:color w:val="auto"/>
                <w:sz w:val="24"/>
              </w:rPr>
              <w:t>3</w:t>
            </w:r>
          </w:p>
        </w:tc>
        <w:tc>
          <w:tcPr>
            <w:tcW w:w="3019" w:type="dxa"/>
            <w:vAlign w:val="center"/>
          </w:tcPr>
          <w:p w14:paraId="06110CA6">
            <w:pPr>
              <w:snapToGrid w:val="0"/>
              <w:jc w:val="center"/>
              <w:rPr>
                <w:rFonts w:hint="eastAsia" w:ascii="仿宋_GB2312" w:eastAsia="仿宋_GB2312"/>
                <w:bCs/>
                <w:color w:val="auto"/>
                <w:sz w:val="24"/>
              </w:rPr>
            </w:pPr>
            <w:r>
              <w:rPr>
                <w:rFonts w:hint="eastAsia" w:ascii="仿宋_GB2312" w:eastAsia="仿宋_GB2312"/>
                <w:bCs/>
                <w:color w:val="auto"/>
                <w:sz w:val="24"/>
              </w:rPr>
              <w:t>有依法缴纳税收和社会保障资金的良好记录</w:t>
            </w:r>
          </w:p>
        </w:tc>
        <w:tc>
          <w:tcPr>
            <w:tcW w:w="3858" w:type="dxa"/>
            <w:vAlign w:val="center"/>
          </w:tcPr>
          <w:p w14:paraId="73D7550B">
            <w:pPr>
              <w:snapToGrid w:val="0"/>
              <w:jc w:val="center"/>
              <w:rPr>
                <w:rFonts w:hint="eastAsia" w:ascii="仿宋_GB2312" w:eastAsia="仿宋_GB2312"/>
                <w:bCs/>
                <w:color w:val="auto"/>
                <w:sz w:val="24"/>
              </w:rPr>
            </w:pPr>
            <w:r>
              <w:rPr>
                <w:rFonts w:hint="eastAsia" w:ascii="仿宋" w:hAnsi="仿宋" w:eastAsia="仿宋" w:cs="仿宋"/>
                <w:color w:val="auto"/>
                <w:sz w:val="24"/>
                <w:lang w:eastAsia="zh-CN"/>
              </w:rPr>
              <w:t>提供供应商近六个月任何一个月缴税证明</w:t>
            </w:r>
            <w:r>
              <w:rPr>
                <w:rFonts w:hint="eastAsia" w:ascii="仿宋" w:hAnsi="仿宋" w:eastAsia="仿宋" w:cs="仿宋"/>
                <w:b/>
                <w:bCs/>
                <w:color w:val="auto"/>
                <w:sz w:val="24"/>
                <w:lang w:eastAsia="zh-CN"/>
              </w:rPr>
              <w:t>和</w:t>
            </w:r>
            <w:r>
              <w:rPr>
                <w:rFonts w:hint="eastAsia" w:ascii="仿宋" w:hAnsi="仿宋" w:eastAsia="仿宋" w:cs="仿宋"/>
                <w:color w:val="auto"/>
                <w:sz w:val="24"/>
                <w:lang w:eastAsia="zh-CN"/>
              </w:rPr>
              <w:t>社会保障资金缴纳证明或免缴纳证明（复印件加盖公章）</w:t>
            </w:r>
          </w:p>
        </w:tc>
      </w:tr>
      <w:tr w14:paraId="386F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2" w:type="dxa"/>
            <w:vMerge w:val="continue"/>
            <w:vAlign w:val="center"/>
          </w:tcPr>
          <w:p w14:paraId="32D49C9D">
            <w:pPr>
              <w:snapToGrid w:val="0"/>
              <w:jc w:val="center"/>
              <w:rPr>
                <w:rFonts w:hint="eastAsia" w:ascii="仿宋_GB2312" w:eastAsia="仿宋_GB2312"/>
                <w:bCs/>
                <w:color w:val="auto"/>
                <w:sz w:val="24"/>
              </w:rPr>
            </w:pPr>
          </w:p>
        </w:tc>
        <w:tc>
          <w:tcPr>
            <w:tcW w:w="800" w:type="dxa"/>
            <w:vAlign w:val="center"/>
          </w:tcPr>
          <w:p w14:paraId="0A842989">
            <w:pPr>
              <w:snapToGrid w:val="0"/>
              <w:jc w:val="center"/>
              <w:rPr>
                <w:rFonts w:hint="eastAsia" w:ascii="仿宋_GB2312" w:eastAsia="仿宋_GB2312"/>
                <w:bCs/>
                <w:color w:val="auto"/>
                <w:sz w:val="24"/>
              </w:rPr>
            </w:pPr>
            <w:r>
              <w:rPr>
                <w:rFonts w:hint="eastAsia" w:ascii="仿宋_GB2312" w:eastAsia="仿宋_GB2312"/>
                <w:bCs/>
                <w:color w:val="auto"/>
                <w:sz w:val="24"/>
              </w:rPr>
              <w:t>4</w:t>
            </w:r>
          </w:p>
        </w:tc>
        <w:tc>
          <w:tcPr>
            <w:tcW w:w="3019" w:type="dxa"/>
            <w:vAlign w:val="center"/>
          </w:tcPr>
          <w:p w14:paraId="3C197116">
            <w:pPr>
              <w:snapToGrid w:val="0"/>
              <w:jc w:val="center"/>
              <w:rPr>
                <w:rFonts w:hint="eastAsia" w:ascii="仿宋_GB2312" w:eastAsia="仿宋_GB2312"/>
                <w:bCs/>
                <w:color w:val="auto"/>
                <w:sz w:val="24"/>
              </w:rPr>
            </w:pPr>
            <w:r>
              <w:rPr>
                <w:rFonts w:hint="eastAsia" w:ascii="仿宋_GB2312" w:eastAsia="仿宋_GB2312"/>
                <w:bCs/>
                <w:color w:val="auto"/>
                <w:sz w:val="24"/>
              </w:rPr>
              <w:t>具有履行合同所必需的设备和专业技术能力</w:t>
            </w:r>
          </w:p>
        </w:tc>
        <w:tc>
          <w:tcPr>
            <w:tcW w:w="3858" w:type="dxa"/>
            <w:vAlign w:val="center"/>
          </w:tcPr>
          <w:p w14:paraId="5345E562">
            <w:pPr>
              <w:snapToGrid w:val="0"/>
              <w:jc w:val="center"/>
              <w:rPr>
                <w:rFonts w:hint="eastAsia" w:ascii="仿宋_GB2312" w:eastAsia="仿宋_GB2312"/>
                <w:bCs/>
                <w:color w:val="auto"/>
                <w:sz w:val="24"/>
                <w:lang w:eastAsia="zh-CN"/>
              </w:rPr>
            </w:pPr>
            <w:r>
              <w:rPr>
                <w:rFonts w:hint="eastAsia" w:ascii="仿宋_GB2312" w:eastAsia="仿宋_GB2312"/>
                <w:bCs/>
                <w:color w:val="auto"/>
                <w:sz w:val="24"/>
              </w:rPr>
              <w:t>提供承诺书</w:t>
            </w:r>
            <w:r>
              <w:rPr>
                <w:rFonts w:hint="eastAsia" w:ascii="仿宋_GB2312" w:eastAsia="仿宋_GB2312"/>
                <w:bCs/>
                <w:color w:val="auto"/>
                <w:sz w:val="24"/>
                <w:lang w:eastAsia="zh-CN"/>
              </w:rPr>
              <w:t>原件</w:t>
            </w:r>
          </w:p>
        </w:tc>
      </w:tr>
      <w:tr w14:paraId="3977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502" w:type="dxa"/>
            <w:vMerge w:val="continue"/>
            <w:vAlign w:val="center"/>
          </w:tcPr>
          <w:p w14:paraId="15465EE1">
            <w:pPr>
              <w:snapToGrid w:val="0"/>
              <w:jc w:val="center"/>
              <w:rPr>
                <w:rFonts w:hint="eastAsia" w:ascii="仿宋_GB2312" w:eastAsia="仿宋_GB2312"/>
                <w:bCs/>
                <w:color w:val="auto"/>
                <w:sz w:val="24"/>
              </w:rPr>
            </w:pPr>
          </w:p>
        </w:tc>
        <w:tc>
          <w:tcPr>
            <w:tcW w:w="800" w:type="dxa"/>
            <w:vAlign w:val="center"/>
          </w:tcPr>
          <w:p w14:paraId="6FCEAD62">
            <w:pPr>
              <w:snapToGrid w:val="0"/>
              <w:jc w:val="center"/>
              <w:rPr>
                <w:rFonts w:hint="eastAsia" w:ascii="仿宋_GB2312" w:eastAsia="仿宋_GB2312"/>
                <w:bCs/>
                <w:color w:val="auto"/>
                <w:sz w:val="24"/>
              </w:rPr>
            </w:pPr>
            <w:r>
              <w:rPr>
                <w:rFonts w:hint="eastAsia" w:ascii="仿宋_GB2312" w:eastAsia="仿宋_GB2312"/>
                <w:bCs/>
                <w:color w:val="auto"/>
                <w:sz w:val="24"/>
              </w:rPr>
              <w:t>5</w:t>
            </w:r>
          </w:p>
        </w:tc>
        <w:tc>
          <w:tcPr>
            <w:tcW w:w="3019" w:type="dxa"/>
            <w:vAlign w:val="center"/>
          </w:tcPr>
          <w:p w14:paraId="5EBD4F5B">
            <w:pPr>
              <w:snapToGrid w:val="0"/>
              <w:jc w:val="center"/>
              <w:rPr>
                <w:rFonts w:hint="eastAsia" w:ascii="仿宋_GB2312" w:eastAsia="仿宋_GB2312"/>
                <w:bCs/>
                <w:color w:val="auto"/>
                <w:sz w:val="24"/>
              </w:rPr>
            </w:pPr>
            <w:r>
              <w:rPr>
                <w:rFonts w:hint="eastAsia" w:ascii="仿宋_GB2312" w:eastAsia="仿宋_GB2312"/>
                <w:bCs/>
                <w:color w:val="auto"/>
                <w:sz w:val="24"/>
              </w:rPr>
              <w:t>参加政府采购活动前三年内，在经营活动中没有重大违法记录</w:t>
            </w:r>
          </w:p>
        </w:tc>
        <w:tc>
          <w:tcPr>
            <w:tcW w:w="3858" w:type="dxa"/>
            <w:vAlign w:val="center"/>
          </w:tcPr>
          <w:p w14:paraId="6C5A0874">
            <w:pPr>
              <w:snapToGrid w:val="0"/>
              <w:jc w:val="center"/>
              <w:rPr>
                <w:rFonts w:hint="eastAsia" w:ascii="仿宋_GB2312" w:eastAsia="仿宋_GB2312"/>
                <w:bCs/>
                <w:color w:val="auto"/>
                <w:sz w:val="24"/>
              </w:rPr>
            </w:pPr>
            <w:r>
              <w:rPr>
                <w:rFonts w:hint="eastAsia" w:ascii="仿宋_GB2312" w:eastAsia="仿宋_GB2312"/>
                <w:bCs/>
                <w:color w:val="auto"/>
                <w:sz w:val="24"/>
              </w:rPr>
              <w:t>提供参加政府采购活动前3年内在经营活动中没有重大违法记录的书面声明</w:t>
            </w:r>
          </w:p>
        </w:tc>
      </w:tr>
      <w:tr w14:paraId="45EC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1502" w:type="dxa"/>
            <w:vMerge w:val="continue"/>
            <w:vAlign w:val="center"/>
          </w:tcPr>
          <w:p w14:paraId="70CCC980">
            <w:pPr>
              <w:snapToGrid w:val="0"/>
              <w:jc w:val="center"/>
              <w:rPr>
                <w:rFonts w:hint="eastAsia" w:ascii="仿宋_GB2312" w:eastAsia="仿宋_GB2312"/>
                <w:bCs/>
                <w:color w:val="auto"/>
                <w:sz w:val="24"/>
              </w:rPr>
            </w:pPr>
          </w:p>
        </w:tc>
        <w:tc>
          <w:tcPr>
            <w:tcW w:w="800" w:type="dxa"/>
            <w:vAlign w:val="center"/>
          </w:tcPr>
          <w:p w14:paraId="46145913">
            <w:pPr>
              <w:snapToGrid w:val="0"/>
              <w:jc w:val="center"/>
              <w:rPr>
                <w:rFonts w:hint="eastAsia" w:ascii="仿宋_GB2312" w:eastAsia="仿宋_GB2312"/>
                <w:bCs/>
                <w:color w:val="auto"/>
                <w:sz w:val="24"/>
              </w:rPr>
            </w:pPr>
            <w:r>
              <w:rPr>
                <w:rFonts w:hint="eastAsia" w:ascii="仿宋_GB2312" w:eastAsia="仿宋_GB2312"/>
                <w:bCs/>
                <w:color w:val="auto"/>
                <w:sz w:val="24"/>
              </w:rPr>
              <w:t>6</w:t>
            </w:r>
          </w:p>
        </w:tc>
        <w:tc>
          <w:tcPr>
            <w:tcW w:w="3019" w:type="dxa"/>
            <w:vAlign w:val="center"/>
          </w:tcPr>
          <w:p w14:paraId="1113F8A0">
            <w:pPr>
              <w:snapToGrid w:val="0"/>
              <w:jc w:val="center"/>
              <w:rPr>
                <w:rFonts w:hint="eastAsia" w:ascii="仿宋_GB2312" w:eastAsia="仿宋_GB2312"/>
                <w:bCs/>
                <w:color w:val="auto"/>
                <w:sz w:val="24"/>
              </w:rPr>
            </w:pPr>
            <w:r>
              <w:rPr>
                <w:rFonts w:hint="eastAsia" w:ascii="仿宋_GB2312" w:eastAsia="仿宋_GB2312"/>
                <w:bCs/>
                <w:color w:val="auto"/>
                <w:sz w:val="24"/>
              </w:rPr>
              <w:t>法律、行政法规规定的其他条件</w:t>
            </w:r>
          </w:p>
        </w:tc>
        <w:tc>
          <w:tcPr>
            <w:tcW w:w="3858" w:type="dxa"/>
            <w:vAlign w:val="center"/>
          </w:tcPr>
          <w:p w14:paraId="5984CDEE">
            <w:pPr>
              <w:snapToGrid w:val="0"/>
              <w:jc w:val="center"/>
              <w:rPr>
                <w:rFonts w:hint="eastAsia" w:ascii="仿宋_GB2312" w:eastAsia="仿宋_GB2312"/>
                <w:bCs/>
                <w:color w:val="auto"/>
                <w:sz w:val="24"/>
              </w:rPr>
            </w:pPr>
            <w:r>
              <w:rPr>
                <w:rFonts w:hint="eastAsia" w:ascii="仿宋_GB2312" w:eastAsia="仿宋_GB2312"/>
                <w:bCs/>
                <w:color w:val="auto"/>
                <w:sz w:val="24"/>
              </w:rPr>
              <w:t>（1）单位负责人为同一人或者存在直接控股、管理关系的不同供应商，不得参加本次采购活动；</w:t>
            </w:r>
          </w:p>
          <w:p w14:paraId="6219EDC2">
            <w:pPr>
              <w:snapToGrid w:val="0"/>
              <w:jc w:val="center"/>
              <w:rPr>
                <w:rFonts w:hint="eastAsia" w:ascii="仿宋_GB2312" w:eastAsia="仿宋_GB2312"/>
                <w:bCs/>
                <w:color w:val="auto"/>
                <w:sz w:val="24"/>
              </w:rPr>
            </w:pPr>
            <w:r>
              <w:rPr>
                <w:rFonts w:hint="eastAsia" w:ascii="仿宋_GB2312" w:eastAsia="仿宋_GB2312"/>
                <w:bCs/>
                <w:color w:val="auto"/>
                <w:sz w:val="24"/>
              </w:rPr>
              <w:t>（2）为本项目提供整体设计、规范编制或者项目管理、监理、检测等服务的供应商，不得再参加本项目的采购活动；</w:t>
            </w:r>
          </w:p>
        </w:tc>
      </w:tr>
      <w:tr w14:paraId="6772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2" w:type="dxa"/>
            <w:vAlign w:val="center"/>
          </w:tcPr>
          <w:p w14:paraId="14F5CC14">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政府采购政策资格要求</w:t>
            </w:r>
          </w:p>
        </w:tc>
        <w:tc>
          <w:tcPr>
            <w:tcW w:w="800" w:type="dxa"/>
            <w:vAlign w:val="center"/>
          </w:tcPr>
          <w:p w14:paraId="1B606081">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val="en-US" w:eastAsia="zh-CN"/>
              </w:rPr>
              <w:t>7</w:t>
            </w:r>
          </w:p>
        </w:tc>
        <w:tc>
          <w:tcPr>
            <w:tcW w:w="3019" w:type="dxa"/>
            <w:vAlign w:val="center"/>
          </w:tcPr>
          <w:p w14:paraId="45005DF9">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专门面向中小企业</w:t>
            </w:r>
          </w:p>
        </w:tc>
        <w:tc>
          <w:tcPr>
            <w:tcW w:w="3858" w:type="dxa"/>
            <w:vAlign w:val="center"/>
          </w:tcPr>
          <w:p w14:paraId="0C90F1B5">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中小企业声明函或残疾人、监狱企业声明函</w:t>
            </w:r>
          </w:p>
        </w:tc>
      </w:tr>
      <w:tr w14:paraId="7211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02" w:type="dxa"/>
            <w:vMerge w:val="restart"/>
            <w:vAlign w:val="center"/>
          </w:tcPr>
          <w:p w14:paraId="15938A7D">
            <w:pPr>
              <w:snapToGrid w:val="0"/>
              <w:jc w:val="center"/>
              <w:rPr>
                <w:rFonts w:ascii="仿宋_GB2312" w:eastAsia="仿宋_GB2312"/>
                <w:bCs/>
                <w:color w:val="auto"/>
                <w:sz w:val="24"/>
              </w:rPr>
            </w:pPr>
            <w:r>
              <w:rPr>
                <w:rFonts w:hint="eastAsia" w:ascii="仿宋" w:hAnsi="仿宋" w:eastAsia="仿宋" w:cs="宋体"/>
                <w:color w:val="auto"/>
                <w:kern w:val="0"/>
                <w:sz w:val="24"/>
              </w:rPr>
              <w:t>特定资格条件</w:t>
            </w:r>
          </w:p>
        </w:tc>
        <w:tc>
          <w:tcPr>
            <w:tcW w:w="800" w:type="dxa"/>
            <w:vAlign w:val="center"/>
          </w:tcPr>
          <w:p w14:paraId="60A075F8">
            <w:pPr>
              <w:snapToGrid w:val="0"/>
              <w:jc w:val="center"/>
              <w:rPr>
                <w:rFonts w:hint="eastAsia" w:ascii="仿宋_GB2312" w:eastAsia="仿宋_GB2312"/>
                <w:bCs/>
                <w:color w:val="auto"/>
                <w:sz w:val="24"/>
                <w:lang w:eastAsia="zh-CN"/>
              </w:rPr>
            </w:pPr>
            <w:r>
              <w:rPr>
                <w:rFonts w:hint="eastAsia" w:ascii="仿宋_GB2312" w:eastAsia="仿宋_GB2312"/>
                <w:bCs/>
                <w:color w:val="auto"/>
                <w:sz w:val="24"/>
                <w:lang w:val="en-US" w:eastAsia="zh-CN"/>
              </w:rPr>
              <w:t>8</w:t>
            </w:r>
          </w:p>
        </w:tc>
        <w:tc>
          <w:tcPr>
            <w:tcW w:w="3019" w:type="dxa"/>
            <w:vAlign w:val="center"/>
          </w:tcPr>
          <w:p w14:paraId="440E19E4">
            <w:pPr>
              <w:snapToGrid w:val="0"/>
              <w:jc w:val="center"/>
              <w:rPr>
                <w:rFonts w:ascii="仿宋_GB2312" w:eastAsia="仿宋_GB2312"/>
                <w:bCs/>
                <w:color w:val="auto"/>
                <w:sz w:val="24"/>
              </w:rPr>
            </w:pPr>
            <w:r>
              <w:rPr>
                <w:rFonts w:hint="eastAsia" w:ascii="仿宋_GB2312" w:eastAsia="仿宋_GB2312"/>
                <w:bCs/>
                <w:color w:val="auto"/>
                <w:sz w:val="24"/>
              </w:rPr>
              <w:t>“信用中国”网站和中国政府采购网（www.ccgp.gov.cn）查询记录</w:t>
            </w:r>
          </w:p>
        </w:tc>
        <w:tc>
          <w:tcPr>
            <w:tcW w:w="3858" w:type="dxa"/>
            <w:vAlign w:val="center"/>
          </w:tcPr>
          <w:p w14:paraId="39315D7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bCs/>
                <w:color w:val="auto"/>
                <w:sz w:val="24"/>
              </w:rPr>
            </w:pPr>
            <w:r>
              <w:rPr>
                <w:rFonts w:hint="eastAsia" w:ascii="仿宋_GB2312" w:eastAsia="仿宋_GB2312"/>
                <w:bCs/>
                <w:color w:val="auto"/>
                <w:sz w:val="24"/>
              </w:rPr>
              <w:t>在递交响应文件截止时间前被“信用中国”网站（www.creditchina.gov.cn）列入失信被执行人、</w:t>
            </w:r>
            <w:r>
              <w:rPr>
                <w:rFonts w:hint="eastAsia" w:ascii="仿宋_GB2312" w:eastAsia="仿宋_GB2312"/>
                <w:bCs/>
                <w:color w:val="auto"/>
                <w:sz w:val="24"/>
                <w:lang w:eastAsia="zh-CN"/>
              </w:rPr>
              <w:t>重大税收违法失信主体</w:t>
            </w:r>
            <w:r>
              <w:rPr>
                <w:rFonts w:hint="eastAsia" w:ascii="仿宋_GB2312" w:eastAsia="仿宋_GB2312"/>
                <w:bCs/>
                <w:color w:val="auto"/>
                <w:sz w:val="24"/>
              </w:rPr>
              <w:t>的,或被中国政府采购网（www.ccgp.gov.cn）上列入政府采购严重违法失信行为记录名单的，不得参加磋商</w:t>
            </w:r>
          </w:p>
          <w:p w14:paraId="4A6DEC8C">
            <w:pPr>
              <w:keepNext w:val="0"/>
              <w:keepLines w:val="0"/>
              <w:pageBreakBefore w:val="0"/>
              <w:widowControl w:val="0"/>
              <w:kinsoku/>
              <w:wordWrap/>
              <w:overflowPunct/>
              <w:topLinePunct w:val="0"/>
              <w:autoSpaceDE/>
              <w:autoSpaceDN/>
              <w:bidi w:val="0"/>
              <w:adjustRightInd/>
              <w:snapToGrid w:val="0"/>
              <w:jc w:val="center"/>
              <w:textAlignment w:val="auto"/>
              <w:rPr>
                <w:color w:val="auto"/>
              </w:rPr>
            </w:pPr>
            <w:r>
              <w:rPr>
                <w:rFonts w:hint="eastAsia" w:ascii="仿宋_GB2312" w:eastAsia="仿宋_GB2312"/>
                <w:bCs/>
                <w:color w:val="auto"/>
                <w:sz w:val="24"/>
              </w:rPr>
              <w:t>附查询截图，查询时间为购买磋商文件至磋商截止时间前。</w:t>
            </w:r>
          </w:p>
        </w:tc>
      </w:tr>
      <w:tr w14:paraId="3481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2" w:type="dxa"/>
            <w:vMerge w:val="continue"/>
            <w:vAlign w:val="center"/>
          </w:tcPr>
          <w:p w14:paraId="7F095C02">
            <w:pPr>
              <w:snapToGrid w:val="0"/>
              <w:jc w:val="left"/>
              <w:rPr>
                <w:rFonts w:ascii="仿宋_GB2312" w:eastAsia="仿宋_GB2312"/>
                <w:bCs/>
                <w:color w:val="auto"/>
                <w:sz w:val="24"/>
              </w:rPr>
            </w:pPr>
          </w:p>
        </w:tc>
        <w:tc>
          <w:tcPr>
            <w:tcW w:w="800" w:type="dxa"/>
            <w:vAlign w:val="center"/>
          </w:tcPr>
          <w:p w14:paraId="06F1CCDF">
            <w:pPr>
              <w:snapToGrid w:val="0"/>
              <w:jc w:val="center"/>
              <w:rPr>
                <w:rFonts w:hint="eastAsia" w:ascii="仿宋_GB2312" w:eastAsia="仿宋_GB2312"/>
                <w:bCs/>
                <w:color w:val="auto"/>
                <w:sz w:val="24"/>
                <w:lang w:eastAsia="zh-CN"/>
              </w:rPr>
            </w:pPr>
            <w:r>
              <w:rPr>
                <w:rFonts w:hint="eastAsia" w:ascii="仿宋_GB2312" w:eastAsia="仿宋_GB2312"/>
                <w:bCs/>
                <w:color w:val="auto"/>
                <w:sz w:val="24"/>
                <w:lang w:val="en-US" w:eastAsia="zh-CN"/>
              </w:rPr>
              <w:t>9</w:t>
            </w:r>
          </w:p>
        </w:tc>
        <w:tc>
          <w:tcPr>
            <w:tcW w:w="3019" w:type="dxa"/>
            <w:vAlign w:val="center"/>
          </w:tcPr>
          <w:p w14:paraId="45468AE6">
            <w:pPr>
              <w:snapToGrid w:val="0"/>
              <w:jc w:val="center"/>
              <w:rPr>
                <w:rFonts w:ascii="仿宋_GB2312" w:eastAsia="仿宋_GB2312"/>
                <w:bCs/>
                <w:color w:val="auto"/>
                <w:sz w:val="24"/>
              </w:rPr>
            </w:pPr>
            <w:r>
              <w:rPr>
                <w:rFonts w:hint="eastAsia" w:ascii="仿宋_GB2312" w:eastAsia="仿宋_GB2312"/>
                <w:bCs/>
                <w:color w:val="auto"/>
                <w:sz w:val="24"/>
              </w:rPr>
              <w:t>供应商应授权合法的人员参加磋商全过程</w:t>
            </w:r>
          </w:p>
        </w:tc>
        <w:tc>
          <w:tcPr>
            <w:tcW w:w="3858" w:type="dxa"/>
            <w:vAlign w:val="center"/>
          </w:tcPr>
          <w:p w14:paraId="4945D3A2">
            <w:pPr>
              <w:snapToGrid w:val="0"/>
              <w:jc w:val="center"/>
              <w:rPr>
                <w:rFonts w:ascii="仿宋_GB2312" w:eastAsia="仿宋_GB2312"/>
                <w:bCs/>
                <w:color w:val="auto"/>
                <w:sz w:val="24"/>
              </w:rPr>
            </w:pPr>
            <w:r>
              <w:rPr>
                <w:rFonts w:hint="eastAsia" w:ascii="仿宋_GB2312" w:eastAsia="仿宋_GB2312"/>
                <w:bCs/>
                <w:color w:val="auto"/>
                <w:sz w:val="24"/>
              </w:rPr>
              <w:t>其中法定代表人直接参加磋商的，须出具法人身份证，并与营业执照上信息一致。法定代表人授权代表参加磋商的，须出具法定代表人授权书及授权代表身份证、授权代表本单位证明（养老保险缴纳证明）</w:t>
            </w:r>
          </w:p>
        </w:tc>
      </w:tr>
      <w:tr w14:paraId="412C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502" w:type="dxa"/>
            <w:vMerge w:val="continue"/>
            <w:vAlign w:val="center"/>
          </w:tcPr>
          <w:p w14:paraId="23137E6B">
            <w:pPr>
              <w:snapToGrid w:val="0"/>
              <w:jc w:val="left"/>
              <w:rPr>
                <w:rFonts w:ascii="仿宋_GB2312" w:eastAsia="仿宋_GB2312"/>
                <w:bCs/>
                <w:color w:val="auto"/>
                <w:sz w:val="24"/>
              </w:rPr>
            </w:pPr>
          </w:p>
        </w:tc>
        <w:tc>
          <w:tcPr>
            <w:tcW w:w="800" w:type="dxa"/>
            <w:vAlign w:val="center"/>
          </w:tcPr>
          <w:p w14:paraId="4E5E1E67">
            <w:pPr>
              <w:snapToGrid w:val="0"/>
              <w:jc w:val="center"/>
              <w:rPr>
                <w:rFonts w:hint="default" w:ascii="仿宋_GB2312" w:eastAsia="仿宋_GB2312"/>
                <w:bCs/>
                <w:color w:val="auto"/>
                <w:sz w:val="24"/>
                <w:lang w:val="en-US" w:eastAsia="zh-CN"/>
              </w:rPr>
            </w:pPr>
            <w:r>
              <w:rPr>
                <w:rFonts w:hint="eastAsia" w:ascii="仿宋_GB2312" w:eastAsia="仿宋_GB2312"/>
                <w:bCs/>
                <w:color w:val="auto"/>
                <w:sz w:val="24"/>
                <w:lang w:val="en-US" w:eastAsia="zh-CN"/>
              </w:rPr>
              <w:t>10</w:t>
            </w:r>
          </w:p>
        </w:tc>
        <w:tc>
          <w:tcPr>
            <w:tcW w:w="3019" w:type="dxa"/>
            <w:vAlign w:val="center"/>
          </w:tcPr>
          <w:p w14:paraId="647FDEAF">
            <w:pPr>
              <w:snapToGrid w:val="0"/>
              <w:jc w:val="center"/>
              <w:rPr>
                <w:rFonts w:hint="eastAsia" w:ascii="仿宋_GB2312" w:hAnsi="仿宋_GB2312" w:eastAsia="仿宋_GB2312" w:cs="仿宋_GB2312"/>
                <w:color w:val="auto"/>
                <w:kern w:val="0"/>
                <w:sz w:val="24"/>
                <w:highlight w:val="none"/>
              </w:rPr>
            </w:pPr>
            <w:r>
              <w:rPr>
                <w:rFonts w:hint="eastAsia" w:ascii="仿宋" w:hAnsi="仿宋" w:eastAsia="仿宋" w:cs="仿宋"/>
                <w:color w:val="auto"/>
                <w:kern w:val="0"/>
                <w:sz w:val="24"/>
                <w:szCs w:val="24"/>
                <w:lang w:val="en-US" w:eastAsia="zh-CN"/>
              </w:rPr>
              <w:t>供应商须具有建设行政主管部门颁发的建筑工程施工总承包三级及以上资质，具有有效的安全生产许可证</w:t>
            </w:r>
          </w:p>
        </w:tc>
        <w:tc>
          <w:tcPr>
            <w:tcW w:w="3858" w:type="dxa"/>
            <w:vAlign w:val="center"/>
          </w:tcPr>
          <w:p w14:paraId="26F99E7D">
            <w:pPr>
              <w:snapToGrid w:val="0"/>
              <w:jc w:val="center"/>
              <w:rPr>
                <w:rFonts w:ascii="仿宋_GB2312" w:eastAsia="仿宋_GB2312"/>
                <w:bCs/>
                <w:color w:val="auto"/>
                <w:sz w:val="24"/>
              </w:rPr>
            </w:pPr>
            <w:r>
              <w:rPr>
                <w:rFonts w:hint="eastAsia" w:ascii="仿宋_GB2312" w:eastAsia="仿宋_GB2312"/>
                <w:bCs/>
                <w:color w:val="auto"/>
                <w:sz w:val="24"/>
              </w:rPr>
              <w:t>提供有效的资质证书（复印件或电子证书加盖公章）</w:t>
            </w:r>
          </w:p>
        </w:tc>
      </w:tr>
      <w:tr w14:paraId="65F3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jc w:val="center"/>
        </w:trPr>
        <w:tc>
          <w:tcPr>
            <w:tcW w:w="1502" w:type="dxa"/>
            <w:vMerge w:val="continue"/>
            <w:vAlign w:val="center"/>
          </w:tcPr>
          <w:p w14:paraId="726B45EA">
            <w:pPr>
              <w:snapToGrid w:val="0"/>
              <w:jc w:val="left"/>
              <w:rPr>
                <w:rFonts w:ascii="仿宋_GB2312" w:eastAsia="仿宋_GB2312"/>
                <w:bCs/>
                <w:color w:val="auto"/>
                <w:sz w:val="24"/>
              </w:rPr>
            </w:pPr>
          </w:p>
        </w:tc>
        <w:tc>
          <w:tcPr>
            <w:tcW w:w="800" w:type="dxa"/>
            <w:vAlign w:val="center"/>
          </w:tcPr>
          <w:p w14:paraId="098E988B">
            <w:pPr>
              <w:snapToGrid w:val="0"/>
              <w:jc w:val="center"/>
              <w:rPr>
                <w:rFonts w:hint="default" w:ascii="仿宋_GB2312" w:eastAsia="仿宋_GB2312"/>
                <w:bCs/>
                <w:color w:val="auto"/>
                <w:sz w:val="24"/>
                <w:lang w:val="en-US" w:eastAsia="zh-CN"/>
              </w:rPr>
            </w:pPr>
            <w:r>
              <w:rPr>
                <w:rFonts w:hint="eastAsia" w:ascii="仿宋_GB2312" w:eastAsia="仿宋_GB2312"/>
                <w:bCs/>
                <w:color w:val="auto"/>
                <w:sz w:val="24"/>
                <w:lang w:val="en-US" w:eastAsia="zh-CN"/>
              </w:rPr>
              <w:t>11</w:t>
            </w:r>
          </w:p>
        </w:tc>
        <w:tc>
          <w:tcPr>
            <w:tcW w:w="3019" w:type="dxa"/>
            <w:vAlign w:val="center"/>
          </w:tcPr>
          <w:p w14:paraId="045B4E08">
            <w:pPr>
              <w:snapToGrid w:val="0"/>
              <w:jc w:val="center"/>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szCs w:val="24"/>
                <w:lang w:val="en-US" w:eastAsia="zh-CN"/>
              </w:rPr>
              <w:t>供应商拟派项目经理具备注册建造师二级及以上执业资格（建筑工程专业）和有效的安全生产考核合格证书（建安B证），在本单位注册，且无其他在建项目（提供无在建工程的承诺函）</w:t>
            </w:r>
          </w:p>
        </w:tc>
        <w:tc>
          <w:tcPr>
            <w:tcW w:w="3858" w:type="dxa"/>
            <w:vAlign w:val="center"/>
          </w:tcPr>
          <w:p w14:paraId="7B1381CF">
            <w:pPr>
              <w:snapToGrid w:val="0"/>
              <w:jc w:val="center"/>
              <w:rPr>
                <w:rFonts w:hint="eastAsia" w:ascii="仿宋_GB2312" w:eastAsia="仿宋_GB2312"/>
                <w:bCs/>
                <w:color w:val="auto"/>
                <w:sz w:val="24"/>
                <w:lang w:val="en-US" w:eastAsia="zh-CN"/>
              </w:rPr>
            </w:pPr>
            <w:r>
              <w:rPr>
                <w:rFonts w:hint="eastAsia" w:ascii="仿宋_GB2312" w:eastAsia="仿宋_GB2312"/>
                <w:bCs/>
                <w:color w:val="auto"/>
                <w:sz w:val="24"/>
              </w:rPr>
              <w:t>提供有效的资质证书（复印件或电子证书加盖公章）</w:t>
            </w:r>
            <w:r>
              <w:rPr>
                <w:rFonts w:hint="eastAsia" w:ascii="仿宋_GB2312" w:eastAsia="仿宋_GB2312"/>
                <w:bCs/>
                <w:color w:val="auto"/>
                <w:sz w:val="24"/>
                <w:lang w:val="en-US" w:eastAsia="zh-CN"/>
              </w:rPr>
              <w:t>和</w:t>
            </w:r>
            <w:r>
              <w:rPr>
                <w:rFonts w:hint="eastAsia" w:ascii="仿宋" w:hAnsi="仿宋" w:eastAsia="仿宋" w:cs="仿宋"/>
                <w:color w:val="auto"/>
                <w:kern w:val="0"/>
                <w:sz w:val="24"/>
                <w:lang w:val="en-US" w:eastAsia="zh-CN"/>
              </w:rPr>
              <w:t>无在建工程的承诺函</w:t>
            </w:r>
          </w:p>
        </w:tc>
      </w:tr>
      <w:tr w14:paraId="03F3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1502" w:type="dxa"/>
            <w:vMerge w:val="continue"/>
            <w:vAlign w:val="center"/>
          </w:tcPr>
          <w:p w14:paraId="6D889D6B">
            <w:pPr>
              <w:snapToGrid w:val="0"/>
              <w:jc w:val="left"/>
              <w:rPr>
                <w:rFonts w:ascii="仿宋_GB2312" w:eastAsia="仿宋_GB2312"/>
                <w:bCs/>
                <w:color w:val="auto"/>
                <w:sz w:val="24"/>
              </w:rPr>
            </w:pPr>
          </w:p>
        </w:tc>
        <w:tc>
          <w:tcPr>
            <w:tcW w:w="800" w:type="dxa"/>
            <w:vAlign w:val="center"/>
          </w:tcPr>
          <w:p w14:paraId="4EEFB281">
            <w:pPr>
              <w:snapToGrid w:val="0"/>
              <w:jc w:val="center"/>
              <w:rPr>
                <w:rFonts w:hint="default" w:ascii="仿宋_GB2312" w:eastAsia="仿宋_GB2312"/>
                <w:bCs/>
                <w:color w:val="auto"/>
                <w:sz w:val="24"/>
                <w:lang w:val="en-US"/>
              </w:rPr>
            </w:pPr>
            <w:r>
              <w:rPr>
                <w:rFonts w:hint="eastAsia" w:ascii="仿宋_GB2312" w:eastAsia="仿宋_GB2312"/>
                <w:bCs/>
                <w:color w:val="auto"/>
                <w:sz w:val="24"/>
                <w:lang w:val="en-US" w:eastAsia="zh-CN"/>
              </w:rPr>
              <w:t>12</w:t>
            </w:r>
          </w:p>
        </w:tc>
        <w:tc>
          <w:tcPr>
            <w:tcW w:w="3019" w:type="dxa"/>
            <w:vAlign w:val="center"/>
          </w:tcPr>
          <w:p w14:paraId="48BB83DD">
            <w:pPr>
              <w:snapToGrid w:val="0"/>
              <w:jc w:val="center"/>
              <w:rPr>
                <w:rFonts w:hint="eastAsia" w:ascii="仿宋_GB2312" w:hAnsi="仿宋_GB2312" w:eastAsia="仿宋_GB2312" w:cs="仿宋_GB2312"/>
                <w:color w:val="auto"/>
                <w:kern w:val="0"/>
                <w:sz w:val="24"/>
                <w:highlight w:val="none"/>
              </w:rPr>
            </w:pPr>
            <w:r>
              <w:rPr>
                <w:rFonts w:hint="eastAsia" w:ascii="仿宋" w:hAnsi="仿宋" w:eastAsia="仿宋" w:cs="仿宋"/>
                <w:color w:val="auto"/>
                <w:kern w:val="0"/>
                <w:sz w:val="24"/>
                <w:lang w:val="en-US" w:eastAsia="zh-CN"/>
              </w:rPr>
              <w:t>供应商和拟派项目经理基本信息在“全国建筑市场监管公共服务平台”可查询且无不良记录；外省进陕企业同时提供陕西省住房和城乡建设厅官网企业库外省进陕企业信息首页截图</w:t>
            </w:r>
          </w:p>
        </w:tc>
        <w:tc>
          <w:tcPr>
            <w:tcW w:w="3858" w:type="dxa"/>
            <w:vAlign w:val="center"/>
          </w:tcPr>
          <w:p w14:paraId="2AA48766">
            <w:pPr>
              <w:snapToGrid w:val="0"/>
              <w:jc w:val="center"/>
              <w:rPr>
                <w:rFonts w:ascii="仿宋_GB2312" w:eastAsia="仿宋_GB2312"/>
                <w:bCs/>
                <w:color w:val="auto"/>
                <w:sz w:val="24"/>
              </w:rPr>
            </w:pPr>
            <w:r>
              <w:rPr>
                <w:rFonts w:hint="eastAsia" w:ascii="仿宋_GB2312" w:eastAsia="仿宋_GB2312"/>
                <w:bCs/>
                <w:color w:val="auto"/>
                <w:sz w:val="24"/>
              </w:rPr>
              <w:t>提供</w:t>
            </w:r>
            <w:r>
              <w:rPr>
                <w:rFonts w:hint="eastAsia" w:ascii="仿宋_GB2312" w:eastAsia="仿宋_GB2312"/>
                <w:bCs/>
                <w:color w:val="auto"/>
                <w:sz w:val="24"/>
                <w:lang w:eastAsia="zh-CN"/>
              </w:rPr>
              <w:t>查询截图</w:t>
            </w:r>
          </w:p>
        </w:tc>
      </w:tr>
    </w:tbl>
    <w:p w14:paraId="73D15E85">
      <w:pPr>
        <w:spacing w:line="360" w:lineRule="auto"/>
        <w:jc w:val="center"/>
        <w:outlineLvl w:val="2"/>
        <w:rPr>
          <w:rFonts w:ascii="仿宋_GB2312" w:hAnsi="仿宋_GB2312" w:eastAsia="仿宋_GB2312" w:cs="仿宋_GB2312"/>
          <w:b/>
          <w:color w:val="auto"/>
          <w:sz w:val="24"/>
        </w:rPr>
      </w:pPr>
      <w:r>
        <w:rPr>
          <w:rFonts w:hint="eastAsia" w:ascii="仿宋_GB2312" w:hAnsi="仿宋_GB2312" w:eastAsia="仿宋_GB2312" w:cs="仿宋_GB2312"/>
          <w:color w:val="auto"/>
          <w:sz w:val="24"/>
        </w:rPr>
        <w:br w:type="page"/>
      </w:r>
      <w:r>
        <w:rPr>
          <w:rFonts w:hint="eastAsia" w:ascii="仿宋_GB2312" w:hAnsi="仿宋_GB2312" w:eastAsia="仿宋_GB2312" w:cs="仿宋_GB2312"/>
          <w:b/>
          <w:color w:val="auto"/>
          <w:sz w:val="24"/>
        </w:rPr>
        <w:t>附表二 符合性审查表</w:t>
      </w:r>
    </w:p>
    <w:tbl>
      <w:tblPr>
        <w:tblStyle w:val="50"/>
        <w:tblW w:w="89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282"/>
        <w:gridCol w:w="5665"/>
      </w:tblGrid>
      <w:tr w14:paraId="6CC4E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074227F2">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序号</w:t>
            </w:r>
          </w:p>
        </w:tc>
        <w:tc>
          <w:tcPr>
            <w:tcW w:w="2282" w:type="dxa"/>
            <w:vAlign w:val="center"/>
          </w:tcPr>
          <w:p w14:paraId="53FAA50B">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评审项目</w:t>
            </w:r>
          </w:p>
        </w:tc>
        <w:tc>
          <w:tcPr>
            <w:tcW w:w="5665" w:type="dxa"/>
            <w:vAlign w:val="center"/>
          </w:tcPr>
          <w:p w14:paraId="5E05C73A">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评审标准</w:t>
            </w:r>
          </w:p>
        </w:tc>
      </w:tr>
      <w:tr w14:paraId="13E04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53F6766F">
            <w:pPr>
              <w:snapToGrid w:val="0"/>
              <w:jc w:val="center"/>
              <w:rPr>
                <w:rFonts w:ascii="仿宋_GB2312" w:eastAsia="仿宋_GB2312"/>
                <w:bCs/>
                <w:color w:val="auto"/>
                <w:sz w:val="24"/>
              </w:rPr>
            </w:pPr>
            <w:r>
              <w:rPr>
                <w:rFonts w:hint="eastAsia" w:ascii="仿宋_GB2312" w:eastAsia="仿宋_GB2312"/>
                <w:bCs/>
                <w:color w:val="auto"/>
                <w:sz w:val="24"/>
              </w:rPr>
              <w:t>1</w:t>
            </w:r>
          </w:p>
        </w:tc>
        <w:tc>
          <w:tcPr>
            <w:tcW w:w="2282" w:type="dxa"/>
            <w:vAlign w:val="center"/>
          </w:tcPr>
          <w:p w14:paraId="304A6104">
            <w:pPr>
              <w:snapToGrid w:val="0"/>
              <w:jc w:val="center"/>
              <w:rPr>
                <w:rFonts w:ascii="仿宋_GB2312" w:eastAsia="仿宋_GB2312"/>
                <w:bCs/>
                <w:color w:val="auto"/>
                <w:sz w:val="24"/>
              </w:rPr>
            </w:pPr>
            <w:r>
              <w:rPr>
                <w:rFonts w:hint="eastAsia" w:ascii="仿宋_GB2312" w:eastAsia="仿宋_GB2312"/>
                <w:bCs/>
                <w:color w:val="auto"/>
                <w:sz w:val="24"/>
              </w:rPr>
              <w:t>响应文件组成</w:t>
            </w:r>
          </w:p>
        </w:tc>
        <w:tc>
          <w:tcPr>
            <w:tcW w:w="5665" w:type="dxa"/>
            <w:vAlign w:val="center"/>
          </w:tcPr>
          <w:p w14:paraId="5C8BEDCC">
            <w:pPr>
              <w:snapToGrid w:val="0"/>
              <w:jc w:val="left"/>
              <w:rPr>
                <w:rFonts w:ascii="仿宋_GB2312" w:eastAsia="仿宋_GB2312"/>
                <w:bCs/>
                <w:color w:val="auto"/>
                <w:sz w:val="24"/>
              </w:rPr>
            </w:pPr>
            <w:r>
              <w:rPr>
                <w:rFonts w:hint="eastAsia" w:ascii="仿宋_GB2312" w:eastAsia="仿宋_GB2312"/>
                <w:bCs/>
                <w:color w:val="auto"/>
                <w:sz w:val="24"/>
              </w:rPr>
              <w:t>符合竞争性磋商文件要求</w:t>
            </w:r>
          </w:p>
        </w:tc>
      </w:tr>
      <w:tr w14:paraId="304E5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14DB6E80">
            <w:pPr>
              <w:snapToGrid w:val="0"/>
              <w:jc w:val="center"/>
              <w:rPr>
                <w:rFonts w:ascii="仿宋_GB2312" w:eastAsia="仿宋_GB2312"/>
                <w:bCs/>
                <w:color w:val="auto"/>
                <w:sz w:val="24"/>
              </w:rPr>
            </w:pPr>
            <w:r>
              <w:rPr>
                <w:rFonts w:hint="eastAsia" w:ascii="仿宋_GB2312" w:eastAsia="仿宋_GB2312"/>
                <w:bCs/>
                <w:color w:val="auto"/>
                <w:sz w:val="24"/>
              </w:rPr>
              <w:t>2</w:t>
            </w:r>
          </w:p>
        </w:tc>
        <w:tc>
          <w:tcPr>
            <w:tcW w:w="2282" w:type="dxa"/>
            <w:vAlign w:val="center"/>
          </w:tcPr>
          <w:p w14:paraId="266962E2">
            <w:pPr>
              <w:snapToGrid w:val="0"/>
              <w:jc w:val="center"/>
              <w:rPr>
                <w:rFonts w:ascii="仿宋_GB2312" w:eastAsia="仿宋_GB2312"/>
                <w:bCs/>
                <w:color w:val="auto"/>
                <w:sz w:val="24"/>
              </w:rPr>
            </w:pPr>
            <w:r>
              <w:rPr>
                <w:rFonts w:hint="eastAsia" w:ascii="仿宋_GB2312" w:eastAsia="仿宋_GB2312"/>
                <w:bCs/>
                <w:color w:val="auto"/>
                <w:sz w:val="24"/>
              </w:rPr>
              <w:t>响应文件签署、盖章</w:t>
            </w:r>
          </w:p>
        </w:tc>
        <w:tc>
          <w:tcPr>
            <w:tcW w:w="5665" w:type="dxa"/>
            <w:vAlign w:val="center"/>
          </w:tcPr>
          <w:p w14:paraId="2348E266">
            <w:pPr>
              <w:snapToGrid w:val="0"/>
              <w:jc w:val="left"/>
              <w:rPr>
                <w:rFonts w:ascii="仿宋_GB2312" w:eastAsia="仿宋_GB2312"/>
                <w:bCs/>
                <w:color w:val="auto"/>
                <w:sz w:val="24"/>
              </w:rPr>
            </w:pPr>
            <w:r>
              <w:rPr>
                <w:rFonts w:hint="eastAsia" w:ascii="仿宋_GB2312" w:eastAsia="仿宋_GB2312"/>
                <w:bCs/>
                <w:color w:val="auto"/>
                <w:sz w:val="24"/>
              </w:rPr>
              <w:t>签署、盖章符合磋商文件要求，且无遗漏</w:t>
            </w:r>
          </w:p>
        </w:tc>
      </w:tr>
      <w:tr w14:paraId="1F12C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7A6E80C6">
            <w:pPr>
              <w:snapToGrid w:val="0"/>
              <w:jc w:val="center"/>
              <w:rPr>
                <w:rFonts w:ascii="仿宋_GB2312" w:eastAsia="仿宋_GB2312"/>
                <w:bCs/>
                <w:color w:val="auto"/>
                <w:sz w:val="24"/>
              </w:rPr>
            </w:pPr>
            <w:r>
              <w:rPr>
                <w:rFonts w:hint="eastAsia" w:ascii="仿宋_GB2312" w:eastAsia="仿宋_GB2312"/>
                <w:bCs/>
                <w:color w:val="auto"/>
                <w:sz w:val="24"/>
              </w:rPr>
              <w:t>3</w:t>
            </w:r>
          </w:p>
        </w:tc>
        <w:tc>
          <w:tcPr>
            <w:tcW w:w="2282" w:type="dxa"/>
            <w:vAlign w:val="center"/>
          </w:tcPr>
          <w:p w14:paraId="5E8E3C8A">
            <w:pPr>
              <w:snapToGrid w:val="0"/>
              <w:jc w:val="center"/>
              <w:rPr>
                <w:rFonts w:ascii="仿宋_GB2312" w:eastAsia="仿宋_GB2312"/>
                <w:bCs/>
                <w:color w:val="auto"/>
                <w:sz w:val="24"/>
              </w:rPr>
            </w:pPr>
            <w:r>
              <w:rPr>
                <w:rFonts w:hint="eastAsia" w:ascii="仿宋_GB2312" w:eastAsia="仿宋_GB2312"/>
                <w:bCs/>
                <w:color w:val="auto"/>
                <w:sz w:val="24"/>
              </w:rPr>
              <w:t>响应文件有效期</w:t>
            </w:r>
          </w:p>
        </w:tc>
        <w:tc>
          <w:tcPr>
            <w:tcW w:w="5665" w:type="dxa"/>
            <w:vAlign w:val="center"/>
          </w:tcPr>
          <w:p w14:paraId="5AF94CD3">
            <w:pPr>
              <w:snapToGrid w:val="0"/>
              <w:jc w:val="left"/>
              <w:rPr>
                <w:rFonts w:ascii="仿宋_GB2312" w:eastAsia="仿宋_GB2312"/>
                <w:bCs/>
                <w:color w:val="auto"/>
                <w:sz w:val="24"/>
              </w:rPr>
            </w:pPr>
            <w:r>
              <w:rPr>
                <w:rFonts w:hint="eastAsia" w:ascii="仿宋_GB2312" w:eastAsia="仿宋_GB2312"/>
                <w:bCs/>
                <w:color w:val="auto"/>
                <w:sz w:val="24"/>
              </w:rPr>
              <w:t>符合磋商文件的要求</w:t>
            </w:r>
          </w:p>
        </w:tc>
      </w:tr>
      <w:tr w14:paraId="569FA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998" w:type="dxa"/>
            <w:vAlign w:val="center"/>
          </w:tcPr>
          <w:p w14:paraId="54819E2D">
            <w:pPr>
              <w:snapToGrid w:val="0"/>
              <w:jc w:val="center"/>
              <w:rPr>
                <w:rFonts w:ascii="仿宋_GB2312" w:eastAsia="仿宋_GB2312"/>
                <w:bCs/>
                <w:color w:val="auto"/>
                <w:sz w:val="24"/>
              </w:rPr>
            </w:pPr>
            <w:r>
              <w:rPr>
                <w:rFonts w:hint="eastAsia" w:ascii="仿宋_GB2312" w:eastAsia="仿宋_GB2312"/>
                <w:bCs/>
                <w:color w:val="auto"/>
                <w:sz w:val="24"/>
              </w:rPr>
              <w:t>4</w:t>
            </w:r>
          </w:p>
        </w:tc>
        <w:tc>
          <w:tcPr>
            <w:tcW w:w="2282" w:type="dxa"/>
            <w:vAlign w:val="center"/>
          </w:tcPr>
          <w:p w14:paraId="080F9883">
            <w:pPr>
              <w:snapToGrid w:val="0"/>
              <w:jc w:val="center"/>
              <w:rPr>
                <w:rFonts w:ascii="仿宋_GB2312" w:eastAsia="仿宋_GB2312"/>
                <w:bCs/>
                <w:color w:val="auto"/>
                <w:sz w:val="24"/>
              </w:rPr>
            </w:pPr>
            <w:r>
              <w:rPr>
                <w:rFonts w:hint="eastAsia" w:ascii="仿宋_GB2312" w:eastAsia="仿宋_GB2312"/>
                <w:bCs/>
                <w:color w:val="auto"/>
                <w:sz w:val="24"/>
              </w:rPr>
              <w:t>首次磋商报价</w:t>
            </w:r>
          </w:p>
        </w:tc>
        <w:tc>
          <w:tcPr>
            <w:tcW w:w="5665" w:type="dxa"/>
            <w:vAlign w:val="center"/>
          </w:tcPr>
          <w:p w14:paraId="7A629C19">
            <w:pPr>
              <w:snapToGrid w:val="0"/>
              <w:jc w:val="left"/>
              <w:rPr>
                <w:rFonts w:hint="eastAsia" w:ascii="仿宋_GB2312" w:eastAsia="仿宋_GB2312"/>
                <w:bCs/>
                <w:color w:val="auto"/>
                <w:sz w:val="24"/>
              </w:rPr>
            </w:pPr>
            <w:r>
              <w:rPr>
                <w:rFonts w:hint="eastAsia" w:ascii="仿宋_GB2312" w:eastAsia="仿宋_GB2312"/>
                <w:bCs/>
                <w:color w:val="auto"/>
                <w:sz w:val="24"/>
              </w:rPr>
              <w:t>同时满足以下条款：（1）磋商报价符合唯一性要求；（2）</w:t>
            </w:r>
            <w:r>
              <w:rPr>
                <w:rFonts w:hint="eastAsia" w:ascii="仿宋_GB2312" w:eastAsia="仿宋_GB2312"/>
                <w:bCs/>
                <w:color w:val="auto"/>
                <w:sz w:val="24"/>
                <w:lang w:eastAsia="zh-CN"/>
              </w:rPr>
              <w:t>首次</w:t>
            </w:r>
            <w:r>
              <w:rPr>
                <w:rFonts w:hint="eastAsia" w:ascii="仿宋_GB2312" w:eastAsia="仿宋_GB2312"/>
                <w:bCs/>
                <w:color w:val="auto"/>
                <w:sz w:val="24"/>
              </w:rPr>
              <w:t>磋商报价表填写符合要求；（3）</w:t>
            </w:r>
            <w:r>
              <w:rPr>
                <w:rFonts w:hint="eastAsia" w:ascii="仿宋_GB2312" w:eastAsia="仿宋_GB2312"/>
                <w:bCs/>
                <w:color w:val="auto"/>
                <w:sz w:val="24"/>
                <w:lang w:eastAsia="zh-CN"/>
              </w:rPr>
              <w:t>首次</w:t>
            </w:r>
            <w:r>
              <w:rPr>
                <w:rFonts w:hint="eastAsia" w:ascii="仿宋_GB2312" w:eastAsia="仿宋_GB2312"/>
                <w:bCs/>
                <w:color w:val="auto"/>
                <w:sz w:val="24"/>
              </w:rPr>
              <w:t>磋商报价未超过采购预算且没有被磋商小组认定为不合理低价</w:t>
            </w:r>
          </w:p>
        </w:tc>
      </w:tr>
      <w:tr w14:paraId="03AFF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7" w:hRule="atLeast"/>
          <w:jc w:val="center"/>
        </w:trPr>
        <w:tc>
          <w:tcPr>
            <w:tcW w:w="998" w:type="dxa"/>
            <w:vAlign w:val="center"/>
          </w:tcPr>
          <w:p w14:paraId="3FC8440A">
            <w:pPr>
              <w:snapToGrid w:val="0"/>
              <w:jc w:val="center"/>
              <w:rPr>
                <w:rFonts w:ascii="仿宋_GB2312" w:eastAsia="仿宋_GB2312"/>
                <w:bCs/>
                <w:color w:val="auto"/>
                <w:sz w:val="24"/>
              </w:rPr>
            </w:pPr>
            <w:r>
              <w:rPr>
                <w:rFonts w:hint="eastAsia" w:ascii="仿宋_GB2312" w:eastAsia="仿宋_GB2312"/>
                <w:bCs/>
                <w:color w:val="auto"/>
                <w:sz w:val="24"/>
              </w:rPr>
              <w:t>5</w:t>
            </w:r>
          </w:p>
        </w:tc>
        <w:tc>
          <w:tcPr>
            <w:tcW w:w="2282" w:type="dxa"/>
            <w:vAlign w:val="center"/>
          </w:tcPr>
          <w:p w14:paraId="0474BF4E">
            <w:pPr>
              <w:snapToGrid w:val="0"/>
              <w:jc w:val="center"/>
              <w:rPr>
                <w:rFonts w:ascii="仿宋_GB2312" w:eastAsia="仿宋_GB2312"/>
                <w:bCs/>
                <w:color w:val="auto"/>
                <w:sz w:val="24"/>
              </w:rPr>
            </w:pPr>
            <w:r>
              <w:rPr>
                <w:rFonts w:hint="eastAsia" w:ascii="仿宋_GB2312" w:eastAsia="仿宋_GB2312"/>
                <w:bCs/>
                <w:color w:val="auto"/>
                <w:sz w:val="24"/>
              </w:rPr>
              <w:t>实质性条款响应</w:t>
            </w:r>
          </w:p>
        </w:tc>
        <w:tc>
          <w:tcPr>
            <w:tcW w:w="5665" w:type="dxa"/>
            <w:vAlign w:val="center"/>
          </w:tcPr>
          <w:p w14:paraId="248B5C9B">
            <w:pPr>
              <w:snapToGrid w:val="0"/>
              <w:jc w:val="left"/>
              <w:rPr>
                <w:rFonts w:ascii="仿宋_GB2312" w:eastAsia="仿宋_GB2312"/>
                <w:bCs/>
                <w:color w:val="auto"/>
                <w:sz w:val="24"/>
              </w:rPr>
            </w:pPr>
            <w:r>
              <w:rPr>
                <w:rFonts w:hint="eastAsia" w:ascii="仿宋_GB2312" w:eastAsia="仿宋_GB2312"/>
                <w:bCs/>
                <w:color w:val="auto"/>
                <w:sz w:val="24"/>
              </w:rPr>
              <w:t>完全响应磋商文件要求的各项技术/服务/商务实质性条款</w:t>
            </w:r>
          </w:p>
        </w:tc>
      </w:tr>
      <w:tr w14:paraId="12F65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998" w:type="dxa"/>
            <w:vAlign w:val="center"/>
          </w:tcPr>
          <w:p w14:paraId="43082A11">
            <w:pPr>
              <w:snapToGrid w:val="0"/>
              <w:jc w:val="center"/>
              <w:rPr>
                <w:rFonts w:hint="eastAsia" w:ascii="仿宋_GB2312" w:eastAsia="仿宋_GB2312"/>
                <w:bCs/>
                <w:color w:val="auto"/>
                <w:sz w:val="24"/>
              </w:rPr>
            </w:pPr>
            <w:r>
              <w:rPr>
                <w:rFonts w:hint="eastAsia" w:ascii="仿宋_GB2312" w:eastAsia="仿宋_GB2312"/>
                <w:bCs/>
                <w:color w:val="auto"/>
                <w:sz w:val="24"/>
              </w:rPr>
              <w:t>6</w:t>
            </w:r>
          </w:p>
        </w:tc>
        <w:tc>
          <w:tcPr>
            <w:tcW w:w="2282" w:type="dxa"/>
            <w:vAlign w:val="center"/>
          </w:tcPr>
          <w:p w14:paraId="627C7B69">
            <w:pPr>
              <w:snapToGrid w:val="0"/>
              <w:jc w:val="center"/>
              <w:rPr>
                <w:rFonts w:hint="eastAsia" w:ascii="仿宋_GB2312" w:eastAsia="仿宋_GB2312"/>
                <w:bCs/>
                <w:color w:val="auto"/>
                <w:sz w:val="24"/>
              </w:rPr>
            </w:pPr>
            <w:r>
              <w:rPr>
                <w:rFonts w:hint="eastAsia" w:ascii="仿宋_GB2312" w:hAnsi="Times New Roman" w:eastAsia="仿宋_GB2312" w:cs="Times New Roman"/>
                <w:bCs/>
                <w:color w:val="auto"/>
                <w:sz w:val="24"/>
              </w:rPr>
              <w:t>其他无效情形</w:t>
            </w:r>
          </w:p>
        </w:tc>
        <w:tc>
          <w:tcPr>
            <w:tcW w:w="5665" w:type="dxa"/>
            <w:vAlign w:val="center"/>
          </w:tcPr>
          <w:p w14:paraId="1070F371">
            <w:pPr>
              <w:snapToGrid w:val="0"/>
              <w:jc w:val="left"/>
              <w:rPr>
                <w:rFonts w:hint="eastAsia" w:ascii="仿宋_GB2312" w:eastAsia="仿宋_GB2312"/>
                <w:bCs/>
                <w:color w:val="auto"/>
                <w:sz w:val="24"/>
              </w:rPr>
            </w:pPr>
            <w:r>
              <w:rPr>
                <w:rFonts w:hint="eastAsia" w:ascii="仿宋_GB2312" w:hAnsi="Times New Roman" w:eastAsia="仿宋_GB2312" w:cs="Times New Roman"/>
                <w:bCs/>
                <w:color w:val="auto"/>
                <w:sz w:val="24"/>
              </w:rPr>
              <w:t>完全理解并接受法律法规和磋商文件对供应商的各项须知、规定要求和责任义务，没有出现法律法规或磋商文件明确规定的其它被视为无效响应的情形</w:t>
            </w:r>
          </w:p>
        </w:tc>
      </w:tr>
    </w:tbl>
    <w:p w14:paraId="418BE05A">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注1、有下列情形之一的，视为供应商相互串通：</w:t>
      </w:r>
    </w:p>
    <w:p w14:paraId="04C3E455">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（1）不同供应商的响应文件由同一单位或者个人编制；</w:t>
      </w:r>
    </w:p>
    <w:p w14:paraId="4A1EF225">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（2）不同供应商委托同一单位或者个人办理参与磋商事宜；</w:t>
      </w:r>
    </w:p>
    <w:p w14:paraId="7AA116B9">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（3）不同供应商的响应文件载明的项目管理成员或者联系人员为同一人；</w:t>
      </w:r>
    </w:p>
    <w:p w14:paraId="4E4DE53C">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（4）不同供应商的响应文件异常一致或者报价呈规律性差异；</w:t>
      </w:r>
    </w:p>
    <w:p w14:paraId="4B2A68ED">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（5）不同供应商的响应文件相互混装；</w:t>
      </w:r>
    </w:p>
    <w:p w14:paraId="79AB5632">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2、有下列情形之一的，属于提供虚假材料谋取成交的行为：</w:t>
      </w:r>
    </w:p>
    <w:p w14:paraId="1E58D698">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（1）使用伪造、变造的许可证件；</w:t>
      </w:r>
    </w:p>
    <w:p w14:paraId="32AC5F54">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（2）提供虚假的财务状况或者业绩；</w:t>
      </w:r>
    </w:p>
    <w:p w14:paraId="417B4141">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（3）提供虚假的项目负责人或者主要技术人员简历、劳动关系证明；</w:t>
      </w:r>
    </w:p>
    <w:p w14:paraId="058F51E1">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（4）提供虚假的信用状况；</w:t>
      </w:r>
    </w:p>
    <w:p w14:paraId="329BEAA5">
      <w:pPr>
        <w:tabs>
          <w:tab w:val="left" w:pos="1260"/>
          <w:tab w:val="left" w:pos="1620"/>
        </w:tabs>
        <w:adjustRightInd w:val="0"/>
        <w:spacing w:line="360" w:lineRule="auto"/>
        <w:jc w:val="left"/>
        <w:textAlignment w:val="baseline"/>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（5）其他弄虚作假的行为。</w:t>
      </w:r>
    </w:p>
    <w:p w14:paraId="45800EDD">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lang w:val="en-US" w:eastAsia="zh-CN"/>
        </w:rPr>
        <w:t>3、</w:t>
      </w:r>
      <w:r>
        <w:rPr>
          <w:rFonts w:hint="eastAsia" w:ascii="仿宋_GB2312" w:eastAsia="仿宋_GB2312"/>
          <w:b/>
          <w:bCs w:val="0"/>
          <w:color w:val="auto"/>
          <w:sz w:val="24"/>
        </w:rPr>
        <w:t>一、评审中出现下列情形之一的，</w:t>
      </w:r>
      <w:r>
        <w:rPr>
          <w:rFonts w:hint="eastAsia" w:ascii="仿宋_GB2312" w:eastAsia="仿宋_GB2312"/>
          <w:b/>
          <w:bCs w:val="0"/>
          <w:color w:val="auto"/>
          <w:sz w:val="24"/>
          <w:lang w:val="en-US" w:eastAsia="zh-CN"/>
        </w:rPr>
        <w:t>磋商小组</w:t>
      </w:r>
      <w:r>
        <w:rPr>
          <w:rFonts w:hint="eastAsia" w:ascii="仿宋_GB2312" w:eastAsia="仿宋_GB2312"/>
          <w:b/>
          <w:bCs w:val="0"/>
          <w:color w:val="auto"/>
          <w:sz w:val="24"/>
        </w:rPr>
        <w:t>应当启动异常低价审查程序:1.报价低于全部通过符合性审查供应商投标报价平均值50%的，即报价全部通过符合性审查供应商报价平均值x50%:2.报价低于通过符合性审查的次低报价供应商报价50%的，即报价通过符合性审查的次低报价供应商报价x50%:3.报价低于采购项目最高限价45%的，即报价〈采购项目最高限价x45%:4.</w:t>
      </w:r>
      <w:r>
        <w:rPr>
          <w:rFonts w:hint="eastAsia" w:ascii="仿宋_GB2312" w:eastAsia="仿宋_GB2312"/>
          <w:b/>
          <w:bCs w:val="0"/>
          <w:color w:val="auto"/>
          <w:sz w:val="24"/>
          <w:lang w:val="en-US" w:eastAsia="zh-CN"/>
        </w:rPr>
        <w:t>磋商小组</w:t>
      </w:r>
      <w:r>
        <w:rPr>
          <w:rFonts w:hint="eastAsia" w:ascii="仿宋_GB2312" w:eastAsia="仿宋_GB2312"/>
          <w:b/>
          <w:bCs w:val="0"/>
          <w:color w:val="auto"/>
          <w:sz w:val="24"/>
        </w:rPr>
        <w:t>基于专业判断，认为供应商报价过低，有可能影响产品质量或者不能诚信履约的其他情形。相关法律法规对供应商报价有规定的，从其规定。二、</w:t>
      </w:r>
      <w:r>
        <w:rPr>
          <w:rFonts w:hint="eastAsia" w:ascii="仿宋_GB2312" w:eastAsia="仿宋_GB2312"/>
          <w:b/>
          <w:bCs w:val="0"/>
          <w:color w:val="auto"/>
          <w:sz w:val="24"/>
          <w:lang w:val="en-US" w:eastAsia="zh-CN"/>
        </w:rPr>
        <w:t>磋商小组</w:t>
      </w:r>
      <w:r>
        <w:rPr>
          <w:rFonts w:hint="eastAsia" w:ascii="仿宋_GB2312" w:eastAsia="仿宋_GB2312"/>
          <w:b/>
          <w:bCs w:val="0"/>
          <w:color w:val="auto"/>
          <w:sz w:val="24"/>
        </w:rPr>
        <w:t>应当要求相关供应商在评审现场合理的时间内对价格作出解释，提供项目具体成本测算等与报价合理性相关的书面说明及必要的证明材料，包括但不限于原材料成本、人工成本、制造费用等，给予相关供应商的合理时间一般不少于30分钟。</w:t>
      </w:r>
      <w:r>
        <w:rPr>
          <w:rFonts w:hint="eastAsia" w:ascii="仿宋_GB2312" w:eastAsia="仿宋_GB2312"/>
          <w:b/>
          <w:bCs w:val="0"/>
          <w:color w:val="auto"/>
          <w:sz w:val="24"/>
          <w:lang w:val="en-US" w:eastAsia="zh-CN"/>
        </w:rPr>
        <w:t>磋商小组</w:t>
      </w:r>
      <w:r>
        <w:rPr>
          <w:rFonts w:hint="eastAsia" w:ascii="仿宋_GB2312" w:eastAsia="仿宋_GB2312"/>
          <w:b/>
          <w:bCs w:val="0"/>
          <w:color w:val="auto"/>
          <w:sz w:val="24"/>
        </w:rPr>
        <w:t>依据专业经验，参考同类项目中标(成交)价格、类似产品市场价格水平、行业人工费用标准、国家有关部门指导行业协会发布的行业平均成本等情况，对报价合理性进行判断。三、</w:t>
      </w:r>
      <w:r>
        <w:rPr>
          <w:rFonts w:hint="eastAsia" w:ascii="仿宋_GB2312" w:eastAsia="仿宋_GB2312"/>
          <w:b/>
          <w:bCs w:val="0"/>
          <w:color w:val="auto"/>
          <w:sz w:val="24"/>
          <w:lang w:val="en-US" w:eastAsia="zh-CN"/>
        </w:rPr>
        <w:t>供应商</w:t>
      </w:r>
      <w:r>
        <w:rPr>
          <w:rFonts w:hint="eastAsia" w:ascii="仿宋_GB2312" w:eastAsia="仿宋_GB2312"/>
          <w:b/>
          <w:bCs w:val="0"/>
          <w:color w:val="auto"/>
          <w:sz w:val="24"/>
        </w:rPr>
        <w:t>提交的相关说明和证明材料，应当加盖</w:t>
      </w:r>
      <w:r>
        <w:rPr>
          <w:rFonts w:hint="eastAsia" w:ascii="仿宋_GB2312" w:eastAsia="仿宋_GB2312"/>
          <w:b/>
          <w:bCs w:val="0"/>
          <w:color w:val="auto"/>
          <w:sz w:val="24"/>
          <w:lang w:val="en-US" w:eastAsia="zh-CN"/>
        </w:rPr>
        <w:t>供应商</w:t>
      </w:r>
      <w:r>
        <w:rPr>
          <w:rFonts w:hint="eastAsia" w:ascii="仿宋_GB2312" w:eastAsia="仿宋_GB2312"/>
          <w:b/>
          <w:bCs w:val="0"/>
          <w:color w:val="auto"/>
          <w:sz w:val="24"/>
        </w:rPr>
        <w:t>(法定名称)电子印章，在</w:t>
      </w:r>
      <w:r>
        <w:rPr>
          <w:rFonts w:hint="eastAsia" w:ascii="仿宋_GB2312" w:eastAsia="仿宋_GB2312"/>
          <w:b/>
          <w:bCs w:val="0"/>
          <w:color w:val="auto"/>
          <w:sz w:val="24"/>
          <w:lang w:val="en-US" w:eastAsia="zh-CN"/>
        </w:rPr>
        <w:t>磋商小组</w:t>
      </w:r>
      <w:r>
        <w:rPr>
          <w:rFonts w:hint="eastAsia" w:ascii="仿宋_GB2312" w:eastAsia="仿宋_GB2312"/>
          <w:b/>
          <w:bCs w:val="0"/>
          <w:color w:val="auto"/>
          <w:sz w:val="24"/>
        </w:rPr>
        <w:t>要求的时间内进行提交，否则提交的相关证明材料无效。供应商不能提供书面说明、证明材料，或者提供的书面说明证明材料不能证明其报价合理性的，</w:t>
      </w:r>
      <w:r>
        <w:rPr>
          <w:rFonts w:hint="eastAsia" w:ascii="仿宋_GB2312" w:eastAsia="仿宋_GB2312"/>
          <w:b/>
          <w:bCs w:val="0"/>
          <w:color w:val="auto"/>
          <w:sz w:val="24"/>
          <w:lang w:val="en-US" w:eastAsia="zh-CN"/>
        </w:rPr>
        <w:t>磋商吸走</w:t>
      </w:r>
      <w:r>
        <w:rPr>
          <w:rFonts w:hint="eastAsia" w:ascii="仿宋_GB2312" w:eastAsia="仿宋_GB2312"/>
          <w:b/>
          <w:bCs w:val="0"/>
          <w:color w:val="auto"/>
          <w:sz w:val="24"/>
        </w:rPr>
        <w:t>应当将其作为</w:t>
      </w:r>
      <w:r>
        <w:rPr>
          <w:rFonts w:hint="eastAsia" w:ascii="仿宋_GB2312" w:eastAsia="仿宋_GB2312"/>
          <w:b/>
          <w:bCs w:val="0"/>
          <w:color w:val="auto"/>
          <w:sz w:val="24"/>
          <w:lang w:val="en-US" w:eastAsia="zh-CN"/>
        </w:rPr>
        <w:t>响应无效</w:t>
      </w:r>
      <w:r>
        <w:rPr>
          <w:rFonts w:hint="eastAsia" w:ascii="仿宋_GB2312" w:eastAsia="仿宋_GB2312"/>
          <w:b/>
          <w:bCs w:val="0"/>
          <w:color w:val="auto"/>
          <w:sz w:val="24"/>
        </w:rPr>
        <w:t>处理。</w:t>
      </w:r>
      <w:r>
        <w:rPr>
          <w:rFonts w:hint="eastAsia" w:ascii="仿宋_GB2312" w:hAnsi="仿宋_GB2312" w:eastAsia="仿宋_GB2312" w:cs="仿宋_GB2312"/>
          <w:b/>
          <w:color w:val="auto"/>
          <w:sz w:val="24"/>
        </w:rPr>
        <w:br w:type="page"/>
      </w:r>
    </w:p>
    <w:p w14:paraId="7BF80622">
      <w:pPr>
        <w:jc w:val="center"/>
        <w:outlineLvl w:val="2"/>
        <w:rPr>
          <w:rFonts w:ascii="仿宋_GB2312" w:hAnsi="仿宋_GB2312" w:eastAsia="仿宋_GB2312" w:cs="仿宋_GB2312"/>
          <w:b/>
          <w:color w:val="auto"/>
          <w:sz w:val="24"/>
        </w:rPr>
      </w:pPr>
      <w:bookmarkStart w:id="407" w:name="_Toc414446034"/>
      <w:bookmarkStart w:id="408" w:name="_Toc410631198"/>
      <w:bookmarkStart w:id="409" w:name="_Toc7005048"/>
      <w:r>
        <w:rPr>
          <w:rFonts w:hint="eastAsia" w:ascii="仿宋_GB2312" w:hAnsi="仿宋_GB2312" w:eastAsia="仿宋_GB2312" w:cs="仿宋_GB2312"/>
          <w:b/>
          <w:color w:val="auto"/>
          <w:sz w:val="24"/>
        </w:rPr>
        <w:t>附表三 商务和技术评审因素及分值分配表</w:t>
      </w:r>
      <w:bookmarkEnd w:id="407"/>
      <w:bookmarkEnd w:id="408"/>
      <w:bookmarkEnd w:id="409"/>
    </w:p>
    <w:p w14:paraId="49E49096">
      <w:pPr>
        <w:pStyle w:val="67"/>
        <w:spacing w:before="24" w:after="24"/>
        <w:rPr>
          <w:rFonts w:ascii="仿宋_GB2312" w:hAnsi="仿宋_GB2312" w:eastAsia="仿宋_GB2312" w:cs="仿宋_GB2312"/>
          <w:b/>
          <w:color w:val="auto"/>
          <w:sz w:val="24"/>
        </w:rPr>
      </w:pPr>
    </w:p>
    <w:p w14:paraId="369760E6">
      <w:pPr>
        <w:tabs>
          <w:tab w:val="left" w:pos="-94"/>
          <w:tab w:val="left" w:pos="1620"/>
        </w:tabs>
        <w:adjustRightInd w:val="0"/>
        <w:spacing w:line="360" w:lineRule="auto"/>
        <w:ind w:left="23" w:leftChars="11"/>
        <w:jc w:val="center"/>
        <w:textAlignment w:val="baseline"/>
        <w:rPr>
          <w:rFonts w:ascii="仿宋_GB2312" w:hAnsi="仿宋_GB2312" w:eastAsia="仿宋_GB2312" w:cs="仿宋_GB2312"/>
          <w:b/>
          <w:color w:val="auto"/>
          <w:sz w:val="24"/>
        </w:rPr>
      </w:pPr>
      <w:r>
        <w:rPr>
          <w:rFonts w:hint="eastAsia" w:ascii="仿宋_GB2312" w:hAnsi="仿宋_GB2312" w:eastAsia="仿宋_GB2312" w:cs="仿宋_GB2312"/>
          <w:color w:val="auto"/>
          <w:sz w:val="24"/>
        </w:rPr>
        <w:t>（满分</w:t>
      </w:r>
      <w:r>
        <w:rPr>
          <w:rFonts w:hint="eastAsia" w:ascii="仿宋_GB2312" w:hAnsi="仿宋_GB2312" w:eastAsia="仿宋_GB2312" w:cs="仿宋_GB2312"/>
          <w:color w:val="auto"/>
          <w:sz w:val="24"/>
          <w:lang w:val="en-US" w:eastAsia="zh-CN"/>
        </w:rPr>
        <w:t>70</w:t>
      </w:r>
      <w:r>
        <w:rPr>
          <w:rFonts w:hint="eastAsia" w:ascii="仿宋_GB2312" w:hAnsi="仿宋_GB2312" w:eastAsia="仿宋_GB2312" w:cs="仿宋_GB2312"/>
          <w:color w:val="auto"/>
          <w:sz w:val="24"/>
        </w:rPr>
        <w:t>分）</w:t>
      </w:r>
    </w:p>
    <w:tbl>
      <w:tblPr>
        <w:tblStyle w:val="50"/>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348"/>
        <w:gridCol w:w="5712"/>
        <w:gridCol w:w="898"/>
      </w:tblGrid>
      <w:tr w14:paraId="08CA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50" w:type="dxa"/>
            <w:vAlign w:val="center"/>
          </w:tcPr>
          <w:p w14:paraId="14BB05DE">
            <w:pPr>
              <w:keepNext w:val="0"/>
              <w:keepLines w:val="0"/>
              <w:pageBreakBefore w:val="0"/>
              <w:widowControl/>
              <w:tabs>
                <w:tab w:val="left" w:pos="1620"/>
              </w:tabs>
              <w:kinsoku/>
              <w:wordWrap/>
              <w:overflowPunct/>
              <w:topLinePunct w:val="0"/>
              <w:autoSpaceDE/>
              <w:autoSpaceDN/>
              <w:bidi w:val="0"/>
              <w:adjustRightInd/>
              <w:snapToGrid w:val="0"/>
              <w:spacing w:line="24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序号</w:t>
            </w:r>
          </w:p>
        </w:tc>
        <w:tc>
          <w:tcPr>
            <w:tcW w:w="1348" w:type="dxa"/>
            <w:vAlign w:val="center"/>
          </w:tcPr>
          <w:p w14:paraId="73809399">
            <w:pPr>
              <w:keepNext w:val="0"/>
              <w:keepLines w:val="0"/>
              <w:pageBreakBefore w:val="0"/>
              <w:widowControl/>
              <w:tabs>
                <w:tab w:val="left" w:pos="1620"/>
              </w:tabs>
              <w:kinsoku/>
              <w:wordWrap/>
              <w:overflowPunct/>
              <w:topLinePunct w:val="0"/>
              <w:autoSpaceDE/>
              <w:autoSpaceDN/>
              <w:bidi w:val="0"/>
              <w:adjustRightInd/>
              <w:snapToGrid w:val="0"/>
              <w:spacing w:line="240" w:lineRule="auto"/>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评审内容</w:t>
            </w:r>
          </w:p>
        </w:tc>
        <w:tc>
          <w:tcPr>
            <w:tcW w:w="5712" w:type="dxa"/>
            <w:vAlign w:val="center"/>
          </w:tcPr>
          <w:p w14:paraId="7C7363FF">
            <w:pPr>
              <w:keepNext w:val="0"/>
              <w:keepLines w:val="0"/>
              <w:pageBreakBefore w:val="0"/>
              <w:widowControl/>
              <w:tabs>
                <w:tab w:val="left" w:pos="1620"/>
              </w:tabs>
              <w:kinsoku/>
              <w:wordWrap/>
              <w:overflowPunct/>
              <w:topLinePunct w:val="0"/>
              <w:autoSpaceDE/>
              <w:autoSpaceDN/>
              <w:bidi w:val="0"/>
              <w:adjustRightInd/>
              <w:snapToGrid w:val="0"/>
              <w:spacing w:line="240" w:lineRule="auto"/>
              <w:ind w:firstLine="480" w:firstLineChars="200"/>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评审标准</w:t>
            </w:r>
          </w:p>
        </w:tc>
        <w:tc>
          <w:tcPr>
            <w:tcW w:w="898" w:type="dxa"/>
            <w:vAlign w:val="center"/>
          </w:tcPr>
          <w:p w14:paraId="3AFB297C">
            <w:pPr>
              <w:keepNext w:val="0"/>
              <w:keepLines w:val="0"/>
              <w:pageBreakBefore w:val="0"/>
              <w:widowControl/>
              <w:tabs>
                <w:tab w:val="left" w:pos="1620"/>
              </w:tabs>
              <w:kinsoku/>
              <w:wordWrap/>
              <w:overflowPunct/>
              <w:topLinePunct w:val="0"/>
              <w:autoSpaceDE/>
              <w:autoSpaceDN/>
              <w:bidi w:val="0"/>
              <w:adjustRightInd/>
              <w:snapToGrid w:val="0"/>
              <w:spacing w:line="240" w:lineRule="auto"/>
              <w:jc w:val="left"/>
              <w:textAlignment w:val="auto"/>
              <w:rPr>
                <w:rFonts w:ascii="仿宋" w:hAnsi="仿宋" w:eastAsia="仿宋" w:cs="仿宋"/>
                <w:color w:val="auto"/>
                <w:sz w:val="24"/>
                <w:szCs w:val="24"/>
              </w:rPr>
            </w:pPr>
            <w:r>
              <w:rPr>
                <w:rFonts w:hint="eastAsia" w:ascii="仿宋" w:hAnsi="仿宋" w:eastAsia="仿宋" w:cs="仿宋"/>
                <w:color w:val="auto"/>
                <w:sz w:val="24"/>
                <w:szCs w:val="24"/>
              </w:rPr>
              <w:t>满分</w:t>
            </w:r>
          </w:p>
        </w:tc>
      </w:tr>
      <w:tr w14:paraId="4B1D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850" w:type="dxa"/>
            <w:vMerge w:val="restart"/>
            <w:vAlign w:val="center"/>
          </w:tcPr>
          <w:p w14:paraId="10C48272">
            <w:pPr>
              <w:keepNext w:val="0"/>
              <w:keepLines w:val="0"/>
              <w:pageBreakBefore w:val="0"/>
              <w:kinsoku/>
              <w:wordWrap/>
              <w:overflowPunct/>
              <w:topLinePunct w:val="0"/>
              <w:autoSpaceDE/>
              <w:autoSpaceDN/>
              <w:bidi w:val="0"/>
              <w:spacing w:line="240" w:lineRule="auto"/>
              <w:jc w:val="center"/>
              <w:rPr>
                <w:rFonts w:ascii="仿宋" w:hAnsi="仿宋" w:eastAsia="仿宋" w:cs="仿宋"/>
                <w:color w:val="auto"/>
                <w:sz w:val="24"/>
                <w:szCs w:val="24"/>
              </w:rPr>
            </w:pPr>
            <w:r>
              <w:rPr>
                <w:rFonts w:hint="eastAsia" w:ascii="仿宋" w:hAnsi="仿宋" w:eastAsia="仿宋" w:cs="仿宋"/>
                <w:color w:val="auto"/>
                <w:sz w:val="24"/>
                <w:szCs w:val="24"/>
              </w:rPr>
              <w:t>1</w:t>
            </w:r>
          </w:p>
        </w:tc>
        <w:tc>
          <w:tcPr>
            <w:tcW w:w="1348" w:type="dxa"/>
            <w:vMerge w:val="restart"/>
            <w:vAlign w:val="center"/>
          </w:tcPr>
          <w:p w14:paraId="6D9232D9">
            <w:pPr>
              <w:keepNext w:val="0"/>
              <w:keepLines w:val="0"/>
              <w:pageBreakBefore w:val="0"/>
              <w:kinsoku/>
              <w:wordWrap/>
              <w:overflowPunct/>
              <w:topLinePunct w:val="0"/>
              <w:autoSpaceDE/>
              <w:autoSpaceDN/>
              <w:bidi w:val="0"/>
              <w:adjustRightInd w:val="0"/>
              <w:snapToGrid w:val="0"/>
              <w:spacing w:line="240" w:lineRule="auto"/>
              <w:jc w:val="center"/>
              <w:rPr>
                <w:rFonts w:ascii="仿宋" w:hAnsi="仿宋" w:eastAsia="仿宋" w:cs="仿宋"/>
                <w:color w:val="auto"/>
                <w:sz w:val="24"/>
                <w:szCs w:val="24"/>
              </w:rPr>
            </w:pPr>
            <w:r>
              <w:rPr>
                <w:rFonts w:hint="eastAsia" w:ascii="仿宋" w:hAnsi="仿宋" w:eastAsia="仿宋" w:cs="仿宋"/>
                <w:color w:val="auto"/>
                <w:sz w:val="24"/>
                <w:szCs w:val="24"/>
              </w:rPr>
              <w:t>技术评审</w:t>
            </w:r>
          </w:p>
        </w:tc>
        <w:tc>
          <w:tcPr>
            <w:tcW w:w="5712" w:type="dxa"/>
            <w:vAlign w:val="center"/>
          </w:tcPr>
          <w:p w14:paraId="322280E0">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确保工程质量的</w:t>
            </w:r>
            <w:r>
              <w:rPr>
                <w:rFonts w:hint="eastAsia" w:ascii="仿宋" w:hAnsi="仿宋" w:eastAsia="仿宋" w:cs="仿宋"/>
                <w:color w:val="auto"/>
                <w:sz w:val="24"/>
                <w:szCs w:val="24"/>
                <w:highlight w:val="none"/>
              </w:rPr>
              <w:t>技术</w:t>
            </w:r>
            <w:r>
              <w:rPr>
                <w:rFonts w:hint="eastAsia" w:ascii="仿宋" w:hAnsi="仿宋" w:eastAsia="仿宋" w:cs="仿宋"/>
                <w:color w:val="auto"/>
                <w:sz w:val="24"/>
                <w:szCs w:val="24"/>
              </w:rPr>
              <w:t>组织措施（</w:t>
            </w:r>
            <w:r>
              <w:rPr>
                <w:rFonts w:hint="eastAsia" w:ascii="仿宋" w:hAnsi="仿宋" w:eastAsia="仿宋" w:cs="仿宋"/>
                <w:color w:val="auto"/>
                <w:sz w:val="24"/>
                <w:szCs w:val="24"/>
                <w:lang w:eastAsia="zh-CN"/>
              </w:rPr>
              <w:t>6分</w:t>
            </w:r>
            <w:r>
              <w:rPr>
                <w:rFonts w:hint="eastAsia" w:ascii="仿宋" w:hAnsi="仿宋" w:eastAsia="仿宋" w:cs="仿宋"/>
                <w:color w:val="auto"/>
                <w:sz w:val="24"/>
                <w:szCs w:val="24"/>
              </w:rPr>
              <w:t>）</w:t>
            </w:r>
          </w:p>
          <w:p w14:paraId="38ADAC72">
            <w:pPr>
              <w:pStyle w:val="33"/>
              <w:keepNext w:val="0"/>
              <w:keepLines w:val="0"/>
              <w:pageBreakBefore w:val="0"/>
              <w:kinsoku/>
              <w:wordWrap/>
              <w:overflowPunct/>
              <w:topLinePunct w:val="0"/>
              <w:autoSpaceDE/>
              <w:autoSpaceDN/>
              <w:bidi w:val="0"/>
              <w:spacing w:line="240" w:lineRule="auto"/>
              <w:rPr>
                <w:rFonts w:hint="default"/>
                <w:color w:val="auto"/>
                <w:sz w:val="24"/>
                <w:szCs w:val="24"/>
                <w:lang w:val="en-US"/>
              </w:rPr>
            </w:pPr>
            <w:r>
              <w:rPr>
                <w:rFonts w:hint="eastAsia" w:ascii="仿宋" w:hAnsi="仿宋" w:eastAsia="仿宋" w:cs="仿宋"/>
                <w:color w:val="auto"/>
                <w:kern w:val="2"/>
                <w:sz w:val="24"/>
                <w:szCs w:val="24"/>
                <w:lang w:val="en-US" w:eastAsia="zh-CN" w:bidi="ar-SA"/>
              </w:rPr>
              <w:t>包括技术措施，质量保证措施，人员的管理，施工生产和进度安排等。内容完整、编制合理得6分，内容完整、编制基本合理得4分，内容不完整、编制不合理得2分，未提供不得分。</w:t>
            </w:r>
          </w:p>
        </w:tc>
        <w:tc>
          <w:tcPr>
            <w:tcW w:w="898" w:type="dxa"/>
            <w:vMerge w:val="restart"/>
            <w:vAlign w:val="center"/>
          </w:tcPr>
          <w:p w14:paraId="7AB31AF9">
            <w:pPr>
              <w:keepNext w:val="0"/>
              <w:keepLines w:val="0"/>
              <w:pageBreakBefore w:val="0"/>
              <w:kinsoku/>
              <w:wordWrap/>
              <w:overflowPunct/>
              <w:topLinePunct w:val="0"/>
              <w:autoSpaceDE/>
              <w:autoSpaceDN/>
              <w:bidi w:val="0"/>
              <w:adjustRightInd w:val="0"/>
              <w:snapToGrid w:val="0"/>
              <w:spacing w:line="240" w:lineRule="auto"/>
              <w:jc w:val="cente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60</w:t>
            </w:r>
          </w:p>
        </w:tc>
      </w:tr>
      <w:tr w14:paraId="7B9E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50" w:type="dxa"/>
            <w:vMerge w:val="continue"/>
            <w:vAlign w:val="center"/>
          </w:tcPr>
          <w:p w14:paraId="731C3DC1">
            <w:pPr>
              <w:keepNext w:val="0"/>
              <w:keepLines w:val="0"/>
              <w:pageBreakBefore w:val="0"/>
              <w:kinsoku/>
              <w:wordWrap/>
              <w:overflowPunct/>
              <w:topLinePunct w:val="0"/>
              <w:autoSpaceDE/>
              <w:autoSpaceDN/>
              <w:bidi w:val="0"/>
              <w:spacing w:line="240" w:lineRule="auto"/>
              <w:jc w:val="center"/>
              <w:rPr>
                <w:rFonts w:ascii="仿宋" w:hAnsi="仿宋" w:eastAsia="仿宋" w:cs="仿宋"/>
                <w:color w:val="auto"/>
                <w:sz w:val="24"/>
                <w:szCs w:val="24"/>
              </w:rPr>
            </w:pPr>
          </w:p>
        </w:tc>
        <w:tc>
          <w:tcPr>
            <w:tcW w:w="1348" w:type="dxa"/>
            <w:vMerge w:val="continue"/>
          </w:tcPr>
          <w:p w14:paraId="7E89D574">
            <w:pPr>
              <w:keepNext w:val="0"/>
              <w:keepLines w:val="0"/>
              <w:pageBreakBefore w:val="0"/>
              <w:kinsoku/>
              <w:wordWrap/>
              <w:overflowPunct/>
              <w:topLinePunct w:val="0"/>
              <w:autoSpaceDE/>
              <w:autoSpaceDN/>
              <w:bidi w:val="0"/>
              <w:adjustRightInd w:val="0"/>
              <w:snapToGrid w:val="0"/>
              <w:spacing w:line="240" w:lineRule="auto"/>
              <w:jc w:val="center"/>
              <w:rPr>
                <w:rFonts w:ascii="仿宋" w:hAnsi="仿宋" w:eastAsia="仿宋" w:cs="仿宋"/>
                <w:color w:val="auto"/>
                <w:sz w:val="24"/>
                <w:szCs w:val="24"/>
              </w:rPr>
            </w:pPr>
          </w:p>
        </w:tc>
        <w:tc>
          <w:tcPr>
            <w:tcW w:w="5712" w:type="dxa"/>
            <w:vAlign w:val="center"/>
          </w:tcPr>
          <w:p w14:paraId="24F6ADC4">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确保安全生产的</w:t>
            </w:r>
            <w:r>
              <w:rPr>
                <w:rFonts w:hint="eastAsia" w:ascii="仿宋" w:hAnsi="仿宋" w:eastAsia="仿宋" w:cs="仿宋"/>
                <w:color w:val="auto"/>
                <w:sz w:val="24"/>
                <w:szCs w:val="24"/>
                <w:highlight w:val="none"/>
              </w:rPr>
              <w:t>技术</w:t>
            </w:r>
            <w:r>
              <w:rPr>
                <w:rFonts w:hint="eastAsia" w:ascii="仿宋" w:hAnsi="仿宋" w:eastAsia="仿宋" w:cs="仿宋"/>
                <w:color w:val="auto"/>
                <w:sz w:val="24"/>
                <w:szCs w:val="24"/>
              </w:rPr>
              <w:t>组织措施（</w:t>
            </w:r>
            <w:r>
              <w:rPr>
                <w:rFonts w:hint="eastAsia" w:ascii="仿宋" w:hAnsi="仿宋" w:eastAsia="仿宋" w:cs="仿宋"/>
                <w:color w:val="auto"/>
                <w:sz w:val="24"/>
                <w:szCs w:val="24"/>
                <w:lang w:eastAsia="zh-CN"/>
              </w:rPr>
              <w:t>6分</w:t>
            </w:r>
            <w:r>
              <w:rPr>
                <w:rFonts w:hint="eastAsia" w:ascii="仿宋" w:hAnsi="仿宋" w:eastAsia="仿宋" w:cs="仿宋"/>
                <w:color w:val="auto"/>
                <w:sz w:val="24"/>
                <w:szCs w:val="24"/>
              </w:rPr>
              <w:t>）</w:t>
            </w:r>
          </w:p>
          <w:p w14:paraId="39806DC9">
            <w:pPr>
              <w:pStyle w:val="33"/>
              <w:keepNext w:val="0"/>
              <w:keepLines w:val="0"/>
              <w:pageBreakBefore w:val="0"/>
              <w:kinsoku/>
              <w:wordWrap/>
              <w:overflowPunct/>
              <w:topLinePunct w:val="0"/>
              <w:autoSpaceDE/>
              <w:autoSpaceDN/>
              <w:bidi w:val="0"/>
              <w:spacing w:line="240" w:lineRule="auto"/>
              <w:rPr>
                <w:color w:val="auto"/>
                <w:sz w:val="24"/>
                <w:szCs w:val="24"/>
              </w:rPr>
            </w:pPr>
            <w:r>
              <w:rPr>
                <w:rFonts w:hint="eastAsia" w:ascii="仿宋" w:hAnsi="仿宋" w:eastAsia="仿宋" w:cs="仿宋"/>
                <w:color w:val="auto"/>
                <w:kern w:val="2"/>
                <w:sz w:val="24"/>
                <w:szCs w:val="24"/>
                <w:lang w:val="en-US" w:eastAsia="zh-CN" w:bidi="ar-SA"/>
              </w:rPr>
              <w:t>包括安全生产责任制度，安全教育培训制度健全，安全生产管理机构，安全生产规章制度和操作规程等。内容完整、编制合理得6分，内容完整、编制基本合理得4分，内容不完整、编制不合理得2分，未提供不得分。</w:t>
            </w:r>
          </w:p>
        </w:tc>
        <w:tc>
          <w:tcPr>
            <w:tcW w:w="898" w:type="dxa"/>
            <w:vMerge w:val="continue"/>
            <w:vAlign w:val="center"/>
          </w:tcPr>
          <w:p w14:paraId="628F9053">
            <w:pPr>
              <w:keepNext w:val="0"/>
              <w:keepLines w:val="0"/>
              <w:pageBreakBefore w:val="0"/>
              <w:kinsoku/>
              <w:wordWrap/>
              <w:overflowPunct/>
              <w:topLinePunct w:val="0"/>
              <w:autoSpaceDE/>
              <w:autoSpaceDN/>
              <w:bidi w:val="0"/>
              <w:adjustRightInd w:val="0"/>
              <w:snapToGrid w:val="0"/>
              <w:spacing w:line="240" w:lineRule="auto"/>
              <w:jc w:val="center"/>
              <w:rPr>
                <w:rFonts w:ascii="仿宋" w:hAnsi="仿宋" w:eastAsia="仿宋" w:cs="仿宋"/>
                <w:b w:val="0"/>
                <w:bCs/>
                <w:color w:val="auto"/>
                <w:sz w:val="24"/>
                <w:szCs w:val="24"/>
              </w:rPr>
            </w:pPr>
          </w:p>
        </w:tc>
      </w:tr>
      <w:tr w14:paraId="3D90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50" w:type="dxa"/>
            <w:vMerge w:val="continue"/>
            <w:vAlign w:val="center"/>
          </w:tcPr>
          <w:p w14:paraId="4C8D3DCB">
            <w:pPr>
              <w:keepNext w:val="0"/>
              <w:keepLines w:val="0"/>
              <w:pageBreakBefore w:val="0"/>
              <w:kinsoku/>
              <w:wordWrap/>
              <w:overflowPunct/>
              <w:topLinePunct w:val="0"/>
              <w:autoSpaceDE/>
              <w:autoSpaceDN/>
              <w:bidi w:val="0"/>
              <w:spacing w:line="240" w:lineRule="auto"/>
              <w:jc w:val="center"/>
              <w:rPr>
                <w:rFonts w:ascii="仿宋" w:hAnsi="仿宋" w:eastAsia="仿宋" w:cs="仿宋"/>
                <w:color w:val="auto"/>
                <w:sz w:val="24"/>
                <w:szCs w:val="24"/>
              </w:rPr>
            </w:pPr>
          </w:p>
        </w:tc>
        <w:tc>
          <w:tcPr>
            <w:tcW w:w="1348" w:type="dxa"/>
            <w:vMerge w:val="continue"/>
            <w:vAlign w:val="center"/>
          </w:tcPr>
          <w:p w14:paraId="09F50BF8">
            <w:pPr>
              <w:keepNext w:val="0"/>
              <w:keepLines w:val="0"/>
              <w:pageBreakBefore w:val="0"/>
              <w:kinsoku/>
              <w:wordWrap/>
              <w:overflowPunct/>
              <w:topLinePunct w:val="0"/>
              <w:autoSpaceDE/>
              <w:autoSpaceDN/>
              <w:bidi w:val="0"/>
              <w:adjustRightInd w:val="0"/>
              <w:snapToGrid w:val="0"/>
              <w:spacing w:line="240" w:lineRule="auto"/>
              <w:jc w:val="center"/>
              <w:rPr>
                <w:rFonts w:ascii="仿宋" w:hAnsi="仿宋" w:eastAsia="仿宋" w:cs="仿宋"/>
                <w:color w:val="auto"/>
                <w:sz w:val="24"/>
                <w:szCs w:val="24"/>
              </w:rPr>
            </w:pPr>
          </w:p>
        </w:tc>
        <w:tc>
          <w:tcPr>
            <w:tcW w:w="5712" w:type="dxa"/>
            <w:vAlign w:val="center"/>
          </w:tcPr>
          <w:p w14:paraId="76E6439E">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确保文明施工的技术组织措施及环境保护措施（</w:t>
            </w:r>
            <w:r>
              <w:rPr>
                <w:rFonts w:hint="eastAsia" w:ascii="仿宋" w:hAnsi="仿宋" w:eastAsia="仿宋" w:cs="仿宋"/>
                <w:color w:val="auto"/>
                <w:sz w:val="24"/>
                <w:szCs w:val="24"/>
                <w:lang w:eastAsia="zh-CN"/>
              </w:rPr>
              <w:t>6分</w:t>
            </w:r>
            <w:r>
              <w:rPr>
                <w:rFonts w:hint="eastAsia" w:ascii="仿宋" w:hAnsi="仿宋" w:eastAsia="仿宋" w:cs="仿宋"/>
                <w:color w:val="auto"/>
                <w:sz w:val="24"/>
                <w:szCs w:val="24"/>
              </w:rPr>
              <w:t>）</w:t>
            </w:r>
          </w:p>
          <w:p w14:paraId="64D71AA3">
            <w:pPr>
              <w:pStyle w:val="33"/>
              <w:keepNext w:val="0"/>
              <w:keepLines w:val="0"/>
              <w:pageBreakBefore w:val="0"/>
              <w:kinsoku/>
              <w:wordWrap/>
              <w:overflowPunct/>
              <w:topLinePunct w:val="0"/>
              <w:autoSpaceDE/>
              <w:autoSpaceDN/>
              <w:bidi w:val="0"/>
              <w:spacing w:line="240" w:lineRule="auto"/>
              <w:rPr>
                <w:color w:val="auto"/>
                <w:sz w:val="24"/>
                <w:szCs w:val="24"/>
              </w:rPr>
            </w:pPr>
            <w:r>
              <w:rPr>
                <w:rFonts w:hint="eastAsia" w:ascii="仿宋" w:hAnsi="仿宋" w:eastAsia="仿宋" w:cs="仿宋"/>
                <w:color w:val="auto"/>
                <w:kern w:val="2"/>
                <w:sz w:val="24"/>
                <w:szCs w:val="24"/>
                <w:lang w:val="en-US" w:eastAsia="zh-CN" w:bidi="ar-SA"/>
              </w:rPr>
              <w:t>包括施工噪音控制方案，尘粉飞扬控制方案，环境保护、环境卫生管理制度，建筑垃圾处理方案等。内容完整、编制合理得6分，内容完整、编制基本合理得4分，内容不完整、编制不合理得2分，未提供不得分。</w:t>
            </w:r>
          </w:p>
        </w:tc>
        <w:tc>
          <w:tcPr>
            <w:tcW w:w="898" w:type="dxa"/>
            <w:vMerge w:val="continue"/>
            <w:vAlign w:val="center"/>
          </w:tcPr>
          <w:p w14:paraId="35B14FD8">
            <w:pPr>
              <w:keepNext w:val="0"/>
              <w:keepLines w:val="0"/>
              <w:pageBreakBefore w:val="0"/>
              <w:kinsoku/>
              <w:wordWrap/>
              <w:overflowPunct/>
              <w:topLinePunct w:val="0"/>
              <w:autoSpaceDE/>
              <w:autoSpaceDN/>
              <w:bidi w:val="0"/>
              <w:adjustRightInd w:val="0"/>
              <w:snapToGrid w:val="0"/>
              <w:spacing w:line="240" w:lineRule="auto"/>
              <w:jc w:val="center"/>
              <w:rPr>
                <w:rFonts w:ascii="仿宋" w:hAnsi="仿宋" w:eastAsia="仿宋" w:cs="仿宋"/>
                <w:b w:val="0"/>
                <w:bCs/>
                <w:color w:val="auto"/>
                <w:sz w:val="24"/>
                <w:szCs w:val="24"/>
              </w:rPr>
            </w:pPr>
          </w:p>
        </w:tc>
      </w:tr>
      <w:tr w14:paraId="3E12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50" w:type="dxa"/>
            <w:vMerge w:val="continue"/>
            <w:vAlign w:val="center"/>
          </w:tcPr>
          <w:p w14:paraId="787B4736">
            <w:pPr>
              <w:keepNext w:val="0"/>
              <w:keepLines w:val="0"/>
              <w:pageBreakBefore w:val="0"/>
              <w:kinsoku/>
              <w:wordWrap/>
              <w:overflowPunct/>
              <w:topLinePunct w:val="0"/>
              <w:autoSpaceDE/>
              <w:autoSpaceDN/>
              <w:bidi w:val="0"/>
              <w:spacing w:line="240" w:lineRule="auto"/>
              <w:jc w:val="center"/>
              <w:rPr>
                <w:rFonts w:ascii="仿宋" w:hAnsi="仿宋" w:eastAsia="仿宋" w:cs="仿宋"/>
                <w:color w:val="auto"/>
                <w:sz w:val="24"/>
                <w:szCs w:val="24"/>
              </w:rPr>
            </w:pPr>
          </w:p>
        </w:tc>
        <w:tc>
          <w:tcPr>
            <w:tcW w:w="1348" w:type="dxa"/>
            <w:vMerge w:val="continue"/>
            <w:vAlign w:val="center"/>
          </w:tcPr>
          <w:p w14:paraId="3AB5570D">
            <w:pPr>
              <w:keepNext w:val="0"/>
              <w:keepLines w:val="0"/>
              <w:pageBreakBefore w:val="0"/>
              <w:kinsoku/>
              <w:wordWrap/>
              <w:overflowPunct/>
              <w:topLinePunct w:val="0"/>
              <w:autoSpaceDE/>
              <w:autoSpaceDN/>
              <w:bidi w:val="0"/>
              <w:adjustRightInd w:val="0"/>
              <w:snapToGrid w:val="0"/>
              <w:spacing w:line="240" w:lineRule="auto"/>
              <w:jc w:val="center"/>
              <w:rPr>
                <w:rFonts w:ascii="仿宋" w:hAnsi="仿宋" w:eastAsia="仿宋" w:cs="仿宋"/>
                <w:b/>
                <w:color w:val="auto"/>
                <w:sz w:val="24"/>
                <w:szCs w:val="24"/>
              </w:rPr>
            </w:pPr>
          </w:p>
        </w:tc>
        <w:tc>
          <w:tcPr>
            <w:tcW w:w="5712" w:type="dxa"/>
            <w:vAlign w:val="center"/>
          </w:tcPr>
          <w:p w14:paraId="7AC35AAD">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确保工期的技术组织措施</w:t>
            </w:r>
            <w:r>
              <w:rPr>
                <w:rFonts w:hint="eastAsia" w:ascii="仿宋" w:hAnsi="仿宋" w:eastAsia="仿宋" w:cs="仿宋"/>
                <w:color w:val="auto"/>
                <w:sz w:val="24"/>
                <w:szCs w:val="24"/>
                <w:lang w:eastAsia="zh-CN"/>
              </w:rPr>
              <w:t>（6分）</w:t>
            </w:r>
          </w:p>
          <w:p w14:paraId="44FADC11">
            <w:pPr>
              <w:pStyle w:val="33"/>
              <w:keepNext w:val="0"/>
              <w:keepLines w:val="0"/>
              <w:pageBreakBefore w:val="0"/>
              <w:kinsoku/>
              <w:wordWrap/>
              <w:overflowPunct/>
              <w:topLinePunct w:val="0"/>
              <w:autoSpaceDE/>
              <w:autoSpaceDN/>
              <w:bidi w:val="0"/>
              <w:spacing w:line="240" w:lineRule="auto"/>
              <w:rPr>
                <w:rFonts w:hint="eastAsia"/>
                <w:color w:val="auto"/>
                <w:sz w:val="24"/>
                <w:szCs w:val="24"/>
                <w:lang w:eastAsia="zh-CN"/>
              </w:rPr>
            </w:pPr>
            <w:r>
              <w:rPr>
                <w:rFonts w:hint="eastAsia" w:ascii="仿宋" w:hAnsi="仿宋" w:eastAsia="仿宋" w:cs="仿宋"/>
                <w:color w:val="auto"/>
                <w:kern w:val="2"/>
                <w:sz w:val="24"/>
                <w:szCs w:val="24"/>
                <w:lang w:val="en-US" w:eastAsia="zh-CN" w:bidi="ar-SA"/>
              </w:rPr>
              <w:t>包括工期进度计划，资源管理等。内容完整、编制合理得6分，内容完整、编制基本合理得4分，内容不完整、编制不合理得2分，未提供不得分。</w:t>
            </w:r>
          </w:p>
        </w:tc>
        <w:tc>
          <w:tcPr>
            <w:tcW w:w="898" w:type="dxa"/>
            <w:vMerge w:val="continue"/>
            <w:vAlign w:val="center"/>
          </w:tcPr>
          <w:p w14:paraId="0A7C48D7">
            <w:pPr>
              <w:keepNext w:val="0"/>
              <w:keepLines w:val="0"/>
              <w:pageBreakBefore w:val="0"/>
              <w:kinsoku/>
              <w:wordWrap/>
              <w:overflowPunct/>
              <w:topLinePunct w:val="0"/>
              <w:autoSpaceDE/>
              <w:autoSpaceDN/>
              <w:bidi w:val="0"/>
              <w:adjustRightInd w:val="0"/>
              <w:snapToGrid w:val="0"/>
              <w:spacing w:line="240" w:lineRule="auto"/>
              <w:jc w:val="center"/>
              <w:rPr>
                <w:rFonts w:ascii="仿宋" w:hAnsi="仿宋" w:eastAsia="仿宋" w:cs="仿宋"/>
                <w:b w:val="0"/>
                <w:bCs/>
                <w:color w:val="auto"/>
                <w:sz w:val="24"/>
                <w:szCs w:val="24"/>
              </w:rPr>
            </w:pPr>
          </w:p>
        </w:tc>
      </w:tr>
      <w:tr w14:paraId="09B8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850" w:type="dxa"/>
            <w:vMerge w:val="continue"/>
            <w:vAlign w:val="center"/>
          </w:tcPr>
          <w:p w14:paraId="6A6CFB20">
            <w:pPr>
              <w:keepNext w:val="0"/>
              <w:keepLines w:val="0"/>
              <w:pageBreakBefore w:val="0"/>
              <w:kinsoku/>
              <w:wordWrap/>
              <w:overflowPunct/>
              <w:topLinePunct w:val="0"/>
              <w:autoSpaceDE/>
              <w:autoSpaceDN/>
              <w:bidi w:val="0"/>
              <w:spacing w:line="240" w:lineRule="auto"/>
              <w:jc w:val="center"/>
              <w:rPr>
                <w:rFonts w:ascii="仿宋" w:hAnsi="仿宋" w:eastAsia="仿宋" w:cs="仿宋"/>
                <w:color w:val="auto"/>
                <w:sz w:val="24"/>
                <w:szCs w:val="24"/>
              </w:rPr>
            </w:pPr>
          </w:p>
        </w:tc>
        <w:tc>
          <w:tcPr>
            <w:tcW w:w="1348" w:type="dxa"/>
            <w:vMerge w:val="continue"/>
            <w:vAlign w:val="center"/>
          </w:tcPr>
          <w:p w14:paraId="0BDDEBCB">
            <w:pPr>
              <w:keepNext w:val="0"/>
              <w:keepLines w:val="0"/>
              <w:pageBreakBefore w:val="0"/>
              <w:kinsoku/>
              <w:wordWrap/>
              <w:overflowPunct/>
              <w:topLinePunct w:val="0"/>
              <w:autoSpaceDE/>
              <w:autoSpaceDN/>
              <w:bidi w:val="0"/>
              <w:adjustRightInd w:val="0"/>
              <w:snapToGrid w:val="0"/>
              <w:spacing w:line="240" w:lineRule="auto"/>
              <w:jc w:val="center"/>
              <w:rPr>
                <w:rFonts w:ascii="仿宋" w:hAnsi="仿宋" w:eastAsia="仿宋" w:cs="仿宋"/>
                <w:b/>
                <w:color w:val="auto"/>
                <w:sz w:val="24"/>
                <w:szCs w:val="24"/>
              </w:rPr>
            </w:pPr>
          </w:p>
        </w:tc>
        <w:tc>
          <w:tcPr>
            <w:tcW w:w="5712" w:type="dxa"/>
            <w:vAlign w:val="center"/>
          </w:tcPr>
          <w:p w14:paraId="19D45B0B">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施工方案和项目经理部组成人员</w:t>
            </w:r>
            <w:r>
              <w:rPr>
                <w:rFonts w:hint="eastAsia" w:ascii="仿宋" w:hAnsi="仿宋" w:eastAsia="仿宋" w:cs="仿宋"/>
                <w:color w:val="auto"/>
                <w:sz w:val="24"/>
                <w:szCs w:val="24"/>
                <w:lang w:eastAsia="zh-CN"/>
              </w:rPr>
              <w:t>（6分）</w:t>
            </w:r>
          </w:p>
          <w:p w14:paraId="17AE758B">
            <w:pPr>
              <w:pStyle w:val="33"/>
              <w:keepNext w:val="0"/>
              <w:keepLines w:val="0"/>
              <w:pageBreakBefore w:val="0"/>
              <w:kinsoku/>
              <w:wordWrap/>
              <w:overflowPunct/>
              <w:topLinePunct w:val="0"/>
              <w:autoSpaceDE/>
              <w:autoSpaceDN/>
              <w:bidi w:val="0"/>
              <w:spacing w:line="240" w:lineRule="auto"/>
              <w:rPr>
                <w:rFonts w:hint="eastAsia"/>
                <w:color w:val="auto"/>
                <w:sz w:val="24"/>
                <w:szCs w:val="24"/>
                <w:lang w:eastAsia="zh-CN"/>
              </w:rPr>
            </w:pPr>
            <w:r>
              <w:rPr>
                <w:rFonts w:hint="eastAsia" w:ascii="仿宋" w:hAnsi="仿宋" w:eastAsia="仿宋" w:cs="仿宋"/>
                <w:color w:val="auto"/>
                <w:kern w:val="2"/>
                <w:sz w:val="24"/>
                <w:szCs w:val="24"/>
                <w:lang w:val="en-US" w:eastAsia="zh-CN" w:bidi="ar-SA"/>
              </w:rPr>
              <w:t>包括施工方案，施工准备与资源配置计划‌，项目部人员组成方案，应急救援预案等。内容完整、编制合理得6分，内容完整、编制基本合理得4分，内容不完整、编制不合理得2分，未提供不得分。</w:t>
            </w:r>
          </w:p>
        </w:tc>
        <w:tc>
          <w:tcPr>
            <w:tcW w:w="898" w:type="dxa"/>
            <w:vMerge w:val="continue"/>
            <w:vAlign w:val="center"/>
          </w:tcPr>
          <w:p w14:paraId="4F025084">
            <w:pPr>
              <w:keepNext w:val="0"/>
              <w:keepLines w:val="0"/>
              <w:pageBreakBefore w:val="0"/>
              <w:kinsoku/>
              <w:wordWrap/>
              <w:overflowPunct/>
              <w:topLinePunct w:val="0"/>
              <w:autoSpaceDE/>
              <w:autoSpaceDN/>
              <w:bidi w:val="0"/>
              <w:adjustRightInd w:val="0"/>
              <w:snapToGrid w:val="0"/>
              <w:spacing w:line="240" w:lineRule="auto"/>
              <w:jc w:val="center"/>
              <w:rPr>
                <w:rFonts w:ascii="仿宋" w:hAnsi="仿宋" w:eastAsia="仿宋" w:cs="仿宋"/>
                <w:b w:val="0"/>
                <w:bCs/>
                <w:color w:val="auto"/>
                <w:sz w:val="24"/>
                <w:szCs w:val="24"/>
              </w:rPr>
            </w:pPr>
          </w:p>
        </w:tc>
      </w:tr>
      <w:tr w14:paraId="084A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50" w:type="dxa"/>
            <w:vMerge w:val="continue"/>
            <w:vAlign w:val="center"/>
          </w:tcPr>
          <w:p w14:paraId="3DD875B4">
            <w:pPr>
              <w:keepNext w:val="0"/>
              <w:keepLines w:val="0"/>
              <w:pageBreakBefore w:val="0"/>
              <w:kinsoku/>
              <w:wordWrap/>
              <w:overflowPunct/>
              <w:topLinePunct w:val="0"/>
              <w:autoSpaceDE/>
              <w:autoSpaceDN/>
              <w:bidi w:val="0"/>
              <w:spacing w:line="240" w:lineRule="auto"/>
              <w:jc w:val="center"/>
              <w:rPr>
                <w:rFonts w:ascii="仿宋" w:hAnsi="仿宋" w:eastAsia="仿宋" w:cs="仿宋"/>
                <w:color w:val="auto"/>
                <w:sz w:val="24"/>
                <w:szCs w:val="24"/>
              </w:rPr>
            </w:pPr>
          </w:p>
        </w:tc>
        <w:tc>
          <w:tcPr>
            <w:tcW w:w="1348" w:type="dxa"/>
            <w:vMerge w:val="continue"/>
            <w:vAlign w:val="center"/>
          </w:tcPr>
          <w:p w14:paraId="75FC0D11">
            <w:pPr>
              <w:keepNext w:val="0"/>
              <w:keepLines w:val="0"/>
              <w:pageBreakBefore w:val="0"/>
              <w:kinsoku/>
              <w:wordWrap/>
              <w:overflowPunct/>
              <w:topLinePunct w:val="0"/>
              <w:autoSpaceDE/>
              <w:autoSpaceDN/>
              <w:bidi w:val="0"/>
              <w:adjustRightInd w:val="0"/>
              <w:snapToGrid w:val="0"/>
              <w:spacing w:line="240" w:lineRule="auto"/>
              <w:jc w:val="center"/>
              <w:rPr>
                <w:rFonts w:ascii="仿宋" w:hAnsi="仿宋" w:eastAsia="仿宋" w:cs="仿宋"/>
                <w:b/>
                <w:color w:val="auto"/>
                <w:sz w:val="24"/>
                <w:szCs w:val="24"/>
              </w:rPr>
            </w:pPr>
          </w:p>
        </w:tc>
        <w:tc>
          <w:tcPr>
            <w:tcW w:w="5712" w:type="dxa"/>
            <w:vAlign w:val="center"/>
          </w:tcPr>
          <w:p w14:paraId="126C099A">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施工机械配备和材料投入计划</w:t>
            </w:r>
            <w:r>
              <w:rPr>
                <w:rFonts w:hint="eastAsia" w:ascii="仿宋" w:hAnsi="仿宋" w:eastAsia="仿宋" w:cs="仿宋"/>
                <w:color w:val="auto"/>
                <w:sz w:val="24"/>
                <w:szCs w:val="24"/>
                <w:lang w:eastAsia="zh-CN"/>
              </w:rPr>
              <w:t>（6分）</w:t>
            </w:r>
          </w:p>
          <w:p w14:paraId="2121162F">
            <w:pPr>
              <w:pStyle w:val="33"/>
              <w:keepNext w:val="0"/>
              <w:keepLines w:val="0"/>
              <w:pageBreakBefore w:val="0"/>
              <w:kinsoku/>
              <w:wordWrap/>
              <w:overflowPunct/>
              <w:topLinePunct w:val="0"/>
              <w:autoSpaceDE/>
              <w:autoSpaceDN/>
              <w:bidi w:val="0"/>
              <w:spacing w:line="240" w:lineRule="auto"/>
              <w:rPr>
                <w:rFonts w:hint="eastAsia"/>
                <w:color w:val="auto"/>
                <w:sz w:val="24"/>
                <w:szCs w:val="24"/>
                <w:lang w:eastAsia="zh-CN"/>
              </w:rPr>
            </w:pPr>
            <w:r>
              <w:rPr>
                <w:rFonts w:hint="eastAsia" w:ascii="仿宋" w:hAnsi="仿宋" w:eastAsia="仿宋" w:cs="仿宋"/>
                <w:color w:val="auto"/>
                <w:kern w:val="2"/>
                <w:sz w:val="24"/>
                <w:szCs w:val="24"/>
                <w:lang w:val="en-US" w:eastAsia="zh-CN" w:bidi="ar-SA"/>
              </w:rPr>
              <w:t>包括施工设备，试验、检测仪器设备，材料管理计划，降低成本的措施等。内容完整、编制合理得6分，内容完整、编制基本合理得4分，内容不完整、编制不合理得2分，未提供不得分。</w:t>
            </w:r>
          </w:p>
        </w:tc>
        <w:tc>
          <w:tcPr>
            <w:tcW w:w="898" w:type="dxa"/>
            <w:vMerge w:val="continue"/>
            <w:vAlign w:val="center"/>
          </w:tcPr>
          <w:p w14:paraId="22ECCBF3">
            <w:pPr>
              <w:keepNext w:val="0"/>
              <w:keepLines w:val="0"/>
              <w:pageBreakBefore w:val="0"/>
              <w:kinsoku/>
              <w:wordWrap/>
              <w:overflowPunct/>
              <w:topLinePunct w:val="0"/>
              <w:autoSpaceDE/>
              <w:autoSpaceDN/>
              <w:bidi w:val="0"/>
              <w:adjustRightInd w:val="0"/>
              <w:snapToGrid w:val="0"/>
              <w:spacing w:line="240" w:lineRule="auto"/>
              <w:jc w:val="center"/>
              <w:rPr>
                <w:rFonts w:ascii="仿宋" w:hAnsi="仿宋" w:eastAsia="仿宋" w:cs="仿宋"/>
                <w:b w:val="0"/>
                <w:bCs/>
                <w:color w:val="auto"/>
                <w:sz w:val="24"/>
                <w:szCs w:val="24"/>
              </w:rPr>
            </w:pPr>
          </w:p>
        </w:tc>
      </w:tr>
      <w:tr w14:paraId="01D2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0" w:type="dxa"/>
            <w:vMerge w:val="continue"/>
            <w:vAlign w:val="center"/>
          </w:tcPr>
          <w:p w14:paraId="4326D38F">
            <w:pPr>
              <w:keepNext w:val="0"/>
              <w:keepLines w:val="0"/>
              <w:pageBreakBefore w:val="0"/>
              <w:kinsoku/>
              <w:wordWrap/>
              <w:overflowPunct/>
              <w:topLinePunct w:val="0"/>
              <w:autoSpaceDE/>
              <w:autoSpaceDN/>
              <w:bidi w:val="0"/>
              <w:spacing w:line="240" w:lineRule="auto"/>
              <w:jc w:val="center"/>
              <w:rPr>
                <w:rFonts w:ascii="仿宋" w:hAnsi="仿宋" w:eastAsia="仿宋" w:cs="仿宋"/>
                <w:color w:val="auto"/>
                <w:sz w:val="24"/>
                <w:szCs w:val="24"/>
              </w:rPr>
            </w:pPr>
          </w:p>
        </w:tc>
        <w:tc>
          <w:tcPr>
            <w:tcW w:w="1348" w:type="dxa"/>
            <w:vMerge w:val="continue"/>
            <w:vAlign w:val="center"/>
          </w:tcPr>
          <w:p w14:paraId="196692A4">
            <w:pPr>
              <w:keepNext w:val="0"/>
              <w:keepLines w:val="0"/>
              <w:pageBreakBefore w:val="0"/>
              <w:kinsoku/>
              <w:wordWrap/>
              <w:overflowPunct/>
              <w:topLinePunct w:val="0"/>
              <w:autoSpaceDE/>
              <w:autoSpaceDN/>
              <w:bidi w:val="0"/>
              <w:adjustRightInd w:val="0"/>
              <w:snapToGrid w:val="0"/>
              <w:spacing w:line="240" w:lineRule="auto"/>
              <w:jc w:val="center"/>
              <w:rPr>
                <w:rFonts w:ascii="仿宋" w:hAnsi="仿宋" w:eastAsia="仿宋" w:cs="仿宋"/>
                <w:b/>
                <w:color w:val="auto"/>
                <w:sz w:val="24"/>
                <w:szCs w:val="24"/>
              </w:rPr>
            </w:pPr>
          </w:p>
        </w:tc>
        <w:tc>
          <w:tcPr>
            <w:tcW w:w="5712" w:type="dxa"/>
            <w:vAlign w:val="center"/>
          </w:tcPr>
          <w:p w14:paraId="1CA2CF1F">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施工进度表或施工网络图</w:t>
            </w:r>
            <w:r>
              <w:rPr>
                <w:rFonts w:hint="eastAsia" w:ascii="仿宋" w:hAnsi="仿宋" w:eastAsia="仿宋" w:cs="仿宋"/>
                <w:color w:val="auto"/>
                <w:sz w:val="24"/>
                <w:szCs w:val="24"/>
                <w:lang w:eastAsia="zh-CN"/>
              </w:rPr>
              <w:t>（6分）</w:t>
            </w:r>
          </w:p>
          <w:p w14:paraId="4AB0FE88">
            <w:pPr>
              <w:pStyle w:val="33"/>
              <w:keepNext w:val="0"/>
              <w:keepLines w:val="0"/>
              <w:pageBreakBefore w:val="0"/>
              <w:kinsoku/>
              <w:wordWrap/>
              <w:overflowPunct/>
              <w:topLinePunct w:val="0"/>
              <w:autoSpaceDE/>
              <w:autoSpaceDN/>
              <w:bidi w:val="0"/>
              <w:spacing w:line="240" w:lineRule="auto"/>
              <w:rPr>
                <w:rFonts w:hint="eastAsia"/>
                <w:color w:val="auto"/>
                <w:sz w:val="24"/>
                <w:szCs w:val="24"/>
                <w:lang w:eastAsia="zh-CN"/>
              </w:rPr>
            </w:pPr>
            <w:r>
              <w:rPr>
                <w:rFonts w:hint="eastAsia" w:ascii="仿宋" w:hAnsi="仿宋" w:eastAsia="仿宋" w:cs="仿宋"/>
                <w:color w:val="auto"/>
                <w:kern w:val="2"/>
                <w:sz w:val="24"/>
                <w:szCs w:val="24"/>
                <w:lang w:val="en-US" w:eastAsia="zh-CN" w:bidi="ar-SA"/>
              </w:rPr>
              <w:t>包括进度控制措施，</w:t>
            </w:r>
            <w:r>
              <w:rPr>
                <w:rFonts w:hint="eastAsia" w:ascii="仿宋" w:hAnsi="仿宋" w:eastAsia="仿宋" w:cs="仿宋"/>
                <w:color w:val="auto"/>
                <w:sz w:val="24"/>
                <w:szCs w:val="24"/>
              </w:rPr>
              <w:t>施工网络图</w:t>
            </w:r>
            <w:r>
              <w:rPr>
                <w:rFonts w:hint="eastAsia" w:ascii="仿宋" w:hAnsi="仿宋" w:eastAsia="仿宋" w:cs="仿宋"/>
                <w:color w:val="auto"/>
                <w:kern w:val="2"/>
                <w:sz w:val="24"/>
                <w:szCs w:val="24"/>
                <w:lang w:val="en-US" w:eastAsia="zh-CN" w:bidi="ar-SA"/>
              </w:rPr>
              <w:t>等。内容完整、编制合理得6分，内容完整、编制基本合理得4分，内容不完整、编制不合理得2分，未提供不得分。</w:t>
            </w:r>
          </w:p>
        </w:tc>
        <w:tc>
          <w:tcPr>
            <w:tcW w:w="898" w:type="dxa"/>
            <w:vMerge w:val="continue"/>
            <w:vAlign w:val="center"/>
          </w:tcPr>
          <w:p w14:paraId="1FDBB820">
            <w:pPr>
              <w:keepNext w:val="0"/>
              <w:keepLines w:val="0"/>
              <w:pageBreakBefore w:val="0"/>
              <w:kinsoku/>
              <w:wordWrap/>
              <w:overflowPunct/>
              <w:topLinePunct w:val="0"/>
              <w:autoSpaceDE/>
              <w:autoSpaceDN/>
              <w:bidi w:val="0"/>
              <w:adjustRightInd w:val="0"/>
              <w:snapToGrid w:val="0"/>
              <w:spacing w:line="240" w:lineRule="auto"/>
              <w:jc w:val="center"/>
              <w:rPr>
                <w:rFonts w:ascii="仿宋" w:hAnsi="仿宋" w:eastAsia="仿宋" w:cs="仿宋"/>
                <w:b w:val="0"/>
                <w:bCs/>
                <w:color w:val="auto"/>
                <w:sz w:val="24"/>
                <w:szCs w:val="24"/>
              </w:rPr>
            </w:pPr>
          </w:p>
        </w:tc>
      </w:tr>
      <w:tr w14:paraId="5CB8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50" w:type="dxa"/>
            <w:vMerge w:val="continue"/>
            <w:vAlign w:val="center"/>
          </w:tcPr>
          <w:p w14:paraId="0C99FD33">
            <w:pPr>
              <w:keepNext w:val="0"/>
              <w:keepLines w:val="0"/>
              <w:pageBreakBefore w:val="0"/>
              <w:kinsoku/>
              <w:wordWrap/>
              <w:overflowPunct/>
              <w:topLinePunct w:val="0"/>
              <w:autoSpaceDE/>
              <w:autoSpaceDN/>
              <w:bidi w:val="0"/>
              <w:spacing w:line="240" w:lineRule="auto"/>
              <w:jc w:val="center"/>
              <w:rPr>
                <w:rFonts w:ascii="仿宋" w:hAnsi="仿宋" w:eastAsia="仿宋" w:cs="仿宋"/>
                <w:color w:val="auto"/>
                <w:sz w:val="24"/>
                <w:szCs w:val="24"/>
              </w:rPr>
            </w:pPr>
          </w:p>
        </w:tc>
        <w:tc>
          <w:tcPr>
            <w:tcW w:w="1348" w:type="dxa"/>
            <w:vMerge w:val="continue"/>
            <w:vAlign w:val="center"/>
          </w:tcPr>
          <w:p w14:paraId="3C323FBD">
            <w:pPr>
              <w:keepNext w:val="0"/>
              <w:keepLines w:val="0"/>
              <w:pageBreakBefore w:val="0"/>
              <w:kinsoku/>
              <w:wordWrap/>
              <w:overflowPunct/>
              <w:topLinePunct w:val="0"/>
              <w:autoSpaceDE/>
              <w:autoSpaceDN/>
              <w:bidi w:val="0"/>
              <w:adjustRightInd w:val="0"/>
              <w:snapToGrid w:val="0"/>
              <w:spacing w:line="240" w:lineRule="auto"/>
              <w:jc w:val="center"/>
              <w:rPr>
                <w:rFonts w:ascii="仿宋" w:hAnsi="仿宋" w:eastAsia="仿宋" w:cs="仿宋"/>
                <w:b/>
                <w:color w:val="auto"/>
                <w:sz w:val="24"/>
                <w:szCs w:val="24"/>
              </w:rPr>
            </w:pPr>
          </w:p>
        </w:tc>
        <w:tc>
          <w:tcPr>
            <w:tcW w:w="5712" w:type="dxa"/>
            <w:vAlign w:val="center"/>
          </w:tcPr>
          <w:p w14:paraId="4C1BC13F">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劳动力安排计划</w:t>
            </w:r>
            <w:r>
              <w:rPr>
                <w:rFonts w:hint="eastAsia" w:ascii="仿宋" w:hAnsi="仿宋" w:eastAsia="仿宋" w:cs="仿宋"/>
                <w:color w:val="auto"/>
                <w:sz w:val="24"/>
                <w:szCs w:val="24"/>
                <w:lang w:eastAsia="zh-CN"/>
              </w:rPr>
              <w:t>（6分）</w:t>
            </w:r>
          </w:p>
          <w:p w14:paraId="06F4D7F6">
            <w:pPr>
              <w:pStyle w:val="33"/>
              <w:keepNext w:val="0"/>
              <w:keepLines w:val="0"/>
              <w:pageBreakBefore w:val="0"/>
              <w:kinsoku/>
              <w:wordWrap/>
              <w:overflowPunct/>
              <w:topLinePunct w:val="0"/>
              <w:autoSpaceDE/>
              <w:autoSpaceDN/>
              <w:bidi w:val="0"/>
              <w:spacing w:line="240" w:lineRule="auto"/>
              <w:rPr>
                <w:rFonts w:hint="eastAsia"/>
                <w:color w:val="auto"/>
                <w:sz w:val="24"/>
                <w:szCs w:val="24"/>
                <w:lang w:eastAsia="zh-CN"/>
              </w:rPr>
            </w:pPr>
            <w:r>
              <w:rPr>
                <w:rFonts w:hint="eastAsia" w:ascii="仿宋" w:hAnsi="仿宋" w:eastAsia="仿宋" w:cs="仿宋"/>
                <w:color w:val="auto"/>
                <w:kern w:val="2"/>
                <w:sz w:val="24"/>
                <w:szCs w:val="24"/>
                <w:lang w:val="en-US" w:eastAsia="zh-CN" w:bidi="ar-SA"/>
              </w:rPr>
              <w:t>包括施工进度计划保证措施，劳工力安排计划，人员的管理，施工生产和进度安排等。内容完整、编制合理得6分，内容完整、编制基本合理得4分，内容不完整、编制不合理得2分，未提供不得分。</w:t>
            </w:r>
          </w:p>
        </w:tc>
        <w:tc>
          <w:tcPr>
            <w:tcW w:w="898" w:type="dxa"/>
            <w:vMerge w:val="continue"/>
            <w:vAlign w:val="center"/>
          </w:tcPr>
          <w:p w14:paraId="2802376F">
            <w:pPr>
              <w:keepNext w:val="0"/>
              <w:keepLines w:val="0"/>
              <w:pageBreakBefore w:val="0"/>
              <w:kinsoku/>
              <w:wordWrap/>
              <w:overflowPunct/>
              <w:topLinePunct w:val="0"/>
              <w:autoSpaceDE/>
              <w:autoSpaceDN/>
              <w:bidi w:val="0"/>
              <w:adjustRightInd w:val="0"/>
              <w:snapToGrid w:val="0"/>
              <w:spacing w:line="240" w:lineRule="auto"/>
              <w:jc w:val="center"/>
              <w:rPr>
                <w:rFonts w:ascii="仿宋" w:hAnsi="仿宋" w:eastAsia="仿宋" w:cs="仿宋"/>
                <w:b w:val="0"/>
                <w:bCs/>
                <w:color w:val="auto"/>
                <w:sz w:val="24"/>
                <w:szCs w:val="24"/>
              </w:rPr>
            </w:pPr>
          </w:p>
        </w:tc>
      </w:tr>
      <w:tr w14:paraId="0AC2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50" w:type="dxa"/>
            <w:vMerge w:val="continue"/>
            <w:vAlign w:val="center"/>
          </w:tcPr>
          <w:p w14:paraId="028D5676">
            <w:pPr>
              <w:keepNext w:val="0"/>
              <w:keepLines w:val="0"/>
              <w:pageBreakBefore w:val="0"/>
              <w:kinsoku/>
              <w:wordWrap/>
              <w:overflowPunct/>
              <w:topLinePunct w:val="0"/>
              <w:autoSpaceDE/>
              <w:autoSpaceDN/>
              <w:bidi w:val="0"/>
              <w:spacing w:line="240" w:lineRule="auto"/>
              <w:jc w:val="center"/>
              <w:rPr>
                <w:rFonts w:ascii="仿宋" w:hAnsi="仿宋" w:eastAsia="仿宋" w:cs="仿宋"/>
                <w:color w:val="auto"/>
                <w:sz w:val="24"/>
                <w:szCs w:val="24"/>
              </w:rPr>
            </w:pPr>
          </w:p>
        </w:tc>
        <w:tc>
          <w:tcPr>
            <w:tcW w:w="1348" w:type="dxa"/>
            <w:vMerge w:val="continue"/>
            <w:vAlign w:val="center"/>
          </w:tcPr>
          <w:p w14:paraId="3CCBD105">
            <w:pPr>
              <w:keepNext w:val="0"/>
              <w:keepLines w:val="0"/>
              <w:pageBreakBefore w:val="0"/>
              <w:kinsoku/>
              <w:wordWrap/>
              <w:overflowPunct/>
              <w:topLinePunct w:val="0"/>
              <w:autoSpaceDE/>
              <w:autoSpaceDN/>
              <w:bidi w:val="0"/>
              <w:adjustRightInd w:val="0"/>
              <w:snapToGrid w:val="0"/>
              <w:spacing w:line="240" w:lineRule="auto"/>
              <w:jc w:val="center"/>
              <w:rPr>
                <w:rFonts w:ascii="仿宋" w:hAnsi="仿宋" w:eastAsia="仿宋" w:cs="仿宋"/>
                <w:b/>
                <w:color w:val="auto"/>
                <w:sz w:val="24"/>
                <w:szCs w:val="24"/>
              </w:rPr>
            </w:pPr>
          </w:p>
        </w:tc>
        <w:tc>
          <w:tcPr>
            <w:tcW w:w="5712" w:type="dxa"/>
            <w:vAlign w:val="center"/>
          </w:tcPr>
          <w:p w14:paraId="7D7C8443">
            <w:pPr>
              <w:keepNext w:val="0"/>
              <w:keepLines w:val="0"/>
              <w:pageBreakBefore w:val="0"/>
              <w:kinsoku/>
              <w:wordWrap/>
              <w:overflowPunct/>
              <w:topLinePunct w:val="0"/>
              <w:autoSpaceDE/>
              <w:autoSpaceDN/>
              <w:bidi w:val="0"/>
              <w:adjustRightInd w:val="0"/>
              <w:snapToGrid w:val="0"/>
              <w:spacing w:line="24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施工总平面布置</w:t>
            </w:r>
            <w:r>
              <w:rPr>
                <w:rFonts w:hint="eastAsia" w:ascii="仿宋" w:hAnsi="仿宋" w:eastAsia="仿宋" w:cs="仿宋"/>
                <w:color w:val="auto"/>
                <w:sz w:val="24"/>
                <w:szCs w:val="24"/>
                <w:lang w:eastAsia="zh-CN"/>
              </w:rPr>
              <w:t>（6分）</w:t>
            </w:r>
          </w:p>
          <w:p w14:paraId="1D4EAF1F">
            <w:pPr>
              <w:pStyle w:val="33"/>
              <w:keepNext w:val="0"/>
              <w:keepLines w:val="0"/>
              <w:pageBreakBefore w:val="0"/>
              <w:kinsoku/>
              <w:wordWrap/>
              <w:overflowPunct/>
              <w:topLinePunct w:val="0"/>
              <w:autoSpaceDE/>
              <w:autoSpaceDN/>
              <w:bidi w:val="0"/>
              <w:spacing w:line="240" w:lineRule="auto"/>
              <w:rPr>
                <w:rFonts w:hint="eastAsia"/>
                <w:color w:val="auto"/>
                <w:sz w:val="24"/>
                <w:szCs w:val="24"/>
                <w:lang w:eastAsia="zh-CN"/>
              </w:rPr>
            </w:pPr>
            <w:r>
              <w:rPr>
                <w:rFonts w:hint="eastAsia" w:ascii="仿宋" w:hAnsi="仿宋" w:eastAsia="仿宋" w:cs="仿宋"/>
                <w:color w:val="auto"/>
                <w:kern w:val="2"/>
                <w:sz w:val="24"/>
                <w:szCs w:val="24"/>
                <w:lang w:val="en-US" w:eastAsia="zh-CN" w:bidi="ar-SA"/>
              </w:rPr>
              <w:t>包括施工现场平面布置图，临时设施解决方案，扰民问题解决措施等。内容完整、编制合理得6分，内容完整、编制基本合理得4分，内容不完整、编制不合理得2分，未提供不得分。</w:t>
            </w:r>
          </w:p>
        </w:tc>
        <w:tc>
          <w:tcPr>
            <w:tcW w:w="898" w:type="dxa"/>
            <w:vMerge w:val="continue"/>
            <w:vAlign w:val="center"/>
          </w:tcPr>
          <w:p w14:paraId="1AE2B681">
            <w:pPr>
              <w:keepNext w:val="0"/>
              <w:keepLines w:val="0"/>
              <w:pageBreakBefore w:val="0"/>
              <w:kinsoku/>
              <w:wordWrap/>
              <w:overflowPunct/>
              <w:topLinePunct w:val="0"/>
              <w:autoSpaceDE/>
              <w:autoSpaceDN/>
              <w:bidi w:val="0"/>
              <w:adjustRightInd w:val="0"/>
              <w:snapToGrid w:val="0"/>
              <w:spacing w:line="240" w:lineRule="auto"/>
              <w:jc w:val="center"/>
              <w:rPr>
                <w:rFonts w:ascii="仿宋" w:hAnsi="仿宋" w:eastAsia="仿宋" w:cs="仿宋"/>
                <w:b w:val="0"/>
                <w:bCs/>
                <w:color w:val="auto"/>
                <w:sz w:val="24"/>
                <w:szCs w:val="24"/>
              </w:rPr>
            </w:pPr>
          </w:p>
        </w:tc>
      </w:tr>
      <w:tr w14:paraId="5A16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50" w:type="dxa"/>
            <w:vMerge w:val="continue"/>
            <w:vAlign w:val="center"/>
          </w:tcPr>
          <w:p w14:paraId="4FEB7AF8">
            <w:pPr>
              <w:keepNext w:val="0"/>
              <w:keepLines w:val="0"/>
              <w:pageBreakBefore w:val="0"/>
              <w:kinsoku/>
              <w:wordWrap/>
              <w:overflowPunct/>
              <w:topLinePunct w:val="0"/>
              <w:autoSpaceDE/>
              <w:autoSpaceDN/>
              <w:bidi w:val="0"/>
              <w:spacing w:line="240" w:lineRule="auto"/>
              <w:jc w:val="center"/>
              <w:rPr>
                <w:rFonts w:ascii="仿宋" w:hAnsi="仿宋" w:eastAsia="仿宋" w:cs="仿宋"/>
                <w:color w:val="auto"/>
                <w:sz w:val="24"/>
                <w:szCs w:val="24"/>
              </w:rPr>
            </w:pPr>
          </w:p>
        </w:tc>
        <w:tc>
          <w:tcPr>
            <w:tcW w:w="1348" w:type="dxa"/>
            <w:vMerge w:val="continue"/>
            <w:vAlign w:val="center"/>
          </w:tcPr>
          <w:p w14:paraId="47BCDE93">
            <w:pPr>
              <w:keepNext w:val="0"/>
              <w:keepLines w:val="0"/>
              <w:pageBreakBefore w:val="0"/>
              <w:kinsoku/>
              <w:wordWrap/>
              <w:overflowPunct/>
              <w:topLinePunct w:val="0"/>
              <w:autoSpaceDE/>
              <w:autoSpaceDN/>
              <w:bidi w:val="0"/>
              <w:adjustRightInd w:val="0"/>
              <w:snapToGrid w:val="0"/>
              <w:spacing w:line="240" w:lineRule="auto"/>
              <w:jc w:val="center"/>
              <w:rPr>
                <w:rFonts w:ascii="仿宋" w:hAnsi="仿宋" w:eastAsia="仿宋" w:cs="仿宋"/>
                <w:b/>
                <w:color w:val="auto"/>
                <w:sz w:val="24"/>
                <w:szCs w:val="24"/>
              </w:rPr>
            </w:pPr>
          </w:p>
        </w:tc>
        <w:tc>
          <w:tcPr>
            <w:tcW w:w="5712" w:type="dxa"/>
            <w:vAlign w:val="center"/>
          </w:tcPr>
          <w:p w14:paraId="02CA9830">
            <w:pPr>
              <w:keepNext w:val="0"/>
              <w:keepLines w:val="0"/>
              <w:pageBreakBefore w:val="0"/>
              <w:kinsoku/>
              <w:wordWrap/>
              <w:overflowPunct/>
              <w:topLinePunct w:val="0"/>
              <w:autoSpaceDE/>
              <w:autoSpaceDN/>
              <w:bidi w:val="0"/>
              <w:adjustRightInd w:val="0"/>
              <w:snapToGrid w:val="0"/>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新技术、新产品、新工艺、新材料应用</w:t>
            </w:r>
            <w:r>
              <w:rPr>
                <w:rFonts w:hint="eastAsia" w:ascii="仿宋" w:hAnsi="仿宋" w:eastAsia="仿宋" w:cs="仿宋"/>
                <w:color w:val="auto"/>
                <w:sz w:val="24"/>
                <w:szCs w:val="24"/>
                <w:lang w:eastAsia="zh-CN"/>
              </w:rPr>
              <w:t>（6分）</w:t>
            </w:r>
          </w:p>
          <w:p w14:paraId="13783089">
            <w:pPr>
              <w:pStyle w:val="33"/>
              <w:keepNext w:val="0"/>
              <w:keepLines w:val="0"/>
              <w:pageBreakBefore w:val="0"/>
              <w:kinsoku/>
              <w:wordWrap/>
              <w:overflowPunct/>
              <w:topLinePunct w:val="0"/>
              <w:autoSpaceDE/>
              <w:autoSpaceDN/>
              <w:bidi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有应用国家倡导的新工艺新技术得</w:t>
            </w:r>
            <w:bookmarkStart w:id="496" w:name="_GoBack"/>
            <w:bookmarkEnd w:id="496"/>
            <w:r>
              <w:rPr>
                <w:rFonts w:hint="eastAsia" w:ascii="仿宋" w:hAnsi="仿宋" w:eastAsia="仿宋" w:cs="仿宋"/>
                <w:color w:val="auto"/>
                <w:kern w:val="2"/>
                <w:sz w:val="24"/>
                <w:szCs w:val="24"/>
                <w:lang w:val="en-US" w:eastAsia="zh-CN" w:bidi="ar-SA"/>
              </w:rPr>
              <w:t>2分；</w:t>
            </w:r>
          </w:p>
          <w:p w14:paraId="257F65AE">
            <w:pPr>
              <w:pStyle w:val="33"/>
              <w:keepNext w:val="0"/>
              <w:keepLines w:val="0"/>
              <w:pageBreakBefore w:val="0"/>
              <w:kinsoku/>
              <w:wordWrap/>
              <w:overflowPunct/>
              <w:topLinePunct w:val="0"/>
              <w:autoSpaceDE/>
              <w:autoSpaceDN/>
              <w:bidi w:val="0"/>
              <w:spacing w:line="240" w:lineRule="auto"/>
              <w:rPr>
                <w:rFonts w:hint="default"/>
                <w:color w:val="auto"/>
                <w:sz w:val="24"/>
                <w:szCs w:val="24"/>
                <w:lang w:val="en-US" w:eastAsia="zh-CN"/>
              </w:rPr>
            </w:pPr>
            <w:r>
              <w:rPr>
                <w:rFonts w:hint="eastAsia" w:ascii="仿宋" w:hAnsi="仿宋" w:eastAsia="仿宋" w:cs="仿宋"/>
                <w:color w:val="auto"/>
                <w:kern w:val="2"/>
                <w:sz w:val="24"/>
                <w:szCs w:val="24"/>
                <w:lang w:val="en-US" w:eastAsia="zh-CN" w:bidi="ar-SA"/>
              </w:rPr>
              <w:t>新工艺新技术实施方案内容完整详细得4分，新工艺新技术实施方案内容基本完整得1分，否则不得分。</w:t>
            </w:r>
          </w:p>
        </w:tc>
        <w:tc>
          <w:tcPr>
            <w:tcW w:w="898" w:type="dxa"/>
            <w:vMerge w:val="continue"/>
            <w:vAlign w:val="center"/>
          </w:tcPr>
          <w:p w14:paraId="60124C96">
            <w:pPr>
              <w:keepNext w:val="0"/>
              <w:keepLines w:val="0"/>
              <w:pageBreakBefore w:val="0"/>
              <w:kinsoku/>
              <w:wordWrap/>
              <w:overflowPunct/>
              <w:topLinePunct w:val="0"/>
              <w:autoSpaceDE/>
              <w:autoSpaceDN/>
              <w:bidi w:val="0"/>
              <w:adjustRightInd w:val="0"/>
              <w:snapToGrid w:val="0"/>
              <w:spacing w:line="240" w:lineRule="auto"/>
              <w:jc w:val="center"/>
              <w:rPr>
                <w:rFonts w:ascii="仿宋" w:hAnsi="仿宋" w:eastAsia="仿宋" w:cs="仿宋"/>
                <w:b w:val="0"/>
                <w:bCs/>
                <w:color w:val="auto"/>
                <w:sz w:val="24"/>
                <w:szCs w:val="24"/>
              </w:rPr>
            </w:pPr>
          </w:p>
        </w:tc>
      </w:tr>
      <w:tr w14:paraId="311B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850" w:type="dxa"/>
            <w:vAlign w:val="center"/>
          </w:tcPr>
          <w:p w14:paraId="561EA26C">
            <w:pPr>
              <w:keepNext w:val="0"/>
              <w:keepLines w:val="0"/>
              <w:pageBreakBefore w:val="0"/>
              <w:kinsoku/>
              <w:wordWrap/>
              <w:overflowPunct/>
              <w:topLinePunct w:val="0"/>
              <w:autoSpaceDE/>
              <w:autoSpaceDN/>
              <w:bidi w:val="0"/>
              <w:spacing w:line="240" w:lineRule="auto"/>
              <w:jc w:val="center"/>
              <w:rPr>
                <w:rFonts w:ascii="仿宋" w:hAnsi="仿宋" w:eastAsia="仿宋" w:cs="仿宋"/>
                <w:color w:val="auto"/>
                <w:sz w:val="24"/>
                <w:szCs w:val="24"/>
              </w:rPr>
            </w:pPr>
            <w:r>
              <w:rPr>
                <w:rFonts w:hint="eastAsia" w:ascii="仿宋" w:hAnsi="仿宋" w:eastAsia="仿宋" w:cs="仿宋"/>
                <w:color w:val="auto"/>
                <w:sz w:val="24"/>
                <w:szCs w:val="24"/>
              </w:rPr>
              <w:t>2</w:t>
            </w:r>
          </w:p>
        </w:tc>
        <w:tc>
          <w:tcPr>
            <w:tcW w:w="1348" w:type="dxa"/>
            <w:vAlign w:val="center"/>
          </w:tcPr>
          <w:p w14:paraId="76820474">
            <w:pPr>
              <w:keepNext w:val="0"/>
              <w:keepLines w:val="0"/>
              <w:pageBreakBefore w:val="0"/>
              <w:kinsoku/>
              <w:wordWrap/>
              <w:overflowPunct/>
              <w:topLinePunct w:val="0"/>
              <w:autoSpaceDE/>
              <w:autoSpaceDN/>
              <w:bidi w:val="0"/>
              <w:adjustRightInd w:val="0"/>
              <w:snapToGrid w:val="0"/>
              <w:spacing w:line="240" w:lineRule="auto"/>
              <w:jc w:val="center"/>
              <w:rPr>
                <w:rFonts w:ascii="仿宋" w:hAnsi="仿宋" w:eastAsia="仿宋" w:cs="仿宋"/>
                <w:b/>
                <w:color w:val="auto"/>
                <w:sz w:val="24"/>
                <w:szCs w:val="24"/>
              </w:rPr>
            </w:pPr>
            <w:r>
              <w:rPr>
                <w:rFonts w:hint="eastAsia" w:ascii="仿宋" w:hAnsi="仿宋" w:eastAsia="仿宋" w:cs="仿宋"/>
                <w:color w:val="auto"/>
                <w:sz w:val="24"/>
                <w:szCs w:val="24"/>
              </w:rPr>
              <w:t>业绩</w:t>
            </w:r>
          </w:p>
        </w:tc>
        <w:tc>
          <w:tcPr>
            <w:tcW w:w="5712" w:type="dxa"/>
            <w:vAlign w:val="center"/>
          </w:tcPr>
          <w:p w14:paraId="75577728">
            <w:pPr>
              <w:keepNext w:val="0"/>
              <w:keepLines w:val="0"/>
              <w:pageBreakBefore w:val="0"/>
              <w:kinsoku/>
              <w:wordWrap/>
              <w:overflowPunct/>
              <w:topLinePunct w:val="0"/>
              <w:autoSpaceDE/>
              <w:autoSpaceDN/>
              <w:bidi w:val="0"/>
              <w:adjustRightInd w:val="0"/>
              <w:snapToGrid w:val="0"/>
              <w:spacing w:line="240" w:lineRule="auto"/>
              <w:jc w:val="left"/>
              <w:rPr>
                <w:rFonts w:ascii="仿宋" w:hAnsi="仿宋" w:eastAsia="仿宋" w:cs="仿宋"/>
                <w:color w:val="auto"/>
                <w:sz w:val="24"/>
                <w:szCs w:val="24"/>
              </w:rPr>
            </w:pPr>
            <w:r>
              <w:rPr>
                <w:rFonts w:hint="eastAsia" w:ascii="仿宋" w:hAnsi="仿宋" w:eastAsia="仿宋" w:cs="仿宋"/>
                <w:color w:val="auto"/>
                <w:sz w:val="24"/>
                <w:szCs w:val="24"/>
              </w:rPr>
              <w:t>供应商自</w:t>
            </w:r>
            <w:r>
              <w:rPr>
                <w:rFonts w:hint="eastAsia" w:ascii="仿宋" w:hAnsi="仿宋" w:eastAsia="仿宋" w:cs="仿宋"/>
                <w:color w:val="auto"/>
                <w:sz w:val="24"/>
                <w:szCs w:val="24"/>
                <w:lang w:val="en-US" w:eastAsia="zh-CN"/>
              </w:rPr>
              <w:t>2022年至今具有装饰装修工程、给水工程、强电、弱电工程、通风空调工程等类似项目业绩</w:t>
            </w:r>
            <w:r>
              <w:rPr>
                <w:rFonts w:hint="eastAsia" w:ascii="仿宋" w:hAnsi="仿宋" w:eastAsia="仿宋" w:cs="仿宋"/>
                <w:color w:val="auto"/>
                <w:sz w:val="24"/>
                <w:szCs w:val="24"/>
              </w:rPr>
              <w:t>，每提供一份得</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分，以响应文件中合同复印件加盖单位公章为准，满分</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p>
        </w:tc>
        <w:tc>
          <w:tcPr>
            <w:tcW w:w="898" w:type="dxa"/>
            <w:vAlign w:val="center"/>
          </w:tcPr>
          <w:p w14:paraId="5CF8347B">
            <w:pPr>
              <w:keepNext w:val="0"/>
              <w:keepLines w:val="0"/>
              <w:pageBreakBefore w:val="0"/>
              <w:kinsoku/>
              <w:wordWrap/>
              <w:overflowPunct/>
              <w:topLinePunct w:val="0"/>
              <w:autoSpaceDE/>
              <w:autoSpaceDN/>
              <w:bidi w:val="0"/>
              <w:adjustRightInd w:val="0"/>
              <w:snapToGrid w:val="0"/>
              <w:spacing w:line="240" w:lineRule="auto"/>
              <w:jc w:val="cente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w:t>
            </w:r>
          </w:p>
        </w:tc>
      </w:tr>
      <w:tr w14:paraId="4914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850" w:type="dxa"/>
            <w:vAlign w:val="center"/>
          </w:tcPr>
          <w:p w14:paraId="20195398">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48" w:type="dxa"/>
            <w:vAlign w:val="center"/>
          </w:tcPr>
          <w:p w14:paraId="65CCD997">
            <w:pPr>
              <w:keepNext w:val="0"/>
              <w:keepLines w:val="0"/>
              <w:pageBreakBefore w:val="0"/>
              <w:kinsoku/>
              <w:wordWrap/>
              <w:overflowPunct/>
              <w:topLinePunct w:val="0"/>
              <w:autoSpaceDE/>
              <w:autoSpaceDN/>
              <w:bidi w:val="0"/>
              <w:adjustRightInd w:val="0"/>
              <w:snapToGrid w:val="0"/>
              <w:spacing w:line="240" w:lineRule="auto"/>
              <w:jc w:val="center"/>
              <w:rPr>
                <w:rFonts w:hint="eastAsia" w:ascii="仿宋" w:hAnsi="仿宋" w:eastAsia="仿宋" w:cs="仿宋"/>
                <w:color w:val="auto"/>
                <w:sz w:val="24"/>
                <w:szCs w:val="24"/>
              </w:rPr>
            </w:pPr>
            <w:r>
              <w:rPr>
                <w:rFonts w:hint="eastAsia" w:eastAsia="仿宋_GB2312"/>
                <w:color w:val="auto"/>
                <w:sz w:val="24"/>
                <w:szCs w:val="24"/>
                <w:vertAlign w:val="baseline"/>
              </w:rPr>
              <w:t>节能环保</w:t>
            </w:r>
          </w:p>
        </w:tc>
        <w:tc>
          <w:tcPr>
            <w:tcW w:w="5712" w:type="dxa"/>
            <w:vAlign w:val="center"/>
          </w:tcPr>
          <w:p w14:paraId="48904FCC">
            <w:pPr>
              <w:keepNext w:val="0"/>
              <w:keepLines w:val="0"/>
              <w:pageBreakBefore w:val="0"/>
              <w:kinsoku/>
              <w:wordWrap/>
              <w:overflowPunct/>
              <w:topLinePunct w:val="0"/>
              <w:autoSpaceDE/>
              <w:autoSpaceDN/>
              <w:bidi w:val="0"/>
              <w:adjustRightInd w:val="0"/>
              <w:snapToGrid w:val="0"/>
              <w:spacing w:line="240" w:lineRule="auto"/>
              <w:ind w:left="45" w:leftChars="0" w:hanging="45" w:hangingChars="19"/>
              <w:jc w:val="both"/>
              <w:rPr>
                <w:rFonts w:hint="eastAsia" w:ascii="仿宋" w:hAnsi="仿宋" w:eastAsia="仿宋" w:cs="仿宋"/>
                <w:color w:val="auto"/>
                <w:sz w:val="24"/>
                <w:szCs w:val="24"/>
              </w:rPr>
            </w:pPr>
            <w:r>
              <w:rPr>
                <w:rFonts w:hint="eastAsia" w:ascii="仿宋" w:hAnsi="仿宋" w:eastAsia="仿宋" w:cs="仿宋"/>
                <w:color w:val="auto"/>
                <w:sz w:val="24"/>
                <w:szCs w:val="24"/>
              </w:rPr>
              <w:t>供应商拟投入本项目所使用的施工主要材料中的产品属于最新“节能产品政府采购品目清单”或“环境标志产品政府采购品目清单”中并经国家认证，每有一个产品条目加0.5分；提供产品同时属于最新“节能”或“环保”两个品目清单中产品的，每一个产品条目加1.0分；最高不超过</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w:t>
            </w:r>
          </w:p>
          <w:p w14:paraId="6FDB54A5">
            <w:pPr>
              <w:keepNext w:val="0"/>
              <w:keepLines w:val="0"/>
              <w:pageBreakBefore w:val="0"/>
              <w:kinsoku/>
              <w:wordWrap/>
              <w:overflowPunct/>
              <w:topLinePunct w:val="0"/>
              <w:autoSpaceDE/>
              <w:autoSpaceDN/>
              <w:bidi w:val="0"/>
              <w:adjustRightInd w:val="0"/>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评审依据：供应商应提供经国家确定的认证机构出具的节能产品、环境标志产品认证证书复印件或扫描件，且证书在有效期内(强制采购产品除外),否则不得分</w:t>
            </w:r>
            <w:r>
              <w:rPr>
                <w:rFonts w:hint="eastAsia" w:ascii="仿宋" w:hAnsi="仿宋" w:eastAsia="仿宋" w:cs="仿宋"/>
                <w:color w:val="auto"/>
                <w:sz w:val="24"/>
                <w:szCs w:val="24"/>
                <w:lang w:eastAsia="zh-CN"/>
              </w:rPr>
              <w:t>。</w:t>
            </w:r>
          </w:p>
        </w:tc>
        <w:tc>
          <w:tcPr>
            <w:tcW w:w="898" w:type="dxa"/>
            <w:vAlign w:val="center"/>
          </w:tcPr>
          <w:p w14:paraId="1A65E6CA">
            <w:pPr>
              <w:keepNext w:val="0"/>
              <w:keepLines w:val="0"/>
              <w:pageBreakBefore w:val="0"/>
              <w:kinsoku/>
              <w:wordWrap/>
              <w:overflowPunct/>
              <w:topLinePunct w:val="0"/>
              <w:autoSpaceDE/>
              <w:autoSpaceDN/>
              <w:bidi w:val="0"/>
              <w:adjustRightInd w:val="0"/>
              <w:snapToGrid w:val="0"/>
              <w:spacing w:line="240" w:lineRule="auto"/>
              <w:jc w:val="center"/>
              <w:rPr>
                <w:rFonts w:hint="default"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w:t>
            </w:r>
          </w:p>
        </w:tc>
      </w:tr>
      <w:tr w14:paraId="6F68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850" w:type="dxa"/>
            <w:vAlign w:val="center"/>
          </w:tcPr>
          <w:p w14:paraId="38804D33">
            <w:pPr>
              <w:keepNext w:val="0"/>
              <w:keepLines w:val="0"/>
              <w:pageBreakBefore w:val="0"/>
              <w:kinsoku/>
              <w:wordWrap/>
              <w:overflowPunct/>
              <w:topLinePunct w:val="0"/>
              <w:autoSpaceDE/>
              <w:autoSpaceDN/>
              <w:bidi w:val="0"/>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48" w:type="dxa"/>
            <w:vAlign w:val="center"/>
          </w:tcPr>
          <w:p w14:paraId="0C0A4EE7">
            <w:pPr>
              <w:keepNext w:val="0"/>
              <w:keepLines w:val="0"/>
              <w:pageBreakBefore w:val="0"/>
              <w:kinsoku/>
              <w:wordWrap/>
              <w:overflowPunct/>
              <w:topLinePunct w:val="0"/>
              <w:autoSpaceDE/>
              <w:autoSpaceDN/>
              <w:bidi w:val="0"/>
              <w:spacing w:line="240" w:lineRule="auto"/>
              <w:jc w:val="center"/>
              <w:rPr>
                <w:rFonts w:hint="eastAsia" w:eastAsia="仿宋_GB2312"/>
                <w:color w:val="auto"/>
                <w:sz w:val="24"/>
                <w:szCs w:val="24"/>
                <w:vertAlign w:val="baseline"/>
              </w:rPr>
            </w:pPr>
            <w:r>
              <w:rPr>
                <w:rFonts w:hint="eastAsia" w:ascii="仿宋" w:hAnsi="仿宋" w:eastAsia="仿宋" w:cs="仿宋"/>
                <w:color w:val="auto"/>
                <w:sz w:val="24"/>
                <w:szCs w:val="24"/>
              </w:rPr>
              <w:t>质量保修</w:t>
            </w:r>
          </w:p>
        </w:tc>
        <w:tc>
          <w:tcPr>
            <w:tcW w:w="5712" w:type="dxa"/>
            <w:vAlign w:val="center"/>
          </w:tcPr>
          <w:p w14:paraId="28F1040B">
            <w:pPr>
              <w:keepNext w:val="0"/>
              <w:keepLines w:val="0"/>
              <w:pageBreakBefore w:val="0"/>
              <w:kinsoku/>
              <w:wordWrap/>
              <w:overflowPunct/>
              <w:topLinePunct w:val="0"/>
              <w:autoSpaceDE/>
              <w:autoSpaceDN/>
              <w:bidi w:val="0"/>
              <w:adjustRightInd w:val="0"/>
              <w:snapToGrid w:val="0"/>
              <w:spacing w:line="240" w:lineRule="auto"/>
              <w:ind w:left="45" w:leftChars="0" w:hanging="45" w:hangingChars="19"/>
              <w:rPr>
                <w:rFonts w:hint="eastAsia" w:ascii="仿宋" w:hAnsi="仿宋" w:eastAsia="仿宋" w:cs="仿宋"/>
                <w:color w:val="auto"/>
                <w:sz w:val="24"/>
                <w:szCs w:val="24"/>
              </w:rPr>
            </w:pPr>
            <w:r>
              <w:rPr>
                <w:rFonts w:hint="eastAsia" w:ascii="仿宋" w:hAnsi="仿宋" w:eastAsia="仿宋" w:cs="仿宋"/>
                <w:color w:val="auto"/>
                <w:sz w:val="24"/>
                <w:szCs w:val="24"/>
              </w:rPr>
              <w:t>供应商针对本项目在质量保修期内如出现质量问题的解决措施、解决问题的响应时效等进行说明，</w:t>
            </w:r>
          </w:p>
          <w:p w14:paraId="2355BDBD">
            <w:pPr>
              <w:keepNext w:val="0"/>
              <w:keepLines w:val="0"/>
              <w:pageBreakBefore w:val="0"/>
              <w:kinsoku/>
              <w:wordWrap/>
              <w:overflowPunct/>
              <w:topLinePunct w:val="0"/>
              <w:autoSpaceDE/>
              <w:autoSpaceDN/>
              <w:bidi w:val="0"/>
              <w:adjustRightInd w:val="0"/>
              <w:snapToGrid w:val="0"/>
              <w:spacing w:line="240" w:lineRule="auto"/>
              <w:ind w:left="45" w:leftChars="0" w:hanging="45" w:hangingChars="19"/>
              <w:rPr>
                <w:rFonts w:hint="eastAsia" w:ascii="仿宋" w:hAnsi="仿宋" w:eastAsia="仿宋" w:cs="仿宋"/>
                <w:color w:val="auto"/>
                <w:sz w:val="24"/>
                <w:szCs w:val="24"/>
              </w:rPr>
            </w:pPr>
            <w:r>
              <w:rPr>
                <w:rFonts w:hint="eastAsia" w:ascii="仿宋" w:hAnsi="仿宋" w:eastAsia="仿宋" w:cs="仿宋"/>
                <w:color w:val="auto"/>
                <w:sz w:val="24"/>
                <w:szCs w:val="24"/>
              </w:rPr>
              <w:t>①方案或措施说明完整、全面，可行性强，响应积极，计</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分；</w:t>
            </w:r>
          </w:p>
          <w:p w14:paraId="0EBB7E43">
            <w:pPr>
              <w:keepNext w:val="0"/>
              <w:keepLines w:val="0"/>
              <w:pageBreakBefore w:val="0"/>
              <w:kinsoku/>
              <w:wordWrap/>
              <w:overflowPunct/>
              <w:topLinePunct w:val="0"/>
              <w:autoSpaceDE/>
              <w:autoSpaceDN/>
              <w:bidi w:val="0"/>
              <w:adjustRightInd w:val="0"/>
              <w:snapToGrid w:val="0"/>
              <w:spacing w:line="240" w:lineRule="auto"/>
              <w:ind w:left="45" w:leftChars="0" w:hanging="45" w:hangingChars="19"/>
              <w:rPr>
                <w:rFonts w:hint="eastAsia" w:ascii="仿宋" w:hAnsi="仿宋" w:eastAsia="仿宋" w:cs="仿宋"/>
                <w:color w:val="auto"/>
                <w:sz w:val="24"/>
                <w:szCs w:val="24"/>
              </w:rPr>
            </w:pPr>
            <w:r>
              <w:rPr>
                <w:rFonts w:hint="eastAsia" w:ascii="仿宋" w:hAnsi="仿宋" w:eastAsia="仿宋" w:cs="仿宋"/>
                <w:color w:val="auto"/>
                <w:sz w:val="24"/>
                <w:szCs w:val="24"/>
              </w:rPr>
              <w:t>②方案或措施说明较为完整，可行性</w:t>
            </w:r>
            <w:r>
              <w:rPr>
                <w:rFonts w:hint="eastAsia" w:ascii="仿宋" w:hAnsi="仿宋" w:eastAsia="仿宋" w:cs="仿宋"/>
                <w:color w:val="auto"/>
                <w:sz w:val="24"/>
                <w:szCs w:val="24"/>
                <w:lang w:val="en-US" w:eastAsia="zh-CN"/>
              </w:rPr>
              <w:t>较强</w:t>
            </w:r>
            <w:r>
              <w:rPr>
                <w:rFonts w:hint="eastAsia" w:ascii="仿宋" w:hAnsi="仿宋" w:eastAsia="仿宋" w:cs="仿宋"/>
                <w:color w:val="auto"/>
                <w:sz w:val="24"/>
                <w:szCs w:val="24"/>
              </w:rPr>
              <w:t>的，响应时效</w:t>
            </w:r>
            <w:r>
              <w:rPr>
                <w:rFonts w:hint="eastAsia" w:ascii="仿宋" w:hAnsi="仿宋" w:eastAsia="仿宋" w:cs="仿宋"/>
                <w:color w:val="auto"/>
                <w:sz w:val="24"/>
                <w:szCs w:val="24"/>
                <w:lang w:val="en-US" w:eastAsia="zh-CN"/>
              </w:rPr>
              <w:t>较</w:t>
            </w:r>
            <w:r>
              <w:rPr>
                <w:rFonts w:hint="eastAsia" w:ascii="仿宋" w:hAnsi="仿宋" w:eastAsia="仿宋" w:cs="仿宋"/>
                <w:color w:val="auto"/>
                <w:sz w:val="24"/>
                <w:szCs w:val="24"/>
              </w:rPr>
              <w:t>满足要求，计</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分</w:t>
            </w:r>
          </w:p>
          <w:p w14:paraId="3E9B8F27">
            <w:pPr>
              <w:keepNext w:val="0"/>
              <w:keepLines w:val="0"/>
              <w:pageBreakBefore w:val="0"/>
              <w:kinsoku/>
              <w:wordWrap/>
              <w:overflowPunct/>
              <w:topLinePunct w:val="0"/>
              <w:autoSpaceDE/>
              <w:autoSpaceDN/>
              <w:bidi w:val="0"/>
              <w:adjustRightInd w:val="0"/>
              <w:snapToGrid w:val="0"/>
              <w:spacing w:line="240" w:lineRule="auto"/>
              <w:ind w:left="45" w:leftChars="0" w:hanging="45" w:hangingChars="19"/>
              <w:rPr>
                <w:rFonts w:hint="eastAsia" w:ascii="仿宋" w:hAnsi="仿宋" w:eastAsia="仿宋" w:cs="仿宋"/>
                <w:color w:val="auto"/>
                <w:sz w:val="24"/>
                <w:szCs w:val="24"/>
              </w:rPr>
            </w:pPr>
            <w:r>
              <w:rPr>
                <w:rFonts w:hint="eastAsia" w:ascii="仿宋" w:hAnsi="仿宋" w:eastAsia="仿宋" w:cs="仿宋"/>
                <w:color w:val="auto"/>
                <w:sz w:val="24"/>
                <w:szCs w:val="24"/>
              </w:rPr>
              <w:t>③方案或措施说明较为完整，可行性一般的，响应时效基本满足要求，计</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p>
          <w:p w14:paraId="30259270">
            <w:pPr>
              <w:keepNext w:val="0"/>
              <w:keepLines w:val="0"/>
              <w:pageBreakBefore w:val="0"/>
              <w:kinsoku/>
              <w:wordWrap/>
              <w:overflowPunct/>
              <w:topLinePunct w:val="0"/>
              <w:autoSpaceDE/>
              <w:autoSpaceDN/>
              <w:bidi w:val="0"/>
              <w:adjustRightInd w:val="0"/>
              <w:snapToGrid w:val="0"/>
              <w:spacing w:line="240" w:lineRule="auto"/>
              <w:ind w:left="45" w:leftChars="0" w:hanging="45" w:hangingChars="19"/>
              <w:rPr>
                <w:rFonts w:hint="eastAsia" w:ascii="仿宋" w:hAnsi="仿宋" w:eastAsia="仿宋" w:cs="仿宋"/>
                <w:color w:val="auto"/>
                <w:sz w:val="24"/>
                <w:szCs w:val="24"/>
              </w:rPr>
            </w:pPr>
            <w:r>
              <w:rPr>
                <w:rFonts w:hint="eastAsia" w:ascii="仿宋" w:hAnsi="仿宋" w:eastAsia="仿宋" w:cs="仿宋"/>
                <w:color w:val="auto"/>
                <w:sz w:val="24"/>
                <w:szCs w:val="24"/>
              </w:rPr>
              <w:t>④未能提供方案或措施说明的不计分。</w:t>
            </w:r>
          </w:p>
        </w:tc>
        <w:tc>
          <w:tcPr>
            <w:tcW w:w="898" w:type="dxa"/>
            <w:vAlign w:val="center"/>
          </w:tcPr>
          <w:p w14:paraId="6DD2431D">
            <w:pPr>
              <w:keepNext w:val="0"/>
              <w:keepLines w:val="0"/>
              <w:pageBreakBefore w:val="0"/>
              <w:kinsoku/>
              <w:wordWrap/>
              <w:overflowPunct/>
              <w:topLinePunct w:val="0"/>
              <w:autoSpaceDE/>
              <w:autoSpaceDN/>
              <w:bidi w:val="0"/>
              <w:adjustRightInd w:val="0"/>
              <w:snapToGrid w:val="0"/>
              <w:spacing w:line="240" w:lineRule="auto"/>
              <w:ind w:left="45" w:leftChars="0" w:hanging="45" w:hangingChars="19"/>
              <w:jc w:val="center"/>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6</w:t>
            </w:r>
          </w:p>
        </w:tc>
      </w:tr>
    </w:tbl>
    <w:p w14:paraId="331DF1C7">
      <w:pPr>
        <w:rPr>
          <w:rFonts w:ascii="仿宋_GB2312" w:hAnsi="仿宋_GB2312" w:eastAsia="仿宋_GB2312" w:cs="仿宋_GB2312"/>
          <w:b/>
          <w:color w:val="auto"/>
          <w:sz w:val="24"/>
        </w:rPr>
      </w:pPr>
      <w:r>
        <w:rPr>
          <w:rFonts w:hint="eastAsia" w:ascii="仿宋_GB2312" w:hAnsi="仿宋_GB2312" w:eastAsia="仿宋_GB2312" w:cs="仿宋_GB2312"/>
          <w:color w:val="auto"/>
          <w:sz w:val="24"/>
        </w:rPr>
        <w:br w:type="page"/>
      </w:r>
    </w:p>
    <w:p w14:paraId="0F5D07E4">
      <w:pPr>
        <w:jc w:val="center"/>
        <w:outlineLvl w:val="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附件四 报价评审因素及分值分配表</w:t>
      </w:r>
    </w:p>
    <w:p w14:paraId="0A7EDF5B">
      <w:pPr>
        <w:jc w:val="center"/>
        <w:rPr>
          <w:rFonts w:ascii="仿宋_GB2312" w:hAnsi="仿宋_GB2312" w:eastAsia="仿宋_GB2312" w:cs="仿宋_GB2312"/>
          <w:b/>
          <w:color w:val="auto"/>
          <w:sz w:val="24"/>
        </w:rPr>
      </w:pPr>
    </w:p>
    <w:tbl>
      <w:tblPr>
        <w:tblStyle w:val="50"/>
        <w:tblpPr w:leftFromText="180" w:rightFromText="180" w:vertAnchor="text" w:horzAnchor="page" w:tblpX="1553" w:tblpY="-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998"/>
        <w:gridCol w:w="4791"/>
        <w:gridCol w:w="1449"/>
      </w:tblGrid>
      <w:tr w14:paraId="73A4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00" w:type="dxa"/>
            <w:vAlign w:val="center"/>
          </w:tcPr>
          <w:p w14:paraId="3F5A7FC3">
            <w:pPr>
              <w:widowControl/>
              <w:tabs>
                <w:tab w:val="left" w:pos="1620"/>
              </w:tabs>
              <w:snapToGrid w:val="0"/>
              <w:spacing w:line="360" w:lineRule="auto"/>
              <w:jc w:val="center"/>
              <w:rPr>
                <w:rFonts w:ascii="仿宋" w:hAnsi="仿宋" w:eastAsia="仿宋" w:cs="仿宋"/>
                <w:color w:val="auto"/>
                <w:sz w:val="24"/>
                <w:lang w:val="zh-CN"/>
              </w:rPr>
            </w:pPr>
            <w:r>
              <w:rPr>
                <w:rFonts w:hint="eastAsia" w:ascii="仿宋" w:hAnsi="仿宋" w:eastAsia="仿宋" w:cs="仿宋"/>
                <w:color w:val="auto"/>
                <w:sz w:val="24"/>
                <w:lang w:val="zh-CN"/>
              </w:rPr>
              <w:t>序号</w:t>
            </w:r>
          </w:p>
        </w:tc>
        <w:tc>
          <w:tcPr>
            <w:tcW w:w="1998" w:type="dxa"/>
            <w:vAlign w:val="center"/>
          </w:tcPr>
          <w:p w14:paraId="4E833545">
            <w:pPr>
              <w:widowControl/>
              <w:tabs>
                <w:tab w:val="left" w:pos="1620"/>
              </w:tabs>
              <w:snapToGrid w:val="0"/>
              <w:spacing w:line="360" w:lineRule="auto"/>
              <w:jc w:val="center"/>
              <w:rPr>
                <w:rFonts w:ascii="仿宋" w:hAnsi="仿宋" w:eastAsia="仿宋" w:cs="仿宋"/>
                <w:color w:val="auto"/>
                <w:sz w:val="24"/>
                <w:lang w:val="zh-CN"/>
              </w:rPr>
            </w:pPr>
            <w:r>
              <w:rPr>
                <w:rFonts w:hint="eastAsia" w:ascii="仿宋" w:hAnsi="仿宋" w:eastAsia="仿宋" w:cs="仿宋"/>
                <w:color w:val="auto"/>
                <w:sz w:val="24"/>
                <w:lang w:val="zh-CN"/>
              </w:rPr>
              <w:t>评审内容</w:t>
            </w:r>
          </w:p>
        </w:tc>
        <w:tc>
          <w:tcPr>
            <w:tcW w:w="4791" w:type="dxa"/>
            <w:vAlign w:val="center"/>
          </w:tcPr>
          <w:p w14:paraId="20E5261C">
            <w:pPr>
              <w:widowControl/>
              <w:tabs>
                <w:tab w:val="left" w:pos="1620"/>
              </w:tabs>
              <w:snapToGrid w:val="0"/>
              <w:spacing w:line="360" w:lineRule="auto"/>
              <w:jc w:val="center"/>
              <w:rPr>
                <w:rFonts w:ascii="仿宋" w:hAnsi="仿宋" w:eastAsia="仿宋" w:cs="仿宋"/>
                <w:color w:val="auto"/>
                <w:sz w:val="24"/>
                <w:lang w:val="zh-CN"/>
              </w:rPr>
            </w:pPr>
            <w:r>
              <w:rPr>
                <w:rFonts w:hint="eastAsia" w:ascii="仿宋" w:hAnsi="仿宋" w:eastAsia="仿宋" w:cs="仿宋"/>
                <w:color w:val="auto"/>
                <w:sz w:val="24"/>
                <w:lang w:val="zh-CN"/>
              </w:rPr>
              <w:t>评审标准</w:t>
            </w:r>
          </w:p>
        </w:tc>
        <w:tc>
          <w:tcPr>
            <w:tcW w:w="1449" w:type="dxa"/>
            <w:vAlign w:val="center"/>
          </w:tcPr>
          <w:p w14:paraId="5F874CEB">
            <w:pPr>
              <w:widowControl/>
              <w:tabs>
                <w:tab w:val="left" w:pos="1620"/>
              </w:tabs>
              <w:snapToGrid w:val="0"/>
              <w:spacing w:line="360" w:lineRule="auto"/>
              <w:jc w:val="center"/>
              <w:rPr>
                <w:rFonts w:ascii="仿宋" w:hAnsi="仿宋" w:eastAsia="仿宋" w:cs="仿宋"/>
                <w:color w:val="auto"/>
                <w:sz w:val="24"/>
                <w:lang w:val="zh-CN"/>
              </w:rPr>
            </w:pPr>
            <w:r>
              <w:rPr>
                <w:rFonts w:hint="eastAsia" w:ascii="仿宋" w:hAnsi="仿宋" w:eastAsia="仿宋" w:cs="仿宋"/>
                <w:color w:val="auto"/>
                <w:sz w:val="24"/>
                <w:lang w:val="zh-CN"/>
              </w:rPr>
              <w:t>满分</w:t>
            </w:r>
          </w:p>
        </w:tc>
      </w:tr>
      <w:tr w14:paraId="6E1B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800" w:type="dxa"/>
            <w:vAlign w:val="center"/>
          </w:tcPr>
          <w:p w14:paraId="514D7F0F">
            <w:pPr>
              <w:widowControl/>
              <w:tabs>
                <w:tab w:val="left" w:pos="1620"/>
              </w:tabs>
              <w:snapToGrid w:val="0"/>
              <w:spacing w:line="360" w:lineRule="auto"/>
              <w:jc w:val="center"/>
              <w:rPr>
                <w:rFonts w:ascii="仿宋" w:hAnsi="仿宋" w:eastAsia="仿宋" w:cs="仿宋"/>
                <w:color w:val="auto"/>
                <w:sz w:val="24"/>
                <w:lang w:val="zh-CN"/>
              </w:rPr>
            </w:pPr>
            <w:r>
              <w:rPr>
                <w:rFonts w:hint="eastAsia" w:ascii="仿宋" w:hAnsi="仿宋" w:eastAsia="仿宋" w:cs="仿宋"/>
                <w:color w:val="auto"/>
                <w:sz w:val="24"/>
                <w:lang w:val="zh-CN"/>
              </w:rPr>
              <w:t>1</w:t>
            </w:r>
          </w:p>
        </w:tc>
        <w:tc>
          <w:tcPr>
            <w:tcW w:w="1998" w:type="dxa"/>
            <w:vAlign w:val="center"/>
          </w:tcPr>
          <w:p w14:paraId="0A1F45E7">
            <w:pPr>
              <w:widowControl/>
              <w:tabs>
                <w:tab w:val="left" w:pos="1620"/>
              </w:tabs>
              <w:snapToGrid w:val="0"/>
              <w:spacing w:line="360" w:lineRule="auto"/>
              <w:ind w:firstLine="240" w:firstLineChars="100"/>
              <w:jc w:val="center"/>
              <w:rPr>
                <w:rFonts w:ascii="仿宋" w:hAnsi="仿宋" w:eastAsia="仿宋" w:cs="仿宋"/>
                <w:color w:val="auto"/>
                <w:sz w:val="24"/>
                <w:lang w:val="zh-CN"/>
              </w:rPr>
            </w:pPr>
            <w:r>
              <w:rPr>
                <w:rFonts w:hint="eastAsia" w:ascii="仿宋" w:hAnsi="仿宋" w:eastAsia="仿宋" w:cs="仿宋"/>
                <w:color w:val="auto"/>
                <w:sz w:val="24"/>
                <w:lang w:val="zh-CN"/>
              </w:rPr>
              <w:t>报价得分</w:t>
            </w:r>
          </w:p>
        </w:tc>
        <w:tc>
          <w:tcPr>
            <w:tcW w:w="4791" w:type="dxa"/>
            <w:vAlign w:val="center"/>
          </w:tcPr>
          <w:p w14:paraId="53F44628">
            <w:pPr>
              <w:widowControl/>
              <w:tabs>
                <w:tab w:val="left" w:pos="1620"/>
              </w:tabs>
              <w:snapToGrid w:val="0"/>
              <w:spacing w:line="360" w:lineRule="auto"/>
              <w:jc w:val="left"/>
              <w:rPr>
                <w:rFonts w:hint="eastAsia" w:ascii="仿宋" w:hAnsi="仿宋" w:eastAsia="仿宋" w:cs="仿宋"/>
                <w:color w:val="auto"/>
                <w:sz w:val="24"/>
                <w:lang w:val="zh-CN"/>
              </w:rPr>
            </w:pPr>
            <w:r>
              <w:rPr>
                <w:rFonts w:hint="eastAsia" w:ascii="仿宋" w:hAnsi="仿宋" w:eastAsia="仿宋" w:cs="仿宋"/>
                <w:color w:val="auto"/>
                <w:sz w:val="24"/>
                <w:lang w:val="zh-CN"/>
              </w:rPr>
              <w:t>1、评审基准价有效响应文件中的最后报价的最低报价为评审基准价。</w:t>
            </w:r>
          </w:p>
          <w:p w14:paraId="03E2FB18">
            <w:pPr>
              <w:widowControl/>
              <w:tabs>
                <w:tab w:val="left" w:pos="1620"/>
              </w:tabs>
              <w:snapToGrid w:val="0"/>
              <w:spacing w:line="360" w:lineRule="auto"/>
              <w:jc w:val="left"/>
              <w:rPr>
                <w:rFonts w:hint="default" w:ascii="仿宋" w:hAnsi="仿宋" w:eastAsia="仿宋" w:cs="仿宋"/>
                <w:color w:val="auto"/>
                <w:sz w:val="24"/>
                <w:lang w:val="en-US"/>
              </w:rPr>
            </w:pPr>
            <w:r>
              <w:rPr>
                <w:rFonts w:hint="eastAsia" w:ascii="仿宋" w:hAnsi="仿宋" w:eastAsia="仿宋" w:cs="仿宋"/>
                <w:color w:val="auto"/>
                <w:sz w:val="24"/>
                <w:lang w:val="zh-CN"/>
              </w:rPr>
              <w:t>2、供应商报价得分：报价得分=(评审基准价／最后报价)×</w:t>
            </w:r>
            <w:r>
              <w:rPr>
                <w:rFonts w:hint="eastAsia" w:ascii="仿宋" w:hAnsi="仿宋" w:eastAsia="仿宋" w:cs="仿宋"/>
                <w:color w:val="auto"/>
                <w:sz w:val="24"/>
                <w:lang w:val="en-US" w:eastAsia="zh-CN"/>
              </w:rPr>
              <w:t>30</w:t>
            </w:r>
          </w:p>
        </w:tc>
        <w:tc>
          <w:tcPr>
            <w:tcW w:w="1449" w:type="dxa"/>
            <w:vAlign w:val="center"/>
          </w:tcPr>
          <w:p w14:paraId="01468C65">
            <w:pPr>
              <w:widowControl/>
              <w:tabs>
                <w:tab w:val="left" w:pos="1620"/>
              </w:tabs>
              <w:snapToGrid w:val="0"/>
              <w:spacing w:line="360" w:lineRule="auto"/>
              <w:jc w:val="center"/>
              <w:rPr>
                <w:rFonts w:hint="default" w:ascii="仿宋" w:hAnsi="仿宋" w:eastAsia="仿宋" w:cs="仿宋"/>
                <w:color w:val="auto"/>
                <w:sz w:val="24"/>
                <w:lang w:val="en-US"/>
              </w:rPr>
            </w:pPr>
            <w:r>
              <w:rPr>
                <w:rFonts w:hint="eastAsia" w:ascii="仿宋" w:hAnsi="仿宋" w:eastAsia="仿宋" w:cs="仿宋"/>
                <w:color w:val="auto"/>
                <w:sz w:val="24"/>
                <w:lang w:val="en-US" w:eastAsia="zh-CN"/>
              </w:rPr>
              <w:t>30</w:t>
            </w:r>
          </w:p>
        </w:tc>
      </w:tr>
    </w:tbl>
    <w:p w14:paraId="0567E71A">
      <w:pPr>
        <w:pStyle w:val="22"/>
        <w:rPr>
          <w:rFonts w:ascii="仿宋_GB2312" w:hAnsi="仿宋_GB2312" w:eastAsia="仿宋_GB2312" w:cs="仿宋_GB2312"/>
          <w:color w:val="auto"/>
          <w:sz w:val="24"/>
        </w:rPr>
      </w:pPr>
    </w:p>
    <w:p w14:paraId="4363F48A">
      <w:pPr>
        <w:pStyle w:val="22"/>
        <w:rPr>
          <w:rFonts w:ascii="仿宋_GB2312" w:hAnsi="仿宋_GB2312" w:eastAsia="仿宋_GB2312" w:cs="仿宋_GB2312"/>
          <w:color w:val="auto"/>
          <w:sz w:val="24"/>
        </w:rPr>
      </w:pPr>
    </w:p>
    <w:p w14:paraId="0E44D811">
      <w:pPr>
        <w:jc w:val="center"/>
        <w:rPr>
          <w:rFonts w:ascii="仿宋_GB2312" w:hAnsi="仿宋_GB2312" w:eastAsia="仿宋_GB2312" w:cs="仿宋_GB2312"/>
          <w:b/>
          <w:color w:val="auto"/>
          <w:kern w:val="0"/>
          <w:sz w:val="30"/>
          <w:szCs w:val="30"/>
        </w:rPr>
      </w:pPr>
      <w:r>
        <w:rPr>
          <w:rFonts w:hint="eastAsia" w:ascii="仿宋_GB2312" w:hAnsi="仿宋_GB2312" w:eastAsia="仿宋_GB2312" w:cs="仿宋_GB2312"/>
          <w:b/>
          <w:color w:val="auto"/>
          <w:kern w:val="0"/>
          <w:sz w:val="24"/>
        </w:rPr>
        <w:br w:type="page"/>
      </w:r>
    </w:p>
    <w:p w14:paraId="5EBD1D68">
      <w:pPr>
        <w:pStyle w:val="46"/>
        <w:rPr>
          <w:rFonts w:ascii="仿宋_GB2312" w:hAnsi="仿宋_GB2312" w:eastAsia="仿宋_GB2312" w:cs="仿宋_GB2312"/>
          <w:color w:val="auto"/>
          <w:sz w:val="24"/>
          <w:szCs w:val="24"/>
        </w:rPr>
      </w:pPr>
      <w:bookmarkStart w:id="410" w:name="_Toc17462"/>
      <w:r>
        <w:rPr>
          <w:rFonts w:hint="eastAsia" w:ascii="仿宋_GB2312" w:hAnsi="仿宋_GB2312" w:eastAsia="仿宋_GB2312" w:cs="仿宋_GB2312"/>
          <w:color w:val="auto"/>
          <w:sz w:val="24"/>
          <w:szCs w:val="24"/>
        </w:rPr>
        <w:t xml:space="preserve">第四章  </w:t>
      </w:r>
      <w:bookmarkEnd w:id="18"/>
      <w:bookmarkEnd w:id="393"/>
      <w:bookmarkEnd w:id="394"/>
      <w:bookmarkStart w:id="411" w:name="_Toc301514172"/>
      <w:bookmarkStart w:id="412" w:name="_Toc230013638"/>
      <w:bookmarkStart w:id="413" w:name="_Toc256342152"/>
      <w:bookmarkStart w:id="414" w:name="_Toc499711928"/>
      <w:bookmarkStart w:id="415" w:name="_Toc500747106"/>
      <w:bookmarkStart w:id="416" w:name="_Toc230583552"/>
      <w:bookmarkStart w:id="417" w:name="_Toc177995483"/>
      <w:bookmarkStart w:id="418" w:name="_Toc249515369"/>
      <w:bookmarkStart w:id="419" w:name="_Toc232176282"/>
      <w:bookmarkStart w:id="420" w:name="_Toc249525250"/>
      <w:bookmarkStart w:id="421" w:name="_Toc499711087"/>
      <w:bookmarkStart w:id="422" w:name="_Toc177817344"/>
      <w:bookmarkStart w:id="423" w:name="_Toc184043058"/>
      <w:bookmarkStart w:id="424" w:name="_Toc500747010"/>
      <w:bookmarkStart w:id="425" w:name="_Toc500747233"/>
      <w:bookmarkStart w:id="426" w:name="_Toc249515482"/>
      <w:bookmarkStart w:id="427" w:name="_Toc177189245"/>
      <w:bookmarkStart w:id="428" w:name="_Toc70687202"/>
      <w:bookmarkStart w:id="429" w:name="_Toc492955459"/>
      <w:bookmarkStart w:id="430" w:name="_Toc503063458"/>
      <w:bookmarkStart w:id="431" w:name="_Toc415499897"/>
      <w:bookmarkStart w:id="432" w:name="_Toc28450"/>
      <w:bookmarkStart w:id="433" w:name="_Toc176882552"/>
      <w:bookmarkStart w:id="434" w:name="_Toc53722865"/>
      <w:bookmarkStart w:id="435" w:name="_Toc232395222"/>
      <w:bookmarkStart w:id="436" w:name="_Toc496324623"/>
      <w:bookmarkStart w:id="437" w:name="_Toc230099803"/>
      <w:r>
        <w:rPr>
          <w:rFonts w:hint="eastAsia" w:ascii="仿宋_GB2312" w:hAnsi="仿宋_GB2312" w:eastAsia="仿宋_GB2312" w:cs="仿宋_GB2312"/>
          <w:color w:val="auto"/>
          <w:sz w:val="24"/>
          <w:szCs w:val="24"/>
        </w:rPr>
        <w:t>合同草案条款</w:t>
      </w:r>
      <w:bookmarkEnd w:id="410"/>
    </w:p>
    <w:p w14:paraId="0674B26F">
      <w:pPr>
        <w:spacing w:line="360" w:lineRule="auto"/>
        <w:jc w:val="center"/>
        <w:rPr>
          <w:rFonts w:ascii="宋体" w:hAnsi="宋体" w:cs="宋体"/>
          <w:bCs/>
          <w:color w:val="auto"/>
          <w:sz w:val="52"/>
          <w:szCs w:val="52"/>
        </w:rPr>
      </w:pPr>
    </w:p>
    <w:p w14:paraId="2A34D2F7">
      <w:pPr>
        <w:spacing w:line="360" w:lineRule="auto"/>
        <w:jc w:val="center"/>
        <w:rPr>
          <w:rFonts w:ascii="宋体" w:hAnsi="宋体" w:cs="宋体"/>
          <w:bCs/>
          <w:color w:val="auto"/>
          <w:sz w:val="52"/>
          <w:szCs w:val="52"/>
        </w:rPr>
      </w:pPr>
      <w:r>
        <w:rPr>
          <w:rFonts w:hint="eastAsia" w:ascii="宋体" w:hAnsi="宋体" w:cs="宋体"/>
          <w:bCs/>
          <w:color w:val="auto"/>
          <w:sz w:val="52"/>
          <w:szCs w:val="52"/>
        </w:rPr>
        <w:t>陕西省建设工程施工合同</w:t>
      </w:r>
    </w:p>
    <w:p w14:paraId="33AF31CA">
      <w:pPr>
        <w:spacing w:line="360" w:lineRule="auto"/>
        <w:jc w:val="center"/>
        <w:rPr>
          <w:rFonts w:ascii="宋体" w:hAnsi="宋体" w:cs="宋体"/>
          <w:b/>
          <w:bCs/>
          <w:color w:val="auto"/>
          <w:sz w:val="36"/>
          <w:szCs w:val="36"/>
        </w:rPr>
      </w:pPr>
    </w:p>
    <w:p w14:paraId="69E2C4F6">
      <w:pPr>
        <w:spacing w:line="360" w:lineRule="auto"/>
        <w:jc w:val="center"/>
        <w:rPr>
          <w:rFonts w:ascii="宋体" w:hAnsi="宋体" w:cs="宋体"/>
          <w:bCs/>
          <w:color w:val="auto"/>
          <w:sz w:val="36"/>
          <w:szCs w:val="36"/>
        </w:rPr>
      </w:pPr>
      <w:r>
        <w:rPr>
          <w:rFonts w:hint="eastAsia" w:ascii="宋体" w:hAnsi="宋体" w:cs="宋体"/>
          <w:bCs/>
          <w:color w:val="auto"/>
          <w:sz w:val="36"/>
          <w:szCs w:val="36"/>
        </w:rPr>
        <w:t>（示范文本）</w:t>
      </w:r>
    </w:p>
    <w:p w14:paraId="27E2E605">
      <w:pPr>
        <w:spacing w:line="360" w:lineRule="auto"/>
        <w:ind w:firstLine="200"/>
        <w:jc w:val="center"/>
        <w:rPr>
          <w:rFonts w:ascii="宋体" w:hAnsi="宋体" w:cs="宋体"/>
          <w:b/>
          <w:bCs/>
          <w:color w:val="auto"/>
          <w:sz w:val="32"/>
          <w:szCs w:val="32"/>
        </w:rPr>
      </w:pPr>
    </w:p>
    <w:p w14:paraId="5406C740">
      <w:pPr>
        <w:spacing w:line="360" w:lineRule="auto"/>
        <w:ind w:firstLine="200"/>
        <w:jc w:val="center"/>
        <w:rPr>
          <w:rFonts w:ascii="宋体" w:hAnsi="宋体" w:cs="宋体"/>
          <w:b/>
          <w:bCs/>
          <w:color w:val="auto"/>
          <w:sz w:val="32"/>
          <w:szCs w:val="32"/>
        </w:rPr>
      </w:pPr>
    </w:p>
    <w:p w14:paraId="3CD8B990">
      <w:pPr>
        <w:spacing w:line="360" w:lineRule="auto"/>
        <w:ind w:firstLine="200"/>
        <w:jc w:val="center"/>
        <w:rPr>
          <w:rFonts w:ascii="宋体" w:hAnsi="宋体" w:cs="宋体"/>
          <w:b/>
          <w:bCs/>
          <w:color w:val="auto"/>
          <w:sz w:val="32"/>
          <w:szCs w:val="32"/>
        </w:rPr>
      </w:pPr>
    </w:p>
    <w:p w14:paraId="045AF990">
      <w:pPr>
        <w:spacing w:line="360" w:lineRule="auto"/>
        <w:ind w:firstLine="200"/>
        <w:jc w:val="center"/>
        <w:rPr>
          <w:rFonts w:ascii="宋体" w:hAnsi="宋体" w:cs="宋体"/>
          <w:b/>
          <w:bCs/>
          <w:color w:val="auto"/>
          <w:sz w:val="32"/>
          <w:szCs w:val="32"/>
        </w:rPr>
      </w:pPr>
    </w:p>
    <w:p w14:paraId="3F448B19">
      <w:pPr>
        <w:spacing w:line="360" w:lineRule="auto"/>
        <w:ind w:firstLine="200"/>
        <w:jc w:val="center"/>
        <w:rPr>
          <w:rFonts w:ascii="宋体" w:hAnsi="宋体" w:cs="宋体"/>
          <w:b/>
          <w:bCs/>
          <w:color w:val="auto"/>
          <w:sz w:val="32"/>
          <w:szCs w:val="32"/>
        </w:rPr>
      </w:pPr>
    </w:p>
    <w:p w14:paraId="72E46DD8">
      <w:pPr>
        <w:spacing w:line="360" w:lineRule="auto"/>
        <w:ind w:firstLine="200"/>
        <w:jc w:val="center"/>
        <w:rPr>
          <w:rFonts w:ascii="宋体" w:hAnsi="宋体" w:cs="宋体"/>
          <w:b/>
          <w:bCs/>
          <w:color w:val="auto"/>
          <w:sz w:val="32"/>
          <w:szCs w:val="32"/>
        </w:rPr>
      </w:pPr>
    </w:p>
    <w:p w14:paraId="44FE1CA7">
      <w:pPr>
        <w:spacing w:line="360" w:lineRule="auto"/>
        <w:ind w:firstLine="200"/>
        <w:jc w:val="center"/>
        <w:rPr>
          <w:rFonts w:ascii="宋体" w:hAnsi="宋体" w:cs="宋体"/>
          <w:b/>
          <w:bCs/>
          <w:color w:val="auto"/>
          <w:sz w:val="32"/>
          <w:szCs w:val="32"/>
        </w:rPr>
      </w:pPr>
    </w:p>
    <w:p w14:paraId="74213139">
      <w:pPr>
        <w:spacing w:line="360" w:lineRule="auto"/>
        <w:jc w:val="center"/>
        <w:rPr>
          <w:rFonts w:ascii="宋体" w:hAnsi="宋体" w:cs="宋体"/>
          <w:b/>
          <w:bCs/>
          <w:color w:val="auto"/>
          <w:kern w:val="0"/>
          <w:sz w:val="36"/>
          <w:szCs w:val="36"/>
        </w:rPr>
      </w:pPr>
    </w:p>
    <w:p w14:paraId="2E367098">
      <w:pPr>
        <w:spacing w:line="360" w:lineRule="auto"/>
        <w:rPr>
          <w:rFonts w:ascii="宋体" w:hAnsi="宋体" w:cs="宋体"/>
          <w:b/>
          <w:bCs/>
          <w:color w:val="auto"/>
          <w:kern w:val="0"/>
          <w:sz w:val="36"/>
          <w:szCs w:val="36"/>
        </w:rPr>
      </w:pPr>
    </w:p>
    <w:p w14:paraId="45D9B9BE">
      <w:pPr>
        <w:spacing w:line="360" w:lineRule="auto"/>
        <w:jc w:val="center"/>
        <w:rPr>
          <w:rFonts w:ascii="宋体" w:hAnsi="宋体" w:cs="宋体"/>
          <w:b/>
          <w:bCs/>
          <w:color w:val="auto"/>
          <w:kern w:val="0"/>
          <w:sz w:val="36"/>
          <w:szCs w:val="36"/>
        </w:rPr>
      </w:pPr>
    </w:p>
    <w:p w14:paraId="580C335B">
      <w:pPr>
        <w:spacing w:line="360" w:lineRule="auto"/>
        <w:jc w:val="center"/>
        <w:rPr>
          <w:rFonts w:ascii="宋体" w:hAnsi="宋体" w:cs="宋体"/>
          <w:b/>
          <w:bCs/>
          <w:color w:val="auto"/>
          <w:kern w:val="0"/>
          <w:sz w:val="36"/>
          <w:szCs w:val="36"/>
        </w:rPr>
      </w:pPr>
    </w:p>
    <w:p w14:paraId="62789271">
      <w:pPr>
        <w:spacing w:line="360" w:lineRule="auto"/>
        <w:jc w:val="center"/>
        <w:rPr>
          <w:rFonts w:ascii="宋体" w:hAnsi="宋体" w:cs="宋体"/>
          <w:bCs/>
          <w:color w:val="auto"/>
          <w:sz w:val="32"/>
          <w:szCs w:val="32"/>
        </w:rPr>
      </w:pPr>
      <w:r>
        <w:rPr>
          <w:rFonts w:hint="eastAsia" w:ascii="宋体" w:hAnsi="宋体" w:cs="宋体"/>
          <w:bCs/>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4343400</wp:posOffset>
                </wp:positionH>
                <wp:positionV relativeFrom="paragraph">
                  <wp:posOffset>152400</wp:posOffset>
                </wp:positionV>
                <wp:extent cx="685800" cy="594360"/>
                <wp:effectExtent l="4445" t="4445" r="14605" b="10795"/>
                <wp:wrapNone/>
                <wp:docPr id="1" name="矩形 1"/>
                <wp:cNvGraphicFramePr/>
                <a:graphic xmlns:a="http://schemas.openxmlformats.org/drawingml/2006/main">
                  <a:graphicData uri="http://schemas.microsoft.com/office/word/2010/wordprocessingShape">
                    <wps:wsp>
                      <wps:cNvSpPr/>
                      <wps:spPr>
                        <a:xfrm>
                          <a:off x="0" y="0"/>
                          <a:ext cx="685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1BCA92E">
                            <w:pPr>
                              <w:rPr>
                                <w:rFonts w:ascii="宋体" w:hAnsi="宋体"/>
                                <w:sz w:val="36"/>
                                <w:szCs w:val="36"/>
                              </w:rPr>
                            </w:pPr>
                            <w:r>
                              <w:rPr>
                                <w:rFonts w:hint="eastAsia" w:ascii="宋体" w:hAnsi="宋体"/>
                                <w:sz w:val="36"/>
                                <w:szCs w:val="36"/>
                              </w:rPr>
                              <w:t>制</w:t>
                            </w:r>
                          </w:p>
                        </w:txbxContent>
                      </wps:txbx>
                      <wps:bodyPr upright="1"/>
                    </wps:wsp>
                  </a:graphicData>
                </a:graphic>
              </wp:anchor>
            </w:drawing>
          </mc:Choice>
          <mc:Fallback>
            <w:pict>
              <v:rect id="_x0000_s1026" o:spid="_x0000_s1026" o:spt="1" style="position:absolute;left:0pt;margin-left:342pt;margin-top:12pt;height:46.8pt;width:54pt;z-index:251661312;mso-width-relative:page;mso-height-relative:page;" fillcolor="#FFFFFF" filled="t" stroked="t" coordsize="21600,21600" o:gfxdata="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PQh8TXAAAACgEAAA8AAAAAAAAAAQAgAAAAIgAAAGRycy9kb3ducmV2&#10;LnhtbFBLAQIUABQAAAAIAIdO4kDijSp8/QEAACgEAAAOAAAAAAAAAAEAIAAAACYBAABkcnMvZTJv&#10;RG9jLnhtbFBLBQYAAAAABgAGAFkBAACVBQAAAAA=&#10;">
                <v:fill on="t" focussize="0,0"/>
                <v:stroke color="#FFFFFF" joinstyle="miter"/>
                <v:imagedata o:title=""/>
                <o:lock v:ext="edit" aspectratio="f"/>
                <v:textbox>
                  <w:txbxContent>
                    <w:p w14:paraId="11BCA92E">
                      <w:pPr>
                        <w:rPr>
                          <w:rFonts w:ascii="宋体" w:hAnsi="宋体"/>
                          <w:sz w:val="36"/>
                          <w:szCs w:val="36"/>
                        </w:rPr>
                      </w:pPr>
                      <w:r>
                        <w:rPr>
                          <w:rFonts w:hint="eastAsia" w:ascii="宋体" w:hAnsi="宋体"/>
                          <w:sz w:val="36"/>
                          <w:szCs w:val="36"/>
                        </w:rPr>
                        <w:t>制</w:t>
                      </w:r>
                    </w:p>
                  </w:txbxContent>
                </v:textbox>
              </v:rect>
            </w:pict>
          </mc:Fallback>
        </mc:AlternateContent>
      </w:r>
      <w:r>
        <w:rPr>
          <w:rFonts w:hint="eastAsia" w:ascii="宋体" w:hAnsi="宋体" w:cs="宋体"/>
          <w:bCs/>
          <w:color w:val="auto"/>
          <w:spacing w:val="168"/>
          <w:kern w:val="0"/>
          <w:sz w:val="32"/>
          <w:szCs w:val="32"/>
        </w:rPr>
        <w:t>陕西省建设</w:t>
      </w:r>
      <w:r>
        <w:rPr>
          <w:rFonts w:hint="eastAsia" w:ascii="宋体" w:hAnsi="宋体" w:cs="宋体"/>
          <w:bCs/>
          <w:color w:val="auto"/>
          <w:kern w:val="0"/>
          <w:sz w:val="32"/>
          <w:szCs w:val="32"/>
        </w:rPr>
        <w:t>厅</w:t>
      </w:r>
    </w:p>
    <w:p w14:paraId="234E9C40">
      <w:pPr>
        <w:spacing w:line="360" w:lineRule="auto"/>
        <w:jc w:val="center"/>
        <w:rPr>
          <w:rFonts w:ascii="宋体" w:hAnsi="宋体" w:cs="宋体"/>
          <w:bCs/>
          <w:color w:val="auto"/>
          <w:sz w:val="32"/>
          <w:szCs w:val="32"/>
        </w:rPr>
      </w:pPr>
      <w:r>
        <w:rPr>
          <w:rFonts w:hint="eastAsia" w:ascii="宋体" w:hAnsi="宋体" w:cs="宋体"/>
          <w:bCs/>
          <w:color w:val="auto"/>
          <w:spacing w:val="22"/>
          <w:kern w:val="0"/>
          <w:sz w:val="32"/>
          <w:szCs w:val="32"/>
        </w:rPr>
        <w:t>陕西省工商行政管理</w:t>
      </w:r>
      <w:r>
        <w:rPr>
          <w:rFonts w:hint="eastAsia" w:ascii="宋体" w:hAnsi="宋体" w:cs="宋体"/>
          <w:bCs/>
          <w:color w:val="auto"/>
          <w:spacing w:val="2"/>
          <w:kern w:val="0"/>
          <w:sz w:val="32"/>
          <w:szCs w:val="32"/>
        </w:rPr>
        <w:t>局</w:t>
      </w:r>
    </w:p>
    <w:p w14:paraId="75F1B2CA">
      <w:pPr>
        <w:spacing w:line="360" w:lineRule="auto"/>
        <w:jc w:val="center"/>
        <w:rPr>
          <w:rFonts w:ascii="宋体" w:hAnsi="宋体"/>
          <w:color w:val="auto"/>
        </w:rPr>
      </w:pPr>
      <w:r>
        <w:rPr>
          <w:rFonts w:hint="eastAsia" w:ascii="宋体" w:hAnsi="宋体"/>
          <w:color w:val="auto"/>
        </w:rPr>
        <w:t>二○   年   月   日</w:t>
      </w:r>
    </w:p>
    <w:p w14:paraId="4FCF8977">
      <w:pPr>
        <w:pStyle w:val="3"/>
        <w:tabs>
          <w:tab w:val="left" w:pos="3780"/>
        </w:tabs>
        <w:jc w:val="center"/>
        <w:rPr>
          <w:rFonts w:ascii="仿宋" w:hAnsi="仿宋" w:eastAsia="仿宋" w:cs="仿宋"/>
          <w:b/>
          <w:color w:val="auto"/>
          <w:sz w:val="30"/>
          <w:szCs w:val="30"/>
        </w:rPr>
      </w:pPr>
      <w:r>
        <w:rPr>
          <w:rFonts w:hint="eastAsia" w:ascii="宋体" w:hAnsi="宋体"/>
          <w:b/>
          <w:color w:val="auto"/>
          <w:sz w:val="36"/>
          <w:szCs w:val="36"/>
        </w:rPr>
        <w:br w:type="page"/>
      </w:r>
      <w:bookmarkStart w:id="438" w:name="_Toc14206"/>
      <w:r>
        <w:rPr>
          <w:rFonts w:hint="eastAsia" w:ascii="仿宋" w:hAnsi="仿宋" w:eastAsia="仿宋" w:cs="仿宋"/>
          <w:color w:val="auto"/>
        </w:rPr>
        <w:t>第一部分  协议书</w:t>
      </w:r>
      <w:bookmarkEnd w:id="438"/>
    </w:p>
    <w:p w14:paraId="634C872C">
      <w:pPr>
        <w:spacing w:line="360" w:lineRule="auto"/>
        <w:ind w:firstLine="360" w:firstLineChars="200"/>
        <w:rPr>
          <w:rFonts w:ascii="仿宋" w:hAnsi="仿宋" w:eastAsia="仿宋" w:cs="仿宋"/>
          <w:color w:val="auto"/>
          <w:sz w:val="18"/>
          <w:szCs w:val="18"/>
        </w:rPr>
      </w:pPr>
    </w:p>
    <w:p w14:paraId="529EDCF0">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发包人（全称）：</w:t>
      </w:r>
      <w:r>
        <w:rPr>
          <w:rFonts w:hint="eastAsia" w:ascii="仿宋" w:hAnsi="仿宋" w:eastAsia="仿宋" w:cs="仿宋"/>
          <w:color w:val="auto"/>
          <w:szCs w:val="21"/>
          <w:u w:val="single"/>
        </w:rPr>
        <w:t xml:space="preserve">                           </w:t>
      </w:r>
    </w:p>
    <w:p w14:paraId="1AC31F77">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rPr>
        <w:t>承包人（全称）：</w:t>
      </w:r>
      <w:r>
        <w:rPr>
          <w:rFonts w:hint="eastAsia" w:ascii="仿宋" w:hAnsi="仿宋" w:eastAsia="仿宋" w:cs="仿宋"/>
          <w:color w:val="auto"/>
          <w:szCs w:val="21"/>
          <w:u w:val="single"/>
        </w:rPr>
        <w:t xml:space="preserve">                           </w:t>
      </w:r>
    </w:p>
    <w:p w14:paraId="63034E4C">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依照《中华人民共和国</w:t>
      </w:r>
      <w:r>
        <w:rPr>
          <w:rFonts w:hint="eastAsia" w:ascii="仿宋" w:hAnsi="仿宋" w:eastAsia="仿宋" w:cs="仿宋"/>
          <w:color w:val="auto"/>
          <w:szCs w:val="21"/>
          <w:lang w:val="en-US" w:eastAsia="zh-CN"/>
        </w:rPr>
        <w:t>民法典</w:t>
      </w:r>
      <w:r>
        <w:rPr>
          <w:rFonts w:hint="eastAsia" w:ascii="仿宋" w:hAnsi="仿宋" w:eastAsia="仿宋" w:cs="仿宋"/>
          <w:color w:val="auto"/>
          <w:szCs w:val="21"/>
        </w:rPr>
        <w:t>》、《中华人民共和国建筑法》及其他有关法律、行政法规，遵循平等、自愿、公平和诚实信用的原则，各方就本建设工程施工协商一致，订立本合同。</w:t>
      </w:r>
    </w:p>
    <w:p w14:paraId="2E1700A1">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一、工程概况</w:t>
      </w:r>
    </w:p>
    <w:p w14:paraId="07F481AE">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工程名称：</w:t>
      </w:r>
      <w:r>
        <w:rPr>
          <w:rFonts w:hint="eastAsia" w:ascii="仿宋" w:hAnsi="仿宋" w:eastAsia="仿宋" w:cs="仿宋"/>
          <w:color w:val="auto"/>
          <w:szCs w:val="21"/>
          <w:u w:val="single"/>
          <w:lang w:val="en-US" w:eastAsia="zh-CN"/>
        </w:rPr>
        <w:t>宜川县人民医院介入中心导管室建设采购项目</w:t>
      </w:r>
      <w:r>
        <w:rPr>
          <w:rFonts w:hint="eastAsia" w:ascii="仿宋" w:hAnsi="仿宋" w:eastAsia="仿宋" w:cs="仿宋"/>
          <w:color w:val="auto"/>
          <w:szCs w:val="21"/>
          <w:u w:val="single"/>
        </w:rPr>
        <w:t xml:space="preserve"> </w:t>
      </w:r>
    </w:p>
    <w:p w14:paraId="118CC173">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工程地点：</w:t>
      </w:r>
      <w:r>
        <w:rPr>
          <w:rFonts w:hint="eastAsia" w:ascii="仿宋" w:hAnsi="仿宋" w:eastAsia="仿宋" w:cs="仿宋"/>
          <w:color w:val="auto"/>
          <w:szCs w:val="21"/>
          <w:u w:val="single"/>
          <w:lang w:eastAsia="zh-CN"/>
        </w:rPr>
        <w:t>延安市</w:t>
      </w:r>
      <w:r>
        <w:rPr>
          <w:rFonts w:hint="eastAsia" w:ascii="仿宋" w:hAnsi="仿宋" w:eastAsia="仿宋" w:cs="仿宋"/>
          <w:color w:val="auto"/>
          <w:szCs w:val="21"/>
          <w:u w:val="single"/>
          <w:lang w:val="en-US" w:eastAsia="zh-CN"/>
        </w:rPr>
        <w:t>宜川县</w:t>
      </w:r>
      <w:r>
        <w:rPr>
          <w:rFonts w:hint="eastAsia" w:ascii="仿宋" w:hAnsi="仿宋" w:eastAsia="仿宋" w:cs="仿宋"/>
          <w:color w:val="auto"/>
          <w:szCs w:val="21"/>
          <w:u w:val="single"/>
        </w:rPr>
        <w:t xml:space="preserve">                                               </w:t>
      </w:r>
    </w:p>
    <w:p w14:paraId="5F53B22C">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结构形式：</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层数：</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建筑面积：</w:t>
      </w:r>
      <w:r>
        <w:rPr>
          <w:rFonts w:hint="eastAsia" w:ascii="仿宋" w:hAnsi="仿宋" w:eastAsia="仿宋" w:cs="仿宋"/>
          <w:color w:val="auto"/>
          <w:szCs w:val="21"/>
          <w:u w:val="single"/>
        </w:rPr>
        <w:t xml:space="preserve">         </w:t>
      </w:r>
    </w:p>
    <w:p w14:paraId="481428F5">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群体工程应附承包人承揽工程项目一览表（附件1）</w:t>
      </w:r>
    </w:p>
    <w:p w14:paraId="4AD5DC69">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工程立项文号：</w:t>
      </w:r>
      <w:r>
        <w:rPr>
          <w:rFonts w:hint="eastAsia" w:ascii="仿宋" w:hAnsi="仿宋" w:eastAsia="仿宋" w:cs="仿宋"/>
          <w:color w:val="auto"/>
          <w:szCs w:val="21"/>
          <w:u w:val="single"/>
        </w:rPr>
        <w:t xml:space="preserve">                                           </w:t>
      </w:r>
    </w:p>
    <w:p w14:paraId="48954FDD">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资金来源：</w:t>
      </w:r>
      <w:r>
        <w:rPr>
          <w:rFonts w:hint="eastAsia" w:ascii="仿宋" w:hAnsi="仿宋" w:eastAsia="仿宋" w:cs="仿宋"/>
          <w:color w:val="auto"/>
          <w:szCs w:val="21"/>
          <w:u w:val="single"/>
        </w:rPr>
        <w:t xml:space="preserve">                                               </w:t>
      </w:r>
    </w:p>
    <w:p w14:paraId="4104E46B">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二、工程承包范围</w:t>
      </w:r>
    </w:p>
    <w:p w14:paraId="53EBA3F5">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承包范围：</w:t>
      </w:r>
      <w:r>
        <w:rPr>
          <w:rFonts w:hint="eastAsia" w:ascii="仿宋" w:hAnsi="仿宋" w:eastAsia="仿宋" w:cs="仿宋"/>
          <w:color w:val="auto"/>
          <w:szCs w:val="21"/>
          <w:u w:val="single"/>
          <w:lang w:val="en-US" w:eastAsia="zh-CN"/>
        </w:rPr>
        <w:t>宜川县人民医院介入中心导管室建设采购项目</w:t>
      </w:r>
      <w:r>
        <w:rPr>
          <w:rFonts w:hint="eastAsia" w:ascii="仿宋" w:hAnsi="仿宋" w:eastAsia="仿宋" w:cs="仿宋"/>
          <w:color w:val="auto"/>
          <w:kern w:val="0"/>
          <w:szCs w:val="21"/>
          <w:u w:val="single"/>
        </w:rPr>
        <w:t>（具体招标范围和工程量以第五章“工程量清单”描述为准）</w:t>
      </w:r>
      <w:r>
        <w:rPr>
          <w:rFonts w:hint="eastAsia" w:ascii="仿宋" w:hAnsi="仿宋" w:eastAsia="仿宋" w:cs="仿宋"/>
          <w:color w:val="auto"/>
          <w:kern w:val="0"/>
          <w:szCs w:val="21"/>
        </w:rPr>
        <w:t>。</w:t>
      </w:r>
    </w:p>
    <w:p w14:paraId="5234634B">
      <w:pPr>
        <w:adjustRightInd w:val="0"/>
        <w:snapToGrid w:val="0"/>
        <w:spacing w:line="360" w:lineRule="auto"/>
        <w:ind w:firstLine="422" w:firstLineChars="200"/>
        <w:rPr>
          <w:rFonts w:ascii="仿宋" w:hAnsi="仿宋" w:eastAsia="仿宋" w:cs="仿宋"/>
          <w:color w:val="auto"/>
          <w:szCs w:val="21"/>
          <w:highlight w:val="none"/>
        </w:rPr>
      </w:pPr>
      <w:r>
        <w:rPr>
          <w:rFonts w:hint="eastAsia" w:ascii="仿宋" w:hAnsi="仿宋" w:eastAsia="仿宋" w:cs="仿宋"/>
          <w:b/>
          <w:color w:val="auto"/>
          <w:szCs w:val="21"/>
          <w:highlight w:val="none"/>
        </w:rPr>
        <w:t>承包方式：</w:t>
      </w:r>
      <w:r>
        <w:rPr>
          <w:rFonts w:hint="eastAsia" w:ascii="仿宋" w:hAnsi="仿宋" w:eastAsia="仿宋" w:cs="仿宋"/>
          <w:b/>
          <w:color w:val="auto"/>
          <w:kern w:val="0"/>
          <w:szCs w:val="21"/>
          <w:highlight w:val="none"/>
          <w:u w:val="single"/>
        </w:rPr>
        <w:t>包工包料，包质量、包工期、包安全、包文明施工</w:t>
      </w:r>
      <w:r>
        <w:rPr>
          <w:rFonts w:hint="eastAsia" w:ascii="仿宋" w:hAnsi="仿宋" w:eastAsia="仿宋" w:cs="仿宋"/>
          <w:color w:val="auto"/>
          <w:kern w:val="0"/>
          <w:szCs w:val="21"/>
          <w:highlight w:val="none"/>
        </w:rPr>
        <w:t>。</w:t>
      </w:r>
    </w:p>
    <w:p w14:paraId="69A5E56C">
      <w:pPr>
        <w:adjustRightInd w:val="0"/>
        <w:snapToGrid w:val="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三、合同工期：</w:t>
      </w:r>
    </w:p>
    <w:p w14:paraId="4C7F3DA5">
      <w:pPr>
        <w:adjustRightInd w:val="0"/>
        <w:snapToGrid w:val="0"/>
        <w:spacing w:line="360" w:lineRule="auto"/>
        <w:ind w:firstLine="420" w:firstLineChars="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总日历天数：</w:t>
      </w:r>
      <w:r>
        <w:rPr>
          <w:rFonts w:hint="eastAsia" w:ascii="仿宋" w:hAnsi="仿宋" w:eastAsia="仿宋" w:cs="仿宋"/>
          <w:color w:val="auto"/>
          <w:szCs w:val="21"/>
          <w:highlight w:val="none"/>
          <w:u w:val="single"/>
          <w:lang w:val="en-US" w:eastAsia="zh-CN"/>
        </w:rPr>
        <w:t xml:space="preserve"> 40 </w:t>
      </w:r>
      <w:r>
        <w:rPr>
          <w:rFonts w:hint="eastAsia" w:ascii="仿宋" w:hAnsi="仿宋" w:eastAsia="仿宋" w:cs="仿宋"/>
          <w:color w:val="auto"/>
          <w:szCs w:val="21"/>
          <w:highlight w:val="none"/>
        </w:rPr>
        <w:t>天；计划开工日期：</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年</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月</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日 </w:t>
      </w:r>
      <w:r>
        <w:rPr>
          <w:rFonts w:hint="eastAsia" w:ascii="仿宋" w:hAnsi="仿宋" w:eastAsia="仿宋" w:cs="仿宋"/>
          <w:color w:val="auto"/>
          <w:szCs w:val="21"/>
          <w:highlight w:val="none"/>
        </w:rPr>
        <w:t>；计划竣工日期：</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年</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月</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日   </w:t>
      </w:r>
    </w:p>
    <w:p w14:paraId="2B4DEB50">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highlight w:val="none"/>
        </w:rPr>
        <w:t>（实际开、竣工时间以发</w:t>
      </w:r>
      <w:r>
        <w:rPr>
          <w:rFonts w:hint="eastAsia" w:ascii="仿宋" w:hAnsi="仿宋" w:eastAsia="仿宋" w:cs="仿宋"/>
          <w:color w:val="auto"/>
          <w:kern w:val="0"/>
          <w:szCs w:val="21"/>
        </w:rPr>
        <w:t>包人和监理单位最终审批的开、竣工报告时间为准）</w:t>
      </w:r>
    </w:p>
    <w:p w14:paraId="15B9618B">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四、质量标准</w:t>
      </w:r>
    </w:p>
    <w:p w14:paraId="2873C2E9">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bCs/>
          <w:color w:val="auto"/>
          <w:szCs w:val="21"/>
        </w:rPr>
        <w:t>本工程质量等级：</w:t>
      </w:r>
      <w:r>
        <w:rPr>
          <w:rFonts w:hint="eastAsia" w:ascii="仿宋" w:hAnsi="仿宋" w:eastAsia="仿宋" w:cs="仿宋"/>
          <w:color w:val="auto"/>
          <w:szCs w:val="21"/>
        </w:rPr>
        <w:t>合格。</w:t>
      </w:r>
      <w:r>
        <w:rPr>
          <w:rFonts w:hint="eastAsia" w:ascii="仿宋" w:hAnsi="仿宋" w:eastAsia="仿宋" w:cs="仿宋"/>
          <w:bCs/>
          <w:color w:val="auto"/>
          <w:szCs w:val="21"/>
        </w:rPr>
        <w:t>承包人严格按照国家颁发的施工验收规范及工程设计图纸要求进行施工，工程质量应达到国家或专业质量检验评定标准的合格条件。</w:t>
      </w:r>
      <w:r>
        <w:rPr>
          <w:rFonts w:hint="eastAsia" w:ascii="仿宋" w:hAnsi="仿宋" w:eastAsia="仿宋" w:cs="仿宋"/>
          <w:color w:val="auto"/>
          <w:szCs w:val="21"/>
        </w:rPr>
        <w:t>若达不到合格，除按要求整改至合格外（整改费用</w:t>
      </w:r>
      <w:r>
        <w:rPr>
          <w:rFonts w:hint="eastAsia" w:ascii="仿宋" w:hAnsi="仿宋" w:eastAsia="仿宋" w:cs="仿宋"/>
          <w:bCs/>
          <w:color w:val="auto"/>
          <w:szCs w:val="21"/>
        </w:rPr>
        <w:t>承包人</w:t>
      </w:r>
      <w:r>
        <w:rPr>
          <w:rFonts w:hint="eastAsia" w:ascii="仿宋" w:hAnsi="仿宋" w:eastAsia="仿宋" w:cs="仿宋"/>
          <w:color w:val="auto"/>
          <w:szCs w:val="21"/>
        </w:rPr>
        <w:t>自行承担），</w:t>
      </w:r>
      <w:r>
        <w:rPr>
          <w:rFonts w:hint="eastAsia" w:ascii="仿宋" w:hAnsi="仿宋" w:eastAsia="仿宋" w:cs="仿宋"/>
          <w:bCs/>
          <w:color w:val="auto"/>
          <w:szCs w:val="21"/>
        </w:rPr>
        <w:t>承包人</w:t>
      </w:r>
      <w:r>
        <w:rPr>
          <w:rFonts w:hint="eastAsia" w:ascii="仿宋" w:hAnsi="仿宋" w:eastAsia="仿宋" w:cs="仿宋"/>
          <w:color w:val="auto"/>
          <w:szCs w:val="21"/>
        </w:rPr>
        <w:t>还应接受合同价5%的罚款。</w:t>
      </w:r>
    </w:p>
    <w:p w14:paraId="3242E390">
      <w:pPr>
        <w:adjustRightInd w:val="0"/>
        <w:snapToGrid w:val="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五、合同价款</w:t>
      </w:r>
    </w:p>
    <w:p w14:paraId="2AD250F9">
      <w:pPr>
        <w:adjustRightInd w:val="0"/>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1、合同总价（大写）：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（人民币）元</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（小写）￥：</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w:t>
      </w:r>
    </w:p>
    <w:p w14:paraId="34C79494">
      <w:pPr>
        <w:adjustRightInd w:val="0"/>
        <w:snapToGrid w:val="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2、综合单价：详见承包人的报价书。</w:t>
      </w:r>
    </w:p>
    <w:p w14:paraId="3F4CDBD1">
      <w:pPr>
        <w:adjustRightInd w:val="0"/>
        <w:snapToGrid w:val="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六、承包人项目经理：</w:t>
      </w:r>
    </w:p>
    <w:p w14:paraId="7BBFC916">
      <w:pPr>
        <w:adjustRightInd w:val="0"/>
        <w:snapToGrid w:val="0"/>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姓名：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职称：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；身份证号：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；执业资格证书号：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；注册证书号：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7AF74952">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七、组成合同的文件</w:t>
      </w:r>
    </w:p>
    <w:p w14:paraId="06EAC1C4">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组成本合同的文件包括：</w:t>
      </w:r>
    </w:p>
    <w:p w14:paraId="5096722B">
      <w:pPr>
        <w:widowControl/>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① 本合同协议书及附件(含合同磋商中澄清文件)；</w:t>
      </w:r>
    </w:p>
    <w:p w14:paraId="39DA88AA">
      <w:pPr>
        <w:widowControl/>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② 合同专用条款(含数据表和答疑纪要中与此有关的部分)；</w:t>
      </w:r>
    </w:p>
    <w:p w14:paraId="3D37AA3B">
      <w:pPr>
        <w:widowControl/>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③ 本合同通用条款；</w:t>
      </w:r>
    </w:p>
    <w:p w14:paraId="64E8026B">
      <w:pPr>
        <w:widowControl/>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④ 中标通知书；</w:t>
      </w:r>
    </w:p>
    <w:p w14:paraId="7B4C36F8">
      <w:pPr>
        <w:widowControl/>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 xml:space="preserve">⑤ </w:t>
      </w:r>
      <w:r>
        <w:rPr>
          <w:rFonts w:hint="eastAsia" w:ascii="仿宋" w:hAnsi="仿宋" w:eastAsia="仿宋" w:cs="仿宋"/>
          <w:color w:val="auto"/>
          <w:kern w:val="0"/>
          <w:szCs w:val="21"/>
          <w:lang w:eastAsia="zh-CN"/>
        </w:rPr>
        <w:t>磋商文件</w:t>
      </w:r>
      <w:r>
        <w:rPr>
          <w:rFonts w:hint="eastAsia" w:ascii="仿宋" w:hAnsi="仿宋" w:eastAsia="仿宋" w:cs="仿宋"/>
          <w:color w:val="auto"/>
          <w:kern w:val="0"/>
          <w:szCs w:val="21"/>
        </w:rPr>
        <w:t>(含答疑纪要、工程量清单与此有关的部分)；</w:t>
      </w:r>
    </w:p>
    <w:p w14:paraId="429C42D3">
      <w:pPr>
        <w:widowControl/>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⑥ 磋商书及磋商书附录(含承包人在评标期间递交和确认并经发包人同意的对有关问题的补充资料和澄清文件等)；</w:t>
      </w:r>
    </w:p>
    <w:p w14:paraId="001D297D">
      <w:pPr>
        <w:widowControl/>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⑦ 图纸；</w:t>
      </w:r>
    </w:p>
    <w:p w14:paraId="079260F0">
      <w:pPr>
        <w:widowControl/>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⑧ 标准、规范及有关技术文件；</w:t>
      </w:r>
    </w:p>
    <w:p w14:paraId="79F6F369">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kern w:val="0"/>
          <w:szCs w:val="21"/>
        </w:rPr>
        <w:t>⑨ 合同履行中，发包人承包人有关工程的洽商、变更等书面协议或文件视为本合同的组成部分，与本合同具有同等法律效力。</w:t>
      </w:r>
    </w:p>
    <w:p w14:paraId="396B5759">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八、本协议书中有关词语含义与本合同第二部分《通用条款》中赋予的定义相同。</w:t>
      </w:r>
    </w:p>
    <w:p w14:paraId="6FBABCF0">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九、承包人按照合同约定进行施工、竣工并在质量保修期内承担工程质量保修责任。</w:t>
      </w:r>
    </w:p>
    <w:p w14:paraId="1080793D">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十、发包人按照合同约定的期限和方式支付合同价款及其他应当支付的款项。</w:t>
      </w:r>
    </w:p>
    <w:p w14:paraId="2613746F">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十一、合同生效</w:t>
      </w:r>
    </w:p>
    <w:p w14:paraId="42412B11">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合同订立时间：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14:paraId="4BFCB052">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合同订立地点：</w:t>
      </w:r>
      <w:r>
        <w:rPr>
          <w:rFonts w:hint="eastAsia" w:ascii="仿宋" w:hAnsi="仿宋" w:eastAsia="仿宋" w:cs="仿宋"/>
          <w:color w:val="auto"/>
          <w:szCs w:val="21"/>
          <w:u w:val="single"/>
        </w:rPr>
        <w:t xml:space="preserve">                        </w:t>
      </w:r>
    </w:p>
    <w:p w14:paraId="308C2D97">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本合同各方约定</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后生效。</w:t>
      </w:r>
    </w:p>
    <w:p w14:paraId="78E7D2CB">
      <w:pPr>
        <w:tabs>
          <w:tab w:val="left" w:pos="6660"/>
        </w:tabs>
        <w:spacing w:line="360" w:lineRule="auto"/>
        <w:ind w:firstLine="420" w:firstLineChars="200"/>
        <w:rPr>
          <w:rFonts w:ascii="仿宋" w:hAnsi="仿宋" w:eastAsia="仿宋" w:cs="仿宋"/>
          <w:color w:val="auto"/>
          <w:szCs w:val="21"/>
        </w:rPr>
      </w:pPr>
    </w:p>
    <w:p w14:paraId="5500FE0B">
      <w:pPr>
        <w:tabs>
          <w:tab w:val="left" w:pos="5220"/>
        </w:tabs>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发  包  人：（公章）</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承  包  人：（公章）</w:t>
      </w:r>
      <w:r>
        <w:rPr>
          <w:rFonts w:hint="eastAsia" w:ascii="仿宋" w:hAnsi="仿宋" w:eastAsia="仿宋" w:cs="仿宋"/>
          <w:color w:val="auto"/>
          <w:szCs w:val="21"/>
          <w:u w:val="single"/>
        </w:rPr>
        <w:t xml:space="preserve">         </w:t>
      </w:r>
    </w:p>
    <w:p w14:paraId="51A31F5B">
      <w:pPr>
        <w:tabs>
          <w:tab w:val="left" w:pos="5040"/>
          <w:tab w:val="left" w:pos="6300"/>
          <w:tab w:val="left" w:pos="9180"/>
        </w:tabs>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地      址：</w:t>
      </w:r>
      <w:r>
        <w:rPr>
          <w:rFonts w:hint="eastAsia" w:ascii="仿宋" w:hAnsi="仿宋" w:eastAsia="仿宋" w:cs="仿宋"/>
          <w:color w:val="auto"/>
          <w:szCs w:val="21"/>
          <w:u w:val="single"/>
        </w:rPr>
        <w:t xml:space="preserve">                </w:t>
      </w:r>
    </w:p>
    <w:p w14:paraId="7AABD65E">
      <w:pPr>
        <w:tabs>
          <w:tab w:val="left" w:pos="5040"/>
        </w:tabs>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邮 政 编码：</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邮 政 编码：</w:t>
      </w:r>
      <w:r>
        <w:rPr>
          <w:rFonts w:hint="eastAsia" w:ascii="仿宋" w:hAnsi="仿宋" w:eastAsia="仿宋" w:cs="仿宋"/>
          <w:color w:val="auto"/>
          <w:szCs w:val="21"/>
          <w:u w:val="single"/>
        </w:rPr>
        <w:t xml:space="preserve">               </w:t>
      </w:r>
    </w:p>
    <w:p w14:paraId="1F542F98">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法定代表人：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法定代表人：</w:t>
      </w:r>
      <w:r>
        <w:rPr>
          <w:rFonts w:hint="eastAsia" w:ascii="仿宋" w:hAnsi="仿宋" w:eastAsia="仿宋" w:cs="仿宋"/>
          <w:color w:val="auto"/>
          <w:szCs w:val="21"/>
          <w:u w:val="single"/>
        </w:rPr>
        <w:t xml:space="preserve">               </w:t>
      </w:r>
    </w:p>
    <w:p w14:paraId="2881356B">
      <w:pPr>
        <w:tabs>
          <w:tab w:val="left" w:pos="6300"/>
        </w:tabs>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委托代理人：</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委托代理人：</w:t>
      </w:r>
      <w:r>
        <w:rPr>
          <w:rFonts w:hint="eastAsia" w:ascii="仿宋" w:hAnsi="仿宋" w:eastAsia="仿宋" w:cs="仿宋"/>
          <w:color w:val="auto"/>
          <w:szCs w:val="21"/>
          <w:u w:val="single"/>
        </w:rPr>
        <w:t xml:space="preserve">               </w:t>
      </w:r>
    </w:p>
    <w:p w14:paraId="207B3DE9">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电      话：</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电      话：</w:t>
      </w:r>
      <w:r>
        <w:rPr>
          <w:rFonts w:hint="eastAsia" w:ascii="仿宋" w:hAnsi="仿宋" w:eastAsia="仿宋" w:cs="仿宋"/>
          <w:color w:val="auto"/>
          <w:szCs w:val="21"/>
          <w:u w:val="single"/>
        </w:rPr>
        <w:t xml:space="preserve">               </w:t>
      </w:r>
    </w:p>
    <w:p w14:paraId="649B7157">
      <w:pPr>
        <w:spacing w:line="360" w:lineRule="auto"/>
        <w:ind w:firstLine="420" w:firstLineChars="200"/>
        <w:rPr>
          <w:rFonts w:ascii="仿宋" w:hAnsi="仿宋" w:eastAsia="仿宋" w:cs="仿宋"/>
          <w:b/>
          <w:color w:val="auto"/>
          <w:szCs w:val="21"/>
        </w:rPr>
      </w:pPr>
      <w:r>
        <w:rPr>
          <w:rFonts w:hint="eastAsia" w:ascii="仿宋" w:hAnsi="仿宋" w:eastAsia="仿宋" w:cs="仿宋"/>
          <w:color w:val="auto"/>
          <w:szCs w:val="21"/>
        </w:rPr>
        <w:t>传      真：</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传      真：</w:t>
      </w:r>
      <w:r>
        <w:rPr>
          <w:rFonts w:hint="eastAsia" w:ascii="仿宋" w:hAnsi="仿宋" w:eastAsia="仿宋" w:cs="仿宋"/>
          <w:color w:val="auto"/>
          <w:szCs w:val="21"/>
          <w:u w:val="single"/>
        </w:rPr>
        <w:t xml:space="preserve">               </w:t>
      </w:r>
    </w:p>
    <w:p w14:paraId="26263C1A">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开 户 银行：</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开 户 银行：</w:t>
      </w:r>
      <w:r>
        <w:rPr>
          <w:rFonts w:hint="eastAsia" w:ascii="仿宋" w:hAnsi="仿宋" w:eastAsia="仿宋" w:cs="仿宋"/>
          <w:color w:val="auto"/>
          <w:szCs w:val="21"/>
          <w:u w:val="single"/>
        </w:rPr>
        <w:t xml:space="preserve">               </w:t>
      </w:r>
    </w:p>
    <w:p w14:paraId="54B49E76">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帐      号：</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 xml:space="preserve">   帐      号：</w:t>
      </w:r>
      <w:r>
        <w:rPr>
          <w:rFonts w:hint="eastAsia" w:ascii="仿宋" w:hAnsi="仿宋" w:eastAsia="仿宋" w:cs="仿宋"/>
          <w:color w:val="auto"/>
          <w:szCs w:val="21"/>
          <w:u w:val="single"/>
        </w:rPr>
        <w:t xml:space="preserve">               </w:t>
      </w:r>
    </w:p>
    <w:p w14:paraId="013E47D3">
      <w:pPr>
        <w:widowControl/>
        <w:jc w:val="left"/>
        <w:rPr>
          <w:rFonts w:ascii="仿宋" w:hAnsi="仿宋" w:eastAsia="仿宋" w:cs="仿宋"/>
          <w:b/>
          <w:bCs/>
          <w:color w:val="auto"/>
          <w:sz w:val="24"/>
        </w:rPr>
      </w:pPr>
      <w:bookmarkStart w:id="439" w:name="_Toc325032605"/>
      <w:bookmarkStart w:id="440" w:name="_Toc342748410"/>
      <w:bookmarkStart w:id="441" w:name="_Toc317065394"/>
      <w:r>
        <w:rPr>
          <w:rFonts w:ascii="仿宋" w:hAnsi="仿宋" w:eastAsia="仿宋" w:cs="仿宋"/>
          <w:b/>
          <w:bCs/>
          <w:color w:val="auto"/>
          <w:sz w:val="24"/>
        </w:rPr>
        <w:br w:type="page"/>
      </w:r>
    </w:p>
    <w:p w14:paraId="1D7B3595">
      <w:pPr>
        <w:pStyle w:val="3"/>
        <w:tabs>
          <w:tab w:val="left" w:pos="3780"/>
        </w:tabs>
        <w:jc w:val="center"/>
        <w:rPr>
          <w:rFonts w:ascii="仿宋" w:hAnsi="仿宋" w:eastAsia="仿宋" w:cs="仿宋"/>
          <w:color w:val="auto"/>
        </w:rPr>
      </w:pPr>
      <w:bookmarkStart w:id="442" w:name="_Toc21330"/>
      <w:bookmarkStart w:id="443" w:name="_Toc14905"/>
      <w:r>
        <w:rPr>
          <w:rFonts w:hint="eastAsia" w:ascii="仿宋" w:hAnsi="仿宋" w:eastAsia="仿宋" w:cs="仿宋"/>
          <w:color w:val="auto"/>
        </w:rPr>
        <w:t>第二部分  通用条款</w:t>
      </w:r>
      <w:bookmarkEnd w:id="439"/>
      <w:bookmarkEnd w:id="440"/>
      <w:bookmarkEnd w:id="441"/>
      <w:bookmarkEnd w:id="442"/>
      <w:bookmarkEnd w:id="443"/>
    </w:p>
    <w:p w14:paraId="774AD782">
      <w:pPr>
        <w:jc w:val="center"/>
        <w:rPr>
          <w:rFonts w:ascii="仿宋" w:hAnsi="仿宋" w:eastAsia="仿宋" w:cs="仿宋"/>
          <w:b/>
          <w:color w:val="auto"/>
          <w:sz w:val="28"/>
          <w:szCs w:val="28"/>
        </w:rPr>
      </w:pPr>
      <w:r>
        <w:rPr>
          <w:rFonts w:hint="eastAsia" w:ascii="仿宋" w:hAnsi="仿宋" w:eastAsia="仿宋" w:cs="仿宋"/>
          <w:b/>
          <w:color w:val="auto"/>
          <w:sz w:val="28"/>
          <w:szCs w:val="28"/>
        </w:rPr>
        <w:t>（略）</w:t>
      </w:r>
    </w:p>
    <w:p w14:paraId="010A13E9">
      <w:pPr>
        <w:pStyle w:val="3"/>
        <w:tabs>
          <w:tab w:val="left" w:pos="3780"/>
        </w:tabs>
        <w:jc w:val="center"/>
        <w:rPr>
          <w:rFonts w:ascii="仿宋" w:hAnsi="仿宋" w:eastAsia="仿宋" w:cs="仿宋"/>
          <w:color w:val="auto"/>
        </w:rPr>
      </w:pPr>
      <w:r>
        <w:rPr>
          <w:rFonts w:hint="eastAsia" w:ascii="仿宋" w:hAnsi="仿宋" w:eastAsia="仿宋" w:cs="仿宋"/>
          <w:color w:val="auto"/>
        </w:rPr>
        <w:br w:type="page"/>
      </w:r>
      <w:bookmarkStart w:id="444" w:name="_Toc342748411"/>
      <w:bookmarkStart w:id="445" w:name="_Toc14690"/>
      <w:bookmarkStart w:id="446" w:name="_Toc3645"/>
      <w:r>
        <w:rPr>
          <w:rFonts w:hint="eastAsia" w:ascii="仿宋" w:hAnsi="仿宋" w:eastAsia="仿宋" w:cs="仿宋"/>
          <w:color w:val="auto"/>
        </w:rPr>
        <w:t>第</w:t>
      </w:r>
      <w:r>
        <w:rPr>
          <w:rFonts w:hint="eastAsia" w:ascii="仿宋" w:hAnsi="仿宋" w:eastAsia="仿宋" w:cs="仿宋"/>
          <w:color w:val="auto"/>
          <w:lang w:val="en-US" w:eastAsia="zh-CN"/>
        </w:rPr>
        <w:t>三</w:t>
      </w:r>
      <w:r>
        <w:rPr>
          <w:rFonts w:hint="eastAsia" w:ascii="仿宋" w:hAnsi="仿宋" w:eastAsia="仿宋" w:cs="仿宋"/>
          <w:color w:val="auto"/>
        </w:rPr>
        <w:t>部分  专用条款</w:t>
      </w:r>
      <w:bookmarkEnd w:id="411"/>
      <w:bookmarkEnd w:id="444"/>
      <w:bookmarkEnd w:id="445"/>
      <w:bookmarkEnd w:id="446"/>
    </w:p>
    <w:p w14:paraId="42ED199C">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一、词语定义及合同文件</w:t>
      </w:r>
    </w:p>
    <w:p w14:paraId="794980DE">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2、合同文件及解释顺序</w:t>
      </w:r>
    </w:p>
    <w:p w14:paraId="4B8330C2">
      <w:pPr>
        <w:adjustRightInd w:val="0"/>
        <w:snapToGrid w:val="0"/>
        <w:spacing w:line="360" w:lineRule="auto"/>
        <w:ind w:firstLine="420" w:firstLineChars="200"/>
        <w:jc w:val="left"/>
        <w:rPr>
          <w:rFonts w:ascii="仿宋" w:hAnsi="仿宋" w:eastAsia="仿宋" w:cs="仿宋"/>
          <w:color w:val="auto"/>
          <w:kern w:val="0"/>
          <w:szCs w:val="21"/>
        </w:rPr>
      </w:pPr>
      <w:r>
        <w:rPr>
          <w:rFonts w:hint="eastAsia" w:ascii="仿宋" w:hAnsi="仿宋" w:eastAsia="仿宋" w:cs="仿宋"/>
          <w:color w:val="auto"/>
          <w:kern w:val="0"/>
          <w:szCs w:val="21"/>
        </w:rPr>
        <w:t>合同文件组成及解释顺序：</w:t>
      </w:r>
    </w:p>
    <w:p w14:paraId="7F6ACA14">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① 本合同协议书及附件(含合同磋商中澄清文件)；</w:t>
      </w:r>
    </w:p>
    <w:p w14:paraId="3A294C8B">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② 合同专用条款(含数据表和答疑纪要中与此有关的部分)；</w:t>
      </w:r>
    </w:p>
    <w:p w14:paraId="7598DA2D">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③ 本合同通用条款；</w:t>
      </w:r>
    </w:p>
    <w:p w14:paraId="15F41E22">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④ 中标通知书；</w:t>
      </w:r>
    </w:p>
    <w:p w14:paraId="0BC55B75">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 xml:space="preserve">⑤ </w:t>
      </w:r>
      <w:r>
        <w:rPr>
          <w:rFonts w:hint="eastAsia" w:ascii="仿宋" w:hAnsi="仿宋" w:eastAsia="仿宋" w:cs="仿宋"/>
          <w:color w:val="auto"/>
          <w:kern w:val="0"/>
          <w:szCs w:val="21"/>
          <w:lang w:eastAsia="zh-CN"/>
        </w:rPr>
        <w:t>磋商文件</w:t>
      </w:r>
      <w:r>
        <w:rPr>
          <w:rFonts w:hint="eastAsia" w:ascii="仿宋" w:hAnsi="仿宋" w:eastAsia="仿宋" w:cs="仿宋"/>
          <w:color w:val="auto"/>
          <w:kern w:val="0"/>
          <w:szCs w:val="21"/>
        </w:rPr>
        <w:t>(含答疑纪要、工程量清单与此有关的部分)；</w:t>
      </w:r>
    </w:p>
    <w:p w14:paraId="382CED0E">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⑥ 磋商书及磋商书附录(含承包人在评标期间递交和确认并经发包人同意的对有关问题的补充资料和澄清文件等)；</w:t>
      </w:r>
    </w:p>
    <w:p w14:paraId="4977196C">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⑦ 图纸；</w:t>
      </w:r>
    </w:p>
    <w:p w14:paraId="039E84D5">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⑧ 标准、规范及有关技术文件；</w:t>
      </w:r>
    </w:p>
    <w:p w14:paraId="0699A132">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⑨ 合同履行中，发包人承包人有关工程的洽商、变更等书面协议或文件视为本合同的组成部分，与本合同具有同等法律效力。</w:t>
      </w:r>
    </w:p>
    <w:p w14:paraId="7B434FE3">
      <w:pPr>
        <w:adjustRightInd w:val="0"/>
        <w:snapToGrid w:val="0"/>
        <w:spacing w:line="360" w:lineRule="auto"/>
        <w:ind w:firstLine="420" w:firstLineChars="200"/>
        <w:jc w:val="left"/>
        <w:rPr>
          <w:rFonts w:ascii="仿宋" w:hAnsi="仿宋" w:eastAsia="仿宋" w:cs="仿宋"/>
          <w:color w:val="auto"/>
          <w:kern w:val="0"/>
          <w:szCs w:val="21"/>
        </w:rPr>
      </w:pPr>
      <w:r>
        <w:rPr>
          <w:rFonts w:hint="eastAsia" w:ascii="仿宋" w:hAnsi="仿宋" w:eastAsia="仿宋" w:cs="仿宋"/>
          <w:color w:val="auto"/>
          <w:szCs w:val="21"/>
        </w:rPr>
        <w:t>上述文件互相补充和解释，如有不明确或不一致之处，以合同约定次序在先者为准。</w:t>
      </w:r>
    </w:p>
    <w:p w14:paraId="7C5925A2">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3、语言文字和适用法律、标准及规范</w:t>
      </w:r>
    </w:p>
    <w:p w14:paraId="7A7E4453">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3.1本合同使用汉语表述。</w:t>
      </w:r>
    </w:p>
    <w:p w14:paraId="1AEC2775">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3.2适用法律和法规</w:t>
      </w:r>
    </w:p>
    <w:p w14:paraId="2B480EA6">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需要明示的法律、行政法规：</w:t>
      </w:r>
      <w:r>
        <w:rPr>
          <w:rFonts w:hint="eastAsia" w:ascii="仿宋" w:hAnsi="仿宋" w:eastAsia="仿宋" w:cs="仿宋"/>
          <w:color w:val="auto"/>
          <w:szCs w:val="21"/>
          <w:u w:val="single"/>
        </w:rPr>
        <w:t>中华人民共和国法律、行政法规、部门规章，以及工程所在地的地方法规和地方政府规章。</w:t>
      </w:r>
    </w:p>
    <w:p w14:paraId="2E56BC07">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3.3适用标准、规范</w:t>
      </w:r>
    </w:p>
    <w:p w14:paraId="6C8475DA">
      <w:pPr>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适用标准、规范的名称：</w:t>
      </w:r>
    </w:p>
    <w:p w14:paraId="0295806A">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3.3.1现行国家标准、规范和建设部等有关施工技术标准、规程、规范以及本工程设计要求，陕西省和西安市有关工程质量、安全文明施工、竣工验收等规定、《建筑工程施工质量验收统一标准》GB50300-2001、《室内环境质量标准》GB/T18883-2002等。</w:t>
      </w:r>
    </w:p>
    <w:p w14:paraId="45DC3243">
      <w:pPr>
        <w:spacing w:line="360" w:lineRule="auto"/>
        <w:ind w:firstLine="315" w:firstLineChars="150"/>
        <w:rPr>
          <w:rFonts w:ascii="仿宋" w:hAnsi="仿宋" w:eastAsia="仿宋" w:cs="仿宋"/>
          <w:color w:val="auto"/>
          <w:szCs w:val="21"/>
        </w:rPr>
      </w:pPr>
      <w:r>
        <w:rPr>
          <w:rFonts w:hint="eastAsia" w:ascii="仿宋" w:hAnsi="仿宋" w:eastAsia="仿宋" w:cs="仿宋"/>
          <w:color w:val="auto"/>
          <w:szCs w:val="21"/>
        </w:rPr>
        <w:t xml:space="preserve"> 3.3.2工程招磋商及施工期间，如果有新版的 规范和标准颁布，原则上应执行新版的规范和标准，仍需执行非最新版本规范和标准的，需征得发包人和监理工程师的同意。</w:t>
      </w:r>
    </w:p>
    <w:p w14:paraId="2F22702C">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3.3.3对不在规范验评范围内项目，执行发包人和承包人双方议定的补充技术标准，本</w:t>
      </w:r>
      <w:r>
        <w:rPr>
          <w:rFonts w:hint="eastAsia" w:ascii="仿宋" w:hAnsi="仿宋" w:eastAsia="仿宋" w:cs="仿宋"/>
          <w:color w:val="auto"/>
          <w:szCs w:val="21"/>
          <w:lang w:eastAsia="zh-CN"/>
        </w:rPr>
        <w:t>磋商文件</w:t>
      </w:r>
      <w:r>
        <w:rPr>
          <w:rFonts w:hint="eastAsia" w:ascii="仿宋" w:hAnsi="仿宋" w:eastAsia="仿宋" w:cs="仿宋"/>
          <w:color w:val="auto"/>
          <w:szCs w:val="21"/>
        </w:rPr>
        <w:t>、设计院、制造厂家的施工技术要求，如有冲突，按上述排序解释。</w:t>
      </w:r>
    </w:p>
    <w:p w14:paraId="7EB4F283">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3.3.4如遇设计与国家相关规范、标准对同一问题的处理出现互相矛盾的情况时，原则上以设计单位解释为准，同时承包人尚应及时通知发包人、监理工程师，并提出解决办法，征得发包人、设计单位、监理工程师的同意后实施。</w:t>
      </w:r>
    </w:p>
    <w:p w14:paraId="4FCF1DF0">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发包人提供标准、规范的时间：除施工图纸外所有标准、规范、规程及标准图集等均由承包人自备，费用承包人自理。</w:t>
      </w:r>
    </w:p>
    <w:p w14:paraId="5BAD50E2">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国内没有相应标准、规定的时间：凡涉及国内没有相应标准、规范、规程的，承包人应立即通知发包人及监理工程师，并提供力采用相应标准（如企业标准、国外标准等）、规范或经验做法、需要的理由和时间，由发包人与监理工程师、设计院确认方可执行、本条所发生的购买、翻译标准、规范或指定施工工艺的费用，由承包人承担。</w:t>
      </w:r>
    </w:p>
    <w:p w14:paraId="569A73F6">
      <w:pPr>
        <w:adjustRightInd w:val="0"/>
        <w:snapToGrid w:val="0"/>
        <w:spacing w:line="360" w:lineRule="auto"/>
        <w:ind w:firstLine="525" w:firstLineChars="250"/>
        <w:rPr>
          <w:rFonts w:ascii="仿宋" w:hAnsi="仿宋" w:eastAsia="仿宋" w:cs="仿宋"/>
          <w:color w:val="auto"/>
          <w:kern w:val="0"/>
          <w:szCs w:val="21"/>
        </w:rPr>
      </w:pPr>
      <w:r>
        <w:rPr>
          <w:rFonts w:hint="eastAsia" w:ascii="仿宋" w:hAnsi="仿宋" w:eastAsia="仿宋" w:cs="仿宋"/>
          <w:color w:val="auto"/>
          <w:kern w:val="0"/>
          <w:szCs w:val="21"/>
        </w:rPr>
        <w:t>4、图纸</w:t>
      </w:r>
    </w:p>
    <w:p w14:paraId="5369029C">
      <w:pPr>
        <w:pStyle w:val="28"/>
        <w:adjustRightInd w:val="0"/>
        <w:snapToGrid w:val="0"/>
        <w:ind w:firstLine="472" w:firstLineChars="225"/>
        <w:rPr>
          <w:rFonts w:ascii="仿宋" w:hAnsi="仿宋" w:eastAsia="仿宋" w:cs="仿宋"/>
          <w:b/>
          <w:color w:val="auto"/>
        </w:rPr>
      </w:pPr>
      <w:r>
        <w:rPr>
          <w:rFonts w:hint="eastAsia" w:ascii="仿宋" w:hAnsi="仿宋" w:eastAsia="仿宋" w:cs="仿宋"/>
          <w:color w:val="auto"/>
          <w:kern w:val="0"/>
        </w:rPr>
        <w:t>4.1发包人向承包人提供图纸日期和套数：</w:t>
      </w:r>
      <w:r>
        <w:rPr>
          <w:rFonts w:hint="eastAsia" w:ascii="仿宋" w:hAnsi="仿宋" w:eastAsia="仿宋" w:cs="仿宋"/>
          <w:color w:val="auto"/>
          <w:u w:val="single"/>
        </w:rPr>
        <w:t>开工前发包人向承包人提供全套施工图肆套；其中叁套用于竣工图。（提供的图纸数量不满足要求，承包人可向发包人申请加晒图纸，费用由承包人承担。）</w:t>
      </w:r>
    </w:p>
    <w:p w14:paraId="16FDC837">
      <w:pPr>
        <w:pStyle w:val="28"/>
        <w:adjustRightInd w:val="0"/>
        <w:snapToGrid w:val="0"/>
        <w:ind w:firstLine="472" w:firstLineChars="225"/>
        <w:rPr>
          <w:rFonts w:ascii="仿宋" w:hAnsi="仿宋" w:eastAsia="仿宋" w:cs="仿宋"/>
          <w:color w:val="auto"/>
        </w:rPr>
      </w:pPr>
      <w:r>
        <w:rPr>
          <w:rFonts w:hint="eastAsia" w:ascii="仿宋" w:hAnsi="仿宋" w:eastAsia="仿宋" w:cs="仿宋"/>
          <w:color w:val="auto"/>
          <w:kern w:val="0"/>
        </w:rPr>
        <w:t>发包人对其向承包人提供的图纸的保密要求：</w:t>
      </w:r>
      <w:r>
        <w:rPr>
          <w:rFonts w:hint="eastAsia" w:ascii="仿宋" w:hAnsi="仿宋" w:eastAsia="仿宋" w:cs="仿宋"/>
          <w:color w:val="auto"/>
          <w:u w:val="single"/>
        </w:rPr>
        <w:t>不得向第三方外传、外借、转让、披露，仅用于本工程的施工及验收的全过程。</w:t>
      </w:r>
    </w:p>
    <w:p w14:paraId="1B52F0EB">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使用国外图纸的要求及费用承担：</w:t>
      </w:r>
      <w:r>
        <w:rPr>
          <w:rFonts w:hint="eastAsia" w:ascii="仿宋" w:hAnsi="仿宋" w:eastAsia="仿宋" w:cs="仿宋"/>
          <w:color w:val="auto"/>
          <w:kern w:val="0"/>
          <w:szCs w:val="21"/>
          <w:u w:val="single"/>
        </w:rPr>
        <w:t xml:space="preserve">   ／  </w:t>
      </w:r>
    </w:p>
    <w:p w14:paraId="18224045">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二、双方一般权利和义务</w:t>
      </w:r>
    </w:p>
    <w:p w14:paraId="541D63E6">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5、工程师</w:t>
      </w:r>
    </w:p>
    <w:p w14:paraId="29285AB4">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5.2监理单位委派的工程师</w:t>
      </w:r>
    </w:p>
    <w:p w14:paraId="1DB67CDC">
      <w:pPr>
        <w:adjustRightInd w:val="0"/>
        <w:snapToGrid w:val="0"/>
        <w:spacing w:line="360" w:lineRule="auto"/>
        <w:ind w:left="479" w:leftChars="228"/>
        <w:rPr>
          <w:rFonts w:ascii="仿宋" w:hAnsi="仿宋" w:eastAsia="仿宋" w:cs="仿宋"/>
          <w:color w:val="auto"/>
          <w:kern w:val="0"/>
          <w:szCs w:val="21"/>
        </w:rPr>
      </w:pPr>
      <w:r>
        <w:rPr>
          <w:rFonts w:hint="eastAsia" w:ascii="仿宋" w:hAnsi="仿宋" w:eastAsia="仿宋" w:cs="仿宋"/>
          <w:color w:val="auto"/>
          <w:kern w:val="0"/>
          <w:szCs w:val="21"/>
        </w:rPr>
        <w:t>姓名：</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职务：</w:t>
      </w:r>
      <w:r>
        <w:rPr>
          <w:rFonts w:hint="eastAsia" w:ascii="仿宋" w:hAnsi="仿宋" w:eastAsia="仿宋" w:cs="仿宋"/>
          <w:color w:val="auto"/>
          <w:kern w:val="0"/>
          <w:szCs w:val="21"/>
          <w:u w:val="single"/>
        </w:rPr>
        <w:t xml:space="preserve">                   </w:t>
      </w:r>
    </w:p>
    <w:p w14:paraId="3BF95DB3">
      <w:pPr>
        <w:adjustRightInd w:val="0"/>
        <w:snapToGrid w:val="0"/>
        <w:spacing w:line="360" w:lineRule="auto"/>
        <w:ind w:left="479" w:leftChars="228"/>
        <w:rPr>
          <w:rFonts w:ascii="仿宋" w:hAnsi="仿宋" w:eastAsia="仿宋" w:cs="仿宋"/>
          <w:color w:val="auto"/>
          <w:szCs w:val="21"/>
          <w:u w:val="single"/>
        </w:rPr>
      </w:pPr>
      <w:r>
        <w:rPr>
          <w:rFonts w:hint="eastAsia" w:ascii="仿宋" w:hAnsi="仿宋" w:eastAsia="仿宋" w:cs="仿宋"/>
          <w:color w:val="auto"/>
          <w:kern w:val="0"/>
          <w:szCs w:val="21"/>
        </w:rPr>
        <w:t>发包人委托的职权：</w:t>
      </w:r>
      <w:r>
        <w:rPr>
          <w:rFonts w:hint="eastAsia" w:ascii="仿宋" w:hAnsi="仿宋" w:eastAsia="仿宋" w:cs="仿宋"/>
          <w:color w:val="auto"/>
          <w:szCs w:val="21"/>
          <w:u w:val="single"/>
        </w:rPr>
        <w:t>依据监理合同行使职权。</w:t>
      </w:r>
    </w:p>
    <w:p w14:paraId="02C122DC">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需要取得发包人批准才能行使的职权：</w:t>
      </w:r>
      <w:r>
        <w:rPr>
          <w:rFonts w:hint="eastAsia" w:ascii="仿宋" w:hAnsi="仿宋" w:eastAsia="仿宋" w:cs="仿宋"/>
          <w:color w:val="auto"/>
          <w:szCs w:val="21"/>
          <w:u w:val="single"/>
        </w:rPr>
        <w:t>依据监理合同行使职权。</w:t>
      </w:r>
    </w:p>
    <w:p w14:paraId="2B084615">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5.3发包人派驻的工程师</w:t>
      </w:r>
    </w:p>
    <w:p w14:paraId="4C481452">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姓名：</w:t>
      </w:r>
      <w:r>
        <w:rPr>
          <w:rFonts w:hint="eastAsia" w:ascii="仿宋" w:hAnsi="仿宋" w:eastAsia="仿宋" w:cs="仿宋"/>
          <w:color w:val="auto"/>
          <w:szCs w:val="21"/>
          <w:u w:val="single"/>
        </w:rPr>
        <w:t xml:space="preserve">                </w:t>
      </w:r>
      <w:r>
        <w:rPr>
          <w:rFonts w:hint="eastAsia" w:ascii="仿宋" w:hAnsi="仿宋" w:eastAsia="仿宋" w:cs="仿宋"/>
          <w:color w:val="auto"/>
          <w:kern w:val="0"/>
          <w:szCs w:val="21"/>
        </w:rPr>
        <w:t>职务：</w:t>
      </w:r>
      <w:r>
        <w:rPr>
          <w:rFonts w:hint="eastAsia" w:ascii="仿宋" w:hAnsi="仿宋" w:eastAsia="仿宋" w:cs="仿宋"/>
          <w:color w:val="auto"/>
          <w:kern w:val="0"/>
          <w:szCs w:val="21"/>
          <w:u w:val="single"/>
        </w:rPr>
        <w:t xml:space="preserve">               </w:t>
      </w:r>
    </w:p>
    <w:p w14:paraId="02081FDB">
      <w:pPr>
        <w:pStyle w:val="28"/>
        <w:adjustRightInd w:val="0"/>
        <w:snapToGrid w:val="0"/>
        <w:ind w:firstLine="472" w:firstLineChars="225"/>
        <w:rPr>
          <w:rFonts w:ascii="仿宋" w:hAnsi="仿宋" w:eastAsia="仿宋" w:cs="仿宋"/>
          <w:color w:val="auto"/>
          <w:spacing w:val="-10"/>
          <w:u w:val="single"/>
        </w:rPr>
      </w:pPr>
      <w:r>
        <w:rPr>
          <w:rFonts w:hint="eastAsia" w:ascii="仿宋" w:hAnsi="仿宋" w:eastAsia="仿宋" w:cs="仿宋"/>
          <w:color w:val="auto"/>
          <w:kern w:val="0"/>
        </w:rPr>
        <w:t>职权：</w:t>
      </w:r>
      <w:r>
        <w:rPr>
          <w:rFonts w:hint="eastAsia" w:ascii="仿宋" w:hAnsi="仿宋" w:eastAsia="仿宋" w:cs="仿宋"/>
          <w:color w:val="auto"/>
          <w:kern w:val="0"/>
          <w:u w:val="single"/>
        </w:rPr>
        <w:t>负责施工全过程内、外部关系协调、处理往来文件，对工程进度、质量、</w:t>
      </w:r>
      <w:r>
        <w:rPr>
          <w:rFonts w:hint="eastAsia" w:ascii="仿宋" w:hAnsi="仿宋" w:eastAsia="仿宋" w:cs="仿宋"/>
          <w:bCs/>
          <w:color w:val="auto"/>
          <w:kern w:val="0"/>
          <w:u w:val="single"/>
        </w:rPr>
        <w:t>变更指令、签证、</w:t>
      </w:r>
      <w:r>
        <w:rPr>
          <w:rFonts w:hint="eastAsia" w:ascii="仿宋" w:hAnsi="仿宋" w:eastAsia="仿宋" w:cs="仿宋"/>
          <w:color w:val="auto"/>
          <w:kern w:val="0"/>
          <w:u w:val="single"/>
        </w:rPr>
        <w:t>材料的认质认价、工程款支付、结算</w:t>
      </w:r>
      <w:r>
        <w:rPr>
          <w:rFonts w:hint="eastAsia" w:ascii="仿宋" w:hAnsi="仿宋" w:eastAsia="仿宋" w:cs="仿宋"/>
          <w:bCs/>
          <w:color w:val="auto"/>
          <w:kern w:val="0"/>
          <w:u w:val="single"/>
        </w:rPr>
        <w:t>等</w:t>
      </w:r>
      <w:r>
        <w:rPr>
          <w:rFonts w:hint="eastAsia" w:ascii="仿宋" w:hAnsi="仿宋" w:eastAsia="仿宋" w:cs="仿宋"/>
          <w:color w:val="auto"/>
          <w:kern w:val="0"/>
          <w:u w:val="single"/>
        </w:rPr>
        <w:t>进行管理。</w:t>
      </w:r>
      <w:r>
        <w:rPr>
          <w:rFonts w:hint="eastAsia" w:ascii="仿宋" w:hAnsi="仿宋" w:eastAsia="仿宋" w:cs="仿宋"/>
          <w:bCs/>
          <w:color w:val="auto"/>
          <w:kern w:val="0"/>
          <w:u w:val="single"/>
        </w:rPr>
        <w:t xml:space="preserve">发包人派驻工程师工作中的行为和指令均视为发包方具有法律效力的行为或指令。  </w:t>
      </w:r>
      <w:r>
        <w:rPr>
          <w:rFonts w:hint="eastAsia" w:ascii="仿宋" w:hAnsi="仿宋" w:eastAsia="仿宋" w:cs="仿宋"/>
          <w:color w:val="auto"/>
          <w:u w:val="single"/>
        </w:rPr>
        <w:t>　　　　　</w:t>
      </w:r>
    </w:p>
    <w:p w14:paraId="611B4723">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5.6不实行监理的，工程师的职权：</w:t>
      </w:r>
      <w:r>
        <w:rPr>
          <w:rFonts w:hint="eastAsia" w:ascii="仿宋" w:hAnsi="仿宋" w:eastAsia="仿宋" w:cs="仿宋"/>
          <w:color w:val="auto"/>
          <w:kern w:val="0"/>
          <w:szCs w:val="21"/>
          <w:u w:val="single"/>
        </w:rPr>
        <w:t xml:space="preserve">   ／  </w:t>
      </w:r>
    </w:p>
    <w:p w14:paraId="6AF2917F">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7、项目经理</w:t>
      </w:r>
    </w:p>
    <w:p w14:paraId="27AA3F08">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姓名：</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职务：</w:t>
      </w:r>
      <w:r>
        <w:rPr>
          <w:rFonts w:hint="eastAsia" w:ascii="仿宋" w:hAnsi="仿宋" w:eastAsia="仿宋" w:cs="仿宋"/>
          <w:color w:val="auto"/>
          <w:kern w:val="0"/>
          <w:szCs w:val="21"/>
          <w:u w:val="single"/>
        </w:rPr>
        <w:t xml:space="preserve">              </w:t>
      </w:r>
    </w:p>
    <w:p w14:paraId="68A6F314">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8、发包人工作</w:t>
      </w:r>
    </w:p>
    <w:p w14:paraId="6555DDE4">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8.1发包人应按约定的时间和要求完成以下工作：</w:t>
      </w:r>
    </w:p>
    <w:p w14:paraId="1087E0B4">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（1）施工场地具备施工条件的要求及完成的时间：本专用条款签订时</w:t>
      </w:r>
      <w:r>
        <w:rPr>
          <w:rFonts w:hint="eastAsia" w:ascii="仿宋" w:hAnsi="仿宋" w:eastAsia="仿宋" w:cs="仿宋"/>
          <w:color w:val="auto"/>
          <w:szCs w:val="21"/>
          <w:u w:val="single"/>
        </w:rPr>
        <w:t>已具备开工条件。</w:t>
      </w:r>
    </w:p>
    <w:p w14:paraId="7E9D2EA0">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kern w:val="0"/>
          <w:szCs w:val="21"/>
        </w:rPr>
        <w:t>（2）将施工所需的水、电、电讯线路接至施工场地的时间、地点和供应要求：</w:t>
      </w:r>
      <w:r>
        <w:rPr>
          <w:rFonts w:hint="eastAsia" w:ascii="仿宋" w:hAnsi="仿宋" w:eastAsia="仿宋" w:cs="仿宋"/>
          <w:color w:val="auto"/>
          <w:szCs w:val="21"/>
          <w:u w:val="single"/>
        </w:rPr>
        <w:t>已满足施工需要。</w:t>
      </w:r>
    </w:p>
    <w:p w14:paraId="602FEA7A">
      <w:pPr>
        <w:adjustRightInd w:val="0"/>
        <w:snapToGrid w:val="0"/>
        <w:spacing w:line="360" w:lineRule="auto"/>
        <w:ind w:firstLine="420" w:firstLineChars="200"/>
        <w:rPr>
          <w:rFonts w:ascii="仿宋" w:hAnsi="仿宋" w:eastAsia="仿宋" w:cs="仿宋"/>
          <w:color w:val="auto"/>
          <w:kern w:val="0"/>
          <w:szCs w:val="21"/>
          <w:u w:val="single"/>
        </w:rPr>
      </w:pPr>
      <w:r>
        <w:rPr>
          <w:rFonts w:hint="eastAsia" w:ascii="仿宋" w:hAnsi="仿宋" w:eastAsia="仿宋" w:cs="仿宋"/>
          <w:color w:val="auto"/>
          <w:kern w:val="0"/>
          <w:szCs w:val="21"/>
        </w:rPr>
        <w:t>其计量和计价方法为：</w:t>
      </w:r>
      <w:r>
        <w:rPr>
          <w:rFonts w:hint="eastAsia" w:ascii="仿宋" w:hAnsi="仿宋" w:eastAsia="仿宋" w:cs="仿宋"/>
          <w:color w:val="auto"/>
          <w:kern w:val="0"/>
          <w:szCs w:val="21"/>
          <w:u w:val="single"/>
        </w:rPr>
        <w:t>水、电用量以计量表读数加分摊的损耗为准，价格执行相关部门的水、电费单价。水、电费用由承包人承担。</w:t>
      </w:r>
    </w:p>
    <w:p w14:paraId="38A5D38C">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（3）施工场地与公共道路的通道开通时间和要求：</w:t>
      </w:r>
      <w:r>
        <w:rPr>
          <w:rFonts w:hint="eastAsia" w:ascii="仿宋" w:hAnsi="仿宋" w:eastAsia="仿宋" w:cs="仿宋"/>
          <w:color w:val="auto"/>
          <w:kern w:val="0"/>
          <w:szCs w:val="21"/>
          <w:u w:val="single"/>
        </w:rPr>
        <w:t>承包人进场前3日。</w:t>
      </w:r>
    </w:p>
    <w:p w14:paraId="701CE6ED">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（4）工程地质和地下管线资料的提供时间：</w:t>
      </w:r>
      <w:r>
        <w:rPr>
          <w:rFonts w:hint="eastAsia" w:ascii="仿宋" w:hAnsi="仿宋" w:eastAsia="仿宋" w:cs="仿宋"/>
          <w:color w:val="auto"/>
          <w:kern w:val="0"/>
          <w:szCs w:val="21"/>
          <w:u w:val="single"/>
        </w:rPr>
        <w:t>承包人进场后3日内。</w:t>
      </w:r>
    </w:p>
    <w:p w14:paraId="2AE7A355">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（5）施工所需证件、批件：</w:t>
      </w:r>
      <w:r>
        <w:rPr>
          <w:rFonts w:hint="eastAsia" w:ascii="仿宋" w:hAnsi="仿宋" w:eastAsia="仿宋" w:cs="仿宋"/>
          <w:color w:val="auto"/>
          <w:kern w:val="0"/>
          <w:szCs w:val="21"/>
          <w:u w:val="single"/>
        </w:rPr>
        <w:t>由发包人办理。</w:t>
      </w:r>
    </w:p>
    <w:p w14:paraId="368976B4">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 xml:space="preserve">（6）水准点与座标控制点交验要求： </w:t>
      </w:r>
      <w:r>
        <w:rPr>
          <w:rFonts w:hint="eastAsia" w:ascii="仿宋" w:hAnsi="仿宋" w:eastAsia="仿宋" w:cs="仿宋"/>
          <w:color w:val="auto"/>
          <w:szCs w:val="21"/>
          <w:u w:val="single"/>
        </w:rPr>
        <w:t>开工前由发包人提供水准点与坐标控制点，双方进行现场交验</w:t>
      </w:r>
      <w:r>
        <w:rPr>
          <w:rFonts w:hint="eastAsia" w:ascii="仿宋" w:hAnsi="仿宋" w:eastAsia="仿宋" w:cs="仿宋"/>
          <w:color w:val="auto"/>
          <w:szCs w:val="21"/>
        </w:rPr>
        <w:t>。</w:t>
      </w:r>
    </w:p>
    <w:p w14:paraId="0A9FA46A">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（7）图纸会审和设计交底时间：</w:t>
      </w:r>
      <w:r>
        <w:rPr>
          <w:rFonts w:hint="eastAsia" w:ascii="仿宋" w:hAnsi="仿宋" w:eastAsia="仿宋" w:cs="仿宋"/>
          <w:color w:val="auto"/>
          <w:kern w:val="0"/>
          <w:szCs w:val="21"/>
          <w:u w:val="single"/>
        </w:rPr>
        <w:t>承包人进场后5天内完成图纸审查，向发包人申请交底。</w:t>
      </w:r>
    </w:p>
    <w:p w14:paraId="28B60941">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（8）双方约定发包人应做的其他工作：</w:t>
      </w:r>
      <w:r>
        <w:rPr>
          <w:rFonts w:hint="eastAsia" w:ascii="仿宋" w:hAnsi="仿宋" w:eastAsia="仿宋" w:cs="仿宋"/>
          <w:color w:val="auto"/>
          <w:szCs w:val="21"/>
          <w:u w:val="single"/>
        </w:rPr>
        <w:t>另行约定。</w:t>
      </w:r>
    </w:p>
    <w:p w14:paraId="1C4949BD">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8.2发包人委托承包人办理的工作：</w:t>
      </w:r>
      <w:r>
        <w:rPr>
          <w:rFonts w:hint="eastAsia" w:ascii="仿宋" w:hAnsi="仿宋" w:eastAsia="仿宋" w:cs="仿宋"/>
          <w:color w:val="auto"/>
          <w:kern w:val="0"/>
          <w:szCs w:val="21"/>
          <w:u w:val="single"/>
        </w:rPr>
        <w:t xml:space="preserve">   ／  </w:t>
      </w:r>
    </w:p>
    <w:p w14:paraId="6516BD66">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9、承包人工作</w:t>
      </w:r>
    </w:p>
    <w:p w14:paraId="1669A6AC">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9.1承包人应按约定时间和要求，完成以下工作：</w:t>
      </w:r>
    </w:p>
    <w:p w14:paraId="6CE1E38F">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（1）需由设计资质等级和业务范围允许的承包人完成的设计文件提交时间：</w:t>
      </w:r>
      <w:r>
        <w:rPr>
          <w:rFonts w:hint="eastAsia" w:ascii="仿宋" w:hAnsi="仿宋" w:eastAsia="仿宋" w:cs="仿宋"/>
          <w:color w:val="auto"/>
          <w:kern w:val="0"/>
          <w:szCs w:val="21"/>
          <w:u w:val="single"/>
        </w:rPr>
        <w:t xml:space="preserve">  ／  </w:t>
      </w:r>
    </w:p>
    <w:p w14:paraId="79A1EA16">
      <w:pPr>
        <w:adjustRightInd w:val="0"/>
        <w:snapToGrid w:val="0"/>
        <w:spacing w:line="360" w:lineRule="auto"/>
        <w:ind w:firstLine="420" w:firstLineChars="200"/>
        <w:rPr>
          <w:rFonts w:ascii="仿宋" w:hAnsi="仿宋" w:eastAsia="仿宋" w:cs="仿宋"/>
          <w:color w:val="auto"/>
          <w:kern w:val="0"/>
          <w:szCs w:val="21"/>
          <w:u w:val="single"/>
        </w:rPr>
      </w:pPr>
      <w:r>
        <w:rPr>
          <w:rFonts w:hint="eastAsia" w:ascii="仿宋" w:hAnsi="仿宋" w:eastAsia="仿宋" w:cs="仿宋"/>
          <w:color w:val="auto"/>
          <w:kern w:val="0"/>
          <w:szCs w:val="21"/>
        </w:rPr>
        <w:t>（2）应提供计划、报表的名称及完成时间：</w:t>
      </w:r>
      <w:r>
        <w:rPr>
          <w:rFonts w:hint="eastAsia" w:ascii="仿宋" w:hAnsi="仿宋" w:eastAsia="仿宋" w:cs="仿宋"/>
          <w:color w:val="auto"/>
          <w:kern w:val="0"/>
          <w:szCs w:val="21"/>
          <w:u w:val="single"/>
        </w:rPr>
        <w:t>本合同签订后七日内向发包方代表、监理工程师提供总进度计划、总体资金使用计划、甲供材使用计划及首月工程进度计划、月资金使用计划，以后每月的20日报当月工程形象进度统计报表及下一个月的工程进度计划表。</w:t>
      </w:r>
    </w:p>
    <w:p w14:paraId="0C18F5B9">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kern w:val="0"/>
          <w:szCs w:val="21"/>
        </w:rPr>
        <w:t>（3）承担施工安全保卫工作及非夜间施工照明的责任和要求：</w:t>
      </w:r>
      <w:r>
        <w:rPr>
          <w:rFonts w:hint="eastAsia" w:ascii="仿宋" w:hAnsi="仿宋" w:eastAsia="仿宋" w:cs="仿宋"/>
          <w:color w:val="auto"/>
          <w:szCs w:val="21"/>
          <w:u w:val="single"/>
        </w:rPr>
        <w:t>承包人应提供场区的安全保卫及交通、巡查等必要的照明、危险物的警示、围栏设施等，并负责施工现场的防火、防盗及施工安全保卫工作，承担由此产生的费用。严格按照《施工现场临时用电安全技术规范JGJ46-88》和《建设工程施工现场供用电安全规范GB50104-93》组织施工，并承担由此产生的费用。因承包人未能履行上述义务，造成工程财产和人身伤害，由承包人承担责任及发生的费用。除因发包人的行为或过失而造成的伤亡外，发包人不承担承包人或其分包单位雇用的工人或其他人员的伤亡赔偿或补偿责任。</w:t>
      </w:r>
    </w:p>
    <w:p w14:paraId="07D709A4">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（4）向发包人提供的办公和生活房屋及设施的要求：</w:t>
      </w:r>
      <w:r>
        <w:rPr>
          <w:rFonts w:hint="eastAsia" w:ascii="仿宋" w:hAnsi="仿宋" w:eastAsia="仿宋" w:cs="仿宋"/>
          <w:color w:val="auto"/>
          <w:szCs w:val="21"/>
          <w:u w:val="single"/>
        </w:rPr>
        <w:t>提供发包人及监理办公室共3间。</w:t>
      </w:r>
    </w:p>
    <w:p w14:paraId="3E5CFB08">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（5）需承包人办理的有关施工场地交通、环卫和施工噪音管理等手续：</w:t>
      </w:r>
      <w:r>
        <w:rPr>
          <w:rFonts w:hint="eastAsia" w:ascii="仿宋" w:hAnsi="仿宋" w:eastAsia="仿宋" w:cs="仿宋"/>
          <w:color w:val="auto"/>
          <w:kern w:val="0"/>
          <w:szCs w:val="21"/>
          <w:u w:val="single"/>
        </w:rPr>
        <w:t>按照政府部门相关规定办理并承担政府部门规定由施工单位缴纳的费用，发包人提供协助。</w:t>
      </w:r>
    </w:p>
    <w:p w14:paraId="154E57F1">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（6）已完工程成品保护的特殊要求及费用承担：</w:t>
      </w:r>
      <w:r>
        <w:rPr>
          <w:rFonts w:hint="eastAsia" w:ascii="仿宋" w:hAnsi="仿宋" w:eastAsia="仿宋" w:cs="仿宋"/>
          <w:color w:val="auto"/>
          <w:szCs w:val="21"/>
          <w:u w:val="single"/>
        </w:rPr>
        <w:t>已竣工工程未交付发包人之前，承包人负责已完工程的成品保护工作，保护期间发生损坏，承包人负责予以修复并承担费用；工程交付发包人后，保护工程及费用由发包人承担。</w:t>
      </w:r>
    </w:p>
    <w:p w14:paraId="46070DD4">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（7）施工场地周围地下管线和邻近建筑物、构筑物（含文物保护建筑）、古树名木的保护要求及费用承担：</w:t>
      </w:r>
      <w:r>
        <w:rPr>
          <w:rFonts w:hint="eastAsia" w:ascii="仿宋" w:hAnsi="仿宋" w:eastAsia="仿宋" w:cs="仿宋"/>
          <w:color w:val="auto"/>
          <w:szCs w:val="21"/>
          <w:u w:val="single"/>
        </w:rPr>
        <w:t>承包人应按发包人指令或按操作规程做好</w:t>
      </w:r>
      <w:r>
        <w:rPr>
          <w:rFonts w:hint="eastAsia" w:ascii="仿宋" w:hAnsi="仿宋" w:eastAsia="仿宋" w:cs="仿宋"/>
          <w:color w:val="auto"/>
          <w:kern w:val="0"/>
          <w:szCs w:val="21"/>
          <w:u w:val="single"/>
        </w:rPr>
        <w:t>施工场地周围地下管线和邻近建筑物、构筑物（含文物保护建筑）、古树名木的保护工作，否则，</w:t>
      </w:r>
      <w:r>
        <w:rPr>
          <w:rFonts w:hint="eastAsia" w:ascii="仿宋" w:hAnsi="仿宋" w:eastAsia="仿宋" w:cs="仿宋"/>
          <w:color w:val="auto"/>
          <w:szCs w:val="21"/>
          <w:u w:val="single"/>
        </w:rPr>
        <w:t>造成的损失费用由承包人承担。</w:t>
      </w:r>
    </w:p>
    <w:p w14:paraId="2464B4B4">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（8）施工场地清洁卫生的要求：</w:t>
      </w:r>
      <w:r>
        <w:rPr>
          <w:rFonts w:hint="eastAsia" w:ascii="仿宋" w:hAnsi="仿宋" w:eastAsia="仿宋" w:cs="仿宋"/>
          <w:color w:val="auto"/>
          <w:szCs w:val="21"/>
          <w:u w:val="single"/>
        </w:rPr>
        <w:t>达到陕西省文明工地的标准，并无偿配合创卫工作。</w:t>
      </w:r>
    </w:p>
    <w:p w14:paraId="02134387">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（9）双方约定承包人应做的其它工作：</w:t>
      </w:r>
    </w:p>
    <w:p w14:paraId="45F98C22">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u w:val="single"/>
        </w:rPr>
        <w:t>① 承包人在磋商书中填写的资料，属于合同文本的组成部分，承包人应全面履行其所作的承诺，否则属于承包人违约。发包人视其违约情况，可给予承包人1万元~10万元/项的违约处罚。</w:t>
      </w:r>
    </w:p>
    <w:p w14:paraId="19FA6BCD">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u w:val="single"/>
        </w:rPr>
        <w:t>② 承包人项目经理和技术负责人无特殊情况每月坚守工地时间不得少于26天，缺勤按1000元/天·人标准向发包人支付违约金。项目经理和技术负责人需要离开工地时必须向发包人请假，获批准后方可离开工地，否则按缺勤处理。</w:t>
      </w:r>
    </w:p>
    <w:p w14:paraId="2A81A64F">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u w:val="single"/>
        </w:rPr>
        <w:t>③ 承包人擅自更换项目经理，应按5万元/人·次的标准向发包人支付违约金。</w:t>
      </w:r>
    </w:p>
    <w:p w14:paraId="2F54EE00">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u w:val="single"/>
        </w:rPr>
        <w:t>④ 承包人主要机械设备未能按工程计划（或监理工程师的要求）及时到场或到场设备不能正常运转以及擅自调走已进场的机械设备，应按200元/天·台（套）标准向发包人支付违约金；迟到或调离超过10天时，发包人可自行组织采购，费用直接在支付时予以扣除，同时对到场时限的延迟仍要计算违约金。</w:t>
      </w:r>
    </w:p>
    <w:p w14:paraId="33F36692">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u w:val="single"/>
        </w:rPr>
        <w:fldChar w:fldCharType="begin"/>
      </w:r>
      <w:r>
        <w:rPr>
          <w:rFonts w:hint="eastAsia" w:ascii="仿宋" w:hAnsi="仿宋" w:eastAsia="仿宋" w:cs="仿宋"/>
          <w:color w:val="auto"/>
          <w:szCs w:val="21"/>
          <w:u w:val="single"/>
        </w:rPr>
        <w:instrText xml:space="preserve"> eq \o\ac(</w:instrText>
      </w:r>
      <w:r>
        <w:rPr>
          <w:rFonts w:hint="eastAsia" w:ascii="仿宋" w:hAnsi="仿宋" w:eastAsia="仿宋" w:cs="仿宋"/>
          <w:color w:val="auto"/>
          <w:position w:val="-4"/>
          <w:sz w:val="31"/>
          <w:szCs w:val="21"/>
          <w:u w:val="single"/>
        </w:rPr>
        <w:instrText xml:space="preserve">○</w:instrText>
      </w:r>
      <w:r>
        <w:rPr>
          <w:rFonts w:hint="eastAsia" w:ascii="仿宋" w:hAnsi="仿宋" w:eastAsia="仿宋" w:cs="仿宋"/>
          <w:color w:val="auto"/>
          <w:szCs w:val="21"/>
          <w:u w:val="single"/>
        </w:rPr>
        <w:instrText xml:space="preserve">,5)</w:instrText>
      </w:r>
      <w:r>
        <w:rPr>
          <w:rFonts w:hint="eastAsia" w:ascii="仿宋" w:hAnsi="仿宋" w:eastAsia="仿宋" w:cs="仿宋"/>
          <w:color w:val="auto"/>
          <w:szCs w:val="21"/>
          <w:u w:val="single"/>
        </w:rPr>
        <w:fldChar w:fldCharType="end"/>
      </w:r>
      <w:r>
        <w:rPr>
          <w:rFonts w:hint="eastAsia" w:ascii="仿宋" w:hAnsi="仿宋" w:eastAsia="仿宋" w:cs="仿宋"/>
          <w:color w:val="auto"/>
          <w:szCs w:val="21"/>
          <w:u w:val="single"/>
        </w:rPr>
        <w:t>承包人应充分考虑施工场地较小等场地因素，施工人员不得居住在现场内，承包人自行安排施工人员在现场以外的地方住宿，并承担由此产生的费用。</w:t>
      </w:r>
    </w:p>
    <w:p w14:paraId="6A18EC3F">
      <w:pPr>
        <w:adjustRightInd w:val="0"/>
        <w:snapToGrid w:val="0"/>
        <w:spacing w:line="360" w:lineRule="auto"/>
        <w:ind w:firstLine="420" w:firstLineChars="200"/>
        <w:rPr>
          <w:rFonts w:ascii="仿宋" w:hAnsi="仿宋" w:eastAsia="仿宋" w:cs="仿宋"/>
          <w:color w:val="auto"/>
          <w:kern w:val="0"/>
          <w:szCs w:val="21"/>
          <w:u w:val="single"/>
        </w:rPr>
      </w:pPr>
      <w:r>
        <w:rPr>
          <w:rFonts w:hint="eastAsia" w:ascii="仿宋" w:hAnsi="仿宋" w:eastAsia="仿宋" w:cs="仿宋"/>
          <w:color w:val="auto"/>
          <w:kern w:val="0"/>
          <w:szCs w:val="21"/>
          <w:u w:val="single"/>
        </w:rPr>
        <w:fldChar w:fldCharType="begin"/>
      </w:r>
      <w:r>
        <w:rPr>
          <w:rFonts w:hint="eastAsia" w:ascii="仿宋" w:hAnsi="仿宋" w:eastAsia="仿宋" w:cs="仿宋"/>
          <w:color w:val="auto"/>
          <w:kern w:val="0"/>
          <w:szCs w:val="21"/>
          <w:u w:val="single"/>
        </w:rPr>
        <w:instrText xml:space="preserve"> eq \o\ac(</w:instrText>
      </w:r>
      <w:r>
        <w:rPr>
          <w:rFonts w:hint="eastAsia" w:ascii="仿宋" w:hAnsi="仿宋" w:eastAsia="仿宋" w:cs="仿宋"/>
          <w:color w:val="auto"/>
          <w:kern w:val="0"/>
          <w:position w:val="-4"/>
          <w:sz w:val="31"/>
          <w:szCs w:val="21"/>
          <w:u w:val="single"/>
        </w:rPr>
        <w:instrText xml:space="preserve">○</w:instrText>
      </w:r>
      <w:r>
        <w:rPr>
          <w:rFonts w:hint="eastAsia" w:ascii="仿宋" w:hAnsi="仿宋" w:eastAsia="仿宋" w:cs="仿宋"/>
          <w:color w:val="auto"/>
          <w:kern w:val="0"/>
          <w:szCs w:val="21"/>
          <w:u w:val="single"/>
        </w:rPr>
        <w:instrText xml:space="preserve">,</w:instrText>
      </w:r>
      <w:r>
        <w:rPr>
          <w:rFonts w:hint="eastAsia" w:ascii="仿宋" w:hAnsi="仿宋" w:eastAsia="仿宋" w:cs="仿宋"/>
          <w:color w:val="auto"/>
          <w:kern w:val="0"/>
          <w:szCs w:val="21"/>
        </w:rPr>
        <w:instrText xml:space="preserve">6</w:instrText>
      </w:r>
      <w:r>
        <w:rPr>
          <w:rFonts w:hint="eastAsia" w:ascii="仿宋" w:hAnsi="仿宋" w:eastAsia="仿宋" w:cs="仿宋"/>
          <w:color w:val="auto"/>
          <w:kern w:val="0"/>
          <w:szCs w:val="21"/>
          <w:u w:val="single"/>
        </w:rPr>
        <w:instrText xml:space="preserve">)</w:instrText>
      </w:r>
      <w:r>
        <w:rPr>
          <w:rFonts w:hint="eastAsia" w:ascii="仿宋" w:hAnsi="仿宋" w:eastAsia="仿宋" w:cs="仿宋"/>
          <w:color w:val="auto"/>
          <w:kern w:val="0"/>
          <w:szCs w:val="21"/>
          <w:u w:val="single"/>
        </w:rPr>
        <w:fldChar w:fldCharType="end"/>
      </w:r>
      <w:r>
        <w:rPr>
          <w:rFonts w:hint="eastAsia" w:ascii="仿宋" w:hAnsi="仿宋" w:eastAsia="仿宋" w:cs="仿宋"/>
          <w:color w:val="auto"/>
          <w:kern w:val="0"/>
          <w:szCs w:val="21"/>
          <w:u w:val="single"/>
        </w:rPr>
        <w:t>遵守门卫制度。</w:t>
      </w:r>
    </w:p>
    <w:p w14:paraId="71E1A66D">
      <w:pPr>
        <w:adjustRightInd w:val="0"/>
        <w:snapToGrid w:val="0"/>
        <w:spacing w:line="360" w:lineRule="auto"/>
        <w:ind w:firstLine="420" w:firstLineChars="200"/>
        <w:rPr>
          <w:rFonts w:ascii="仿宋" w:hAnsi="仿宋" w:eastAsia="仿宋" w:cs="仿宋"/>
          <w:color w:val="auto"/>
          <w:kern w:val="0"/>
          <w:szCs w:val="21"/>
          <w:u w:val="single"/>
        </w:rPr>
      </w:pPr>
      <w:r>
        <w:rPr>
          <w:rFonts w:hint="eastAsia" w:ascii="仿宋" w:hAnsi="仿宋" w:eastAsia="仿宋" w:cs="仿宋"/>
          <w:color w:val="auto"/>
          <w:kern w:val="0"/>
          <w:szCs w:val="21"/>
          <w:u w:val="single"/>
        </w:rPr>
        <w:t>⑦从合同生效之日起直到合同终止的时间内，承包人应承担合同规定的现场各项临时房屋、设施、设备的修建、购置、安装、管理、保养和维修，并提供必要的设施保洁服务。至合同终止发包人及监理工程师撤出工地后，上述各项设备和设施均由承包人自行收回和拆除。承包人提供的以上条件和服务被认为包含在承包人的磋商报价中。</w:t>
      </w:r>
    </w:p>
    <w:p w14:paraId="3AFE8914">
      <w:pPr>
        <w:pStyle w:val="28"/>
        <w:adjustRightInd w:val="0"/>
        <w:snapToGrid w:val="0"/>
        <w:ind w:firstLine="420" w:firstLineChars="200"/>
        <w:rPr>
          <w:rFonts w:ascii="仿宋" w:hAnsi="仿宋" w:eastAsia="仿宋" w:cs="仿宋"/>
          <w:color w:val="auto"/>
          <w:kern w:val="0"/>
          <w:u w:val="single"/>
        </w:rPr>
      </w:pPr>
      <w:r>
        <w:rPr>
          <w:rFonts w:hint="eastAsia" w:ascii="仿宋" w:hAnsi="仿宋" w:eastAsia="仿宋" w:cs="仿宋"/>
          <w:color w:val="auto"/>
          <w:kern w:val="0"/>
          <w:u w:val="single"/>
        </w:rPr>
        <w:t>⑧发包人需要时，可能对施工做出某些限制和配合要求，承包人应按照要求做出配合，并承担因此而引起工效降低需增加的费用。</w:t>
      </w:r>
    </w:p>
    <w:p w14:paraId="00F02E31">
      <w:pPr>
        <w:adjustRightInd w:val="0"/>
        <w:snapToGrid w:val="0"/>
        <w:spacing w:line="360" w:lineRule="auto"/>
        <w:ind w:firstLine="420" w:firstLineChars="200"/>
        <w:rPr>
          <w:rFonts w:ascii="仿宋" w:hAnsi="仿宋" w:eastAsia="仿宋" w:cs="仿宋"/>
          <w:color w:val="auto"/>
          <w:kern w:val="0"/>
          <w:szCs w:val="21"/>
          <w:u w:val="single"/>
        </w:rPr>
      </w:pPr>
      <w:r>
        <w:rPr>
          <w:rFonts w:hint="eastAsia" w:ascii="仿宋" w:hAnsi="仿宋" w:eastAsia="仿宋" w:cs="仿宋"/>
          <w:color w:val="auto"/>
          <w:kern w:val="0"/>
          <w:szCs w:val="21"/>
          <w:u w:val="single"/>
        </w:rPr>
        <w:t>⑨承包人产生建筑垃圾和生活垃圾清运工作由承包人负责，费用由承包人承担。</w:t>
      </w:r>
    </w:p>
    <w:p w14:paraId="4D4E970F">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三、施工组织设计和工期</w:t>
      </w:r>
    </w:p>
    <w:p w14:paraId="20555CBA">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10、进度计划</w:t>
      </w:r>
    </w:p>
    <w:p w14:paraId="11DE99D0">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10.1承包人提供施工组织设计（施工方案）和进度计划的时间：</w:t>
      </w:r>
      <w:r>
        <w:rPr>
          <w:rFonts w:hint="eastAsia" w:ascii="仿宋" w:hAnsi="仿宋" w:eastAsia="仿宋" w:cs="仿宋"/>
          <w:color w:val="auto"/>
          <w:szCs w:val="21"/>
          <w:u w:val="single"/>
        </w:rPr>
        <w:t>开工前3日内。</w:t>
      </w:r>
    </w:p>
    <w:p w14:paraId="679143B7">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工程师确认的时间：</w:t>
      </w:r>
      <w:r>
        <w:rPr>
          <w:rFonts w:hint="eastAsia" w:ascii="仿宋" w:hAnsi="仿宋" w:eastAsia="仿宋" w:cs="仿宋"/>
          <w:color w:val="auto"/>
          <w:szCs w:val="21"/>
          <w:u w:val="single"/>
        </w:rPr>
        <w:t>收到后14日内，如果逾期则视为认可。</w:t>
      </w:r>
    </w:p>
    <w:p w14:paraId="40CFB673">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kern w:val="0"/>
          <w:szCs w:val="21"/>
        </w:rPr>
        <w:t>10.2群体工程中有关进度计划的要求：</w:t>
      </w:r>
      <w:r>
        <w:rPr>
          <w:rFonts w:hint="eastAsia" w:ascii="仿宋" w:hAnsi="仿宋" w:eastAsia="仿宋" w:cs="仿宋"/>
          <w:color w:val="auto"/>
          <w:szCs w:val="21"/>
          <w:u w:val="single"/>
        </w:rPr>
        <w:t xml:space="preserve">针对本工程承包人除须编报总体施工组织设计和进度计划外，还应编报单项工程进度计划，单项工程进度计划要服从总体工程进度计划的要求。在任何时候，如果工程师提出工程的实际进度与施工进度计划不符时，承包人应根据发包人的要求，另行编制施工进度计划，并做出说明，且不得以此为由延长工期。 </w:t>
      </w:r>
    </w:p>
    <w:p w14:paraId="54E4D53D">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13、工期延误</w:t>
      </w:r>
    </w:p>
    <w:p w14:paraId="5A697A37">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13.1双方约定工期顺延的其他情况：</w:t>
      </w:r>
      <w:r>
        <w:rPr>
          <w:rFonts w:hint="eastAsia" w:ascii="仿宋" w:hAnsi="仿宋" w:eastAsia="仿宋" w:cs="仿宋"/>
          <w:color w:val="auto"/>
          <w:szCs w:val="21"/>
          <w:u w:val="single"/>
        </w:rPr>
        <w:t>除执行通用条款13条外，以及政府政策及特殊规定，如创卫、工程所在地有关部门特殊要求等；突发性的公共、卫生、治安事件；施工中遇到不可预见障碍物或古墓、文物等需要处理的情况。</w:t>
      </w:r>
    </w:p>
    <w:p w14:paraId="1B8B00A8">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四、质量与检验</w:t>
      </w:r>
    </w:p>
    <w:p w14:paraId="4FA7807E">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17、隐蔽工程和中间验收</w:t>
      </w:r>
    </w:p>
    <w:p w14:paraId="528AD0C4">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kern w:val="0"/>
          <w:szCs w:val="21"/>
        </w:rPr>
        <w:t>17.1双方约定中间验收部位：</w:t>
      </w:r>
      <w:r>
        <w:rPr>
          <w:rFonts w:hint="eastAsia" w:ascii="仿宋" w:hAnsi="仿宋" w:eastAsia="仿宋" w:cs="仿宋"/>
          <w:color w:val="auto"/>
          <w:szCs w:val="21"/>
          <w:u w:val="single"/>
        </w:rPr>
        <w:t xml:space="preserve">                </w:t>
      </w:r>
    </w:p>
    <w:p w14:paraId="08040A3D">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19、工程试车</w:t>
      </w:r>
    </w:p>
    <w:p w14:paraId="07730DE3">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19.5试车费用的承担：</w:t>
      </w:r>
      <w:r>
        <w:rPr>
          <w:rFonts w:hint="eastAsia" w:ascii="仿宋" w:hAnsi="仿宋" w:eastAsia="仿宋" w:cs="仿宋"/>
          <w:color w:val="auto"/>
          <w:szCs w:val="21"/>
          <w:u w:val="single"/>
        </w:rPr>
        <w:t>本工程由承包人在交验前对工程进行清理等，所需费用已包括在合同价内。</w:t>
      </w:r>
    </w:p>
    <w:p w14:paraId="6C0D3717">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五、安全防护、文明施工</w:t>
      </w:r>
    </w:p>
    <w:p w14:paraId="1E0F3A55">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u w:val="single"/>
        </w:rPr>
        <w:t>承包人严格按陕西省文明工地检查（验收）标准实施，安全施工。承包人按照国家和当地政府有关规定应采取的任何必要安全防护措施所需价款已包含在发包人支付的合同价款当中，发包人无需另行支付。承包人承担由于自身措施不力造成事故的全部责任和因此发生的全部费用。</w:t>
      </w:r>
    </w:p>
    <w:p w14:paraId="720954A6">
      <w:pPr>
        <w:adjustRightInd w:val="0"/>
        <w:snapToGrid w:val="0"/>
        <w:spacing w:line="360" w:lineRule="auto"/>
        <w:ind w:firstLine="420" w:firstLineChars="200"/>
        <w:rPr>
          <w:rFonts w:ascii="仿宋" w:hAnsi="仿宋" w:eastAsia="仿宋" w:cs="仿宋"/>
          <w:b/>
          <w:color w:val="auto"/>
          <w:kern w:val="0"/>
          <w:szCs w:val="21"/>
          <w:u w:val="single"/>
        </w:rPr>
      </w:pPr>
      <w:r>
        <w:rPr>
          <w:rFonts w:hint="eastAsia" w:ascii="仿宋" w:hAnsi="仿宋" w:eastAsia="仿宋" w:cs="仿宋"/>
          <w:color w:val="auto"/>
          <w:szCs w:val="21"/>
          <w:u w:val="single"/>
        </w:rPr>
        <w:t>安全目标为无死亡事故，工伤频率控制在</w:t>
      </w:r>
      <w:r>
        <w:rPr>
          <w:rFonts w:hint="eastAsia" w:ascii="仿宋" w:hAnsi="仿宋" w:eastAsia="仿宋" w:cs="仿宋"/>
          <w:color w:val="auto"/>
          <w:szCs w:val="21"/>
          <w:u w:val="single"/>
          <w:lang w:val="en-US" w:eastAsia="zh-CN"/>
        </w:rPr>
        <w:t>延安</w:t>
      </w:r>
      <w:r>
        <w:rPr>
          <w:rFonts w:hint="eastAsia" w:ascii="仿宋" w:hAnsi="仿宋" w:eastAsia="仿宋" w:cs="仿宋"/>
          <w:color w:val="auto"/>
          <w:szCs w:val="21"/>
          <w:u w:val="single"/>
        </w:rPr>
        <w:t>市建筑施工安全管理法规规定的指标要求范围内。</w:t>
      </w:r>
      <w:r>
        <w:rPr>
          <w:rFonts w:hint="eastAsia" w:ascii="仿宋" w:hAnsi="仿宋" w:eastAsia="仿宋" w:cs="仿宋"/>
          <w:bCs/>
          <w:color w:val="auto"/>
          <w:szCs w:val="21"/>
          <w:u w:val="single"/>
        </w:rPr>
        <w:t>若发生工伤事故，有关费用全部由承包人承担，因此给发包人造成损失的，还应按照发包人的实际损失承担赔偿责任。</w:t>
      </w:r>
    </w:p>
    <w:p w14:paraId="7BF4E366">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六、合同价款</w:t>
      </w:r>
    </w:p>
    <w:p w14:paraId="616C3801">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26、合同价款约定</w:t>
      </w:r>
    </w:p>
    <w:p w14:paraId="057AC26D">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26.2本合同价款采用第</w:t>
      </w:r>
      <w:r>
        <w:rPr>
          <w:rFonts w:hint="eastAsia" w:ascii="仿宋" w:hAnsi="仿宋" w:eastAsia="仿宋" w:cs="仿宋"/>
          <w:color w:val="auto"/>
          <w:kern w:val="0"/>
          <w:szCs w:val="21"/>
          <w:u w:val="single"/>
        </w:rPr>
        <w:t>（</w:t>
      </w:r>
      <w:r>
        <w:rPr>
          <w:rFonts w:hint="eastAsia" w:ascii="仿宋" w:hAnsi="仿宋" w:eastAsia="仿宋" w:cs="仿宋"/>
          <w:color w:val="auto"/>
          <w:kern w:val="0"/>
          <w:szCs w:val="21"/>
          <w:u w:val="single"/>
          <w:lang w:val="en-US" w:eastAsia="zh-CN"/>
        </w:rPr>
        <w:t>1</w:t>
      </w:r>
      <w:r>
        <w:rPr>
          <w:rFonts w:hint="eastAsia" w:ascii="仿宋" w:hAnsi="仿宋" w:eastAsia="仿宋" w:cs="仿宋"/>
          <w:color w:val="auto"/>
          <w:kern w:val="0"/>
          <w:szCs w:val="21"/>
          <w:u w:val="single"/>
        </w:rPr>
        <w:t>）种</w:t>
      </w:r>
      <w:r>
        <w:rPr>
          <w:rFonts w:hint="eastAsia" w:ascii="仿宋" w:hAnsi="仿宋" w:eastAsia="仿宋" w:cs="仿宋"/>
          <w:color w:val="auto"/>
          <w:kern w:val="0"/>
          <w:szCs w:val="21"/>
        </w:rPr>
        <w:t>方式确定。</w:t>
      </w:r>
    </w:p>
    <w:p w14:paraId="6BF0E860">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（1）采用固定总价合同：</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u w:val="single"/>
          <w:lang w:eastAsia="zh-CN"/>
        </w:rPr>
        <w:t>本次报价采用固定</w:t>
      </w:r>
      <w:r>
        <w:rPr>
          <w:rFonts w:hint="eastAsia" w:ascii="仿宋" w:hAnsi="仿宋" w:eastAsia="仿宋" w:cs="仿宋"/>
          <w:color w:val="auto"/>
          <w:kern w:val="0"/>
          <w:szCs w:val="21"/>
          <w:u w:val="single"/>
          <w:lang w:val="en-US" w:eastAsia="zh-CN"/>
        </w:rPr>
        <w:t>单价</w:t>
      </w:r>
      <w:r>
        <w:rPr>
          <w:rFonts w:hint="eastAsia" w:ascii="仿宋" w:hAnsi="仿宋" w:eastAsia="仿宋" w:cs="仿宋"/>
          <w:color w:val="auto"/>
          <w:kern w:val="0"/>
          <w:szCs w:val="21"/>
          <w:u w:val="single"/>
          <w:lang w:eastAsia="zh-CN"/>
        </w:rPr>
        <w:t>合同。</w:t>
      </w:r>
      <w:r>
        <w:rPr>
          <w:rFonts w:hint="eastAsia" w:ascii="仿宋" w:hAnsi="仿宋" w:eastAsia="仿宋" w:cs="仿宋"/>
          <w:color w:val="auto"/>
          <w:kern w:val="0"/>
          <w:szCs w:val="21"/>
          <w:u w:val="single"/>
        </w:rPr>
        <w:t xml:space="preserve">  </w:t>
      </w:r>
    </w:p>
    <w:p w14:paraId="03CE317E">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（2</w:t>
      </w:r>
      <w:r>
        <w:rPr>
          <w:rFonts w:hint="eastAsia" w:ascii="仿宋" w:hAnsi="仿宋" w:eastAsia="仿宋" w:cs="仿宋"/>
          <w:color w:val="auto"/>
          <w:kern w:val="0"/>
          <w:szCs w:val="21"/>
          <w:highlight w:val="none"/>
        </w:rPr>
        <w:t>）采用固定</w:t>
      </w:r>
      <w:r>
        <w:rPr>
          <w:rFonts w:hint="eastAsia" w:ascii="仿宋" w:hAnsi="仿宋" w:eastAsia="仿宋" w:cs="仿宋"/>
          <w:color w:val="auto"/>
          <w:kern w:val="0"/>
          <w:szCs w:val="21"/>
          <w:highlight w:val="none"/>
          <w:lang w:eastAsia="zh-CN"/>
        </w:rPr>
        <w:t>总价</w:t>
      </w:r>
      <w:r>
        <w:rPr>
          <w:rFonts w:hint="eastAsia" w:ascii="仿宋" w:hAnsi="仿宋" w:eastAsia="仿宋" w:cs="仿宋"/>
          <w:color w:val="auto"/>
          <w:kern w:val="0"/>
          <w:szCs w:val="21"/>
          <w:highlight w:val="none"/>
        </w:rPr>
        <w:t>合同</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u w:val="single"/>
          <w:lang w:val="en-US" w:eastAsia="zh-CN"/>
        </w:rPr>
        <w:t>/</w:t>
      </w:r>
      <w:r>
        <w:rPr>
          <w:rFonts w:hint="eastAsia" w:ascii="仿宋" w:hAnsi="仿宋" w:eastAsia="仿宋" w:cs="仿宋"/>
          <w:color w:val="auto"/>
          <w:kern w:val="0"/>
          <w:szCs w:val="21"/>
          <w:highlight w:val="none"/>
        </w:rPr>
        <w:t>。</w:t>
      </w:r>
    </w:p>
    <w:p w14:paraId="63452128">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kern w:val="0"/>
          <w:szCs w:val="21"/>
        </w:rPr>
        <w:t>风险范围以外综合单价调整方法：</w:t>
      </w:r>
      <w:r>
        <w:rPr>
          <w:rFonts w:hint="eastAsia" w:ascii="仿宋" w:hAnsi="仿宋" w:eastAsia="仿宋" w:cs="仿宋"/>
          <w:bCs/>
          <w:color w:val="auto"/>
          <w:szCs w:val="21"/>
          <w:u w:val="single"/>
        </w:rPr>
        <w:t>依照通用条款、</w:t>
      </w:r>
      <w:r>
        <w:rPr>
          <w:rFonts w:hint="eastAsia" w:ascii="仿宋" w:hAnsi="仿宋" w:eastAsia="仿宋" w:cs="仿宋"/>
          <w:bCs/>
          <w:color w:val="auto"/>
          <w:szCs w:val="21"/>
          <w:u w:val="single"/>
          <w:lang w:eastAsia="zh-CN"/>
        </w:rPr>
        <w:t>磋商文件</w:t>
      </w:r>
      <w:r>
        <w:rPr>
          <w:rFonts w:hint="eastAsia" w:ascii="仿宋" w:hAnsi="仿宋" w:eastAsia="仿宋" w:cs="仿宋"/>
          <w:bCs/>
          <w:color w:val="auto"/>
          <w:szCs w:val="21"/>
          <w:u w:val="single"/>
        </w:rPr>
        <w:t>、答疑纪要、设计变更、现场签证、洽商文件、发包人认质认价单及专用条款的约定进行调整。</w:t>
      </w:r>
    </w:p>
    <w:p w14:paraId="66CFB23E">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（3）采用可调价格合同，合同价款调整方法：</w:t>
      </w:r>
      <w:r>
        <w:rPr>
          <w:rFonts w:hint="eastAsia" w:ascii="仿宋" w:hAnsi="仿宋" w:eastAsia="仿宋" w:cs="仿宋"/>
          <w:color w:val="auto"/>
          <w:kern w:val="0"/>
          <w:szCs w:val="21"/>
          <w:u w:val="single"/>
        </w:rPr>
        <w:t xml:space="preserve">   ／  </w:t>
      </w:r>
    </w:p>
    <w:p w14:paraId="312A6DA7">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27、合同价款调整</w:t>
      </w:r>
    </w:p>
    <w:p w14:paraId="5D0FBCA8">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27.1双方约定合同价款的其它调整因素：</w:t>
      </w:r>
    </w:p>
    <w:p w14:paraId="47A94FB7">
      <w:pPr>
        <w:autoSpaceDE w:val="0"/>
        <w:autoSpaceDN w:val="0"/>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rPr>
        <w:t>（1）</w:t>
      </w:r>
      <w:r>
        <w:rPr>
          <w:rFonts w:hint="eastAsia" w:ascii="仿宋" w:hAnsi="仿宋" w:eastAsia="仿宋" w:cs="仿宋"/>
          <w:color w:val="auto"/>
          <w:szCs w:val="21"/>
          <w:u w:val="single"/>
        </w:rPr>
        <w:t>合同工程量为暂定工程量，结算时依据竣工图按实计算调整工程量；分部分项工程量清单综合单价按如下原则调整，调整后的单价包死，进度付款和结算按调整后的单价执行。</w:t>
      </w:r>
    </w:p>
    <w:p w14:paraId="46CA7BBD">
      <w:pPr>
        <w:autoSpaceDE w:val="0"/>
        <w:autoSpaceDN w:val="0"/>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eq \o\ac(</w:instrText>
      </w:r>
      <w:r>
        <w:rPr>
          <w:rFonts w:hint="eastAsia" w:ascii="仿宋" w:hAnsi="仿宋" w:eastAsia="仿宋" w:cs="仿宋"/>
          <w:color w:val="auto"/>
          <w:position w:val="-4"/>
          <w:sz w:val="31"/>
          <w:szCs w:val="21"/>
        </w:rPr>
        <w:instrText xml:space="preserve">○</w:instrText>
      </w:r>
      <w:r>
        <w:rPr>
          <w:rFonts w:hint="eastAsia" w:ascii="仿宋" w:hAnsi="仿宋" w:eastAsia="仿宋" w:cs="仿宋"/>
          <w:color w:val="auto"/>
          <w:szCs w:val="21"/>
        </w:rPr>
        <w:instrText xml:space="preserve">,1)</w:instrText>
      </w:r>
      <w:r>
        <w:rPr>
          <w:rFonts w:hint="eastAsia" w:ascii="仿宋" w:hAnsi="仿宋" w:eastAsia="仿宋" w:cs="仿宋"/>
          <w:color w:val="auto"/>
          <w:szCs w:val="21"/>
        </w:rPr>
        <w:fldChar w:fldCharType="end"/>
      </w:r>
      <w:r>
        <w:rPr>
          <w:rFonts w:hint="eastAsia" w:ascii="仿宋" w:hAnsi="仿宋" w:eastAsia="仿宋" w:cs="仿宋"/>
          <w:color w:val="auto"/>
          <w:szCs w:val="21"/>
        </w:rPr>
        <w:t xml:space="preserve"> </w:t>
      </w:r>
      <w:r>
        <w:rPr>
          <w:rFonts w:hint="eastAsia" w:ascii="仿宋" w:hAnsi="仿宋" w:eastAsia="仿宋" w:cs="仿宋"/>
          <w:color w:val="auto"/>
          <w:szCs w:val="21"/>
          <w:u w:val="single"/>
        </w:rPr>
        <w:t>若相同清单项出现不同综合单价，则以综合单价最低的为准并调整其总价；</w:t>
      </w:r>
    </w:p>
    <w:p w14:paraId="5A072308">
      <w:pPr>
        <w:autoSpaceDE w:val="0"/>
        <w:autoSpaceDN w:val="0"/>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rPr>
        <w:fldChar w:fldCharType="begin"/>
      </w:r>
      <w:r>
        <w:rPr>
          <w:rFonts w:hint="eastAsia" w:ascii="仿宋" w:hAnsi="仿宋" w:eastAsia="仿宋" w:cs="仿宋"/>
          <w:color w:val="auto"/>
          <w:szCs w:val="21"/>
        </w:rPr>
        <w:instrText xml:space="preserve"> eq \o\ac(</w:instrText>
      </w:r>
      <w:r>
        <w:rPr>
          <w:rFonts w:hint="eastAsia" w:ascii="仿宋" w:hAnsi="仿宋" w:eastAsia="仿宋" w:cs="仿宋"/>
          <w:color w:val="auto"/>
          <w:position w:val="-4"/>
          <w:sz w:val="31"/>
          <w:szCs w:val="21"/>
        </w:rPr>
        <w:instrText xml:space="preserve">○</w:instrText>
      </w:r>
      <w:r>
        <w:rPr>
          <w:rFonts w:hint="eastAsia" w:ascii="仿宋" w:hAnsi="仿宋" w:eastAsia="仿宋" w:cs="仿宋"/>
          <w:color w:val="auto"/>
          <w:szCs w:val="21"/>
        </w:rPr>
        <w:instrText xml:space="preserve">,2)</w:instrText>
      </w:r>
      <w:r>
        <w:rPr>
          <w:rFonts w:hint="eastAsia" w:ascii="仿宋" w:hAnsi="仿宋" w:eastAsia="仿宋" w:cs="仿宋"/>
          <w:color w:val="auto"/>
          <w:szCs w:val="21"/>
        </w:rPr>
        <w:fldChar w:fldCharType="end"/>
      </w:r>
      <w:r>
        <w:rPr>
          <w:rFonts w:hint="eastAsia" w:ascii="仿宋" w:hAnsi="仿宋" w:eastAsia="仿宋" w:cs="仿宋"/>
          <w:color w:val="auto"/>
          <w:szCs w:val="21"/>
        </w:rPr>
        <w:t xml:space="preserve"> </w:t>
      </w:r>
      <w:r>
        <w:rPr>
          <w:rFonts w:hint="eastAsia" w:ascii="仿宋" w:hAnsi="仿宋" w:eastAsia="仿宋" w:cs="仿宋"/>
          <w:color w:val="auto"/>
          <w:szCs w:val="21"/>
          <w:u w:val="single"/>
        </w:rPr>
        <w:t>为合理控制工程造价，保证项目顺利实施，发包人有权纠正并调整承包人的不平衡报价并直接调整合同总价</w:t>
      </w:r>
      <w:r>
        <w:rPr>
          <w:rFonts w:hint="eastAsia" w:ascii="仿宋" w:hAnsi="仿宋" w:eastAsia="仿宋" w:cs="仿宋"/>
          <w:color w:val="auto"/>
          <w:kern w:val="0"/>
          <w:szCs w:val="21"/>
          <w:u w:val="single"/>
        </w:rPr>
        <w:t>。</w:t>
      </w:r>
    </w:p>
    <w:p w14:paraId="1136B6B6">
      <w:pPr>
        <w:tabs>
          <w:tab w:val="left" w:pos="0"/>
        </w:tabs>
        <w:adjustRightInd w:val="0"/>
        <w:snapToGrid w:val="0"/>
        <w:spacing w:line="360" w:lineRule="auto"/>
        <w:ind w:firstLine="424" w:firstLineChars="202"/>
        <w:rPr>
          <w:rFonts w:ascii="仿宋" w:hAnsi="仿宋" w:eastAsia="仿宋" w:cs="仿宋"/>
          <w:color w:val="auto"/>
          <w:kern w:val="0"/>
          <w:szCs w:val="21"/>
          <w:u w:val="single"/>
        </w:rPr>
      </w:pPr>
      <w:r>
        <w:rPr>
          <w:rFonts w:hint="eastAsia" w:ascii="仿宋" w:hAnsi="仿宋" w:eastAsia="仿宋" w:cs="仿宋"/>
          <w:color w:val="auto"/>
          <w:kern w:val="0"/>
          <w:szCs w:val="21"/>
        </w:rPr>
        <w:fldChar w:fldCharType="begin"/>
      </w:r>
      <w:r>
        <w:rPr>
          <w:rFonts w:hint="eastAsia" w:ascii="仿宋" w:hAnsi="仿宋" w:eastAsia="仿宋" w:cs="仿宋"/>
          <w:color w:val="auto"/>
          <w:kern w:val="0"/>
          <w:szCs w:val="21"/>
        </w:rPr>
        <w:instrText xml:space="preserve"> eq \o\ac(</w:instrText>
      </w:r>
      <w:r>
        <w:rPr>
          <w:rFonts w:hint="eastAsia" w:ascii="仿宋" w:hAnsi="仿宋" w:eastAsia="仿宋" w:cs="仿宋"/>
          <w:color w:val="auto"/>
          <w:kern w:val="0"/>
          <w:position w:val="-4"/>
          <w:sz w:val="31"/>
          <w:szCs w:val="21"/>
        </w:rPr>
        <w:instrText xml:space="preserve">○</w:instrText>
      </w:r>
      <w:r>
        <w:rPr>
          <w:rFonts w:hint="eastAsia" w:ascii="仿宋" w:hAnsi="仿宋" w:eastAsia="仿宋" w:cs="仿宋"/>
          <w:color w:val="auto"/>
          <w:kern w:val="0"/>
          <w:szCs w:val="21"/>
        </w:rPr>
        <w:instrText xml:space="preserve">,3)</w:instrText>
      </w:r>
      <w:r>
        <w:rPr>
          <w:rFonts w:hint="eastAsia" w:ascii="仿宋" w:hAnsi="仿宋" w:eastAsia="仿宋" w:cs="仿宋"/>
          <w:color w:val="auto"/>
          <w:kern w:val="0"/>
          <w:szCs w:val="21"/>
        </w:rPr>
        <w:fldChar w:fldCharType="end"/>
      </w:r>
      <w:r>
        <w:rPr>
          <w:rFonts w:hint="eastAsia" w:ascii="仿宋" w:hAnsi="仿宋" w:eastAsia="仿宋" w:cs="仿宋"/>
          <w:color w:val="auto"/>
          <w:kern w:val="0"/>
          <w:szCs w:val="21"/>
        </w:rPr>
        <w:t xml:space="preserve"> </w:t>
      </w:r>
      <w:r>
        <w:rPr>
          <w:rFonts w:hint="eastAsia" w:ascii="仿宋" w:hAnsi="仿宋" w:eastAsia="仿宋" w:cs="仿宋"/>
          <w:color w:val="auto"/>
          <w:kern w:val="0"/>
          <w:szCs w:val="21"/>
          <w:u w:val="single"/>
        </w:rPr>
        <w:t>单价分析表中的材料单价与磋商响应文件中</w:t>
      </w:r>
      <w:r>
        <w:rPr>
          <w:rFonts w:hint="eastAsia" w:ascii="仿宋" w:hAnsi="仿宋" w:eastAsia="仿宋" w:cs="仿宋"/>
          <w:color w:val="auto"/>
          <w:kern w:val="0"/>
          <w:szCs w:val="21"/>
          <w:u w:val="single"/>
          <w:lang w:eastAsia="zh-CN"/>
        </w:rPr>
        <w:t>磋商供应商</w:t>
      </w:r>
      <w:r>
        <w:rPr>
          <w:rFonts w:hint="eastAsia" w:ascii="仿宋" w:hAnsi="仿宋" w:eastAsia="仿宋" w:cs="仿宋"/>
          <w:color w:val="auto"/>
          <w:kern w:val="0"/>
          <w:szCs w:val="21"/>
          <w:u w:val="single"/>
        </w:rPr>
        <w:t>采购供应主要材料设备价格表中的报价不符，则以最低者为准，并调整合同总价。</w:t>
      </w:r>
    </w:p>
    <w:p w14:paraId="28F9D247">
      <w:pPr>
        <w:tabs>
          <w:tab w:val="left" w:pos="0"/>
        </w:tabs>
        <w:adjustRightInd w:val="0"/>
        <w:snapToGrid w:val="0"/>
        <w:spacing w:line="360" w:lineRule="auto"/>
        <w:ind w:firstLine="420" w:firstLineChars="200"/>
        <w:rPr>
          <w:rFonts w:ascii="仿宋" w:hAnsi="仿宋" w:eastAsia="仿宋" w:cs="仿宋"/>
          <w:color w:val="auto"/>
          <w:kern w:val="0"/>
          <w:szCs w:val="21"/>
          <w:u w:val="single"/>
        </w:rPr>
      </w:pPr>
      <w:r>
        <w:rPr>
          <w:rFonts w:hint="eastAsia" w:ascii="仿宋" w:hAnsi="仿宋" w:eastAsia="仿宋" w:cs="仿宋"/>
          <w:color w:val="auto"/>
          <w:kern w:val="0"/>
          <w:szCs w:val="21"/>
        </w:rPr>
        <w:fldChar w:fldCharType="begin"/>
      </w:r>
      <w:r>
        <w:rPr>
          <w:rFonts w:hint="eastAsia" w:ascii="仿宋" w:hAnsi="仿宋" w:eastAsia="仿宋" w:cs="仿宋"/>
          <w:color w:val="auto"/>
          <w:kern w:val="0"/>
          <w:szCs w:val="21"/>
        </w:rPr>
        <w:instrText xml:space="preserve"> eq \o\ac(</w:instrText>
      </w:r>
      <w:r>
        <w:rPr>
          <w:rFonts w:hint="eastAsia" w:ascii="仿宋" w:hAnsi="仿宋" w:eastAsia="仿宋" w:cs="仿宋"/>
          <w:color w:val="auto"/>
          <w:kern w:val="0"/>
          <w:position w:val="-4"/>
          <w:sz w:val="31"/>
          <w:szCs w:val="21"/>
        </w:rPr>
        <w:instrText xml:space="preserve">○</w:instrText>
      </w:r>
      <w:r>
        <w:rPr>
          <w:rFonts w:hint="eastAsia" w:ascii="仿宋" w:hAnsi="仿宋" w:eastAsia="仿宋" w:cs="仿宋"/>
          <w:color w:val="auto"/>
          <w:kern w:val="0"/>
          <w:szCs w:val="21"/>
        </w:rPr>
        <w:instrText xml:space="preserve">,4)</w:instrText>
      </w:r>
      <w:r>
        <w:rPr>
          <w:rFonts w:hint="eastAsia" w:ascii="仿宋" w:hAnsi="仿宋" w:eastAsia="仿宋" w:cs="仿宋"/>
          <w:color w:val="auto"/>
          <w:kern w:val="0"/>
          <w:szCs w:val="21"/>
        </w:rPr>
        <w:fldChar w:fldCharType="end"/>
      </w:r>
      <w:r>
        <w:rPr>
          <w:rFonts w:hint="eastAsia" w:ascii="仿宋" w:hAnsi="仿宋" w:eastAsia="仿宋" w:cs="仿宋"/>
          <w:color w:val="auto"/>
          <w:kern w:val="0"/>
          <w:szCs w:val="21"/>
        </w:rPr>
        <w:t xml:space="preserve"> </w:t>
      </w:r>
      <w:r>
        <w:rPr>
          <w:rFonts w:hint="eastAsia" w:ascii="仿宋" w:hAnsi="仿宋" w:eastAsia="仿宋" w:cs="仿宋"/>
          <w:color w:val="auto"/>
          <w:kern w:val="0"/>
          <w:szCs w:val="21"/>
          <w:u w:val="single"/>
        </w:rPr>
        <w:t>单价分析表中所报单价与工程量清单中该项综合单价不符，则以最低者为准，并调整其合价。</w:t>
      </w:r>
    </w:p>
    <w:p w14:paraId="47047209">
      <w:pPr>
        <w:tabs>
          <w:tab w:val="left" w:pos="0"/>
        </w:tabs>
        <w:adjustRightInd w:val="0"/>
        <w:snapToGrid w:val="0"/>
        <w:spacing w:line="360" w:lineRule="auto"/>
        <w:ind w:firstLine="420" w:firstLineChars="200"/>
        <w:rPr>
          <w:rFonts w:ascii="仿宋" w:hAnsi="仿宋" w:eastAsia="仿宋" w:cs="仿宋"/>
          <w:color w:val="auto"/>
          <w:kern w:val="0"/>
          <w:szCs w:val="21"/>
          <w:u w:val="single"/>
        </w:rPr>
      </w:pPr>
      <w:r>
        <w:rPr>
          <w:rFonts w:hint="eastAsia" w:ascii="仿宋" w:hAnsi="仿宋" w:eastAsia="仿宋" w:cs="仿宋"/>
          <w:color w:val="auto"/>
          <w:kern w:val="0"/>
          <w:szCs w:val="21"/>
        </w:rPr>
        <w:fldChar w:fldCharType="begin"/>
      </w:r>
      <w:r>
        <w:rPr>
          <w:rFonts w:hint="eastAsia" w:ascii="仿宋" w:hAnsi="仿宋" w:eastAsia="仿宋" w:cs="仿宋"/>
          <w:color w:val="auto"/>
          <w:kern w:val="0"/>
          <w:szCs w:val="21"/>
        </w:rPr>
        <w:instrText xml:space="preserve"> eq \o\ac(</w:instrText>
      </w:r>
      <w:r>
        <w:rPr>
          <w:rFonts w:hint="eastAsia" w:ascii="仿宋" w:hAnsi="仿宋" w:eastAsia="仿宋" w:cs="仿宋"/>
          <w:color w:val="auto"/>
          <w:kern w:val="0"/>
          <w:position w:val="-4"/>
          <w:sz w:val="31"/>
          <w:szCs w:val="21"/>
        </w:rPr>
        <w:instrText xml:space="preserve">○</w:instrText>
      </w:r>
      <w:r>
        <w:rPr>
          <w:rFonts w:hint="eastAsia" w:ascii="仿宋" w:hAnsi="仿宋" w:eastAsia="仿宋" w:cs="仿宋"/>
          <w:color w:val="auto"/>
          <w:kern w:val="0"/>
          <w:szCs w:val="21"/>
        </w:rPr>
        <w:instrText xml:space="preserve">,5)</w:instrText>
      </w:r>
      <w:r>
        <w:rPr>
          <w:rFonts w:hint="eastAsia" w:ascii="仿宋" w:hAnsi="仿宋" w:eastAsia="仿宋" w:cs="仿宋"/>
          <w:color w:val="auto"/>
          <w:kern w:val="0"/>
          <w:szCs w:val="21"/>
        </w:rPr>
        <w:fldChar w:fldCharType="end"/>
      </w:r>
      <w:r>
        <w:rPr>
          <w:rFonts w:hint="eastAsia" w:ascii="仿宋" w:hAnsi="仿宋" w:eastAsia="仿宋" w:cs="仿宋"/>
          <w:color w:val="auto"/>
          <w:kern w:val="0"/>
          <w:szCs w:val="21"/>
        </w:rPr>
        <w:t xml:space="preserve"> </w:t>
      </w:r>
      <w:r>
        <w:rPr>
          <w:rFonts w:hint="eastAsia" w:ascii="仿宋" w:hAnsi="仿宋" w:eastAsia="仿宋" w:cs="仿宋"/>
          <w:color w:val="auto"/>
          <w:kern w:val="0"/>
          <w:szCs w:val="21"/>
          <w:u w:val="single"/>
        </w:rPr>
        <w:t xml:space="preserve"> 如</w:t>
      </w:r>
      <w:r>
        <w:rPr>
          <w:rFonts w:hint="eastAsia" w:ascii="仿宋" w:hAnsi="仿宋" w:eastAsia="仿宋" w:cs="仿宋"/>
          <w:color w:val="auto"/>
          <w:kern w:val="0"/>
          <w:szCs w:val="21"/>
          <w:u w:val="single"/>
          <w:lang w:eastAsia="zh-CN"/>
        </w:rPr>
        <w:t>磋商供应商</w:t>
      </w:r>
      <w:r>
        <w:rPr>
          <w:rFonts w:hint="eastAsia" w:ascii="仿宋" w:hAnsi="仿宋" w:eastAsia="仿宋" w:cs="仿宋"/>
          <w:color w:val="auto"/>
          <w:kern w:val="0"/>
          <w:szCs w:val="21"/>
          <w:u w:val="single"/>
        </w:rPr>
        <w:t xml:space="preserve">未按招标人给定的暂定价计入磋商报价，则按不利于承包人的方式进行调整。 </w:t>
      </w:r>
    </w:p>
    <w:p w14:paraId="31206388">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szCs w:val="21"/>
          <w:u w:val="single"/>
        </w:rPr>
        <w:t>（2）</w:t>
      </w:r>
      <w:r>
        <w:rPr>
          <w:rFonts w:hint="eastAsia" w:ascii="仿宋" w:hAnsi="仿宋" w:eastAsia="仿宋" w:cs="仿宋"/>
          <w:color w:val="auto"/>
          <w:kern w:val="0"/>
          <w:szCs w:val="21"/>
          <w:u w:val="single"/>
        </w:rPr>
        <w:t>措施费调整原则：</w:t>
      </w:r>
      <w:r>
        <w:rPr>
          <w:rFonts w:hint="eastAsia" w:ascii="仿宋" w:hAnsi="仿宋" w:eastAsia="仿宋" w:cs="仿宋"/>
          <w:color w:val="auto"/>
          <w:szCs w:val="21"/>
          <w:u w:val="single"/>
        </w:rPr>
        <w:t>除定额明确的费率计价项和非费率计价项中模板措施费外，其余措施项目清单全部包干，不因任何原因而调整。费率计价项的措施根据中标费率按实结算；非费率计价项中的模板措施费根据砼结算工程量按中标单价据实计算。</w:t>
      </w:r>
    </w:p>
    <w:p w14:paraId="5535AC0B">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szCs w:val="21"/>
        </w:rPr>
        <w:t>（3）</w:t>
      </w:r>
      <w:r>
        <w:rPr>
          <w:rFonts w:hint="eastAsia" w:ascii="仿宋" w:hAnsi="仿宋" w:eastAsia="仿宋" w:cs="仿宋"/>
          <w:color w:val="auto"/>
          <w:kern w:val="0"/>
          <w:szCs w:val="21"/>
        </w:rPr>
        <w:t>专业工程暂估价，是招标人在工程量清单中提供的用于支付必然发生但暂时不能确定价格的材料、设备的单价以及拟另行分包专业工程的金额，结算时发包人、承包人与专业分包人依据本合同有关计价约定计算。</w:t>
      </w:r>
    </w:p>
    <w:p w14:paraId="07D60366">
      <w:pPr>
        <w:adjustRightInd w:val="0"/>
        <w:snapToGrid w:val="0"/>
        <w:spacing w:line="360" w:lineRule="auto"/>
        <w:ind w:left="40" w:leftChars="19" w:firstLine="420" w:firstLineChars="200"/>
        <w:rPr>
          <w:rFonts w:ascii="仿宋" w:hAnsi="仿宋" w:eastAsia="仿宋" w:cs="仿宋"/>
          <w:color w:val="auto"/>
          <w:kern w:val="0"/>
          <w:szCs w:val="21"/>
          <w:u w:val="single"/>
        </w:rPr>
      </w:pPr>
      <w:r>
        <w:rPr>
          <w:rFonts w:hint="eastAsia" w:ascii="仿宋" w:hAnsi="仿宋" w:eastAsia="仿宋" w:cs="仿宋"/>
          <w:color w:val="auto"/>
          <w:szCs w:val="21"/>
        </w:rPr>
        <w:t>（4）</w:t>
      </w:r>
      <w:r>
        <w:rPr>
          <w:rFonts w:hint="eastAsia" w:ascii="仿宋" w:hAnsi="仿宋" w:eastAsia="仿宋" w:cs="仿宋"/>
          <w:color w:val="auto"/>
          <w:szCs w:val="21"/>
          <w:u w:val="single"/>
        </w:rPr>
        <w:t>发包人确认的设计变更依照合同约定进行调整。</w:t>
      </w:r>
    </w:p>
    <w:p w14:paraId="059B3B05">
      <w:pPr>
        <w:adjustRightInd w:val="0"/>
        <w:snapToGrid w:val="0"/>
        <w:spacing w:line="360" w:lineRule="auto"/>
        <w:ind w:left="40" w:leftChars="19" w:firstLine="420" w:firstLineChars="200"/>
        <w:rPr>
          <w:rFonts w:ascii="仿宋" w:hAnsi="仿宋" w:eastAsia="仿宋" w:cs="仿宋"/>
          <w:color w:val="auto"/>
          <w:szCs w:val="21"/>
          <w:u w:val="single"/>
        </w:rPr>
      </w:pPr>
      <w:r>
        <w:rPr>
          <w:rFonts w:hint="eastAsia" w:ascii="仿宋" w:hAnsi="仿宋" w:eastAsia="仿宋" w:cs="仿宋"/>
          <w:color w:val="auto"/>
          <w:szCs w:val="21"/>
        </w:rPr>
        <w:t>（5）</w:t>
      </w:r>
      <w:r>
        <w:rPr>
          <w:rFonts w:hint="eastAsia" w:ascii="仿宋" w:hAnsi="仿宋" w:eastAsia="仿宋" w:cs="仿宋"/>
          <w:color w:val="auto"/>
          <w:szCs w:val="21"/>
          <w:u w:val="single"/>
        </w:rPr>
        <w:t>劳保统筹费税后扣除；所有规费结算时承包人提供交费证明，如无证明，则扣除相应费用。</w:t>
      </w:r>
    </w:p>
    <w:p w14:paraId="632B1651">
      <w:pPr>
        <w:adjustRightInd w:val="0"/>
        <w:snapToGrid w:val="0"/>
        <w:spacing w:line="360" w:lineRule="auto"/>
        <w:ind w:firstLine="422" w:firstLineChars="200"/>
        <w:rPr>
          <w:rFonts w:ascii="仿宋" w:hAnsi="仿宋" w:eastAsia="仿宋" w:cs="仿宋"/>
          <w:b/>
          <w:color w:val="auto"/>
          <w:szCs w:val="21"/>
          <w:u w:val="single"/>
        </w:rPr>
      </w:pPr>
      <w:r>
        <w:rPr>
          <w:rFonts w:hint="eastAsia" w:ascii="仿宋" w:hAnsi="仿宋" w:eastAsia="仿宋" w:cs="仿宋"/>
          <w:b/>
          <w:color w:val="auto"/>
          <w:szCs w:val="21"/>
        </w:rPr>
        <w:t>28.工程备料款</w:t>
      </w:r>
      <w:r>
        <w:rPr>
          <w:rFonts w:hint="eastAsia" w:ascii="仿宋" w:hAnsi="仿宋" w:eastAsia="仿宋" w:cs="仿宋"/>
          <w:b/>
          <w:color w:val="auto"/>
          <w:szCs w:val="21"/>
          <w:u w:val="single"/>
        </w:rPr>
        <w:t xml:space="preserve">  无 </w:t>
      </w:r>
    </w:p>
    <w:p w14:paraId="67297685">
      <w:pPr>
        <w:adjustRightInd w:val="0"/>
        <w:snapToGrid w:val="0"/>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29.已完工程量确认</w:t>
      </w:r>
    </w:p>
    <w:p w14:paraId="32F80112">
      <w:pPr>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29.1承包人向工程师提交已完工程量报告的时间：</w:t>
      </w:r>
      <w:r>
        <w:rPr>
          <w:rFonts w:hint="eastAsia" w:ascii="仿宋" w:hAnsi="仿宋" w:eastAsia="仿宋" w:cs="仿宋"/>
          <w:color w:val="auto"/>
          <w:szCs w:val="21"/>
          <w:u w:val="single"/>
        </w:rPr>
        <w:t xml:space="preserve"> 每月25日。</w:t>
      </w:r>
    </w:p>
    <w:p w14:paraId="64F3874E">
      <w:pPr>
        <w:adjustRightInd w:val="0"/>
        <w:snapToGrid w:val="0"/>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30.工程进度款结算与支付</w:t>
      </w:r>
    </w:p>
    <w:p w14:paraId="533E482C">
      <w:pPr>
        <w:adjustRightInd w:val="0"/>
        <w:snapToGrid w:val="0"/>
        <w:spacing w:line="360" w:lineRule="auto"/>
        <w:ind w:firstLine="422" w:firstLineChars="200"/>
        <w:rPr>
          <w:rFonts w:ascii="仿宋" w:hAnsi="仿宋" w:eastAsia="仿宋" w:cs="仿宋"/>
          <w:b/>
          <w:bCs/>
          <w:color w:val="auto"/>
          <w:szCs w:val="21"/>
          <w:highlight w:val="none"/>
        </w:rPr>
      </w:pPr>
      <w:r>
        <w:rPr>
          <w:rFonts w:hint="eastAsia" w:ascii="仿宋" w:hAnsi="仿宋" w:eastAsia="仿宋" w:cs="仿宋"/>
          <w:b/>
          <w:bCs/>
          <w:color w:val="auto"/>
          <w:szCs w:val="21"/>
          <w:highlight w:val="none"/>
        </w:rPr>
        <w:t>30.1双方约定的工程进度款支付的方式、时间和比例是：</w:t>
      </w:r>
    </w:p>
    <w:p w14:paraId="7DC78122">
      <w:pPr>
        <w:numPr>
          <w:ilvl w:val="0"/>
          <w:numId w:val="12"/>
        </w:numPr>
        <w:tabs>
          <w:tab w:val="left" w:pos="360"/>
        </w:tabs>
        <w:adjustRightInd w:val="0"/>
        <w:snapToGrid w:val="0"/>
        <w:spacing w:line="360"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工程进度款支付的方式：银行转帐。</w:t>
      </w:r>
    </w:p>
    <w:p w14:paraId="073A3D3C">
      <w:pPr>
        <w:numPr>
          <w:ilvl w:val="0"/>
          <w:numId w:val="12"/>
        </w:numPr>
        <w:tabs>
          <w:tab w:val="left" w:pos="360"/>
        </w:tabs>
        <w:adjustRightInd w:val="0"/>
        <w:snapToGrid w:val="0"/>
        <w:spacing w:line="360"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工程预付款：</w:t>
      </w:r>
      <w:r>
        <w:rPr>
          <w:rFonts w:hint="eastAsia" w:ascii="仿宋" w:hAnsi="仿宋" w:eastAsia="仿宋" w:cs="仿宋"/>
          <w:b/>
          <w:bCs/>
          <w:color w:val="auto"/>
          <w:szCs w:val="21"/>
          <w:highlight w:val="none"/>
          <w:lang w:val="en-US" w:eastAsia="zh-CN"/>
        </w:rPr>
        <w:t>40%</w:t>
      </w:r>
      <w:r>
        <w:rPr>
          <w:rFonts w:hint="eastAsia" w:ascii="仿宋" w:hAnsi="仿宋" w:eastAsia="仿宋" w:cs="仿宋"/>
          <w:b/>
          <w:bCs/>
          <w:color w:val="auto"/>
          <w:szCs w:val="21"/>
          <w:highlight w:val="none"/>
        </w:rPr>
        <w:t>。</w:t>
      </w:r>
    </w:p>
    <w:p w14:paraId="5A028C67">
      <w:pPr>
        <w:numPr>
          <w:ilvl w:val="0"/>
          <w:numId w:val="12"/>
        </w:numPr>
        <w:tabs>
          <w:tab w:val="left" w:pos="360"/>
        </w:tabs>
        <w:adjustRightInd w:val="0"/>
        <w:snapToGrid w:val="0"/>
        <w:spacing w:line="360"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工程进度款支付：在工程</w:t>
      </w:r>
      <w:r>
        <w:rPr>
          <w:rFonts w:hint="eastAsia" w:ascii="仿宋" w:hAnsi="仿宋" w:eastAsia="仿宋" w:cs="仿宋"/>
          <w:b/>
          <w:bCs/>
          <w:color w:val="auto"/>
          <w:szCs w:val="21"/>
          <w:highlight w:val="none"/>
          <w:lang w:val="en-US" w:eastAsia="zh-CN"/>
        </w:rPr>
        <w:t>施工</w:t>
      </w:r>
      <w:r>
        <w:rPr>
          <w:rFonts w:hint="eastAsia" w:ascii="仿宋" w:hAnsi="仿宋" w:eastAsia="仿宋" w:cs="仿宋"/>
          <w:b/>
          <w:bCs/>
          <w:color w:val="auto"/>
          <w:szCs w:val="21"/>
          <w:highlight w:val="none"/>
          <w:lang w:eastAsia="zh-CN"/>
        </w:rPr>
        <w:t>验收</w:t>
      </w:r>
      <w:r>
        <w:rPr>
          <w:rFonts w:hint="eastAsia" w:ascii="仿宋" w:hAnsi="仿宋" w:eastAsia="仿宋" w:cs="仿宋"/>
          <w:b/>
          <w:bCs/>
          <w:color w:val="auto"/>
          <w:szCs w:val="21"/>
          <w:highlight w:val="none"/>
        </w:rPr>
        <w:t>办理完毕之日起15天内支付至结算总价的</w:t>
      </w:r>
      <w:r>
        <w:rPr>
          <w:rFonts w:hint="eastAsia" w:ascii="仿宋" w:hAnsi="仿宋" w:eastAsia="仿宋" w:cs="仿宋"/>
          <w:b/>
          <w:bCs/>
          <w:color w:val="auto"/>
          <w:szCs w:val="21"/>
          <w:highlight w:val="none"/>
          <w:lang w:val="en-US" w:eastAsia="zh-CN"/>
        </w:rPr>
        <w:t>100</w:t>
      </w:r>
      <w:r>
        <w:rPr>
          <w:rFonts w:hint="eastAsia" w:ascii="仿宋" w:hAnsi="仿宋" w:eastAsia="仿宋" w:cs="仿宋"/>
          <w:b/>
          <w:bCs/>
          <w:color w:val="auto"/>
          <w:szCs w:val="21"/>
          <w:highlight w:val="none"/>
        </w:rPr>
        <w:t>％。</w:t>
      </w:r>
    </w:p>
    <w:p w14:paraId="2E6F961D">
      <w:pPr>
        <w:numPr>
          <w:ilvl w:val="0"/>
          <w:numId w:val="12"/>
        </w:numPr>
        <w:tabs>
          <w:tab w:val="left" w:pos="360"/>
        </w:tabs>
        <w:adjustRightInd w:val="0"/>
        <w:snapToGrid w:val="0"/>
        <w:spacing w:line="360" w:lineRule="auto"/>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款项的支付申请单以甲方下发的统一格式为准。</w:t>
      </w:r>
    </w:p>
    <w:p w14:paraId="571A6EDD">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七、材料设备供应</w:t>
      </w:r>
    </w:p>
    <w:p w14:paraId="1B50F605">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31、发包人供应材料设备</w:t>
      </w:r>
    </w:p>
    <w:p w14:paraId="475AB630">
      <w:pPr>
        <w:autoSpaceDE w:val="0"/>
        <w:autoSpaceDN w:val="0"/>
        <w:adjustRightInd w:val="0"/>
        <w:snapToGrid w:val="0"/>
        <w:spacing w:line="360" w:lineRule="auto"/>
        <w:ind w:left="199" w:leftChars="95" w:firstLine="210" w:firstLineChars="100"/>
        <w:jc w:val="left"/>
        <w:rPr>
          <w:rFonts w:ascii="仿宋" w:hAnsi="仿宋" w:eastAsia="仿宋" w:cs="仿宋"/>
          <w:color w:val="auto"/>
          <w:kern w:val="0"/>
          <w:szCs w:val="21"/>
        </w:rPr>
      </w:pPr>
      <w:r>
        <w:rPr>
          <w:rFonts w:hint="eastAsia" w:ascii="仿宋" w:hAnsi="仿宋" w:eastAsia="仿宋" w:cs="仿宋"/>
          <w:color w:val="auto"/>
          <w:kern w:val="0"/>
          <w:szCs w:val="21"/>
        </w:rPr>
        <w:t>31.4发包人供应的材料设备与一览表不符时，双方约定发包人承担责任如下：</w:t>
      </w:r>
    </w:p>
    <w:p w14:paraId="35D157EC">
      <w:pPr>
        <w:autoSpaceDE w:val="0"/>
        <w:autoSpaceDN w:val="0"/>
        <w:adjustRightInd w:val="0"/>
        <w:snapToGrid w:val="0"/>
        <w:spacing w:line="360" w:lineRule="auto"/>
        <w:ind w:left="200"/>
        <w:jc w:val="left"/>
        <w:rPr>
          <w:rFonts w:ascii="仿宋" w:hAnsi="仿宋" w:eastAsia="仿宋" w:cs="仿宋"/>
          <w:color w:val="auto"/>
          <w:kern w:val="0"/>
          <w:szCs w:val="21"/>
        </w:rPr>
      </w:pPr>
      <w:r>
        <w:rPr>
          <w:rFonts w:hint="eastAsia" w:ascii="仿宋" w:hAnsi="仿宋" w:eastAsia="仿宋" w:cs="仿宋"/>
          <w:color w:val="auto"/>
          <w:kern w:val="0"/>
          <w:szCs w:val="21"/>
        </w:rPr>
        <w:t>（1）材料设备单价与一览表不符：</w:t>
      </w:r>
      <w:r>
        <w:rPr>
          <w:rFonts w:hint="eastAsia" w:ascii="仿宋" w:hAnsi="仿宋" w:eastAsia="仿宋" w:cs="仿宋"/>
          <w:color w:val="auto"/>
          <w:kern w:val="0"/>
          <w:szCs w:val="21"/>
          <w:u w:val="single"/>
        </w:rPr>
        <w:t xml:space="preserve"> /   </w:t>
      </w:r>
      <w:r>
        <w:rPr>
          <w:rFonts w:hint="eastAsia" w:ascii="仿宋" w:hAnsi="仿宋" w:eastAsia="仿宋" w:cs="仿宋"/>
          <w:color w:val="auto"/>
          <w:kern w:val="0"/>
          <w:szCs w:val="21"/>
        </w:rPr>
        <w:t xml:space="preserve"> 。 </w:t>
      </w:r>
    </w:p>
    <w:p w14:paraId="068D495E">
      <w:pPr>
        <w:autoSpaceDE w:val="0"/>
        <w:autoSpaceDN w:val="0"/>
        <w:adjustRightInd w:val="0"/>
        <w:snapToGrid w:val="0"/>
        <w:spacing w:line="360" w:lineRule="auto"/>
        <w:ind w:left="200"/>
        <w:jc w:val="left"/>
        <w:rPr>
          <w:rFonts w:ascii="仿宋" w:hAnsi="仿宋" w:eastAsia="仿宋" w:cs="仿宋"/>
          <w:color w:val="auto"/>
          <w:kern w:val="0"/>
          <w:szCs w:val="21"/>
        </w:rPr>
      </w:pPr>
      <w:r>
        <w:rPr>
          <w:rFonts w:hint="eastAsia" w:ascii="仿宋" w:hAnsi="仿宋" w:eastAsia="仿宋" w:cs="仿宋"/>
          <w:color w:val="auto"/>
          <w:kern w:val="0"/>
          <w:szCs w:val="21"/>
        </w:rPr>
        <w:t xml:space="preserve">（2）材料设备的品种、规格、型号、质量等级与一览表不符： </w:t>
      </w:r>
      <w:r>
        <w:rPr>
          <w:rFonts w:hint="eastAsia" w:ascii="仿宋" w:hAnsi="仿宋" w:eastAsia="仿宋" w:cs="仿宋"/>
          <w:color w:val="auto"/>
          <w:kern w:val="0"/>
          <w:szCs w:val="21"/>
          <w:u w:val="single"/>
        </w:rPr>
        <w:t>若没有能说明原因的报告、工程变更，施工单位可拒接。</w:t>
      </w:r>
      <w:r>
        <w:rPr>
          <w:rFonts w:hint="eastAsia" w:ascii="仿宋" w:hAnsi="仿宋" w:eastAsia="仿宋" w:cs="仿宋"/>
          <w:color w:val="auto"/>
          <w:kern w:val="0"/>
          <w:szCs w:val="21"/>
        </w:rPr>
        <w:t xml:space="preserve">   </w:t>
      </w:r>
    </w:p>
    <w:p w14:paraId="5AF5FC80">
      <w:pPr>
        <w:autoSpaceDE w:val="0"/>
        <w:autoSpaceDN w:val="0"/>
        <w:adjustRightInd w:val="0"/>
        <w:snapToGrid w:val="0"/>
        <w:spacing w:line="360" w:lineRule="auto"/>
        <w:ind w:left="200"/>
        <w:jc w:val="left"/>
        <w:rPr>
          <w:rFonts w:ascii="仿宋" w:hAnsi="仿宋" w:eastAsia="仿宋" w:cs="仿宋"/>
          <w:color w:val="auto"/>
          <w:kern w:val="0"/>
          <w:szCs w:val="21"/>
        </w:rPr>
      </w:pPr>
      <w:r>
        <w:rPr>
          <w:rFonts w:hint="eastAsia" w:ascii="仿宋" w:hAnsi="仿宋" w:eastAsia="仿宋" w:cs="仿宋"/>
          <w:color w:val="auto"/>
          <w:kern w:val="0"/>
          <w:szCs w:val="21"/>
        </w:rPr>
        <w:t>（3）承包人可代为调剂串换的材料：</w:t>
      </w:r>
      <w:r>
        <w:rPr>
          <w:rFonts w:hint="eastAsia" w:ascii="仿宋" w:hAnsi="仿宋" w:eastAsia="仿宋" w:cs="仿宋"/>
          <w:color w:val="auto"/>
          <w:kern w:val="0"/>
          <w:szCs w:val="21"/>
          <w:u w:val="single"/>
        </w:rPr>
        <w:t xml:space="preserve">  需征得发包人同意。 </w:t>
      </w:r>
      <w:r>
        <w:rPr>
          <w:rFonts w:hint="eastAsia" w:ascii="仿宋" w:hAnsi="仿宋" w:eastAsia="仿宋" w:cs="仿宋"/>
          <w:color w:val="auto"/>
          <w:kern w:val="0"/>
          <w:szCs w:val="21"/>
        </w:rPr>
        <w:t xml:space="preserve"> </w:t>
      </w:r>
    </w:p>
    <w:p w14:paraId="6F9B41F9">
      <w:pPr>
        <w:autoSpaceDE w:val="0"/>
        <w:autoSpaceDN w:val="0"/>
        <w:adjustRightInd w:val="0"/>
        <w:snapToGrid w:val="0"/>
        <w:spacing w:line="360" w:lineRule="auto"/>
        <w:ind w:left="200"/>
        <w:jc w:val="left"/>
        <w:rPr>
          <w:rFonts w:ascii="仿宋" w:hAnsi="仿宋" w:eastAsia="仿宋" w:cs="仿宋"/>
          <w:color w:val="auto"/>
          <w:kern w:val="0"/>
          <w:szCs w:val="21"/>
        </w:rPr>
      </w:pPr>
      <w:r>
        <w:rPr>
          <w:rFonts w:hint="eastAsia" w:ascii="仿宋" w:hAnsi="仿宋" w:eastAsia="仿宋" w:cs="仿宋"/>
          <w:color w:val="auto"/>
          <w:kern w:val="0"/>
          <w:szCs w:val="21"/>
        </w:rPr>
        <w:t>（4）到货地点与一览表不符：</w:t>
      </w:r>
      <w:r>
        <w:rPr>
          <w:rFonts w:hint="eastAsia" w:ascii="仿宋" w:hAnsi="仿宋" w:eastAsia="仿宋" w:cs="仿宋"/>
          <w:color w:val="auto"/>
          <w:kern w:val="0"/>
          <w:szCs w:val="21"/>
          <w:u w:val="single"/>
        </w:rPr>
        <w:t>施工单位可拒接。</w:t>
      </w:r>
      <w:r>
        <w:rPr>
          <w:rFonts w:hint="eastAsia" w:ascii="仿宋" w:hAnsi="仿宋" w:eastAsia="仿宋" w:cs="仿宋"/>
          <w:color w:val="auto"/>
          <w:kern w:val="0"/>
          <w:szCs w:val="21"/>
        </w:rPr>
        <w:t xml:space="preserve">  </w:t>
      </w:r>
    </w:p>
    <w:p w14:paraId="3820F9F9">
      <w:pPr>
        <w:autoSpaceDE w:val="0"/>
        <w:autoSpaceDN w:val="0"/>
        <w:adjustRightInd w:val="0"/>
        <w:snapToGrid w:val="0"/>
        <w:spacing w:line="360" w:lineRule="auto"/>
        <w:ind w:left="200"/>
        <w:jc w:val="left"/>
        <w:rPr>
          <w:rFonts w:ascii="仿宋" w:hAnsi="仿宋" w:eastAsia="仿宋" w:cs="仿宋"/>
          <w:color w:val="auto"/>
          <w:kern w:val="0"/>
          <w:szCs w:val="21"/>
        </w:rPr>
      </w:pPr>
      <w:r>
        <w:rPr>
          <w:rFonts w:hint="eastAsia" w:ascii="仿宋" w:hAnsi="仿宋" w:eastAsia="仿宋" w:cs="仿宋"/>
          <w:color w:val="auto"/>
          <w:kern w:val="0"/>
          <w:szCs w:val="21"/>
        </w:rPr>
        <w:t>（5）供应数量与一览表不符：</w:t>
      </w:r>
      <w:r>
        <w:rPr>
          <w:rFonts w:hint="eastAsia" w:ascii="仿宋" w:hAnsi="仿宋" w:eastAsia="仿宋" w:cs="仿宋"/>
          <w:color w:val="auto"/>
          <w:kern w:val="0"/>
          <w:szCs w:val="21"/>
          <w:u w:val="single"/>
        </w:rPr>
        <w:t xml:space="preserve"> 以承包单位的材料需求计划为准。</w:t>
      </w:r>
      <w:r>
        <w:rPr>
          <w:rFonts w:hint="eastAsia" w:ascii="仿宋" w:hAnsi="仿宋" w:eastAsia="仿宋" w:cs="仿宋"/>
          <w:color w:val="auto"/>
          <w:kern w:val="0"/>
          <w:szCs w:val="21"/>
        </w:rPr>
        <w:t xml:space="preserve">  </w:t>
      </w:r>
    </w:p>
    <w:p w14:paraId="783D10B4">
      <w:pPr>
        <w:autoSpaceDE w:val="0"/>
        <w:autoSpaceDN w:val="0"/>
        <w:adjustRightInd w:val="0"/>
        <w:snapToGrid w:val="0"/>
        <w:spacing w:line="360" w:lineRule="auto"/>
        <w:ind w:left="200"/>
        <w:jc w:val="left"/>
        <w:rPr>
          <w:rFonts w:ascii="仿宋" w:hAnsi="仿宋" w:eastAsia="仿宋" w:cs="仿宋"/>
          <w:color w:val="auto"/>
          <w:kern w:val="0"/>
          <w:szCs w:val="21"/>
        </w:rPr>
      </w:pPr>
      <w:r>
        <w:rPr>
          <w:rFonts w:hint="eastAsia" w:ascii="仿宋" w:hAnsi="仿宋" w:eastAsia="仿宋" w:cs="仿宋"/>
          <w:color w:val="auto"/>
          <w:kern w:val="0"/>
          <w:szCs w:val="21"/>
        </w:rPr>
        <w:t>（6）到货时间与一览表不符：</w:t>
      </w:r>
      <w:r>
        <w:rPr>
          <w:rFonts w:hint="eastAsia" w:ascii="仿宋" w:hAnsi="仿宋" w:eastAsia="仿宋" w:cs="仿宋"/>
          <w:color w:val="auto"/>
          <w:kern w:val="0"/>
          <w:szCs w:val="21"/>
          <w:u w:val="single"/>
        </w:rPr>
        <w:t xml:space="preserve"> 以承包单位的材料需求计划为准，若到货时间影响了工期，由监理工程师核实后，准予顺延工期。</w:t>
      </w:r>
      <w:r>
        <w:rPr>
          <w:rFonts w:hint="eastAsia" w:ascii="仿宋" w:hAnsi="仿宋" w:eastAsia="仿宋" w:cs="仿宋"/>
          <w:color w:val="auto"/>
          <w:kern w:val="0"/>
          <w:szCs w:val="21"/>
        </w:rPr>
        <w:t xml:space="preserve">   </w:t>
      </w:r>
    </w:p>
    <w:p w14:paraId="6381041E">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32、承包人采购材料设备</w:t>
      </w:r>
    </w:p>
    <w:p w14:paraId="67BFBB1F">
      <w:pPr>
        <w:kinsoku w:val="0"/>
        <w:overflowPunct w:val="0"/>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kern w:val="0"/>
          <w:szCs w:val="21"/>
        </w:rPr>
        <w:t>32.1承包人采购材料设备的约定：</w:t>
      </w:r>
    </w:p>
    <w:p w14:paraId="685B72BD">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u w:val="single"/>
        </w:rPr>
        <w:t>承包人必须严格按施工图约定及合同要求选择材料。采购前报监理单位和建设单位的相关部门批准后，方可进行采购。所选材料必须是符合国家行业部门检测的合格产品，符合国家环境污染控制有关规范，具备出厂证明、质量检验证、产品合格证及相关检验证明。在使用前报监理单位和建设单位确认后方可用于工程，否则按照不合格产品对待，由此造成的经济损失由承包人承担。</w:t>
      </w:r>
    </w:p>
    <w:p w14:paraId="28D711FD">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u w:val="single"/>
        </w:rPr>
        <w:t>暂定价材料（</w:t>
      </w:r>
      <w:r>
        <w:rPr>
          <w:rFonts w:hint="eastAsia" w:ascii="仿宋" w:hAnsi="仿宋" w:eastAsia="仿宋" w:cs="仿宋"/>
          <w:bCs/>
          <w:color w:val="auto"/>
          <w:szCs w:val="21"/>
          <w:u w:val="single"/>
        </w:rPr>
        <w:t>除甲供材料外</w:t>
      </w:r>
      <w:r>
        <w:rPr>
          <w:rFonts w:hint="eastAsia" w:ascii="仿宋" w:hAnsi="仿宋" w:eastAsia="仿宋" w:cs="仿宋"/>
          <w:color w:val="auto"/>
          <w:szCs w:val="21"/>
          <w:u w:val="single"/>
        </w:rPr>
        <w:t>）和招标时没有的材料，在采购前均需报发包人</w:t>
      </w:r>
      <w:r>
        <w:rPr>
          <w:rFonts w:hint="eastAsia" w:ascii="仿宋" w:hAnsi="仿宋" w:eastAsia="仿宋" w:cs="仿宋"/>
          <w:color w:val="auto"/>
          <w:kern w:val="0"/>
          <w:szCs w:val="21"/>
          <w:u w:val="single"/>
        </w:rPr>
        <w:t>认质认价，结算时在磋商综合单价的基础上按甲方的认质认价单进行调整。</w:t>
      </w:r>
    </w:p>
    <w:p w14:paraId="05592638">
      <w:pPr>
        <w:adjustRightInd w:val="0"/>
        <w:snapToGrid w:val="0"/>
        <w:spacing w:line="360" w:lineRule="auto"/>
        <w:ind w:firstLine="420" w:firstLineChars="200"/>
        <w:rPr>
          <w:rFonts w:ascii="仿宋" w:hAnsi="仿宋" w:eastAsia="仿宋" w:cs="仿宋"/>
          <w:color w:val="auto"/>
          <w:kern w:val="0"/>
          <w:szCs w:val="21"/>
          <w:u w:val="single"/>
        </w:rPr>
      </w:pPr>
      <w:r>
        <w:rPr>
          <w:rFonts w:hint="eastAsia" w:ascii="仿宋" w:hAnsi="仿宋" w:eastAsia="仿宋" w:cs="仿宋"/>
          <w:color w:val="auto"/>
          <w:kern w:val="0"/>
          <w:szCs w:val="21"/>
          <w:u w:val="single"/>
        </w:rPr>
        <w:t>对承包人采购的材料，发包人有权自行采购和指定采购，但需在采购前提前书面通知承包人，承包人不再就该部分材料进行采购。</w:t>
      </w:r>
    </w:p>
    <w:p w14:paraId="69B9C7F2">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八、工程变更</w:t>
      </w:r>
    </w:p>
    <w:p w14:paraId="4F8F2F89">
      <w:pPr>
        <w:adjustRightInd w:val="0"/>
        <w:snapToGrid w:val="0"/>
        <w:spacing w:line="360" w:lineRule="auto"/>
        <w:ind w:firstLine="525" w:firstLineChars="250"/>
        <w:rPr>
          <w:rFonts w:ascii="仿宋" w:hAnsi="仿宋" w:eastAsia="仿宋" w:cs="仿宋"/>
          <w:color w:val="auto"/>
          <w:szCs w:val="21"/>
          <w:u w:val="single"/>
        </w:rPr>
      </w:pPr>
      <w:r>
        <w:rPr>
          <w:rFonts w:hint="eastAsia" w:ascii="仿宋" w:hAnsi="仿宋" w:eastAsia="仿宋" w:cs="仿宋"/>
          <w:color w:val="auto"/>
          <w:szCs w:val="21"/>
          <w:u w:val="single"/>
        </w:rPr>
        <w:t>承包人在工程变更、签证确定后14天内，提出变更、签证工程价款的报告，经监理工程师确认后调整合同暂定价款。变更、签证合同价款按下列方法确定：</w:t>
      </w:r>
    </w:p>
    <w:p w14:paraId="3914D2E6">
      <w:pPr>
        <w:overflowPunct w:val="0"/>
        <w:adjustRightInd w:val="0"/>
        <w:snapToGrid w:val="0"/>
        <w:spacing w:line="360" w:lineRule="auto"/>
        <w:ind w:firstLine="407" w:firstLineChars="194"/>
        <w:rPr>
          <w:rFonts w:ascii="仿宋" w:hAnsi="仿宋" w:eastAsia="仿宋" w:cs="仿宋"/>
          <w:color w:val="auto"/>
          <w:szCs w:val="21"/>
          <w:u w:val="single"/>
        </w:rPr>
      </w:pPr>
      <w:r>
        <w:rPr>
          <w:rFonts w:hint="eastAsia" w:ascii="仿宋" w:hAnsi="仿宋" w:eastAsia="仿宋" w:cs="仿宋"/>
          <w:color w:val="auto"/>
          <w:szCs w:val="21"/>
        </w:rPr>
        <w:t>（1）</w:t>
      </w:r>
      <w:r>
        <w:rPr>
          <w:rFonts w:hint="eastAsia" w:ascii="仿宋" w:hAnsi="仿宋" w:eastAsia="仿宋" w:cs="仿宋"/>
          <w:color w:val="auto"/>
          <w:szCs w:val="21"/>
          <w:u w:val="single"/>
        </w:rPr>
        <w:t>合同中已有适用于变更、签证工程的价格，按相应项目合同已确认的综合单价办理结算；</w:t>
      </w:r>
    </w:p>
    <w:p w14:paraId="78885CB6">
      <w:pPr>
        <w:overflowPunct w:val="0"/>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rPr>
        <w:t>（2）</w:t>
      </w:r>
      <w:r>
        <w:rPr>
          <w:rFonts w:hint="eastAsia" w:ascii="仿宋" w:hAnsi="仿宋" w:eastAsia="仿宋" w:cs="仿宋"/>
          <w:color w:val="auto"/>
          <w:szCs w:val="21"/>
          <w:u w:val="single"/>
        </w:rPr>
        <w:t>合同中只有类似于变更、签证工程的价格，只调整相应的主材费，主材单价按磋商响应文件主材价格计算，若磋商响应文件中无主材单价时，按发包人认定价格进行调整；</w:t>
      </w:r>
    </w:p>
    <w:p w14:paraId="62F24207">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rPr>
        <w:t>（3）</w:t>
      </w:r>
      <w:r>
        <w:rPr>
          <w:rFonts w:hint="eastAsia" w:ascii="仿宋" w:hAnsi="仿宋" w:eastAsia="仿宋" w:cs="仿宋"/>
          <w:color w:val="auto"/>
          <w:szCs w:val="21"/>
          <w:u w:val="single"/>
        </w:rPr>
        <w:t>合同中没有适用或类似于工程变更、签证的价格，由承包人按</w:t>
      </w:r>
      <w:r>
        <w:rPr>
          <w:rFonts w:hint="eastAsia" w:ascii="仿宋" w:hAnsi="仿宋" w:eastAsia="仿宋" w:cs="仿宋"/>
          <w:color w:val="auto"/>
          <w:szCs w:val="21"/>
          <w:u w:val="single"/>
          <w:lang w:eastAsia="zh-CN"/>
        </w:rPr>
        <w:t>磋商文件</w:t>
      </w:r>
      <w:r>
        <w:rPr>
          <w:rFonts w:hint="eastAsia" w:ascii="仿宋" w:hAnsi="仿宋" w:eastAsia="仿宋" w:cs="仿宋"/>
          <w:color w:val="auto"/>
          <w:szCs w:val="21"/>
          <w:u w:val="single"/>
        </w:rPr>
        <w:t>编制上限控制价综合单价的原则组价,并下浮中标优惠比例确定综合单价(发包人认质认价的材料设备价不下浮)；</w:t>
      </w:r>
    </w:p>
    <w:p w14:paraId="0FCF43AE">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rPr>
        <w:t>（4）</w:t>
      </w:r>
      <w:r>
        <w:rPr>
          <w:rFonts w:hint="eastAsia" w:ascii="仿宋" w:hAnsi="仿宋" w:eastAsia="仿宋" w:cs="仿宋"/>
          <w:color w:val="auto"/>
          <w:szCs w:val="21"/>
          <w:u w:val="single"/>
        </w:rPr>
        <w:t>变更、签证工程的措施项目费调整原则按27.1（2）规定。</w:t>
      </w:r>
    </w:p>
    <w:p w14:paraId="22D9B611">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九、竣工验收与结算</w:t>
      </w:r>
    </w:p>
    <w:p w14:paraId="03A76C92">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36、竣工验收</w:t>
      </w:r>
    </w:p>
    <w:p w14:paraId="21B538B4">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36.1承包人提供竣工图的约定：</w:t>
      </w:r>
      <w:r>
        <w:rPr>
          <w:rFonts w:hint="eastAsia" w:ascii="仿宋" w:hAnsi="仿宋" w:eastAsia="仿宋" w:cs="仿宋"/>
          <w:color w:val="auto"/>
          <w:szCs w:val="21"/>
          <w:u w:val="single"/>
        </w:rPr>
        <w:t>工程竣工后承包人除按照建设部《城市建设档案管理规定》向城建档案馆备案外，还应在工程竣工后14日内向发包人提供完整的竣工图纸和伍套竣工结算及其他资料，不另计取费用。</w:t>
      </w:r>
    </w:p>
    <w:p w14:paraId="2D82D5CA">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36.6中间交工工程的范围和竣工时间：</w:t>
      </w:r>
      <w:r>
        <w:rPr>
          <w:rFonts w:hint="eastAsia" w:ascii="仿宋" w:hAnsi="仿宋" w:eastAsia="仿宋" w:cs="仿宋"/>
          <w:color w:val="auto"/>
          <w:szCs w:val="21"/>
          <w:u w:val="single"/>
        </w:rPr>
        <w:t>竣工时间以发包人组织的竣工验收合格日期为准。</w:t>
      </w:r>
    </w:p>
    <w:p w14:paraId="5CE38350">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37、竣工结算</w:t>
      </w:r>
    </w:p>
    <w:p w14:paraId="200320B8">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结算审查期限：</w:t>
      </w:r>
      <w:r>
        <w:rPr>
          <w:rFonts w:hint="eastAsia" w:ascii="仿宋" w:hAnsi="仿宋" w:eastAsia="仿宋" w:cs="仿宋"/>
          <w:color w:val="auto"/>
          <w:kern w:val="0"/>
          <w:szCs w:val="21"/>
          <w:u w:val="single"/>
        </w:rPr>
        <w:t xml:space="preserve"> ①已完工程经验收合格后，承包人应在60天内将完整的工程结算资料（含四套竣工图）报送监理人，监理人应在30日内对所送结算资料的完整性、正确性审核无误并对价款进行初审后报送发包人，发包人在收到完整无缺的结算资料后90天内审核完毕，或提出审核意见。②承包人在竣工后60天内不报送结算，</w:t>
      </w:r>
      <w:r>
        <w:rPr>
          <w:rFonts w:hint="eastAsia" w:ascii="仿宋" w:hAnsi="仿宋" w:eastAsia="仿宋" w:cs="仿宋"/>
          <w:color w:val="auto"/>
          <w:szCs w:val="21"/>
          <w:u w:val="single"/>
        </w:rPr>
        <w:t>发包人有权罚款</w:t>
      </w:r>
      <w:r>
        <w:rPr>
          <w:rFonts w:hint="eastAsia" w:ascii="仿宋" w:hAnsi="仿宋" w:eastAsia="仿宋" w:cs="仿宋"/>
          <w:color w:val="auto"/>
          <w:kern w:val="0"/>
          <w:szCs w:val="21"/>
        </w:rPr>
        <w:t>。</w:t>
      </w:r>
    </w:p>
    <w:p w14:paraId="2CA32EC0">
      <w:pPr>
        <w:tabs>
          <w:tab w:val="left" w:pos="1080"/>
        </w:tabs>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承包人应认真编制工程结算书，不得弄虚作假，如承包人最初报送给监理人的工程结算价超出发包人委托的事务所审定造价的5%时，发包人支付给事务所的成果费（即承包人最初报送监理单位审核时造价减去事务所审定造价差额的3.5%）全部由承包人承担，在支付结算款时予以扣除。</w:t>
      </w:r>
    </w:p>
    <w:p w14:paraId="55135E12">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38、质量保证</w:t>
      </w:r>
    </w:p>
    <w:p w14:paraId="58BF0644">
      <w:pPr>
        <w:tabs>
          <w:tab w:val="left" w:pos="1080"/>
        </w:tabs>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38.1</w:t>
      </w:r>
      <w:r>
        <w:rPr>
          <w:rFonts w:hint="eastAsia" w:ascii="仿宋" w:hAnsi="仿宋" w:eastAsia="仿宋" w:cs="仿宋"/>
          <w:color w:val="auto"/>
          <w:szCs w:val="21"/>
        </w:rPr>
        <w:t>若竣工验收达不到合同约定的合格标准质量要求，承包方应接受合同价百分之五的罚款，并免费维修至质量要求合格标准。同时发包方保留对承包方在施工过程中的其他奖罚。</w:t>
      </w:r>
    </w:p>
    <w:p w14:paraId="38AECBEC">
      <w:pPr>
        <w:tabs>
          <w:tab w:val="left" w:pos="1080"/>
        </w:tabs>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38.2质保金。工程竣工结算时，甲方从应付乙方的工程款内，按工程结算总价款的5%预留工程质保金，该质保金甲方应专户存入银行备用。</w:t>
      </w:r>
    </w:p>
    <w:p w14:paraId="288F98D9">
      <w:pPr>
        <w:tabs>
          <w:tab w:val="left" w:pos="1080"/>
        </w:tabs>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kern w:val="0"/>
          <w:szCs w:val="21"/>
        </w:rPr>
        <w:t>38.3质保</w:t>
      </w:r>
      <w:r>
        <w:rPr>
          <w:rFonts w:hint="eastAsia" w:ascii="仿宋" w:hAnsi="仿宋" w:eastAsia="仿宋" w:cs="仿宋"/>
          <w:color w:val="auto"/>
          <w:szCs w:val="21"/>
        </w:rPr>
        <w:t>期：</w:t>
      </w:r>
      <w:r>
        <w:rPr>
          <w:rFonts w:hint="eastAsia" w:ascii="仿宋" w:hAnsi="仿宋" w:eastAsia="仿宋" w:cs="仿宋"/>
          <w:color w:val="auto"/>
          <w:szCs w:val="21"/>
          <w:u w:val="single"/>
        </w:rPr>
        <w:t>详见附件《工程质量保修书》约定内容</w:t>
      </w:r>
      <w:r>
        <w:rPr>
          <w:rFonts w:hint="eastAsia" w:ascii="仿宋" w:hAnsi="仿宋" w:eastAsia="仿宋" w:cs="仿宋"/>
          <w:color w:val="auto"/>
          <w:szCs w:val="21"/>
        </w:rPr>
        <w:t>。</w:t>
      </w:r>
    </w:p>
    <w:p w14:paraId="1EC46CD0">
      <w:pPr>
        <w:tabs>
          <w:tab w:val="left" w:pos="1080"/>
        </w:tabs>
        <w:adjustRightInd w:val="0"/>
        <w:snapToGrid w:val="0"/>
        <w:spacing w:line="360" w:lineRule="auto"/>
        <w:ind w:firstLine="420" w:firstLineChars="200"/>
        <w:rPr>
          <w:rFonts w:ascii="仿宋" w:hAnsi="仿宋" w:eastAsia="仿宋" w:cs="仿宋"/>
          <w:color w:val="auto"/>
          <w:szCs w:val="21"/>
        </w:rPr>
      </w:pPr>
      <w:r>
        <w:rPr>
          <w:rFonts w:hint="eastAsia" w:ascii="仿宋" w:hAnsi="仿宋" w:eastAsia="仿宋" w:cs="仿宋"/>
          <w:color w:val="auto"/>
          <w:kern w:val="0"/>
          <w:szCs w:val="21"/>
        </w:rPr>
        <w:t>38.4质保</w:t>
      </w:r>
      <w:r>
        <w:rPr>
          <w:rFonts w:hint="eastAsia" w:ascii="仿宋" w:hAnsi="仿宋" w:eastAsia="仿宋" w:cs="仿宋"/>
          <w:color w:val="auto"/>
          <w:szCs w:val="21"/>
        </w:rPr>
        <w:t>期自竣工验收合格、发包人代表在最终验收记录上签字之日算起。</w:t>
      </w:r>
    </w:p>
    <w:p w14:paraId="2845FEAF">
      <w:pPr>
        <w:tabs>
          <w:tab w:val="left" w:pos="1080"/>
        </w:tabs>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szCs w:val="21"/>
          <w:u w:val="single"/>
        </w:rPr>
        <w:t>38.5本工程</w:t>
      </w:r>
      <w:r>
        <w:rPr>
          <w:rFonts w:hint="eastAsia" w:ascii="仿宋" w:hAnsi="仿宋" w:eastAsia="仿宋" w:cs="仿宋"/>
          <w:color w:val="auto"/>
          <w:kern w:val="0"/>
          <w:szCs w:val="21"/>
          <w:u w:val="single"/>
        </w:rPr>
        <w:t>质保</w:t>
      </w:r>
      <w:r>
        <w:rPr>
          <w:rFonts w:hint="eastAsia" w:ascii="仿宋" w:hAnsi="仿宋" w:eastAsia="仿宋" w:cs="仿宋"/>
          <w:color w:val="auto"/>
          <w:szCs w:val="21"/>
          <w:u w:val="single"/>
        </w:rPr>
        <w:t>期满后，一个月内承包人递交返还</w:t>
      </w:r>
      <w:r>
        <w:rPr>
          <w:rFonts w:hint="eastAsia" w:ascii="仿宋" w:hAnsi="仿宋" w:eastAsia="仿宋" w:cs="仿宋"/>
          <w:color w:val="auto"/>
          <w:kern w:val="0"/>
          <w:szCs w:val="21"/>
          <w:u w:val="single"/>
        </w:rPr>
        <w:t>质保</w:t>
      </w:r>
      <w:r>
        <w:rPr>
          <w:rFonts w:hint="eastAsia" w:ascii="仿宋" w:hAnsi="仿宋" w:eastAsia="仿宋" w:cs="仿宋"/>
          <w:color w:val="auto"/>
          <w:szCs w:val="21"/>
          <w:u w:val="single"/>
        </w:rPr>
        <w:t>金的书面申请并按发包人规定办理相关手续，承包人办理完相关手续后，若无质量问题，发包人一次性无息退还</w:t>
      </w:r>
      <w:r>
        <w:rPr>
          <w:rFonts w:hint="eastAsia" w:ascii="仿宋" w:hAnsi="仿宋" w:eastAsia="仿宋" w:cs="仿宋"/>
          <w:color w:val="auto"/>
          <w:szCs w:val="21"/>
        </w:rPr>
        <w:t>。</w:t>
      </w:r>
      <w:r>
        <w:rPr>
          <w:rFonts w:hint="eastAsia" w:ascii="仿宋" w:hAnsi="仿宋" w:eastAsia="仿宋" w:cs="仿宋"/>
          <w:color w:val="auto"/>
          <w:kern w:val="0"/>
          <w:szCs w:val="21"/>
        </w:rPr>
        <w:t>质保</w:t>
      </w:r>
      <w:r>
        <w:rPr>
          <w:rFonts w:hint="eastAsia" w:ascii="仿宋" w:hAnsi="仿宋" w:eastAsia="仿宋" w:cs="仿宋"/>
          <w:color w:val="auto"/>
          <w:szCs w:val="21"/>
        </w:rPr>
        <w:t>金的支付需经发包人委托的管理部门签字确认。</w:t>
      </w:r>
    </w:p>
    <w:p w14:paraId="41F0C0E8">
      <w:pPr>
        <w:tabs>
          <w:tab w:val="left" w:pos="1080"/>
        </w:tabs>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38.6质保期内出现工程质量问题，乙方应在甲方通知后24小时内进行无偿维修；若乙方未能及时维修，则甲方有权委托其他单位维修，费用在乙方质保金中扣除，不足部分由乙方承担。</w:t>
      </w:r>
    </w:p>
    <w:p w14:paraId="59C8569A">
      <w:pPr>
        <w:adjustRightInd w:val="0"/>
        <w:snapToGrid w:val="0"/>
        <w:spacing w:line="360" w:lineRule="auto"/>
        <w:ind w:firstLine="525" w:firstLineChars="250"/>
        <w:rPr>
          <w:rFonts w:ascii="仿宋" w:hAnsi="仿宋" w:eastAsia="仿宋" w:cs="仿宋"/>
          <w:color w:val="auto"/>
          <w:kern w:val="0"/>
          <w:szCs w:val="21"/>
          <w:u w:val="single"/>
        </w:rPr>
      </w:pPr>
      <w:r>
        <w:rPr>
          <w:rFonts w:hint="eastAsia" w:ascii="仿宋" w:hAnsi="仿宋" w:eastAsia="仿宋" w:cs="仿宋"/>
          <w:color w:val="auto"/>
          <w:kern w:val="0"/>
          <w:szCs w:val="21"/>
        </w:rPr>
        <w:t>38.7乙方将工程交付甲方后，除有关质保条款仍然有效外，其他条款即告终止，质保期满，并结清余款后有关质保条款终止。</w:t>
      </w:r>
    </w:p>
    <w:p w14:paraId="3A2188A1">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十、违约、索赔和争议</w:t>
      </w:r>
    </w:p>
    <w:p w14:paraId="23FAD63E">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39、违约</w:t>
      </w:r>
    </w:p>
    <w:p w14:paraId="2DE2F731">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39.1本合同中关于发包人违约的具体责任如下：</w:t>
      </w:r>
    </w:p>
    <w:p w14:paraId="550A4417">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本合同通用条款第28.1条约定发包人违约应承担的违约责任：</w:t>
      </w:r>
      <w:r>
        <w:rPr>
          <w:rFonts w:hint="eastAsia" w:ascii="仿宋" w:hAnsi="仿宋" w:eastAsia="仿宋" w:cs="仿宋"/>
          <w:color w:val="auto"/>
          <w:kern w:val="0"/>
          <w:szCs w:val="21"/>
          <w:u w:val="single"/>
        </w:rPr>
        <w:t>通用条款第28.1条不适用。</w:t>
      </w:r>
    </w:p>
    <w:p w14:paraId="7C940D3F">
      <w:pPr>
        <w:pStyle w:val="28"/>
        <w:tabs>
          <w:tab w:val="left" w:pos="0"/>
        </w:tabs>
        <w:adjustRightInd w:val="0"/>
        <w:snapToGrid w:val="0"/>
        <w:ind w:firstLine="420" w:firstLineChars="200"/>
        <w:rPr>
          <w:rFonts w:ascii="仿宋" w:hAnsi="仿宋" w:eastAsia="仿宋" w:cs="仿宋"/>
          <w:color w:val="auto"/>
          <w:kern w:val="0"/>
          <w:u w:val="single"/>
        </w:rPr>
      </w:pPr>
      <w:r>
        <w:rPr>
          <w:rFonts w:hint="eastAsia" w:ascii="仿宋" w:hAnsi="仿宋" w:eastAsia="仿宋" w:cs="仿宋"/>
          <w:color w:val="auto"/>
          <w:kern w:val="0"/>
        </w:rPr>
        <w:t>本合同通用条款第30.5款约定发包人违约应承担的违约责任：</w:t>
      </w:r>
      <w:r>
        <w:rPr>
          <w:rFonts w:hint="eastAsia" w:ascii="仿宋" w:hAnsi="仿宋" w:eastAsia="仿宋" w:cs="仿宋"/>
          <w:color w:val="auto"/>
          <w:kern w:val="0"/>
          <w:u w:val="single"/>
        </w:rPr>
        <w:t xml:space="preserve">通用条款第30.5款不适用。  </w:t>
      </w:r>
    </w:p>
    <w:p w14:paraId="7A4F0095">
      <w:pPr>
        <w:pStyle w:val="28"/>
        <w:tabs>
          <w:tab w:val="left" w:pos="0"/>
        </w:tabs>
        <w:adjustRightInd w:val="0"/>
        <w:snapToGrid w:val="0"/>
        <w:ind w:firstLine="420" w:firstLineChars="200"/>
        <w:rPr>
          <w:rFonts w:ascii="仿宋" w:hAnsi="仿宋" w:eastAsia="仿宋" w:cs="仿宋"/>
          <w:color w:val="auto"/>
          <w:kern w:val="0"/>
        </w:rPr>
      </w:pPr>
      <w:r>
        <w:rPr>
          <w:rFonts w:hint="eastAsia" w:ascii="仿宋" w:hAnsi="仿宋" w:eastAsia="仿宋" w:cs="仿宋"/>
          <w:color w:val="auto"/>
          <w:kern w:val="0"/>
        </w:rPr>
        <w:t>本合同通用条款第37.6款约定发包人违约应承担的违约责任：</w:t>
      </w:r>
      <w:r>
        <w:rPr>
          <w:rFonts w:hint="eastAsia" w:ascii="仿宋" w:hAnsi="仿宋" w:eastAsia="仿宋" w:cs="仿宋"/>
          <w:color w:val="auto"/>
          <w:kern w:val="0"/>
          <w:u w:val="single"/>
        </w:rPr>
        <w:t xml:space="preserve">通用条款第37.6款不适用。  </w:t>
      </w:r>
    </w:p>
    <w:p w14:paraId="663F31A7">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双方约定的发包人其他违约责任：</w:t>
      </w:r>
      <w:r>
        <w:rPr>
          <w:rFonts w:hint="eastAsia" w:ascii="仿宋" w:hAnsi="仿宋" w:eastAsia="仿宋" w:cs="仿宋"/>
          <w:color w:val="auto"/>
          <w:kern w:val="0"/>
          <w:szCs w:val="21"/>
          <w:u w:val="single"/>
        </w:rPr>
        <w:t xml:space="preserve">   无  </w:t>
      </w:r>
    </w:p>
    <w:p w14:paraId="2A7A5484">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39.2本合同中关于承包人违约的具体责任如下：</w:t>
      </w:r>
    </w:p>
    <w:p w14:paraId="29FD44A4">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本合同通用条款第14.2款约定承包人违约承担的违约责任：</w:t>
      </w:r>
      <w:r>
        <w:rPr>
          <w:rFonts w:hint="eastAsia" w:ascii="仿宋" w:hAnsi="仿宋" w:eastAsia="仿宋" w:cs="仿宋"/>
          <w:color w:val="auto"/>
          <w:szCs w:val="21"/>
          <w:u w:val="single"/>
        </w:rPr>
        <w:t>承包人在工程实施过程中，任何因磋商时忽视或误解工地情况而导致的索赔或工期延长申请将不被批准。由于承包人自身原因导致工期延误，每延迟一天，承包人向发包人支付2000元作为违约金；发包人根据延期情况，发包人经书面通知承包人后，有权解除本合同。承包人支付违约金并不免除完成工程及修补缺陷的义务。</w:t>
      </w:r>
    </w:p>
    <w:p w14:paraId="5FD30D23">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本合同通用条款第15.1款约定承包人违约应承担的违约责任：</w:t>
      </w:r>
      <w:r>
        <w:rPr>
          <w:rFonts w:hint="eastAsia" w:ascii="仿宋" w:hAnsi="仿宋" w:eastAsia="仿宋" w:cs="仿宋"/>
          <w:color w:val="auto"/>
          <w:szCs w:val="21"/>
          <w:u w:val="single"/>
        </w:rPr>
        <w:t>承包人承担因工程质量达不到本合同书约定的质量等级所造成检测、返工、加固等所有质量补救措施的全部费用。当发包人认为质量问题严重，需要终止合同更换承包人，或承包人拒绝尽快采取弥补质量缺陷措施时，发包人有权终止合同更换承包人，承包人承担发包人因此终止合同更换承包人的全部责任，承担因此产生的全部费用，并向发包人支付工程质量违约金，工程质量违约金最高限额为已完工程结算价的5％。</w:t>
      </w:r>
    </w:p>
    <w:p w14:paraId="1CC96495">
      <w:pPr>
        <w:adjustRightInd w:val="0"/>
        <w:snapToGrid w:val="0"/>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kern w:val="0"/>
          <w:szCs w:val="21"/>
        </w:rPr>
        <w:t>双方约定的承包人其他违约责任：</w:t>
      </w:r>
      <w:r>
        <w:rPr>
          <w:rFonts w:hint="eastAsia" w:ascii="仿宋" w:hAnsi="仿宋" w:eastAsia="仿宋" w:cs="仿宋"/>
          <w:color w:val="auto"/>
          <w:kern w:val="0"/>
          <w:szCs w:val="21"/>
          <w:u w:val="single"/>
        </w:rPr>
        <w:t xml:space="preserve">   ／  </w:t>
      </w:r>
      <w:r>
        <w:rPr>
          <w:rFonts w:hint="eastAsia" w:ascii="仿宋" w:hAnsi="仿宋" w:eastAsia="仿宋" w:cs="仿宋"/>
          <w:color w:val="auto"/>
          <w:kern w:val="0"/>
          <w:szCs w:val="21"/>
        </w:rPr>
        <w:t>。</w:t>
      </w:r>
    </w:p>
    <w:p w14:paraId="51D169AD">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41、争议</w:t>
      </w:r>
    </w:p>
    <w:p w14:paraId="52C0F286">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41.1双方当事人约定，在履行合同过程中产生争议时：</w:t>
      </w:r>
    </w:p>
    <w:p w14:paraId="36975CE5">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（1）请</w:t>
      </w:r>
      <w:r>
        <w:rPr>
          <w:rFonts w:hint="eastAsia" w:ascii="仿宋" w:hAnsi="仿宋" w:eastAsia="仿宋" w:cs="仿宋"/>
          <w:color w:val="auto"/>
          <w:kern w:val="0"/>
          <w:szCs w:val="21"/>
          <w:u w:val="single"/>
        </w:rPr>
        <w:t xml:space="preserve"> 当地</w:t>
      </w:r>
      <w:r>
        <w:rPr>
          <w:rFonts w:hint="eastAsia" w:ascii="仿宋" w:hAnsi="仿宋" w:eastAsia="仿宋" w:cs="仿宋"/>
          <w:color w:val="auto"/>
          <w:szCs w:val="21"/>
          <w:u w:val="single"/>
        </w:rPr>
        <w:t xml:space="preserve">建设行政管理部门  </w:t>
      </w:r>
      <w:r>
        <w:rPr>
          <w:rFonts w:hint="eastAsia" w:ascii="仿宋" w:hAnsi="仿宋" w:eastAsia="仿宋" w:cs="仿宋"/>
          <w:color w:val="auto"/>
          <w:kern w:val="0"/>
          <w:szCs w:val="21"/>
        </w:rPr>
        <w:t>调解；</w:t>
      </w:r>
    </w:p>
    <w:p w14:paraId="25054B66">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（2）合同争议调解不成的，按下列第</w:t>
      </w:r>
      <w:r>
        <w:rPr>
          <w:rFonts w:hint="eastAsia" w:ascii="仿宋" w:hAnsi="仿宋" w:eastAsia="仿宋" w:cs="仿宋"/>
          <w:color w:val="auto"/>
          <w:kern w:val="0"/>
          <w:szCs w:val="21"/>
          <w:u w:val="single"/>
        </w:rPr>
        <w:t xml:space="preserve">   ②    </w:t>
      </w:r>
      <w:r>
        <w:rPr>
          <w:rFonts w:hint="eastAsia" w:ascii="仿宋" w:hAnsi="仿宋" w:eastAsia="仿宋" w:cs="仿宋"/>
          <w:color w:val="auto"/>
          <w:kern w:val="0"/>
          <w:szCs w:val="21"/>
        </w:rPr>
        <w:t>种方式解决：</w:t>
      </w:r>
    </w:p>
    <w:p w14:paraId="31D6D0CF">
      <w:pPr>
        <w:adjustRightInd w:val="0"/>
        <w:snapToGrid w:val="0"/>
        <w:spacing w:line="360" w:lineRule="auto"/>
        <w:ind w:firstLine="630" w:firstLineChars="300"/>
        <w:rPr>
          <w:rFonts w:ascii="仿宋" w:hAnsi="仿宋" w:eastAsia="仿宋" w:cs="仿宋"/>
          <w:color w:val="auto"/>
          <w:kern w:val="0"/>
          <w:szCs w:val="21"/>
        </w:rPr>
      </w:pPr>
      <w:r>
        <w:rPr>
          <w:rFonts w:hint="eastAsia" w:ascii="仿宋" w:hAnsi="仿宋" w:eastAsia="仿宋" w:cs="仿宋"/>
          <w:color w:val="auto"/>
          <w:kern w:val="0"/>
          <w:szCs w:val="21"/>
        </w:rPr>
        <w:t>① 提交</w:t>
      </w:r>
      <w:r>
        <w:rPr>
          <w:rFonts w:hint="eastAsia" w:ascii="仿宋" w:hAnsi="仿宋" w:eastAsia="仿宋" w:cs="仿宋"/>
          <w:color w:val="auto"/>
          <w:kern w:val="0"/>
          <w:szCs w:val="21"/>
          <w:u w:val="single"/>
        </w:rPr>
        <w:t xml:space="preserve">   ／  </w:t>
      </w:r>
      <w:r>
        <w:rPr>
          <w:rFonts w:hint="eastAsia" w:ascii="仿宋" w:hAnsi="仿宋" w:eastAsia="仿宋" w:cs="仿宋"/>
          <w:color w:val="auto"/>
          <w:kern w:val="0"/>
          <w:szCs w:val="21"/>
        </w:rPr>
        <w:t>仲裁委员会申请仲裁；</w:t>
      </w:r>
    </w:p>
    <w:p w14:paraId="560D5551">
      <w:pPr>
        <w:adjustRightInd w:val="0"/>
        <w:snapToGrid w:val="0"/>
        <w:spacing w:line="360" w:lineRule="auto"/>
        <w:ind w:firstLine="630" w:firstLineChars="300"/>
        <w:rPr>
          <w:rFonts w:ascii="仿宋" w:hAnsi="仿宋" w:eastAsia="仿宋" w:cs="仿宋"/>
          <w:color w:val="auto"/>
          <w:kern w:val="0"/>
          <w:szCs w:val="21"/>
        </w:rPr>
      </w:pPr>
      <w:r>
        <w:rPr>
          <w:rFonts w:hint="eastAsia" w:ascii="仿宋" w:hAnsi="仿宋" w:eastAsia="仿宋" w:cs="仿宋"/>
          <w:color w:val="auto"/>
          <w:kern w:val="0"/>
          <w:szCs w:val="21"/>
        </w:rPr>
        <w:t>② 依法向</w:t>
      </w:r>
      <w:r>
        <w:rPr>
          <w:rFonts w:hint="eastAsia" w:ascii="仿宋" w:hAnsi="仿宋" w:eastAsia="仿宋" w:cs="仿宋"/>
          <w:color w:val="auto"/>
          <w:kern w:val="0"/>
          <w:szCs w:val="21"/>
          <w:u w:val="single"/>
        </w:rPr>
        <w:t xml:space="preserve">  </w:t>
      </w:r>
      <w:r>
        <w:rPr>
          <w:rFonts w:hint="eastAsia" w:ascii="仿宋" w:hAnsi="仿宋" w:eastAsia="仿宋" w:cs="仿宋"/>
          <w:color w:val="auto"/>
          <w:szCs w:val="21"/>
          <w:u w:val="single"/>
        </w:rPr>
        <w:t xml:space="preserve">项目所在地有管辖权的  </w:t>
      </w:r>
      <w:r>
        <w:rPr>
          <w:rFonts w:hint="eastAsia" w:ascii="仿宋" w:hAnsi="仿宋" w:eastAsia="仿宋" w:cs="仿宋"/>
          <w:color w:val="auto"/>
          <w:kern w:val="0"/>
          <w:szCs w:val="21"/>
        </w:rPr>
        <w:t>人民法院提起诉讼。</w:t>
      </w:r>
    </w:p>
    <w:p w14:paraId="40AF541C">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十一、其他</w:t>
      </w:r>
    </w:p>
    <w:p w14:paraId="303F0430">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42、工程分包</w:t>
      </w:r>
    </w:p>
    <w:p w14:paraId="29B3ACBF">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42.1本工程发包人同意承包人分包的专业工程：</w:t>
      </w:r>
      <w:r>
        <w:rPr>
          <w:rFonts w:hint="eastAsia" w:ascii="仿宋" w:hAnsi="仿宋" w:eastAsia="仿宋" w:cs="仿宋"/>
          <w:color w:val="auto"/>
          <w:kern w:val="0"/>
          <w:szCs w:val="21"/>
          <w:u w:val="single"/>
        </w:rPr>
        <w:t xml:space="preserve">   ／  </w:t>
      </w:r>
    </w:p>
    <w:p w14:paraId="3CE03022">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分包施工单位为：</w:t>
      </w:r>
      <w:r>
        <w:rPr>
          <w:rFonts w:hint="eastAsia" w:ascii="仿宋" w:hAnsi="仿宋" w:eastAsia="仿宋" w:cs="仿宋"/>
          <w:color w:val="auto"/>
          <w:kern w:val="0"/>
          <w:szCs w:val="21"/>
          <w:u w:val="single"/>
        </w:rPr>
        <w:t xml:space="preserve">   ／  </w:t>
      </w:r>
    </w:p>
    <w:p w14:paraId="1518FAC9">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43、不可抗力</w:t>
      </w:r>
    </w:p>
    <w:p w14:paraId="10C9BEFE">
      <w:pPr>
        <w:adjustRightInd w:val="0"/>
        <w:snapToGrid w:val="0"/>
        <w:spacing w:line="360" w:lineRule="auto"/>
        <w:ind w:firstLine="420" w:firstLineChars="200"/>
        <w:rPr>
          <w:rFonts w:ascii="仿宋" w:hAnsi="仿宋" w:eastAsia="仿宋" w:cs="仿宋"/>
          <w:color w:val="auto"/>
          <w:kern w:val="0"/>
          <w:szCs w:val="21"/>
          <w:u w:val="single"/>
        </w:rPr>
      </w:pPr>
      <w:r>
        <w:rPr>
          <w:rFonts w:hint="eastAsia" w:ascii="仿宋" w:hAnsi="仿宋" w:eastAsia="仿宋" w:cs="仿宋"/>
          <w:color w:val="auto"/>
          <w:kern w:val="0"/>
          <w:szCs w:val="21"/>
        </w:rPr>
        <w:t>43.1双方关于不可抗力的约定：</w:t>
      </w:r>
      <w:r>
        <w:rPr>
          <w:rFonts w:hint="eastAsia" w:ascii="仿宋" w:hAnsi="仿宋" w:eastAsia="仿宋" w:cs="仿宋"/>
          <w:bCs/>
          <w:color w:val="auto"/>
          <w:kern w:val="0"/>
          <w:szCs w:val="21"/>
          <w:u w:val="single"/>
        </w:rPr>
        <w:t>指战争、动乱、空中飞行物体坠落、造成灾难性影响的地震（六级以上）或其它非发包人或承包人双方责任造成的爆炸、火灾，以及对工程造成损害的风、雨、雪、洪水等自然灾害（八级以上持续大风、24小时降雨量在50mm以上的持续大雨）。</w:t>
      </w:r>
    </w:p>
    <w:p w14:paraId="57EC16A3">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44、保险</w:t>
      </w:r>
    </w:p>
    <w:p w14:paraId="3A75597E">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44.6本工程双方约定投保内容如下：</w:t>
      </w:r>
    </w:p>
    <w:p w14:paraId="16A2A222">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（1）发包人投保内容：</w:t>
      </w:r>
      <w:r>
        <w:rPr>
          <w:rFonts w:hint="eastAsia" w:ascii="仿宋" w:hAnsi="仿宋" w:eastAsia="仿宋" w:cs="仿宋"/>
          <w:color w:val="auto"/>
          <w:kern w:val="0"/>
          <w:szCs w:val="21"/>
          <w:u w:val="single"/>
        </w:rPr>
        <w:t xml:space="preserve"> 无 </w:t>
      </w:r>
    </w:p>
    <w:p w14:paraId="4928D904">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发包人委托承包人办理的保险事项：</w:t>
      </w:r>
      <w:r>
        <w:rPr>
          <w:rFonts w:hint="eastAsia" w:ascii="仿宋" w:hAnsi="仿宋" w:eastAsia="仿宋" w:cs="仿宋"/>
          <w:bCs/>
          <w:color w:val="auto"/>
          <w:kern w:val="0"/>
          <w:szCs w:val="21"/>
          <w:u w:val="single"/>
        </w:rPr>
        <w:t>失业、医疗、工伤、残疾人就业保险，已包含在合同价款中，承包人必须按规定上缴有关部门</w:t>
      </w:r>
      <w:r>
        <w:rPr>
          <w:rFonts w:hint="eastAsia" w:ascii="仿宋" w:hAnsi="仿宋" w:eastAsia="仿宋" w:cs="仿宋"/>
          <w:color w:val="auto"/>
          <w:szCs w:val="21"/>
          <w:u w:val="single"/>
        </w:rPr>
        <w:t>。</w:t>
      </w:r>
    </w:p>
    <w:p w14:paraId="780E6229">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（2）承包人投保内容：</w:t>
      </w:r>
      <w:r>
        <w:rPr>
          <w:rFonts w:hint="eastAsia" w:ascii="仿宋" w:hAnsi="仿宋" w:eastAsia="仿宋" w:cs="仿宋"/>
          <w:color w:val="auto"/>
          <w:kern w:val="0"/>
          <w:szCs w:val="21"/>
          <w:u w:val="single"/>
        </w:rPr>
        <w:t xml:space="preserve">执行通用条款第44.4条 </w:t>
      </w:r>
      <w:r>
        <w:rPr>
          <w:rFonts w:hint="eastAsia" w:ascii="仿宋" w:hAnsi="仿宋" w:eastAsia="仿宋" w:cs="仿宋"/>
          <w:color w:val="auto"/>
          <w:kern w:val="0"/>
          <w:szCs w:val="21"/>
        </w:rPr>
        <w:t xml:space="preserve"> </w:t>
      </w:r>
    </w:p>
    <w:p w14:paraId="45B1B270">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45、担保</w:t>
      </w:r>
    </w:p>
    <w:p w14:paraId="7442C8DF">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45.3本工程双方约定担保事项如下：</w:t>
      </w:r>
    </w:p>
    <w:p w14:paraId="2654670D">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（1）发包人向承包人提供支付担保，担保方式为：</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，担保有效期：</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w:t>
      </w:r>
    </w:p>
    <w:p w14:paraId="4633338A">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（2）承包人向发包人提供履约担保，担保方式为：</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担保有效期：</w:t>
      </w:r>
      <w:r>
        <w:rPr>
          <w:rFonts w:hint="eastAsia" w:ascii="仿宋" w:hAnsi="仿宋" w:eastAsia="仿宋" w:cs="仿宋"/>
          <w:color w:val="auto"/>
          <w:kern w:val="0"/>
          <w:szCs w:val="21"/>
          <w:u w:val="single"/>
        </w:rPr>
        <w:t xml:space="preserve">   ／</w:t>
      </w:r>
      <w:r>
        <w:rPr>
          <w:rFonts w:hint="eastAsia" w:ascii="仿宋" w:hAnsi="仿宋" w:eastAsia="仿宋" w:cs="仿宋"/>
          <w:color w:val="auto"/>
          <w:kern w:val="0"/>
          <w:szCs w:val="21"/>
        </w:rPr>
        <w:t>。</w:t>
      </w:r>
    </w:p>
    <w:p w14:paraId="32F5AD8A">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（3）双方约定的其他担保事项：</w:t>
      </w:r>
      <w:r>
        <w:rPr>
          <w:rFonts w:hint="eastAsia" w:ascii="仿宋" w:hAnsi="仿宋" w:eastAsia="仿宋" w:cs="仿宋"/>
          <w:color w:val="auto"/>
          <w:kern w:val="0"/>
          <w:szCs w:val="21"/>
          <w:u w:val="single"/>
        </w:rPr>
        <w:t xml:space="preserve">   ／  </w:t>
      </w:r>
    </w:p>
    <w:p w14:paraId="03CDDB31">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50、合同份数</w:t>
      </w:r>
    </w:p>
    <w:p w14:paraId="22A67773">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各方约定合同份数：</w:t>
      </w:r>
      <w:r>
        <w:rPr>
          <w:rFonts w:hint="eastAsia" w:ascii="仿宋" w:hAnsi="仿宋" w:eastAsia="仿宋" w:cs="仿宋"/>
          <w:color w:val="auto"/>
          <w:szCs w:val="21"/>
          <w:u w:val="single"/>
        </w:rPr>
        <w:t>本合同正本贰份，发包人执壹份，承包人执壹份；副本陆份，发包人执肆份，承包人执贰份。正副本不一致的以正本为准。</w:t>
      </w:r>
    </w:p>
    <w:p w14:paraId="22F11A50">
      <w:pPr>
        <w:adjustRightInd w:val="0"/>
        <w:snapToGrid w:val="0"/>
        <w:spacing w:line="360" w:lineRule="auto"/>
        <w:ind w:firstLine="422" w:firstLineChars="200"/>
        <w:rPr>
          <w:rFonts w:ascii="仿宋" w:hAnsi="仿宋" w:eastAsia="仿宋" w:cs="仿宋"/>
          <w:b/>
          <w:color w:val="auto"/>
          <w:kern w:val="0"/>
          <w:szCs w:val="21"/>
        </w:rPr>
      </w:pPr>
      <w:r>
        <w:rPr>
          <w:rFonts w:hint="eastAsia" w:ascii="仿宋" w:hAnsi="仿宋" w:eastAsia="仿宋" w:cs="仿宋"/>
          <w:b/>
          <w:color w:val="auto"/>
          <w:kern w:val="0"/>
          <w:szCs w:val="21"/>
        </w:rPr>
        <w:t>51、补充条款</w:t>
      </w:r>
    </w:p>
    <w:p w14:paraId="00C08EC9">
      <w:pPr>
        <w:pStyle w:val="23"/>
        <w:numPr>
          <w:ilvl w:val="1"/>
          <w:numId w:val="13"/>
        </w:numPr>
        <w:tabs>
          <w:tab w:val="left" w:pos="0"/>
          <w:tab w:val="left" w:pos="9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承包方施工区域的施工，治安、卫生等应服从甲方对工程建设的统一管理，并按有关规定缴纳费用。</w:t>
      </w:r>
    </w:p>
    <w:p w14:paraId="4D208664">
      <w:pPr>
        <w:pStyle w:val="23"/>
        <w:numPr>
          <w:ilvl w:val="1"/>
          <w:numId w:val="13"/>
        </w:numPr>
        <w:tabs>
          <w:tab w:val="left" w:pos="0"/>
          <w:tab w:val="left" w:pos="9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承包方不得将工程转包、分包给其他施工单位。承包方如对部分单项工程需分包给专业施工单位施工时，应事先经发包方认可才能签订分包合同，并将分包合同报送建设单位一份备案。分包合同不能解除承包方任何义务与责任。承包方应派相应监督管理人员，保证分包合同的履行，分包单位的任何违约或疏忽均视为承包方违约或疏忽。</w:t>
      </w:r>
    </w:p>
    <w:p w14:paraId="6DF83B00">
      <w:pPr>
        <w:pStyle w:val="23"/>
        <w:numPr>
          <w:ilvl w:val="1"/>
          <w:numId w:val="13"/>
        </w:numPr>
        <w:tabs>
          <w:tab w:val="left" w:pos="0"/>
          <w:tab w:val="left" w:pos="9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现场工程经济签证单、材料认质认价单，承包方应及时并按发包方管理规定办理，未经发包方有关部门签字或签字不全者结算时将不予认可(签证单和认价单必须是原件)。因材料认质认价或工程签证延误造成的工期及结算拖延，由承包方自行负责。本工程发生的变更签证工作量，按照磋商报价约定的计算方法及磋商优惠比例计价。</w:t>
      </w:r>
    </w:p>
    <w:p w14:paraId="3356AB34">
      <w:pPr>
        <w:pStyle w:val="23"/>
        <w:numPr>
          <w:ilvl w:val="1"/>
          <w:numId w:val="13"/>
        </w:numPr>
        <w:tabs>
          <w:tab w:val="left" w:pos="0"/>
          <w:tab w:val="left" w:pos="9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安全增订条款：承包方需建立安全保证体系、制定安全保证措施、设安全员，确保施工人员、管理人员、施工现场、施工过程、办公区域的安全，承担由于自身安全措施不力造成事故的责任和因此发生的费用。</w:t>
      </w:r>
    </w:p>
    <w:p w14:paraId="3572A485">
      <w:pPr>
        <w:pStyle w:val="23"/>
        <w:numPr>
          <w:ilvl w:val="1"/>
          <w:numId w:val="13"/>
        </w:numPr>
        <w:tabs>
          <w:tab w:val="left" w:pos="0"/>
          <w:tab w:val="left" w:pos="9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承包方招聘的农民工的工资，发包方有权监督承包方在支付的当期进度款中发放农民工工资。如承包方未按时发放农民工工资，影响到本工程的施工进度及工程质量，则发包方有权在工程进度款中将承包方所欠的工资额扣除，直接发放给农民工，并另按发放金额的50%从承包方的工程进度款中扣除作为罚金。承包方须向发包方提供其与劳务公司所签劳务合同并在每月支付工程进度款时承包方须向发包方提供上月农民工工资发放的情况说明或农民工工资发放表备案。</w:t>
      </w:r>
    </w:p>
    <w:p w14:paraId="6602EA5B">
      <w:pPr>
        <w:pStyle w:val="23"/>
        <w:numPr>
          <w:ilvl w:val="1"/>
          <w:numId w:val="13"/>
        </w:numPr>
        <w:tabs>
          <w:tab w:val="left" w:pos="0"/>
          <w:tab w:val="left" w:pos="9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本工程竣工后，承包方应作到工完、料净、场地清。将施工现场周围和生活区周围清除干净；无建筑材料、无建筑设备、无临时垃圾、无坑池渠沟、无掩埋的硬化道路和垃圾，场地整洁。否则发包方不予支付工程款。</w:t>
      </w:r>
    </w:p>
    <w:p w14:paraId="5E5D2ADE">
      <w:pPr>
        <w:pStyle w:val="23"/>
        <w:numPr>
          <w:ilvl w:val="1"/>
          <w:numId w:val="13"/>
        </w:numPr>
        <w:tabs>
          <w:tab w:val="left" w:pos="0"/>
          <w:tab w:val="left" w:pos="9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 xml:space="preserve"> 必须达到区内创卫的标准，严格按创卫标准施工，设立专用垃圾场，不得在施工区内任意堆放或乱倒垃圾，定期将建筑垃圾清理外运。</w:t>
      </w:r>
    </w:p>
    <w:p w14:paraId="678A0724">
      <w:pPr>
        <w:pStyle w:val="23"/>
        <w:numPr>
          <w:ilvl w:val="1"/>
          <w:numId w:val="13"/>
        </w:numPr>
        <w:tabs>
          <w:tab w:val="left" w:pos="0"/>
          <w:tab w:val="left" w:pos="9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施工过程中，资料和工程进度必须同步。每月发包方管理人员对施工进度和资料进行检查，出现问题限期整改，否则罚款1000元人民币。在工程竣工验收前，承包方要按规定将竣工资料交监理验收，由监理出据相应证明后，发包方方可组织验收。</w:t>
      </w:r>
    </w:p>
    <w:p w14:paraId="0459352C">
      <w:pPr>
        <w:pStyle w:val="23"/>
        <w:numPr>
          <w:ilvl w:val="1"/>
          <w:numId w:val="13"/>
        </w:numPr>
        <w:tabs>
          <w:tab w:val="left" w:pos="0"/>
          <w:tab w:val="left" w:pos="9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如承包方不能按合同规定的工期、质量、施工进度履行其义务，发包方认为工程进度缓慢、施工质量不能达到规定的质量要求，发包方有权解除合同，并以函件的形式通知承包方，无须诉诸司法机关或采取其他措施。承包方在工程进度、质量、安全等方面出现下列情况时，发包方有权终止与承包方的施工合同：</w:t>
      </w:r>
    </w:p>
    <w:p w14:paraId="5A11DCD9">
      <w:pPr>
        <w:pStyle w:val="23"/>
        <w:numPr>
          <w:ilvl w:val="0"/>
          <w:numId w:val="14"/>
        </w:numPr>
        <w:tabs>
          <w:tab w:val="left" w:pos="0"/>
          <w:tab w:val="left" w:pos="1100"/>
          <w:tab w:val="clear" w:pos="1120"/>
        </w:tabs>
        <w:adjustRightInd w:val="0"/>
        <w:snapToGrid w:val="0"/>
        <w:ind w:left="0" w:firstLine="360"/>
        <w:rPr>
          <w:rFonts w:ascii="仿宋" w:hAnsi="仿宋" w:eastAsia="仿宋" w:cs="仿宋"/>
          <w:color w:val="auto"/>
          <w:kern w:val="0"/>
          <w:szCs w:val="21"/>
        </w:rPr>
      </w:pPr>
      <w:r>
        <w:rPr>
          <w:rFonts w:hint="eastAsia" w:ascii="仿宋" w:hAnsi="仿宋" w:eastAsia="仿宋" w:cs="仿宋"/>
          <w:color w:val="auto"/>
          <w:kern w:val="0"/>
          <w:szCs w:val="21"/>
        </w:rPr>
        <w:t>进度方面：工程关键节点进度不能按计划完成，延误工期超过该节点计划工期的15%时，并且不能采取令发包方信服的赶工补救措施。　　　　　　　　</w:t>
      </w:r>
    </w:p>
    <w:p w14:paraId="67F818C1">
      <w:pPr>
        <w:pStyle w:val="23"/>
        <w:numPr>
          <w:ilvl w:val="0"/>
          <w:numId w:val="14"/>
        </w:numPr>
        <w:tabs>
          <w:tab w:val="left" w:pos="0"/>
          <w:tab w:val="left" w:pos="1100"/>
          <w:tab w:val="clear" w:pos="1120"/>
        </w:tabs>
        <w:adjustRightInd w:val="0"/>
        <w:snapToGrid w:val="0"/>
        <w:ind w:left="0" w:firstLine="360"/>
        <w:rPr>
          <w:rFonts w:ascii="仿宋" w:hAnsi="仿宋" w:eastAsia="仿宋" w:cs="仿宋"/>
          <w:color w:val="auto"/>
          <w:kern w:val="0"/>
          <w:szCs w:val="21"/>
        </w:rPr>
      </w:pPr>
      <w:r>
        <w:rPr>
          <w:rFonts w:hint="eastAsia" w:ascii="仿宋" w:hAnsi="仿宋" w:eastAsia="仿宋" w:cs="仿宋"/>
          <w:color w:val="auto"/>
          <w:kern w:val="0"/>
          <w:szCs w:val="21"/>
        </w:rPr>
        <w:t>质量方面： ①出现重大质量问题，经发包方、监理单位提出，没有采取有效措施进行补救。②被建设行政主管部门因为质量问题通报两次者。</w:t>
      </w:r>
    </w:p>
    <w:p w14:paraId="1D7B575E">
      <w:pPr>
        <w:pStyle w:val="23"/>
        <w:numPr>
          <w:ilvl w:val="0"/>
          <w:numId w:val="14"/>
        </w:numPr>
        <w:tabs>
          <w:tab w:val="left" w:pos="0"/>
          <w:tab w:val="left" w:pos="1100"/>
          <w:tab w:val="clear" w:pos="1120"/>
        </w:tabs>
        <w:adjustRightInd w:val="0"/>
        <w:snapToGrid w:val="0"/>
        <w:ind w:left="0" w:firstLine="360"/>
        <w:rPr>
          <w:rFonts w:ascii="仿宋" w:hAnsi="仿宋" w:eastAsia="仿宋" w:cs="仿宋"/>
          <w:color w:val="auto"/>
          <w:kern w:val="0"/>
          <w:szCs w:val="21"/>
        </w:rPr>
      </w:pPr>
      <w:r>
        <w:rPr>
          <w:rFonts w:hint="eastAsia" w:ascii="仿宋" w:hAnsi="仿宋" w:eastAsia="仿宋" w:cs="仿宋"/>
          <w:color w:val="auto"/>
          <w:kern w:val="0"/>
          <w:szCs w:val="21"/>
        </w:rPr>
        <w:t>安全问题：①出现重大安全隐患，经监理提出，有限期内没有得到整改。②被建设行政部门因为安全问题进行通报两次者。除终止施工合同外，还将对承包方合同价款3%处罚。另由于终止合同对发包方造成的一切损失由承包方承担。</w:t>
      </w:r>
    </w:p>
    <w:p w14:paraId="7A9BA381">
      <w:pPr>
        <w:pStyle w:val="23"/>
        <w:numPr>
          <w:ilvl w:val="1"/>
          <w:numId w:val="13"/>
        </w:numPr>
        <w:tabs>
          <w:tab w:val="left" w:pos="0"/>
          <w:tab w:val="left" w:pos="900"/>
          <w:tab w:val="left" w:pos="10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安全管理人员必须持证上岗，并负责检查现场和施工人员安全情况，如监理和发包方管理人员发现有不安全因素存在，经指出仍未纠正的每次罚款500元人民币；出现安全事故，承包方自负。</w:t>
      </w:r>
    </w:p>
    <w:p w14:paraId="0F1600DD">
      <w:pPr>
        <w:pStyle w:val="23"/>
        <w:numPr>
          <w:ilvl w:val="1"/>
          <w:numId w:val="13"/>
        </w:numPr>
        <w:tabs>
          <w:tab w:val="left" w:pos="0"/>
          <w:tab w:val="left" w:pos="900"/>
          <w:tab w:val="left" w:pos="10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 xml:space="preserve">承包方所用水、电由发包方装表（装表费用由承包方支付）。承包方按表计量据实缴纳有关费用。现场用电必须按照发包方要求，三相五线制，一机一闸必须带漏电保护，不许用电炉。如施工现场出现用电漏电或短路跳闸，造成停电或影响发包方用电，承包方承担由此给发包方造成的一切损失。 </w:t>
      </w:r>
    </w:p>
    <w:p w14:paraId="5ED05058">
      <w:pPr>
        <w:pStyle w:val="23"/>
        <w:numPr>
          <w:ilvl w:val="1"/>
          <w:numId w:val="13"/>
        </w:numPr>
        <w:tabs>
          <w:tab w:val="left" w:pos="0"/>
          <w:tab w:val="left" w:pos="900"/>
          <w:tab w:val="left" w:pos="10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 xml:space="preserve">承包方的到位人员及设备配置必须和磋商书施工组织设计所列人员及设备配置相符，否则视为承包方违约。 </w:t>
      </w:r>
    </w:p>
    <w:p w14:paraId="31F7D58C">
      <w:pPr>
        <w:pStyle w:val="23"/>
        <w:numPr>
          <w:ilvl w:val="1"/>
          <w:numId w:val="13"/>
        </w:numPr>
        <w:tabs>
          <w:tab w:val="left" w:pos="0"/>
          <w:tab w:val="left" w:pos="900"/>
          <w:tab w:val="left" w:pos="10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发包方资金遇到困难时，承包方在未收到工程进度款的情况下，两个月内应保证正常施工。</w:t>
      </w:r>
    </w:p>
    <w:p w14:paraId="00DE6147">
      <w:pPr>
        <w:pStyle w:val="23"/>
        <w:numPr>
          <w:ilvl w:val="1"/>
          <w:numId w:val="13"/>
        </w:numPr>
        <w:tabs>
          <w:tab w:val="left" w:pos="0"/>
          <w:tab w:val="left" w:pos="900"/>
          <w:tab w:val="left" w:pos="10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施工中如遇到现场不具备施工条件时，材料不增加二次或多次倒运费。</w:t>
      </w:r>
    </w:p>
    <w:p w14:paraId="36D9F457">
      <w:pPr>
        <w:pStyle w:val="23"/>
        <w:numPr>
          <w:ilvl w:val="1"/>
          <w:numId w:val="13"/>
        </w:numPr>
        <w:tabs>
          <w:tab w:val="left" w:pos="0"/>
          <w:tab w:val="left" w:pos="900"/>
          <w:tab w:val="left" w:pos="1000"/>
          <w:tab w:val="clear" w:pos="840"/>
        </w:tabs>
        <w:adjustRightInd w:val="0"/>
        <w:snapToGrid w:val="0"/>
        <w:ind w:left="0" w:firstLine="540"/>
        <w:rPr>
          <w:rFonts w:ascii="仿宋" w:hAnsi="仿宋" w:eastAsia="仿宋" w:cs="仿宋"/>
          <w:color w:val="auto"/>
          <w:kern w:val="0"/>
          <w:szCs w:val="21"/>
        </w:rPr>
      </w:pPr>
      <w:r>
        <w:rPr>
          <w:rFonts w:hint="eastAsia" w:ascii="仿宋" w:hAnsi="仿宋" w:eastAsia="仿宋" w:cs="仿宋"/>
          <w:color w:val="auto"/>
          <w:kern w:val="0"/>
          <w:szCs w:val="21"/>
        </w:rPr>
        <w:t>承包方必须充分考虑施工区域内的各种外界干扰因素，包括负责协调解决与当地村民的关系，不得以村民阻挠影响施工为由要求顺延工期或增加工程费用等问题，并应承担由此产生的相应费用。</w:t>
      </w:r>
    </w:p>
    <w:p w14:paraId="7883CC81">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16.对于由发包人另行分包的工程，由承包人完成相应预留、预埋的，承包人应保证预留管路通畅、预留洞口符合设计要求。若不符合要求的，应无条件返修，并保证符合要求。</w:t>
      </w:r>
    </w:p>
    <w:p w14:paraId="320D51C5">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17. 签订合同的同时签订《工程项目廉政合同》和《建筑安装施工安全生产协议》。</w:t>
      </w:r>
    </w:p>
    <w:p w14:paraId="1199412D">
      <w:pPr>
        <w:adjustRightInd w:val="0"/>
        <w:snapToGrid w:val="0"/>
        <w:spacing w:line="360" w:lineRule="auto"/>
        <w:ind w:firstLine="420" w:firstLineChars="200"/>
        <w:rPr>
          <w:rFonts w:ascii="仿宋" w:hAnsi="仿宋" w:eastAsia="仿宋" w:cs="仿宋"/>
          <w:color w:val="auto"/>
          <w:kern w:val="0"/>
          <w:szCs w:val="21"/>
        </w:rPr>
      </w:pPr>
      <w:r>
        <w:rPr>
          <w:rFonts w:hint="eastAsia" w:ascii="仿宋" w:hAnsi="仿宋" w:eastAsia="仿宋" w:cs="仿宋"/>
          <w:color w:val="auto"/>
          <w:kern w:val="0"/>
          <w:szCs w:val="21"/>
        </w:rPr>
        <w:t>18. 合同未尽事宜，双方另行签订补充协议。补充协议是合同的组成部分。</w:t>
      </w:r>
    </w:p>
    <w:p w14:paraId="4BC220DF">
      <w:pPr>
        <w:adjustRightInd w:val="0"/>
        <w:snapToGrid w:val="0"/>
        <w:spacing w:line="360" w:lineRule="auto"/>
        <w:ind w:firstLine="420" w:firstLineChars="200"/>
        <w:rPr>
          <w:rFonts w:ascii="仿宋" w:hAnsi="仿宋" w:eastAsia="仿宋" w:cs="仿宋"/>
          <w:color w:val="auto"/>
          <w:kern w:val="0"/>
          <w:szCs w:val="21"/>
        </w:rPr>
      </w:pPr>
    </w:p>
    <w:p w14:paraId="2C6C27B1">
      <w:pPr>
        <w:autoSpaceDE w:val="0"/>
        <w:autoSpaceDN w:val="0"/>
        <w:adjustRightInd w:val="0"/>
        <w:snapToGrid w:val="0"/>
        <w:spacing w:line="360" w:lineRule="auto"/>
        <w:ind w:firstLine="422" w:firstLineChars="200"/>
        <w:jc w:val="left"/>
        <w:rPr>
          <w:rFonts w:ascii="仿宋" w:hAnsi="仿宋" w:eastAsia="仿宋" w:cs="仿宋"/>
          <w:color w:val="auto"/>
          <w:szCs w:val="21"/>
        </w:rPr>
      </w:pPr>
      <w:r>
        <w:rPr>
          <w:rFonts w:hint="eastAsia" w:ascii="仿宋" w:hAnsi="仿宋" w:eastAsia="仿宋" w:cs="仿宋"/>
          <w:b/>
          <w:color w:val="auto"/>
          <w:szCs w:val="21"/>
        </w:rPr>
        <w:t>附件1 《</w:t>
      </w:r>
      <w:r>
        <w:rPr>
          <w:rFonts w:hint="eastAsia" w:ascii="仿宋" w:hAnsi="仿宋" w:eastAsia="仿宋" w:cs="仿宋"/>
          <w:b/>
          <w:color w:val="auto"/>
          <w:szCs w:val="21"/>
          <w:lang w:val="en-US" w:eastAsia="zh-CN"/>
        </w:rPr>
        <w:t>已标价工程量清单</w:t>
      </w:r>
      <w:r>
        <w:rPr>
          <w:rFonts w:hint="eastAsia" w:ascii="仿宋" w:hAnsi="仿宋" w:eastAsia="仿宋" w:cs="仿宋"/>
          <w:b/>
          <w:color w:val="auto"/>
          <w:szCs w:val="21"/>
        </w:rPr>
        <w:t>》</w:t>
      </w:r>
      <w:r>
        <w:rPr>
          <w:rFonts w:hint="eastAsia" w:ascii="仿宋" w:hAnsi="仿宋" w:eastAsia="仿宋" w:cs="仿宋"/>
          <w:b/>
          <w:color w:val="auto"/>
          <w:kern w:val="0"/>
          <w:szCs w:val="21"/>
        </w:rPr>
        <w:t xml:space="preserve"> </w:t>
      </w:r>
    </w:p>
    <w:p w14:paraId="70CED139">
      <w:pPr>
        <w:autoSpaceDE w:val="0"/>
        <w:autoSpaceDN w:val="0"/>
        <w:adjustRightInd w:val="0"/>
        <w:snapToGrid w:val="0"/>
        <w:spacing w:line="360" w:lineRule="auto"/>
        <w:ind w:firstLine="422" w:firstLineChars="200"/>
        <w:jc w:val="left"/>
        <w:rPr>
          <w:rFonts w:ascii="仿宋" w:hAnsi="仿宋" w:eastAsia="仿宋" w:cs="仿宋"/>
          <w:b/>
          <w:color w:val="auto"/>
          <w:szCs w:val="21"/>
        </w:rPr>
      </w:pPr>
      <w:r>
        <w:rPr>
          <w:rFonts w:hint="eastAsia" w:ascii="仿宋" w:hAnsi="仿宋" w:eastAsia="仿宋" w:cs="仿宋"/>
          <w:b/>
          <w:color w:val="auto"/>
          <w:szCs w:val="21"/>
        </w:rPr>
        <w:t>附件2 《工程质量保修书》</w:t>
      </w:r>
    </w:p>
    <w:p w14:paraId="05B0246B">
      <w:pPr>
        <w:autoSpaceDE w:val="0"/>
        <w:autoSpaceDN w:val="0"/>
        <w:adjustRightInd w:val="0"/>
        <w:snapToGrid w:val="0"/>
        <w:spacing w:line="360" w:lineRule="auto"/>
        <w:ind w:firstLine="422" w:firstLineChars="200"/>
        <w:jc w:val="left"/>
        <w:rPr>
          <w:rFonts w:ascii="仿宋" w:hAnsi="仿宋" w:eastAsia="仿宋" w:cs="仿宋"/>
          <w:b/>
          <w:color w:val="auto"/>
          <w:szCs w:val="21"/>
        </w:rPr>
      </w:pPr>
      <w:r>
        <w:rPr>
          <w:rFonts w:hint="eastAsia" w:ascii="仿宋" w:hAnsi="仿宋" w:eastAsia="仿宋" w:cs="仿宋"/>
          <w:b/>
          <w:color w:val="auto"/>
          <w:szCs w:val="21"/>
        </w:rPr>
        <w:t>附件3 《工程项目廉政合同》</w:t>
      </w:r>
    </w:p>
    <w:p w14:paraId="4AD165E4">
      <w:pPr>
        <w:adjustRightInd w:val="0"/>
        <w:snapToGrid w:val="0"/>
        <w:spacing w:line="360" w:lineRule="auto"/>
        <w:ind w:firstLine="480" w:firstLineChars="200"/>
        <w:rPr>
          <w:rFonts w:ascii="仿宋" w:hAnsi="仿宋" w:eastAsia="仿宋" w:cs="仿宋"/>
          <w:color w:val="auto"/>
          <w:kern w:val="0"/>
          <w:sz w:val="24"/>
        </w:rPr>
      </w:pPr>
    </w:p>
    <w:p w14:paraId="0A446AA4">
      <w:pPr>
        <w:pStyle w:val="3"/>
        <w:tabs>
          <w:tab w:val="left" w:pos="3780"/>
        </w:tabs>
        <w:rPr>
          <w:rFonts w:ascii="仿宋" w:hAnsi="仿宋" w:eastAsia="仿宋" w:cs="仿宋"/>
          <w:color w:val="auto"/>
        </w:rPr>
      </w:pPr>
      <w:r>
        <w:rPr>
          <w:rFonts w:hint="eastAsia" w:ascii="仿宋" w:hAnsi="仿宋" w:eastAsia="仿宋" w:cs="仿宋"/>
          <w:color w:val="auto"/>
        </w:rPr>
        <w:br w:type="page"/>
      </w:r>
      <w:bookmarkStart w:id="447" w:name="_Toc31836"/>
      <w:bookmarkStart w:id="448" w:name="_Toc342748412"/>
      <w:bookmarkStart w:id="449" w:name="_Toc26564"/>
      <w:r>
        <w:rPr>
          <w:rFonts w:hint="eastAsia" w:ascii="仿宋" w:hAnsi="仿宋" w:eastAsia="仿宋" w:cs="仿宋"/>
          <w:color w:val="auto"/>
        </w:rPr>
        <w:t>合同格式附件</w:t>
      </w:r>
      <w:bookmarkEnd w:id="447"/>
      <w:bookmarkEnd w:id="448"/>
      <w:bookmarkEnd w:id="449"/>
    </w:p>
    <w:p w14:paraId="4A3AEDCF">
      <w:pPr>
        <w:spacing w:line="340" w:lineRule="exact"/>
        <w:rPr>
          <w:rFonts w:ascii="仿宋" w:hAnsi="仿宋" w:eastAsia="仿宋" w:cs="仿宋"/>
          <w:b/>
          <w:color w:val="auto"/>
          <w:sz w:val="24"/>
        </w:rPr>
      </w:pPr>
      <w:r>
        <w:rPr>
          <w:rFonts w:hint="eastAsia" w:ascii="仿宋" w:hAnsi="仿宋" w:eastAsia="仿宋" w:cs="仿宋"/>
          <w:b/>
          <w:color w:val="auto"/>
          <w:sz w:val="24"/>
        </w:rPr>
        <w:t>附件2</w:t>
      </w:r>
    </w:p>
    <w:p w14:paraId="71B15B03">
      <w:pPr>
        <w:adjustRightInd w:val="0"/>
        <w:snapToGrid w:val="0"/>
        <w:spacing w:line="360" w:lineRule="auto"/>
        <w:jc w:val="center"/>
        <w:rPr>
          <w:rFonts w:ascii="仿宋" w:hAnsi="仿宋" w:eastAsia="仿宋" w:cs="仿宋"/>
          <w:b/>
          <w:snapToGrid w:val="0"/>
          <w:color w:val="auto"/>
          <w:kern w:val="0"/>
          <w:sz w:val="24"/>
        </w:rPr>
      </w:pPr>
      <w:r>
        <w:rPr>
          <w:rFonts w:hint="eastAsia" w:ascii="仿宋" w:hAnsi="仿宋" w:eastAsia="仿宋" w:cs="仿宋"/>
          <w:b/>
          <w:snapToGrid w:val="0"/>
          <w:color w:val="auto"/>
          <w:kern w:val="0"/>
          <w:sz w:val="24"/>
        </w:rPr>
        <w:t>工程质量保修书</w:t>
      </w:r>
    </w:p>
    <w:p w14:paraId="22EA4B3B">
      <w:pPr>
        <w:adjustRightInd w:val="0"/>
        <w:snapToGrid w:val="0"/>
        <w:spacing w:line="360" w:lineRule="auto"/>
        <w:jc w:val="center"/>
        <w:rPr>
          <w:rFonts w:ascii="仿宋" w:hAnsi="仿宋" w:eastAsia="仿宋" w:cs="仿宋"/>
          <w:snapToGrid w:val="0"/>
          <w:color w:val="auto"/>
          <w:kern w:val="0"/>
          <w:sz w:val="24"/>
        </w:rPr>
      </w:pPr>
    </w:p>
    <w:p w14:paraId="221EE0F7">
      <w:pPr>
        <w:adjustRightInd w:val="0"/>
        <w:snapToGrid w:val="0"/>
        <w:spacing w:line="360" w:lineRule="auto"/>
        <w:ind w:firstLine="420" w:firstLineChars="200"/>
        <w:rPr>
          <w:rFonts w:ascii="仿宋" w:hAnsi="仿宋" w:eastAsia="仿宋" w:cs="仿宋"/>
          <w:snapToGrid w:val="0"/>
          <w:color w:val="auto"/>
          <w:kern w:val="0"/>
          <w:szCs w:val="21"/>
          <w:u w:val="single"/>
        </w:rPr>
      </w:pPr>
      <w:r>
        <w:rPr>
          <w:rFonts w:hint="eastAsia" w:ascii="仿宋" w:hAnsi="仿宋" w:eastAsia="仿宋" w:cs="仿宋"/>
          <w:snapToGrid w:val="0"/>
          <w:color w:val="auto"/>
          <w:kern w:val="0"/>
          <w:szCs w:val="21"/>
        </w:rPr>
        <w:t>发包人（全称）：</w:t>
      </w:r>
      <w:r>
        <w:rPr>
          <w:rFonts w:hint="eastAsia" w:ascii="仿宋" w:hAnsi="仿宋" w:eastAsia="仿宋" w:cs="仿宋"/>
          <w:snapToGrid w:val="0"/>
          <w:color w:val="auto"/>
          <w:kern w:val="0"/>
          <w:szCs w:val="21"/>
          <w:u w:val="single"/>
        </w:rPr>
        <w:t xml:space="preserve">                                             </w:t>
      </w:r>
    </w:p>
    <w:p w14:paraId="30CD639B">
      <w:pPr>
        <w:adjustRightInd w:val="0"/>
        <w:snapToGrid w:val="0"/>
        <w:spacing w:line="360" w:lineRule="auto"/>
        <w:ind w:firstLine="420" w:firstLineChars="200"/>
        <w:rPr>
          <w:rFonts w:ascii="仿宋" w:hAnsi="仿宋" w:eastAsia="仿宋" w:cs="仿宋"/>
          <w:snapToGrid w:val="0"/>
          <w:color w:val="auto"/>
          <w:kern w:val="0"/>
          <w:szCs w:val="21"/>
          <w:u w:val="single"/>
        </w:rPr>
      </w:pPr>
      <w:r>
        <w:rPr>
          <w:rFonts w:hint="eastAsia" w:ascii="仿宋" w:hAnsi="仿宋" w:eastAsia="仿宋" w:cs="仿宋"/>
          <w:snapToGrid w:val="0"/>
          <w:color w:val="auto"/>
          <w:kern w:val="0"/>
          <w:szCs w:val="21"/>
        </w:rPr>
        <w:t>承包人（全称）：</w:t>
      </w:r>
      <w:r>
        <w:rPr>
          <w:rFonts w:hint="eastAsia" w:ascii="仿宋" w:hAnsi="仿宋" w:eastAsia="仿宋" w:cs="仿宋"/>
          <w:snapToGrid w:val="0"/>
          <w:color w:val="auto"/>
          <w:kern w:val="0"/>
          <w:szCs w:val="21"/>
          <w:u w:val="single"/>
        </w:rPr>
        <w:t xml:space="preserve">                                             </w:t>
      </w:r>
    </w:p>
    <w:p w14:paraId="756B576F">
      <w:pPr>
        <w:adjustRightInd w:val="0"/>
        <w:snapToGrid w:val="0"/>
        <w:spacing w:line="360" w:lineRule="auto"/>
        <w:ind w:firstLine="420" w:firstLineChars="20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发包人、承包人根据《中华人民共和国建筑法》、《建设工程质量管理条例》、《房屋建筑工程质量保修办法》，经协商一致，对“</w:t>
      </w:r>
      <w:r>
        <w:rPr>
          <w:rFonts w:hint="eastAsia" w:ascii="仿宋" w:hAnsi="仿宋" w:eastAsia="仿宋" w:cs="仿宋"/>
          <w:snapToGrid w:val="0"/>
          <w:color w:val="auto"/>
          <w:kern w:val="0"/>
          <w:szCs w:val="21"/>
          <w:lang w:val="en-US" w:eastAsia="zh-CN"/>
        </w:rPr>
        <w:t>宜川县人民医院介入中心导管室建设采购项目</w:t>
      </w:r>
      <w:r>
        <w:rPr>
          <w:rFonts w:hint="eastAsia" w:ascii="仿宋" w:hAnsi="仿宋" w:eastAsia="仿宋" w:cs="仿宋"/>
          <w:snapToGrid w:val="0"/>
          <w:color w:val="auto"/>
          <w:kern w:val="0"/>
          <w:szCs w:val="21"/>
        </w:rPr>
        <w:t>”签订工程质量保修书。</w:t>
      </w:r>
    </w:p>
    <w:p w14:paraId="49DAFE82">
      <w:pPr>
        <w:adjustRightInd w:val="0"/>
        <w:snapToGrid w:val="0"/>
        <w:spacing w:line="360" w:lineRule="auto"/>
        <w:ind w:firstLine="460" w:firstLineChars="218"/>
        <w:rPr>
          <w:rFonts w:ascii="仿宋" w:hAnsi="仿宋" w:eastAsia="仿宋" w:cs="仿宋"/>
          <w:b/>
          <w:snapToGrid w:val="0"/>
          <w:color w:val="auto"/>
          <w:kern w:val="0"/>
          <w:szCs w:val="21"/>
        </w:rPr>
      </w:pPr>
      <w:r>
        <w:rPr>
          <w:rFonts w:hint="eastAsia" w:ascii="仿宋" w:hAnsi="仿宋" w:eastAsia="仿宋" w:cs="仿宋"/>
          <w:b/>
          <w:snapToGrid w:val="0"/>
          <w:color w:val="auto"/>
          <w:kern w:val="0"/>
          <w:szCs w:val="21"/>
        </w:rPr>
        <w:t>一、工程质量保修范围和内容</w:t>
      </w:r>
    </w:p>
    <w:p w14:paraId="233188C1">
      <w:pPr>
        <w:autoSpaceDE w:val="0"/>
        <w:autoSpaceDN w:val="0"/>
        <w:adjustRightInd w:val="0"/>
        <w:snapToGrid w:val="0"/>
        <w:spacing w:line="360" w:lineRule="auto"/>
        <w:ind w:firstLine="420" w:firstLineChars="200"/>
        <w:jc w:val="left"/>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质量保修范围包括</w:t>
      </w:r>
      <w:r>
        <w:rPr>
          <w:rFonts w:hint="eastAsia" w:ascii="仿宋" w:hAnsi="仿宋" w:eastAsia="仿宋" w:cs="仿宋"/>
          <w:color w:val="auto"/>
          <w:szCs w:val="21"/>
          <w:u w:val="single"/>
          <w:lang w:val="en-US" w:eastAsia="zh-CN"/>
        </w:rPr>
        <w:t>宜川县人民医院介入中心导管室建设采购项目</w:t>
      </w:r>
      <w:r>
        <w:rPr>
          <w:rFonts w:hint="eastAsia" w:ascii="仿宋" w:hAnsi="仿宋" w:eastAsia="仿宋" w:cs="仿宋"/>
          <w:snapToGrid w:val="0"/>
          <w:color w:val="auto"/>
          <w:kern w:val="0"/>
          <w:szCs w:val="21"/>
        </w:rPr>
        <w:t>施工图示内容（具体招标范围和工程内容以第五章“工程量清单”描述为准）。</w:t>
      </w:r>
    </w:p>
    <w:p w14:paraId="12D58656">
      <w:pPr>
        <w:adjustRightInd w:val="0"/>
        <w:snapToGrid w:val="0"/>
        <w:spacing w:line="360" w:lineRule="auto"/>
        <w:ind w:firstLine="420" w:firstLineChars="20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具体质量保修内容双方约定如下：</w:t>
      </w:r>
      <w:r>
        <w:rPr>
          <w:rFonts w:hint="eastAsia" w:ascii="仿宋" w:hAnsi="仿宋" w:eastAsia="仿宋" w:cs="仿宋"/>
          <w:snapToGrid w:val="0"/>
          <w:color w:val="auto"/>
          <w:kern w:val="0"/>
          <w:szCs w:val="21"/>
          <w:u w:val="single"/>
        </w:rPr>
        <w:t xml:space="preserve">对承包人承包施工的工程内容进行质量保修，凡属承包人施工质量问题引起的维修，均由承包人负责保修。因发包人或业主使用不当造成的返修费用由责任方负担。 </w:t>
      </w:r>
    </w:p>
    <w:p w14:paraId="4BCFE4F0">
      <w:pPr>
        <w:adjustRightInd w:val="0"/>
        <w:snapToGrid w:val="0"/>
        <w:spacing w:line="360" w:lineRule="auto"/>
        <w:ind w:firstLine="480"/>
        <w:rPr>
          <w:rFonts w:ascii="仿宋" w:hAnsi="仿宋" w:eastAsia="仿宋" w:cs="仿宋"/>
          <w:b/>
          <w:snapToGrid w:val="0"/>
          <w:color w:val="auto"/>
          <w:kern w:val="0"/>
          <w:szCs w:val="21"/>
        </w:rPr>
      </w:pPr>
      <w:r>
        <w:rPr>
          <w:rFonts w:hint="eastAsia" w:ascii="仿宋" w:hAnsi="仿宋" w:eastAsia="仿宋" w:cs="仿宋"/>
          <w:b/>
          <w:snapToGrid w:val="0"/>
          <w:color w:val="auto"/>
          <w:kern w:val="0"/>
          <w:szCs w:val="21"/>
        </w:rPr>
        <w:t>二、质量保修期</w:t>
      </w:r>
    </w:p>
    <w:p w14:paraId="6EB80BE5">
      <w:pPr>
        <w:adjustRightInd w:val="0"/>
        <w:snapToGrid w:val="0"/>
        <w:spacing w:line="360" w:lineRule="auto"/>
        <w:ind w:firstLine="48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2.1双方根据《建设工程质量管理条例》、《房屋建筑工程质量保修办法》及国家有关规定，结合具体工程约定质量保修期如下：</w:t>
      </w:r>
    </w:p>
    <w:p w14:paraId="1D4147F6">
      <w:pPr>
        <w:adjustRightInd w:val="0"/>
        <w:snapToGrid w:val="0"/>
        <w:spacing w:line="360" w:lineRule="auto"/>
        <w:ind w:firstLine="480"/>
        <w:rPr>
          <w:rFonts w:ascii="仿宋" w:hAnsi="仿宋" w:eastAsia="仿宋" w:cs="仿宋"/>
          <w:b/>
          <w:bCs/>
          <w:snapToGrid w:val="0"/>
          <w:color w:val="auto"/>
          <w:kern w:val="0"/>
          <w:szCs w:val="21"/>
        </w:rPr>
      </w:pPr>
      <w:r>
        <w:rPr>
          <w:rFonts w:hint="eastAsia" w:ascii="仿宋" w:hAnsi="仿宋" w:eastAsia="仿宋" w:cs="仿宋"/>
          <w:b/>
          <w:bCs/>
          <w:snapToGrid w:val="0"/>
          <w:color w:val="auto"/>
          <w:kern w:val="0"/>
          <w:szCs w:val="21"/>
        </w:rPr>
        <w:t>一、</w:t>
      </w:r>
      <w:r>
        <w:rPr>
          <w:rFonts w:hint="eastAsia" w:ascii="仿宋" w:hAnsi="仿宋" w:eastAsia="仿宋" w:cs="仿宋"/>
          <w:b/>
          <w:bCs/>
          <w:snapToGrid w:val="0"/>
          <w:color w:val="auto"/>
          <w:kern w:val="0"/>
          <w:szCs w:val="21"/>
          <w:lang w:val="en-US" w:eastAsia="zh-CN"/>
        </w:rPr>
        <w:t>质量</w:t>
      </w:r>
      <w:r>
        <w:rPr>
          <w:rFonts w:hint="eastAsia" w:ascii="仿宋" w:hAnsi="仿宋" w:eastAsia="仿宋" w:cs="仿宋"/>
          <w:b/>
          <w:bCs/>
          <w:snapToGrid w:val="0"/>
          <w:color w:val="auto"/>
          <w:kern w:val="0"/>
          <w:szCs w:val="21"/>
        </w:rPr>
        <w:t xml:space="preserve">保修期不低于2年； </w:t>
      </w:r>
    </w:p>
    <w:p w14:paraId="4140EEB8">
      <w:pPr>
        <w:adjustRightInd w:val="0"/>
        <w:snapToGrid w:val="0"/>
        <w:spacing w:line="360" w:lineRule="auto"/>
        <w:ind w:firstLine="48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二、在免费保修期内，承包单位对有缺陷的部位必须无偿地给予修理与更换，并承担一切由此引起的发包人的直接损失，除非该缺陷是由于人为破坏或合同规定的不可抗因素造成的损坏。</w:t>
      </w:r>
    </w:p>
    <w:p w14:paraId="551E3BD4">
      <w:pPr>
        <w:adjustRightInd w:val="0"/>
        <w:snapToGrid w:val="0"/>
        <w:spacing w:line="360" w:lineRule="auto"/>
        <w:ind w:firstLine="48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三、保证所有材料在竣工验收合格之日起不少于10年的时间内都符合合同条款和设计的要求，并确保所有材料不出现缺陷，不会出现材料性能降低、结构损坏、表面退化等问题</w:t>
      </w:r>
    </w:p>
    <w:p w14:paraId="2146C296">
      <w:pPr>
        <w:tabs>
          <w:tab w:val="left" w:pos="0"/>
        </w:tabs>
        <w:adjustRightInd w:val="0"/>
        <w:snapToGrid w:val="0"/>
        <w:spacing w:line="360" w:lineRule="auto"/>
        <w:ind w:left="36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工程质量保修期自竣工验收合格、发包人代表在最终验收记录上签字之日算起。</w:t>
      </w:r>
    </w:p>
    <w:p w14:paraId="22824782">
      <w:pPr>
        <w:adjustRightInd w:val="0"/>
        <w:snapToGrid w:val="0"/>
        <w:spacing w:line="360" w:lineRule="auto"/>
        <w:ind w:left="48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2.2 其他项目保修期限约定如下：</w:t>
      </w:r>
      <w:r>
        <w:rPr>
          <w:rFonts w:hint="eastAsia" w:ascii="仿宋" w:hAnsi="仿宋" w:eastAsia="仿宋" w:cs="仿宋"/>
          <w:snapToGrid w:val="0"/>
          <w:color w:val="auto"/>
          <w:kern w:val="0"/>
          <w:szCs w:val="21"/>
          <w:u w:val="single"/>
        </w:rPr>
        <w:t xml:space="preserve">  /   </w:t>
      </w:r>
      <w:r>
        <w:rPr>
          <w:rFonts w:hint="eastAsia" w:ascii="仿宋" w:hAnsi="仿宋" w:eastAsia="仿宋" w:cs="仿宋"/>
          <w:snapToGrid w:val="0"/>
          <w:color w:val="auto"/>
          <w:kern w:val="0"/>
          <w:szCs w:val="21"/>
        </w:rPr>
        <w:t xml:space="preserve">。 </w:t>
      </w:r>
    </w:p>
    <w:p w14:paraId="35B6B438">
      <w:pPr>
        <w:adjustRightInd w:val="0"/>
        <w:snapToGrid w:val="0"/>
        <w:spacing w:line="360" w:lineRule="auto"/>
        <w:ind w:firstLine="48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2.3 质量保修期自工程竣工验收合格之日起计算。分单项竣工验收的工程，按单项工程分别计算质量保修期。</w:t>
      </w:r>
    </w:p>
    <w:p w14:paraId="0AAE431D">
      <w:pPr>
        <w:adjustRightInd w:val="0"/>
        <w:snapToGrid w:val="0"/>
        <w:spacing w:line="360" w:lineRule="auto"/>
        <w:ind w:firstLine="480"/>
        <w:rPr>
          <w:rFonts w:ascii="仿宋" w:hAnsi="仿宋" w:eastAsia="仿宋" w:cs="仿宋"/>
          <w:b/>
          <w:snapToGrid w:val="0"/>
          <w:color w:val="auto"/>
          <w:kern w:val="0"/>
          <w:szCs w:val="21"/>
        </w:rPr>
      </w:pPr>
      <w:r>
        <w:rPr>
          <w:rFonts w:hint="eastAsia" w:ascii="仿宋" w:hAnsi="仿宋" w:eastAsia="仿宋" w:cs="仿宋"/>
          <w:b/>
          <w:snapToGrid w:val="0"/>
          <w:color w:val="auto"/>
          <w:kern w:val="0"/>
          <w:szCs w:val="21"/>
        </w:rPr>
        <w:t>三、质量保修责任</w:t>
      </w:r>
    </w:p>
    <w:p w14:paraId="7F1BD71C">
      <w:pPr>
        <w:adjustRightInd w:val="0"/>
        <w:snapToGrid w:val="0"/>
        <w:spacing w:line="360" w:lineRule="auto"/>
        <w:ind w:firstLine="48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保修期内,乙方须按规定完成以下工作，否则甲方在其质量保证金中扣除相关费用：</w:t>
      </w:r>
    </w:p>
    <w:p w14:paraId="42D4CBAB">
      <w:pPr>
        <w:numPr>
          <w:ilvl w:val="0"/>
          <w:numId w:val="15"/>
        </w:numPr>
        <w:adjustRightInd w:val="0"/>
        <w:snapToGrid w:val="0"/>
        <w:spacing w:line="360" w:lineRule="auto"/>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提供的免费维修服务（非人为损坏的）。</w:t>
      </w:r>
    </w:p>
    <w:p w14:paraId="5D4AA8E1">
      <w:pPr>
        <w:numPr>
          <w:ilvl w:val="0"/>
          <w:numId w:val="15"/>
        </w:numPr>
        <w:adjustRightInd w:val="0"/>
        <w:snapToGrid w:val="0"/>
        <w:spacing w:line="360" w:lineRule="auto"/>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在收到甲方维修通知的12个小时内做出答复，并提出处理意见和维修措施。</w:t>
      </w:r>
    </w:p>
    <w:p w14:paraId="6F8252A4">
      <w:pPr>
        <w:numPr>
          <w:ilvl w:val="0"/>
          <w:numId w:val="15"/>
        </w:numPr>
        <w:adjustRightInd w:val="0"/>
        <w:snapToGrid w:val="0"/>
        <w:spacing w:line="360" w:lineRule="auto"/>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发生须紧急抢修事故（如：由于强风、暴雨、大雪、冰雹等恶劣天气和其他自然灾害等事故造成损坏等），承包人接到事故通知后，应立即到达事故现场抢修。非承包人施工质量引起的事故，抢修费用由发包人承担。</w:t>
      </w:r>
    </w:p>
    <w:p w14:paraId="0383FD05">
      <w:pPr>
        <w:numPr>
          <w:ilvl w:val="0"/>
          <w:numId w:val="15"/>
        </w:numPr>
        <w:adjustRightInd w:val="0"/>
        <w:snapToGrid w:val="0"/>
        <w:spacing w:line="360" w:lineRule="auto"/>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在国家规定的工程合理使用期限内，承包人应确保合同范围内的工程质量。因承包人原因致使工程在合理使用期限内造成人身和财产损害的，承包人应承担损害赔偿责任。</w:t>
      </w:r>
    </w:p>
    <w:p w14:paraId="0FE2E57E">
      <w:pPr>
        <w:adjustRightInd w:val="0"/>
        <w:snapToGrid w:val="0"/>
        <w:spacing w:line="360" w:lineRule="auto"/>
        <w:ind w:firstLine="480"/>
        <w:rPr>
          <w:rFonts w:ascii="仿宋" w:hAnsi="仿宋" w:eastAsia="仿宋" w:cs="仿宋"/>
          <w:b/>
          <w:snapToGrid w:val="0"/>
          <w:color w:val="auto"/>
          <w:kern w:val="0"/>
          <w:szCs w:val="21"/>
          <w:u w:val="single"/>
        </w:rPr>
      </w:pPr>
      <w:r>
        <w:rPr>
          <w:rFonts w:hint="eastAsia" w:ascii="仿宋" w:hAnsi="仿宋" w:eastAsia="仿宋" w:cs="仿宋"/>
          <w:b/>
          <w:snapToGrid w:val="0"/>
          <w:color w:val="auto"/>
          <w:kern w:val="0"/>
          <w:szCs w:val="21"/>
          <w:lang w:val="en-US" w:eastAsia="zh-CN"/>
        </w:rPr>
        <w:t>四</w:t>
      </w:r>
      <w:r>
        <w:rPr>
          <w:rFonts w:hint="eastAsia" w:ascii="仿宋" w:hAnsi="仿宋" w:eastAsia="仿宋" w:cs="仿宋"/>
          <w:b/>
          <w:snapToGrid w:val="0"/>
          <w:color w:val="auto"/>
          <w:kern w:val="0"/>
          <w:szCs w:val="21"/>
        </w:rPr>
        <w:t>、双方约定的其他工程质量保修事项：</w:t>
      </w:r>
      <w:r>
        <w:rPr>
          <w:rFonts w:hint="eastAsia" w:ascii="仿宋" w:hAnsi="仿宋" w:eastAsia="仿宋" w:cs="仿宋"/>
          <w:b/>
          <w:snapToGrid w:val="0"/>
          <w:color w:val="auto"/>
          <w:kern w:val="0"/>
          <w:szCs w:val="21"/>
          <w:u w:val="single"/>
        </w:rPr>
        <w:t xml:space="preserve">        </w:t>
      </w:r>
    </w:p>
    <w:p w14:paraId="33FED115">
      <w:pPr>
        <w:adjustRightInd w:val="0"/>
        <w:snapToGrid w:val="0"/>
        <w:spacing w:line="360" w:lineRule="auto"/>
        <w:ind w:firstLine="480"/>
        <w:rPr>
          <w:rFonts w:ascii="仿宋" w:hAnsi="仿宋" w:eastAsia="仿宋" w:cs="仿宋"/>
          <w:snapToGrid w:val="0"/>
          <w:color w:val="auto"/>
          <w:kern w:val="0"/>
          <w:szCs w:val="21"/>
        </w:rPr>
      </w:pPr>
      <w:r>
        <w:rPr>
          <w:rFonts w:hint="eastAsia" w:ascii="仿宋" w:hAnsi="仿宋" w:eastAsia="仿宋" w:cs="仿宋"/>
          <w:snapToGrid w:val="0"/>
          <w:color w:val="auto"/>
          <w:kern w:val="0"/>
          <w:szCs w:val="21"/>
        </w:rPr>
        <w:t>本工程质量保修书，由施工合同发包人、承包人双方在竣工验收前共同签署，作为施工合同附件，其有效期限至保修期满。</w:t>
      </w:r>
    </w:p>
    <w:p w14:paraId="362757DF">
      <w:pPr>
        <w:adjustRightInd w:val="0"/>
        <w:snapToGrid w:val="0"/>
        <w:spacing w:line="360" w:lineRule="auto"/>
        <w:ind w:firstLine="480"/>
        <w:rPr>
          <w:rFonts w:ascii="仿宋" w:hAnsi="仿宋" w:eastAsia="仿宋" w:cs="仿宋"/>
          <w:snapToGrid w:val="0"/>
          <w:color w:val="auto"/>
          <w:kern w:val="0"/>
          <w:szCs w:val="21"/>
        </w:rPr>
      </w:pPr>
    </w:p>
    <w:p w14:paraId="2F70C904">
      <w:pPr>
        <w:adjustRightInd w:val="0"/>
        <w:snapToGrid w:val="0"/>
        <w:spacing w:line="360" w:lineRule="auto"/>
        <w:ind w:firstLine="480"/>
        <w:rPr>
          <w:rFonts w:ascii="仿宋" w:hAnsi="仿宋" w:eastAsia="仿宋" w:cs="仿宋"/>
          <w:snapToGrid w:val="0"/>
          <w:color w:val="auto"/>
          <w:kern w:val="0"/>
          <w:szCs w:val="21"/>
        </w:rPr>
      </w:pPr>
    </w:p>
    <w:p w14:paraId="017CFD90">
      <w:pPr>
        <w:adjustRightInd w:val="0"/>
        <w:snapToGrid w:val="0"/>
        <w:spacing w:line="360" w:lineRule="auto"/>
        <w:ind w:firstLine="480"/>
        <w:rPr>
          <w:rFonts w:ascii="仿宋" w:hAnsi="仿宋" w:eastAsia="仿宋" w:cs="仿宋"/>
          <w:b/>
          <w:snapToGrid w:val="0"/>
          <w:color w:val="auto"/>
          <w:kern w:val="0"/>
          <w:szCs w:val="21"/>
        </w:rPr>
      </w:pPr>
      <w:r>
        <w:rPr>
          <w:rFonts w:hint="eastAsia" w:ascii="仿宋" w:hAnsi="仿宋" w:eastAsia="仿宋" w:cs="仿宋"/>
          <w:b/>
          <w:snapToGrid w:val="0"/>
          <w:color w:val="auto"/>
          <w:kern w:val="0"/>
          <w:szCs w:val="21"/>
        </w:rPr>
        <w:t>发 包 人（公章）：                 承 包 人（公章）：</w:t>
      </w:r>
    </w:p>
    <w:p w14:paraId="0752CA3D">
      <w:pPr>
        <w:adjustRightInd w:val="0"/>
        <w:snapToGrid w:val="0"/>
        <w:spacing w:line="360" w:lineRule="auto"/>
        <w:ind w:firstLine="480"/>
        <w:rPr>
          <w:rFonts w:ascii="仿宋" w:hAnsi="仿宋" w:eastAsia="仿宋" w:cs="仿宋"/>
          <w:b/>
          <w:snapToGrid w:val="0"/>
          <w:color w:val="auto"/>
          <w:kern w:val="0"/>
          <w:szCs w:val="21"/>
        </w:rPr>
      </w:pPr>
      <w:r>
        <w:rPr>
          <w:rFonts w:hint="eastAsia" w:ascii="仿宋" w:hAnsi="仿宋" w:eastAsia="仿宋" w:cs="仿宋"/>
          <w:b/>
          <w:snapToGrid w:val="0"/>
          <w:color w:val="auto"/>
          <w:kern w:val="0"/>
          <w:szCs w:val="21"/>
        </w:rPr>
        <w:t>法定代表人（签字）：               法定代表人（签字）：</w:t>
      </w:r>
    </w:p>
    <w:p w14:paraId="1DD2394B">
      <w:pPr>
        <w:adjustRightInd w:val="0"/>
        <w:snapToGrid w:val="0"/>
        <w:spacing w:line="360" w:lineRule="auto"/>
        <w:ind w:firstLine="480"/>
        <w:rPr>
          <w:rFonts w:ascii="仿宋" w:hAnsi="仿宋" w:eastAsia="仿宋" w:cs="仿宋"/>
          <w:b/>
          <w:snapToGrid w:val="0"/>
          <w:color w:val="auto"/>
          <w:kern w:val="0"/>
          <w:szCs w:val="21"/>
        </w:rPr>
      </w:pPr>
    </w:p>
    <w:p w14:paraId="029D33AA">
      <w:pPr>
        <w:adjustRightInd w:val="0"/>
        <w:snapToGrid w:val="0"/>
        <w:spacing w:line="360" w:lineRule="auto"/>
        <w:ind w:firstLine="480"/>
        <w:rPr>
          <w:rFonts w:ascii="仿宋" w:hAnsi="仿宋" w:eastAsia="仿宋" w:cs="仿宋"/>
          <w:b/>
          <w:snapToGrid w:val="0"/>
          <w:color w:val="auto"/>
          <w:kern w:val="0"/>
          <w:szCs w:val="21"/>
        </w:rPr>
      </w:pPr>
      <w:r>
        <w:rPr>
          <w:rFonts w:hint="eastAsia" w:ascii="仿宋" w:hAnsi="仿宋" w:eastAsia="仿宋" w:cs="仿宋"/>
          <w:b/>
          <w:snapToGrid w:val="0"/>
          <w:color w:val="auto"/>
          <w:kern w:val="0"/>
          <w:szCs w:val="21"/>
          <w:u w:val="single"/>
        </w:rPr>
        <w:t xml:space="preserve">     </w:t>
      </w:r>
      <w:r>
        <w:rPr>
          <w:rFonts w:hint="eastAsia" w:ascii="仿宋" w:hAnsi="仿宋" w:eastAsia="仿宋" w:cs="仿宋"/>
          <w:b/>
          <w:snapToGrid w:val="0"/>
          <w:color w:val="auto"/>
          <w:kern w:val="0"/>
          <w:szCs w:val="21"/>
        </w:rPr>
        <w:t>年</w:t>
      </w:r>
      <w:r>
        <w:rPr>
          <w:rFonts w:hint="eastAsia" w:ascii="仿宋" w:hAnsi="仿宋" w:eastAsia="仿宋" w:cs="仿宋"/>
          <w:b/>
          <w:snapToGrid w:val="0"/>
          <w:color w:val="auto"/>
          <w:kern w:val="0"/>
          <w:szCs w:val="21"/>
          <w:u w:val="single"/>
        </w:rPr>
        <w:t xml:space="preserve">   </w:t>
      </w:r>
      <w:r>
        <w:rPr>
          <w:rFonts w:hint="eastAsia" w:ascii="仿宋" w:hAnsi="仿宋" w:eastAsia="仿宋" w:cs="仿宋"/>
          <w:b/>
          <w:snapToGrid w:val="0"/>
          <w:color w:val="auto"/>
          <w:kern w:val="0"/>
          <w:szCs w:val="21"/>
        </w:rPr>
        <w:t>月</w:t>
      </w:r>
      <w:r>
        <w:rPr>
          <w:rFonts w:hint="eastAsia" w:ascii="仿宋" w:hAnsi="仿宋" w:eastAsia="仿宋" w:cs="仿宋"/>
          <w:b/>
          <w:snapToGrid w:val="0"/>
          <w:color w:val="auto"/>
          <w:kern w:val="0"/>
          <w:szCs w:val="21"/>
          <w:u w:val="single"/>
        </w:rPr>
        <w:t xml:space="preserve">   </w:t>
      </w:r>
      <w:r>
        <w:rPr>
          <w:rFonts w:hint="eastAsia" w:ascii="仿宋" w:hAnsi="仿宋" w:eastAsia="仿宋" w:cs="仿宋"/>
          <w:b/>
          <w:snapToGrid w:val="0"/>
          <w:color w:val="auto"/>
          <w:kern w:val="0"/>
          <w:szCs w:val="21"/>
        </w:rPr>
        <w:t xml:space="preserve">日                  </w:t>
      </w:r>
      <w:r>
        <w:rPr>
          <w:rFonts w:hint="eastAsia" w:ascii="仿宋" w:hAnsi="仿宋" w:eastAsia="仿宋" w:cs="仿宋"/>
          <w:b/>
          <w:snapToGrid w:val="0"/>
          <w:color w:val="auto"/>
          <w:kern w:val="0"/>
          <w:szCs w:val="21"/>
          <w:u w:val="single"/>
        </w:rPr>
        <w:t xml:space="preserve">     </w:t>
      </w:r>
      <w:r>
        <w:rPr>
          <w:rFonts w:hint="eastAsia" w:ascii="仿宋" w:hAnsi="仿宋" w:eastAsia="仿宋" w:cs="仿宋"/>
          <w:b/>
          <w:snapToGrid w:val="0"/>
          <w:color w:val="auto"/>
          <w:kern w:val="0"/>
          <w:szCs w:val="21"/>
        </w:rPr>
        <w:t>年</w:t>
      </w:r>
      <w:r>
        <w:rPr>
          <w:rFonts w:hint="eastAsia" w:ascii="仿宋" w:hAnsi="仿宋" w:eastAsia="仿宋" w:cs="仿宋"/>
          <w:b/>
          <w:snapToGrid w:val="0"/>
          <w:color w:val="auto"/>
          <w:kern w:val="0"/>
          <w:szCs w:val="21"/>
          <w:u w:val="single"/>
        </w:rPr>
        <w:t xml:space="preserve">   </w:t>
      </w:r>
      <w:r>
        <w:rPr>
          <w:rFonts w:hint="eastAsia" w:ascii="仿宋" w:hAnsi="仿宋" w:eastAsia="仿宋" w:cs="仿宋"/>
          <w:b/>
          <w:snapToGrid w:val="0"/>
          <w:color w:val="auto"/>
          <w:kern w:val="0"/>
          <w:szCs w:val="21"/>
        </w:rPr>
        <w:t>月</w:t>
      </w:r>
      <w:r>
        <w:rPr>
          <w:rFonts w:hint="eastAsia" w:ascii="仿宋" w:hAnsi="仿宋" w:eastAsia="仿宋" w:cs="仿宋"/>
          <w:b/>
          <w:snapToGrid w:val="0"/>
          <w:color w:val="auto"/>
          <w:kern w:val="0"/>
          <w:szCs w:val="21"/>
          <w:u w:val="single"/>
        </w:rPr>
        <w:t xml:space="preserve">   </w:t>
      </w:r>
      <w:r>
        <w:rPr>
          <w:rFonts w:hint="eastAsia" w:ascii="仿宋" w:hAnsi="仿宋" w:eastAsia="仿宋" w:cs="仿宋"/>
          <w:b/>
          <w:snapToGrid w:val="0"/>
          <w:color w:val="auto"/>
          <w:kern w:val="0"/>
          <w:szCs w:val="21"/>
        </w:rPr>
        <w:t>日</w:t>
      </w:r>
    </w:p>
    <w:p w14:paraId="612AAF2C">
      <w:pPr>
        <w:adjustRightInd w:val="0"/>
        <w:snapToGrid w:val="0"/>
        <w:spacing w:line="360" w:lineRule="auto"/>
        <w:ind w:firstLine="480"/>
        <w:rPr>
          <w:rFonts w:ascii="仿宋" w:hAnsi="仿宋" w:eastAsia="仿宋" w:cs="仿宋"/>
          <w:b/>
          <w:snapToGrid w:val="0"/>
          <w:color w:val="auto"/>
          <w:kern w:val="0"/>
          <w:sz w:val="18"/>
          <w:szCs w:val="18"/>
        </w:rPr>
      </w:pPr>
    </w:p>
    <w:p w14:paraId="7D838F58">
      <w:pPr>
        <w:adjustRightInd w:val="0"/>
        <w:snapToGrid w:val="0"/>
        <w:spacing w:line="360" w:lineRule="auto"/>
        <w:ind w:firstLine="480"/>
        <w:rPr>
          <w:rFonts w:ascii="仿宋" w:hAnsi="仿宋" w:eastAsia="仿宋" w:cs="仿宋"/>
          <w:b/>
          <w:snapToGrid w:val="0"/>
          <w:color w:val="auto"/>
          <w:kern w:val="0"/>
          <w:sz w:val="24"/>
        </w:rPr>
      </w:pPr>
    </w:p>
    <w:p w14:paraId="0AE3E7B0">
      <w:pPr>
        <w:adjustRightInd w:val="0"/>
        <w:snapToGrid w:val="0"/>
        <w:spacing w:line="360" w:lineRule="auto"/>
        <w:ind w:firstLine="480"/>
        <w:rPr>
          <w:rFonts w:ascii="仿宋" w:hAnsi="仿宋" w:eastAsia="仿宋" w:cs="仿宋"/>
          <w:b/>
          <w:snapToGrid w:val="0"/>
          <w:color w:val="auto"/>
          <w:kern w:val="0"/>
          <w:sz w:val="24"/>
        </w:rPr>
      </w:pPr>
    </w:p>
    <w:p w14:paraId="5C047560">
      <w:pPr>
        <w:adjustRightInd w:val="0"/>
        <w:snapToGrid w:val="0"/>
        <w:spacing w:line="360" w:lineRule="auto"/>
        <w:ind w:firstLine="480"/>
        <w:rPr>
          <w:rFonts w:ascii="仿宋" w:hAnsi="仿宋" w:eastAsia="仿宋" w:cs="仿宋"/>
          <w:b/>
          <w:snapToGrid w:val="0"/>
          <w:color w:val="auto"/>
          <w:kern w:val="0"/>
          <w:sz w:val="24"/>
        </w:rPr>
      </w:pPr>
    </w:p>
    <w:p w14:paraId="2BC235BF">
      <w:pPr>
        <w:adjustRightInd w:val="0"/>
        <w:snapToGrid w:val="0"/>
        <w:spacing w:line="360" w:lineRule="auto"/>
        <w:ind w:firstLine="480"/>
        <w:rPr>
          <w:rFonts w:ascii="仿宋" w:hAnsi="仿宋" w:eastAsia="仿宋" w:cs="仿宋"/>
          <w:b/>
          <w:snapToGrid w:val="0"/>
          <w:color w:val="auto"/>
          <w:kern w:val="0"/>
          <w:sz w:val="24"/>
        </w:rPr>
      </w:pPr>
    </w:p>
    <w:p w14:paraId="4E2F61E0">
      <w:pPr>
        <w:adjustRightInd w:val="0"/>
        <w:snapToGrid w:val="0"/>
        <w:spacing w:line="360" w:lineRule="auto"/>
        <w:ind w:firstLine="480"/>
        <w:rPr>
          <w:rFonts w:ascii="仿宋" w:hAnsi="仿宋" w:eastAsia="仿宋" w:cs="仿宋"/>
          <w:b/>
          <w:snapToGrid w:val="0"/>
          <w:color w:val="auto"/>
          <w:kern w:val="0"/>
          <w:sz w:val="24"/>
        </w:rPr>
      </w:pPr>
    </w:p>
    <w:p w14:paraId="566958A1">
      <w:pPr>
        <w:adjustRightInd w:val="0"/>
        <w:snapToGrid w:val="0"/>
        <w:spacing w:line="360" w:lineRule="auto"/>
        <w:ind w:firstLine="480"/>
        <w:rPr>
          <w:rFonts w:ascii="仿宋" w:hAnsi="仿宋" w:eastAsia="仿宋" w:cs="仿宋"/>
          <w:b/>
          <w:snapToGrid w:val="0"/>
          <w:color w:val="auto"/>
          <w:kern w:val="0"/>
          <w:sz w:val="24"/>
        </w:rPr>
      </w:pPr>
    </w:p>
    <w:p w14:paraId="116E9D28">
      <w:pPr>
        <w:adjustRightInd w:val="0"/>
        <w:snapToGrid w:val="0"/>
        <w:spacing w:line="360" w:lineRule="auto"/>
        <w:ind w:firstLine="480"/>
        <w:rPr>
          <w:rFonts w:ascii="仿宋" w:hAnsi="仿宋" w:eastAsia="仿宋" w:cs="仿宋"/>
          <w:b/>
          <w:snapToGrid w:val="0"/>
          <w:color w:val="auto"/>
          <w:kern w:val="0"/>
          <w:sz w:val="24"/>
        </w:rPr>
      </w:pPr>
    </w:p>
    <w:p w14:paraId="0C624B4B">
      <w:pPr>
        <w:adjustRightInd w:val="0"/>
        <w:snapToGrid w:val="0"/>
        <w:spacing w:line="360" w:lineRule="auto"/>
        <w:ind w:firstLine="480"/>
        <w:rPr>
          <w:rFonts w:ascii="仿宋" w:hAnsi="仿宋" w:eastAsia="仿宋" w:cs="仿宋"/>
          <w:b/>
          <w:snapToGrid w:val="0"/>
          <w:color w:val="auto"/>
          <w:kern w:val="0"/>
          <w:sz w:val="24"/>
        </w:rPr>
      </w:pPr>
    </w:p>
    <w:p w14:paraId="385A3595">
      <w:pPr>
        <w:adjustRightInd w:val="0"/>
        <w:snapToGrid w:val="0"/>
        <w:spacing w:line="360" w:lineRule="auto"/>
        <w:ind w:firstLine="480"/>
        <w:rPr>
          <w:rFonts w:ascii="仿宋" w:hAnsi="仿宋" w:eastAsia="仿宋" w:cs="仿宋"/>
          <w:b/>
          <w:snapToGrid w:val="0"/>
          <w:color w:val="auto"/>
          <w:kern w:val="0"/>
          <w:sz w:val="24"/>
        </w:rPr>
      </w:pPr>
    </w:p>
    <w:p w14:paraId="30C3BECD">
      <w:pPr>
        <w:adjustRightInd w:val="0"/>
        <w:snapToGrid w:val="0"/>
        <w:spacing w:line="360" w:lineRule="auto"/>
        <w:ind w:firstLine="480"/>
        <w:rPr>
          <w:rFonts w:ascii="仿宋" w:hAnsi="仿宋" w:eastAsia="仿宋" w:cs="仿宋"/>
          <w:b/>
          <w:snapToGrid w:val="0"/>
          <w:color w:val="auto"/>
          <w:kern w:val="0"/>
          <w:sz w:val="24"/>
        </w:rPr>
      </w:pPr>
    </w:p>
    <w:p w14:paraId="340F2496">
      <w:pPr>
        <w:adjustRightInd w:val="0"/>
        <w:snapToGrid w:val="0"/>
        <w:spacing w:line="360" w:lineRule="auto"/>
        <w:ind w:firstLine="480"/>
        <w:rPr>
          <w:rFonts w:ascii="仿宋" w:hAnsi="仿宋" w:eastAsia="仿宋" w:cs="仿宋"/>
          <w:b/>
          <w:snapToGrid w:val="0"/>
          <w:color w:val="auto"/>
          <w:kern w:val="0"/>
          <w:sz w:val="24"/>
        </w:rPr>
      </w:pPr>
    </w:p>
    <w:p w14:paraId="705EDDC4">
      <w:pPr>
        <w:adjustRightInd w:val="0"/>
        <w:snapToGrid w:val="0"/>
        <w:spacing w:line="360" w:lineRule="auto"/>
        <w:ind w:firstLine="480"/>
        <w:rPr>
          <w:rFonts w:ascii="仿宋" w:hAnsi="仿宋" w:eastAsia="仿宋" w:cs="仿宋"/>
          <w:b/>
          <w:snapToGrid w:val="0"/>
          <w:color w:val="auto"/>
          <w:kern w:val="0"/>
          <w:sz w:val="24"/>
        </w:rPr>
      </w:pPr>
    </w:p>
    <w:p w14:paraId="5C986090">
      <w:pPr>
        <w:rPr>
          <w:rFonts w:hint="eastAsia" w:ascii="仿宋" w:hAnsi="仿宋" w:eastAsia="仿宋" w:cs="仿宋"/>
          <w:b/>
          <w:color w:val="auto"/>
          <w:sz w:val="24"/>
        </w:rPr>
      </w:pPr>
      <w:r>
        <w:rPr>
          <w:rFonts w:hint="eastAsia" w:ascii="仿宋" w:hAnsi="仿宋" w:eastAsia="仿宋" w:cs="仿宋"/>
          <w:b/>
          <w:color w:val="auto"/>
          <w:sz w:val="24"/>
        </w:rPr>
        <w:br w:type="page"/>
      </w:r>
    </w:p>
    <w:p w14:paraId="6EB564DC">
      <w:pPr>
        <w:spacing w:line="340" w:lineRule="exact"/>
        <w:rPr>
          <w:rFonts w:ascii="仿宋" w:hAnsi="仿宋" w:eastAsia="仿宋" w:cs="仿宋"/>
          <w:b/>
          <w:color w:val="auto"/>
          <w:sz w:val="24"/>
        </w:rPr>
      </w:pPr>
      <w:r>
        <w:rPr>
          <w:rFonts w:hint="eastAsia" w:ascii="仿宋" w:hAnsi="仿宋" w:eastAsia="仿宋" w:cs="仿宋"/>
          <w:b/>
          <w:color w:val="auto"/>
          <w:sz w:val="24"/>
        </w:rPr>
        <w:t>附件3</w:t>
      </w:r>
    </w:p>
    <w:p w14:paraId="558A3E38">
      <w:pPr>
        <w:spacing w:line="360" w:lineRule="auto"/>
        <w:jc w:val="center"/>
        <w:rPr>
          <w:rFonts w:ascii="仿宋" w:hAnsi="仿宋" w:eastAsia="仿宋" w:cs="仿宋"/>
          <w:b/>
          <w:color w:val="auto"/>
          <w:sz w:val="24"/>
        </w:rPr>
      </w:pPr>
      <w:r>
        <w:rPr>
          <w:rFonts w:hint="eastAsia" w:ascii="仿宋" w:hAnsi="仿宋" w:eastAsia="仿宋" w:cs="仿宋"/>
          <w:b/>
          <w:color w:val="auto"/>
          <w:sz w:val="24"/>
        </w:rPr>
        <w:t>工程项目廉政合同</w:t>
      </w:r>
    </w:p>
    <w:p w14:paraId="706CB882">
      <w:pPr>
        <w:spacing w:line="360" w:lineRule="auto"/>
        <w:jc w:val="center"/>
        <w:rPr>
          <w:rFonts w:ascii="仿宋" w:hAnsi="仿宋" w:eastAsia="仿宋" w:cs="仿宋"/>
          <w:b/>
          <w:bCs/>
          <w:color w:val="auto"/>
          <w:szCs w:val="21"/>
        </w:rPr>
      </w:pPr>
    </w:p>
    <w:p w14:paraId="397C148C">
      <w:pPr>
        <w:spacing w:line="360" w:lineRule="auto"/>
        <w:ind w:firstLine="420" w:firstLineChars="200"/>
        <w:rPr>
          <w:rFonts w:ascii="仿宋" w:hAnsi="仿宋" w:eastAsia="仿宋" w:cs="仿宋"/>
          <w:color w:val="auto"/>
          <w:szCs w:val="21"/>
          <w:u w:val="single"/>
        </w:rPr>
      </w:pPr>
      <w:r>
        <w:rPr>
          <w:rFonts w:hint="eastAsia" w:ascii="仿宋" w:hAnsi="仿宋" w:eastAsia="仿宋" w:cs="仿宋"/>
          <w:color w:val="auto"/>
          <w:szCs w:val="21"/>
        </w:rPr>
        <w:t>为加强项目管理，预防腐败现象的发生，规范工程建设项目承包单位、发包单位及监理单位等的各项活动，防止各种谋取不正当利益的违法乱纪行为，保护国家、集体和当事人的合法权益并确保合同能够得到高效、严格的履行，根据工程建设和廉政建设的有关规定，(以下简称甲方)与</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(以下简称乙方)，特签订本廉政承诺书。</w:t>
      </w:r>
    </w:p>
    <w:p w14:paraId="56138443">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第一条：甲乙双方的权利和义务</w:t>
      </w:r>
    </w:p>
    <w:p w14:paraId="31D903AF">
      <w:pPr>
        <w:pStyle w:val="23"/>
        <w:ind w:firstLine="200"/>
        <w:rPr>
          <w:rFonts w:ascii="仿宋" w:hAnsi="仿宋" w:eastAsia="仿宋" w:cs="仿宋"/>
          <w:color w:val="auto"/>
          <w:szCs w:val="21"/>
        </w:rPr>
      </w:pPr>
      <w:r>
        <w:rPr>
          <w:rFonts w:hint="eastAsia" w:ascii="仿宋" w:hAnsi="仿宋" w:eastAsia="仿宋" w:cs="仿宋"/>
          <w:color w:val="auto"/>
          <w:szCs w:val="21"/>
        </w:rPr>
        <w:t>双方同意并声明，在业务活动中：</w:t>
      </w:r>
    </w:p>
    <w:p w14:paraId="79A9187D">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(一)严格、自觉的遵守和执行国家关于市场准入、工程建设、和市场活动的有关法律、法规、相关政策以及党和国家关于党风廉政建设的各项规定。严格执行经济合同文件，执行工程建设管理制度。</w:t>
      </w:r>
    </w:p>
    <w:p w14:paraId="558ECEEA">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(二)双方的业务活动坚持公开、公正、诚信的原则(除法律认定的商业秘密和合同文件另有规定之外)，严格、自觉按照合同办事，不得损害国家和甲乙双方的利益。</w:t>
      </w:r>
    </w:p>
    <w:p w14:paraId="7A99BE39">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三)认真落实党风廉政建设责任制，按照谁主管谁负责的原则，建立和健全廉政制度，经常开展廉政教育，加强对本单位工作人员职务行为的监督和管理，加强其廉政意识、守法意识和守约意识。实行重大工程廉政承诺，并认真监督查处违法违纪行为。</w:t>
      </w:r>
    </w:p>
    <w:p w14:paraId="1FA1A3FE">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(四)倡导相互监督，发现对方在业务活动中有违反廉政规定行为的，有及时提醒对方纠正的权利和义务。发现对方违反承诺条款的，有向其上级有关部门举报并要求告知处理结果的权利。</w:t>
      </w:r>
    </w:p>
    <w:p w14:paraId="412DF3DE">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(五)不以损害国家、集体或第三人利益为代价获取不正当的利益。</w:t>
      </w:r>
    </w:p>
    <w:p w14:paraId="28A63B36">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第二条：甲方的承诺</w:t>
      </w:r>
    </w:p>
    <w:p w14:paraId="605F09DE">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甲方工作人员在工程建设中应遵守如下规定：</w:t>
      </w:r>
    </w:p>
    <w:p w14:paraId="6C0CDD85">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(一)不得索要或接受乙方钱物(现金、有价证券、信用卡、礼金、奖金、补贴、物品等)，不得要求乙方报销任何应由甲方或个人支付的费用。</w:t>
      </w:r>
    </w:p>
    <w:p w14:paraId="10B9E82F">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(二)不得接受乙方安排的可能影响公务的住宿、宴请娱乐及出国（境）、旅游观光活动；不得接受乙方提供的合同规定外的通讯工具、交通工具和高档办公用品等。</w:t>
      </w:r>
    </w:p>
    <w:p w14:paraId="4EC16AFE">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(三)不得要求或者接受乙方为其及家庭成员在住房装修、婚丧嫁娶、配偶子女的工作安排及出国、出境、旅游等方面提供方便。</w:t>
      </w:r>
    </w:p>
    <w:p w14:paraId="7D11E734">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(四)工作人员及其配偶、子女、亲属不得从事与工程有关的材料设备供应、工程分包、劳务等经济活动。</w:t>
      </w:r>
    </w:p>
    <w:p w14:paraId="794A9D6C">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(五)不得违反规定向乙方推荐分包单位和设备、材料供应商，不得要求乙方购买合同规定外的材料和设备等。</w:t>
      </w:r>
    </w:p>
    <w:p w14:paraId="24CF74DC">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(六)不得为获取乙方回扣或其他谋取私利而多签或多算工程量、多结工程款；不得从乙方承包的工程中收受回扣，谋取私利。</w:t>
      </w:r>
    </w:p>
    <w:p w14:paraId="7842DFB0">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(七)不得因乙方拒绝本人的不合理要求，而故意刁难乙方。</w:t>
      </w:r>
    </w:p>
    <w:p w14:paraId="304458FE">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(八)其它有关违反廉政规定的行为。</w:t>
      </w:r>
    </w:p>
    <w:p w14:paraId="5B653273">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第三条：乙方的承诺</w:t>
      </w:r>
    </w:p>
    <w:p w14:paraId="100CBF55">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乙方应与甲方和监理保持正常的业务来往，按照有关法律、法规和工作程序开展业务工作并遵守以下规定：</w:t>
      </w:r>
    </w:p>
    <w:p w14:paraId="5DC88F9D">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(一)不得以任何理由向甲方、监理单位赠送钱物(现金、有价证券、信用卡、礼金、奖金、补贴、物品等)。</w:t>
      </w:r>
    </w:p>
    <w:p w14:paraId="56AB6163">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(二)不得以任何名义为甲方、监理单位报销应由甲方、监理单位或个人支付的任何费用。</w:t>
      </w:r>
    </w:p>
    <w:p w14:paraId="62153C5A">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(三)不准以任何理由为甲方、监理单位和其它相关单位及其工作人员提供有可能影响执行公务的宴请、健身和娱乐等活动。</w:t>
      </w:r>
    </w:p>
    <w:p w14:paraId="43F4A501">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(四)不得为甲方和监理单位的相关人员购置或提供合同规定外的通讯工具、交通工具和高档办公用品等。</w:t>
      </w:r>
    </w:p>
    <w:p w14:paraId="77EBEA02">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(五)不准接受或暗示为甲方、监理单位和其它相关单位及其工作人员装修房屋、婚丧嫁娶、配偶子女的工作安排以及出国（境）、旅游观光活动提供方便。</w:t>
      </w:r>
    </w:p>
    <w:p w14:paraId="6F9824F2">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(六)不准利用黄、赌、贿等各种手段拉拢腐蚀甲方工作人员。</w:t>
      </w:r>
    </w:p>
    <w:p w14:paraId="27C7546E">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(七)其它有关违反廉政规定的行为。</w:t>
      </w:r>
    </w:p>
    <w:p w14:paraId="53580EAB">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第四条：责任追究</w:t>
      </w:r>
    </w:p>
    <w:p w14:paraId="74DE585F">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一)甲方若违反本承诺规定，按照干部管理权限，依据《中国共产党党内纪律处分条例》、《中华人民共和国公务员法》，属于一般错误的，对其实施警示训诫；违纪违规的，给予党纪、政纪处分；涉嫌犯罪的，移交司法机关追究刑事责任。</w:t>
      </w:r>
    </w:p>
    <w:p w14:paraId="289F9175">
      <w:pPr>
        <w:spacing w:line="360" w:lineRule="auto"/>
        <w:ind w:firstLine="420" w:firstLineChars="200"/>
        <w:rPr>
          <w:rFonts w:ascii="仿宋" w:hAnsi="仿宋" w:eastAsia="仿宋" w:cs="仿宋"/>
          <w:color w:val="auto"/>
          <w:szCs w:val="21"/>
        </w:rPr>
      </w:pPr>
      <w:r>
        <w:rPr>
          <w:rFonts w:hint="eastAsia" w:ascii="仿宋" w:hAnsi="仿宋" w:eastAsia="仿宋" w:cs="仿宋"/>
          <w:color w:val="auto"/>
          <w:szCs w:val="21"/>
        </w:rPr>
        <w:t>(二)乙方若违反本承诺规定，甲方有权要求乙方对责任人进行处理。情节严重的，限制乙方不得进入遗址保护区建设市场；在新闻媒体曝光并报乙方上级或行发包人管部门。</w:t>
      </w:r>
    </w:p>
    <w:p w14:paraId="0FAA1D7E">
      <w:pPr>
        <w:spacing w:line="360" w:lineRule="auto"/>
        <w:ind w:firstLine="422" w:firstLineChars="200"/>
        <w:rPr>
          <w:rFonts w:ascii="仿宋" w:hAnsi="仿宋" w:eastAsia="仿宋" w:cs="仿宋"/>
          <w:color w:val="auto"/>
          <w:szCs w:val="21"/>
        </w:rPr>
      </w:pPr>
      <w:r>
        <w:rPr>
          <w:rFonts w:hint="eastAsia" w:ascii="仿宋" w:hAnsi="仿宋" w:eastAsia="仿宋" w:cs="仿宋"/>
          <w:b/>
          <w:color w:val="auto"/>
          <w:szCs w:val="21"/>
        </w:rPr>
        <w:t>第五条：</w:t>
      </w:r>
      <w:r>
        <w:rPr>
          <w:rFonts w:hint="eastAsia" w:ascii="仿宋" w:hAnsi="仿宋" w:eastAsia="仿宋" w:cs="仿宋"/>
          <w:color w:val="auto"/>
          <w:szCs w:val="21"/>
        </w:rPr>
        <w:t>本承诺书由双方单位或上级主管单位的纪检、监察部门负责监督执行。</w:t>
      </w:r>
    </w:p>
    <w:p w14:paraId="469770C6">
      <w:pPr>
        <w:pStyle w:val="23"/>
        <w:ind w:firstLine="422" w:firstLineChars="200"/>
        <w:rPr>
          <w:rFonts w:ascii="仿宋" w:hAnsi="仿宋" w:eastAsia="仿宋" w:cs="仿宋"/>
          <w:color w:val="auto"/>
          <w:szCs w:val="21"/>
        </w:rPr>
      </w:pPr>
      <w:r>
        <w:rPr>
          <w:rFonts w:hint="eastAsia" w:ascii="仿宋" w:hAnsi="仿宋" w:eastAsia="仿宋" w:cs="仿宋"/>
          <w:b/>
          <w:color w:val="auto"/>
          <w:szCs w:val="21"/>
        </w:rPr>
        <w:t>第六条：</w:t>
      </w:r>
      <w:r>
        <w:rPr>
          <w:rFonts w:hint="eastAsia" w:ascii="仿宋" w:hAnsi="仿宋" w:eastAsia="仿宋" w:cs="仿宋"/>
          <w:color w:val="auto"/>
          <w:szCs w:val="21"/>
        </w:rPr>
        <w:t>本合同作为工程施工合同的组成部分，双方签字盖章后即生效，有效期为双方签署之日起至该工程项目竣工验收合格并办理完毕工程结算时止。</w:t>
      </w:r>
    </w:p>
    <w:p w14:paraId="1C7F4DF3">
      <w:pPr>
        <w:pStyle w:val="23"/>
        <w:ind w:firstLine="422" w:firstLineChars="200"/>
        <w:rPr>
          <w:rFonts w:ascii="仿宋" w:hAnsi="仿宋" w:eastAsia="仿宋" w:cs="仿宋"/>
          <w:color w:val="auto"/>
          <w:szCs w:val="21"/>
        </w:rPr>
      </w:pPr>
      <w:r>
        <w:rPr>
          <w:rFonts w:hint="eastAsia" w:ascii="仿宋" w:hAnsi="仿宋" w:eastAsia="仿宋" w:cs="仿宋"/>
          <w:b/>
          <w:color w:val="auto"/>
          <w:szCs w:val="21"/>
        </w:rPr>
        <w:t>第七条：</w:t>
      </w:r>
      <w:r>
        <w:rPr>
          <w:rFonts w:hint="eastAsia" w:ascii="仿宋" w:hAnsi="仿宋" w:eastAsia="仿宋" w:cs="仿宋"/>
          <w:color w:val="auto"/>
          <w:szCs w:val="21"/>
        </w:rPr>
        <w:t>本合同正本二份，副本二份，甲乙方各执正本一份，甲方上级监察部门执副本一份。</w:t>
      </w:r>
    </w:p>
    <w:p w14:paraId="3E5051D9">
      <w:pPr>
        <w:spacing w:line="360" w:lineRule="auto"/>
        <w:rPr>
          <w:rFonts w:ascii="仿宋" w:hAnsi="仿宋" w:eastAsia="仿宋" w:cs="仿宋"/>
          <w:color w:val="auto"/>
          <w:szCs w:val="21"/>
        </w:rPr>
      </w:pPr>
    </w:p>
    <w:p w14:paraId="11690674">
      <w:pPr>
        <w:spacing w:line="360" w:lineRule="auto"/>
        <w:ind w:firstLine="658" w:firstLineChars="312"/>
        <w:rPr>
          <w:rFonts w:ascii="仿宋" w:hAnsi="仿宋" w:eastAsia="仿宋" w:cs="仿宋"/>
          <w:b/>
          <w:color w:val="auto"/>
          <w:szCs w:val="21"/>
        </w:rPr>
      </w:pPr>
      <w:r>
        <w:rPr>
          <w:rFonts w:hint="eastAsia" w:ascii="仿宋" w:hAnsi="仿宋" w:eastAsia="仿宋" w:cs="仿宋"/>
          <w:b/>
          <w:color w:val="auto"/>
          <w:szCs w:val="21"/>
        </w:rPr>
        <w:t>甲方单位：                          乙方单位：</w:t>
      </w:r>
    </w:p>
    <w:p w14:paraId="73EA9553">
      <w:pPr>
        <w:spacing w:line="360" w:lineRule="auto"/>
        <w:ind w:firstLine="422" w:firstLineChars="200"/>
        <w:rPr>
          <w:rFonts w:ascii="仿宋" w:hAnsi="仿宋" w:eastAsia="仿宋" w:cs="仿宋"/>
          <w:b/>
          <w:color w:val="auto"/>
          <w:szCs w:val="21"/>
        </w:rPr>
      </w:pPr>
      <w:r>
        <w:rPr>
          <w:rFonts w:hint="eastAsia" w:ascii="仿宋" w:hAnsi="仿宋" w:eastAsia="仿宋" w:cs="仿宋"/>
          <w:b/>
          <w:color w:val="auto"/>
          <w:szCs w:val="21"/>
        </w:rPr>
        <w:t xml:space="preserve">  法定代表人(委托代理人)：：          法定代表人(委托代理人)：</w:t>
      </w:r>
    </w:p>
    <w:p w14:paraId="15D43A98">
      <w:pPr>
        <w:spacing w:line="360" w:lineRule="auto"/>
        <w:ind w:firstLine="632" w:firstLineChars="300"/>
        <w:rPr>
          <w:rFonts w:ascii="仿宋" w:hAnsi="仿宋" w:eastAsia="仿宋" w:cs="仿宋"/>
          <w:b/>
          <w:color w:val="auto"/>
          <w:szCs w:val="21"/>
        </w:rPr>
      </w:pPr>
      <w:r>
        <w:rPr>
          <w:rFonts w:hint="eastAsia" w:ascii="仿宋" w:hAnsi="仿宋" w:eastAsia="仿宋" w:cs="仿宋"/>
          <w:b/>
          <w:color w:val="auto"/>
          <w:szCs w:val="21"/>
        </w:rPr>
        <w:t>监督电话：                          监督电话：</w:t>
      </w:r>
    </w:p>
    <w:p w14:paraId="30C1989A">
      <w:pPr>
        <w:tabs>
          <w:tab w:val="left" w:pos="5000"/>
        </w:tabs>
        <w:spacing w:line="360" w:lineRule="auto"/>
        <w:ind w:firstLine="738" w:firstLineChars="350"/>
        <w:rPr>
          <w:rFonts w:ascii="仿宋" w:hAnsi="仿宋" w:eastAsia="仿宋" w:cs="仿宋"/>
          <w:color w:val="auto"/>
          <w:szCs w:val="21"/>
        </w:rPr>
      </w:pPr>
      <w:r>
        <w:rPr>
          <w:rFonts w:hint="eastAsia" w:ascii="仿宋" w:hAnsi="仿宋" w:eastAsia="仿宋" w:cs="仿宋"/>
          <w:b/>
          <w:color w:val="auto"/>
          <w:szCs w:val="21"/>
        </w:rPr>
        <w:t>年    月    日                    年    月    日</w:t>
      </w:r>
    </w:p>
    <w:p w14:paraId="451072D8">
      <w:pPr>
        <w:rPr>
          <w:color w:val="auto"/>
        </w:rPr>
      </w:pPr>
      <w:r>
        <w:rPr>
          <w:rFonts w:hint="eastAsia" w:ascii="仿宋" w:hAnsi="仿宋" w:eastAsia="仿宋" w:cs="仿宋"/>
          <w:color w:val="auto"/>
          <w:kern w:val="0"/>
          <w:sz w:val="18"/>
          <w:szCs w:val="18"/>
        </w:rPr>
        <w:br w:type="page"/>
      </w:r>
    </w:p>
    <w:p w14:paraId="1E13DCDC">
      <w:pPr>
        <w:pStyle w:val="46"/>
        <w:rPr>
          <w:rFonts w:ascii="仿宋_GB2312" w:hAnsi="仿宋_GB2312" w:eastAsia="仿宋_GB2312" w:cs="仿宋_GB2312"/>
          <w:color w:val="auto"/>
          <w:highlight w:val="none"/>
        </w:rPr>
      </w:pPr>
      <w:bookmarkStart w:id="450" w:name="_Toc23531"/>
      <w:bookmarkStart w:id="451" w:name="_Toc58504448"/>
      <w:bookmarkStart w:id="452" w:name="_Toc415499899"/>
      <w:bookmarkStart w:id="453" w:name="_Toc389620241"/>
      <w:bookmarkStart w:id="454" w:name="_Toc58504449"/>
      <w:bookmarkStart w:id="455" w:name="_Toc385992401"/>
      <w:bookmarkStart w:id="456" w:name="_Toc31008"/>
      <w:r>
        <w:rPr>
          <w:rFonts w:hint="eastAsia" w:ascii="仿宋_GB2312" w:hAnsi="仿宋_GB2312" w:eastAsia="仿宋_GB2312" w:cs="仿宋_GB2312"/>
          <w:color w:val="auto"/>
          <w:highlight w:val="none"/>
        </w:rPr>
        <w:t>第五章  采购内容及要求</w:t>
      </w:r>
      <w:bookmarkEnd w:id="450"/>
      <w:bookmarkEnd w:id="451"/>
    </w:p>
    <w:p w14:paraId="7E2BCB31">
      <w:pPr>
        <w:spacing w:before="91" w:line="223" w:lineRule="auto"/>
        <w:rPr>
          <w:rFonts w:ascii="仿宋" w:hAnsi="仿宋" w:eastAsia="仿宋" w:cs="仿宋"/>
          <w:color w:val="auto"/>
          <w:sz w:val="28"/>
          <w:szCs w:val="28"/>
        </w:rPr>
      </w:pPr>
      <w:bookmarkStart w:id="457" w:name="_Toc301514183"/>
      <w:bookmarkStart w:id="458" w:name="_Toc342748415"/>
      <w:bookmarkStart w:id="459" w:name="_Toc184635126"/>
      <w:r>
        <w:rPr>
          <w:rFonts w:ascii="仿宋" w:hAnsi="仿宋" w:eastAsia="仿宋" w:cs="仿宋"/>
          <w:b/>
          <w:bCs/>
          <w:color w:val="auto"/>
          <w:spacing w:val="-6"/>
          <w:sz w:val="28"/>
          <w:szCs w:val="28"/>
        </w:rPr>
        <w:t>一、工程概况</w:t>
      </w:r>
    </w:p>
    <w:p w14:paraId="476069EE">
      <w:pPr>
        <w:spacing w:line="246" w:lineRule="auto"/>
        <w:rPr>
          <w:rFonts w:ascii="Arial"/>
          <w:color w:val="auto"/>
          <w:sz w:val="21"/>
        </w:rPr>
      </w:pPr>
    </w:p>
    <w:p w14:paraId="04F1DED5">
      <w:pPr>
        <w:spacing w:before="91" w:line="411" w:lineRule="auto"/>
        <w:ind w:left="33" w:right="55" w:firstLine="559"/>
        <w:rPr>
          <w:rFonts w:ascii="仿宋" w:hAnsi="仿宋" w:eastAsia="仿宋" w:cs="仿宋"/>
          <w:color w:val="auto"/>
          <w:sz w:val="28"/>
          <w:szCs w:val="28"/>
        </w:rPr>
      </w:pPr>
      <w:r>
        <w:rPr>
          <w:rFonts w:ascii="仿宋" w:hAnsi="仿宋" w:eastAsia="仿宋" w:cs="仿宋"/>
          <w:color w:val="auto"/>
          <w:spacing w:val="1"/>
          <w:sz w:val="28"/>
          <w:szCs w:val="28"/>
        </w:rPr>
        <w:t>本工程位于宜川县人民医院,改造范围涵盖现状手术室及配</w:t>
      </w:r>
      <w:r>
        <w:rPr>
          <w:rFonts w:ascii="仿宋" w:hAnsi="仿宋" w:eastAsia="仿宋" w:cs="仿宋"/>
          <w:color w:val="auto"/>
          <w:sz w:val="28"/>
          <w:szCs w:val="28"/>
        </w:rPr>
        <w:t>套功</w:t>
      </w:r>
      <w:r>
        <w:rPr>
          <w:rFonts w:ascii="仿宋" w:hAnsi="仿宋" w:eastAsia="仿宋" w:cs="仿宋"/>
          <w:color w:val="auto"/>
          <w:spacing w:val="1"/>
          <w:sz w:val="28"/>
          <w:szCs w:val="28"/>
        </w:rPr>
        <w:t>能用房(手术室、污物暂存区、术前准备间、换车间、无</w:t>
      </w:r>
      <w:r>
        <w:rPr>
          <w:rFonts w:ascii="仿宋" w:hAnsi="仿宋" w:eastAsia="仿宋" w:cs="仿宋"/>
          <w:color w:val="auto"/>
          <w:sz w:val="28"/>
          <w:szCs w:val="28"/>
        </w:rPr>
        <w:t>菌辅料间、</w:t>
      </w:r>
      <w:r>
        <w:rPr>
          <w:rFonts w:ascii="仿宋" w:hAnsi="仿宋" w:eastAsia="仿宋" w:cs="仿宋"/>
          <w:color w:val="auto"/>
          <w:spacing w:val="-7"/>
          <w:sz w:val="28"/>
          <w:szCs w:val="28"/>
        </w:rPr>
        <w:t>控制间、医生通道、设备间、医护走廊。本工程位于主体建筑第9</w:t>
      </w:r>
      <w:r>
        <w:rPr>
          <w:rFonts w:ascii="仿宋" w:hAnsi="仿宋" w:eastAsia="仿宋" w:cs="仿宋"/>
          <w:color w:val="auto"/>
          <w:spacing w:val="-39"/>
          <w:sz w:val="28"/>
          <w:szCs w:val="28"/>
        </w:rPr>
        <w:t xml:space="preserve"> </w:t>
      </w:r>
      <w:r>
        <w:rPr>
          <w:rFonts w:ascii="仿宋" w:hAnsi="仿宋" w:eastAsia="仿宋" w:cs="仿宋"/>
          <w:color w:val="auto"/>
          <w:spacing w:val="-7"/>
          <w:sz w:val="28"/>
          <w:szCs w:val="28"/>
        </w:rPr>
        <w:t>层,</w:t>
      </w:r>
      <w:r>
        <w:rPr>
          <w:rFonts w:ascii="仿宋" w:hAnsi="仿宋" w:eastAsia="仿宋" w:cs="仿宋"/>
          <w:color w:val="auto"/>
          <w:spacing w:val="-2"/>
          <w:sz w:val="28"/>
          <w:szCs w:val="28"/>
        </w:rPr>
        <w:t>层高</w:t>
      </w:r>
      <w:r>
        <w:rPr>
          <w:rFonts w:ascii="仿宋" w:hAnsi="仿宋" w:eastAsia="仿宋" w:cs="仿宋"/>
          <w:color w:val="auto"/>
          <w:spacing w:val="-60"/>
          <w:sz w:val="28"/>
          <w:szCs w:val="28"/>
        </w:rPr>
        <w:t xml:space="preserve"> </w:t>
      </w:r>
      <w:r>
        <w:rPr>
          <w:rFonts w:ascii="仿宋" w:hAnsi="仿宋" w:eastAsia="仿宋" w:cs="仿宋"/>
          <w:color w:val="auto"/>
          <w:spacing w:val="-2"/>
          <w:sz w:val="28"/>
          <w:szCs w:val="28"/>
        </w:rPr>
        <w:t>4.5m,改造区域相对标高</w:t>
      </w:r>
      <w:r>
        <w:rPr>
          <w:rFonts w:ascii="仿宋" w:hAnsi="仿宋" w:eastAsia="仿宋" w:cs="仿宋"/>
          <w:color w:val="auto"/>
          <w:spacing w:val="-55"/>
          <w:sz w:val="28"/>
          <w:szCs w:val="28"/>
        </w:rPr>
        <w:t xml:space="preserve"> </w:t>
      </w:r>
      <w:r>
        <w:rPr>
          <w:rFonts w:ascii="仿宋" w:hAnsi="仿宋" w:eastAsia="仿宋" w:cs="仿宋"/>
          <w:color w:val="auto"/>
          <w:spacing w:val="-2"/>
          <w:sz w:val="28"/>
          <w:szCs w:val="28"/>
        </w:rPr>
        <w:t>36.00m。</w:t>
      </w:r>
    </w:p>
    <w:p w14:paraId="67E36CFD">
      <w:pPr>
        <w:spacing w:before="2" w:line="368" w:lineRule="auto"/>
        <w:ind w:left="34" w:right="55" w:firstLine="556"/>
        <w:rPr>
          <w:rFonts w:ascii="仿宋" w:hAnsi="仿宋" w:eastAsia="仿宋" w:cs="仿宋"/>
          <w:color w:val="auto"/>
          <w:sz w:val="28"/>
          <w:szCs w:val="28"/>
        </w:rPr>
      </w:pPr>
      <w:r>
        <w:rPr>
          <w:rFonts w:hint="eastAsia" w:ascii="仿宋" w:hAnsi="仿宋" w:eastAsia="仿宋" w:cs="仿宋"/>
          <w:color w:val="auto"/>
          <w:spacing w:val="-4"/>
          <w:sz w:val="28"/>
          <w:szCs w:val="28"/>
          <w:lang w:val="en-US" w:eastAsia="zh-CN"/>
        </w:rPr>
        <w:t>工程</w:t>
      </w:r>
      <w:r>
        <w:rPr>
          <w:rFonts w:ascii="仿宋" w:hAnsi="仿宋" w:eastAsia="仿宋" w:cs="仿宋"/>
          <w:color w:val="auto"/>
          <w:spacing w:val="-4"/>
          <w:sz w:val="28"/>
          <w:szCs w:val="28"/>
        </w:rPr>
        <w:t>内容包括：装饰装修工程、给水工程、强电、弱电工程、通</w:t>
      </w:r>
      <w:r>
        <w:rPr>
          <w:rFonts w:ascii="仿宋" w:hAnsi="仿宋" w:eastAsia="仿宋" w:cs="仿宋"/>
          <w:color w:val="auto"/>
          <w:spacing w:val="-3"/>
          <w:sz w:val="28"/>
          <w:szCs w:val="28"/>
        </w:rPr>
        <w:t>风空调工程等。</w:t>
      </w:r>
    </w:p>
    <w:p w14:paraId="2EE50988">
      <w:pPr>
        <w:spacing w:line="222" w:lineRule="auto"/>
        <w:rPr>
          <w:rFonts w:ascii="仿宋" w:hAnsi="仿宋" w:eastAsia="仿宋" w:cs="仿宋"/>
          <w:color w:val="auto"/>
          <w:sz w:val="28"/>
          <w:szCs w:val="28"/>
        </w:rPr>
      </w:pPr>
      <w:r>
        <w:rPr>
          <w:rFonts w:ascii="仿宋" w:hAnsi="仿宋" w:eastAsia="仿宋" w:cs="仿宋"/>
          <w:b/>
          <w:bCs/>
          <w:color w:val="auto"/>
          <w:spacing w:val="-7"/>
          <w:sz w:val="28"/>
          <w:szCs w:val="28"/>
        </w:rPr>
        <w:t>二、编制范围</w:t>
      </w:r>
    </w:p>
    <w:p w14:paraId="7BD31F08">
      <w:pPr>
        <w:spacing w:line="244" w:lineRule="auto"/>
        <w:rPr>
          <w:rFonts w:ascii="Arial"/>
          <w:color w:val="auto"/>
          <w:sz w:val="21"/>
        </w:rPr>
      </w:pPr>
    </w:p>
    <w:p w14:paraId="3ED36549">
      <w:pPr>
        <w:spacing w:before="92" w:line="223" w:lineRule="auto"/>
        <w:jc w:val="center"/>
        <w:rPr>
          <w:rFonts w:ascii="仿宋" w:hAnsi="仿宋" w:eastAsia="仿宋" w:cs="仿宋"/>
          <w:color w:val="auto"/>
          <w:sz w:val="28"/>
          <w:szCs w:val="28"/>
        </w:rPr>
      </w:pPr>
      <w:r>
        <w:rPr>
          <w:rFonts w:ascii="仿宋" w:hAnsi="仿宋" w:eastAsia="仿宋" w:cs="仿宋"/>
          <w:color w:val="auto"/>
          <w:spacing w:val="-2"/>
          <w:sz w:val="28"/>
          <w:szCs w:val="28"/>
        </w:rPr>
        <w:t>宜川县人民医院介入中心导管室建设项目设计图纸内</w:t>
      </w:r>
      <w:r>
        <w:rPr>
          <w:rFonts w:ascii="仿宋" w:hAnsi="仿宋" w:eastAsia="仿宋" w:cs="仿宋"/>
          <w:color w:val="auto"/>
          <w:spacing w:val="-3"/>
          <w:sz w:val="28"/>
          <w:szCs w:val="28"/>
        </w:rPr>
        <w:t>全部内容。</w:t>
      </w:r>
    </w:p>
    <w:p w14:paraId="7B2CF9EF">
      <w:pPr>
        <w:spacing w:before="156" w:line="222" w:lineRule="auto"/>
        <w:rPr>
          <w:rFonts w:ascii="仿宋" w:hAnsi="仿宋" w:eastAsia="仿宋" w:cs="仿宋"/>
          <w:color w:val="auto"/>
          <w:sz w:val="28"/>
          <w:szCs w:val="28"/>
        </w:rPr>
      </w:pPr>
      <w:r>
        <w:rPr>
          <w:rFonts w:ascii="仿宋" w:hAnsi="仿宋" w:eastAsia="仿宋" w:cs="仿宋"/>
          <w:b/>
          <w:bCs/>
          <w:color w:val="auto"/>
          <w:spacing w:val="-7"/>
          <w:sz w:val="28"/>
          <w:szCs w:val="28"/>
        </w:rPr>
        <w:t>三、编制依据</w:t>
      </w:r>
    </w:p>
    <w:p w14:paraId="2BCE34A3">
      <w:pPr>
        <w:spacing w:line="244" w:lineRule="auto"/>
        <w:rPr>
          <w:rFonts w:ascii="Arial"/>
          <w:color w:val="auto"/>
          <w:sz w:val="21"/>
        </w:rPr>
      </w:pPr>
    </w:p>
    <w:p w14:paraId="40EB75BC">
      <w:pPr>
        <w:spacing w:before="91" w:line="222" w:lineRule="auto"/>
        <w:ind w:left="603"/>
        <w:rPr>
          <w:rFonts w:ascii="仿宋" w:hAnsi="仿宋" w:eastAsia="仿宋" w:cs="仿宋"/>
          <w:color w:val="auto"/>
          <w:sz w:val="28"/>
          <w:szCs w:val="28"/>
        </w:rPr>
      </w:pPr>
      <w:r>
        <w:rPr>
          <w:rFonts w:ascii="仿宋" w:hAnsi="仿宋" w:eastAsia="仿宋" w:cs="仿宋"/>
          <w:color w:val="auto"/>
          <w:spacing w:val="-1"/>
          <w:sz w:val="28"/>
          <w:szCs w:val="28"/>
        </w:rPr>
        <w:t>1、《陕西省建设工程工程量清单计价计算标准》</w:t>
      </w:r>
      <w:r>
        <w:rPr>
          <w:rFonts w:ascii="仿宋" w:hAnsi="仿宋" w:eastAsia="仿宋" w:cs="仿宋"/>
          <w:color w:val="auto"/>
          <w:spacing w:val="-2"/>
          <w:sz w:val="28"/>
          <w:szCs w:val="28"/>
        </w:rPr>
        <w:t>（2025</w:t>
      </w:r>
      <w:r>
        <w:rPr>
          <w:rFonts w:ascii="仿宋" w:hAnsi="仿宋" w:eastAsia="仿宋" w:cs="仿宋"/>
          <w:color w:val="auto"/>
          <w:sz w:val="28"/>
          <w:szCs w:val="28"/>
        </w:rPr>
        <w:t>）；</w:t>
      </w:r>
    </w:p>
    <w:p w14:paraId="5FA6E704">
      <w:pPr>
        <w:spacing w:before="288" w:line="223" w:lineRule="auto"/>
        <w:ind w:left="586"/>
        <w:rPr>
          <w:rFonts w:ascii="仿宋" w:hAnsi="仿宋" w:eastAsia="仿宋" w:cs="仿宋"/>
          <w:color w:val="auto"/>
          <w:sz w:val="28"/>
          <w:szCs w:val="28"/>
        </w:rPr>
      </w:pPr>
      <w:r>
        <w:rPr>
          <w:rFonts w:ascii="仿宋" w:hAnsi="仿宋" w:eastAsia="仿宋" w:cs="仿宋"/>
          <w:color w:val="auto"/>
          <w:spacing w:val="-1"/>
          <w:sz w:val="28"/>
          <w:szCs w:val="28"/>
        </w:rPr>
        <w:t>2、《陕西省房屋建筑与装饰工程基价表</w:t>
      </w:r>
      <w:r>
        <w:rPr>
          <w:rFonts w:ascii="仿宋" w:hAnsi="仿宋" w:eastAsia="仿宋" w:cs="仿宋"/>
          <w:color w:val="auto"/>
          <w:spacing w:val="-60"/>
          <w:sz w:val="28"/>
          <w:szCs w:val="28"/>
        </w:rPr>
        <w:t xml:space="preserve"> </w:t>
      </w:r>
      <w:r>
        <w:rPr>
          <w:rFonts w:ascii="仿宋" w:hAnsi="仿宋" w:eastAsia="仿宋" w:cs="仿宋"/>
          <w:color w:val="auto"/>
          <w:spacing w:val="-1"/>
          <w:sz w:val="28"/>
          <w:szCs w:val="28"/>
        </w:rPr>
        <w:t>2025》；</w:t>
      </w:r>
    </w:p>
    <w:p w14:paraId="162F6316">
      <w:pPr>
        <w:spacing w:before="287" w:line="222" w:lineRule="auto"/>
        <w:ind w:left="588"/>
        <w:rPr>
          <w:rFonts w:ascii="仿宋" w:hAnsi="仿宋" w:eastAsia="仿宋" w:cs="仿宋"/>
          <w:color w:val="auto"/>
          <w:sz w:val="28"/>
          <w:szCs w:val="28"/>
        </w:rPr>
      </w:pPr>
      <w:r>
        <w:rPr>
          <w:rFonts w:ascii="仿宋" w:hAnsi="仿宋" w:eastAsia="仿宋" w:cs="仿宋"/>
          <w:color w:val="auto"/>
          <w:spacing w:val="2"/>
          <w:sz w:val="28"/>
          <w:szCs w:val="28"/>
        </w:rPr>
        <w:t>3、《陕西省房屋建筑与装饰工程消耗量定额2025》；</w:t>
      </w:r>
    </w:p>
    <w:p w14:paraId="54C0FCDA">
      <w:pPr>
        <w:spacing w:before="286" w:line="223" w:lineRule="auto"/>
        <w:ind w:left="581"/>
        <w:rPr>
          <w:rFonts w:ascii="仿宋" w:hAnsi="仿宋" w:eastAsia="仿宋" w:cs="仿宋"/>
          <w:color w:val="auto"/>
          <w:sz w:val="28"/>
          <w:szCs w:val="28"/>
        </w:rPr>
      </w:pPr>
      <w:r>
        <w:rPr>
          <w:rFonts w:ascii="仿宋" w:hAnsi="仿宋" w:eastAsia="仿宋" w:cs="仿宋"/>
          <w:color w:val="auto"/>
          <w:spacing w:val="-1"/>
          <w:sz w:val="28"/>
          <w:szCs w:val="28"/>
        </w:rPr>
        <w:t>4、《陕西省通用安装工程基价表</w:t>
      </w:r>
      <w:r>
        <w:rPr>
          <w:rFonts w:ascii="仿宋" w:hAnsi="仿宋" w:eastAsia="仿宋" w:cs="仿宋"/>
          <w:color w:val="auto"/>
          <w:spacing w:val="-59"/>
          <w:sz w:val="28"/>
          <w:szCs w:val="28"/>
        </w:rPr>
        <w:t xml:space="preserve"> </w:t>
      </w:r>
      <w:r>
        <w:rPr>
          <w:rFonts w:ascii="仿宋" w:hAnsi="仿宋" w:eastAsia="仿宋" w:cs="仿宋"/>
          <w:color w:val="auto"/>
          <w:spacing w:val="-1"/>
          <w:sz w:val="28"/>
          <w:szCs w:val="28"/>
        </w:rPr>
        <w:t>2025》；</w:t>
      </w:r>
    </w:p>
    <w:p w14:paraId="2E7ADF4B">
      <w:pPr>
        <w:spacing w:before="287" w:line="222" w:lineRule="auto"/>
        <w:ind w:left="588"/>
        <w:rPr>
          <w:rFonts w:ascii="仿宋" w:hAnsi="仿宋" w:eastAsia="仿宋" w:cs="仿宋"/>
          <w:color w:val="auto"/>
          <w:sz w:val="28"/>
          <w:szCs w:val="28"/>
        </w:rPr>
      </w:pPr>
      <w:r>
        <w:rPr>
          <w:rFonts w:ascii="仿宋" w:hAnsi="仿宋" w:eastAsia="仿宋" w:cs="仿宋"/>
          <w:color w:val="auto"/>
          <w:spacing w:val="-1"/>
          <w:sz w:val="28"/>
          <w:szCs w:val="28"/>
        </w:rPr>
        <w:t>5、《陕西省通用安装工程消耗量定额</w:t>
      </w:r>
      <w:r>
        <w:rPr>
          <w:rFonts w:ascii="仿宋" w:hAnsi="仿宋" w:eastAsia="仿宋" w:cs="仿宋"/>
          <w:color w:val="auto"/>
          <w:spacing w:val="-60"/>
          <w:sz w:val="28"/>
          <w:szCs w:val="28"/>
        </w:rPr>
        <w:t xml:space="preserve"> </w:t>
      </w:r>
      <w:r>
        <w:rPr>
          <w:rFonts w:ascii="仿宋" w:hAnsi="仿宋" w:eastAsia="仿宋" w:cs="仿宋"/>
          <w:color w:val="auto"/>
          <w:spacing w:val="-1"/>
          <w:sz w:val="28"/>
          <w:szCs w:val="28"/>
        </w:rPr>
        <w:t>20</w:t>
      </w:r>
      <w:r>
        <w:rPr>
          <w:rFonts w:ascii="仿宋" w:hAnsi="仿宋" w:eastAsia="仿宋" w:cs="仿宋"/>
          <w:color w:val="auto"/>
          <w:spacing w:val="-2"/>
          <w:sz w:val="28"/>
          <w:szCs w:val="28"/>
        </w:rPr>
        <w:t>25》；</w:t>
      </w:r>
    </w:p>
    <w:p w14:paraId="3E117266">
      <w:pPr>
        <w:spacing w:before="287" w:line="223" w:lineRule="auto"/>
        <w:ind w:left="585"/>
        <w:rPr>
          <w:rFonts w:ascii="仿宋" w:hAnsi="仿宋" w:eastAsia="仿宋" w:cs="仿宋"/>
          <w:color w:val="auto"/>
          <w:sz w:val="28"/>
          <w:szCs w:val="28"/>
        </w:rPr>
      </w:pPr>
      <w:r>
        <w:rPr>
          <w:rFonts w:ascii="仿宋" w:hAnsi="仿宋" w:eastAsia="仿宋" w:cs="仿宋"/>
          <w:color w:val="auto"/>
          <w:spacing w:val="-1"/>
          <w:sz w:val="28"/>
          <w:szCs w:val="28"/>
        </w:rPr>
        <w:t>6、宜川县人民医院介入中心导管室建设项目设计图纸；</w:t>
      </w:r>
    </w:p>
    <w:p w14:paraId="30FA83BE">
      <w:pPr>
        <w:spacing w:before="286" w:line="412" w:lineRule="auto"/>
        <w:ind w:left="31" w:right="55" w:firstLine="558"/>
        <w:rPr>
          <w:rFonts w:ascii="仿宋" w:hAnsi="仿宋" w:eastAsia="仿宋" w:cs="仿宋"/>
          <w:color w:val="auto"/>
          <w:sz w:val="28"/>
          <w:szCs w:val="28"/>
        </w:rPr>
      </w:pPr>
      <w:r>
        <w:rPr>
          <w:rFonts w:ascii="仿宋" w:hAnsi="仿宋" w:eastAsia="仿宋" w:cs="仿宋"/>
          <w:color w:val="auto"/>
          <w:spacing w:val="1"/>
          <w:sz w:val="28"/>
          <w:szCs w:val="28"/>
        </w:rPr>
        <w:t>7、与工程项目有关的造价管理文件、延安当期信息价、市场价</w:t>
      </w:r>
      <w:r>
        <w:rPr>
          <w:rFonts w:ascii="仿宋" w:hAnsi="仿宋" w:eastAsia="仿宋" w:cs="仿宋"/>
          <w:color w:val="auto"/>
          <w:spacing w:val="-9"/>
          <w:sz w:val="28"/>
          <w:szCs w:val="28"/>
        </w:rPr>
        <w:t>格。</w:t>
      </w:r>
    </w:p>
    <w:p w14:paraId="398A6D43">
      <w:pPr>
        <w:spacing w:before="91" w:line="224" w:lineRule="auto"/>
        <w:rPr>
          <w:rFonts w:ascii="仿宋" w:hAnsi="仿宋" w:eastAsia="仿宋" w:cs="仿宋"/>
          <w:color w:val="auto"/>
          <w:sz w:val="28"/>
          <w:szCs w:val="28"/>
        </w:rPr>
      </w:pPr>
      <w:r>
        <w:rPr>
          <w:rFonts w:ascii="仿宋" w:hAnsi="仿宋" w:eastAsia="仿宋" w:cs="仿宋"/>
          <w:b/>
          <w:bCs/>
          <w:color w:val="auto"/>
          <w:spacing w:val="-11"/>
          <w:sz w:val="28"/>
          <w:szCs w:val="28"/>
        </w:rPr>
        <w:t>四、专业说明</w:t>
      </w:r>
    </w:p>
    <w:p w14:paraId="3161C199">
      <w:pPr>
        <w:spacing w:line="241" w:lineRule="auto"/>
        <w:rPr>
          <w:rFonts w:ascii="Arial"/>
          <w:color w:val="auto"/>
          <w:sz w:val="21"/>
        </w:rPr>
      </w:pPr>
    </w:p>
    <w:p w14:paraId="513D2201">
      <w:pPr>
        <w:spacing w:before="91" w:line="222" w:lineRule="auto"/>
        <w:ind w:left="683"/>
        <w:rPr>
          <w:rFonts w:ascii="仿宋" w:hAnsi="仿宋" w:eastAsia="仿宋" w:cs="仿宋"/>
          <w:color w:val="auto"/>
          <w:sz w:val="28"/>
          <w:szCs w:val="28"/>
        </w:rPr>
      </w:pPr>
      <w:r>
        <w:rPr>
          <w:rFonts w:ascii="仿宋" w:hAnsi="仿宋" w:eastAsia="仿宋" w:cs="仿宋"/>
          <w:color w:val="auto"/>
          <w:spacing w:val="-4"/>
          <w:sz w:val="28"/>
          <w:szCs w:val="28"/>
        </w:rPr>
        <w:t>1、垃圾外运暂按</w:t>
      </w:r>
      <w:r>
        <w:rPr>
          <w:rFonts w:ascii="仿宋" w:hAnsi="仿宋" w:eastAsia="仿宋" w:cs="仿宋"/>
          <w:color w:val="auto"/>
          <w:spacing w:val="-34"/>
          <w:sz w:val="28"/>
          <w:szCs w:val="28"/>
        </w:rPr>
        <w:t xml:space="preserve"> </w:t>
      </w:r>
      <w:r>
        <w:rPr>
          <w:rFonts w:ascii="仿宋" w:hAnsi="仿宋" w:eastAsia="仿宋" w:cs="仿宋"/>
          <w:color w:val="auto"/>
          <w:spacing w:val="-4"/>
          <w:sz w:val="28"/>
          <w:szCs w:val="28"/>
        </w:rPr>
        <w:t>10km</w:t>
      </w:r>
      <w:r>
        <w:rPr>
          <w:rFonts w:ascii="仿宋" w:hAnsi="仿宋" w:eastAsia="仿宋" w:cs="仿宋"/>
          <w:color w:val="auto"/>
          <w:spacing w:val="-52"/>
          <w:sz w:val="28"/>
          <w:szCs w:val="28"/>
        </w:rPr>
        <w:t xml:space="preserve"> </w:t>
      </w:r>
      <w:r>
        <w:rPr>
          <w:rFonts w:ascii="仿宋" w:hAnsi="仿宋" w:eastAsia="仿宋" w:cs="仿宋"/>
          <w:color w:val="auto"/>
          <w:spacing w:val="-4"/>
          <w:sz w:val="28"/>
          <w:szCs w:val="28"/>
        </w:rPr>
        <w:t>考虑，结算按实调整；</w:t>
      </w:r>
    </w:p>
    <w:p w14:paraId="041AB808">
      <w:pPr>
        <w:spacing w:before="288" w:line="411" w:lineRule="auto"/>
        <w:ind w:left="38" w:right="13" w:firstLine="627"/>
        <w:rPr>
          <w:rFonts w:ascii="仿宋" w:hAnsi="仿宋" w:eastAsia="仿宋" w:cs="仿宋"/>
          <w:color w:val="auto"/>
          <w:sz w:val="28"/>
          <w:szCs w:val="28"/>
        </w:rPr>
      </w:pPr>
      <w:r>
        <w:rPr>
          <w:rFonts w:ascii="仿宋" w:hAnsi="仿宋" w:eastAsia="仿宋" w:cs="仿宋"/>
          <w:color w:val="auto"/>
          <w:sz w:val="28"/>
          <w:szCs w:val="28"/>
        </w:rPr>
        <w:t>2、垃圾出楼倒运费用暂按3000</w:t>
      </w:r>
      <w:r>
        <w:rPr>
          <w:rFonts w:ascii="仿宋" w:hAnsi="仿宋" w:eastAsia="仿宋" w:cs="仿宋"/>
          <w:color w:val="auto"/>
          <w:spacing w:val="-47"/>
          <w:sz w:val="28"/>
          <w:szCs w:val="28"/>
        </w:rPr>
        <w:t xml:space="preserve"> </w:t>
      </w:r>
      <w:r>
        <w:rPr>
          <w:rFonts w:ascii="仿宋" w:hAnsi="仿宋" w:eastAsia="仿宋" w:cs="仿宋"/>
          <w:color w:val="auto"/>
          <w:sz w:val="28"/>
          <w:szCs w:val="28"/>
        </w:rPr>
        <w:t>元/项计入其他项目费，结算按</w:t>
      </w:r>
      <w:r>
        <w:rPr>
          <w:rFonts w:ascii="仿宋" w:hAnsi="仿宋" w:eastAsia="仿宋" w:cs="仿宋"/>
          <w:color w:val="auto"/>
          <w:spacing w:val="-6"/>
          <w:sz w:val="28"/>
          <w:szCs w:val="28"/>
        </w:rPr>
        <w:t>实调整；</w:t>
      </w:r>
    </w:p>
    <w:p w14:paraId="7565ABA8">
      <w:pPr>
        <w:spacing w:line="221" w:lineRule="auto"/>
        <w:ind w:left="667"/>
        <w:rPr>
          <w:rFonts w:ascii="仿宋" w:hAnsi="仿宋" w:eastAsia="仿宋" w:cs="仿宋"/>
          <w:color w:val="auto"/>
          <w:sz w:val="28"/>
          <w:szCs w:val="28"/>
        </w:rPr>
      </w:pPr>
      <w:r>
        <w:rPr>
          <w:rFonts w:ascii="仿宋" w:hAnsi="仿宋" w:eastAsia="仿宋" w:cs="仿宋"/>
          <w:color w:val="auto"/>
          <w:spacing w:val="-1"/>
          <w:sz w:val="28"/>
          <w:szCs w:val="28"/>
        </w:rPr>
        <w:t>3、其他未说明之处以清单描述为准；</w:t>
      </w:r>
    </w:p>
    <w:p w14:paraId="3354EF6A">
      <w:pPr>
        <w:spacing w:before="288" w:line="222" w:lineRule="auto"/>
        <w:rPr>
          <w:rFonts w:ascii="仿宋" w:hAnsi="仿宋" w:eastAsia="仿宋" w:cs="仿宋"/>
          <w:color w:val="auto"/>
          <w:sz w:val="28"/>
          <w:szCs w:val="28"/>
        </w:rPr>
      </w:pPr>
      <w:r>
        <w:rPr>
          <w:rFonts w:ascii="仿宋" w:hAnsi="仿宋" w:eastAsia="仿宋" w:cs="仿宋"/>
          <w:b/>
          <w:bCs/>
          <w:color w:val="auto"/>
          <w:spacing w:val="-5"/>
          <w:sz w:val="28"/>
          <w:szCs w:val="28"/>
        </w:rPr>
        <w:t>五、版本号及其他</w:t>
      </w:r>
    </w:p>
    <w:p w14:paraId="2D083299">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240" w:lineRule="auto"/>
        <w:ind w:leftChars="0"/>
        <w:rPr>
          <w:rFonts w:hint="eastAsia" w:ascii="仿宋" w:hAnsi="仿宋" w:eastAsia="仿宋" w:cs="仿宋"/>
          <w:b/>
          <w:bCs/>
          <w:color w:val="auto"/>
          <w:sz w:val="24"/>
          <w:szCs w:val="24"/>
          <w:lang w:val="en-US" w:eastAsia="zh-CN"/>
        </w:rPr>
      </w:pPr>
      <w:r>
        <w:rPr>
          <w:rFonts w:ascii="仿宋" w:hAnsi="仿宋" w:eastAsia="仿宋" w:cs="仿宋"/>
          <w:color w:val="auto"/>
          <w:spacing w:val="-2"/>
          <w:sz w:val="28"/>
          <w:szCs w:val="28"/>
        </w:rPr>
        <w:t>软件版本号广联达</w:t>
      </w:r>
      <w:r>
        <w:rPr>
          <w:rFonts w:ascii="仿宋" w:hAnsi="仿宋" w:eastAsia="仿宋" w:cs="仿宋"/>
          <w:color w:val="auto"/>
          <w:spacing w:val="-54"/>
          <w:sz w:val="28"/>
          <w:szCs w:val="28"/>
        </w:rPr>
        <w:t xml:space="preserve"> </w:t>
      </w:r>
      <w:r>
        <w:rPr>
          <w:rFonts w:ascii="仿宋" w:hAnsi="仿宋" w:eastAsia="仿宋" w:cs="仿宋"/>
          <w:color w:val="auto"/>
          <w:spacing w:val="-2"/>
          <w:sz w:val="28"/>
          <w:szCs w:val="28"/>
        </w:rPr>
        <w:t>7.5000.23</w:t>
      </w:r>
      <w:r>
        <w:rPr>
          <w:rFonts w:ascii="仿宋" w:hAnsi="仿宋" w:eastAsia="仿宋" w:cs="仿宋"/>
          <w:color w:val="auto"/>
          <w:spacing w:val="-3"/>
          <w:sz w:val="28"/>
          <w:szCs w:val="28"/>
        </w:rPr>
        <w:t>.2。</w:t>
      </w:r>
    </w:p>
    <w:p w14:paraId="7249C97E">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240" w:lineRule="auto"/>
        <w:ind w:leftChars="0"/>
        <w:rPr>
          <w:rFonts w:hint="eastAsia" w:ascii="仿宋" w:hAnsi="仿宋" w:eastAsia="仿宋" w:cs="仿宋"/>
          <w:b/>
          <w:bCs/>
          <w:color w:val="auto"/>
          <w:spacing w:val="-5"/>
          <w:sz w:val="28"/>
          <w:szCs w:val="28"/>
          <w:lang w:val="en-US" w:eastAsia="zh-CN"/>
        </w:rPr>
      </w:pPr>
      <w:r>
        <w:rPr>
          <w:rFonts w:hint="eastAsia" w:ascii="仿宋" w:hAnsi="仿宋" w:eastAsia="仿宋" w:cs="仿宋"/>
          <w:b/>
          <w:bCs/>
          <w:color w:val="auto"/>
          <w:spacing w:val="-5"/>
          <w:sz w:val="28"/>
          <w:szCs w:val="28"/>
          <w:lang w:val="en-US" w:eastAsia="zh-CN"/>
        </w:rPr>
        <w:t>六、工期要求</w:t>
      </w:r>
    </w:p>
    <w:p w14:paraId="739A2FB2">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240" w:lineRule="auto"/>
        <w:ind w:leftChars="0"/>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本项目工期40日历天。</w:t>
      </w:r>
    </w:p>
    <w:p w14:paraId="68A22746">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240" w:lineRule="auto"/>
        <w:ind w:leftChars="0"/>
        <w:rPr>
          <w:rFonts w:hint="default" w:ascii="仿宋" w:hAnsi="仿宋" w:eastAsia="仿宋" w:cs="仿宋"/>
          <w:b/>
          <w:bCs/>
          <w:color w:val="auto"/>
          <w:spacing w:val="-2"/>
          <w:sz w:val="28"/>
          <w:szCs w:val="28"/>
          <w:lang w:val="en-US" w:eastAsia="zh-CN"/>
        </w:rPr>
      </w:pPr>
      <w:r>
        <w:rPr>
          <w:rFonts w:hint="eastAsia" w:ascii="仿宋" w:hAnsi="仿宋" w:eastAsia="仿宋" w:cs="仿宋"/>
          <w:b/>
          <w:bCs/>
          <w:color w:val="auto"/>
          <w:spacing w:val="-2"/>
          <w:sz w:val="28"/>
          <w:szCs w:val="28"/>
          <w:lang w:val="en-US" w:eastAsia="zh-CN"/>
        </w:rPr>
        <w:t>七、电子招标书和图纸见附件。</w:t>
      </w:r>
    </w:p>
    <w:p w14:paraId="26A731A9">
      <w:pPr>
        <w:pStyle w:val="2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hAnsi="仿宋_GB2312" w:eastAsia="仿宋_GB2312" w:cs="仿宋_GB2312"/>
          <w:color w:val="auto"/>
          <w:sz w:val="24"/>
          <w:highlight w:val="none"/>
        </w:rPr>
      </w:pPr>
    </w:p>
    <w:p w14:paraId="36CDDE63">
      <w:pPr>
        <w:pStyle w:val="22"/>
        <w:rPr>
          <w:rFonts w:ascii="仿宋_GB2312" w:hAnsi="仿宋_GB2312" w:eastAsia="仿宋_GB2312" w:cs="仿宋_GB2312"/>
          <w:color w:val="auto"/>
          <w:sz w:val="24"/>
          <w:highlight w:val="none"/>
        </w:rPr>
      </w:pPr>
    </w:p>
    <w:p w14:paraId="72A85D1F">
      <w:pPr>
        <w:pStyle w:val="22"/>
        <w:rPr>
          <w:rFonts w:ascii="仿宋_GB2312" w:hAnsi="仿宋_GB2312" w:eastAsia="仿宋_GB2312" w:cs="仿宋_GB2312"/>
          <w:color w:val="auto"/>
          <w:sz w:val="24"/>
          <w:highlight w:val="none"/>
        </w:rPr>
      </w:pPr>
    </w:p>
    <w:bookmarkEnd w:id="457"/>
    <w:bookmarkEnd w:id="458"/>
    <w:bookmarkEnd w:id="459"/>
    <w:p w14:paraId="771BCE74">
      <w:pPr>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2968C341">
      <w:pPr>
        <w:pStyle w:val="46"/>
        <w:numPr>
          <w:ilvl w:val="0"/>
          <w:numId w:val="16"/>
        </w:numPr>
        <w:rPr>
          <w:rFonts w:ascii="仿宋_GB2312" w:hAnsi="仿宋_GB2312" w:eastAsia="仿宋_GB2312" w:cs="仿宋_GB2312"/>
          <w:color w:val="auto"/>
        </w:rPr>
      </w:pPr>
      <w:r>
        <w:rPr>
          <w:rFonts w:hint="eastAsia" w:ascii="仿宋_GB2312" w:hAnsi="仿宋_GB2312" w:eastAsia="仿宋_GB2312" w:cs="仿宋_GB2312"/>
          <w:color w:val="auto"/>
        </w:rPr>
        <w:t xml:space="preserve"> </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52"/>
      <w:bookmarkEnd w:id="453"/>
      <w:bookmarkEnd w:id="454"/>
      <w:bookmarkEnd w:id="455"/>
      <w:bookmarkEnd w:id="456"/>
      <w:bookmarkStart w:id="460" w:name="_Toc26286"/>
      <w:bookmarkStart w:id="461" w:name="_Toc18979"/>
      <w:r>
        <w:rPr>
          <w:rFonts w:hint="eastAsia" w:ascii="仿宋_GB2312" w:hAnsi="仿宋_GB2312" w:eastAsia="仿宋_GB2312" w:cs="仿宋_GB2312"/>
          <w:color w:val="auto"/>
        </w:rPr>
        <w:t>磋商响应文件格式</w:t>
      </w:r>
      <w:bookmarkEnd w:id="460"/>
    </w:p>
    <w:p w14:paraId="6F2502E0">
      <w:pPr>
        <w:rPr>
          <w:color w:val="auto"/>
        </w:rPr>
      </w:pPr>
    </w:p>
    <w:p w14:paraId="1603E1B1">
      <w:pPr>
        <w:autoSpaceDE w:val="0"/>
        <w:autoSpaceDN w:val="0"/>
        <w:adjustRightInd w:val="0"/>
        <w:snapToGrid w:val="0"/>
        <w:spacing w:line="360" w:lineRule="auto"/>
        <w:jc w:val="righ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正本/副本</w:t>
      </w:r>
    </w:p>
    <w:p w14:paraId="23F25DE4">
      <w:pPr>
        <w:autoSpaceDE w:val="0"/>
        <w:autoSpaceDN w:val="0"/>
        <w:adjustRightInd w:val="0"/>
        <w:snapToGrid w:val="0"/>
        <w:spacing w:line="360" w:lineRule="auto"/>
        <w:jc w:val="left"/>
        <w:rPr>
          <w:rFonts w:ascii="仿宋" w:hAnsi="仿宋" w:eastAsia="仿宋" w:cs="仿宋"/>
          <w:b/>
          <w:bCs/>
          <w:color w:val="auto"/>
          <w:sz w:val="32"/>
          <w:szCs w:val="32"/>
          <w:lang w:val="zh-CN"/>
        </w:rPr>
      </w:pPr>
    </w:p>
    <w:p w14:paraId="2C7AD051">
      <w:pPr>
        <w:autoSpaceDE w:val="0"/>
        <w:autoSpaceDN w:val="0"/>
        <w:adjustRightInd w:val="0"/>
        <w:snapToGrid w:val="0"/>
        <w:spacing w:line="360" w:lineRule="auto"/>
        <w:jc w:val="lef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政府采购项目</w:t>
      </w:r>
    </w:p>
    <w:p w14:paraId="19F3684B">
      <w:pPr>
        <w:autoSpaceDE w:val="0"/>
        <w:autoSpaceDN w:val="0"/>
        <w:adjustRightInd w:val="0"/>
        <w:snapToGrid w:val="0"/>
        <w:spacing w:line="360" w:lineRule="auto"/>
        <w:jc w:val="lef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采购项目编号：</w:t>
      </w:r>
      <w:r>
        <w:rPr>
          <w:rFonts w:hint="eastAsia" w:ascii="仿宋" w:hAnsi="仿宋" w:eastAsia="仿宋" w:cs="仿宋"/>
          <w:b/>
          <w:bCs/>
          <w:color w:val="auto"/>
          <w:sz w:val="32"/>
          <w:szCs w:val="32"/>
          <w:lang w:eastAsia="zh-CN"/>
        </w:rPr>
        <w:t>SCZD2025-CS-0740-001</w:t>
      </w:r>
      <w:r>
        <w:rPr>
          <w:rFonts w:hint="eastAsia" w:ascii="仿宋" w:hAnsi="仿宋" w:eastAsia="仿宋" w:cs="仿宋"/>
          <w:b/>
          <w:bCs/>
          <w:color w:val="auto"/>
          <w:sz w:val="32"/>
          <w:szCs w:val="32"/>
        </w:rPr>
        <w:t xml:space="preserve">    </w:t>
      </w:r>
      <w:r>
        <w:rPr>
          <w:rFonts w:hint="eastAsia" w:ascii="仿宋" w:hAnsi="仿宋" w:eastAsia="仿宋" w:cs="仿宋"/>
          <w:b/>
          <w:bCs/>
          <w:color w:val="auto"/>
          <w:sz w:val="32"/>
          <w:szCs w:val="32"/>
          <w:lang w:val="en-GB"/>
        </w:rPr>
        <w:t xml:space="preserve">  </w:t>
      </w:r>
    </w:p>
    <w:p w14:paraId="6C7D63D3">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05146B1C">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36E6FA31">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03E49F9D">
      <w:pPr>
        <w:tabs>
          <w:tab w:val="left" w:pos="5670"/>
        </w:tabs>
        <w:autoSpaceDE w:val="0"/>
        <w:autoSpaceDN w:val="0"/>
        <w:adjustRightInd w:val="0"/>
        <w:snapToGrid w:val="0"/>
        <w:spacing w:line="360" w:lineRule="auto"/>
        <w:jc w:val="center"/>
        <w:rPr>
          <w:rFonts w:ascii="仿宋" w:hAnsi="仿宋" w:eastAsia="仿宋" w:cs="仿宋"/>
          <w:b/>
          <w:bCs/>
          <w:color w:val="auto"/>
          <w:sz w:val="36"/>
          <w:szCs w:val="36"/>
        </w:rPr>
      </w:pPr>
      <w:r>
        <w:rPr>
          <w:rFonts w:hint="default" w:ascii="仿宋" w:hAnsi="仿宋" w:eastAsia="仿宋" w:cs="仿宋"/>
          <w:b/>
          <w:bCs/>
          <w:color w:val="auto"/>
          <w:sz w:val="52"/>
          <w:szCs w:val="52"/>
          <w:lang w:val="en-US" w:eastAsia="zh-CN"/>
        </w:rPr>
        <w:t>宜川县人民医院介入中心导管室建设采购项目</w:t>
      </w:r>
      <w:r>
        <w:rPr>
          <w:rFonts w:hint="eastAsia" w:ascii="仿宋" w:hAnsi="仿宋" w:eastAsia="仿宋" w:cs="仿宋"/>
          <w:b/>
          <w:bCs/>
          <w:color w:val="auto"/>
          <w:sz w:val="44"/>
          <w:szCs w:val="44"/>
        </w:rPr>
        <w:t xml:space="preserve">  </w:t>
      </w:r>
    </w:p>
    <w:p w14:paraId="1E3B3673">
      <w:pPr>
        <w:tabs>
          <w:tab w:val="left" w:pos="5670"/>
        </w:tabs>
        <w:autoSpaceDE w:val="0"/>
        <w:autoSpaceDN w:val="0"/>
        <w:adjustRightInd w:val="0"/>
        <w:snapToGrid w:val="0"/>
        <w:spacing w:line="360" w:lineRule="auto"/>
        <w:jc w:val="center"/>
        <w:rPr>
          <w:rFonts w:ascii="仿宋" w:hAnsi="仿宋" w:eastAsia="仿宋" w:cs="仿宋"/>
          <w:b/>
          <w:bCs/>
          <w:color w:val="auto"/>
          <w:sz w:val="52"/>
          <w:szCs w:val="52"/>
          <w:lang w:val="zh-CN"/>
        </w:rPr>
      </w:pPr>
    </w:p>
    <w:p w14:paraId="5DFB4A4B">
      <w:pPr>
        <w:tabs>
          <w:tab w:val="left" w:pos="5670"/>
        </w:tabs>
        <w:autoSpaceDE w:val="0"/>
        <w:autoSpaceDN w:val="0"/>
        <w:adjustRightInd w:val="0"/>
        <w:snapToGrid w:val="0"/>
        <w:spacing w:line="360" w:lineRule="auto"/>
        <w:jc w:val="center"/>
        <w:rPr>
          <w:rFonts w:ascii="仿宋" w:hAnsi="仿宋" w:eastAsia="仿宋" w:cs="仿宋"/>
          <w:b/>
          <w:bCs/>
          <w:color w:val="auto"/>
          <w:sz w:val="52"/>
          <w:szCs w:val="52"/>
          <w:lang w:val="zh-CN"/>
        </w:rPr>
      </w:pPr>
      <w:r>
        <w:rPr>
          <w:rFonts w:hint="eastAsia" w:ascii="仿宋" w:hAnsi="仿宋" w:eastAsia="仿宋" w:cs="仿宋"/>
          <w:b/>
          <w:bCs/>
          <w:color w:val="auto"/>
          <w:sz w:val="52"/>
          <w:szCs w:val="52"/>
          <w:lang w:val="zh-CN"/>
        </w:rPr>
        <w:t>竞争性磋商响应文件</w:t>
      </w:r>
    </w:p>
    <w:p w14:paraId="04306796">
      <w:pPr>
        <w:autoSpaceDE w:val="0"/>
        <w:autoSpaceDN w:val="0"/>
        <w:adjustRightInd w:val="0"/>
        <w:snapToGrid w:val="0"/>
        <w:spacing w:line="360" w:lineRule="auto"/>
        <w:jc w:val="center"/>
        <w:rPr>
          <w:rFonts w:ascii="仿宋" w:hAnsi="仿宋" w:eastAsia="仿宋" w:cs="仿宋"/>
          <w:color w:val="auto"/>
          <w:sz w:val="42"/>
          <w:szCs w:val="42"/>
        </w:rPr>
      </w:pPr>
    </w:p>
    <w:p w14:paraId="0D1FC779">
      <w:pPr>
        <w:autoSpaceDE w:val="0"/>
        <w:autoSpaceDN w:val="0"/>
        <w:adjustRightInd w:val="0"/>
        <w:snapToGrid w:val="0"/>
        <w:spacing w:line="360" w:lineRule="auto"/>
        <w:rPr>
          <w:rFonts w:ascii="仿宋" w:hAnsi="仿宋" w:eastAsia="仿宋" w:cs="仿宋"/>
          <w:color w:val="auto"/>
          <w:sz w:val="30"/>
          <w:szCs w:val="30"/>
          <w:u w:val="single"/>
        </w:rPr>
      </w:pPr>
      <w:r>
        <w:rPr>
          <w:rFonts w:hint="eastAsia" w:ascii="仿宋" w:hAnsi="仿宋" w:eastAsia="仿宋" w:cs="仿宋"/>
          <w:color w:val="auto"/>
          <w:sz w:val="30"/>
          <w:szCs w:val="30"/>
        </w:rPr>
        <w:t xml:space="preserve">              </w:t>
      </w:r>
    </w:p>
    <w:p w14:paraId="506D8176">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供应商：</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（盖单位章）</w:t>
      </w:r>
    </w:p>
    <w:p w14:paraId="1CF5EE5B">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p>
    <w:p w14:paraId="23350BD2">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法定代表人或其授权代理人：</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（签字）</w:t>
      </w:r>
    </w:p>
    <w:p w14:paraId="25280840">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p>
    <w:p w14:paraId="47E4FE10">
      <w:pPr>
        <w:autoSpaceDE w:val="0"/>
        <w:autoSpaceDN w:val="0"/>
        <w:adjustRightInd w:val="0"/>
        <w:spacing w:line="360" w:lineRule="auto"/>
        <w:ind w:firstLine="2530" w:firstLineChars="9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 xml:space="preserve">年 </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月</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日</w:t>
      </w:r>
    </w:p>
    <w:p w14:paraId="6FC828C2">
      <w:pPr>
        <w:keepNext w:val="0"/>
        <w:keepLines w:val="0"/>
        <w:pageBreakBefore w:val="0"/>
        <w:widowControl w:val="0"/>
        <w:tabs>
          <w:tab w:val="left" w:pos="3780"/>
        </w:tabs>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36"/>
          <w:szCs w:val="36"/>
        </w:rPr>
      </w:pPr>
    </w:p>
    <w:p w14:paraId="165D499B">
      <w:pPr>
        <w:rPr>
          <w:rFonts w:hint="eastAsia" w:ascii="仿宋" w:hAnsi="仿宋" w:eastAsia="仿宋" w:cs="仿宋"/>
          <w:b/>
          <w:bCs/>
          <w:color w:val="auto"/>
          <w:sz w:val="36"/>
          <w:szCs w:val="36"/>
        </w:rPr>
      </w:pPr>
      <w:r>
        <w:rPr>
          <w:rFonts w:hint="eastAsia" w:ascii="仿宋" w:hAnsi="仿宋" w:eastAsia="仿宋" w:cs="仿宋"/>
          <w:b/>
          <w:bCs/>
          <w:color w:val="auto"/>
          <w:sz w:val="36"/>
          <w:szCs w:val="36"/>
        </w:rPr>
        <w:br w:type="page"/>
      </w:r>
    </w:p>
    <w:p w14:paraId="301DE4FD">
      <w:pPr>
        <w:keepNext w:val="0"/>
        <w:keepLines w:val="0"/>
        <w:pageBreakBefore w:val="0"/>
        <w:widowControl w:val="0"/>
        <w:tabs>
          <w:tab w:val="left" w:pos="3780"/>
        </w:tabs>
        <w:kinsoku/>
        <w:wordWrap/>
        <w:overflowPunct/>
        <w:topLinePunct w:val="0"/>
        <w:autoSpaceDE/>
        <w:autoSpaceDN/>
        <w:bidi w:val="0"/>
        <w:adjustRightInd/>
        <w:snapToGrid/>
        <w:jc w:val="center"/>
        <w:textAlignment w:val="auto"/>
        <w:outlineLvl w:val="9"/>
        <w:rPr>
          <w:rFonts w:ascii="仿宋" w:hAnsi="仿宋" w:eastAsia="仿宋" w:cs="仿宋"/>
          <w:b/>
          <w:bCs/>
          <w:color w:val="auto"/>
          <w:sz w:val="36"/>
          <w:szCs w:val="36"/>
        </w:rPr>
      </w:pPr>
      <w:r>
        <w:rPr>
          <w:rFonts w:hint="eastAsia" w:ascii="仿宋" w:hAnsi="仿宋" w:eastAsia="仿宋" w:cs="仿宋"/>
          <w:b/>
          <w:bCs/>
          <w:color w:val="auto"/>
          <w:sz w:val="36"/>
          <w:szCs w:val="36"/>
        </w:rPr>
        <w:t>目录</w:t>
      </w:r>
    </w:p>
    <w:p w14:paraId="7CEADD8A">
      <w:pPr>
        <w:autoSpaceDE w:val="0"/>
        <w:autoSpaceDN w:val="0"/>
        <w:adjustRightInd w:val="0"/>
        <w:snapToGrid w:val="0"/>
        <w:spacing w:line="360" w:lineRule="auto"/>
        <w:ind w:firstLine="2249" w:firstLineChars="800"/>
        <w:rPr>
          <w:rFonts w:ascii="仿宋" w:hAnsi="仿宋" w:eastAsia="仿宋"/>
          <w:b/>
          <w:bCs/>
          <w:color w:val="auto"/>
          <w:sz w:val="28"/>
          <w:szCs w:val="28"/>
          <w:lang w:val="zh-CN"/>
        </w:rPr>
      </w:pPr>
    </w:p>
    <w:p w14:paraId="15216278">
      <w:pPr>
        <w:autoSpaceDE w:val="0"/>
        <w:autoSpaceDN w:val="0"/>
        <w:adjustRightInd w:val="0"/>
        <w:snapToGrid w:val="0"/>
        <w:spacing w:line="360" w:lineRule="auto"/>
        <w:ind w:firstLine="2249" w:firstLineChars="800"/>
        <w:rPr>
          <w:rFonts w:ascii="仿宋" w:hAnsi="仿宋" w:eastAsia="仿宋"/>
          <w:b/>
          <w:bCs/>
          <w:color w:val="auto"/>
          <w:sz w:val="28"/>
          <w:szCs w:val="28"/>
          <w:lang w:val="zh-CN"/>
        </w:rPr>
      </w:pPr>
      <w:r>
        <w:rPr>
          <w:rFonts w:ascii="仿宋" w:hAnsi="仿宋" w:eastAsia="仿宋"/>
          <w:b/>
          <w:bCs/>
          <w:color w:val="auto"/>
          <w:sz w:val="28"/>
          <w:szCs w:val="28"/>
          <w:lang w:val="zh-CN"/>
        </w:rPr>
        <w:t>第一部分：</w:t>
      </w:r>
      <w:r>
        <w:rPr>
          <w:rFonts w:hint="eastAsia" w:ascii="仿宋" w:hAnsi="仿宋" w:eastAsia="仿宋"/>
          <w:b/>
          <w:bCs/>
          <w:color w:val="auto"/>
          <w:sz w:val="28"/>
          <w:szCs w:val="28"/>
          <w:lang w:val="zh-CN"/>
        </w:rPr>
        <w:t>资格证明文件</w:t>
      </w:r>
    </w:p>
    <w:p w14:paraId="73C25171">
      <w:pPr>
        <w:pStyle w:val="22"/>
        <w:ind w:firstLine="3795" w:firstLineChars="1800"/>
        <w:rPr>
          <w:rFonts w:hint="eastAsia" w:ascii="仿宋" w:hAnsi="仿宋" w:eastAsia="仿宋"/>
          <w:b/>
          <w:bCs/>
          <w:color w:val="auto"/>
          <w:szCs w:val="28"/>
        </w:rPr>
      </w:pPr>
      <w:r>
        <w:rPr>
          <w:rFonts w:hint="eastAsia" w:ascii="仿宋" w:hAnsi="仿宋" w:eastAsia="仿宋"/>
          <w:b/>
          <w:bCs/>
          <w:color w:val="auto"/>
          <w:szCs w:val="28"/>
        </w:rPr>
        <w:t>基本资格条件</w:t>
      </w:r>
    </w:p>
    <w:p w14:paraId="24CDA105">
      <w:pPr>
        <w:pStyle w:val="22"/>
        <w:ind w:firstLine="3795" w:firstLineChars="1800"/>
        <w:rPr>
          <w:rFonts w:hint="eastAsia" w:ascii="仿宋" w:hAnsi="仿宋" w:eastAsia="仿宋" w:cs="仿宋"/>
          <w:b/>
          <w:bCs/>
          <w:color w:val="auto"/>
          <w:szCs w:val="28"/>
        </w:rPr>
      </w:pPr>
      <w:r>
        <w:rPr>
          <w:rFonts w:hint="eastAsia" w:ascii="仿宋" w:hAnsi="仿宋" w:eastAsia="仿宋" w:cs="仿宋"/>
          <w:b/>
          <w:bCs/>
          <w:color w:val="auto"/>
          <w:szCs w:val="28"/>
        </w:rPr>
        <w:t>政府采购政策资格要求</w:t>
      </w:r>
    </w:p>
    <w:p w14:paraId="43CAA2B0">
      <w:pPr>
        <w:pStyle w:val="22"/>
        <w:ind w:firstLine="3795" w:firstLineChars="1800"/>
        <w:rPr>
          <w:rFonts w:ascii="仿宋" w:hAnsi="仿宋" w:eastAsia="仿宋"/>
          <w:b/>
          <w:bCs/>
          <w:color w:val="auto"/>
          <w:szCs w:val="28"/>
        </w:rPr>
      </w:pPr>
      <w:r>
        <w:rPr>
          <w:rFonts w:hint="eastAsia" w:ascii="仿宋" w:hAnsi="仿宋" w:eastAsia="仿宋"/>
          <w:b/>
          <w:bCs/>
          <w:color w:val="auto"/>
          <w:szCs w:val="28"/>
        </w:rPr>
        <w:t xml:space="preserve">特定资格条件  </w:t>
      </w:r>
    </w:p>
    <w:p w14:paraId="35E89BB2">
      <w:pPr>
        <w:autoSpaceDE w:val="0"/>
        <w:autoSpaceDN w:val="0"/>
        <w:adjustRightInd w:val="0"/>
        <w:snapToGrid w:val="0"/>
        <w:spacing w:line="360" w:lineRule="auto"/>
        <w:ind w:firstLine="2249" w:firstLineChars="800"/>
        <w:rPr>
          <w:rFonts w:ascii="仿宋" w:hAnsi="仿宋" w:eastAsia="仿宋"/>
          <w:b/>
          <w:bCs/>
          <w:color w:val="auto"/>
          <w:sz w:val="28"/>
          <w:szCs w:val="28"/>
          <w:lang w:val="zh-CN"/>
        </w:rPr>
      </w:pPr>
    </w:p>
    <w:p w14:paraId="4C7E8FC3">
      <w:pPr>
        <w:autoSpaceDE w:val="0"/>
        <w:autoSpaceDN w:val="0"/>
        <w:adjustRightInd w:val="0"/>
        <w:snapToGrid w:val="0"/>
        <w:spacing w:line="360" w:lineRule="auto"/>
        <w:ind w:firstLine="2249" w:firstLineChars="800"/>
        <w:rPr>
          <w:rFonts w:ascii="仿宋" w:hAnsi="仿宋" w:eastAsia="仿宋"/>
          <w:b/>
          <w:bCs/>
          <w:color w:val="auto"/>
          <w:sz w:val="28"/>
          <w:szCs w:val="28"/>
          <w:lang w:val="zh-CN"/>
        </w:rPr>
      </w:pPr>
      <w:r>
        <w:rPr>
          <w:rFonts w:ascii="仿宋" w:hAnsi="仿宋" w:eastAsia="仿宋"/>
          <w:b/>
          <w:bCs/>
          <w:color w:val="auto"/>
          <w:sz w:val="28"/>
          <w:szCs w:val="28"/>
          <w:lang w:val="zh-CN"/>
        </w:rPr>
        <w:t>第二部分：</w:t>
      </w:r>
      <w:r>
        <w:rPr>
          <w:rFonts w:hint="eastAsia" w:ascii="仿宋" w:hAnsi="仿宋" w:eastAsia="仿宋"/>
          <w:b/>
          <w:bCs/>
          <w:color w:val="auto"/>
          <w:sz w:val="28"/>
          <w:szCs w:val="28"/>
          <w:lang w:val="zh-CN"/>
        </w:rPr>
        <w:t>符合性证明文件</w:t>
      </w:r>
    </w:p>
    <w:p w14:paraId="390B5681">
      <w:pPr>
        <w:pStyle w:val="22"/>
        <w:ind w:firstLine="3795" w:firstLineChars="1800"/>
        <w:rPr>
          <w:rFonts w:ascii="仿宋" w:hAnsi="仿宋" w:eastAsia="仿宋"/>
          <w:b/>
          <w:bCs/>
          <w:color w:val="auto"/>
          <w:szCs w:val="28"/>
        </w:rPr>
      </w:pPr>
      <w:r>
        <w:rPr>
          <w:rFonts w:hint="eastAsia" w:ascii="仿宋" w:hAnsi="仿宋" w:eastAsia="仿宋"/>
          <w:b/>
          <w:bCs/>
          <w:color w:val="auto"/>
          <w:szCs w:val="28"/>
        </w:rPr>
        <w:t xml:space="preserve">响应函 </w:t>
      </w:r>
    </w:p>
    <w:p w14:paraId="705AACF8">
      <w:pPr>
        <w:pStyle w:val="22"/>
        <w:ind w:firstLine="3795" w:firstLineChars="1800"/>
        <w:rPr>
          <w:rFonts w:ascii="仿宋" w:hAnsi="仿宋" w:eastAsia="仿宋"/>
          <w:b/>
          <w:bCs/>
          <w:color w:val="auto"/>
          <w:szCs w:val="28"/>
        </w:rPr>
      </w:pPr>
      <w:r>
        <w:rPr>
          <w:rFonts w:hint="eastAsia" w:ascii="仿宋" w:hAnsi="仿宋" w:eastAsia="仿宋"/>
          <w:b/>
          <w:bCs/>
          <w:color w:val="auto"/>
          <w:szCs w:val="28"/>
          <w:lang w:eastAsia="zh-CN"/>
        </w:rPr>
        <w:t>首次</w:t>
      </w:r>
      <w:r>
        <w:rPr>
          <w:rFonts w:hint="eastAsia" w:ascii="仿宋" w:hAnsi="仿宋" w:eastAsia="仿宋"/>
          <w:b/>
          <w:bCs/>
          <w:color w:val="auto"/>
          <w:szCs w:val="28"/>
        </w:rPr>
        <w:t xml:space="preserve">磋商响应报价表 </w:t>
      </w:r>
    </w:p>
    <w:p w14:paraId="12A1D007">
      <w:pPr>
        <w:pStyle w:val="22"/>
        <w:ind w:firstLine="3795" w:firstLineChars="1800"/>
        <w:rPr>
          <w:rFonts w:hint="default" w:ascii="仿宋" w:hAnsi="仿宋" w:eastAsia="仿宋"/>
          <w:b/>
          <w:bCs/>
          <w:color w:val="auto"/>
          <w:szCs w:val="28"/>
          <w:lang w:val="en-US" w:eastAsia="zh-CN"/>
        </w:rPr>
      </w:pPr>
      <w:r>
        <w:rPr>
          <w:rFonts w:hint="eastAsia" w:ascii="仿宋" w:hAnsi="仿宋" w:eastAsia="仿宋"/>
          <w:b/>
          <w:bCs/>
          <w:color w:val="auto"/>
          <w:szCs w:val="28"/>
          <w:lang w:val="en-US" w:eastAsia="zh-CN"/>
        </w:rPr>
        <w:t>已标价工程量清单</w:t>
      </w:r>
    </w:p>
    <w:p w14:paraId="5A795B87">
      <w:pPr>
        <w:pStyle w:val="22"/>
        <w:ind w:firstLine="3795" w:firstLineChars="1800"/>
        <w:rPr>
          <w:rFonts w:hint="eastAsia" w:ascii="仿宋" w:hAnsi="仿宋" w:eastAsia="仿宋"/>
          <w:b/>
          <w:bCs/>
          <w:color w:val="auto"/>
          <w:szCs w:val="28"/>
        </w:rPr>
      </w:pPr>
      <w:r>
        <w:rPr>
          <w:rFonts w:hint="eastAsia" w:ascii="仿宋" w:hAnsi="仿宋" w:eastAsia="仿宋"/>
          <w:b/>
          <w:bCs/>
          <w:color w:val="auto"/>
          <w:szCs w:val="28"/>
        </w:rPr>
        <w:t>最终磋商响应报价表</w:t>
      </w:r>
    </w:p>
    <w:p w14:paraId="0AEE3896">
      <w:pPr>
        <w:pStyle w:val="22"/>
        <w:ind w:firstLine="3795" w:firstLineChars="1800"/>
        <w:rPr>
          <w:rFonts w:ascii="仿宋" w:hAnsi="仿宋" w:eastAsia="仿宋"/>
          <w:b/>
          <w:bCs/>
          <w:color w:val="auto"/>
          <w:szCs w:val="28"/>
        </w:rPr>
      </w:pPr>
      <w:r>
        <w:rPr>
          <w:rFonts w:hint="eastAsia" w:ascii="仿宋" w:hAnsi="仿宋" w:eastAsia="仿宋"/>
          <w:b/>
          <w:bCs/>
          <w:color w:val="auto"/>
          <w:szCs w:val="28"/>
        </w:rPr>
        <w:t xml:space="preserve">供应商承诺书 </w:t>
      </w:r>
    </w:p>
    <w:p w14:paraId="2DB56D91">
      <w:pPr>
        <w:pStyle w:val="22"/>
        <w:ind w:firstLine="3795" w:firstLineChars="1800"/>
        <w:rPr>
          <w:rFonts w:hint="eastAsia" w:ascii="仿宋" w:hAnsi="仿宋" w:eastAsia="仿宋"/>
          <w:b/>
          <w:bCs/>
          <w:color w:val="auto"/>
          <w:szCs w:val="28"/>
        </w:rPr>
      </w:pPr>
      <w:r>
        <w:rPr>
          <w:rFonts w:hint="eastAsia" w:ascii="仿宋" w:hAnsi="仿宋" w:eastAsia="仿宋"/>
          <w:b/>
          <w:bCs/>
          <w:color w:val="auto"/>
          <w:szCs w:val="28"/>
        </w:rPr>
        <w:t>近年完成的类似工程业绩情况</w:t>
      </w:r>
    </w:p>
    <w:p w14:paraId="4B4AEFF9">
      <w:pPr>
        <w:pStyle w:val="22"/>
        <w:ind w:firstLine="1680" w:firstLineChars="800"/>
        <w:rPr>
          <w:rFonts w:ascii="仿宋" w:hAnsi="仿宋" w:eastAsia="仿宋"/>
          <w:color w:val="auto"/>
          <w:szCs w:val="28"/>
          <w:lang w:val="zh-CN"/>
        </w:rPr>
      </w:pPr>
    </w:p>
    <w:p w14:paraId="11B06E0B">
      <w:pPr>
        <w:autoSpaceDE w:val="0"/>
        <w:autoSpaceDN w:val="0"/>
        <w:adjustRightInd w:val="0"/>
        <w:snapToGrid w:val="0"/>
        <w:spacing w:line="360" w:lineRule="auto"/>
        <w:ind w:firstLine="2249" w:firstLineChars="800"/>
        <w:rPr>
          <w:rFonts w:ascii="仿宋" w:hAnsi="仿宋" w:eastAsia="仿宋"/>
          <w:b/>
          <w:bCs/>
          <w:color w:val="auto"/>
          <w:sz w:val="28"/>
          <w:szCs w:val="28"/>
          <w:lang w:val="zh-CN"/>
        </w:rPr>
      </w:pPr>
      <w:r>
        <w:rPr>
          <w:rFonts w:ascii="仿宋" w:hAnsi="仿宋" w:eastAsia="仿宋"/>
          <w:b/>
          <w:bCs/>
          <w:color w:val="auto"/>
          <w:sz w:val="28"/>
          <w:szCs w:val="28"/>
          <w:lang w:val="zh-CN"/>
        </w:rPr>
        <w:t>第三部分：</w:t>
      </w:r>
      <w:r>
        <w:rPr>
          <w:rFonts w:hint="eastAsia" w:ascii="仿宋" w:hAnsi="仿宋" w:eastAsia="仿宋"/>
          <w:b/>
          <w:bCs/>
          <w:color w:val="auto"/>
          <w:sz w:val="28"/>
          <w:szCs w:val="28"/>
          <w:lang w:val="zh-CN"/>
        </w:rPr>
        <w:t>磋商响应方案</w:t>
      </w:r>
    </w:p>
    <w:p w14:paraId="1FF3FBDC">
      <w:pPr>
        <w:pStyle w:val="22"/>
        <w:ind w:firstLine="3795" w:firstLineChars="1800"/>
        <w:rPr>
          <w:rFonts w:ascii="仿宋" w:hAnsi="仿宋" w:eastAsia="仿宋"/>
          <w:b/>
          <w:bCs/>
          <w:color w:val="auto"/>
          <w:szCs w:val="28"/>
        </w:rPr>
      </w:pPr>
      <w:r>
        <w:rPr>
          <w:rFonts w:hint="eastAsia" w:ascii="仿宋" w:hAnsi="仿宋" w:eastAsia="仿宋"/>
          <w:b/>
          <w:bCs/>
          <w:color w:val="auto"/>
          <w:szCs w:val="28"/>
        </w:rPr>
        <w:t>供应商概况及其性质</w:t>
      </w:r>
    </w:p>
    <w:p w14:paraId="0F6716C7">
      <w:pPr>
        <w:pStyle w:val="22"/>
        <w:ind w:firstLine="3795" w:firstLineChars="1800"/>
        <w:rPr>
          <w:rFonts w:ascii="仿宋" w:hAnsi="仿宋" w:eastAsia="仿宋"/>
          <w:b/>
          <w:bCs/>
          <w:color w:val="auto"/>
          <w:szCs w:val="28"/>
        </w:rPr>
      </w:pPr>
      <w:r>
        <w:rPr>
          <w:rFonts w:hint="eastAsia" w:ascii="仿宋" w:hAnsi="仿宋" w:eastAsia="仿宋"/>
          <w:b/>
          <w:bCs/>
          <w:color w:val="auto"/>
          <w:szCs w:val="28"/>
        </w:rPr>
        <w:t>磋商</w:t>
      </w:r>
      <w:r>
        <w:rPr>
          <w:rFonts w:hint="eastAsia" w:ascii="仿宋" w:hAnsi="仿宋" w:eastAsia="仿宋"/>
          <w:b/>
          <w:bCs/>
          <w:color w:val="auto"/>
          <w:szCs w:val="28"/>
          <w:lang w:val="en-US" w:eastAsia="zh-CN"/>
        </w:rPr>
        <w:t>技术</w:t>
      </w:r>
      <w:r>
        <w:rPr>
          <w:rFonts w:hint="eastAsia" w:ascii="仿宋" w:hAnsi="仿宋" w:eastAsia="仿宋"/>
          <w:b/>
          <w:bCs/>
          <w:color w:val="auto"/>
          <w:szCs w:val="28"/>
        </w:rPr>
        <w:t>方案</w:t>
      </w:r>
    </w:p>
    <w:p w14:paraId="18415B28">
      <w:pPr>
        <w:pStyle w:val="22"/>
        <w:ind w:firstLine="3795" w:firstLineChars="1800"/>
        <w:rPr>
          <w:rFonts w:ascii="仿宋" w:hAnsi="仿宋" w:eastAsia="仿宋"/>
          <w:b/>
          <w:bCs/>
          <w:color w:val="auto"/>
          <w:szCs w:val="28"/>
        </w:rPr>
      </w:pPr>
    </w:p>
    <w:p w14:paraId="4017F25B">
      <w:pPr>
        <w:pStyle w:val="3"/>
        <w:jc w:val="center"/>
        <w:rPr>
          <w:rFonts w:ascii="仿宋" w:hAnsi="仿宋" w:eastAsia="仿宋"/>
          <w:b/>
          <w:bCs/>
          <w:color w:val="auto"/>
        </w:rPr>
      </w:pPr>
      <w:r>
        <w:rPr>
          <w:rFonts w:hint="eastAsia" w:ascii="仿宋" w:hAnsi="仿宋" w:eastAsia="仿宋" w:cs="仿宋"/>
          <w:color w:val="auto"/>
          <w:szCs w:val="28"/>
        </w:rPr>
        <w:br w:type="page"/>
      </w:r>
      <w:bookmarkStart w:id="462" w:name="_Toc7761"/>
      <w:bookmarkStart w:id="463" w:name="_Toc301514198"/>
      <w:bookmarkStart w:id="464" w:name="_Toc342748430"/>
      <w:r>
        <w:rPr>
          <w:rFonts w:hint="eastAsia" w:ascii="仿宋" w:hAnsi="仿宋" w:eastAsia="仿宋"/>
          <w:b/>
          <w:bCs/>
          <w:color w:val="auto"/>
        </w:rPr>
        <w:t>第一部分 资格证明文件</w:t>
      </w:r>
      <w:bookmarkEnd w:id="462"/>
    </w:p>
    <w:p w14:paraId="364B2939">
      <w:pPr>
        <w:pStyle w:val="4"/>
        <w:jc w:val="center"/>
        <w:rPr>
          <w:rFonts w:ascii="仿宋" w:hAnsi="仿宋" w:eastAsia="仿宋" w:cs="宋体"/>
          <w:b/>
          <w:color w:val="auto"/>
          <w:sz w:val="32"/>
          <w:szCs w:val="32"/>
        </w:rPr>
      </w:pPr>
      <w:r>
        <w:rPr>
          <w:rFonts w:hint="eastAsia" w:ascii="仿宋" w:hAnsi="仿宋" w:eastAsia="仿宋" w:cs="宋体"/>
          <w:b/>
          <w:color w:val="auto"/>
          <w:sz w:val="32"/>
          <w:szCs w:val="32"/>
        </w:rPr>
        <w:t>基本资格条件</w:t>
      </w:r>
      <w:r>
        <w:rPr>
          <w:rFonts w:ascii="仿宋" w:hAnsi="仿宋" w:eastAsia="仿宋" w:cs="宋体"/>
          <w:b/>
          <w:color w:val="auto"/>
          <w:sz w:val="32"/>
          <w:szCs w:val="32"/>
        </w:rPr>
        <w:t>1</w:t>
      </w:r>
    </w:p>
    <w:p w14:paraId="2A19D008">
      <w:pPr>
        <w:autoSpaceDE w:val="0"/>
        <w:autoSpaceDN w:val="0"/>
        <w:adjustRightInd w:val="0"/>
        <w:snapToGrid w:val="0"/>
        <w:spacing w:line="312" w:lineRule="auto"/>
        <w:jc w:val="left"/>
        <w:rPr>
          <w:rFonts w:ascii="仿宋" w:hAnsi="仿宋" w:eastAsia="仿宋" w:cs="仿宋"/>
          <w:bCs/>
          <w:color w:val="auto"/>
          <w:sz w:val="28"/>
          <w:szCs w:val="28"/>
        </w:rPr>
      </w:pPr>
      <w:r>
        <w:rPr>
          <w:rFonts w:hint="eastAsia" w:ascii="仿宋" w:hAnsi="仿宋" w:eastAsia="仿宋" w:cs="仿宋"/>
          <w:bCs/>
          <w:color w:val="auto"/>
          <w:sz w:val="28"/>
          <w:szCs w:val="28"/>
        </w:rPr>
        <w:t>具有独立承担民事责任的能力，提供供应商合法注册的法人或其他组织的营业执照等证明文件，自然人的身份证明。</w:t>
      </w:r>
    </w:p>
    <w:p w14:paraId="3D46E745">
      <w:pPr>
        <w:pStyle w:val="4"/>
        <w:jc w:val="center"/>
        <w:rPr>
          <w:rFonts w:ascii="仿宋" w:hAnsi="仿宋" w:eastAsia="仿宋" w:cs="宋体"/>
          <w:b/>
          <w:bCs/>
          <w:color w:val="auto"/>
          <w:kern w:val="0"/>
          <w:sz w:val="30"/>
          <w:szCs w:val="30"/>
        </w:rPr>
      </w:pPr>
      <w:r>
        <w:rPr>
          <w:rFonts w:hint="eastAsia" w:ascii="仿宋" w:hAnsi="仿宋" w:eastAsia="仿宋" w:cs="仿宋"/>
          <w:color w:val="auto"/>
          <w:szCs w:val="28"/>
        </w:rPr>
        <w:br w:type="page"/>
      </w:r>
      <w:r>
        <w:rPr>
          <w:rFonts w:hint="eastAsia" w:ascii="仿宋" w:hAnsi="仿宋" w:eastAsia="仿宋" w:cs="宋体"/>
          <w:b/>
          <w:color w:val="auto"/>
          <w:sz w:val="32"/>
          <w:szCs w:val="32"/>
        </w:rPr>
        <w:t>基本资格条件2</w:t>
      </w:r>
    </w:p>
    <w:p w14:paraId="50CF9BE4">
      <w:pPr>
        <w:rPr>
          <w:rFonts w:hint="eastAsia" w:ascii="仿宋" w:hAnsi="仿宋" w:eastAsia="仿宋" w:cs="仿宋"/>
          <w:bCs/>
          <w:color w:val="auto"/>
          <w:sz w:val="28"/>
          <w:szCs w:val="28"/>
        </w:rPr>
      </w:pPr>
      <w:r>
        <w:rPr>
          <w:rFonts w:hint="eastAsia" w:ascii="仿宋" w:hAnsi="仿宋" w:eastAsia="仿宋" w:cs="仿宋"/>
          <w:bCs/>
          <w:color w:val="auto"/>
          <w:sz w:val="28"/>
          <w:szCs w:val="28"/>
        </w:rPr>
        <w:t>具有良好的商业信誉和健全的财务会计制度（须提供投标供应商</w:t>
      </w:r>
      <w:r>
        <w:rPr>
          <w:rFonts w:hint="eastAsia" w:ascii="仿宋" w:hAnsi="仿宋" w:eastAsia="仿宋" w:cs="仿宋"/>
          <w:bCs/>
          <w:color w:val="auto"/>
          <w:sz w:val="28"/>
          <w:szCs w:val="28"/>
          <w:lang w:eastAsia="zh-CN"/>
        </w:rPr>
        <w:t>202</w:t>
      </w:r>
      <w:r>
        <w:rPr>
          <w:rFonts w:hint="eastAsia" w:ascii="仿宋" w:hAnsi="仿宋" w:eastAsia="仿宋" w:cs="仿宋"/>
          <w:bCs/>
          <w:color w:val="auto"/>
          <w:sz w:val="28"/>
          <w:szCs w:val="28"/>
          <w:lang w:val="en-US" w:eastAsia="zh-CN"/>
        </w:rPr>
        <w:t>4</w:t>
      </w:r>
      <w:r>
        <w:rPr>
          <w:rFonts w:hint="eastAsia" w:ascii="仿宋" w:hAnsi="仿宋" w:eastAsia="仿宋" w:cs="仿宋"/>
          <w:bCs/>
          <w:color w:val="auto"/>
          <w:sz w:val="28"/>
          <w:szCs w:val="28"/>
          <w:lang w:eastAsia="zh-CN"/>
        </w:rPr>
        <w:t>年度</w:t>
      </w:r>
      <w:r>
        <w:rPr>
          <w:rFonts w:hint="eastAsia" w:ascii="仿宋" w:hAnsi="仿宋" w:eastAsia="仿宋" w:cs="仿宋"/>
          <w:bCs/>
          <w:color w:val="auto"/>
          <w:sz w:val="28"/>
          <w:szCs w:val="28"/>
          <w:lang w:val="en-US" w:eastAsia="zh-CN"/>
        </w:rPr>
        <w:t>或2025年度</w:t>
      </w:r>
      <w:r>
        <w:rPr>
          <w:rFonts w:hint="eastAsia" w:ascii="仿宋" w:hAnsi="仿宋" w:eastAsia="仿宋" w:cs="仿宋"/>
          <w:bCs/>
          <w:color w:val="auto"/>
          <w:sz w:val="28"/>
          <w:szCs w:val="28"/>
          <w:lang w:eastAsia="zh-CN"/>
        </w:rPr>
        <w:t>经审计的财务报表复印件</w:t>
      </w:r>
      <w:r>
        <w:rPr>
          <w:rFonts w:hint="eastAsia" w:ascii="仿宋" w:hAnsi="仿宋" w:eastAsia="仿宋" w:cs="仿宋"/>
          <w:bCs/>
          <w:color w:val="auto"/>
          <w:sz w:val="28"/>
          <w:szCs w:val="28"/>
        </w:rPr>
        <w:t>（包括资产负债表、现金流量表、利润表）且审计报告应当经过注册会计师行业统一监管平台备案赋码。或本年度基本开户银行出具的资信证明）</w:t>
      </w:r>
    </w:p>
    <w:p w14:paraId="65B97B66">
      <w:pPr>
        <w:autoSpaceDE w:val="0"/>
        <w:autoSpaceDN w:val="0"/>
        <w:adjustRightInd w:val="0"/>
        <w:snapToGrid w:val="0"/>
        <w:spacing w:line="312" w:lineRule="auto"/>
        <w:jc w:val="left"/>
        <w:rPr>
          <w:rFonts w:ascii="仿宋" w:hAnsi="仿宋" w:eastAsia="仿宋" w:cs="仿宋"/>
          <w:bCs/>
          <w:color w:val="auto"/>
          <w:sz w:val="28"/>
          <w:szCs w:val="28"/>
        </w:rPr>
      </w:pPr>
    </w:p>
    <w:p w14:paraId="7616CB9E">
      <w:pPr>
        <w:rPr>
          <w:rFonts w:hint="eastAsia" w:ascii="仿宋" w:hAnsi="仿宋" w:eastAsia="仿宋" w:cs="宋体"/>
          <w:b/>
          <w:color w:val="auto"/>
          <w:sz w:val="32"/>
          <w:szCs w:val="32"/>
        </w:rPr>
      </w:pPr>
      <w:r>
        <w:rPr>
          <w:rFonts w:hint="eastAsia" w:ascii="仿宋" w:hAnsi="仿宋" w:eastAsia="仿宋" w:cs="宋体"/>
          <w:b/>
          <w:color w:val="auto"/>
          <w:sz w:val="32"/>
          <w:szCs w:val="32"/>
        </w:rPr>
        <w:br w:type="page"/>
      </w:r>
    </w:p>
    <w:p w14:paraId="0D7332DE">
      <w:pPr>
        <w:pStyle w:val="4"/>
        <w:jc w:val="center"/>
        <w:rPr>
          <w:rFonts w:ascii="仿宋" w:hAnsi="仿宋" w:eastAsia="仿宋" w:cs="宋体"/>
          <w:b/>
          <w:color w:val="auto"/>
          <w:sz w:val="32"/>
          <w:szCs w:val="32"/>
        </w:rPr>
      </w:pPr>
      <w:r>
        <w:rPr>
          <w:rFonts w:hint="eastAsia" w:ascii="仿宋" w:hAnsi="仿宋" w:eastAsia="仿宋" w:cs="宋体"/>
          <w:b/>
          <w:color w:val="auto"/>
          <w:sz w:val="32"/>
          <w:szCs w:val="32"/>
        </w:rPr>
        <w:t>基本资格条件3</w:t>
      </w:r>
    </w:p>
    <w:p w14:paraId="63512531">
      <w:pPr>
        <w:jc w:val="center"/>
        <w:rPr>
          <w:rFonts w:ascii="仿宋" w:hAnsi="仿宋" w:eastAsia="仿宋" w:cs="仿宋"/>
          <w:color w:val="auto"/>
          <w:sz w:val="28"/>
          <w:szCs w:val="28"/>
          <w:lang w:val="zh-CN"/>
        </w:rPr>
      </w:pPr>
      <w:r>
        <w:rPr>
          <w:rFonts w:hint="eastAsia" w:ascii="仿宋" w:hAnsi="仿宋" w:eastAsia="仿宋" w:cs="仿宋"/>
          <w:color w:val="auto"/>
          <w:sz w:val="28"/>
          <w:szCs w:val="28"/>
          <w:lang w:val="zh-CN"/>
        </w:rPr>
        <w:t>提供供应商近六个月任何一个月缴税证明和社会保障资金缴纳证明或免缴纳证明（复印件加盖公章）</w:t>
      </w:r>
    </w:p>
    <w:p w14:paraId="6724F18F">
      <w:pPr>
        <w:rPr>
          <w:rFonts w:ascii="仿宋" w:hAnsi="仿宋" w:eastAsia="仿宋" w:cs="宋体"/>
          <w:b/>
          <w:color w:val="auto"/>
          <w:sz w:val="32"/>
          <w:szCs w:val="32"/>
        </w:rPr>
      </w:pPr>
      <w:r>
        <w:rPr>
          <w:rFonts w:hint="eastAsia" w:ascii="仿宋" w:hAnsi="仿宋" w:eastAsia="仿宋" w:cs="宋体"/>
          <w:b/>
          <w:color w:val="auto"/>
          <w:sz w:val="32"/>
          <w:szCs w:val="32"/>
        </w:rPr>
        <w:br w:type="page"/>
      </w:r>
    </w:p>
    <w:p w14:paraId="594D53B5">
      <w:pPr>
        <w:pStyle w:val="4"/>
        <w:jc w:val="center"/>
        <w:rPr>
          <w:rFonts w:ascii="仿宋" w:hAnsi="仿宋" w:eastAsia="仿宋" w:cs="宋体"/>
          <w:b/>
          <w:color w:val="auto"/>
          <w:sz w:val="32"/>
          <w:szCs w:val="32"/>
        </w:rPr>
      </w:pPr>
      <w:r>
        <w:rPr>
          <w:rFonts w:hint="eastAsia" w:ascii="仿宋" w:hAnsi="仿宋" w:eastAsia="仿宋" w:cs="宋体"/>
          <w:b/>
          <w:color w:val="auto"/>
          <w:sz w:val="32"/>
          <w:szCs w:val="32"/>
        </w:rPr>
        <w:t>基本资格条件4</w:t>
      </w:r>
    </w:p>
    <w:p w14:paraId="2F63F070">
      <w:pPr>
        <w:autoSpaceDE w:val="0"/>
        <w:autoSpaceDN w:val="0"/>
        <w:adjustRightInd w:val="0"/>
        <w:snapToGrid w:val="0"/>
        <w:spacing w:line="312" w:lineRule="auto"/>
        <w:jc w:val="center"/>
        <w:rPr>
          <w:rFonts w:ascii="仿宋" w:hAnsi="仿宋" w:eastAsia="仿宋" w:cs="仿宋"/>
          <w:bCs/>
          <w:color w:val="auto"/>
          <w:sz w:val="28"/>
          <w:szCs w:val="28"/>
        </w:rPr>
      </w:pPr>
      <w:r>
        <w:rPr>
          <w:rFonts w:hint="eastAsia" w:ascii="仿宋" w:hAnsi="仿宋" w:eastAsia="仿宋" w:cs="仿宋"/>
          <w:bCs/>
          <w:color w:val="auto"/>
          <w:sz w:val="28"/>
          <w:szCs w:val="28"/>
        </w:rPr>
        <w:t>具备履行合同所必需的设备和专业技术能力的证明材料（提供</w:t>
      </w:r>
      <w:r>
        <w:rPr>
          <w:rFonts w:hint="eastAsia" w:ascii="仿宋" w:hAnsi="仿宋" w:eastAsia="仿宋"/>
          <w:bCs/>
          <w:color w:val="auto"/>
          <w:sz w:val="28"/>
          <w:szCs w:val="28"/>
        </w:rPr>
        <w:t>承诺</w:t>
      </w:r>
      <w:r>
        <w:rPr>
          <w:rFonts w:hint="eastAsia" w:ascii="仿宋" w:hAnsi="仿宋" w:eastAsia="仿宋"/>
          <w:bCs/>
          <w:color w:val="auto"/>
          <w:sz w:val="28"/>
          <w:szCs w:val="28"/>
          <w:lang w:eastAsia="zh-CN"/>
        </w:rPr>
        <w:t>书</w:t>
      </w:r>
      <w:r>
        <w:rPr>
          <w:rFonts w:hint="eastAsia" w:ascii="仿宋" w:hAnsi="仿宋" w:eastAsia="仿宋"/>
          <w:bCs/>
          <w:color w:val="auto"/>
          <w:sz w:val="28"/>
          <w:szCs w:val="28"/>
        </w:rPr>
        <w:t>原件</w:t>
      </w:r>
      <w:r>
        <w:rPr>
          <w:rFonts w:hint="eastAsia" w:ascii="仿宋" w:hAnsi="仿宋" w:eastAsia="仿宋" w:cs="仿宋"/>
          <w:bCs/>
          <w:color w:val="auto"/>
          <w:sz w:val="28"/>
          <w:szCs w:val="28"/>
        </w:rPr>
        <w:t>）</w:t>
      </w:r>
    </w:p>
    <w:p w14:paraId="71D9F2AA">
      <w:pPr>
        <w:rPr>
          <w:rFonts w:ascii="仿宋" w:hAnsi="仿宋" w:eastAsia="仿宋"/>
          <w:b/>
          <w:bCs/>
          <w:color w:val="auto"/>
          <w:sz w:val="32"/>
          <w:szCs w:val="32"/>
          <w:lang w:val="zh-CN"/>
        </w:rPr>
      </w:pPr>
      <w:r>
        <w:rPr>
          <w:rFonts w:ascii="仿宋" w:hAnsi="仿宋" w:eastAsia="仿宋"/>
          <w:b/>
          <w:bCs/>
          <w:color w:val="auto"/>
          <w:sz w:val="32"/>
          <w:szCs w:val="32"/>
          <w:lang w:val="zh-CN"/>
        </w:rPr>
        <w:br w:type="page"/>
      </w:r>
    </w:p>
    <w:p w14:paraId="73556404">
      <w:pPr>
        <w:jc w:val="center"/>
        <w:rPr>
          <w:rFonts w:ascii="仿宋" w:hAnsi="仿宋" w:eastAsia="仿宋" w:cs="仿宋_GB2312"/>
          <w:b/>
          <w:color w:val="auto"/>
          <w:sz w:val="28"/>
          <w:szCs w:val="28"/>
        </w:rPr>
      </w:pPr>
      <w:r>
        <w:rPr>
          <w:rFonts w:hint="eastAsia" w:ascii="仿宋" w:hAnsi="仿宋" w:eastAsia="仿宋" w:cs="宋体"/>
          <w:b/>
          <w:color w:val="auto"/>
          <w:sz w:val="28"/>
          <w:szCs w:val="28"/>
        </w:rPr>
        <w:t>具备履行合同所必需的设备和专业技术能力承诺书</w:t>
      </w:r>
    </w:p>
    <w:p w14:paraId="3242174D">
      <w:pPr>
        <w:ind w:firstLine="480"/>
        <w:rPr>
          <w:rFonts w:ascii="仿宋" w:hAnsi="仿宋" w:eastAsia="仿宋" w:cs="仿宋_GB2312"/>
          <w:color w:val="auto"/>
          <w:kern w:val="0"/>
          <w:sz w:val="28"/>
          <w:szCs w:val="28"/>
        </w:rPr>
      </w:pPr>
    </w:p>
    <w:p w14:paraId="21F33201">
      <w:pPr>
        <w:ind w:firstLine="480"/>
        <w:rPr>
          <w:rFonts w:ascii="仿宋" w:hAnsi="仿宋" w:eastAsia="仿宋" w:cs="仿宋_GB2312"/>
          <w:color w:val="auto"/>
          <w:kern w:val="0"/>
          <w:sz w:val="28"/>
          <w:szCs w:val="28"/>
        </w:rPr>
      </w:pPr>
    </w:p>
    <w:p w14:paraId="0997D10E">
      <w:pPr>
        <w:rPr>
          <w:rFonts w:ascii="仿宋" w:hAnsi="仿宋" w:eastAsia="仿宋" w:cs="仿宋_GB2312"/>
          <w:color w:val="auto"/>
          <w:kern w:val="0"/>
          <w:sz w:val="28"/>
          <w:szCs w:val="28"/>
          <w:u w:val="single"/>
        </w:rPr>
      </w:pPr>
      <w:r>
        <w:rPr>
          <w:rFonts w:hint="eastAsia" w:ascii="仿宋" w:hAnsi="仿宋" w:eastAsia="仿宋" w:cs="仿宋_GB2312"/>
          <w:color w:val="auto"/>
          <w:kern w:val="0"/>
          <w:sz w:val="28"/>
          <w:szCs w:val="28"/>
          <w:u w:val="single"/>
        </w:rPr>
        <w:t xml:space="preserve">陕西省采购招标有限责任公司：   </w:t>
      </w:r>
    </w:p>
    <w:p w14:paraId="5110FACC">
      <w:pPr>
        <w:ind w:firstLine="480"/>
        <w:rPr>
          <w:rFonts w:ascii="仿宋" w:hAnsi="仿宋" w:eastAsia="仿宋" w:cs="仿宋_GB2312"/>
          <w:color w:val="auto"/>
          <w:kern w:val="0"/>
          <w:sz w:val="28"/>
          <w:szCs w:val="28"/>
        </w:rPr>
      </w:pPr>
    </w:p>
    <w:p w14:paraId="5E1C2193">
      <w:pPr>
        <w:ind w:firstLine="480"/>
        <w:rPr>
          <w:rFonts w:ascii="仿宋" w:hAnsi="仿宋" w:eastAsia="仿宋" w:cs="仿宋_GB2312"/>
          <w:color w:val="auto"/>
          <w:kern w:val="0"/>
          <w:sz w:val="28"/>
          <w:szCs w:val="28"/>
        </w:rPr>
      </w:pPr>
    </w:p>
    <w:p w14:paraId="51DE036C">
      <w:pPr>
        <w:ind w:firstLine="480"/>
        <w:rPr>
          <w:rFonts w:ascii="仿宋" w:hAnsi="仿宋" w:eastAsia="仿宋" w:cs="仿宋_GB2312"/>
          <w:color w:val="auto"/>
          <w:kern w:val="0"/>
          <w:sz w:val="28"/>
          <w:szCs w:val="28"/>
        </w:rPr>
      </w:pPr>
    </w:p>
    <w:p w14:paraId="0BA70EC9">
      <w:pPr>
        <w:ind w:firstLine="480"/>
        <w:rPr>
          <w:rFonts w:ascii="仿宋" w:hAnsi="仿宋" w:eastAsia="仿宋" w:cs="仿宋_GB2312"/>
          <w:color w:val="auto"/>
          <w:kern w:val="0"/>
          <w:sz w:val="28"/>
          <w:szCs w:val="28"/>
        </w:rPr>
      </w:pPr>
      <w:r>
        <w:rPr>
          <w:rFonts w:hint="eastAsia" w:ascii="仿宋" w:hAnsi="仿宋" w:eastAsia="仿宋" w:cs="仿宋_GB2312"/>
          <w:color w:val="auto"/>
          <w:kern w:val="0"/>
          <w:sz w:val="28"/>
          <w:szCs w:val="28"/>
        </w:rPr>
        <w:t>我公司承诺</w:t>
      </w:r>
      <w:r>
        <w:rPr>
          <w:rFonts w:hint="eastAsia" w:ascii="仿宋" w:hAnsi="仿宋" w:eastAsia="仿宋" w:cs="仿宋_GB2312"/>
          <w:color w:val="auto"/>
          <w:sz w:val="28"/>
          <w:szCs w:val="28"/>
        </w:rPr>
        <w:t>具备履行合同所必需的设备和专业技术能力</w:t>
      </w:r>
      <w:r>
        <w:rPr>
          <w:rFonts w:hint="eastAsia" w:ascii="仿宋" w:hAnsi="仿宋" w:eastAsia="仿宋" w:cs="仿宋_GB2312"/>
          <w:color w:val="auto"/>
          <w:kern w:val="0"/>
          <w:sz w:val="28"/>
          <w:szCs w:val="28"/>
        </w:rPr>
        <w:t>。</w:t>
      </w:r>
    </w:p>
    <w:p w14:paraId="4F6C8082">
      <w:pPr>
        <w:ind w:firstLine="480"/>
        <w:rPr>
          <w:rFonts w:ascii="仿宋" w:hAnsi="仿宋" w:eastAsia="仿宋" w:cs="仿宋_GB2312"/>
          <w:b/>
          <w:color w:val="auto"/>
          <w:sz w:val="28"/>
          <w:szCs w:val="28"/>
        </w:rPr>
      </w:pPr>
    </w:p>
    <w:p w14:paraId="4CCEE028">
      <w:pPr>
        <w:ind w:firstLine="480"/>
        <w:rPr>
          <w:rFonts w:ascii="仿宋" w:hAnsi="仿宋" w:eastAsia="仿宋" w:cs="仿宋_GB2312"/>
          <w:b/>
          <w:color w:val="auto"/>
          <w:sz w:val="28"/>
          <w:szCs w:val="28"/>
        </w:rPr>
      </w:pPr>
    </w:p>
    <w:p w14:paraId="643B458D">
      <w:pPr>
        <w:ind w:firstLine="480"/>
        <w:rPr>
          <w:rFonts w:ascii="仿宋" w:hAnsi="仿宋" w:eastAsia="仿宋" w:cs="仿宋_GB2312"/>
          <w:b/>
          <w:color w:val="auto"/>
          <w:sz w:val="28"/>
          <w:szCs w:val="28"/>
        </w:rPr>
      </w:pPr>
    </w:p>
    <w:p w14:paraId="20601F14">
      <w:pPr>
        <w:spacing w:before="120" w:after="120" w:line="360" w:lineRule="auto"/>
        <w:ind w:firstLine="560" w:firstLineChars="200"/>
        <w:rPr>
          <w:rFonts w:ascii="仿宋" w:hAnsi="仿宋" w:eastAsia="仿宋" w:cs="仿宋_GB2312"/>
          <w:color w:val="auto"/>
          <w:sz w:val="28"/>
          <w:szCs w:val="28"/>
        </w:rPr>
      </w:pPr>
    </w:p>
    <w:p w14:paraId="60D32AA0">
      <w:pPr>
        <w:spacing w:before="120" w:after="120" w:line="360" w:lineRule="auto"/>
        <w:ind w:firstLine="560" w:firstLineChars="200"/>
        <w:rPr>
          <w:rFonts w:ascii="仿宋" w:hAnsi="仿宋" w:eastAsia="仿宋" w:cs="仿宋_GB2312"/>
          <w:color w:val="auto"/>
          <w:sz w:val="28"/>
          <w:szCs w:val="28"/>
        </w:rPr>
      </w:pPr>
    </w:p>
    <w:p w14:paraId="18FC0538">
      <w:pPr>
        <w:spacing w:before="120" w:after="120" w:line="360" w:lineRule="auto"/>
        <w:ind w:firstLine="560" w:firstLineChars="200"/>
        <w:rPr>
          <w:rFonts w:ascii="仿宋" w:hAnsi="仿宋" w:eastAsia="仿宋" w:cs="仿宋_GB2312"/>
          <w:color w:val="auto"/>
          <w:sz w:val="28"/>
          <w:szCs w:val="28"/>
        </w:rPr>
      </w:pPr>
    </w:p>
    <w:p w14:paraId="253A0B94">
      <w:pPr>
        <w:spacing w:before="120" w:after="120" w:line="360" w:lineRule="auto"/>
        <w:ind w:firstLine="560" w:firstLineChars="200"/>
        <w:rPr>
          <w:rFonts w:ascii="仿宋" w:hAnsi="仿宋" w:eastAsia="仿宋" w:cs="仿宋_GB2312"/>
          <w:color w:val="auto"/>
          <w:sz w:val="28"/>
          <w:szCs w:val="28"/>
          <w:u w:val="single"/>
        </w:rPr>
      </w:pPr>
      <w:r>
        <w:rPr>
          <w:rFonts w:hint="eastAsia" w:ascii="仿宋" w:hAnsi="仿宋" w:eastAsia="仿宋" w:cs="仿宋_GB2312"/>
          <w:color w:val="auto"/>
          <w:sz w:val="28"/>
          <w:szCs w:val="28"/>
        </w:rPr>
        <w:t xml:space="preserve">供应商名称（公章）： </w:t>
      </w:r>
    </w:p>
    <w:p w14:paraId="792DD02A">
      <w:pPr>
        <w:spacing w:before="120" w:after="120" w:line="360" w:lineRule="auto"/>
        <w:ind w:firstLine="560" w:firstLineChars="200"/>
        <w:rPr>
          <w:rFonts w:ascii="仿宋" w:hAnsi="仿宋" w:eastAsia="仿宋" w:cs="仿宋_GB2312"/>
          <w:color w:val="auto"/>
          <w:sz w:val="28"/>
          <w:szCs w:val="28"/>
          <w:u w:val="single"/>
        </w:rPr>
      </w:pPr>
      <w:r>
        <w:rPr>
          <w:rFonts w:hint="eastAsia" w:ascii="仿宋" w:hAnsi="仿宋" w:eastAsia="仿宋" w:cs="仿宋_GB2312"/>
          <w:color w:val="auto"/>
          <w:sz w:val="28"/>
          <w:szCs w:val="28"/>
        </w:rPr>
        <w:t>法定代表人或其授权代表（签字或加盖人名章）：</w:t>
      </w:r>
    </w:p>
    <w:p w14:paraId="46CFFF0D">
      <w:pPr>
        <w:spacing w:before="120" w:after="120" w:line="360" w:lineRule="auto"/>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日    期：</w:t>
      </w:r>
      <w:r>
        <w:rPr>
          <w:rFonts w:hint="eastAsia" w:ascii="仿宋" w:hAnsi="仿宋" w:eastAsia="仿宋" w:cs="仿宋_GB2312"/>
          <w:color w:val="auto"/>
          <w:sz w:val="28"/>
          <w:szCs w:val="28"/>
          <w:lang w:val="en-US" w:eastAsia="zh-CN"/>
        </w:rPr>
        <w:t xml:space="preserve">  </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 xml:space="preserve">   </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 xml:space="preserve">   </w:t>
      </w:r>
      <w:r>
        <w:rPr>
          <w:rFonts w:hint="eastAsia" w:ascii="仿宋" w:hAnsi="仿宋" w:eastAsia="仿宋" w:cs="仿宋_GB2312"/>
          <w:color w:val="auto"/>
          <w:sz w:val="28"/>
          <w:szCs w:val="28"/>
        </w:rPr>
        <w:t>日</w:t>
      </w:r>
    </w:p>
    <w:p w14:paraId="798342CB">
      <w:pPr>
        <w:pStyle w:val="4"/>
        <w:jc w:val="center"/>
        <w:rPr>
          <w:rFonts w:ascii="仿宋" w:hAnsi="仿宋" w:eastAsia="仿宋" w:cs="宋体"/>
          <w:b/>
          <w:bCs/>
          <w:color w:val="auto"/>
          <w:kern w:val="0"/>
          <w:sz w:val="30"/>
          <w:szCs w:val="30"/>
        </w:rPr>
      </w:pPr>
      <w:r>
        <w:rPr>
          <w:rFonts w:ascii="仿宋" w:hAnsi="仿宋" w:eastAsia="仿宋"/>
          <w:b/>
          <w:bCs/>
          <w:color w:val="auto"/>
          <w:sz w:val="32"/>
          <w:szCs w:val="32"/>
          <w:lang w:val="zh-CN"/>
        </w:rPr>
        <w:br w:type="page"/>
      </w:r>
      <w:r>
        <w:rPr>
          <w:rFonts w:hint="eastAsia" w:ascii="仿宋" w:hAnsi="仿宋" w:eastAsia="仿宋" w:cs="宋体"/>
          <w:b/>
          <w:color w:val="auto"/>
          <w:sz w:val="32"/>
          <w:szCs w:val="32"/>
        </w:rPr>
        <w:t>基本资格条件5</w:t>
      </w:r>
    </w:p>
    <w:p w14:paraId="45510583">
      <w:pPr>
        <w:autoSpaceDE w:val="0"/>
        <w:autoSpaceDN w:val="0"/>
        <w:adjustRightInd w:val="0"/>
        <w:snapToGrid w:val="0"/>
        <w:spacing w:line="312" w:lineRule="auto"/>
        <w:jc w:val="center"/>
        <w:rPr>
          <w:rFonts w:ascii="仿宋" w:hAnsi="仿宋" w:eastAsia="仿宋"/>
          <w:b/>
          <w:bCs/>
          <w:color w:val="auto"/>
          <w:sz w:val="32"/>
          <w:szCs w:val="32"/>
          <w:lang w:val="zh-CN"/>
        </w:rPr>
      </w:pPr>
    </w:p>
    <w:p w14:paraId="1A3416C9">
      <w:pPr>
        <w:jc w:val="center"/>
        <w:rPr>
          <w:rFonts w:ascii="仿宋" w:hAnsi="仿宋" w:eastAsia="仿宋" w:cs="仿宋"/>
          <w:bCs/>
          <w:color w:val="auto"/>
          <w:sz w:val="28"/>
          <w:szCs w:val="28"/>
        </w:rPr>
      </w:pPr>
      <w:r>
        <w:rPr>
          <w:rFonts w:hint="eastAsia" w:ascii="仿宋" w:hAnsi="仿宋" w:eastAsia="仿宋" w:cs="仿宋"/>
          <w:bCs/>
          <w:color w:val="auto"/>
          <w:sz w:val="28"/>
          <w:szCs w:val="28"/>
        </w:rPr>
        <w:t>参加政府采购活动前三年内，在经营活动中没有重大违法记录（提供参加政府采购活动前3年内在经营活动中没有重大违法记录的书面声明</w:t>
      </w:r>
      <w:r>
        <w:rPr>
          <w:rFonts w:hint="eastAsia" w:ascii="仿宋" w:hAnsi="仿宋" w:eastAsia="仿宋" w:cs="仿宋"/>
          <w:bCs/>
          <w:color w:val="auto"/>
          <w:sz w:val="28"/>
          <w:szCs w:val="28"/>
          <w:lang w:eastAsia="zh-CN"/>
        </w:rPr>
        <w:t>原件</w:t>
      </w:r>
      <w:r>
        <w:rPr>
          <w:rFonts w:hint="eastAsia" w:ascii="仿宋" w:hAnsi="仿宋" w:eastAsia="仿宋" w:cs="仿宋"/>
          <w:bCs/>
          <w:color w:val="auto"/>
          <w:sz w:val="28"/>
          <w:szCs w:val="28"/>
        </w:rPr>
        <w:t>）</w:t>
      </w:r>
    </w:p>
    <w:p w14:paraId="0D41C08A">
      <w:pPr>
        <w:rPr>
          <w:rFonts w:ascii="仿宋" w:hAnsi="仿宋" w:eastAsia="仿宋" w:cs="仿宋"/>
          <w:bCs/>
          <w:color w:val="auto"/>
          <w:sz w:val="28"/>
          <w:szCs w:val="28"/>
        </w:rPr>
      </w:pPr>
      <w:r>
        <w:rPr>
          <w:rFonts w:hint="eastAsia" w:ascii="仿宋" w:hAnsi="仿宋" w:eastAsia="仿宋" w:cs="仿宋"/>
          <w:bCs/>
          <w:color w:val="auto"/>
          <w:sz w:val="28"/>
          <w:szCs w:val="28"/>
        </w:rPr>
        <w:br w:type="page"/>
      </w:r>
    </w:p>
    <w:p w14:paraId="74E40D5F">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声明函</w:t>
      </w:r>
    </w:p>
    <w:p w14:paraId="05D1CA27">
      <w:pPr>
        <w:jc w:val="center"/>
        <w:rPr>
          <w:rFonts w:ascii="仿宋" w:hAnsi="仿宋" w:eastAsia="仿宋" w:cs="仿宋_GB2312"/>
          <w:color w:val="auto"/>
          <w:sz w:val="28"/>
          <w:szCs w:val="28"/>
        </w:rPr>
      </w:pPr>
    </w:p>
    <w:p w14:paraId="3585797A">
      <w:pPr>
        <w:tabs>
          <w:tab w:val="left" w:pos="5580"/>
        </w:tabs>
        <w:spacing w:before="120" w:line="360" w:lineRule="auto"/>
        <w:rPr>
          <w:rFonts w:ascii="仿宋" w:hAnsi="仿宋" w:eastAsia="仿宋" w:cs="仿宋_GB2312"/>
          <w:color w:val="auto"/>
          <w:sz w:val="28"/>
          <w:szCs w:val="28"/>
        </w:rPr>
      </w:pPr>
      <w:r>
        <w:rPr>
          <w:rFonts w:hint="eastAsia" w:ascii="仿宋" w:hAnsi="仿宋" w:eastAsia="仿宋" w:cs="仿宋_GB2312"/>
          <w:color w:val="auto"/>
          <w:sz w:val="28"/>
          <w:szCs w:val="28"/>
        </w:rPr>
        <w:t>致：</w:t>
      </w:r>
      <w:r>
        <w:rPr>
          <w:rFonts w:hint="eastAsia" w:ascii="仿宋" w:hAnsi="仿宋" w:eastAsia="仿宋" w:cs="仿宋_GB2312"/>
          <w:color w:val="auto"/>
          <w:sz w:val="28"/>
          <w:szCs w:val="28"/>
          <w:u w:val="single"/>
        </w:rPr>
        <w:t xml:space="preserve">陕西省采购招标有限责任公司  </w:t>
      </w:r>
    </w:p>
    <w:p w14:paraId="4489DC1D">
      <w:pPr>
        <w:tabs>
          <w:tab w:val="left" w:pos="5580"/>
        </w:tabs>
        <w:spacing w:before="120" w:line="360" w:lineRule="auto"/>
        <w:ind w:firstLine="560" w:firstLineChars="200"/>
        <w:rPr>
          <w:rFonts w:ascii="仿宋" w:hAnsi="仿宋" w:eastAsia="仿宋" w:cs="仿宋_GB2312"/>
          <w:color w:val="auto"/>
          <w:sz w:val="28"/>
          <w:szCs w:val="28"/>
        </w:rPr>
      </w:pPr>
    </w:p>
    <w:p w14:paraId="35642426">
      <w:pPr>
        <w:tabs>
          <w:tab w:val="left" w:pos="5580"/>
        </w:tabs>
        <w:spacing w:before="120" w:line="360" w:lineRule="auto"/>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我公司郑重承诺在参加本项目政府采购活动前三年内，在经营活动中无重大违法记录。</w:t>
      </w:r>
    </w:p>
    <w:p w14:paraId="3CDFAB94">
      <w:pPr>
        <w:tabs>
          <w:tab w:val="left" w:pos="5580"/>
        </w:tabs>
        <w:spacing w:before="120" w:line="360" w:lineRule="auto"/>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特此声明。</w:t>
      </w:r>
    </w:p>
    <w:p w14:paraId="056527BA">
      <w:pPr>
        <w:tabs>
          <w:tab w:val="left" w:pos="5580"/>
        </w:tabs>
        <w:spacing w:before="120" w:line="360" w:lineRule="auto"/>
        <w:ind w:firstLine="560" w:firstLineChars="200"/>
        <w:rPr>
          <w:rFonts w:ascii="仿宋" w:hAnsi="仿宋" w:eastAsia="仿宋" w:cs="仿宋_GB2312"/>
          <w:color w:val="auto"/>
          <w:sz w:val="28"/>
          <w:szCs w:val="28"/>
        </w:rPr>
      </w:pPr>
    </w:p>
    <w:p w14:paraId="0E47787E">
      <w:pPr>
        <w:pStyle w:val="22"/>
        <w:rPr>
          <w:rFonts w:ascii="仿宋" w:hAnsi="仿宋" w:eastAsia="仿宋" w:cs="仿宋_GB2312"/>
          <w:color w:val="auto"/>
          <w:sz w:val="28"/>
          <w:szCs w:val="28"/>
        </w:rPr>
      </w:pPr>
    </w:p>
    <w:p w14:paraId="41BA4E54">
      <w:pPr>
        <w:rPr>
          <w:rFonts w:ascii="仿宋" w:hAnsi="仿宋" w:eastAsia="仿宋"/>
          <w:color w:val="auto"/>
        </w:rPr>
      </w:pPr>
    </w:p>
    <w:p w14:paraId="377376C4">
      <w:pPr>
        <w:spacing w:before="120" w:after="120" w:line="360" w:lineRule="auto"/>
        <w:ind w:firstLine="560" w:firstLineChars="200"/>
        <w:rPr>
          <w:rFonts w:ascii="仿宋" w:hAnsi="仿宋" w:eastAsia="仿宋" w:cs="仿宋_GB2312"/>
          <w:color w:val="auto"/>
          <w:sz w:val="28"/>
          <w:szCs w:val="28"/>
          <w:u w:val="single"/>
        </w:rPr>
      </w:pPr>
      <w:r>
        <w:rPr>
          <w:rFonts w:hint="eastAsia" w:ascii="仿宋" w:hAnsi="仿宋" w:eastAsia="仿宋" w:cs="仿宋_GB2312"/>
          <w:color w:val="auto"/>
          <w:sz w:val="28"/>
          <w:szCs w:val="28"/>
        </w:rPr>
        <w:t xml:space="preserve">供应商名称（公章）： </w:t>
      </w:r>
    </w:p>
    <w:p w14:paraId="1D9E93CE">
      <w:pPr>
        <w:spacing w:before="120" w:after="120" w:line="360" w:lineRule="auto"/>
        <w:ind w:firstLine="560" w:firstLineChars="200"/>
        <w:rPr>
          <w:rFonts w:ascii="仿宋" w:hAnsi="仿宋" w:eastAsia="仿宋" w:cs="仿宋_GB2312"/>
          <w:color w:val="auto"/>
          <w:sz w:val="28"/>
          <w:szCs w:val="28"/>
          <w:u w:val="single"/>
        </w:rPr>
      </w:pPr>
      <w:r>
        <w:rPr>
          <w:rFonts w:hint="eastAsia" w:ascii="仿宋" w:hAnsi="仿宋" w:eastAsia="仿宋" w:cs="仿宋_GB2312"/>
          <w:color w:val="auto"/>
          <w:sz w:val="28"/>
          <w:szCs w:val="28"/>
        </w:rPr>
        <w:t>法定代表人或其授权代表（签字或加盖人名章）：</w:t>
      </w:r>
    </w:p>
    <w:p w14:paraId="731AC78A">
      <w:pPr>
        <w:spacing w:before="120" w:after="120" w:line="360" w:lineRule="auto"/>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日    期：</w:t>
      </w:r>
      <w:r>
        <w:rPr>
          <w:rFonts w:hint="eastAsia" w:ascii="仿宋" w:hAnsi="仿宋" w:eastAsia="仿宋" w:cs="仿宋_GB2312"/>
          <w:color w:val="auto"/>
          <w:sz w:val="28"/>
          <w:szCs w:val="28"/>
          <w:lang w:val="en-US" w:eastAsia="zh-CN"/>
        </w:rPr>
        <w:t xml:space="preserve">  </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 xml:space="preserve">  </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 xml:space="preserve">  </w:t>
      </w:r>
      <w:r>
        <w:rPr>
          <w:rFonts w:hint="eastAsia" w:ascii="仿宋" w:hAnsi="仿宋" w:eastAsia="仿宋" w:cs="仿宋_GB2312"/>
          <w:color w:val="auto"/>
          <w:sz w:val="28"/>
          <w:szCs w:val="28"/>
        </w:rPr>
        <w:t>日</w:t>
      </w:r>
    </w:p>
    <w:p w14:paraId="403AD4FC">
      <w:pPr>
        <w:pStyle w:val="4"/>
        <w:jc w:val="center"/>
        <w:rPr>
          <w:rFonts w:ascii="仿宋" w:hAnsi="仿宋" w:eastAsia="仿宋"/>
          <w:b/>
          <w:bCs/>
          <w:color w:val="auto"/>
          <w:sz w:val="32"/>
          <w:szCs w:val="32"/>
          <w:lang w:val="zh-CN"/>
        </w:rPr>
        <w:sectPr>
          <w:headerReference r:id="rId10" w:type="default"/>
          <w:footerReference r:id="rId11" w:type="default"/>
          <w:pgSz w:w="11906" w:h="16838"/>
          <w:pgMar w:top="1418" w:right="1418" w:bottom="1418" w:left="1418" w:header="851" w:footer="992" w:gutter="0"/>
          <w:pgNumType w:fmt="decimal"/>
          <w:cols w:space="720" w:num="1"/>
          <w:docGrid w:linePitch="312" w:charSpace="0"/>
        </w:sectPr>
      </w:pPr>
      <w:r>
        <w:rPr>
          <w:rFonts w:ascii="仿宋" w:hAnsi="仿宋" w:eastAsia="仿宋"/>
          <w:b/>
          <w:bCs/>
          <w:color w:val="auto"/>
          <w:sz w:val="32"/>
          <w:szCs w:val="32"/>
          <w:lang w:val="zh-CN"/>
        </w:rPr>
        <w:br w:type="page"/>
      </w:r>
    </w:p>
    <w:p w14:paraId="301EF747">
      <w:pPr>
        <w:pStyle w:val="4"/>
        <w:jc w:val="center"/>
        <w:rPr>
          <w:rFonts w:ascii="仿宋" w:hAnsi="仿宋" w:eastAsia="仿宋" w:cs="宋体"/>
          <w:b/>
          <w:bCs/>
          <w:color w:val="auto"/>
          <w:kern w:val="0"/>
          <w:sz w:val="30"/>
          <w:szCs w:val="30"/>
        </w:rPr>
      </w:pPr>
      <w:r>
        <w:rPr>
          <w:rFonts w:hint="eastAsia" w:ascii="仿宋" w:hAnsi="仿宋" w:eastAsia="仿宋" w:cs="宋体"/>
          <w:b/>
          <w:color w:val="auto"/>
          <w:sz w:val="32"/>
          <w:szCs w:val="32"/>
        </w:rPr>
        <w:t>基本资格条件6</w:t>
      </w:r>
    </w:p>
    <w:p w14:paraId="1A325CB8">
      <w:pPr>
        <w:snapToGrid w:val="0"/>
        <w:jc w:val="left"/>
        <w:rPr>
          <w:rFonts w:ascii="仿宋" w:hAnsi="仿宋" w:eastAsia="仿宋"/>
          <w:bCs/>
          <w:color w:val="auto"/>
          <w:sz w:val="28"/>
          <w:szCs w:val="28"/>
        </w:rPr>
      </w:pPr>
      <w:r>
        <w:rPr>
          <w:rFonts w:hint="eastAsia" w:ascii="仿宋" w:hAnsi="仿宋" w:eastAsia="仿宋"/>
          <w:bCs/>
          <w:color w:val="auto"/>
          <w:sz w:val="28"/>
          <w:szCs w:val="28"/>
        </w:rPr>
        <w:t>供应商控股股东名称、控股公司的名称和存在管理、被管理关系的单位名称说明</w:t>
      </w:r>
    </w:p>
    <w:p w14:paraId="1613EC33">
      <w:pPr>
        <w:ind w:firstLine="420"/>
        <w:rPr>
          <w:rFonts w:ascii="仿宋_GB2312" w:hAnsi="仿宋_GB2312" w:eastAsia="仿宋_GB2312" w:cs="仿宋_GB2312"/>
          <w:color w:val="auto"/>
          <w:szCs w:val="21"/>
        </w:rPr>
      </w:pPr>
    </w:p>
    <w:p w14:paraId="22F4FDAB">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致：陕西省采购招标有限责任公司</w:t>
      </w:r>
    </w:p>
    <w:p w14:paraId="0C1032C8">
      <w:pPr>
        <w:spacing w:after="120"/>
        <w:rPr>
          <w:rFonts w:ascii="仿宋_GB2312" w:hAnsi="仿宋_GB2312" w:eastAsia="仿宋_GB2312" w:cs="仿宋_GB2312"/>
          <w:color w:val="auto"/>
          <w:sz w:val="22"/>
          <w:szCs w:val="28"/>
        </w:rPr>
      </w:pPr>
    </w:p>
    <w:p w14:paraId="3441860D">
      <w:pPr>
        <w:ind w:firstLine="426"/>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与我方的法定代表人（单位负责人）为同一人的企业如下：</w:t>
      </w:r>
    </w:p>
    <w:p w14:paraId="0C0C3D6E">
      <w:pPr>
        <w:ind w:firstLine="426"/>
        <w:rPr>
          <w:rFonts w:ascii="仿宋_GB2312" w:hAnsi="仿宋_GB2312" w:eastAsia="仿宋_GB2312" w:cs="仿宋_GB2312"/>
          <w:color w:val="auto"/>
          <w:sz w:val="28"/>
          <w:szCs w:val="28"/>
        </w:rPr>
      </w:pPr>
    </w:p>
    <w:p w14:paraId="7BC76086">
      <w:pPr>
        <w:ind w:firstLine="426"/>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我方的控股股东如下：</w:t>
      </w:r>
    </w:p>
    <w:p w14:paraId="43628E20">
      <w:pPr>
        <w:ind w:firstLine="426"/>
        <w:rPr>
          <w:rFonts w:ascii="仿宋_GB2312" w:hAnsi="仿宋_GB2312" w:eastAsia="仿宋_GB2312" w:cs="仿宋_GB2312"/>
          <w:color w:val="auto"/>
          <w:sz w:val="28"/>
          <w:szCs w:val="28"/>
        </w:rPr>
      </w:pPr>
    </w:p>
    <w:p w14:paraId="6F23EECC">
      <w:pPr>
        <w:ind w:firstLine="426"/>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我方直接控股的企业如下：</w:t>
      </w:r>
    </w:p>
    <w:p w14:paraId="7EA20D49">
      <w:pPr>
        <w:ind w:firstLine="426"/>
        <w:rPr>
          <w:rFonts w:ascii="仿宋_GB2312" w:hAnsi="仿宋_GB2312" w:eastAsia="仿宋_GB2312" w:cs="仿宋_GB2312"/>
          <w:color w:val="auto"/>
          <w:sz w:val="28"/>
          <w:szCs w:val="28"/>
        </w:rPr>
      </w:pPr>
    </w:p>
    <w:p w14:paraId="5AFDA9F2">
      <w:pPr>
        <w:ind w:firstLine="426"/>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与我方存在管理、被管理关系的单位名称如下：</w:t>
      </w:r>
    </w:p>
    <w:p w14:paraId="2ED6E8E3">
      <w:pPr>
        <w:ind w:firstLine="426"/>
        <w:rPr>
          <w:rFonts w:ascii="仿宋_GB2312" w:hAnsi="仿宋_GB2312" w:eastAsia="仿宋_GB2312" w:cs="仿宋_GB2312"/>
          <w:color w:val="auto"/>
          <w:sz w:val="28"/>
          <w:szCs w:val="28"/>
        </w:rPr>
      </w:pPr>
    </w:p>
    <w:p w14:paraId="6941E066">
      <w:pPr>
        <w:ind w:firstLine="426"/>
        <w:rPr>
          <w:rFonts w:ascii="仿宋_GB2312" w:hAnsi="仿宋_GB2312" w:eastAsia="仿宋_GB2312" w:cs="仿宋_GB2312"/>
          <w:color w:val="auto"/>
          <w:sz w:val="22"/>
          <w:szCs w:val="22"/>
        </w:rPr>
      </w:pPr>
    </w:p>
    <w:p w14:paraId="0A044DAE">
      <w:pPr>
        <w:spacing w:before="120" w:after="120" w:line="360" w:lineRule="auto"/>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供应商名称（公章）： </w:t>
      </w:r>
    </w:p>
    <w:p w14:paraId="3DBFD9B0">
      <w:pPr>
        <w:spacing w:before="120" w:after="120" w:line="360" w:lineRule="auto"/>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法定代表人或其授权代表（签字或加盖人名章）：</w:t>
      </w:r>
    </w:p>
    <w:p w14:paraId="0819660A">
      <w:pPr>
        <w:spacing w:before="120" w:after="120"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    期：</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14:paraId="6721145E">
      <w:pPr>
        <w:rPr>
          <w:rFonts w:ascii="仿宋_GB2312" w:hAnsi="仿宋_GB2312" w:eastAsia="仿宋_GB2312" w:cs="仿宋_GB2312"/>
          <w:color w:val="auto"/>
          <w:szCs w:val="21"/>
        </w:rPr>
      </w:pPr>
      <w:bookmarkStart w:id="465" w:name="_Toc60928820"/>
      <w:bookmarkStart w:id="466" w:name="_Toc7005128"/>
      <w:bookmarkStart w:id="467" w:name="_Toc60929133"/>
      <w:bookmarkStart w:id="468" w:name="_Toc60928901"/>
      <w:r>
        <w:rPr>
          <w:rFonts w:ascii="仿宋_GB2312" w:hAnsi="仿宋_GB2312" w:eastAsia="仿宋_GB2312" w:cs="仿宋_GB2312"/>
          <w:color w:val="auto"/>
          <w:szCs w:val="21"/>
        </w:rPr>
        <w:br w:type="page"/>
      </w:r>
      <w:bookmarkEnd w:id="465"/>
      <w:bookmarkEnd w:id="466"/>
      <w:bookmarkEnd w:id="467"/>
      <w:bookmarkEnd w:id="468"/>
    </w:p>
    <w:p w14:paraId="6F1708EC">
      <w:pPr>
        <w:rPr>
          <w:rFonts w:ascii="仿宋_GB2312" w:hAnsi="仿宋_GB2312" w:eastAsia="仿宋_GB2312" w:cs="仿宋_GB2312"/>
          <w:color w:val="auto"/>
          <w:szCs w:val="21"/>
        </w:rPr>
      </w:pPr>
    </w:p>
    <w:p w14:paraId="278E6EEB">
      <w:pPr>
        <w:ind w:firstLine="560" w:firstLineChars="200"/>
        <w:rPr>
          <w:rFonts w:ascii="仿宋" w:hAnsi="仿宋" w:eastAsia="仿宋"/>
          <w:bCs/>
          <w:color w:val="auto"/>
          <w:sz w:val="28"/>
          <w:szCs w:val="28"/>
        </w:rPr>
      </w:pPr>
    </w:p>
    <w:p w14:paraId="5CC6369E">
      <w:pPr>
        <w:ind w:firstLine="560" w:firstLineChars="200"/>
        <w:rPr>
          <w:rFonts w:ascii="仿宋_GB2312" w:hAnsi="仿宋_GB2312" w:eastAsia="仿宋_GB2312" w:cs="仿宋_GB2312"/>
          <w:b/>
          <w:color w:val="auto"/>
        </w:rPr>
      </w:pPr>
      <w:r>
        <w:rPr>
          <w:rFonts w:hint="eastAsia" w:ascii="仿宋" w:hAnsi="仿宋" w:eastAsia="仿宋"/>
          <w:bCs/>
          <w:color w:val="auto"/>
          <w:sz w:val="28"/>
          <w:szCs w:val="28"/>
        </w:rPr>
        <w:t>供应商是否属于为本项目提供整体设计、规范编制或者项目管理</w:t>
      </w:r>
      <w:r>
        <w:rPr>
          <w:rFonts w:hint="eastAsia" w:ascii="仿宋" w:hAnsi="仿宋" w:eastAsia="仿宋"/>
          <w:bCs/>
          <w:color w:val="auto"/>
          <w:sz w:val="28"/>
          <w:szCs w:val="28"/>
          <w:lang w:eastAsia="zh-CN"/>
        </w:rPr>
        <w:t>、</w:t>
      </w:r>
      <w:r>
        <w:rPr>
          <w:rFonts w:hint="eastAsia" w:ascii="仿宋" w:hAnsi="仿宋" w:eastAsia="仿宋"/>
          <w:bCs/>
          <w:color w:val="auto"/>
          <w:sz w:val="28"/>
          <w:szCs w:val="28"/>
        </w:rPr>
        <w:t>检测等服务的供应商声明</w:t>
      </w:r>
    </w:p>
    <w:p w14:paraId="77A37FF8">
      <w:pPr>
        <w:ind w:firstLine="420"/>
        <w:rPr>
          <w:rFonts w:ascii="仿宋_GB2312" w:hAnsi="仿宋_GB2312" w:eastAsia="仿宋_GB2312" w:cs="仿宋_GB2312"/>
          <w:color w:val="auto"/>
          <w:szCs w:val="21"/>
        </w:rPr>
      </w:pPr>
    </w:p>
    <w:p w14:paraId="1B96CC29">
      <w:pPr>
        <w:spacing w:line="360" w:lineRule="auto"/>
        <w:rPr>
          <w:rFonts w:ascii="仿宋_GB2312" w:hAnsi="仿宋_GB2312" w:eastAsia="仿宋_GB2312" w:cs="仿宋_GB2312"/>
          <w:color w:val="auto"/>
          <w:szCs w:val="21"/>
        </w:rPr>
      </w:pPr>
    </w:p>
    <w:p w14:paraId="366777BB">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致：陕西省采购招标有限责任公司</w:t>
      </w:r>
    </w:p>
    <w:p w14:paraId="5B550B04">
      <w:pPr>
        <w:ind w:firstLine="426"/>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我方 </w:t>
      </w:r>
      <w:r>
        <w:rPr>
          <w:rFonts w:hint="eastAsia" w:ascii="仿宋_GB2312" w:hAnsi="仿宋_GB2312" w:eastAsia="仿宋_GB2312" w:cs="仿宋_GB2312"/>
          <w:i w:val="0"/>
          <w:iCs/>
          <w:color w:val="auto"/>
          <w:sz w:val="28"/>
          <w:szCs w:val="28"/>
          <w:u w:val="single"/>
        </w:rPr>
        <w:t>不属于</w:t>
      </w:r>
      <w:r>
        <w:rPr>
          <w:rFonts w:hint="eastAsia" w:ascii="仿宋_GB2312" w:hAnsi="仿宋_GB2312" w:eastAsia="仿宋_GB2312" w:cs="仿宋_GB2312"/>
          <w:i/>
          <w:color w:val="auto"/>
          <w:sz w:val="28"/>
          <w:szCs w:val="28"/>
          <w:u w:val="single"/>
        </w:rPr>
        <w:t xml:space="preserve"> </w:t>
      </w:r>
      <w:r>
        <w:rPr>
          <w:rFonts w:hint="eastAsia" w:ascii="仿宋_GB2312" w:hAnsi="仿宋_GB2312" w:eastAsia="仿宋_GB2312" w:cs="仿宋_GB2312"/>
          <w:color w:val="auto"/>
          <w:sz w:val="28"/>
          <w:szCs w:val="28"/>
        </w:rPr>
        <w:t>为本项目提供整体设计、规范编制或者项目管理、监理、检测等服务的</w:t>
      </w:r>
      <w:r>
        <w:rPr>
          <w:rFonts w:hint="eastAsia" w:ascii="仿宋_GB2312" w:hAnsi="仿宋_GB2312" w:eastAsia="仿宋_GB2312" w:cs="仿宋_GB2312"/>
          <w:color w:val="auto"/>
          <w:sz w:val="28"/>
          <w:szCs w:val="28"/>
          <w:lang w:eastAsia="zh-CN"/>
        </w:rPr>
        <w:t>供应商</w:t>
      </w:r>
      <w:r>
        <w:rPr>
          <w:rFonts w:hint="eastAsia" w:ascii="仿宋_GB2312" w:hAnsi="仿宋_GB2312" w:eastAsia="仿宋_GB2312" w:cs="仿宋_GB2312"/>
          <w:color w:val="auto"/>
          <w:sz w:val="28"/>
          <w:szCs w:val="28"/>
        </w:rPr>
        <w:t>。</w:t>
      </w:r>
    </w:p>
    <w:p w14:paraId="13A4B31D">
      <w:pPr>
        <w:ind w:firstLine="426"/>
        <w:rPr>
          <w:rFonts w:ascii="仿宋_GB2312" w:hAnsi="仿宋_GB2312" w:eastAsia="仿宋_GB2312" w:cs="仿宋_GB2312"/>
          <w:color w:val="auto"/>
          <w:sz w:val="28"/>
          <w:szCs w:val="28"/>
        </w:rPr>
      </w:pPr>
    </w:p>
    <w:p w14:paraId="00DF66D1">
      <w:pPr>
        <w:ind w:firstLine="426"/>
        <w:rPr>
          <w:rFonts w:ascii="仿宋_GB2312" w:hAnsi="仿宋_GB2312" w:eastAsia="仿宋_GB2312" w:cs="仿宋_GB2312"/>
          <w:color w:val="auto"/>
          <w:sz w:val="22"/>
          <w:szCs w:val="22"/>
        </w:rPr>
      </w:pPr>
    </w:p>
    <w:p w14:paraId="22B780EF">
      <w:pPr>
        <w:spacing w:before="120" w:after="120" w:line="360" w:lineRule="auto"/>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 xml:space="preserve">供应商名称（公章）： </w:t>
      </w:r>
    </w:p>
    <w:p w14:paraId="6FE1ECE3">
      <w:pPr>
        <w:spacing w:before="120" w:after="120" w:line="360" w:lineRule="auto"/>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法定代表人或其授权代表（签字或加盖人名章）：</w:t>
      </w:r>
    </w:p>
    <w:p w14:paraId="5BAE11B6">
      <w:pPr>
        <w:spacing w:before="120" w:after="120"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    期：</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14:paraId="0027DEFB">
      <w:pPr>
        <w:pStyle w:val="4"/>
        <w:jc w:val="center"/>
        <w:rPr>
          <w:color w:val="auto"/>
        </w:rPr>
        <w:sectPr>
          <w:pgSz w:w="11906" w:h="16838"/>
          <w:pgMar w:top="1418" w:right="1418" w:bottom="1418" w:left="1418" w:header="851" w:footer="992" w:gutter="0"/>
          <w:pgNumType w:fmt="decimal"/>
          <w:cols w:space="720" w:num="1"/>
          <w:docGrid w:linePitch="312" w:charSpace="0"/>
        </w:sectPr>
      </w:pPr>
      <w:r>
        <w:rPr>
          <w:rFonts w:ascii="仿宋_GB2312" w:hAnsi="仿宋_GB2312" w:eastAsia="仿宋_GB2312" w:cs="仿宋_GB2312"/>
          <w:b/>
          <w:color w:val="auto"/>
        </w:rPr>
        <w:br w:type="page"/>
      </w:r>
    </w:p>
    <w:p w14:paraId="2CFC0C32">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政府采购政策资格要求</w:t>
      </w:r>
    </w:p>
    <w:p w14:paraId="2376F844">
      <w:pPr>
        <w:jc w:val="center"/>
        <w:rPr>
          <w:rFonts w:hint="eastAsia" w:ascii="仿宋" w:hAnsi="仿宋" w:eastAsia="仿宋"/>
          <w:b/>
          <w:bCs/>
          <w:color w:val="auto"/>
          <w:sz w:val="32"/>
          <w:szCs w:val="32"/>
          <w:highlight w:val="none"/>
        </w:rPr>
      </w:pPr>
    </w:p>
    <w:p w14:paraId="0AC3A976">
      <w:pPr>
        <w:jc w:val="center"/>
        <w:rPr>
          <w:rFonts w:hint="eastAsia" w:ascii="仿宋" w:hAnsi="仿宋" w:eastAsia="仿宋"/>
          <w:b/>
          <w:bCs/>
          <w:color w:val="auto"/>
          <w:sz w:val="32"/>
          <w:szCs w:val="32"/>
          <w:highlight w:val="none"/>
        </w:rPr>
      </w:pPr>
    </w:p>
    <w:p w14:paraId="45703AF9">
      <w:pPr>
        <w:jc w:val="center"/>
        <w:rPr>
          <w:rFonts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中小企业声明函</w:t>
      </w:r>
    </w:p>
    <w:p w14:paraId="50EF1EC7">
      <w:pPr>
        <w:rPr>
          <w:rFonts w:ascii="仿宋_GB2312" w:hAnsi="仿宋_GB2312" w:eastAsia="仿宋_GB2312" w:cs="仿宋_GB2312"/>
          <w:color w:val="auto"/>
          <w:kern w:val="0"/>
          <w:sz w:val="24"/>
        </w:rPr>
      </w:pPr>
    </w:p>
    <w:p w14:paraId="7304CF07">
      <w:pPr>
        <w:spacing w:line="560" w:lineRule="exact"/>
        <w:ind w:firstLine="480" w:firstLineChars="200"/>
        <w:rPr>
          <w:rFonts w:hint="default" w:ascii="Times New Roman" w:hAnsi="Times New Roman" w:eastAsia="仿宋_GB2312" w:cs="Times New Roman"/>
          <w:i w:val="0"/>
          <w:iCs w:val="0"/>
          <w:color w:val="auto"/>
          <w:kern w:val="0"/>
          <w:sz w:val="24"/>
          <w:highlight w:val="none"/>
        </w:rPr>
      </w:pPr>
      <w:r>
        <w:rPr>
          <w:rFonts w:hint="default" w:ascii="Times New Roman" w:hAnsi="Times New Roman" w:eastAsia="仿宋_GB2312" w:cs="Times New Roman"/>
          <w:i w:val="0"/>
          <w:iCs w:val="0"/>
          <w:color w:val="auto"/>
          <w:kern w:val="0"/>
          <w:sz w:val="24"/>
          <w:highlight w:val="none"/>
        </w:rPr>
        <w:t>本公司郑重声明，根据《政府采购促进中小企业发展管理办法》(财库(2020)46号)的规定，本公司参加</w:t>
      </w:r>
      <w:r>
        <w:rPr>
          <w:rFonts w:hint="default" w:ascii="Times New Roman" w:hAnsi="Times New Roman" w:eastAsia="仿宋_GB2312" w:cs="Times New Roman"/>
          <w:i w:val="0"/>
          <w:iCs w:val="0"/>
          <w:color w:val="auto"/>
          <w:kern w:val="0"/>
          <w:sz w:val="24"/>
          <w:highlight w:val="none"/>
          <w:u w:val="single"/>
        </w:rPr>
        <w:t xml:space="preserve">  (单位名称) </w:t>
      </w:r>
      <w:r>
        <w:rPr>
          <w:rFonts w:hint="default" w:ascii="Times New Roman" w:hAnsi="Times New Roman" w:eastAsia="仿宋_GB2312" w:cs="Times New Roman"/>
          <w:i w:val="0"/>
          <w:iCs w:val="0"/>
          <w:color w:val="auto"/>
          <w:kern w:val="0"/>
          <w:sz w:val="24"/>
          <w:highlight w:val="none"/>
        </w:rPr>
        <w:t xml:space="preserve"> 的</w:t>
      </w:r>
      <w:r>
        <w:rPr>
          <w:rFonts w:hint="default" w:ascii="Times New Roman" w:hAnsi="Times New Roman" w:eastAsia="仿宋_GB2312" w:cs="Times New Roman"/>
          <w:i w:val="0"/>
          <w:iCs w:val="0"/>
          <w:color w:val="auto"/>
          <w:kern w:val="0"/>
          <w:sz w:val="24"/>
          <w:highlight w:val="none"/>
          <w:u w:val="single"/>
        </w:rPr>
        <w:t xml:space="preserve"> (项目名称) 采购</w:t>
      </w:r>
      <w:r>
        <w:rPr>
          <w:rFonts w:hint="default" w:ascii="Times New Roman" w:hAnsi="Times New Roman" w:eastAsia="仿宋_GB2312" w:cs="Times New Roman"/>
          <w:i w:val="0"/>
          <w:iCs w:val="0"/>
          <w:color w:val="auto"/>
          <w:kern w:val="0"/>
          <w:sz w:val="24"/>
          <w:highlight w:val="none"/>
        </w:rPr>
        <w:t>活动，工程的施工单位全部为符合政策要求的中小企业。相关企业的具体情况如下：</w:t>
      </w:r>
    </w:p>
    <w:p w14:paraId="5B37777D">
      <w:pPr>
        <w:pStyle w:val="76"/>
        <w:numPr>
          <w:ilvl w:val="0"/>
          <w:numId w:val="17"/>
        </w:numPr>
        <w:spacing w:line="560" w:lineRule="exact"/>
        <w:ind w:firstLineChars="0"/>
        <w:rPr>
          <w:rFonts w:hint="default" w:ascii="Times New Roman" w:hAnsi="Times New Roman" w:eastAsia="仿宋_GB2312" w:cs="Times New Roman"/>
          <w:i w:val="0"/>
          <w:iCs w:val="0"/>
          <w:color w:val="auto"/>
          <w:kern w:val="0"/>
          <w:sz w:val="24"/>
          <w:szCs w:val="24"/>
          <w:highlight w:val="none"/>
        </w:rPr>
      </w:pPr>
      <w:r>
        <w:rPr>
          <w:rFonts w:hint="default" w:ascii="Times New Roman" w:hAnsi="Times New Roman" w:eastAsia="仿宋_GB2312" w:cs="Times New Roman"/>
          <w:i w:val="0"/>
          <w:iCs w:val="0"/>
          <w:color w:val="auto"/>
          <w:kern w:val="0"/>
          <w:sz w:val="24"/>
          <w:szCs w:val="24"/>
          <w:highlight w:val="none"/>
          <w:u w:val="single"/>
        </w:rPr>
        <w:t xml:space="preserve"> (标的名称) </w:t>
      </w:r>
      <w:r>
        <w:rPr>
          <w:rFonts w:hint="default" w:ascii="Times New Roman" w:hAnsi="Times New Roman" w:eastAsia="仿宋_GB2312" w:cs="Times New Roman"/>
          <w:i w:val="0"/>
          <w:iCs w:val="0"/>
          <w:color w:val="auto"/>
          <w:kern w:val="0"/>
          <w:sz w:val="24"/>
          <w:szCs w:val="24"/>
          <w:highlight w:val="none"/>
        </w:rPr>
        <w:t>，属于</w:t>
      </w:r>
      <w:r>
        <w:rPr>
          <w:rFonts w:hint="default" w:ascii="Times New Roman" w:hAnsi="Times New Roman" w:eastAsia="仿宋_GB2312" w:cs="Times New Roman"/>
          <w:i w:val="0"/>
          <w:iCs w:val="0"/>
          <w:color w:val="auto"/>
          <w:kern w:val="0"/>
          <w:sz w:val="24"/>
          <w:szCs w:val="24"/>
          <w:highlight w:val="none"/>
          <w:u w:val="single"/>
        </w:rPr>
        <w:t xml:space="preserve">(采购文件中明的所属行业) </w:t>
      </w:r>
      <w:r>
        <w:rPr>
          <w:rFonts w:hint="default" w:ascii="Times New Roman" w:hAnsi="Times New Roman" w:eastAsia="仿宋_GB2312" w:cs="Times New Roman"/>
          <w:i w:val="0"/>
          <w:iCs w:val="0"/>
          <w:color w:val="auto"/>
          <w:kern w:val="0"/>
          <w:sz w:val="24"/>
          <w:szCs w:val="24"/>
          <w:highlight w:val="none"/>
        </w:rPr>
        <w:t>；承建(承接)企业为</w:t>
      </w:r>
      <w:r>
        <w:rPr>
          <w:rFonts w:hint="default" w:ascii="Times New Roman" w:hAnsi="Times New Roman" w:eastAsia="仿宋_GB2312" w:cs="Times New Roman"/>
          <w:i w:val="0"/>
          <w:iCs w:val="0"/>
          <w:color w:val="auto"/>
          <w:kern w:val="0"/>
          <w:sz w:val="24"/>
          <w:szCs w:val="24"/>
          <w:highlight w:val="none"/>
          <w:u w:val="single"/>
        </w:rPr>
        <w:t xml:space="preserve"> (企业名称) </w:t>
      </w:r>
      <w:r>
        <w:rPr>
          <w:rFonts w:hint="default" w:ascii="Times New Roman" w:hAnsi="Times New Roman" w:eastAsia="仿宋_GB2312" w:cs="Times New Roman"/>
          <w:i w:val="0"/>
          <w:iCs w:val="0"/>
          <w:color w:val="auto"/>
          <w:kern w:val="0"/>
          <w:sz w:val="24"/>
          <w:szCs w:val="24"/>
          <w:highlight w:val="none"/>
        </w:rPr>
        <w:t>，从业人员</w:t>
      </w:r>
      <w:r>
        <w:rPr>
          <w:rFonts w:hint="default" w:ascii="Times New Roman" w:hAnsi="Times New Roman" w:eastAsia="仿宋_GB2312" w:cs="Times New Roman"/>
          <w:i w:val="0"/>
          <w:iCs w:val="0"/>
          <w:color w:val="auto"/>
          <w:kern w:val="0"/>
          <w:sz w:val="24"/>
          <w:szCs w:val="24"/>
          <w:highlight w:val="none"/>
          <w:u w:val="single"/>
        </w:rPr>
        <w:t xml:space="preserve">   </w:t>
      </w:r>
      <w:r>
        <w:rPr>
          <w:rFonts w:hint="default" w:ascii="Times New Roman" w:hAnsi="Times New Roman" w:eastAsia="仿宋_GB2312" w:cs="Times New Roman"/>
          <w:i w:val="0"/>
          <w:iCs w:val="0"/>
          <w:color w:val="auto"/>
          <w:kern w:val="0"/>
          <w:sz w:val="24"/>
          <w:szCs w:val="24"/>
          <w:highlight w:val="none"/>
        </w:rPr>
        <w:t>人，营业收入为</w:t>
      </w:r>
      <w:r>
        <w:rPr>
          <w:rFonts w:hint="default" w:ascii="Times New Roman" w:hAnsi="Times New Roman" w:eastAsia="仿宋_GB2312" w:cs="Times New Roman"/>
          <w:i w:val="0"/>
          <w:iCs w:val="0"/>
          <w:color w:val="auto"/>
          <w:kern w:val="0"/>
          <w:sz w:val="24"/>
          <w:szCs w:val="24"/>
          <w:highlight w:val="none"/>
          <w:u w:val="single"/>
        </w:rPr>
        <w:t xml:space="preserve">   </w:t>
      </w:r>
      <w:r>
        <w:rPr>
          <w:rFonts w:hint="default" w:ascii="Times New Roman" w:hAnsi="Times New Roman" w:eastAsia="仿宋_GB2312" w:cs="Times New Roman"/>
          <w:i w:val="0"/>
          <w:iCs w:val="0"/>
          <w:color w:val="auto"/>
          <w:kern w:val="0"/>
          <w:sz w:val="24"/>
          <w:szCs w:val="24"/>
          <w:highlight w:val="none"/>
        </w:rPr>
        <w:t>万元，资产总额为</w:t>
      </w:r>
      <w:r>
        <w:rPr>
          <w:rFonts w:hint="default" w:ascii="Times New Roman" w:hAnsi="Times New Roman" w:eastAsia="仿宋_GB2312" w:cs="Times New Roman"/>
          <w:i w:val="0"/>
          <w:iCs w:val="0"/>
          <w:color w:val="auto"/>
          <w:kern w:val="0"/>
          <w:sz w:val="24"/>
          <w:szCs w:val="24"/>
          <w:highlight w:val="none"/>
          <w:u w:val="single"/>
        </w:rPr>
        <w:t xml:space="preserve">    </w:t>
      </w:r>
      <w:r>
        <w:rPr>
          <w:rFonts w:hint="default" w:ascii="Times New Roman" w:hAnsi="Times New Roman" w:eastAsia="仿宋_GB2312" w:cs="Times New Roman"/>
          <w:i w:val="0"/>
          <w:iCs w:val="0"/>
          <w:color w:val="auto"/>
          <w:kern w:val="0"/>
          <w:sz w:val="24"/>
          <w:szCs w:val="24"/>
          <w:highlight w:val="none"/>
        </w:rPr>
        <w:t>万元，属于</w:t>
      </w:r>
      <w:r>
        <w:rPr>
          <w:rFonts w:hint="default" w:ascii="Times New Roman" w:hAnsi="Times New Roman" w:eastAsia="仿宋_GB2312" w:cs="Times New Roman"/>
          <w:i w:val="0"/>
          <w:iCs w:val="0"/>
          <w:color w:val="auto"/>
          <w:kern w:val="0"/>
          <w:sz w:val="24"/>
          <w:szCs w:val="24"/>
          <w:highlight w:val="none"/>
          <w:u w:val="single"/>
        </w:rPr>
        <w:t xml:space="preserve"> (中型企</w:t>
      </w:r>
      <w:r>
        <w:rPr>
          <w:rFonts w:hint="eastAsia" w:ascii="Times New Roman" w:hAnsi="Times New Roman" w:eastAsia="仿宋_GB2312" w:cs="Times New Roman"/>
          <w:i w:val="0"/>
          <w:iCs w:val="0"/>
          <w:color w:val="auto"/>
          <w:kern w:val="0"/>
          <w:sz w:val="24"/>
          <w:szCs w:val="24"/>
          <w:highlight w:val="none"/>
          <w:u w:val="single"/>
          <w:lang w:eastAsia="zh-CN"/>
        </w:rPr>
        <w:t>业</w:t>
      </w:r>
      <w:r>
        <w:rPr>
          <w:rFonts w:hint="default" w:ascii="Times New Roman" w:hAnsi="Times New Roman" w:eastAsia="仿宋_GB2312" w:cs="Times New Roman"/>
          <w:i w:val="0"/>
          <w:iCs w:val="0"/>
          <w:color w:val="auto"/>
          <w:kern w:val="0"/>
          <w:sz w:val="24"/>
          <w:szCs w:val="24"/>
          <w:highlight w:val="none"/>
          <w:u w:val="single"/>
        </w:rPr>
        <w:t>、小型企业、微型企业)</w:t>
      </w:r>
      <w:r>
        <w:rPr>
          <w:rFonts w:hint="default" w:ascii="Times New Roman" w:hAnsi="Times New Roman" w:eastAsia="仿宋_GB2312" w:cs="Times New Roman"/>
          <w:i w:val="0"/>
          <w:iCs w:val="0"/>
          <w:color w:val="auto"/>
          <w:kern w:val="0"/>
          <w:sz w:val="24"/>
          <w:szCs w:val="24"/>
          <w:highlight w:val="none"/>
        </w:rPr>
        <w:t>；</w:t>
      </w:r>
    </w:p>
    <w:p w14:paraId="34DDE652">
      <w:pPr>
        <w:spacing w:line="560" w:lineRule="exact"/>
        <w:ind w:left="959" w:leftChars="228" w:hanging="480" w:hangingChars="200"/>
        <w:rPr>
          <w:rFonts w:hint="default" w:ascii="Times New Roman" w:hAnsi="Times New Roman" w:eastAsia="仿宋_GB2312" w:cs="Times New Roman"/>
          <w:i w:val="0"/>
          <w:iCs w:val="0"/>
          <w:color w:val="auto"/>
          <w:kern w:val="0"/>
          <w:sz w:val="24"/>
          <w:highlight w:val="none"/>
        </w:rPr>
      </w:pPr>
      <w:r>
        <w:rPr>
          <w:rFonts w:hint="default" w:ascii="Times New Roman" w:hAnsi="Times New Roman" w:eastAsia="仿宋_GB2312" w:cs="Times New Roman"/>
          <w:i w:val="0"/>
          <w:iCs w:val="0"/>
          <w:color w:val="auto"/>
          <w:kern w:val="0"/>
          <w:sz w:val="24"/>
          <w:highlight w:val="none"/>
        </w:rPr>
        <w:t xml:space="preserve">2. </w:t>
      </w:r>
      <w:r>
        <w:rPr>
          <w:rFonts w:hint="default" w:ascii="Times New Roman" w:hAnsi="Times New Roman" w:eastAsia="仿宋_GB2312" w:cs="Times New Roman"/>
          <w:i w:val="0"/>
          <w:iCs w:val="0"/>
          <w:color w:val="auto"/>
          <w:kern w:val="0"/>
          <w:sz w:val="24"/>
          <w:szCs w:val="24"/>
          <w:highlight w:val="none"/>
          <w:u w:val="single"/>
          <w:lang w:val="en-US" w:eastAsia="zh-CN" w:bidi="ar-SA"/>
        </w:rPr>
        <w:t xml:space="preserve"> (标的名称) ，属于 (采购文件中明的所属行业) ；承建(承接)企业为 (企业名称) ，从业人员   人，营业收入为   万元，资产总额为    万元，属于 (中型</w:t>
      </w:r>
      <w:r>
        <w:rPr>
          <w:rFonts w:hint="default" w:ascii="Times New Roman" w:hAnsi="Times New Roman" w:eastAsia="仿宋_GB2312" w:cs="Times New Roman"/>
          <w:i w:val="0"/>
          <w:iCs w:val="0"/>
          <w:color w:val="auto"/>
          <w:kern w:val="0"/>
          <w:sz w:val="24"/>
          <w:szCs w:val="24"/>
          <w:highlight w:val="none"/>
          <w:u w:val="single"/>
        </w:rPr>
        <w:t>企</w:t>
      </w:r>
      <w:r>
        <w:rPr>
          <w:rFonts w:hint="eastAsia" w:ascii="Times New Roman" w:hAnsi="Times New Roman" w:eastAsia="仿宋_GB2312" w:cs="Times New Roman"/>
          <w:i w:val="0"/>
          <w:iCs w:val="0"/>
          <w:color w:val="auto"/>
          <w:kern w:val="0"/>
          <w:sz w:val="24"/>
          <w:szCs w:val="24"/>
          <w:highlight w:val="none"/>
          <w:u w:val="single"/>
          <w:lang w:eastAsia="zh-CN"/>
        </w:rPr>
        <w:t>业</w:t>
      </w:r>
      <w:r>
        <w:rPr>
          <w:rFonts w:hint="default" w:ascii="Times New Roman" w:hAnsi="Times New Roman" w:eastAsia="仿宋_GB2312" w:cs="Times New Roman"/>
          <w:i w:val="0"/>
          <w:iCs w:val="0"/>
          <w:color w:val="auto"/>
          <w:kern w:val="0"/>
          <w:sz w:val="24"/>
          <w:szCs w:val="24"/>
          <w:highlight w:val="none"/>
          <w:u w:val="single"/>
          <w:lang w:val="en-US" w:eastAsia="zh-CN" w:bidi="ar-SA"/>
        </w:rPr>
        <w:t>、小型企业、微型企业) ；</w:t>
      </w:r>
    </w:p>
    <w:p w14:paraId="6D25156E">
      <w:pPr>
        <w:spacing w:line="560" w:lineRule="exact"/>
        <w:ind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以上企业，不属于大企业的分支机构，不存在控股股东为大企业的情形，也不存在与大企业的负责人为同一人的情形。</w:t>
      </w:r>
    </w:p>
    <w:p w14:paraId="21DE8259">
      <w:pPr>
        <w:spacing w:line="560" w:lineRule="exact"/>
        <w:ind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本企业对上述声明内容的真实性负责。如有虚假，将依法承担相应责任。</w:t>
      </w:r>
    </w:p>
    <w:p w14:paraId="602FC8AC">
      <w:pPr>
        <w:spacing w:line="560" w:lineRule="exac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企业名称(盖章):</w:t>
      </w:r>
    </w:p>
    <w:p w14:paraId="3AA11C36">
      <w:pPr>
        <w:spacing w:line="560" w:lineRule="exact"/>
        <w:ind w:firstLine="4320" w:firstLineChars="18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日期：</w:t>
      </w:r>
    </w:p>
    <w:p w14:paraId="6C0E0636">
      <w:pPr>
        <w:spacing w:line="560" w:lineRule="exact"/>
        <w:ind w:firstLine="4320" w:firstLineChars="1800"/>
        <w:rPr>
          <w:rFonts w:ascii="仿宋_GB2312" w:hAnsi="仿宋_GB2312" w:eastAsia="仿宋_GB2312" w:cs="仿宋_GB2312"/>
          <w:color w:val="auto"/>
          <w:kern w:val="0"/>
          <w:sz w:val="24"/>
        </w:rPr>
      </w:pPr>
    </w:p>
    <w:p w14:paraId="3A1F97FA">
      <w:pPr>
        <w:rPr>
          <w:rFonts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xml:space="preserve"> </w:t>
      </w:r>
      <w:r>
        <w:rPr>
          <w:rFonts w:hint="eastAsia" w:ascii="仿宋_GB2312" w:hAnsi="仿宋_GB2312" w:eastAsia="仿宋_GB2312" w:cs="仿宋_GB2312"/>
          <w:color w:val="auto"/>
          <w:kern w:val="0"/>
          <w:sz w:val="24"/>
          <w:u w:val="single"/>
        </w:rPr>
        <w:t xml:space="preserve">                                                   </w:t>
      </w:r>
    </w:p>
    <w:p w14:paraId="3D2F4347">
      <w:pPr>
        <w:ind w:firstLine="120" w:firstLineChars="50"/>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 w:val="24"/>
        </w:rPr>
        <w:t>（从业人员、营业收入、资产总额填报上一年度数据，无上一年度数据的新成立企业可不填报）</w:t>
      </w:r>
    </w:p>
    <w:p w14:paraId="69E729EF">
      <w:pPr>
        <w:rPr>
          <w:rFonts w:ascii="仿宋" w:hAnsi="仿宋" w:eastAsia="仿宋" w:cs="仿宋"/>
          <w:b/>
          <w:bCs/>
          <w:color w:val="auto"/>
          <w:sz w:val="24"/>
        </w:rPr>
      </w:pPr>
      <w:r>
        <w:rPr>
          <w:rFonts w:hint="eastAsia" w:ascii="仿宋" w:hAnsi="仿宋" w:eastAsia="仿宋" w:cs="仿宋"/>
          <w:b/>
          <w:bCs/>
          <w:color w:val="auto"/>
          <w:sz w:val="24"/>
        </w:rPr>
        <w:br w:type="page"/>
      </w:r>
    </w:p>
    <w:p w14:paraId="03A25F3B">
      <w:pPr>
        <w:keepNext w:val="0"/>
        <w:keepLines w:val="0"/>
        <w:pageBreakBefore w:val="0"/>
        <w:widowControl w:val="0"/>
        <w:tabs>
          <w:tab w:val="left" w:pos="3780"/>
        </w:tabs>
        <w:kinsoku/>
        <w:wordWrap/>
        <w:overflowPunct/>
        <w:topLinePunct w:val="0"/>
        <w:autoSpaceDE/>
        <w:autoSpaceDN/>
        <w:bidi w:val="0"/>
        <w:adjustRightInd/>
        <w:snapToGrid/>
        <w:spacing w:line="360" w:lineRule="auto"/>
        <w:jc w:val="center"/>
        <w:textAlignment w:val="auto"/>
        <w:outlineLvl w:val="9"/>
        <w:rPr>
          <w:rFonts w:ascii="仿宋" w:hAnsi="仿宋" w:eastAsia="仿宋" w:cs="仿宋"/>
          <w:b/>
          <w:bCs/>
          <w:color w:val="auto"/>
          <w:sz w:val="24"/>
          <w:szCs w:val="24"/>
        </w:rPr>
      </w:pPr>
      <w:r>
        <w:rPr>
          <w:rFonts w:hint="eastAsia" w:ascii="仿宋" w:hAnsi="仿宋" w:eastAsia="仿宋" w:cs="仿宋"/>
          <w:b/>
          <w:bCs/>
          <w:color w:val="auto"/>
          <w:sz w:val="24"/>
          <w:szCs w:val="24"/>
          <w:lang w:eastAsia="zh-CN"/>
        </w:rPr>
        <w:t>供应商</w:t>
      </w:r>
      <w:r>
        <w:rPr>
          <w:rFonts w:hint="eastAsia" w:ascii="仿宋" w:hAnsi="仿宋" w:eastAsia="仿宋" w:cs="仿宋"/>
          <w:b/>
          <w:bCs/>
          <w:color w:val="auto"/>
          <w:sz w:val="24"/>
          <w:szCs w:val="24"/>
        </w:rPr>
        <w:t>监狱企业声明函</w:t>
      </w:r>
    </w:p>
    <w:p w14:paraId="506D0005">
      <w:pPr>
        <w:widowControl/>
        <w:spacing w:before="100" w:beforeAutospacing="1" w:after="100" w:afterAutospacing="1"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本单位郑重声明下列事项（按照实际情况勾选或填空）：</w:t>
      </w:r>
    </w:p>
    <w:p w14:paraId="76881CC4">
      <w:pPr>
        <w:widowControl/>
        <w:spacing w:before="100" w:beforeAutospacing="1" w:after="100" w:afterAutospacing="1"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本单位为直接</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提供</w:t>
      </w:r>
      <w:r>
        <w:rPr>
          <w:rFonts w:hint="eastAsia" w:ascii="仿宋" w:hAnsi="仿宋" w:eastAsia="仿宋" w:cs="仿宋"/>
          <w:color w:val="auto"/>
          <w:kern w:val="0"/>
          <w:sz w:val="24"/>
          <w:lang w:eastAsia="zh-CN"/>
        </w:rPr>
        <w:t>工程</w:t>
      </w:r>
      <w:r>
        <w:rPr>
          <w:rFonts w:hint="eastAsia" w:ascii="仿宋" w:hAnsi="仿宋" w:eastAsia="仿宋" w:cs="仿宋"/>
          <w:color w:val="auto"/>
          <w:kern w:val="0"/>
          <w:sz w:val="24"/>
        </w:rPr>
        <w:t>。</w:t>
      </w:r>
    </w:p>
    <w:p w14:paraId="587CFB9C">
      <w:pPr>
        <w:widowControl/>
        <w:spacing w:before="100" w:beforeAutospacing="1" w:after="100" w:afterAutospacing="1" w:line="360" w:lineRule="auto"/>
        <w:ind w:firstLine="360" w:firstLineChars="150"/>
        <w:jc w:val="left"/>
        <w:rPr>
          <w:rFonts w:ascii="仿宋" w:hAnsi="仿宋" w:eastAsia="仿宋" w:cs="仿宋"/>
          <w:color w:val="auto"/>
          <w:kern w:val="0"/>
          <w:sz w:val="24"/>
        </w:rPr>
      </w:pPr>
      <w:r>
        <w:rPr>
          <w:rFonts w:hint="eastAsia" w:ascii="仿宋" w:hAnsi="仿宋" w:eastAsia="仿宋" w:cs="仿宋"/>
          <w:color w:val="auto"/>
          <w:kern w:val="0"/>
          <w:sz w:val="24"/>
        </w:rPr>
        <w:t>（1）本企业（单位）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（请填写：是、不是）监狱企业。如果是，后附省级以上监狱管理局、戒毒管理局（含新疆生产建设兵团）出具的属于监狱企业的证明文件。</w:t>
      </w:r>
    </w:p>
    <w:p w14:paraId="4EF0D4D2">
      <w:pPr>
        <w:widowControl/>
        <w:spacing w:before="100" w:beforeAutospacing="1" w:after="100" w:afterAutospacing="1" w:line="360" w:lineRule="auto"/>
        <w:ind w:firstLine="420"/>
        <w:jc w:val="left"/>
        <w:rPr>
          <w:rFonts w:ascii="仿宋" w:hAnsi="仿宋" w:eastAsia="仿宋" w:cs="仿宋"/>
          <w:color w:val="auto"/>
          <w:kern w:val="0"/>
          <w:sz w:val="24"/>
        </w:rPr>
      </w:pPr>
      <w:r>
        <w:rPr>
          <w:rFonts w:hint="eastAsia" w:ascii="仿宋" w:hAnsi="仿宋" w:eastAsia="仿宋" w:cs="仿宋"/>
          <w:color w:val="auto"/>
          <w:kern w:val="0"/>
          <w:sz w:val="24"/>
        </w:rPr>
        <w:t>（2）本企业（单位）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（请填写：是、不是）为联合体一方，提供由本企业（单位）承担工程。本企业（单位）提供协议合同金额占到共同投标协议合同总金额的比例为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14:paraId="2A809FCD">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2"/>
        <w:jc w:val="both"/>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本企业（单位）对上述声明的真实性负责。如有虚假，将依法承担相应责任。</w:t>
      </w:r>
    </w:p>
    <w:p w14:paraId="1B12C406">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2"/>
        <w:jc w:val="both"/>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注：符合《关于政府采购支持监狱企业发展有关问题的通知》价格扣减条件的供应商须提交。需提供省级以上监狱管理局、戒毒管理局（含新疆生产建设兵团）出具的属于监狱企业的证明文件。</w:t>
      </w:r>
    </w:p>
    <w:p w14:paraId="72DED4D6">
      <w:pPr>
        <w:widowControl/>
        <w:spacing w:before="100" w:beforeAutospacing="1" w:after="100" w:afterAutospacing="1" w:line="360" w:lineRule="auto"/>
        <w:jc w:val="left"/>
        <w:rPr>
          <w:rFonts w:ascii="仿宋" w:hAnsi="仿宋" w:eastAsia="仿宋" w:cs="仿宋"/>
          <w:color w:val="auto"/>
          <w:kern w:val="0"/>
          <w:sz w:val="24"/>
        </w:rPr>
      </w:pPr>
      <w:r>
        <w:rPr>
          <w:rFonts w:hint="eastAsia" w:ascii="仿宋" w:hAnsi="仿宋" w:eastAsia="仿宋" w:cs="仿宋"/>
          <w:color w:val="auto"/>
          <w:kern w:val="0"/>
          <w:sz w:val="24"/>
        </w:rPr>
        <w:t>　　</w:t>
      </w:r>
    </w:p>
    <w:p w14:paraId="53ECBB87">
      <w:pPr>
        <w:widowControl/>
        <w:spacing w:before="100" w:beforeAutospacing="1" w:after="100" w:afterAutospacing="1" w:line="360" w:lineRule="auto"/>
        <w:jc w:val="left"/>
        <w:rPr>
          <w:rFonts w:ascii="仿宋" w:hAnsi="仿宋" w:eastAsia="仿宋" w:cs="仿宋"/>
          <w:color w:val="auto"/>
          <w:kern w:val="0"/>
          <w:sz w:val="24"/>
        </w:rPr>
      </w:pPr>
    </w:p>
    <w:p w14:paraId="6151B3AE">
      <w:pPr>
        <w:widowControl/>
        <w:spacing w:before="100" w:beforeAutospacing="1" w:after="100" w:afterAutospacing="1" w:line="360" w:lineRule="auto"/>
        <w:jc w:val="left"/>
        <w:rPr>
          <w:rFonts w:ascii="仿宋" w:hAnsi="仿宋" w:eastAsia="仿宋" w:cs="仿宋"/>
          <w:color w:val="auto"/>
          <w:kern w:val="0"/>
          <w:sz w:val="24"/>
        </w:rPr>
      </w:pPr>
    </w:p>
    <w:p w14:paraId="2E33F7A1">
      <w:pPr>
        <w:spacing w:line="360" w:lineRule="auto"/>
        <w:ind w:left="1080" w:leftChars="257" w:hanging="540"/>
        <w:jc w:val="center"/>
        <w:rPr>
          <w:rFonts w:ascii="仿宋" w:hAnsi="仿宋" w:eastAsia="仿宋" w:cs="仿宋"/>
          <w:b/>
          <w:color w:val="auto"/>
          <w:kern w:val="0"/>
          <w:sz w:val="24"/>
        </w:rPr>
      </w:pPr>
      <w:r>
        <w:rPr>
          <w:rFonts w:hint="eastAsia" w:ascii="仿宋" w:hAnsi="仿宋" w:eastAsia="仿宋" w:cs="仿宋"/>
          <w:b/>
          <w:color w:val="auto"/>
          <w:kern w:val="0"/>
          <w:sz w:val="24"/>
        </w:rPr>
        <w:t>　</w:t>
      </w:r>
    </w:p>
    <w:p w14:paraId="0A8A560F">
      <w:pPr>
        <w:spacing w:line="360" w:lineRule="auto"/>
        <w:rPr>
          <w:rFonts w:ascii="仿宋" w:hAnsi="仿宋" w:eastAsia="仿宋" w:cs="仿宋"/>
          <w:b/>
          <w:color w:val="auto"/>
          <w:sz w:val="24"/>
        </w:rPr>
      </w:pPr>
    </w:p>
    <w:p w14:paraId="0F9E268F">
      <w:pPr>
        <w:widowControl/>
        <w:spacing w:before="100" w:beforeAutospacing="1" w:after="100" w:afterAutospacing="1" w:line="360" w:lineRule="auto"/>
        <w:ind w:firstLine="3960" w:firstLineChars="1650"/>
        <w:jc w:val="left"/>
        <w:rPr>
          <w:rFonts w:ascii="仿宋" w:hAnsi="仿宋" w:eastAsia="仿宋" w:cs="仿宋"/>
          <w:color w:val="auto"/>
          <w:kern w:val="0"/>
          <w:sz w:val="24"/>
        </w:rPr>
      </w:pPr>
      <w:r>
        <w:rPr>
          <w:rFonts w:hint="eastAsia" w:ascii="仿宋" w:hAnsi="仿宋" w:eastAsia="仿宋" w:cs="仿宋"/>
          <w:color w:val="auto"/>
          <w:kern w:val="0"/>
          <w:sz w:val="24"/>
          <w:lang w:val="en-US" w:eastAsia="zh-CN"/>
        </w:rPr>
        <w:t>供应商</w:t>
      </w:r>
      <w:r>
        <w:rPr>
          <w:rFonts w:hint="eastAsia" w:ascii="仿宋" w:hAnsi="仿宋" w:eastAsia="仿宋" w:cs="仿宋"/>
          <w:color w:val="auto"/>
          <w:kern w:val="0"/>
          <w:sz w:val="24"/>
        </w:rPr>
        <w:t>（盖章）：</w:t>
      </w:r>
      <w:r>
        <w:rPr>
          <w:rFonts w:hint="eastAsia" w:ascii="仿宋" w:hAnsi="仿宋" w:eastAsia="仿宋" w:cs="仿宋"/>
          <w:color w:val="auto"/>
          <w:kern w:val="0"/>
          <w:sz w:val="24"/>
          <w:u w:val="single"/>
        </w:rPr>
        <w:t xml:space="preserve">             </w:t>
      </w:r>
    </w:p>
    <w:p w14:paraId="2CE4525D">
      <w:pPr>
        <w:widowControl/>
        <w:spacing w:before="100" w:beforeAutospacing="1" w:after="100" w:afterAutospacing="1" w:line="360" w:lineRule="auto"/>
        <w:ind w:firstLine="3720" w:firstLineChars="1550"/>
        <w:jc w:val="left"/>
        <w:rPr>
          <w:rFonts w:ascii="仿宋" w:hAnsi="仿宋" w:eastAsia="仿宋" w:cs="仿宋"/>
          <w:color w:val="auto"/>
          <w:kern w:val="0"/>
          <w:sz w:val="24"/>
          <w:u w:val="single"/>
        </w:rPr>
      </w:pPr>
      <w:r>
        <w:rPr>
          <w:rFonts w:hint="eastAsia" w:ascii="仿宋" w:hAnsi="仿宋" w:eastAsia="仿宋" w:cs="仿宋"/>
          <w:color w:val="auto"/>
          <w:kern w:val="0"/>
          <w:sz w:val="24"/>
        </w:rPr>
        <w:t>　日　期：</w:t>
      </w:r>
      <w:r>
        <w:rPr>
          <w:rFonts w:hint="eastAsia" w:ascii="仿宋" w:hAnsi="仿宋" w:eastAsia="仿宋" w:cs="仿宋"/>
          <w:color w:val="auto"/>
          <w:kern w:val="0"/>
          <w:sz w:val="24"/>
          <w:u w:val="single"/>
        </w:rPr>
        <w:t xml:space="preserve">             </w:t>
      </w:r>
    </w:p>
    <w:p w14:paraId="7E6A0B31">
      <w:pPr>
        <w:keepNext w:val="0"/>
        <w:keepLines w:val="0"/>
        <w:pageBreakBefore w:val="0"/>
        <w:widowControl w:val="0"/>
        <w:tabs>
          <w:tab w:val="left" w:pos="3780"/>
        </w:tabs>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1"/>
          <w:szCs w:val="21"/>
        </w:rPr>
      </w:pPr>
      <w:r>
        <w:rPr>
          <w:rFonts w:hint="eastAsia" w:ascii="仿宋" w:hAnsi="仿宋" w:eastAsia="仿宋" w:cs="仿宋"/>
          <w:color w:val="auto"/>
          <w:sz w:val="21"/>
          <w:szCs w:val="21"/>
        </w:rPr>
        <w:br w:type="page"/>
      </w:r>
    </w:p>
    <w:p w14:paraId="5DE0B72B">
      <w:pPr>
        <w:keepNext w:val="0"/>
        <w:keepLines w:val="0"/>
        <w:pageBreakBefore w:val="0"/>
        <w:widowControl w:val="0"/>
        <w:tabs>
          <w:tab w:val="left" w:pos="3780"/>
        </w:tabs>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1"/>
          <w:szCs w:val="21"/>
        </w:rPr>
      </w:pPr>
    </w:p>
    <w:p w14:paraId="2DC296A1">
      <w:pPr>
        <w:keepNext w:val="0"/>
        <w:keepLines w:val="0"/>
        <w:pageBreakBefore w:val="0"/>
        <w:widowControl w:val="0"/>
        <w:tabs>
          <w:tab w:val="left" w:pos="3780"/>
        </w:tabs>
        <w:kinsoku/>
        <w:wordWrap/>
        <w:overflowPunct/>
        <w:topLinePunct w:val="0"/>
        <w:autoSpaceDE/>
        <w:autoSpaceDN/>
        <w:bidi w:val="0"/>
        <w:adjustRightInd/>
        <w:snapToGrid/>
        <w:spacing w:line="360" w:lineRule="auto"/>
        <w:jc w:val="center"/>
        <w:textAlignment w:val="auto"/>
        <w:outlineLvl w:val="9"/>
        <w:rPr>
          <w:rFonts w:ascii="仿宋" w:hAnsi="仿宋" w:eastAsia="仿宋" w:cs="仿宋"/>
          <w:b/>
          <w:bCs/>
          <w:color w:val="auto"/>
          <w:sz w:val="24"/>
          <w:szCs w:val="24"/>
        </w:rPr>
      </w:pPr>
      <w:r>
        <w:rPr>
          <w:rFonts w:hint="eastAsia" w:ascii="仿宋" w:hAnsi="仿宋" w:eastAsia="仿宋" w:cs="仿宋"/>
          <w:b/>
          <w:bCs/>
          <w:color w:val="auto"/>
          <w:sz w:val="24"/>
          <w:szCs w:val="24"/>
        </w:rPr>
        <w:t>残疾人福利性单位声明函</w:t>
      </w:r>
    </w:p>
    <w:p w14:paraId="14CCEA9D">
      <w:pPr>
        <w:spacing w:line="360" w:lineRule="auto"/>
        <w:ind w:left="1080" w:leftChars="257" w:hanging="540"/>
        <w:jc w:val="center"/>
        <w:rPr>
          <w:rFonts w:ascii="仿宋" w:hAnsi="仿宋" w:eastAsia="仿宋" w:cs="仿宋"/>
          <w:color w:val="auto"/>
          <w:kern w:val="0"/>
          <w:szCs w:val="21"/>
        </w:rPr>
      </w:pPr>
    </w:p>
    <w:p w14:paraId="4A19C45E">
      <w:pPr>
        <w:spacing w:line="360" w:lineRule="auto"/>
        <w:ind w:firstLine="567"/>
        <w:rPr>
          <w:rFonts w:ascii="仿宋" w:hAnsi="仿宋" w:eastAsia="仿宋" w:cs="仿宋"/>
          <w:color w:val="auto"/>
          <w:kern w:val="0"/>
          <w:sz w:val="24"/>
        </w:rPr>
      </w:pPr>
      <w:r>
        <w:rPr>
          <w:rFonts w:hint="eastAsia" w:ascii="仿宋" w:hAnsi="仿宋" w:eastAsia="仿宋" w:cs="仿宋"/>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承担工程，或者提供其他残疾人福利性单位</w:t>
      </w:r>
      <w:r>
        <w:rPr>
          <w:rFonts w:hint="eastAsia" w:ascii="仿宋" w:hAnsi="仿宋" w:eastAsia="仿宋" w:cs="仿宋"/>
          <w:color w:val="auto"/>
          <w:kern w:val="0"/>
          <w:sz w:val="24"/>
          <w:lang w:val="en-US" w:eastAsia="zh-CN"/>
        </w:rPr>
        <w:t>承担的工程</w:t>
      </w:r>
      <w:r>
        <w:rPr>
          <w:rFonts w:hint="eastAsia" w:ascii="仿宋" w:hAnsi="仿宋" w:eastAsia="仿宋" w:cs="仿宋"/>
          <w:color w:val="auto"/>
          <w:kern w:val="0"/>
          <w:sz w:val="24"/>
        </w:rPr>
        <w:t>。</w:t>
      </w:r>
    </w:p>
    <w:p w14:paraId="168D3534">
      <w:pPr>
        <w:spacing w:line="360" w:lineRule="auto"/>
        <w:ind w:left="1080" w:leftChars="257" w:hanging="540"/>
        <w:rPr>
          <w:rFonts w:ascii="仿宋" w:hAnsi="仿宋" w:eastAsia="仿宋" w:cs="仿宋"/>
          <w:color w:val="auto"/>
          <w:kern w:val="0"/>
          <w:sz w:val="24"/>
        </w:rPr>
      </w:pPr>
      <w:r>
        <w:rPr>
          <w:rFonts w:hint="eastAsia" w:ascii="仿宋" w:hAnsi="仿宋" w:eastAsia="仿宋" w:cs="仿宋"/>
          <w:color w:val="auto"/>
          <w:kern w:val="0"/>
          <w:sz w:val="24"/>
        </w:rPr>
        <w:t>本单位对上述声明的真实性负责。如有虚假，将依法承担相应责任。</w:t>
      </w:r>
    </w:p>
    <w:p w14:paraId="301D9870">
      <w:pPr>
        <w:spacing w:line="360" w:lineRule="auto"/>
        <w:ind w:left="1080" w:leftChars="257" w:hanging="540"/>
        <w:jc w:val="center"/>
        <w:rPr>
          <w:rFonts w:ascii="仿宋" w:hAnsi="仿宋" w:eastAsia="仿宋" w:cs="仿宋"/>
          <w:color w:val="auto"/>
          <w:kern w:val="0"/>
          <w:sz w:val="24"/>
        </w:rPr>
      </w:pPr>
    </w:p>
    <w:p w14:paraId="12D48AB1">
      <w:pPr>
        <w:spacing w:line="360" w:lineRule="auto"/>
        <w:ind w:left="1080" w:leftChars="257" w:hanging="540"/>
        <w:jc w:val="center"/>
        <w:rPr>
          <w:rFonts w:ascii="仿宋" w:hAnsi="仿宋" w:eastAsia="仿宋" w:cs="仿宋"/>
          <w:color w:val="auto"/>
          <w:kern w:val="0"/>
          <w:sz w:val="24"/>
        </w:rPr>
      </w:pPr>
    </w:p>
    <w:p w14:paraId="6280F265">
      <w:pPr>
        <w:spacing w:line="360" w:lineRule="auto"/>
        <w:ind w:left="1080" w:leftChars="257" w:hanging="540"/>
        <w:jc w:val="center"/>
        <w:rPr>
          <w:rFonts w:ascii="仿宋" w:hAnsi="仿宋" w:eastAsia="仿宋" w:cs="仿宋"/>
          <w:color w:val="auto"/>
          <w:kern w:val="0"/>
          <w:sz w:val="24"/>
          <w:u w:val="single"/>
        </w:rPr>
      </w:pPr>
      <w:r>
        <w:rPr>
          <w:rFonts w:hint="eastAsia" w:ascii="仿宋" w:hAnsi="仿宋" w:eastAsia="仿宋" w:cs="仿宋"/>
          <w:color w:val="auto"/>
          <w:kern w:val="0"/>
          <w:sz w:val="24"/>
        </w:rPr>
        <w:t xml:space="preserve"> 残疾人福利性单位（盖章）：</w:t>
      </w:r>
      <w:r>
        <w:rPr>
          <w:rFonts w:hint="eastAsia" w:ascii="仿宋" w:hAnsi="仿宋" w:eastAsia="仿宋" w:cs="仿宋"/>
          <w:color w:val="auto"/>
          <w:kern w:val="0"/>
          <w:sz w:val="24"/>
          <w:u w:val="single"/>
        </w:rPr>
        <w:t xml:space="preserve">                  </w:t>
      </w:r>
    </w:p>
    <w:p w14:paraId="552E7D4F">
      <w:pPr>
        <w:spacing w:line="360" w:lineRule="auto"/>
        <w:ind w:left="1080" w:leftChars="257" w:hanging="540"/>
        <w:jc w:val="center"/>
        <w:rPr>
          <w:rFonts w:ascii="仿宋" w:hAnsi="仿宋" w:eastAsia="仿宋" w:cs="仿宋"/>
          <w:color w:val="auto"/>
          <w:kern w:val="0"/>
          <w:sz w:val="24"/>
        </w:rPr>
      </w:pPr>
      <w:r>
        <w:rPr>
          <w:rFonts w:hint="eastAsia" w:ascii="仿宋" w:hAnsi="仿宋" w:eastAsia="仿宋" w:cs="仿宋"/>
          <w:color w:val="auto"/>
          <w:kern w:val="0"/>
          <w:sz w:val="24"/>
        </w:rPr>
        <w:t xml:space="preserve">         </w:t>
      </w:r>
    </w:p>
    <w:p w14:paraId="1F6E4136">
      <w:pPr>
        <w:keepNext w:val="0"/>
        <w:keepLines w:val="0"/>
        <w:pageBreakBefore w:val="0"/>
        <w:widowControl w:val="0"/>
        <w:tabs>
          <w:tab w:val="left" w:pos="588"/>
        </w:tabs>
        <w:kinsoku/>
        <w:wordWrap/>
        <w:overflowPunct/>
        <w:topLinePunct w:val="0"/>
        <w:autoSpaceDE/>
        <w:autoSpaceDN/>
        <w:bidi w:val="0"/>
        <w:adjustRightInd/>
        <w:snapToGrid/>
        <w:jc w:val="center"/>
        <w:textAlignment w:val="auto"/>
        <w:outlineLvl w:val="9"/>
        <w:rPr>
          <w:rFonts w:hint="eastAsia" w:ascii="仿宋" w:hAnsi="仿宋" w:eastAsia="仿宋" w:cs="仿宋"/>
          <w:color w:val="auto"/>
          <w:kern w:val="0"/>
          <w:sz w:val="24"/>
        </w:rPr>
      </w:pPr>
      <w:r>
        <w:rPr>
          <w:rFonts w:hint="eastAsia" w:ascii="仿宋" w:hAnsi="仿宋" w:eastAsia="仿宋" w:cs="仿宋"/>
          <w:color w:val="auto"/>
          <w:kern w:val="0"/>
          <w:sz w:val="24"/>
        </w:rPr>
        <w:t>日  期：</w:t>
      </w:r>
    </w:p>
    <w:p w14:paraId="2CE4C432">
      <w:pPr>
        <w:rPr>
          <w:rFonts w:hint="eastAsia" w:ascii="仿宋" w:hAnsi="仿宋" w:eastAsia="仿宋" w:cs="宋体"/>
          <w:b/>
          <w:color w:val="auto"/>
          <w:sz w:val="32"/>
          <w:szCs w:val="32"/>
        </w:rPr>
      </w:pPr>
      <w:r>
        <w:rPr>
          <w:rFonts w:hint="eastAsia" w:ascii="仿宋" w:hAnsi="仿宋" w:eastAsia="仿宋" w:cs="宋体"/>
          <w:b/>
          <w:color w:val="auto"/>
          <w:sz w:val="32"/>
          <w:szCs w:val="32"/>
        </w:rPr>
        <w:br w:type="page"/>
      </w:r>
    </w:p>
    <w:p w14:paraId="254AD31F">
      <w:pPr>
        <w:pStyle w:val="4"/>
        <w:jc w:val="center"/>
        <w:rPr>
          <w:rFonts w:ascii="仿宋" w:hAnsi="仿宋" w:eastAsia="仿宋"/>
          <w:b/>
          <w:bCs/>
          <w:color w:val="auto"/>
          <w:sz w:val="32"/>
          <w:szCs w:val="32"/>
        </w:rPr>
      </w:pPr>
      <w:r>
        <w:rPr>
          <w:rFonts w:hint="eastAsia" w:ascii="仿宋" w:hAnsi="仿宋" w:eastAsia="仿宋" w:cs="宋体"/>
          <w:b/>
          <w:color w:val="auto"/>
          <w:sz w:val="32"/>
          <w:szCs w:val="32"/>
        </w:rPr>
        <w:t>特定资格条件1</w:t>
      </w:r>
    </w:p>
    <w:p w14:paraId="77E5C8B3">
      <w:pPr>
        <w:rPr>
          <w:rFonts w:hint="eastAsia" w:ascii="仿宋" w:hAnsi="仿宋" w:eastAsia="仿宋" w:cs="宋体"/>
          <w:b/>
          <w:color w:val="auto"/>
          <w:sz w:val="32"/>
          <w:szCs w:val="32"/>
          <w:highlight w:val="none"/>
          <w:lang w:eastAsia="zh-CN"/>
        </w:rPr>
      </w:pPr>
      <w:r>
        <w:rPr>
          <w:rFonts w:hint="eastAsia" w:ascii="仿宋" w:hAnsi="仿宋" w:eastAsia="仿宋" w:cs="仿宋"/>
          <w:color w:val="auto"/>
          <w:kern w:val="0"/>
          <w:sz w:val="28"/>
          <w:szCs w:val="28"/>
          <w:highlight w:val="none"/>
        </w:rPr>
        <w:t>供应商在递交响应文件截止时间前在中国政府采购网（www.ccgp.gov.cn）</w:t>
      </w:r>
      <w:r>
        <w:rPr>
          <w:rFonts w:hint="eastAsia" w:ascii="仿宋" w:hAnsi="仿宋" w:eastAsia="仿宋" w:cs="仿宋"/>
          <w:color w:val="auto"/>
          <w:kern w:val="0"/>
          <w:sz w:val="28"/>
          <w:szCs w:val="28"/>
          <w:highlight w:val="none"/>
          <w:lang w:val="en-US" w:eastAsia="zh-CN"/>
        </w:rPr>
        <w:t>未</w:t>
      </w:r>
      <w:r>
        <w:rPr>
          <w:rFonts w:hint="eastAsia" w:ascii="仿宋" w:hAnsi="仿宋" w:eastAsia="仿宋" w:cs="仿宋"/>
          <w:color w:val="auto"/>
          <w:kern w:val="0"/>
          <w:sz w:val="28"/>
          <w:szCs w:val="28"/>
          <w:highlight w:val="none"/>
        </w:rPr>
        <w:t>被列入政府采购严重违法失信行为记录名单，或在“信用中国”网站（www.creditchina.gov.cn）上</w:t>
      </w:r>
      <w:r>
        <w:rPr>
          <w:rFonts w:hint="eastAsia" w:ascii="仿宋" w:hAnsi="仿宋" w:eastAsia="仿宋" w:cs="仿宋"/>
          <w:color w:val="auto"/>
          <w:kern w:val="0"/>
          <w:sz w:val="28"/>
          <w:szCs w:val="28"/>
          <w:highlight w:val="none"/>
          <w:lang w:val="en-US" w:eastAsia="zh-CN"/>
        </w:rPr>
        <w:t>未</w:t>
      </w:r>
      <w:r>
        <w:rPr>
          <w:rFonts w:hint="eastAsia" w:ascii="仿宋" w:hAnsi="仿宋" w:eastAsia="仿宋" w:cs="仿宋"/>
          <w:color w:val="auto"/>
          <w:kern w:val="0"/>
          <w:sz w:val="28"/>
          <w:szCs w:val="28"/>
          <w:highlight w:val="none"/>
        </w:rPr>
        <w:t>被列入失信被执行人、</w:t>
      </w:r>
      <w:r>
        <w:rPr>
          <w:rFonts w:hint="eastAsia" w:ascii="仿宋" w:hAnsi="仿宋" w:eastAsia="仿宋" w:cs="仿宋"/>
          <w:color w:val="auto"/>
          <w:kern w:val="0"/>
          <w:sz w:val="28"/>
          <w:szCs w:val="28"/>
          <w:highlight w:val="none"/>
          <w:lang w:eastAsia="zh-CN"/>
        </w:rPr>
        <w:t>重大税收违法失信主体</w:t>
      </w:r>
      <w:r>
        <w:rPr>
          <w:rFonts w:hint="eastAsia" w:ascii="仿宋" w:hAnsi="仿宋" w:eastAsia="仿宋" w:cs="仿宋"/>
          <w:color w:val="auto"/>
          <w:kern w:val="0"/>
          <w:sz w:val="28"/>
          <w:szCs w:val="28"/>
          <w:highlight w:val="none"/>
        </w:rPr>
        <w:t>的，附查询截图，查询时间为购买磋商文件至磋商截止时间前</w:t>
      </w:r>
      <w:r>
        <w:rPr>
          <w:rFonts w:hint="eastAsia" w:ascii="仿宋" w:hAnsi="仿宋" w:eastAsia="仿宋" w:cs="仿宋_GB2312"/>
          <w:color w:val="auto"/>
          <w:kern w:val="0"/>
          <w:sz w:val="28"/>
          <w:szCs w:val="28"/>
          <w:highlight w:val="none"/>
        </w:rPr>
        <w:t>。</w:t>
      </w:r>
    </w:p>
    <w:p w14:paraId="1DF95A3C">
      <w:pPr>
        <w:pStyle w:val="22"/>
        <w:rPr>
          <w:rFonts w:ascii="仿宋" w:hAnsi="仿宋" w:eastAsia="仿宋"/>
          <w:color w:val="auto"/>
        </w:rPr>
      </w:pPr>
    </w:p>
    <w:p w14:paraId="157F7ADA">
      <w:pPr>
        <w:rPr>
          <w:rFonts w:ascii="仿宋" w:hAnsi="仿宋" w:eastAsia="仿宋" w:cs="宋体"/>
          <w:b/>
          <w:color w:val="auto"/>
          <w:sz w:val="32"/>
          <w:szCs w:val="32"/>
        </w:rPr>
      </w:pPr>
      <w:r>
        <w:rPr>
          <w:rFonts w:hint="eastAsia" w:ascii="仿宋" w:hAnsi="仿宋" w:eastAsia="仿宋" w:cs="宋体"/>
          <w:b/>
          <w:color w:val="auto"/>
          <w:sz w:val="32"/>
          <w:szCs w:val="32"/>
        </w:rPr>
        <w:br w:type="page"/>
      </w:r>
    </w:p>
    <w:p w14:paraId="1CEE6BB4">
      <w:pPr>
        <w:pStyle w:val="4"/>
        <w:jc w:val="center"/>
        <w:rPr>
          <w:rFonts w:ascii="仿宋" w:hAnsi="仿宋" w:eastAsia="仿宋" w:cs="宋体"/>
          <w:b/>
          <w:color w:val="auto"/>
          <w:sz w:val="32"/>
          <w:szCs w:val="32"/>
        </w:rPr>
      </w:pPr>
      <w:r>
        <w:rPr>
          <w:rFonts w:hint="eastAsia" w:ascii="仿宋" w:hAnsi="仿宋" w:eastAsia="仿宋" w:cs="宋体"/>
          <w:b/>
          <w:color w:val="auto"/>
          <w:sz w:val="32"/>
          <w:szCs w:val="32"/>
        </w:rPr>
        <w:t>特定资格条件2</w:t>
      </w:r>
    </w:p>
    <w:p w14:paraId="571EFCA0">
      <w:pPr>
        <w:autoSpaceDE w:val="0"/>
        <w:autoSpaceDN w:val="0"/>
        <w:adjustRightInd w:val="0"/>
        <w:snapToGrid w:val="0"/>
        <w:spacing w:line="312" w:lineRule="auto"/>
        <w:jc w:val="center"/>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供应商应授权合法的人员参加磋商全过程，其中法定代表人直接参加磋商的，须出具法人身份证，并与营业执照上信息一致。法定代表人授权代表参加磋商的，</w:t>
      </w:r>
      <w:r>
        <w:rPr>
          <w:rFonts w:hint="eastAsia" w:ascii="仿宋" w:hAnsi="仿宋" w:eastAsia="仿宋" w:cs="仿宋"/>
          <w:bCs/>
          <w:color w:val="auto"/>
          <w:sz w:val="28"/>
          <w:szCs w:val="28"/>
          <w:lang w:eastAsia="zh-CN"/>
        </w:rPr>
        <w:t>须出具法定代表人授权书及授权代表身份证、授权代表本单位证明（养老保险缴纳证明）</w:t>
      </w:r>
    </w:p>
    <w:p w14:paraId="4E8D1818">
      <w:pPr>
        <w:autoSpaceDE w:val="0"/>
        <w:autoSpaceDN w:val="0"/>
        <w:adjustRightInd w:val="0"/>
        <w:spacing w:line="348" w:lineRule="auto"/>
        <w:jc w:val="center"/>
        <w:rPr>
          <w:rFonts w:ascii="仿宋" w:hAnsi="仿宋" w:eastAsia="仿宋" w:cs="黑体"/>
          <w:b/>
          <w:color w:val="auto"/>
          <w:sz w:val="32"/>
          <w:szCs w:val="32"/>
        </w:rPr>
      </w:pPr>
      <w:r>
        <w:rPr>
          <w:rFonts w:hint="eastAsia" w:ascii="仿宋" w:hAnsi="仿宋" w:eastAsia="仿宋" w:cs="黑体"/>
          <w:b/>
          <w:color w:val="auto"/>
          <w:sz w:val="32"/>
          <w:szCs w:val="32"/>
        </w:rPr>
        <w:br w:type="page"/>
      </w:r>
    </w:p>
    <w:p w14:paraId="11E71632">
      <w:pPr>
        <w:autoSpaceDE w:val="0"/>
        <w:autoSpaceDN w:val="0"/>
        <w:adjustRightInd w:val="0"/>
        <w:spacing w:line="348" w:lineRule="auto"/>
        <w:jc w:val="center"/>
        <w:rPr>
          <w:rFonts w:ascii="仿宋" w:hAnsi="仿宋" w:eastAsia="仿宋" w:cs="黑体"/>
          <w:b/>
          <w:color w:val="auto"/>
          <w:sz w:val="32"/>
          <w:szCs w:val="32"/>
        </w:rPr>
      </w:pPr>
      <w:r>
        <w:rPr>
          <w:rFonts w:hint="eastAsia" w:ascii="仿宋" w:hAnsi="仿宋" w:eastAsia="仿宋" w:cs="黑体"/>
          <w:b/>
          <w:color w:val="auto"/>
          <w:sz w:val="32"/>
          <w:szCs w:val="32"/>
        </w:rPr>
        <w:t>法定代表人授权书</w:t>
      </w:r>
    </w:p>
    <w:p w14:paraId="6E3495B4">
      <w:pPr>
        <w:autoSpaceDE w:val="0"/>
        <w:autoSpaceDN w:val="0"/>
        <w:adjustRightInd w:val="0"/>
        <w:spacing w:line="348" w:lineRule="auto"/>
        <w:ind w:firstLine="400"/>
        <w:rPr>
          <w:rFonts w:ascii="仿宋" w:hAnsi="仿宋" w:eastAsia="仿宋"/>
          <w:b/>
          <w:color w:val="auto"/>
          <w:sz w:val="20"/>
        </w:rPr>
      </w:pPr>
    </w:p>
    <w:p w14:paraId="07CFA846">
      <w:pPr>
        <w:autoSpaceDE w:val="0"/>
        <w:autoSpaceDN w:val="0"/>
        <w:adjustRightInd w:val="0"/>
        <w:spacing w:line="348" w:lineRule="auto"/>
        <w:rPr>
          <w:rFonts w:ascii="仿宋" w:hAnsi="仿宋" w:eastAsia="仿宋" w:cs="仿宋"/>
          <w:color w:val="auto"/>
          <w:sz w:val="28"/>
          <w:szCs w:val="28"/>
        </w:rPr>
      </w:pPr>
      <w:r>
        <w:rPr>
          <w:rFonts w:hint="eastAsia" w:ascii="仿宋" w:hAnsi="仿宋" w:eastAsia="仿宋" w:cs="仿宋"/>
          <w:color w:val="auto"/>
          <w:sz w:val="28"/>
          <w:szCs w:val="28"/>
        </w:rPr>
        <w:t>陕西省采购招标有限责任公司：</w:t>
      </w:r>
    </w:p>
    <w:p w14:paraId="793A6ED6">
      <w:pPr>
        <w:autoSpaceDE w:val="0"/>
        <w:autoSpaceDN w:val="0"/>
        <w:adjustRightInd w:val="0"/>
        <w:spacing w:line="348" w:lineRule="auto"/>
        <w:ind w:firstLine="640"/>
        <w:rPr>
          <w:rFonts w:ascii="仿宋" w:hAnsi="仿宋" w:eastAsia="仿宋" w:cs="仿宋"/>
          <w:color w:val="auto"/>
          <w:sz w:val="28"/>
          <w:szCs w:val="28"/>
        </w:rPr>
      </w:pPr>
      <w:r>
        <w:rPr>
          <w:rFonts w:hint="eastAsia" w:ascii="仿宋" w:hAnsi="仿宋" w:eastAsia="仿宋" w:cs="仿宋"/>
          <w:color w:val="auto"/>
          <w:sz w:val="28"/>
          <w:szCs w:val="28"/>
        </w:rPr>
        <w:t>注册于</w:t>
      </w:r>
      <w:r>
        <w:rPr>
          <w:rFonts w:hint="eastAsia" w:ascii="仿宋" w:hAnsi="仿宋" w:eastAsia="仿宋" w:cs="仿宋"/>
          <w:color w:val="auto"/>
          <w:sz w:val="28"/>
          <w:szCs w:val="28"/>
          <w:u w:val="single"/>
        </w:rPr>
        <w:t>（工商行政管理局名称）</w:t>
      </w:r>
      <w:r>
        <w:rPr>
          <w:rFonts w:hint="eastAsia" w:ascii="仿宋" w:hAnsi="仿宋" w:eastAsia="仿宋" w:cs="仿宋"/>
          <w:color w:val="auto"/>
          <w:sz w:val="28"/>
          <w:szCs w:val="28"/>
        </w:rPr>
        <w:t>之</w:t>
      </w:r>
      <w:r>
        <w:rPr>
          <w:rFonts w:hint="eastAsia" w:ascii="仿宋" w:hAnsi="仿宋" w:eastAsia="仿宋" w:cs="仿宋"/>
          <w:color w:val="auto"/>
          <w:sz w:val="28"/>
          <w:szCs w:val="28"/>
          <w:u w:val="single"/>
        </w:rPr>
        <w:t>（供应商全称）</w:t>
      </w:r>
      <w:r>
        <w:rPr>
          <w:rFonts w:hint="eastAsia" w:ascii="仿宋" w:hAnsi="仿宋" w:eastAsia="仿宋" w:cs="仿宋"/>
          <w:color w:val="auto"/>
          <w:sz w:val="28"/>
          <w:szCs w:val="28"/>
        </w:rPr>
        <w:t>法人代表</w:t>
      </w:r>
      <w:r>
        <w:rPr>
          <w:rFonts w:hint="eastAsia" w:ascii="仿宋" w:hAnsi="仿宋" w:eastAsia="仿宋" w:cs="仿宋"/>
          <w:color w:val="auto"/>
          <w:sz w:val="28"/>
          <w:szCs w:val="28"/>
          <w:u w:val="single"/>
        </w:rPr>
        <w:t>（姓名、职务）</w:t>
      </w:r>
      <w:r>
        <w:rPr>
          <w:rFonts w:hint="eastAsia" w:ascii="仿宋" w:hAnsi="仿宋" w:eastAsia="仿宋" w:cs="仿宋"/>
          <w:color w:val="auto"/>
          <w:sz w:val="28"/>
          <w:szCs w:val="28"/>
        </w:rPr>
        <w:t>授权</w:t>
      </w:r>
      <w:r>
        <w:rPr>
          <w:rFonts w:hint="eastAsia" w:ascii="仿宋" w:hAnsi="仿宋" w:eastAsia="仿宋" w:cs="仿宋"/>
          <w:color w:val="auto"/>
          <w:sz w:val="28"/>
          <w:szCs w:val="28"/>
          <w:u w:val="single"/>
        </w:rPr>
        <w:t>（被授权人姓名、职务）</w:t>
      </w:r>
      <w:r>
        <w:rPr>
          <w:rFonts w:hint="eastAsia" w:ascii="仿宋" w:hAnsi="仿宋" w:eastAsia="仿宋" w:cs="仿宋"/>
          <w:color w:val="auto"/>
          <w:sz w:val="28"/>
          <w:szCs w:val="28"/>
        </w:rPr>
        <w:t>为本公司的合法代理人，就</w:t>
      </w:r>
      <w:r>
        <w:rPr>
          <w:rFonts w:hint="eastAsia" w:ascii="仿宋" w:hAnsi="仿宋" w:eastAsia="仿宋" w:cs="仿宋"/>
          <w:color w:val="auto"/>
          <w:sz w:val="28"/>
          <w:szCs w:val="28"/>
          <w:u w:val="single"/>
        </w:rPr>
        <w:t>（项目名称）</w:t>
      </w:r>
      <w:r>
        <w:rPr>
          <w:rFonts w:hint="eastAsia" w:ascii="仿宋" w:hAnsi="仿宋" w:eastAsia="仿宋" w:cs="仿宋"/>
          <w:color w:val="auto"/>
          <w:sz w:val="28"/>
          <w:szCs w:val="28"/>
        </w:rPr>
        <w:t>的磋商及合同的执行和完成，以本公司的名义处理一切与之有关的事宜。</w:t>
      </w:r>
    </w:p>
    <w:p w14:paraId="512E71CD">
      <w:pPr>
        <w:autoSpaceDE w:val="0"/>
        <w:autoSpaceDN w:val="0"/>
        <w:adjustRightInd w:val="0"/>
        <w:spacing w:line="348" w:lineRule="auto"/>
        <w:rPr>
          <w:rFonts w:ascii="仿宋" w:hAnsi="仿宋" w:eastAsia="仿宋" w:cs="仿宋"/>
          <w:color w:val="auto"/>
          <w:sz w:val="28"/>
          <w:szCs w:val="28"/>
        </w:rPr>
      </w:pPr>
    </w:p>
    <w:p w14:paraId="6842730D">
      <w:pPr>
        <w:autoSpaceDE w:val="0"/>
        <w:autoSpaceDN w:val="0"/>
        <w:adjustRightInd w:val="0"/>
        <w:spacing w:line="348" w:lineRule="auto"/>
        <w:rPr>
          <w:rFonts w:ascii="仿宋" w:hAnsi="仿宋" w:eastAsia="仿宋" w:cs="仿宋"/>
          <w:color w:val="auto"/>
          <w:sz w:val="28"/>
          <w:szCs w:val="28"/>
          <w:u w:val="single"/>
        </w:rPr>
      </w:pPr>
      <w:r>
        <w:rPr>
          <w:rFonts w:hint="eastAsia" w:ascii="仿宋" w:hAnsi="仿宋" w:eastAsia="仿宋" w:cs="仿宋"/>
          <w:color w:val="auto"/>
          <w:sz w:val="28"/>
          <w:szCs w:val="28"/>
        </w:rPr>
        <w:t>附：被授权人姓名：</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性别：</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年龄：</w:t>
      </w:r>
    </w:p>
    <w:p w14:paraId="74393D2B">
      <w:pPr>
        <w:autoSpaceDE w:val="0"/>
        <w:autoSpaceDN w:val="0"/>
        <w:adjustRightInd w:val="0"/>
        <w:spacing w:line="348" w:lineRule="auto"/>
        <w:ind w:firstLine="630"/>
        <w:rPr>
          <w:rFonts w:ascii="仿宋" w:hAnsi="仿宋" w:eastAsia="仿宋" w:cs="仿宋"/>
          <w:color w:val="auto"/>
          <w:sz w:val="28"/>
          <w:szCs w:val="28"/>
        </w:rPr>
      </w:pPr>
      <w:r>
        <w:rPr>
          <w:rFonts w:hint="eastAsia" w:ascii="仿宋" w:hAnsi="仿宋" w:eastAsia="仿宋" w:cs="仿宋"/>
          <w:color w:val="auto"/>
          <w:sz w:val="28"/>
          <w:szCs w:val="28"/>
        </w:rPr>
        <w:t>职    务：</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身份证号码：</w:t>
      </w:r>
    </w:p>
    <w:p w14:paraId="7028123C">
      <w:pPr>
        <w:autoSpaceDE w:val="0"/>
        <w:autoSpaceDN w:val="0"/>
        <w:adjustRightInd w:val="0"/>
        <w:spacing w:line="348" w:lineRule="auto"/>
        <w:ind w:firstLine="630"/>
        <w:rPr>
          <w:rFonts w:ascii="仿宋" w:hAnsi="仿宋" w:eastAsia="仿宋" w:cs="仿宋"/>
          <w:color w:val="auto"/>
          <w:sz w:val="28"/>
          <w:szCs w:val="28"/>
          <w:u w:val="single"/>
        </w:rPr>
      </w:pPr>
      <w:r>
        <w:rPr>
          <w:rFonts w:hint="eastAsia" w:ascii="仿宋" w:hAnsi="仿宋" w:eastAsia="仿宋" w:cs="仿宋"/>
          <w:color w:val="auto"/>
          <w:sz w:val="28"/>
          <w:szCs w:val="28"/>
        </w:rPr>
        <w:t>通讯地址：</w:t>
      </w:r>
    </w:p>
    <w:p w14:paraId="14248C54">
      <w:pPr>
        <w:autoSpaceDE w:val="0"/>
        <w:autoSpaceDN w:val="0"/>
        <w:adjustRightInd w:val="0"/>
        <w:spacing w:line="348" w:lineRule="auto"/>
        <w:ind w:firstLine="630"/>
        <w:rPr>
          <w:rFonts w:ascii="仿宋" w:hAnsi="仿宋" w:eastAsia="仿宋" w:cs="仿宋"/>
          <w:color w:val="auto"/>
          <w:sz w:val="28"/>
          <w:szCs w:val="28"/>
          <w:u w:val="single"/>
        </w:rPr>
      </w:pPr>
      <w:r>
        <w:rPr>
          <w:rFonts w:hint="eastAsia" w:ascii="仿宋" w:hAnsi="仿宋" w:eastAsia="仿宋" w:cs="仿宋"/>
          <w:color w:val="auto"/>
          <w:sz w:val="28"/>
          <w:szCs w:val="28"/>
        </w:rPr>
        <w:t>邮政编码：</w:t>
      </w:r>
    </w:p>
    <w:p w14:paraId="0BBA3560">
      <w:pPr>
        <w:autoSpaceDE w:val="0"/>
        <w:autoSpaceDN w:val="0"/>
        <w:adjustRightInd w:val="0"/>
        <w:spacing w:line="348" w:lineRule="auto"/>
        <w:ind w:firstLine="630"/>
        <w:rPr>
          <w:rFonts w:ascii="仿宋" w:hAnsi="仿宋" w:eastAsia="仿宋" w:cs="仿宋"/>
          <w:color w:val="auto"/>
          <w:sz w:val="28"/>
          <w:szCs w:val="28"/>
          <w:u w:val="single"/>
        </w:rPr>
      </w:pPr>
      <w:r>
        <w:rPr>
          <w:rFonts w:hint="eastAsia" w:ascii="仿宋" w:hAnsi="仿宋" w:eastAsia="仿宋" w:cs="仿宋"/>
          <w:color w:val="auto"/>
          <w:sz w:val="28"/>
          <w:szCs w:val="28"/>
        </w:rPr>
        <w:t>电    话：</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传真：</w:t>
      </w:r>
    </w:p>
    <w:p w14:paraId="707CB3F6">
      <w:pPr>
        <w:autoSpaceDE w:val="0"/>
        <w:autoSpaceDN w:val="0"/>
        <w:adjustRightInd w:val="0"/>
        <w:spacing w:line="348" w:lineRule="auto"/>
        <w:rPr>
          <w:rFonts w:ascii="仿宋" w:hAnsi="仿宋" w:eastAsia="仿宋" w:cs="仿宋"/>
          <w:color w:val="auto"/>
          <w:sz w:val="28"/>
          <w:szCs w:val="28"/>
        </w:rPr>
      </w:pPr>
    </w:p>
    <w:p w14:paraId="2725A0B5">
      <w:pPr>
        <w:autoSpaceDE w:val="0"/>
        <w:autoSpaceDN w:val="0"/>
        <w:adjustRightInd w:val="0"/>
        <w:spacing w:line="348"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法定代表人及授权代表身份证复印件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64A6E627">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56B8400E">
            <w:pPr>
              <w:autoSpaceDE w:val="0"/>
              <w:autoSpaceDN w:val="0"/>
              <w:adjustRightInd w:val="0"/>
              <w:spacing w:line="348" w:lineRule="auto"/>
              <w:jc w:val="center"/>
              <w:rPr>
                <w:rFonts w:ascii="仿宋" w:hAnsi="仿宋" w:eastAsia="仿宋" w:cs="仿宋"/>
                <w:color w:val="auto"/>
                <w:sz w:val="28"/>
                <w:szCs w:val="28"/>
              </w:rPr>
            </w:pPr>
            <w:r>
              <w:rPr>
                <w:rFonts w:hint="eastAsia" w:ascii="仿宋" w:hAnsi="仿宋" w:eastAsia="仿宋" w:cs="仿宋"/>
                <w:color w:val="auto"/>
                <w:sz w:val="28"/>
                <w:szCs w:val="28"/>
              </w:rPr>
              <w:t>法定代表人身份证复印件</w:t>
            </w:r>
          </w:p>
          <w:p w14:paraId="7555AADD">
            <w:pPr>
              <w:autoSpaceDE w:val="0"/>
              <w:autoSpaceDN w:val="0"/>
              <w:adjustRightInd w:val="0"/>
              <w:spacing w:line="348" w:lineRule="auto"/>
              <w:jc w:val="center"/>
              <w:rPr>
                <w:rFonts w:ascii="仿宋" w:hAnsi="仿宋" w:eastAsia="仿宋" w:cs="仿宋"/>
                <w:color w:val="auto"/>
                <w:sz w:val="28"/>
                <w:szCs w:val="28"/>
              </w:rPr>
            </w:pPr>
            <w:r>
              <w:rPr>
                <w:rFonts w:hint="eastAsia" w:ascii="仿宋" w:hAnsi="仿宋" w:eastAsia="仿宋" w:cs="仿宋"/>
                <w:color w:val="auto"/>
                <w:sz w:val="28"/>
                <w:szCs w:val="28"/>
              </w:rPr>
              <w:t>（正反面）</w:t>
            </w:r>
          </w:p>
        </w:tc>
        <w:tc>
          <w:tcPr>
            <w:tcW w:w="3885" w:type="dxa"/>
            <w:tcBorders>
              <w:top w:val="single" w:color="auto" w:sz="6" w:space="0"/>
              <w:left w:val="nil"/>
              <w:bottom w:val="single" w:color="auto" w:sz="6" w:space="0"/>
              <w:right w:val="single" w:color="auto" w:sz="6" w:space="0"/>
            </w:tcBorders>
            <w:vAlign w:val="center"/>
          </w:tcPr>
          <w:p w14:paraId="28F1CCF7">
            <w:pPr>
              <w:autoSpaceDE w:val="0"/>
              <w:autoSpaceDN w:val="0"/>
              <w:adjustRightInd w:val="0"/>
              <w:spacing w:line="348" w:lineRule="auto"/>
              <w:jc w:val="center"/>
              <w:rPr>
                <w:rFonts w:ascii="仿宋" w:hAnsi="仿宋" w:eastAsia="仿宋" w:cs="仿宋"/>
                <w:color w:val="auto"/>
                <w:sz w:val="28"/>
                <w:szCs w:val="28"/>
              </w:rPr>
            </w:pPr>
            <w:r>
              <w:rPr>
                <w:rFonts w:hint="eastAsia" w:ascii="仿宋" w:hAnsi="仿宋" w:eastAsia="仿宋" w:cs="仿宋"/>
                <w:color w:val="auto"/>
                <w:sz w:val="28"/>
                <w:szCs w:val="28"/>
              </w:rPr>
              <w:t>授权代表身份证复印件</w:t>
            </w:r>
          </w:p>
          <w:p w14:paraId="5E97115A">
            <w:pPr>
              <w:autoSpaceDE w:val="0"/>
              <w:autoSpaceDN w:val="0"/>
              <w:adjustRightInd w:val="0"/>
              <w:spacing w:line="348" w:lineRule="auto"/>
              <w:jc w:val="center"/>
              <w:rPr>
                <w:rFonts w:ascii="仿宋" w:hAnsi="仿宋" w:eastAsia="仿宋" w:cs="仿宋"/>
                <w:color w:val="auto"/>
                <w:sz w:val="28"/>
                <w:szCs w:val="28"/>
              </w:rPr>
            </w:pPr>
            <w:r>
              <w:rPr>
                <w:rFonts w:hint="eastAsia" w:ascii="仿宋" w:hAnsi="仿宋" w:eastAsia="仿宋" w:cs="仿宋"/>
                <w:color w:val="auto"/>
                <w:sz w:val="28"/>
                <w:szCs w:val="28"/>
              </w:rPr>
              <w:t>（正反面）</w:t>
            </w:r>
          </w:p>
        </w:tc>
      </w:tr>
    </w:tbl>
    <w:p w14:paraId="4166617F">
      <w:pPr>
        <w:adjustRightInd w:val="0"/>
        <w:snapToGrid w:val="0"/>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供应商                         法定代表人</w:t>
      </w:r>
    </w:p>
    <w:p w14:paraId="0F1C98A1">
      <w:pPr>
        <w:adjustRightInd w:val="0"/>
        <w:snapToGrid w:val="0"/>
        <w:spacing w:line="360" w:lineRule="auto"/>
        <w:rPr>
          <w:rFonts w:ascii="仿宋" w:hAnsi="仿宋" w:eastAsia="仿宋" w:cs="仿宋"/>
          <w:color w:val="auto"/>
          <w:sz w:val="28"/>
          <w:szCs w:val="28"/>
        </w:rPr>
      </w:pPr>
      <w:r>
        <w:rPr>
          <w:rFonts w:hint="eastAsia" w:ascii="仿宋" w:hAnsi="仿宋" w:eastAsia="仿宋" w:cs="仿宋"/>
          <w:color w:val="auto"/>
          <w:sz w:val="28"/>
          <w:szCs w:val="28"/>
        </w:rPr>
        <w:t xml:space="preserve">    （公章）：                     （</w:t>
      </w:r>
      <w:r>
        <w:rPr>
          <w:rFonts w:hint="eastAsia" w:ascii="仿宋_GB2312" w:hAnsi="仿宋_GB2312" w:eastAsia="仿宋_GB2312" w:cs="仿宋_GB2312"/>
          <w:color w:val="auto"/>
          <w:sz w:val="28"/>
          <w:szCs w:val="28"/>
        </w:rPr>
        <w:t>签字或加盖人名章</w:t>
      </w:r>
      <w:r>
        <w:rPr>
          <w:rFonts w:hint="eastAsia" w:ascii="仿宋" w:hAnsi="仿宋" w:eastAsia="仿宋" w:cs="仿宋"/>
          <w:color w:val="auto"/>
          <w:sz w:val="28"/>
          <w:szCs w:val="28"/>
        </w:rPr>
        <w:t>）：</w:t>
      </w:r>
    </w:p>
    <w:p w14:paraId="2A793E8E">
      <w:pPr>
        <w:autoSpaceDE w:val="0"/>
        <w:autoSpaceDN w:val="0"/>
        <w:adjustRightInd w:val="0"/>
        <w:spacing w:line="348" w:lineRule="auto"/>
        <w:ind w:firstLine="630"/>
        <w:rPr>
          <w:rFonts w:ascii="仿宋" w:hAnsi="仿宋" w:eastAsia="仿宋" w:cs="仿宋"/>
          <w:color w:val="auto"/>
          <w:sz w:val="28"/>
          <w:szCs w:val="28"/>
        </w:rPr>
      </w:pPr>
    </w:p>
    <w:p w14:paraId="3A4FCE71">
      <w:pPr>
        <w:snapToGrid w:val="0"/>
        <w:spacing w:line="312"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本授权自签字盖章之日起生效。</w:t>
      </w:r>
    </w:p>
    <w:p w14:paraId="07F31169">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03FC9272">
      <w:pPr>
        <w:autoSpaceDE w:val="0"/>
        <w:autoSpaceDN w:val="0"/>
        <w:adjustRightInd w:val="0"/>
        <w:spacing w:line="348" w:lineRule="auto"/>
        <w:jc w:val="center"/>
        <w:rPr>
          <w:rFonts w:hint="eastAsia" w:ascii="仿宋" w:hAnsi="仿宋" w:eastAsia="仿宋" w:cs="黑体"/>
          <w:b/>
          <w:color w:val="auto"/>
          <w:sz w:val="32"/>
          <w:szCs w:val="32"/>
        </w:rPr>
      </w:pPr>
      <w:r>
        <w:rPr>
          <w:rFonts w:hint="eastAsia" w:ascii="仿宋" w:hAnsi="仿宋" w:eastAsia="仿宋" w:cs="黑体"/>
          <w:b/>
          <w:color w:val="auto"/>
          <w:sz w:val="32"/>
          <w:szCs w:val="32"/>
        </w:rPr>
        <w:t>（养老保险缴纳证明）</w:t>
      </w:r>
    </w:p>
    <w:p w14:paraId="00573649">
      <w:pPr>
        <w:rPr>
          <w:rFonts w:hint="eastAsia" w:ascii="仿宋" w:hAnsi="仿宋" w:eastAsia="仿宋" w:cs="仿宋"/>
          <w:color w:val="auto"/>
          <w:szCs w:val="28"/>
        </w:rPr>
      </w:pPr>
      <w:r>
        <w:rPr>
          <w:rFonts w:hint="eastAsia" w:ascii="仿宋" w:hAnsi="仿宋" w:eastAsia="仿宋" w:cs="仿宋"/>
          <w:color w:val="auto"/>
          <w:szCs w:val="28"/>
        </w:rPr>
        <w:br w:type="page"/>
      </w:r>
    </w:p>
    <w:p w14:paraId="19E13EE9">
      <w:pPr>
        <w:pStyle w:val="4"/>
        <w:jc w:val="center"/>
        <w:rPr>
          <w:rFonts w:hint="eastAsia" w:ascii="仿宋" w:hAnsi="仿宋" w:eastAsia="仿宋" w:cs="宋体"/>
          <w:b/>
          <w:color w:val="auto"/>
          <w:sz w:val="32"/>
          <w:szCs w:val="32"/>
          <w:lang w:val="en-US" w:eastAsia="zh-CN"/>
        </w:rPr>
      </w:pPr>
      <w:r>
        <w:rPr>
          <w:rFonts w:hint="eastAsia" w:ascii="仿宋" w:hAnsi="仿宋" w:eastAsia="仿宋" w:cs="宋体"/>
          <w:b/>
          <w:color w:val="auto"/>
          <w:sz w:val="32"/>
          <w:szCs w:val="32"/>
        </w:rPr>
        <w:t>特定资格条件</w:t>
      </w:r>
      <w:r>
        <w:rPr>
          <w:rFonts w:hint="eastAsia" w:ascii="仿宋" w:hAnsi="仿宋" w:eastAsia="仿宋" w:cs="宋体"/>
          <w:b/>
          <w:color w:val="auto"/>
          <w:sz w:val="32"/>
          <w:szCs w:val="32"/>
          <w:lang w:val="en-US" w:eastAsia="zh-CN"/>
        </w:rPr>
        <w:t>3</w:t>
      </w:r>
    </w:p>
    <w:p w14:paraId="4F48091F">
      <w:pPr>
        <w:jc w:val="center"/>
        <w:rPr>
          <w:rFonts w:hint="eastAsia" w:ascii="仿宋" w:hAnsi="仿宋" w:eastAsia="仿宋" w:cs="宋体"/>
          <w:b/>
          <w:color w:val="auto"/>
          <w:sz w:val="32"/>
          <w:szCs w:val="32"/>
        </w:rPr>
      </w:pPr>
      <w:r>
        <w:rPr>
          <w:rFonts w:hint="eastAsia" w:ascii="仿宋" w:hAnsi="仿宋" w:eastAsia="仿宋" w:cs="仿宋"/>
          <w:bCs/>
          <w:color w:val="auto"/>
          <w:sz w:val="28"/>
          <w:szCs w:val="28"/>
          <w:highlight w:val="none"/>
          <w:lang w:eastAsia="zh-CN"/>
        </w:rPr>
        <w:t>供应商须具有建设行政主管部门颁发的</w:t>
      </w:r>
      <w:r>
        <w:rPr>
          <w:rFonts w:hint="eastAsia" w:ascii="仿宋" w:hAnsi="仿宋" w:eastAsia="仿宋" w:cs="仿宋"/>
          <w:bCs/>
          <w:color w:val="auto"/>
          <w:sz w:val="28"/>
          <w:szCs w:val="28"/>
          <w:highlight w:val="none"/>
          <w:lang w:val="en-US" w:eastAsia="zh-CN"/>
        </w:rPr>
        <w:t>建筑工程施工总</w:t>
      </w:r>
      <w:r>
        <w:rPr>
          <w:rFonts w:hint="eastAsia" w:ascii="仿宋" w:hAnsi="仿宋" w:eastAsia="仿宋" w:cs="仿宋"/>
          <w:bCs/>
          <w:color w:val="auto"/>
          <w:sz w:val="28"/>
          <w:szCs w:val="28"/>
          <w:highlight w:val="none"/>
          <w:lang w:eastAsia="zh-CN"/>
        </w:rPr>
        <w:t>承包三级及以上资质，具有有效的安全生产许可证（提供有效的资质证书（复印件或电子证书加盖公章））</w:t>
      </w:r>
      <w:r>
        <w:rPr>
          <w:rFonts w:hint="eastAsia" w:ascii="仿宋" w:hAnsi="仿宋" w:eastAsia="仿宋" w:cs="宋体"/>
          <w:b/>
          <w:color w:val="auto"/>
          <w:sz w:val="32"/>
          <w:szCs w:val="32"/>
        </w:rPr>
        <w:br w:type="page"/>
      </w:r>
    </w:p>
    <w:p w14:paraId="27B5490F">
      <w:pPr>
        <w:pStyle w:val="4"/>
        <w:jc w:val="center"/>
        <w:rPr>
          <w:rFonts w:hint="eastAsia" w:ascii="仿宋" w:hAnsi="仿宋" w:eastAsia="仿宋" w:cs="宋体"/>
          <w:b/>
          <w:color w:val="auto"/>
          <w:sz w:val="32"/>
          <w:szCs w:val="32"/>
          <w:lang w:val="en-US" w:eastAsia="zh-CN"/>
        </w:rPr>
      </w:pPr>
      <w:r>
        <w:rPr>
          <w:rFonts w:hint="eastAsia" w:ascii="仿宋" w:hAnsi="仿宋" w:eastAsia="仿宋" w:cs="宋体"/>
          <w:b/>
          <w:color w:val="auto"/>
          <w:sz w:val="32"/>
          <w:szCs w:val="32"/>
        </w:rPr>
        <w:t>特定资格条件</w:t>
      </w:r>
      <w:r>
        <w:rPr>
          <w:rFonts w:hint="eastAsia" w:ascii="仿宋" w:hAnsi="仿宋" w:eastAsia="仿宋" w:cs="宋体"/>
          <w:b/>
          <w:color w:val="auto"/>
          <w:sz w:val="32"/>
          <w:szCs w:val="32"/>
          <w:lang w:val="en-US" w:eastAsia="zh-CN"/>
        </w:rPr>
        <w:t>4</w:t>
      </w:r>
    </w:p>
    <w:p w14:paraId="7446CB16">
      <w:pPr>
        <w:jc w:val="center"/>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供应商拟派项目经理具备注册建造师二级及以上执业资格（建筑工程专业）和有效的安全生产考核合格证书（建安B证），在本单位注册，且无其他在建项目（提供无在建工程的承诺函）</w:t>
      </w:r>
      <w:r>
        <w:rPr>
          <w:rFonts w:hint="eastAsia" w:ascii="仿宋" w:hAnsi="仿宋" w:eastAsia="仿宋" w:cs="仿宋"/>
          <w:bCs/>
          <w:color w:val="auto"/>
          <w:sz w:val="28"/>
          <w:szCs w:val="28"/>
          <w:lang w:val="en-US" w:eastAsia="zh-CN"/>
        </w:rPr>
        <w:br w:type="page"/>
      </w:r>
    </w:p>
    <w:p w14:paraId="37FA9A3E">
      <w:pPr>
        <w:pStyle w:val="4"/>
        <w:jc w:val="center"/>
        <w:rPr>
          <w:rFonts w:hint="eastAsia" w:ascii="仿宋" w:hAnsi="仿宋" w:eastAsia="仿宋" w:cs="宋体"/>
          <w:b/>
          <w:color w:val="auto"/>
          <w:sz w:val="32"/>
          <w:szCs w:val="32"/>
          <w:lang w:val="en-US" w:eastAsia="zh-CN"/>
        </w:rPr>
      </w:pPr>
      <w:r>
        <w:rPr>
          <w:rFonts w:hint="eastAsia" w:ascii="仿宋" w:hAnsi="仿宋" w:eastAsia="仿宋" w:cs="宋体"/>
          <w:b/>
          <w:color w:val="auto"/>
          <w:sz w:val="32"/>
          <w:szCs w:val="32"/>
        </w:rPr>
        <w:t>特定资格条件</w:t>
      </w:r>
      <w:r>
        <w:rPr>
          <w:rFonts w:hint="eastAsia" w:ascii="仿宋" w:hAnsi="仿宋" w:eastAsia="仿宋" w:cs="宋体"/>
          <w:b/>
          <w:color w:val="auto"/>
          <w:sz w:val="32"/>
          <w:szCs w:val="32"/>
          <w:lang w:val="en-US" w:eastAsia="zh-CN"/>
        </w:rPr>
        <w:t>5</w:t>
      </w:r>
    </w:p>
    <w:p w14:paraId="375C32DF">
      <w:pPr>
        <w:jc w:val="cente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供应商和拟派项目经理基本信息在“全国建筑市场监管公共服务平台”可查询且无不良记录；外省进陕企业同时提供陕西省住房和城乡建设厅官网企业库外省进陕企业信息首页截图。</w:t>
      </w:r>
    </w:p>
    <w:p w14:paraId="43C47699">
      <w:pPr>
        <w:rPr>
          <w:rFonts w:ascii="仿宋" w:hAnsi="仿宋" w:eastAsia="仿宋"/>
          <w:b/>
          <w:bCs/>
          <w:color w:val="auto"/>
        </w:rPr>
      </w:pPr>
      <w:bookmarkStart w:id="469" w:name="_Toc26591"/>
      <w:r>
        <w:rPr>
          <w:rFonts w:ascii="仿宋" w:hAnsi="仿宋" w:eastAsia="仿宋"/>
          <w:b/>
          <w:bCs/>
          <w:color w:val="auto"/>
        </w:rPr>
        <w:br w:type="page"/>
      </w:r>
    </w:p>
    <w:p w14:paraId="4DE6DC8F">
      <w:pPr>
        <w:pStyle w:val="3"/>
        <w:tabs>
          <w:tab w:val="left" w:pos="3780"/>
        </w:tabs>
        <w:jc w:val="center"/>
        <w:rPr>
          <w:rFonts w:hint="eastAsia" w:ascii="仿宋" w:hAnsi="仿宋" w:eastAsia="仿宋" w:cs="仿宋"/>
          <w:b/>
          <w:bCs/>
          <w:color w:val="auto"/>
          <w:kern w:val="0"/>
          <w:szCs w:val="28"/>
          <w:lang w:val="zh-CN"/>
        </w:rPr>
      </w:pPr>
      <w:bookmarkStart w:id="470" w:name="_Toc16824"/>
      <w:r>
        <w:rPr>
          <w:rFonts w:ascii="仿宋" w:hAnsi="仿宋" w:eastAsia="仿宋"/>
          <w:b/>
          <w:bCs/>
          <w:color w:val="auto"/>
        </w:rPr>
        <w:t>第</w:t>
      </w:r>
      <w:r>
        <w:rPr>
          <w:rFonts w:hint="eastAsia" w:ascii="仿宋" w:hAnsi="仿宋" w:eastAsia="仿宋"/>
          <w:b/>
          <w:bCs/>
          <w:color w:val="auto"/>
        </w:rPr>
        <w:t>二</w:t>
      </w:r>
      <w:r>
        <w:rPr>
          <w:rFonts w:ascii="仿宋" w:hAnsi="仿宋" w:eastAsia="仿宋"/>
          <w:b/>
          <w:bCs/>
          <w:color w:val="auto"/>
        </w:rPr>
        <w:t xml:space="preserve">部分  </w:t>
      </w:r>
      <w:r>
        <w:rPr>
          <w:rFonts w:hint="eastAsia" w:ascii="仿宋" w:hAnsi="仿宋" w:eastAsia="仿宋"/>
          <w:b/>
          <w:bCs/>
          <w:color w:val="auto"/>
        </w:rPr>
        <w:t>符合性证明文件</w:t>
      </w:r>
      <w:bookmarkEnd w:id="469"/>
      <w:bookmarkEnd w:id="470"/>
    </w:p>
    <w:p w14:paraId="532A6988">
      <w:pPr>
        <w:pStyle w:val="3"/>
        <w:tabs>
          <w:tab w:val="left" w:pos="3780"/>
        </w:tabs>
        <w:jc w:val="center"/>
        <w:rPr>
          <w:rFonts w:ascii="仿宋" w:hAnsi="仿宋" w:eastAsia="仿宋" w:cs="仿宋"/>
          <w:b/>
          <w:bCs/>
          <w:color w:val="auto"/>
          <w:kern w:val="0"/>
          <w:szCs w:val="28"/>
          <w:lang w:val="zh-CN"/>
        </w:rPr>
      </w:pPr>
      <w:bookmarkStart w:id="471" w:name="_Toc20485"/>
      <w:r>
        <w:rPr>
          <w:rFonts w:hint="eastAsia" w:ascii="仿宋" w:hAnsi="仿宋" w:eastAsia="仿宋" w:cs="仿宋"/>
          <w:b/>
          <w:bCs/>
          <w:color w:val="auto"/>
          <w:kern w:val="0"/>
          <w:szCs w:val="28"/>
          <w:lang w:val="zh-CN"/>
        </w:rPr>
        <w:t>一、磋商响应函</w:t>
      </w:r>
      <w:bookmarkEnd w:id="461"/>
      <w:bookmarkEnd w:id="463"/>
      <w:bookmarkEnd w:id="464"/>
      <w:bookmarkEnd w:id="471"/>
    </w:p>
    <w:p w14:paraId="675C28BD">
      <w:pPr>
        <w:autoSpaceDE w:val="0"/>
        <w:autoSpaceDN w:val="0"/>
        <w:adjustRightInd w:val="0"/>
        <w:snapToGrid w:val="0"/>
        <w:spacing w:line="312" w:lineRule="auto"/>
        <w:rPr>
          <w:rFonts w:ascii="仿宋" w:hAnsi="仿宋" w:eastAsia="仿宋" w:cs="仿宋"/>
          <w:b/>
          <w:bCs/>
          <w:color w:val="auto"/>
          <w:sz w:val="24"/>
        </w:rPr>
      </w:pPr>
      <w:r>
        <w:rPr>
          <w:rFonts w:hint="eastAsia" w:ascii="仿宋" w:hAnsi="仿宋" w:eastAsia="仿宋" w:cs="仿宋"/>
          <w:b/>
          <w:bCs/>
          <w:color w:val="auto"/>
          <w:sz w:val="24"/>
          <w:lang w:val="zh-CN"/>
        </w:rPr>
        <w:t>陕西省采购招标有限责任公司：</w:t>
      </w:r>
    </w:p>
    <w:p w14:paraId="705E7CCC">
      <w:pPr>
        <w:autoSpaceDE w:val="0"/>
        <w:autoSpaceDN w:val="0"/>
        <w:adjustRightInd w:val="0"/>
        <w:snapToGrid w:val="0"/>
        <w:spacing w:line="312" w:lineRule="auto"/>
        <w:ind w:firstLine="630"/>
        <w:rPr>
          <w:rFonts w:ascii="仿宋" w:hAnsi="仿宋" w:eastAsia="仿宋" w:cs="仿宋"/>
          <w:color w:val="auto"/>
          <w:sz w:val="24"/>
        </w:rPr>
      </w:pPr>
      <w:r>
        <w:rPr>
          <w:rFonts w:hint="eastAsia" w:ascii="仿宋" w:hAnsi="仿宋" w:eastAsia="仿宋" w:cs="仿宋"/>
          <w:color w:val="auto"/>
          <w:sz w:val="24"/>
          <w:lang w:val="zh-CN"/>
        </w:rPr>
        <w:t>我单位收到贵公司</w:t>
      </w:r>
      <w:r>
        <w:rPr>
          <w:rFonts w:hint="eastAsia" w:ascii="仿宋" w:hAnsi="仿宋" w:eastAsia="仿宋" w:cs="仿宋"/>
          <w:color w:val="auto"/>
          <w:sz w:val="24"/>
          <w:u w:val="single"/>
          <w:lang w:val="zh-CN"/>
        </w:rPr>
        <w:t xml:space="preserve">（项目名称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的竞争性磋商文件，经详细研究，我们决定参加本次磋商活动。为此，我方郑重声明以下诸点，并负法律责任。</w:t>
      </w:r>
    </w:p>
    <w:p w14:paraId="3E115E10">
      <w:pPr>
        <w:autoSpaceDE w:val="0"/>
        <w:autoSpaceDN w:val="0"/>
        <w:adjustRightInd w:val="0"/>
        <w:snapToGrid w:val="0"/>
        <w:spacing w:line="312" w:lineRule="auto"/>
        <w:ind w:firstLine="63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zh-CN"/>
        </w:rPr>
        <w:t>、愿意按照竞争性磋商文件中的要求，提供磋商产品及技术服务，完成合同的责任和义务。</w:t>
      </w:r>
    </w:p>
    <w:p w14:paraId="0183A712">
      <w:pPr>
        <w:autoSpaceDE w:val="0"/>
        <w:autoSpaceDN w:val="0"/>
        <w:adjustRightInd w:val="0"/>
        <w:snapToGrid w:val="0"/>
        <w:spacing w:line="312" w:lineRule="auto"/>
        <w:ind w:firstLine="630"/>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zh-CN"/>
        </w:rPr>
        <w:t>、按竞争性磋商文件的规定，我公司的首次磋商总报价为：总价</w:t>
      </w:r>
      <w:r>
        <w:rPr>
          <w:rFonts w:hint="eastAsia" w:ascii="仿宋" w:hAnsi="仿宋" w:eastAsia="仿宋" w:cs="仿宋"/>
          <w:color w:val="auto"/>
          <w:sz w:val="24"/>
        </w:rPr>
        <w:t>(大写) 人民币</w:t>
      </w:r>
      <w:r>
        <w:rPr>
          <w:rFonts w:hint="eastAsia" w:ascii="仿宋" w:hAnsi="仿宋" w:eastAsia="仿宋" w:cs="仿宋"/>
          <w:color w:val="auto"/>
          <w:sz w:val="24"/>
          <w:u w:val="single"/>
        </w:rPr>
        <w:t xml:space="preserve">        </w:t>
      </w:r>
      <w:r>
        <w:rPr>
          <w:rFonts w:hint="eastAsia" w:ascii="仿宋" w:hAnsi="仿宋" w:eastAsia="仿宋" w:cs="仿宋"/>
          <w:color w:val="auto"/>
          <w:sz w:val="24"/>
        </w:rPr>
        <w:t>，（RMB￥</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），工期</w:t>
      </w:r>
      <w:r>
        <w:rPr>
          <w:rFonts w:hint="eastAsia" w:ascii="仿宋" w:hAnsi="仿宋" w:eastAsia="仿宋" w:cs="仿宋"/>
          <w:color w:val="auto"/>
          <w:sz w:val="24"/>
          <w:u w:val="single"/>
        </w:rPr>
        <w:t xml:space="preserve">      </w:t>
      </w:r>
      <w:r>
        <w:rPr>
          <w:rFonts w:hint="eastAsia" w:ascii="仿宋" w:hAnsi="仿宋" w:eastAsia="仿宋" w:cs="仿宋"/>
          <w:color w:val="auto"/>
          <w:sz w:val="24"/>
          <w:lang w:eastAsia="zh-CN"/>
        </w:rPr>
        <w:t>天</w:t>
      </w:r>
      <w:r>
        <w:rPr>
          <w:rFonts w:hint="eastAsia" w:ascii="仿宋" w:hAnsi="仿宋" w:eastAsia="仿宋" w:cs="仿宋"/>
          <w:color w:val="auto"/>
          <w:sz w:val="24"/>
        </w:rPr>
        <w:t>，按合同约定实施和完成承包工程，修补工程中的任何缺陷，工程质量</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w:t>
      </w:r>
      <w:r>
        <w:rPr>
          <w:rFonts w:hint="eastAsia" w:ascii="仿宋" w:hAnsi="仿宋" w:eastAsia="仿宋" w:cs="仿宋"/>
          <w:color w:val="auto"/>
          <w:sz w:val="24"/>
          <w:lang w:val="zh-CN"/>
        </w:rPr>
        <w:t>并对其后的磋商报价负法律责任。</w:t>
      </w:r>
    </w:p>
    <w:p w14:paraId="695BD819">
      <w:pPr>
        <w:autoSpaceDE w:val="0"/>
        <w:autoSpaceDN w:val="0"/>
        <w:adjustRightInd w:val="0"/>
        <w:snapToGrid w:val="0"/>
        <w:spacing w:line="312" w:lineRule="auto"/>
        <w:ind w:firstLine="630"/>
        <w:rPr>
          <w:rFonts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zh-CN"/>
        </w:rPr>
        <w:t>、提交的响应文件</w:t>
      </w:r>
      <w:r>
        <w:rPr>
          <w:rFonts w:hint="eastAsia" w:ascii="仿宋" w:hAnsi="仿宋" w:eastAsia="仿宋" w:cs="仿宋"/>
          <w:color w:val="auto"/>
          <w:sz w:val="24"/>
          <w:lang w:val="en-US" w:eastAsia="zh-CN"/>
        </w:rPr>
        <w:t>正本1份，副本2份</w:t>
      </w:r>
      <w:r>
        <w:rPr>
          <w:rFonts w:hint="eastAsia" w:ascii="仿宋" w:hAnsi="仿宋" w:eastAsia="仿宋" w:cs="仿宋"/>
          <w:color w:val="auto"/>
          <w:sz w:val="24"/>
          <w:lang w:val="zh-CN"/>
        </w:rPr>
        <w:t>。</w:t>
      </w:r>
    </w:p>
    <w:p w14:paraId="7440CC49">
      <w:pPr>
        <w:autoSpaceDE w:val="0"/>
        <w:autoSpaceDN w:val="0"/>
        <w:adjustRightInd w:val="0"/>
        <w:snapToGrid w:val="0"/>
        <w:spacing w:line="312" w:lineRule="auto"/>
        <w:ind w:firstLine="630"/>
        <w:rPr>
          <w:rFonts w:ascii="仿宋" w:hAnsi="仿宋" w:eastAsia="仿宋" w:cs="仿宋"/>
          <w:color w:val="auto"/>
          <w:sz w:val="24"/>
          <w:lang w:val="zh-CN"/>
        </w:rPr>
      </w:pPr>
      <w:r>
        <w:rPr>
          <w:rFonts w:hint="eastAsia" w:ascii="仿宋" w:hAnsi="仿宋" w:eastAsia="仿宋" w:cs="仿宋"/>
          <w:color w:val="auto"/>
          <w:sz w:val="24"/>
        </w:rPr>
        <w:t>4</w:t>
      </w:r>
      <w:r>
        <w:rPr>
          <w:rFonts w:hint="eastAsia" w:ascii="仿宋" w:hAnsi="仿宋" w:eastAsia="仿宋" w:cs="仿宋"/>
          <w:color w:val="auto"/>
          <w:sz w:val="24"/>
          <w:lang w:val="zh-CN"/>
        </w:rPr>
        <w:t>、我方已详细阅读了竞争性磋商文件，完全理解并放弃提出含糊不清或易形成歧义的表述和资料。</w:t>
      </w:r>
    </w:p>
    <w:p w14:paraId="5190894C">
      <w:pPr>
        <w:autoSpaceDE w:val="0"/>
        <w:autoSpaceDN w:val="0"/>
        <w:adjustRightInd w:val="0"/>
        <w:snapToGrid w:val="0"/>
        <w:spacing w:line="312" w:lineRule="auto"/>
        <w:ind w:firstLine="630"/>
        <w:rPr>
          <w:rFonts w:ascii="仿宋" w:hAnsi="仿宋" w:eastAsia="仿宋" w:cs="仿宋"/>
          <w:color w:val="auto"/>
          <w:sz w:val="24"/>
          <w:lang w:val="zh-CN"/>
        </w:rPr>
      </w:pPr>
      <w:r>
        <w:rPr>
          <w:rFonts w:hint="eastAsia" w:ascii="仿宋" w:hAnsi="仿宋" w:eastAsia="仿宋" w:cs="仿宋"/>
          <w:color w:val="auto"/>
          <w:sz w:val="24"/>
          <w:lang w:val="zh-CN"/>
        </w:rPr>
        <w:t xml:space="preserve">5、我方 </w:t>
      </w:r>
      <w:r>
        <w:rPr>
          <w:rFonts w:hint="eastAsia" w:ascii="仿宋" w:hAnsi="仿宋" w:eastAsia="仿宋" w:cs="仿宋"/>
          <w:color w:val="auto"/>
          <w:sz w:val="24"/>
          <w:u w:val="single"/>
          <w:lang w:val="zh-CN"/>
        </w:rPr>
        <w:t>不是</w:t>
      </w:r>
      <w:r>
        <w:rPr>
          <w:rFonts w:hint="eastAsia" w:ascii="仿宋" w:hAnsi="仿宋" w:eastAsia="仿宋" w:cs="仿宋"/>
          <w:color w:val="auto"/>
          <w:sz w:val="24"/>
          <w:lang w:val="zh-CN"/>
        </w:rPr>
        <w:t xml:space="preserve"> （是、不是）为本项目提供整体设计、规范编制或者项目管理、监理、检测等服务的供应商。</w:t>
      </w:r>
    </w:p>
    <w:p w14:paraId="622F5C41">
      <w:pPr>
        <w:autoSpaceDE w:val="0"/>
        <w:autoSpaceDN w:val="0"/>
        <w:adjustRightInd w:val="0"/>
        <w:snapToGrid w:val="0"/>
        <w:spacing w:line="312" w:lineRule="auto"/>
        <w:ind w:firstLine="630"/>
        <w:rPr>
          <w:rFonts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sz w:val="24"/>
          <w:lang w:val="zh-CN"/>
        </w:rPr>
        <w:t>、磋商后在规定的有效期内撤回磋商，我方愿接受政府采购的有关处罚决定。</w:t>
      </w:r>
    </w:p>
    <w:p w14:paraId="73C886F0">
      <w:pPr>
        <w:autoSpaceDE w:val="0"/>
        <w:autoSpaceDN w:val="0"/>
        <w:adjustRightInd w:val="0"/>
        <w:snapToGrid w:val="0"/>
        <w:spacing w:line="312" w:lineRule="auto"/>
        <w:ind w:firstLine="630"/>
        <w:rPr>
          <w:rFonts w:ascii="仿宋" w:hAnsi="仿宋" w:eastAsia="仿宋" w:cs="仿宋"/>
          <w:color w:val="auto"/>
          <w:sz w:val="24"/>
        </w:rPr>
      </w:pPr>
      <w:r>
        <w:rPr>
          <w:rFonts w:hint="eastAsia" w:ascii="仿宋" w:hAnsi="仿宋" w:eastAsia="仿宋" w:cs="仿宋"/>
          <w:color w:val="auto"/>
          <w:sz w:val="24"/>
        </w:rPr>
        <w:t>7</w:t>
      </w:r>
      <w:r>
        <w:rPr>
          <w:rFonts w:hint="eastAsia" w:ascii="仿宋" w:hAnsi="仿宋" w:eastAsia="仿宋" w:cs="仿宋"/>
          <w:color w:val="auto"/>
          <w:sz w:val="24"/>
          <w:lang w:val="zh-CN"/>
        </w:rPr>
        <w:t>、同意向贵方提供可能要求的，与本次磋商有关的任何证据或资料，且尊重磋商小组的评审结论和结果。</w:t>
      </w:r>
    </w:p>
    <w:p w14:paraId="394F4313">
      <w:pPr>
        <w:autoSpaceDE w:val="0"/>
        <w:autoSpaceDN w:val="0"/>
        <w:adjustRightInd w:val="0"/>
        <w:snapToGrid w:val="0"/>
        <w:spacing w:line="312" w:lineRule="auto"/>
        <w:ind w:firstLine="630"/>
        <w:rPr>
          <w:rFonts w:hint="eastAsia" w:ascii="仿宋" w:hAnsi="仿宋" w:eastAsia="仿宋" w:cs="仿宋"/>
          <w:color w:val="auto"/>
          <w:sz w:val="24"/>
          <w:lang w:val="zh-CN"/>
        </w:rPr>
      </w:pPr>
      <w:r>
        <w:rPr>
          <w:rFonts w:hint="eastAsia" w:ascii="仿宋" w:hAnsi="仿宋" w:eastAsia="仿宋" w:cs="仿宋"/>
          <w:color w:val="auto"/>
          <w:sz w:val="24"/>
        </w:rPr>
        <w:t>8</w:t>
      </w:r>
      <w:r>
        <w:rPr>
          <w:rFonts w:hint="eastAsia" w:ascii="仿宋" w:hAnsi="仿宋" w:eastAsia="仿宋" w:cs="仿宋"/>
          <w:color w:val="auto"/>
          <w:sz w:val="24"/>
          <w:lang w:val="zh-CN"/>
        </w:rPr>
        <w:t>、我方的响应文件在磋商后有效期为</w:t>
      </w:r>
      <w:r>
        <w:rPr>
          <w:rFonts w:hint="eastAsia" w:ascii="仿宋" w:hAnsi="仿宋" w:eastAsia="仿宋" w:cs="仿宋"/>
          <w:color w:val="auto"/>
          <w:sz w:val="24"/>
        </w:rPr>
        <w:t>60</w:t>
      </w:r>
      <w:r>
        <w:rPr>
          <w:rFonts w:hint="eastAsia" w:ascii="仿宋" w:hAnsi="仿宋" w:eastAsia="仿宋" w:cs="仿宋"/>
          <w:color w:val="auto"/>
          <w:sz w:val="24"/>
          <w:lang w:val="zh-CN"/>
        </w:rPr>
        <w:t>个日历天，若我方成交，响应文件有效期延长至合同执行完毕。</w:t>
      </w:r>
    </w:p>
    <w:p w14:paraId="36C6A513">
      <w:pPr>
        <w:autoSpaceDE w:val="0"/>
        <w:autoSpaceDN w:val="0"/>
        <w:adjustRightInd w:val="0"/>
        <w:snapToGrid w:val="0"/>
        <w:spacing w:line="312" w:lineRule="auto"/>
        <w:ind w:firstLine="630"/>
        <w:rPr>
          <w:rFonts w:hint="default" w:ascii="仿宋" w:hAnsi="仿宋" w:eastAsia="仿宋" w:cs="仿宋"/>
          <w:color w:val="auto"/>
          <w:sz w:val="24"/>
          <w:u w:val="single"/>
          <w:lang w:val="en-US" w:eastAsia="zh-CN"/>
        </w:rPr>
      </w:pPr>
      <w:r>
        <w:rPr>
          <w:rFonts w:hint="eastAsia" w:ascii="仿宋" w:hAnsi="仿宋" w:eastAsia="仿宋" w:cs="仿宋"/>
          <w:color w:val="auto"/>
          <w:sz w:val="24"/>
        </w:rPr>
        <w:t>9</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我方拟派项目经理为</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p>
    <w:p w14:paraId="2FD117DE">
      <w:pPr>
        <w:autoSpaceDE w:val="0"/>
        <w:autoSpaceDN w:val="0"/>
        <w:adjustRightInd w:val="0"/>
        <w:snapToGrid w:val="0"/>
        <w:spacing w:line="312" w:lineRule="auto"/>
        <w:ind w:firstLine="630"/>
        <w:rPr>
          <w:rFonts w:ascii="仿宋" w:hAnsi="仿宋" w:eastAsia="仿宋" w:cs="仿宋"/>
          <w:color w:val="auto"/>
          <w:sz w:val="24"/>
        </w:rPr>
      </w:pPr>
      <w:r>
        <w:rPr>
          <w:rFonts w:hint="eastAsia" w:ascii="仿宋" w:hAnsi="仿宋" w:eastAsia="仿宋" w:cs="仿宋"/>
          <w:color w:val="auto"/>
          <w:sz w:val="24"/>
          <w:lang w:val="en-US" w:eastAsia="zh-CN"/>
        </w:rPr>
        <w:t>10</w:t>
      </w:r>
      <w:r>
        <w:rPr>
          <w:rFonts w:hint="eastAsia" w:ascii="仿宋" w:hAnsi="仿宋" w:eastAsia="仿宋" w:cs="仿宋"/>
          <w:color w:val="auto"/>
          <w:sz w:val="24"/>
          <w:lang w:val="zh-CN"/>
        </w:rPr>
        <w:t>、有关于本磋商文件的函电，请按下列地址联系。</w:t>
      </w:r>
    </w:p>
    <w:p w14:paraId="2438A3F6">
      <w:pPr>
        <w:autoSpaceDE w:val="0"/>
        <w:autoSpaceDN w:val="0"/>
        <w:adjustRightInd w:val="0"/>
        <w:snapToGrid w:val="0"/>
        <w:spacing w:line="312" w:lineRule="auto"/>
        <w:rPr>
          <w:rFonts w:ascii="仿宋" w:hAnsi="仿宋" w:eastAsia="仿宋" w:cs="仿宋"/>
          <w:color w:val="auto"/>
          <w:sz w:val="24"/>
        </w:rPr>
      </w:pPr>
      <w:r>
        <w:rPr>
          <w:rFonts w:hint="eastAsia" w:ascii="仿宋" w:hAnsi="仿宋" w:eastAsia="仿宋" w:cs="仿宋"/>
          <w:color w:val="auto"/>
          <w:sz w:val="24"/>
          <w:lang w:val="zh-CN"/>
        </w:rPr>
        <w:t>供应商全称（印章）：</w:t>
      </w:r>
    </w:p>
    <w:p w14:paraId="1A3B73A2">
      <w:pPr>
        <w:autoSpaceDE w:val="0"/>
        <w:autoSpaceDN w:val="0"/>
        <w:adjustRightInd w:val="0"/>
        <w:snapToGrid w:val="0"/>
        <w:spacing w:line="312" w:lineRule="auto"/>
        <w:ind w:firstLine="480" w:firstLineChars="200"/>
        <w:rPr>
          <w:rFonts w:ascii="仿宋" w:hAnsi="仿宋" w:eastAsia="仿宋" w:cs="仿宋"/>
          <w:color w:val="auto"/>
          <w:sz w:val="24"/>
        </w:rPr>
      </w:pPr>
      <w:r>
        <w:rPr>
          <w:rFonts w:hint="eastAsia" w:ascii="仿宋" w:hAnsi="仿宋" w:eastAsia="仿宋" w:cs="仿宋"/>
          <w:color w:val="auto"/>
          <w:sz w:val="24"/>
          <w:lang w:val="zh-CN"/>
        </w:rPr>
        <w:t>地</w:t>
      </w:r>
      <w:r>
        <w:rPr>
          <w:rFonts w:hint="eastAsia" w:ascii="仿宋" w:hAnsi="仿宋" w:eastAsia="仿宋" w:cs="仿宋"/>
          <w:color w:val="auto"/>
          <w:sz w:val="24"/>
        </w:rPr>
        <w:t xml:space="preserve">    </w:t>
      </w:r>
      <w:r>
        <w:rPr>
          <w:rFonts w:hint="eastAsia" w:ascii="仿宋" w:hAnsi="仿宋" w:eastAsia="仿宋" w:cs="仿宋"/>
          <w:color w:val="auto"/>
          <w:sz w:val="24"/>
          <w:lang w:val="zh-CN"/>
        </w:rPr>
        <w:t>址：</w:t>
      </w:r>
      <w:r>
        <w:rPr>
          <w:rFonts w:hint="eastAsia" w:ascii="仿宋" w:hAnsi="仿宋" w:eastAsia="仿宋" w:cs="仿宋"/>
          <w:color w:val="auto"/>
          <w:sz w:val="24"/>
        </w:rPr>
        <w:t>__________________________________________</w:t>
      </w:r>
    </w:p>
    <w:p w14:paraId="16EE0A41">
      <w:pPr>
        <w:autoSpaceDE w:val="0"/>
        <w:autoSpaceDN w:val="0"/>
        <w:adjustRightInd w:val="0"/>
        <w:snapToGrid w:val="0"/>
        <w:spacing w:line="312" w:lineRule="auto"/>
        <w:ind w:firstLine="480" w:firstLineChars="200"/>
        <w:rPr>
          <w:rFonts w:ascii="仿宋" w:hAnsi="仿宋" w:eastAsia="仿宋" w:cs="仿宋"/>
          <w:color w:val="auto"/>
          <w:sz w:val="24"/>
        </w:rPr>
      </w:pPr>
      <w:r>
        <w:rPr>
          <w:rFonts w:hint="eastAsia" w:ascii="仿宋" w:hAnsi="仿宋" w:eastAsia="仿宋" w:cs="仿宋"/>
          <w:color w:val="auto"/>
          <w:sz w:val="24"/>
          <w:lang w:val="zh-CN"/>
        </w:rPr>
        <w:t>开户银行：</w:t>
      </w:r>
      <w:r>
        <w:rPr>
          <w:rFonts w:hint="eastAsia" w:ascii="仿宋" w:hAnsi="仿宋" w:eastAsia="仿宋" w:cs="仿宋"/>
          <w:color w:val="auto"/>
          <w:sz w:val="24"/>
        </w:rPr>
        <w:t>__________________________________________</w:t>
      </w:r>
    </w:p>
    <w:p w14:paraId="71779691">
      <w:pPr>
        <w:autoSpaceDE w:val="0"/>
        <w:autoSpaceDN w:val="0"/>
        <w:adjustRightInd w:val="0"/>
        <w:snapToGrid w:val="0"/>
        <w:spacing w:line="312" w:lineRule="auto"/>
        <w:ind w:firstLine="480" w:firstLineChars="200"/>
        <w:rPr>
          <w:rFonts w:ascii="仿宋" w:hAnsi="仿宋" w:eastAsia="仿宋" w:cs="仿宋"/>
          <w:color w:val="auto"/>
          <w:sz w:val="24"/>
        </w:rPr>
      </w:pPr>
      <w:r>
        <w:rPr>
          <w:rFonts w:hint="eastAsia" w:ascii="仿宋" w:hAnsi="仿宋" w:eastAsia="仿宋" w:cs="仿宋"/>
          <w:color w:val="auto"/>
          <w:sz w:val="24"/>
          <w:lang w:val="zh-CN"/>
        </w:rPr>
        <w:t>帐</w:t>
      </w:r>
      <w:r>
        <w:rPr>
          <w:rFonts w:hint="eastAsia" w:ascii="仿宋" w:hAnsi="仿宋" w:eastAsia="仿宋" w:cs="仿宋"/>
          <w:color w:val="auto"/>
          <w:sz w:val="24"/>
        </w:rPr>
        <w:t xml:space="preserve">    </w:t>
      </w:r>
      <w:r>
        <w:rPr>
          <w:rFonts w:hint="eastAsia" w:ascii="仿宋" w:hAnsi="仿宋" w:eastAsia="仿宋" w:cs="仿宋"/>
          <w:color w:val="auto"/>
          <w:sz w:val="24"/>
          <w:lang w:val="zh-CN"/>
        </w:rPr>
        <w:t>号：</w:t>
      </w:r>
      <w:r>
        <w:rPr>
          <w:rFonts w:hint="eastAsia" w:ascii="仿宋" w:hAnsi="仿宋" w:eastAsia="仿宋" w:cs="仿宋"/>
          <w:color w:val="auto"/>
          <w:sz w:val="24"/>
        </w:rPr>
        <w:t>__________________________________________</w:t>
      </w:r>
    </w:p>
    <w:p w14:paraId="57C8DE18">
      <w:pPr>
        <w:autoSpaceDE w:val="0"/>
        <w:autoSpaceDN w:val="0"/>
        <w:adjustRightInd w:val="0"/>
        <w:snapToGrid w:val="0"/>
        <w:spacing w:line="312" w:lineRule="auto"/>
        <w:ind w:firstLine="480" w:firstLineChars="200"/>
        <w:rPr>
          <w:rFonts w:ascii="仿宋" w:hAnsi="仿宋" w:eastAsia="仿宋" w:cs="仿宋"/>
          <w:color w:val="auto"/>
          <w:sz w:val="24"/>
        </w:rPr>
      </w:pPr>
      <w:r>
        <w:rPr>
          <w:rFonts w:hint="eastAsia" w:ascii="仿宋" w:hAnsi="仿宋" w:eastAsia="仿宋" w:cs="仿宋"/>
          <w:color w:val="auto"/>
          <w:sz w:val="24"/>
          <w:lang w:val="zh-CN"/>
        </w:rPr>
        <w:t>电</w:t>
      </w:r>
      <w:r>
        <w:rPr>
          <w:rFonts w:hint="eastAsia" w:ascii="仿宋" w:hAnsi="仿宋" w:eastAsia="仿宋" w:cs="仿宋"/>
          <w:color w:val="auto"/>
          <w:sz w:val="24"/>
        </w:rPr>
        <w:t xml:space="preserve">    </w:t>
      </w:r>
      <w:r>
        <w:rPr>
          <w:rFonts w:hint="eastAsia" w:ascii="仿宋" w:hAnsi="仿宋" w:eastAsia="仿宋" w:cs="仿宋"/>
          <w:color w:val="auto"/>
          <w:sz w:val="24"/>
          <w:lang w:val="zh-CN"/>
        </w:rPr>
        <w:t>话：</w:t>
      </w:r>
      <w:r>
        <w:rPr>
          <w:rFonts w:hint="eastAsia" w:ascii="仿宋" w:hAnsi="仿宋" w:eastAsia="仿宋" w:cs="仿宋"/>
          <w:color w:val="auto"/>
          <w:sz w:val="24"/>
        </w:rPr>
        <w:t>__________________________________________</w:t>
      </w:r>
    </w:p>
    <w:p w14:paraId="2770D088">
      <w:pPr>
        <w:autoSpaceDE w:val="0"/>
        <w:autoSpaceDN w:val="0"/>
        <w:adjustRightInd w:val="0"/>
        <w:snapToGrid w:val="0"/>
        <w:spacing w:line="312" w:lineRule="auto"/>
        <w:ind w:firstLine="480" w:firstLineChars="200"/>
        <w:rPr>
          <w:rFonts w:ascii="仿宋" w:hAnsi="仿宋" w:eastAsia="仿宋" w:cs="仿宋"/>
          <w:color w:val="auto"/>
          <w:sz w:val="24"/>
        </w:rPr>
      </w:pPr>
      <w:r>
        <w:rPr>
          <w:rFonts w:hint="eastAsia" w:ascii="仿宋" w:hAnsi="仿宋" w:eastAsia="仿宋" w:cs="仿宋"/>
          <w:color w:val="auto"/>
          <w:sz w:val="24"/>
          <w:lang w:val="zh-CN"/>
        </w:rPr>
        <w:t>传</w:t>
      </w:r>
      <w:r>
        <w:rPr>
          <w:rFonts w:hint="eastAsia" w:ascii="仿宋" w:hAnsi="仿宋" w:eastAsia="仿宋" w:cs="仿宋"/>
          <w:color w:val="auto"/>
          <w:sz w:val="24"/>
        </w:rPr>
        <w:t xml:space="preserve">    </w:t>
      </w:r>
      <w:r>
        <w:rPr>
          <w:rFonts w:hint="eastAsia" w:ascii="仿宋" w:hAnsi="仿宋" w:eastAsia="仿宋" w:cs="仿宋"/>
          <w:color w:val="auto"/>
          <w:sz w:val="24"/>
          <w:lang w:val="zh-CN"/>
        </w:rPr>
        <w:t>真：</w:t>
      </w:r>
      <w:r>
        <w:rPr>
          <w:rFonts w:hint="eastAsia" w:ascii="仿宋" w:hAnsi="仿宋" w:eastAsia="仿宋" w:cs="仿宋"/>
          <w:color w:val="auto"/>
          <w:sz w:val="24"/>
        </w:rPr>
        <w:t>__________________________________________</w:t>
      </w:r>
    </w:p>
    <w:p w14:paraId="657E0EC1">
      <w:pPr>
        <w:autoSpaceDE w:val="0"/>
        <w:autoSpaceDN w:val="0"/>
        <w:adjustRightInd w:val="0"/>
        <w:snapToGrid w:val="0"/>
        <w:spacing w:line="312" w:lineRule="auto"/>
        <w:ind w:firstLine="480" w:firstLineChars="200"/>
        <w:jc w:val="left"/>
        <w:rPr>
          <w:rFonts w:ascii="仿宋" w:hAnsi="仿宋" w:eastAsia="仿宋" w:cs="仿宋"/>
          <w:color w:val="auto"/>
          <w:sz w:val="24"/>
        </w:rPr>
      </w:pPr>
      <w:r>
        <w:rPr>
          <w:rFonts w:hint="eastAsia" w:ascii="仿宋" w:hAnsi="仿宋" w:eastAsia="仿宋" w:cs="仿宋"/>
          <w:color w:val="auto"/>
          <w:sz w:val="24"/>
          <w:lang w:val="zh-CN"/>
        </w:rPr>
        <w:t xml:space="preserve">法定代表人或授权代表（签字或盖章）： </w:t>
      </w:r>
      <w:r>
        <w:rPr>
          <w:rFonts w:hint="eastAsia" w:ascii="仿宋" w:hAnsi="仿宋" w:eastAsia="仿宋" w:cs="仿宋"/>
          <w:color w:val="auto"/>
          <w:sz w:val="24"/>
        </w:rPr>
        <w:t>_______________</w:t>
      </w:r>
    </w:p>
    <w:p w14:paraId="68533C41">
      <w:pPr>
        <w:autoSpaceDE w:val="0"/>
        <w:autoSpaceDN w:val="0"/>
        <w:adjustRightInd w:val="0"/>
        <w:snapToGrid w:val="0"/>
        <w:spacing w:line="312" w:lineRule="auto"/>
        <w:jc w:val="center"/>
        <w:rPr>
          <w:rFonts w:ascii="仿宋" w:hAnsi="仿宋" w:eastAsia="仿宋" w:cs="仿宋"/>
          <w:b/>
          <w:color w:val="auto"/>
          <w:sz w:val="32"/>
          <w:szCs w:val="32"/>
        </w:rPr>
      </w:pPr>
      <w:r>
        <w:rPr>
          <w:rFonts w:hint="eastAsia" w:ascii="仿宋" w:hAnsi="仿宋" w:eastAsia="仿宋" w:cs="仿宋"/>
          <w:color w:val="auto"/>
          <w:sz w:val="24"/>
        </w:rPr>
        <w:t xml:space="preserve">                 _____</w:t>
      </w:r>
      <w:r>
        <w:rPr>
          <w:rFonts w:hint="eastAsia" w:ascii="仿宋" w:hAnsi="仿宋" w:eastAsia="仿宋" w:cs="仿宋"/>
          <w:color w:val="auto"/>
          <w:sz w:val="24"/>
          <w:lang w:val="zh-CN"/>
        </w:rPr>
        <w:t>年</w:t>
      </w:r>
      <w:r>
        <w:rPr>
          <w:rFonts w:hint="eastAsia" w:ascii="仿宋" w:hAnsi="仿宋" w:eastAsia="仿宋" w:cs="仿宋"/>
          <w:color w:val="auto"/>
          <w:sz w:val="24"/>
        </w:rPr>
        <w:t>_____</w:t>
      </w:r>
      <w:r>
        <w:rPr>
          <w:rFonts w:hint="eastAsia" w:ascii="仿宋" w:hAnsi="仿宋" w:eastAsia="仿宋" w:cs="仿宋"/>
          <w:color w:val="auto"/>
          <w:sz w:val="24"/>
          <w:lang w:val="zh-CN"/>
        </w:rPr>
        <w:t>月</w:t>
      </w:r>
      <w:r>
        <w:rPr>
          <w:rFonts w:hint="eastAsia" w:ascii="仿宋" w:hAnsi="仿宋" w:eastAsia="仿宋" w:cs="仿宋"/>
          <w:color w:val="auto"/>
          <w:sz w:val="24"/>
        </w:rPr>
        <w:t>_____</w:t>
      </w:r>
      <w:r>
        <w:rPr>
          <w:rFonts w:hint="eastAsia" w:ascii="仿宋" w:hAnsi="仿宋" w:eastAsia="仿宋" w:cs="仿宋"/>
          <w:color w:val="auto"/>
          <w:sz w:val="24"/>
          <w:lang w:val="zh-CN"/>
        </w:rPr>
        <w:t>日</w:t>
      </w:r>
      <w:bookmarkStart w:id="472" w:name="_Toc184635139"/>
    </w:p>
    <w:p w14:paraId="64C94CE2">
      <w:pPr>
        <w:spacing w:line="360" w:lineRule="auto"/>
        <w:jc w:val="center"/>
        <w:rPr>
          <w:rFonts w:ascii="仿宋" w:hAnsi="仿宋" w:eastAsia="仿宋" w:cs="仿宋"/>
          <w:b/>
          <w:color w:val="auto"/>
          <w:sz w:val="32"/>
          <w:szCs w:val="32"/>
        </w:rPr>
      </w:pPr>
    </w:p>
    <w:p w14:paraId="61133619">
      <w:pPr>
        <w:jc w:val="center"/>
        <w:outlineLvl w:val="1"/>
        <w:rPr>
          <w:rFonts w:ascii="仿宋" w:hAnsi="仿宋" w:eastAsia="仿宋" w:cs="仿宋"/>
          <w:b/>
          <w:bCs/>
          <w:color w:val="auto"/>
          <w:kern w:val="0"/>
          <w:sz w:val="28"/>
          <w:szCs w:val="28"/>
          <w:lang w:val="zh-CN"/>
        </w:rPr>
      </w:pPr>
      <w:bookmarkStart w:id="473" w:name="_Toc301514199"/>
      <w:bookmarkStart w:id="474" w:name="_Toc342748431"/>
      <w:r>
        <w:rPr>
          <w:rFonts w:hint="eastAsia" w:ascii="仿宋" w:hAnsi="仿宋" w:eastAsia="仿宋" w:cs="仿宋"/>
          <w:b/>
          <w:bCs/>
          <w:color w:val="auto"/>
        </w:rPr>
        <w:br w:type="page"/>
      </w:r>
      <w:bookmarkStart w:id="475" w:name="_Toc6612"/>
      <w:bookmarkStart w:id="476" w:name="_Toc30020"/>
      <w:r>
        <w:rPr>
          <w:rFonts w:hint="eastAsia" w:ascii="仿宋" w:hAnsi="仿宋" w:eastAsia="仿宋" w:cs="仿宋"/>
          <w:b/>
          <w:bCs/>
          <w:color w:val="auto"/>
          <w:kern w:val="0"/>
          <w:sz w:val="28"/>
          <w:szCs w:val="28"/>
          <w:lang w:val="zh-CN"/>
        </w:rPr>
        <w:t>二、（首次）磋商报价表</w:t>
      </w:r>
      <w:bookmarkEnd w:id="475"/>
      <w:bookmarkEnd w:id="476"/>
    </w:p>
    <w:p w14:paraId="18A10423">
      <w:pPr>
        <w:autoSpaceDE w:val="0"/>
        <w:autoSpaceDN w:val="0"/>
        <w:adjustRightInd w:val="0"/>
        <w:snapToGrid w:val="0"/>
        <w:spacing w:line="360" w:lineRule="auto"/>
        <w:jc w:val="right"/>
        <w:rPr>
          <w:rFonts w:ascii="仿宋" w:hAnsi="仿宋" w:eastAsia="仿宋" w:cs="仿宋"/>
          <w:b/>
          <w:color w:val="auto"/>
          <w:sz w:val="24"/>
        </w:rPr>
      </w:pPr>
      <w:r>
        <w:rPr>
          <w:rFonts w:hint="eastAsia" w:ascii="仿宋" w:hAnsi="仿宋" w:eastAsia="仿宋" w:cs="仿宋"/>
          <w:color w:val="auto"/>
          <w:sz w:val="32"/>
          <w:szCs w:val="32"/>
        </w:rPr>
        <w:t xml:space="preserve">                                                          </w:t>
      </w:r>
      <w:r>
        <w:rPr>
          <w:rFonts w:hint="eastAsia" w:ascii="仿宋" w:hAnsi="仿宋" w:eastAsia="仿宋" w:cs="仿宋"/>
          <w:b/>
          <w:color w:val="auto"/>
          <w:sz w:val="24"/>
          <w:lang w:val="zh-CN"/>
        </w:rPr>
        <w:t>单位</w:t>
      </w:r>
      <w:r>
        <w:rPr>
          <w:rFonts w:hint="eastAsia" w:ascii="仿宋" w:hAnsi="仿宋" w:eastAsia="仿宋" w:cs="仿宋"/>
          <w:b/>
          <w:color w:val="auto"/>
          <w:sz w:val="24"/>
        </w:rPr>
        <w:t xml:space="preserve"> </w:t>
      </w:r>
      <w:r>
        <w:rPr>
          <w:rFonts w:hint="eastAsia" w:ascii="仿宋" w:hAnsi="仿宋" w:eastAsia="仿宋" w:cs="仿宋"/>
          <w:b/>
          <w:color w:val="auto"/>
          <w:sz w:val="24"/>
          <w:lang w:val="zh-CN"/>
        </w:rPr>
        <w:t>：元</w:t>
      </w:r>
      <w:r>
        <w:rPr>
          <w:rFonts w:hint="eastAsia" w:ascii="仿宋" w:hAnsi="仿宋" w:eastAsia="仿宋" w:cs="仿宋"/>
          <w:b/>
          <w:color w:val="auto"/>
          <w:sz w:val="24"/>
        </w:rPr>
        <w:t xml:space="preserve"> </w:t>
      </w:r>
    </w:p>
    <w:tbl>
      <w:tblPr>
        <w:tblStyle w:val="50"/>
        <w:tblW w:w="4316" w:type="pct"/>
        <w:jc w:val="center"/>
        <w:tblLayout w:type="autofit"/>
        <w:tblCellMar>
          <w:top w:w="0" w:type="dxa"/>
          <w:left w:w="108" w:type="dxa"/>
          <w:bottom w:w="0" w:type="dxa"/>
          <w:right w:w="108" w:type="dxa"/>
        </w:tblCellMar>
      </w:tblPr>
      <w:tblGrid>
        <w:gridCol w:w="2139"/>
        <w:gridCol w:w="1412"/>
        <w:gridCol w:w="1634"/>
        <w:gridCol w:w="1411"/>
        <w:gridCol w:w="1420"/>
      </w:tblGrid>
      <w:tr w14:paraId="02A2F219">
        <w:tblPrEx>
          <w:tblCellMar>
            <w:top w:w="0" w:type="dxa"/>
            <w:left w:w="108" w:type="dxa"/>
            <w:bottom w:w="0" w:type="dxa"/>
            <w:right w:w="108" w:type="dxa"/>
          </w:tblCellMar>
        </w:tblPrEx>
        <w:trPr>
          <w:trHeight w:val="1397" w:hRule="atLeast"/>
          <w:jc w:val="center"/>
        </w:trPr>
        <w:tc>
          <w:tcPr>
            <w:tcW w:w="1334" w:type="pct"/>
            <w:tcBorders>
              <w:top w:val="single" w:color="auto" w:sz="6" w:space="0"/>
              <w:left w:val="single" w:color="auto" w:sz="6" w:space="0"/>
              <w:bottom w:val="single" w:color="auto" w:sz="6" w:space="0"/>
              <w:right w:val="single" w:color="auto" w:sz="6" w:space="0"/>
              <w:tl2br w:val="single" w:color="auto" w:sz="4" w:space="0"/>
            </w:tcBorders>
          </w:tcPr>
          <w:p w14:paraId="7DB5F110">
            <w:pPr>
              <w:autoSpaceDE w:val="0"/>
              <w:autoSpaceDN w:val="0"/>
              <w:adjustRightInd w:val="0"/>
              <w:snapToGrid w:val="0"/>
              <w:spacing w:line="360" w:lineRule="auto"/>
              <w:jc w:val="right"/>
              <w:rPr>
                <w:rFonts w:ascii="仿宋" w:hAnsi="仿宋" w:eastAsia="仿宋" w:cs="仿宋"/>
                <w:color w:val="auto"/>
                <w:sz w:val="24"/>
              </w:rPr>
            </w:pPr>
            <w:r>
              <w:rPr>
                <w:rFonts w:hint="eastAsia" w:ascii="仿宋" w:hAnsi="仿宋" w:eastAsia="仿宋" w:cs="仿宋"/>
                <w:color w:val="auto"/>
                <w:sz w:val="24"/>
                <w:lang w:val="zh-CN"/>
              </w:rPr>
              <w:t>报价内容</w:t>
            </w:r>
          </w:p>
          <w:p w14:paraId="6EDF852B">
            <w:pPr>
              <w:autoSpaceDE w:val="0"/>
              <w:autoSpaceDN w:val="0"/>
              <w:adjustRightInd w:val="0"/>
              <w:snapToGrid w:val="0"/>
              <w:spacing w:line="360" w:lineRule="auto"/>
              <w:ind w:left="-1" w:hanging="419"/>
              <w:rPr>
                <w:rFonts w:ascii="仿宋" w:hAnsi="仿宋" w:eastAsia="仿宋" w:cs="仿宋"/>
                <w:color w:val="auto"/>
                <w:sz w:val="24"/>
              </w:rPr>
            </w:pPr>
          </w:p>
          <w:p w14:paraId="76011CC3">
            <w:pPr>
              <w:autoSpaceDE w:val="0"/>
              <w:autoSpaceDN w:val="0"/>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lang w:val="zh-CN"/>
              </w:rPr>
              <w:t>供应商</w:t>
            </w:r>
          </w:p>
        </w:tc>
        <w:tc>
          <w:tcPr>
            <w:tcW w:w="881" w:type="pct"/>
            <w:tcBorders>
              <w:top w:val="single" w:color="auto" w:sz="6" w:space="0"/>
              <w:left w:val="single" w:color="auto" w:sz="6" w:space="0"/>
              <w:bottom w:val="single" w:color="auto" w:sz="6" w:space="0"/>
              <w:right w:val="single" w:color="auto" w:sz="4" w:space="0"/>
            </w:tcBorders>
            <w:vAlign w:val="center"/>
          </w:tcPr>
          <w:p w14:paraId="506B5288">
            <w:pPr>
              <w:autoSpaceDE w:val="0"/>
              <w:autoSpaceDN w:val="0"/>
              <w:adjustRightInd w:val="0"/>
              <w:snapToGrid w:val="0"/>
              <w:spacing w:line="360" w:lineRule="auto"/>
              <w:jc w:val="center"/>
              <w:rPr>
                <w:rFonts w:ascii="仿宋" w:hAnsi="仿宋" w:eastAsia="仿宋" w:cs="仿宋"/>
                <w:color w:val="auto"/>
                <w:sz w:val="24"/>
              </w:rPr>
            </w:pPr>
            <w:r>
              <w:rPr>
                <w:rFonts w:hint="eastAsia" w:ascii="仿宋" w:hAnsi="仿宋" w:eastAsia="仿宋" w:cs="仿宋"/>
                <w:color w:val="auto"/>
                <w:sz w:val="24"/>
              </w:rPr>
              <w:t>总报价(元)</w:t>
            </w:r>
          </w:p>
        </w:tc>
        <w:tc>
          <w:tcPr>
            <w:tcW w:w="1019" w:type="pct"/>
            <w:tcBorders>
              <w:top w:val="single" w:color="auto" w:sz="6" w:space="0"/>
              <w:left w:val="single" w:color="auto" w:sz="4" w:space="0"/>
              <w:bottom w:val="single" w:color="auto" w:sz="6" w:space="0"/>
              <w:right w:val="single" w:color="auto" w:sz="6" w:space="0"/>
            </w:tcBorders>
            <w:vAlign w:val="center"/>
          </w:tcPr>
          <w:p w14:paraId="73654927">
            <w:pPr>
              <w:autoSpaceDE w:val="0"/>
              <w:autoSpaceDN w:val="0"/>
              <w:adjustRightInd w:val="0"/>
              <w:snapToGrid w:val="0"/>
              <w:spacing w:line="360" w:lineRule="auto"/>
              <w:jc w:val="center"/>
              <w:rPr>
                <w:rFonts w:ascii="仿宋" w:hAnsi="仿宋" w:eastAsia="仿宋" w:cs="仿宋"/>
                <w:color w:val="auto"/>
                <w:sz w:val="24"/>
              </w:rPr>
            </w:pPr>
            <w:r>
              <w:rPr>
                <w:rFonts w:hint="eastAsia" w:ascii="仿宋" w:hAnsi="仿宋" w:eastAsia="仿宋" w:cs="仿宋"/>
                <w:color w:val="auto"/>
                <w:sz w:val="24"/>
              </w:rPr>
              <w:t>工期（天）</w:t>
            </w:r>
          </w:p>
        </w:tc>
        <w:tc>
          <w:tcPr>
            <w:tcW w:w="880" w:type="pct"/>
            <w:tcBorders>
              <w:top w:val="single" w:color="auto" w:sz="6" w:space="0"/>
              <w:left w:val="single" w:color="auto" w:sz="6" w:space="0"/>
              <w:bottom w:val="single" w:color="auto" w:sz="6" w:space="0"/>
              <w:right w:val="single" w:color="auto" w:sz="6" w:space="0"/>
            </w:tcBorders>
            <w:vAlign w:val="center"/>
          </w:tcPr>
          <w:p w14:paraId="6DD110C5">
            <w:pPr>
              <w:autoSpaceDE w:val="0"/>
              <w:autoSpaceDN w:val="0"/>
              <w:adjustRightInd w:val="0"/>
              <w:snapToGrid w:val="0"/>
              <w:spacing w:line="36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项目经理</w:t>
            </w:r>
          </w:p>
        </w:tc>
        <w:tc>
          <w:tcPr>
            <w:tcW w:w="883" w:type="pct"/>
            <w:tcBorders>
              <w:top w:val="single" w:color="auto" w:sz="6" w:space="0"/>
              <w:left w:val="single" w:color="auto" w:sz="6" w:space="0"/>
              <w:bottom w:val="single" w:color="auto" w:sz="6" w:space="0"/>
              <w:right w:val="single" w:color="auto" w:sz="6" w:space="0"/>
            </w:tcBorders>
            <w:vAlign w:val="center"/>
          </w:tcPr>
          <w:p w14:paraId="5414E56C">
            <w:pPr>
              <w:autoSpaceDE w:val="0"/>
              <w:autoSpaceDN w:val="0"/>
              <w:adjustRightInd w:val="0"/>
              <w:snapToGrid w:val="0"/>
              <w:spacing w:line="360" w:lineRule="auto"/>
              <w:jc w:val="center"/>
              <w:rPr>
                <w:rFonts w:hint="eastAsia" w:ascii="仿宋" w:hAnsi="仿宋" w:eastAsia="仿宋" w:cs="仿宋"/>
                <w:color w:val="auto"/>
                <w:sz w:val="24"/>
                <w:lang w:val="zh-CN" w:eastAsia="zh-CN"/>
              </w:rPr>
            </w:pPr>
            <w:r>
              <w:rPr>
                <w:rFonts w:hint="eastAsia" w:ascii="仿宋" w:hAnsi="仿宋" w:eastAsia="仿宋" w:cs="仿宋"/>
                <w:color w:val="auto"/>
                <w:sz w:val="24"/>
                <w:lang w:val="en-US" w:eastAsia="zh-CN"/>
              </w:rPr>
              <w:t>备注</w:t>
            </w:r>
          </w:p>
        </w:tc>
      </w:tr>
      <w:tr w14:paraId="4A463421">
        <w:tblPrEx>
          <w:tblCellMar>
            <w:top w:w="0" w:type="dxa"/>
            <w:left w:w="108" w:type="dxa"/>
            <w:bottom w:w="0" w:type="dxa"/>
            <w:right w:w="108" w:type="dxa"/>
          </w:tblCellMar>
        </w:tblPrEx>
        <w:trPr>
          <w:trHeight w:val="1168" w:hRule="atLeast"/>
          <w:jc w:val="center"/>
        </w:trPr>
        <w:tc>
          <w:tcPr>
            <w:tcW w:w="1334" w:type="pct"/>
            <w:tcBorders>
              <w:top w:val="single" w:color="auto" w:sz="6" w:space="0"/>
              <w:left w:val="single" w:color="auto" w:sz="6" w:space="0"/>
              <w:bottom w:val="single" w:color="auto" w:sz="6" w:space="0"/>
              <w:right w:val="single" w:color="auto" w:sz="6" w:space="0"/>
            </w:tcBorders>
            <w:vAlign w:val="center"/>
          </w:tcPr>
          <w:p w14:paraId="7A3D4905">
            <w:pPr>
              <w:autoSpaceDE w:val="0"/>
              <w:autoSpaceDN w:val="0"/>
              <w:adjustRightInd w:val="0"/>
              <w:snapToGrid w:val="0"/>
              <w:spacing w:line="360" w:lineRule="auto"/>
              <w:jc w:val="center"/>
              <w:rPr>
                <w:rFonts w:ascii="仿宋" w:hAnsi="仿宋" w:eastAsia="仿宋" w:cs="仿宋"/>
                <w:color w:val="auto"/>
                <w:sz w:val="24"/>
              </w:rPr>
            </w:pPr>
          </w:p>
        </w:tc>
        <w:tc>
          <w:tcPr>
            <w:tcW w:w="881" w:type="pct"/>
            <w:tcBorders>
              <w:top w:val="single" w:color="auto" w:sz="6" w:space="0"/>
              <w:left w:val="single" w:color="auto" w:sz="6" w:space="0"/>
              <w:bottom w:val="single" w:color="auto" w:sz="6" w:space="0"/>
              <w:right w:val="single" w:color="auto" w:sz="4" w:space="0"/>
            </w:tcBorders>
            <w:vAlign w:val="center"/>
          </w:tcPr>
          <w:p w14:paraId="2F9C1E39">
            <w:pPr>
              <w:autoSpaceDE w:val="0"/>
              <w:autoSpaceDN w:val="0"/>
              <w:adjustRightInd w:val="0"/>
              <w:snapToGrid w:val="0"/>
              <w:spacing w:line="360" w:lineRule="auto"/>
              <w:rPr>
                <w:rFonts w:ascii="仿宋" w:hAnsi="仿宋" w:eastAsia="仿宋" w:cs="仿宋"/>
                <w:color w:val="auto"/>
                <w:sz w:val="24"/>
              </w:rPr>
            </w:pPr>
          </w:p>
        </w:tc>
        <w:tc>
          <w:tcPr>
            <w:tcW w:w="1019" w:type="pct"/>
            <w:tcBorders>
              <w:top w:val="single" w:color="auto" w:sz="6" w:space="0"/>
              <w:left w:val="single" w:color="auto" w:sz="4" w:space="0"/>
              <w:bottom w:val="single" w:color="auto" w:sz="6" w:space="0"/>
              <w:right w:val="single" w:color="auto" w:sz="6" w:space="0"/>
            </w:tcBorders>
            <w:vAlign w:val="center"/>
          </w:tcPr>
          <w:p w14:paraId="2D6C41A8">
            <w:pPr>
              <w:autoSpaceDE w:val="0"/>
              <w:autoSpaceDN w:val="0"/>
              <w:adjustRightInd w:val="0"/>
              <w:snapToGrid w:val="0"/>
              <w:spacing w:line="360" w:lineRule="auto"/>
              <w:rPr>
                <w:rFonts w:ascii="仿宋" w:hAnsi="仿宋" w:eastAsia="仿宋" w:cs="仿宋"/>
                <w:color w:val="auto"/>
                <w:sz w:val="24"/>
              </w:rPr>
            </w:pPr>
          </w:p>
        </w:tc>
        <w:tc>
          <w:tcPr>
            <w:tcW w:w="880" w:type="pct"/>
            <w:tcBorders>
              <w:top w:val="single" w:color="auto" w:sz="6" w:space="0"/>
              <w:left w:val="single" w:color="auto" w:sz="6" w:space="0"/>
              <w:bottom w:val="single" w:color="auto" w:sz="6" w:space="0"/>
              <w:right w:val="single" w:color="auto" w:sz="6" w:space="0"/>
            </w:tcBorders>
            <w:vAlign w:val="center"/>
          </w:tcPr>
          <w:p w14:paraId="6D3FE31A">
            <w:pPr>
              <w:autoSpaceDE w:val="0"/>
              <w:autoSpaceDN w:val="0"/>
              <w:adjustRightInd w:val="0"/>
              <w:snapToGrid w:val="0"/>
              <w:spacing w:line="360" w:lineRule="auto"/>
              <w:rPr>
                <w:rFonts w:ascii="仿宋" w:hAnsi="仿宋" w:eastAsia="仿宋" w:cs="仿宋"/>
                <w:color w:val="auto"/>
                <w:sz w:val="24"/>
              </w:rPr>
            </w:pPr>
          </w:p>
        </w:tc>
        <w:tc>
          <w:tcPr>
            <w:tcW w:w="883" w:type="pct"/>
            <w:tcBorders>
              <w:top w:val="single" w:color="auto" w:sz="6" w:space="0"/>
              <w:left w:val="single" w:color="auto" w:sz="6" w:space="0"/>
              <w:bottom w:val="single" w:color="auto" w:sz="6" w:space="0"/>
              <w:right w:val="single" w:color="auto" w:sz="6" w:space="0"/>
            </w:tcBorders>
            <w:vAlign w:val="center"/>
          </w:tcPr>
          <w:p w14:paraId="36763DB7">
            <w:pPr>
              <w:autoSpaceDE w:val="0"/>
              <w:autoSpaceDN w:val="0"/>
              <w:adjustRightInd w:val="0"/>
              <w:snapToGrid w:val="0"/>
              <w:spacing w:line="360" w:lineRule="auto"/>
              <w:jc w:val="center"/>
              <w:rPr>
                <w:rFonts w:ascii="仿宋" w:hAnsi="仿宋" w:eastAsia="仿宋" w:cs="仿宋"/>
                <w:color w:val="auto"/>
                <w:sz w:val="24"/>
              </w:rPr>
            </w:pPr>
          </w:p>
        </w:tc>
      </w:tr>
      <w:tr w14:paraId="1737FBE5">
        <w:tblPrEx>
          <w:tblCellMar>
            <w:top w:w="0" w:type="dxa"/>
            <w:left w:w="108" w:type="dxa"/>
            <w:bottom w:w="0" w:type="dxa"/>
            <w:right w:w="108" w:type="dxa"/>
          </w:tblCellMar>
        </w:tblPrEx>
        <w:trPr>
          <w:trHeight w:val="1420" w:hRule="atLeast"/>
          <w:jc w:val="center"/>
        </w:trPr>
        <w:tc>
          <w:tcPr>
            <w:tcW w:w="5000" w:type="pct"/>
            <w:gridSpan w:val="5"/>
            <w:tcBorders>
              <w:top w:val="single" w:color="auto" w:sz="6" w:space="0"/>
              <w:left w:val="single" w:color="auto" w:sz="6" w:space="0"/>
              <w:bottom w:val="single" w:color="auto" w:sz="6" w:space="0"/>
              <w:right w:val="single" w:color="auto" w:sz="4" w:space="0"/>
            </w:tcBorders>
            <w:vAlign w:val="center"/>
          </w:tcPr>
          <w:p w14:paraId="7927FDCC">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总计：</w:t>
            </w:r>
          </w:p>
          <w:p w14:paraId="131F20DC">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人民币大写：                    ￥：       元</w:t>
            </w:r>
          </w:p>
        </w:tc>
      </w:tr>
      <w:tr w14:paraId="59BA858B">
        <w:tblPrEx>
          <w:tblCellMar>
            <w:top w:w="0" w:type="dxa"/>
            <w:left w:w="108" w:type="dxa"/>
            <w:bottom w:w="0" w:type="dxa"/>
            <w:right w:w="108" w:type="dxa"/>
          </w:tblCellMar>
        </w:tblPrEx>
        <w:trPr>
          <w:trHeight w:val="1082" w:hRule="atLeast"/>
          <w:jc w:val="center"/>
        </w:trPr>
        <w:tc>
          <w:tcPr>
            <w:tcW w:w="5000" w:type="pct"/>
            <w:gridSpan w:val="5"/>
            <w:tcBorders>
              <w:top w:val="single" w:color="auto" w:sz="6" w:space="0"/>
              <w:left w:val="single" w:color="auto" w:sz="6" w:space="0"/>
              <w:bottom w:val="single" w:color="auto" w:sz="6" w:space="0"/>
              <w:right w:val="single" w:color="auto" w:sz="6" w:space="0"/>
            </w:tcBorders>
            <w:vAlign w:val="center"/>
          </w:tcPr>
          <w:p w14:paraId="490C7DF5">
            <w:pPr>
              <w:autoSpaceDE w:val="0"/>
              <w:autoSpaceDN w:val="0"/>
              <w:adjustRightInd w:val="0"/>
              <w:snapToGri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备注：表内报价内容以元为单位，精确到分。</w:t>
            </w:r>
          </w:p>
        </w:tc>
      </w:tr>
    </w:tbl>
    <w:p w14:paraId="0A586B3B">
      <w:pPr>
        <w:autoSpaceDE w:val="0"/>
        <w:autoSpaceDN w:val="0"/>
        <w:adjustRightInd w:val="0"/>
        <w:snapToGrid w:val="0"/>
        <w:spacing w:line="360" w:lineRule="auto"/>
        <w:rPr>
          <w:rFonts w:ascii="仿宋" w:hAnsi="仿宋" w:eastAsia="仿宋" w:cs="仿宋"/>
          <w:color w:val="auto"/>
          <w:sz w:val="24"/>
        </w:rPr>
      </w:pPr>
      <w:r>
        <w:rPr>
          <w:rFonts w:hint="eastAsia" w:ascii="仿宋" w:hAnsi="仿宋" w:eastAsia="仿宋" w:cs="仿宋"/>
          <w:b/>
          <w:bCs/>
          <w:color w:val="auto"/>
          <w:sz w:val="24"/>
        </w:rPr>
        <w:t xml:space="preserve">                                                                                      </w:t>
      </w:r>
    </w:p>
    <w:p w14:paraId="7802AEF2">
      <w:pPr>
        <w:autoSpaceDE w:val="0"/>
        <w:autoSpaceDN w:val="0"/>
        <w:adjustRightInd w:val="0"/>
        <w:snapToGrid w:val="0"/>
        <w:spacing w:line="360" w:lineRule="auto"/>
        <w:ind w:firstLine="1080" w:firstLineChars="450"/>
        <w:rPr>
          <w:rFonts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458CB459">
      <w:pPr>
        <w:autoSpaceDE w:val="0"/>
        <w:autoSpaceDN w:val="0"/>
        <w:adjustRightInd w:val="0"/>
        <w:snapToGrid w:val="0"/>
        <w:spacing w:line="360" w:lineRule="auto"/>
        <w:ind w:firstLine="960" w:firstLineChars="400"/>
        <w:rPr>
          <w:rFonts w:ascii="仿宋" w:hAnsi="仿宋" w:eastAsia="仿宋" w:cs="仿宋"/>
          <w:color w:val="auto"/>
          <w:sz w:val="24"/>
          <w:lang w:val="zh-CN"/>
        </w:rPr>
      </w:pPr>
      <w:r>
        <w:rPr>
          <w:rFonts w:hint="eastAsia" w:ascii="仿宋" w:hAnsi="仿宋" w:eastAsia="仿宋" w:cs="仿宋"/>
          <w:color w:val="auto"/>
          <w:sz w:val="24"/>
          <w:lang w:val="zh-CN"/>
        </w:rPr>
        <w:t>（公章）：                  （签字或盖章）：</w:t>
      </w:r>
    </w:p>
    <w:p w14:paraId="29C98ADC">
      <w:pPr>
        <w:autoSpaceDE w:val="0"/>
        <w:autoSpaceDN w:val="0"/>
        <w:adjustRightInd w:val="0"/>
        <w:snapToGrid w:val="0"/>
        <w:spacing w:line="360" w:lineRule="auto"/>
        <w:rPr>
          <w:rFonts w:ascii="仿宋" w:hAnsi="仿宋" w:eastAsia="仿宋" w:cs="仿宋"/>
          <w:color w:val="auto"/>
          <w:sz w:val="24"/>
          <w:lang w:val="zh-CN"/>
        </w:rPr>
      </w:pPr>
    </w:p>
    <w:p w14:paraId="2C999F72">
      <w:pPr>
        <w:autoSpaceDE w:val="0"/>
        <w:autoSpaceDN w:val="0"/>
        <w:adjustRightInd w:val="0"/>
        <w:snapToGrid w:val="0"/>
        <w:spacing w:line="360" w:lineRule="auto"/>
        <w:rPr>
          <w:rFonts w:ascii="仿宋" w:hAnsi="仿宋" w:eastAsia="仿宋" w:cs="仿宋"/>
          <w:color w:val="auto"/>
          <w:sz w:val="24"/>
          <w:lang w:val="zh-CN"/>
        </w:rPr>
      </w:pPr>
    </w:p>
    <w:p w14:paraId="31829E84">
      <w:pPr>
        <w:autoSpaceDE w:val="0"/>
        <w:autoSpaceDN w:val="0"/>
        <w:adjustRightInd w:val="0"/>
        <w:snapToGrid w:val="0"/>
        <w:spacing w:line="360" w:lineRule="auto"/>
        <w:ind w:firstLine="240" w:firstLineChars="100"/>
        <w:rPr>
          <w:rFonts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14:paraId="72C97E2A">
      <w:pPr>
        <w:autoSpaceDE w:val="0"/>
        <w:autoSpaceDN w:val="0"/>
        <w:adjustRightInd w:val="0"/>
        <w:snapToGrid w:val="0"/>
        <w:spacing w:line="360" w:lineRule="auto"/>
        <w:ind w:firstLine="2880"/>
        <w:rPr>
          <w:rFonts w:ascii="仿宋" w:hAnsi="仿宋" w:eastAsia="仿宋" w:cs="仿宋"/>
          <w:color w:val="auto"/>
          <w:szCs w:val="21"/>
        </w:rPr>
        <w:sectPr>
          <w:headerReference r:id="rId12" w:type="default"/>
          <w:pgSz w:w="11906" w:h="16838"/>
          <w:pgMar w:top="1418" w:right="1418" w:bottom="1418" w:left="1418" w:header="851" w:footer="992" w:gutter="0"/>
          <w:pgNumType w:fmt="decimal"/>
          <w:cols w:space="720" w:num="1"/>
          <w:docGrid w:linePitch="312" w:charSpace="0"/>
        </w:sectPr>
      </w:pPr>
    </w:p>
    <w:p w14:paraId="5DA6DB3F">
      <w:pPr>
        <w:pStyle w:val="3"/>
        <w:tabs>
          <w:tab w:val="left" w:pos="3780"/>
        </w:tabs>
        <w:jc w:val="center"/>
        <w:rPr>
          <w:rFonts w:hint="default" w:ascii="仿宋" w:hAnsi="仿宋" w:eastAsia="仿宋" w:cs="仿宋"/>
          <w:b/>
          <w:bCs/>
          <w:color w:val="auto"/>
          <w:kern w:val="0"/>
          <w:szCs w:val="28"/>
          <w:lang w:val="en-US"/>
        </w:rPr>
      </w:pPr>
      <w:bookmarkStart w:id="477" w:name="_Toc31927"/>
      <w:bookmarkStart w:id="478" w:name="_Toc10239"/>
      <w:bookmarkStart w:id="479" w:name="_Toc15517"/>
      <w:bookmarkStart w:id="480" w:name="_Toc22676"/>
      <w:r>
        <w:rPr>
          <w:rFonts w:hint="eastAsia" w:ascii="仿宋" w:hAnsi="仿宋" w:eastAsia="仿宋" w:cs="仿宋"/>
          <w:b/>
          <w:bCs/>
          <w:color w:val="auto"/>
          <w:kern w:val="0"/>
          <w:szCs w:val="28"/>
          <w:lang w:val="en-US" w:eastAsia="zh-CN"/>
        </w:rPr>
        <w:t>三、</w:t>
      </w:r>
      <w:bookmarkEnd w:id="477"/>
      <w:bookmarkEnd w:id="478"/>
      <w:bookmarkEnd w:id="479"/>
      <w:r>
        <w:rPr>
          <w:rFonts w:hint="eastAsia" w:ascii="仿宋" w:hAnsi="仿宋" w:eastAsia="仿宋" w:cs="仿宋"/>
          <w:b/>
          <w:bCs/>
          <w:color w:val="auto"/>
          <w:kern w:val="0"/>
          <w:szCs w:val="28"/>
          <w:lang w:val="en-US" w:eastAsia="zh-CN"/>
        </w:rPr>
        <w:t>已标价工程量清单</w:t>
      </w:r>
    </w:p>
    <w:p w14:paraId="38045534">
      <w:pPr>
        <w:rPr>
          <w:color w:val="auto"/>
        </w:rPr>
      </w:pPr>
    </w:p>
    <w:bookmarkEnd w:id="472"/>
    <w:bookmarkEnd w:id="473"/>
    <w:bookmarkEnd w:id="474"/>
    <w:bookmarkEnd w:id="480"/>
    <w:p w14:paraId="32276051">
      <w:pPr>
        <w:adjustRightInd w:val="0"/>
        <w:snapToGrid w:val="0"/>
        <w:spacing w:line="360" w:lineRule="auto"/>
        <w:ind w:left="-525" w:leftChars="-250" w:firstLine="720" w:firstLineChars="300"/>
        <w:rPr>
          <w:rFonts w:hint="eastAsia" w:ascii="仿宋" w:hAnsi="仿宋" w:eastAsia="仿宋" w:cs="仿宋"/>
          <w:color w:val="auto"/>
          <w:sz w:val="24"/>
        </w:rPr>
      </w:pPr>
      <w:bookmarkStart w:id="481" w:name="_Toc301514200"/>
    </w:p>
    <w:p w14:paraId="43A05818">
      <w:pPr>
        <w:rPr>
          <w:rFonts w:hint="eastAsia" w:ascii="仿宋" w:hAnsi="仿宋" w:eastAsia="仿宋" w:cs="仿宋"/>
          <w:color w:val="auto"/>
        </w:rPr>
      </w:pPr>
      <w:r>
        <w:rPr>
          <w:rFonts w:hint="eastAsia" w:ascii="仿宋" w:hAnsi="仿宋" w:eastAsia="仿宋" w:cs="仿宋"/>
          <w:color w:val="auto"/>
        </w:rPr>
        <w:br w:type="page"/>
      </w:r>
    </w:p>
    <w:p w14:paraId="3AA9B035">
      <w:pPr>
        <w:pStyle w:val="4"/>
        <w:ind w:firstLine="0" w:firstLineChars="0"/>
        <w:jc w:val="center"/>
        <w:rPr>
          <w:rFonts w:ascii="Times New Roman" w:hAnsi="Times New Roman" w:eastAsia="仿宋_GB2312"/>
          <w:color w:val="auto"/>
          <w:sz w:val="32"/>
          <w:szCs w:val="32"/>
          <w:lang w:val="zh-CN"/>
        </w:rPr>
      </w:pPr>
      <w:bookmarkStart w:id="482" w:name="_Toc32040"/>
      <w:bookmarkStart w:id="483" w:name="_Toc10142"/>
      <w:r>
        <w:rPr>
          <w:rFonts w:ascii="Times New Roman" w:hAnsi="Times New Roman" w:eastAsia="仿宋_GB2312"/>
          <w:color w:val="auto"/>
          <w:sz w:val="32"/>
          <w:szCs w:val="32"/>
          <w:lang w:val="zh-CN"/>
        </w:rPr>
        <w:t>节能产品、环境标志产品明细表</w:t>
      </w:r>
      <w:bookmarkEnd w:id="482"/>
      <w:bookmarkEnd w:id="483"/>
    </w:p>
    <w:p w14:paraId="53E1D52C">
      <w:pPr>
        <w:pStyle w:val="22"/>
        <w:tabs>
          <w:tab w:val="left" w:pos="567"/>
        </w:tabs>
        <w:rPr>
          <w:rFonts w:ascii="Times New Roman" w:hAnsi="Times New Roman" w:eastAsia="仿宋_GB2312"/>
          <w:color w:val="auto"/>
          <w:u w:val="single"/>
        </w:rPr>
      </w:pPr>
      <w:r>
        <w:rPr>
          <w:rFonts w:ascii="Times New Roman" w:hAnsi="Times New Roman" w:eastAsia="仿宋_GB2312"/>
          <w:color w:val="auto"/>
        </w:rPr>
        <w:t>项目编号：</w:t>
      </w:r>
    </w:p>
    <w:p w14:paraId="79F76682">
      <w:pPr>
        <w:pStyle w:val="5"/>
        <w:ind w:firstLine="0"/>
        <w:rPr>
          <w:color w:val="auto"/>
        </w:rPr>
      </w:pPr>
      <w:r>
        <w:rPr>
          <w:rFonts w:ascii="Times New Roman" w:eastAsia="仿宋_GB2312"/>
          <w:color w:val="auto"/>
        </w:rPr>
        <w:t>项目名称：</w:t>
      </w:r>
    </w:p>
    <w:tbl>
      <w:tblPr>
        <w:tblStyle w:val="50"/>
        <w:tblW w:w="0" w:type="auto"/>
        <w:jc w:val="center"/>
        <w:tblLayout w:type="fixed"/>
        <w:tblCellMar>
          <w:top w:w="0" w:type="dxa"/>
          <w:left w:w="108" w:type="dxa"/>
          <w:bottom w:w="0" w:type="dxa"/>
          <w:right w:w="108" w:type="dxa"/>
        </w:tblCellMar>
      </w:tblPr>
      <w:tblGrid>
        <w:gridCol w:w="716"/>
        <w:gridCol w:w="1554"/>
        <w:gridCol w:w="1036"/>
        <w:gridCol w:w="1036"/>
        <w:gridCol w:w="922"/>
        <w:gridCol w:w="1470"/>
        <w:gridCol w:w="716"/>
        <w:gridCol w:w="716"/>
        <w:gridCol w:w="716"/>
      </w:tblGrid>
      <w:tr w14:paraId="51CAE6BF">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14:paraId="01E0268E">
            <w:pPr>
              <w:autoSpaceDE w:val="0"/>
              <w:autoSpaceDN w:val="0"/>
              <w:adjustRightInd w:val="0"/>
              <w:snapToGrid w:val="0"/>
              <w:jc w:val="center"/>
              <w:rPr>
                <w:rFonts w:eastAsia="仿宋_GB2312"/>
                <w:color w:val="auto"/>
                <w:sz w:val="24"/>
                <w:lang w:val="zh-CN"/>
              </w:rPr>
            </w:pPr>
            <w:r>
              <w:rPr>
                <w:rFonts w:eastAsia="仿宋_GB2312"/>
                <w:color w:val="auto"/>
                <w:sz w:val="24"/>
                <w:lang w:val="zh-CN"/>
              </w:rPr>
              <w:t>序</w:t>
            </w:r>
          </w:p>
          <w:p w14:paraId="282BA6AC">
            <w:pPr>
              <w:autoSpaceDE w:val="0"/>
              <w:autoSpaceDN w:val="0"/>
              <w:adjustRightInd w:val="0"/>
              <w:snapToGrid w:val="0"/>
              <w:jc w:val="center"/>
              <w:rPr>
                <w:rFonts w:eastAsia="仿宋_GB2312"/>
                <w:color w:val="auto"/>
                <w:sz w:val="24"/>
              </w:rPr>
            </w:pPr>
            <w:r>
              <w:rPr>
                <w:rFonts w:eastAsia="仿宋_GB2312"/>
                <w:color w:val="auto"/>
                <w:sz w:val="24"/>
                <w:lang w:val="zh-CN"/>
              </w:rPr>
              <w:t>号</w:t>
            </w:r>
          </w:p>
        </w:tc>
        <w:tc>
          <w:tcPr>
            <w:tcW w:w="1554" w:type="dxa"/>
            <w:tcBorders>
              <w:top w:val="single" w:color="auto" w:sz="6" w:space="0"/>
              <w:left w:val="single" w:color="auto" w:sz="6" w:space="0"/>
              <w:bottom w:val="single" w:color="auto" w:sz="6" w:space="0"/>
              <w:right w:val="single" w:color="auto" w:sz="6" w:space="0"/>
            </w:tcBorders>
            <w:noWrap w:val="0"/>
            <w:vAlign w:val="center"/>
          </w:tcPr>
          <w:p w14:paraId="4166AD5D">
            <w:pPr>
              <w:autoSpaceDE w:val="0"/>
              <w:autoSpaceDN w:val="0"/>
              <w:adjustRightInd w:val="0"/>
              <w:snapToGrid w:val="0"/>
              <w:jc w:val="center"/>
              <w:rPr>
                <w:rFonts w:eastAsia="仿宋_GB2312"/>
                <w:color w:val="auto"/>
                <w:sz w:val="24"/>
                <w:lang w:val="zh-CN"/>
              </w:rPr>
            </w:pPr>
            <w:r>
              <w:rPr>
                <w:rFonts w:eastAsia="仿宋_GB2312"/>
                <w:color w:val="auto"/>
                <w:sz w:val="24"/>
                <w:lang w:val="zh-CN"/>
              </w:rPr>
              <w:t>产品</w:t>
            </w:r>
          </w:p>
          <w:p w14:paraId="33B4E239">
            <w:pPr>
              <w:autoSpaceDE w:val="0"/>
              <w:autoSpaceDN w:val="0"/>
              <w:adjustRightInd w:val="0"/>
              <w:snapToGrid w:val="0"/>
              <w:jc w:val="center"/>
              <w:rPr>
                <w:rFonts w:eastAsia="仿宋_GB2312"/>
                <w:color w:val="auto"/>
                <w:sz w:val="24"/>
              </w:rPr>
            </w:pPr>
            <w:r>
              <w:rPr>
                <w:rFonts w:eastAsia="仿宋_GB2312"/>
                <w:color w:val="auto"/>
                <w:sz w:val="24"/>
                <w:lang w:val="zh-CN"/>
              </w:rPr>
              <w:t>名称</w:t>
            </w:r>
          </w:p>
        </w:tc>
        <w:tc>
          <w:tcPr>
            <w:tcW w:w="1036" w:type="dxa"/>
            <w:tcBorders>
              <w:top w:val="single" w:color="auto" w:sz="6" w:space="0"/>
              <w:left w:val="single" w:color="auto" w:sz="6" w:space="0"/>
              <w:bottom w:val="single" w:color="auto" w:sz="6" w:space="0"/>
              <w:right w:val="single" w:color="auto" w:sz="4" w:space="0"/>
            </w:tcBorders>
            <w:noWrap w:val="0"/>
            <w:vAlign w:val="center"/>
          </w:tcPr>
          <w:p w14:paraId="2C371B03">
            <w:pPr>
              <w:autoSpaceDE w:val="0"/>
              <w:autoSpaceDN w:val="0"/>
              <w:adjustRightInd w:val="0"/>
              <w:snapToGrid w:val="0"/>
              <w:jc w:val="center"/>
              <w:rPr>
                <w:rFonts w:eastAsia="仿宋_GB2312"/>
                <w:color w:val="auto"/>
                <w:sz w:val="24"/>
              </w:rPr>
            </w:pPr>
            <w:r>
              <w:rPr>
                <w:rFonts w:eastAsia="仿宋_GB2312"/>
                <w:color w:val="auto"/>
                <w:sz w:val="24"/>
              </w:rPr>
              <w:t>制造</w:t>
            </w:r>
          </w:p>
          <w:p w14:paraId="28BB1F56">
            <w:pPr>
              <w:autoSpaceDE w:val="0"/>
              <w:autoSpaceDN w:val="0"/>
              <w:adjustRightInd w:val="0"/>
              <w:snapToGrid w:val="0"/>
              <w:jc w:val="center"/>
              <w:rPr>
                <w:rFonts w:eastAsia="仿宋_GB2312"/>
                <w:color w:val="auto"/>
                <w:sz w:val="24"/>
              </w:rPr>
            </w:pPr>
            <w:r>
              <w:rPr>
                <w:rFonts w:eastAsia="仿宋_GB2312"/>
                <w:color w:val="auto"/>
                <w:sz w:val="24"/>
              </w:rPr>
              <w:t>厂家</w:t>
            </w:r>
          </w:p>
        </w:tc>
        <w:tc>
          <w:tcPr>
            <w:tcW w:w="1036" w:type="dxa"/>
            <w:tcBorders>
              <w:top w:val="single" w:color="auto" w:sz="6" w:space="0"/>
              <w:left w:val="single" w:color="auto" w:sz="4" w:space="0"/>
              <w:bottom w:val="single" w:color="auto" w:sz="6" w:space="0"/>
              <w:right w:val="single" w:color="auto" w:sz="6" w:space="0"/>
            </w:tcBorders>
            <w:noWrap w:val="0"/>
            <w:vAlign w:val="center"/>
          </w:tcPr>
          <w:p w14:paraId="4D682955">
            <w:pPr>
              <w:autoSpaceDE w:val="0"/>
              <w:autoSpaceDN w:val="0"/>
              <w:adjustRightInd w:val="0"/>
              <w:snapToGrid w:val="0"/>
              <w:jc w:val="center"/>
              <w:rPr>
                <w:rFonts w:eastAsia="仿宋_GB2312"/>
                <w:color w:val="auto"/>
                <w:sz w:val="24"/>
                <w:lang w:val="zh-CN"/>
              </w:rPr>
            </w:pPr>
            <w:r>
              <w:rPr>
                <w:rFonts w:eastAsia="仿宋_GB2312"/>
                <w:color w:val="auto"/>
                <w:sz w:val="24"/>
                <w:lang w:val="zh-CN"/>
              </w:rPr>
              <w:t>规格</w:t>
            </w:r>
          </w:p>
          <w:p w14:paraId="0DAB9680">
            <w:pPr>
              <w:autoSpaceDE w:val="0"/>
              <w:autoSpaceDN w:val="0"/>
              <w:adjustRightInd w:val="0"/>
              <w:snapToGrid w:val="0"/>
              <w:jc w:val="center"/>
              <w:rPr>
                <w:rFonts w:eastAsia="仿宋_GB2312"/>
                <w:color w:val="auto"/>
                <w:sz w:val="24"/>
              </w:rPr>
            </w:pPr>
            <w:r>
              <w:rPr>
                <w:rFonts w:eastAsia="仿宋_GB2312"/>
                <w:color w:val="auto"/>
                <w:sz w:val="24"/>
                <w:lang w:val="zh-CN"/>
              </w:rPr>
              <w:t>型号</w:t>
            </w:r>
          </w:p>
        </w:tc>
        <w:tc>
          <w:tcPr>
            <w:tcW w:w="922" w:type="dxa"/>
            <w:tcBorders>
              <w:top w:val="single" w:color="auto" w:sz="6" w:space="0"/>
              <w:left w:val="single" w:color="auto" w:sz="6" w:space="0"/>
              <w:bottom w:val="single" w:color="auto" w:sz="6" w:space="0"/>
              <w:right w:val="single" w:color="auto" w:sz="6" w:space="0"/>
            </w:tcBorders>
            <w:noWrap w:val="0"/>
            <w:vAlign w:val="center"/>
          </w:tcPr>
          <w:p w14:paraId="44AFB3B0">
            <w:pPr>
              <w:autoSpaceDE w:val="0"/>
              <w:autoSpaceDN w:val="0"/>
              <w:adjustRightInd w:val="0"/>
              <w:snapToGrid w:val="0"/>
              <w:jc w:val="center"/>
              <w:rPr>
                <w:rFonts w:eastAsia="仿宋_GB2312"/>
                <w:color w:val="auto"/>
                <w:sz w:val="24"/>
                <w:lang w:val="zh-CN"/>
              </w:rPr>
            </w:pPr>
            <w:r>
              <w:rPr>
                <w:rFonts w:eastAsia="仿宋_GB2312"/>
                <w:color w:val="auto"/>
                <w:sz w:val="24"/>
                <w:lang w:val="zh-CN"/>
              </w:rPr>
              <w:t>类别</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156F8BF6">
            <w:pPr>
              <w:autoSpaceDE w:val="0"/>
              <w:autoSpaceDN w:val="0"/>
              <w:adjustRightInd w:val="0"/>
              <w:snapToGrid w:val="0"/>
              <w:jc w:val="center"/>
              <w:rPr>
                <w:rFonts w:eastAsia="仿宋_GB2312"/>
                <w:color w:val="auto"/>
                <w:sz w:val="24"/>
                <w:lang w:val="zh-CN"/>
              </w:rPr>
            </w:pPr>
            <w:r>
              <w:rPr>
                <w:rFonts w:eastAsia="仿宋_GB2312"/>
                <w:color w:val="auto"/>
                <w:sz w:val="24"/>
                <w:lang w:val="zh-CN"/>
              </w:rPr>
              <w:t>认证证书</w:t>
            </w:r>
          </w:p>
          <w:p w14:paraId="2E8C5A39">
            <w:pPr>
              <w:autoSpaceDE w:val="0"/>
              <w:autoSpaceDN w:val="0"/>
              <w:adjustRightInd w:val="0"/>
              <w:snapToGrid w:val="0"/>
              <w:jc w:val="center"/>
              <w:rPr>
                <w:rFonts w:eastAsia="仿宋_GB2312"/>
                <w:color w:val="auto"/>
                <w:sz w:val="24"/>
              </w:rPr>
            </w:pPr>
            <w:r>
              <w:rPr>
                <w:rFonts w:eastAsia="仿宋_GB2312"/>
                <w:color w:val="auto"/>
                <w:sz w:val="24"/>
                <w:lang w:val="zh-CN"/>
              </w:rPr>
              <w:t>编号</w:t>
            </w:r>
          </w:p>
        </w:tc>
        <w:tc>
          <w:tcPr>
            <w:tcW w:w="716" w:type="dxa"/>
            <w:tcBorders>
              <w:top w:val="single" w:color="auto" w:sz="6" w:space="0"/>
              <w:left w:val="single" w:color="auto" w:sz="6" w:space="0"/>
              <w:bottom w:val="single" w:color="auto" w:sz="6" w:space="0"/>
              <w:right w:val="single" w:color="auto" w:sz="6" w:space="0"/>
            </w:tcBorders>
            <w:noWrap w:val="0"/>
            <w:vAlign w:val="center"/>
          </w:tcPr>
          <w:p w14:paraId="0E93A7FE">
            <w:pPr>
              <w:autoSpaceDE w:val="0"/>
              <w:autoSpaceDN w:val="0"/>
              <w:adjustRightInd w:val="0"/>
              <w:snapToGrid w:val="0"/>
              <w:jc w:val="center"/>
              <w:rPr>
                <w:rFonts w:eastAsia="仿宋_GB2312"/>
                <w:color w:val="auto"/>
                <w:sz w:val="24"/>
                <w:lang w:val="zh-CN"/>
              </w:rPr>
            </w:pPr>
            <w:r>
              <w:rPr>
                <w:rFonts w:eastAsia="仿宋_GB2312"/>
                <w:color w:val="auto"/>
                <w:sz w:val="24"/>
                <w:lang w:val="zh-CN"/>
              </w:rPr>
              <w:t>数</w:t>
            </w:r>
          </w:p>
          <w:p w14:paraId="662B511F">
            <w:pPr>
              <w:autoSpaceDE w:val="0"/>
              <w:autoSpaceDN w:val="0"/>
              <w:adjustRightInd w:val="0"/>
              <w:snapToGrid w:val="0"/>
              <w:jc w:val="center"/>
              <w:rPr>
                <w:rFonts w:eastAsia="仿宋_GB2312"/>
                <w:color w:val="auto"/>
                <w:sz w:val="24"/>
              </w:rPr>
            </w:pPr>
            <w:r>
              <w:rPr>
                <w:rFonts w:eastAsia="仿宋_GB2312"/>
                <w:color w:val="auto"/>
                <w:sz w:val="24"/>
                <w:lang w:val="zh-CN"/>
              </w:rPr>
              <w:t>量</w:t>
            </w:r>
          </w:p>
        </w:tc>
        <w:tc>
          <w:tcPr>
            <w:tcW w:w="716" w:type="dxa"/>
            <w:tcBorders>
              <w:top w:val="single" w:color="auto" w:sz="6" w:space="0"/>
              <w:left w:val="single" w:color="auto" w:sz="6" w:space="0"/>
              <w:bottom w:val="single" w:color="auto" w:sz="6" w:space="0"/>
              <w:right w:val="single" w:color="auto" w:sz="6" w:space="0"/>
            </w:tcBorders>
            <w:noWrap w:val="0"/>
            <w:vAlign w:val="center"/>
          </w:tcPr>
          <w:p w14:paraId="0424A0EC">
            <w:pPr>
              <w:autoSpaceDE w:val="0"/>
              <w:autoSpaceDN w:val="0"/>
              <w:adjustRightInd w:val="0"/>
              <w:snapToGrid w:val="0"/>
              <w:jc w:val="center"/>
              <w:rPr>
                <w:rFonts w:eastAsia="仿宋_GB2312"/>
                <w:color w:val="auto"/>
                <w:sz w:val="24"/>
                <w:lang w:val="zh-CN"/>
              </w:rPr>
            </w:pPr>
            <w:r>
              <w:rPr>
                <w:rFonts w:eastAsia="仿宋_GB2312"/>
                <w:color w:val="auto"/>
                <w:sz w:val="24"/>
                <w:lang w:val="zh-CN"/>
              </w:rPr>
              <w:t>单</w:t>
            </w:r>
          </w:p>
          <w:p w14:paraId="1FDB4C4A">
            <w:pPr>
              <w:autoSpaceDE w:val="0"/>
              <w:autoSpaceDN w:val="0"/>
              <w:adjustRightInd w:val="0"/>
              <w:snapToGrid w:val="0"/>
              <w:jc w:val="center"/>
              <w:rPr>
                <w:rFonts w:eastAsia="仿宋_GB2312"/>
                <w:color w:val="auto"/>
                <w:sz w:val="24"/>
              </w:rPr>
            </w:pPr>
            <w:r>
              <w:rPr>
                <w:rFonts w:eastAsia="仿宋_GB2312"/>
                <w:color w:val="auto"/>
                <w:sz w:val="24"/>
                <w:lang w:val="zh-CN"/>
              </w:rPr>
              <w:t>价</w:t>
            </w:r>
          </w:p>
        </w:tc>
        <w:tc>
          <w:tcPr>
            <w:tcW w:w="716" w:type="dxa"/>
            <w:tcBorders>
              <w:top w:val="single" w:color="auto" w:sz="6" w:space="0"/>
              <w:left w:val="single" w:color="auto" w:sz="6" w:space="0"/>
              <w:bottom w:val="single" w:color="auto" w:sz="6" w:space="0"/>
              <w:right w:val="single" w:color="auto" w:sz="6" w:space="0"/>
            </w:tcBorders>
            <w:noWrap w:val="0"/>
            <w:vAlign w:val="center"/>
          </w:tcPr>
          <w:p w14:paraId="6BE3FA09">
            <w:pPr>
              <w:autoSpaceDE w:val="0"/>
              <w:autoSpaceDN w:val="0"/>
              <w:adjustRightInd w:val="0"/>
              <w:snapToGrid w:val="0"/>
              <w:jc w:val="center"/>
              <w:rPr>
                <w:rFonts w:eastAsia="仿宋_GB2312"/>
                <w:color w:val="auto"/>
                <w:sz w:val="24"/>
                <w:lang w:val="zh-CN"/>
              </w:rPr>
            </w:pPr>
            <w:r>
              <w:rPr>
                <w:rFonts w:eastAsia="仿宋_GB2312"/>
                <w:color w:val="auto"/>
                <w:sz w:val="24"/>
                <w:lang w:val="zh-CN"/>
              </w:rPr>
              <w:t>总</w:t>
            </w:r>
          </w:p>
          <w:p w14:paraId="22C5DB25">
            <w:pPr>
              <w:autoSpaceDE w:val="0"/>
              <w:autoSpaceDN w:val="0"/>
              <w:adjustRightInd w:val="0"/>
              <w:snapToGrid w:val="0"/>
              <w:jc w:val="center"/>
              <w:rPr>
                <w:rFonts w:eastAsia="仿宋_GB2312"/>
                <w:color w:val="auto"/>
                <w:sz w:val="24"/>
              </w:rPr>
            </w:pPr>
            <w:r>
              <w:rPr>
                <w:rFonts w:eastAsia="仿宋_GB2312"/>
                <w:color w:val="auto"/>
                <w:sz w:val="24"/>
                <w:lang w:val="zh-CN"/>
              </w:rPr>
              <w:t>价</w:t>
            </w:r>
          </w:p>
        </w:tc>
      </w:tr>
      <w:tr w14:paraId="3B1BBB35">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noWrap w:val="0"/>
            <w:vAlign w:val="center"/>
          </w:tcPr>
          <w:p w14:paraId="47832EFB">
            <w:pPr>
              <w:autoSpaceDE w:val="0"/>
              <w:autoSpaceDN w:val="0"/>
              <w:adjustRightInd w:val="0"/>
              <w:snapToGrid w:val="0"/>
              <w:jc w:val="left"/>
              <w:rPr>
                <w:rFonts w:eastAsia="仿宋_GB2312"/>
                <w:color w:val="auto"/>
                <w:sz w:val="24"/>
              </w:rPr>
            </w:pPr>
            <w:r>
              <w:rPr>
                <w:rFonts w:eastAsia="仿宋_GB2312"/>
                <w:color w:val="auto"/>
                <w:sz w:val="24"/>
              </w:rPr>
              <w:t>（1）强制</w:t>
            </w:r>
            <w:r>
              <w:rPr>
                <w:rFonts w:hint="eastAsia" w:eastAsia="仿宋_GB2312"/>
                <w:color w:val="auto"/>
                <w:sz w:val="24"/>
              </w:rPr>
              <w:t>采购</w:t>
            </w:r>
            <w:r>
              <w:rPr>
                <w:rFonts w:eastAsia="仿宋_GB2312"/>
                <w:color w:val="auto"/>
                <w:sz w:val="24"/>
              </w:rPr>
              <w:t>类</w:t>
            </w:r>
          </w:p>
        </w:tc>
      </w:tr>
      <w:tr w14:paraId="2FB96F1E">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14:paraId="171F72BB">
            <w:pPr>
              <w:autoSpaceDE w:val="0"/>
              <w:autoSpaceDN w:val="0"/>
              <w:adjustRightInd w:val="0"/>
              <w:snapToGrid w:val="0"/>
              <w:jc w:val="left"/>
              <w:rPr>
                <w:rFonts w:eastAsia="仿宋_GB2312"/>
                <w:color w:val="auto"/>
                <w:sz w:val="24"/>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14:paraId="10258A94">
            <w:pPr>
              <w:autoSpaceDE w:val="0"/>
              <w:autoSpaceDN w:val="0"/>
              <w:adjustRightInd w:val="0"/>
              <w:snapToGrid w:val="0"/>
              <w:jc w:val="left"/>
              <w:rPr>
                <w:rFonts w:eastAsia="仿宋_GB2312"/>
                <w:color w:val="auto"/>
                <w:sz w:val="24"/>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14:paraId="0C13015A">
            <w:pPr>
              <w:autoSpaceDE w:val="0"/>
              <w:autoSpaceDN w:val="0"/>
              <w:adjustRightInd w:val="0"/>
              <w:snapToGrid w:val="0"/>
              <w:jc w:val="left"/>
              <w:rPr>
                <w:rFonts w:eastAsia="仿宋_GB2312"/>
                <w:color w:val="auto"/>
                <w:sz w:val="24"/>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14:paraId="7D7A9C7B">
            <w:pPr>
              <w:autoSpaceDE w:val="0"/>
              <w:autoSpaceDN w:val="0"/>
              <w:adjustRightInd w:val="0"/>
              <w:snapToGrid w:val="0"/>
              <w:jc w:val="left"/>
              <w:rPr>
                <w:rFonts w:eastAsia="仿宋_GB2312"/>
                <w:color w:val="auto"/>
                <w:sz w:val="24"/>
              </w:rPr>
            </w:pPr>
          </w:p>
        </w:tc>
        <w:tc>
          <w:tcPr>
            <w:tcW w:w="922" w:type="dxa"/>
            <w:tcBorders>
              <w:top w:val="single" w:color="auto" w:sz="6" w:space="0"/>
              <w:left w:val="single" w:color="auto" w:sz="6" w:space="0"/>
              <w:bottom w:val="single" w:color="auto" w:sz="6" w:space="0"/>
              <w:right w:val="single" w:color="auto" w:sz="6" w:space="0"/>
            </w:tcBorders>
            <w:noWrap w:val="0"/>
            <w:vAlign w:val="center"/>
          </w:tcPr>
          <w:p w14:paraId="1C4851FF">
            <w:pPr>
              <w:autoSpaceDE w:val="0"/>
              <w:autoSpaceDN w:val="0"/>
              <w:adjustRightInd w:val="0"/>
              <w:snapToGrid w:val="0"/>
              <w:jc w:val="left"/>
              <w:rPr>
                <w:rFonts w:eastAsia="仿宋_GB2312"/>
                <w:color w:val="auto"/>
                <w:sz w:val="24"/>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14:paraId="45882AD7">
            <w:pPr>
              <w:autoSpaceDE w:val="0"/>
              <w:autoSpaceDN w:val="0"/>
              <w:adjustRightInd w:val="0"/>
              <w:snapToGrid w:val="0"/>
              <w:jc w:val="left"/>
              <w:rPr>
                <w:rFonts w:eastAsia="仿宋_GB2312"/>
                <w:color w:val="auto"/>
                <w:sz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762929E5">
            <w:pPr>
              <w:autoSpaceDE w:val="0"/>
              <w:autoSpaceDN w:val="0"/>
              <w:adjustRightInd w:val="0"/>
              <w:snapToGrid w:val="0"/>
              <w:jc w:val="left"/>
              <w:rPr>
                <w:rFonts w:eastAsia="仿宋_GB2312"/>
                <w:color w:val="auto"/>
                <w:sz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57ACDCD3">
            <w:pPr>
              <w:autoSpaceDE w:val="0"/>
              <w:autoSpaceDN w:val="0"/>
              <w:adjustRightInd w:val="0"/>
              <w:snapToGrid w:val="0"/>
              <w:jc w:val="left"/>
              <w:rPr>
                <w:rFonts w:eastAsia="仿宋_GB2312"/>
                <w:color w:val="auto"/>
                <w:sz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393BEB30">
            <w:pPr>
              <w:autoSpaceDE w:val="0"/>
              <w:autoSpaceDN w:val="0"/>
              <w:adjustRightInd w:val="0"/>
              <w:snapToGrid w:val="0"/>
              <w:jc w:val="left"/>
              <w:rPr>
                <w:rFonts w:eastAsia="仿宋_GB2312"/>
                <w:color w:val="auto"/>
                <w:sz w:val="24"/>
              </w:rPr>
            </w:pPr>
          </w:p>
        </w:tc>
      </w:tr>
      <w:tr w14:paraId="76FEBCFE">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14:paraId="3445837C">
            <w:pPr>
              <w:autoSpaceDE w:val="0"/>
              <w:autoSpaceDN w:val="0"/>
              <w:adjustRightInd w:val="0"/>
              <w:snapToGrid w:val="0"/>
              <w:jc w:val="left"/>
              <w:rPr>
                <w:rFonts w:eastAsia="仿宋_GB2312"/>
                <w:color w:val="auto"/>
                <w:sz w:val="24"/>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14:paraId="56A80AE6">
            <w:pPr>
              <w:autoSpaceDE w:val="0"/>
              <w:autoSpaceDN w:val="0"/>
              <w:adjustRightInd w:val="0"/>
              <w:snapToGrid w:val="0"/>
              <w:jc w:val="left"/>
              <w:rPr>
                <w:rFonts w:eastAsia="仿宋_GB2312"/>
                <w:color w:val="auto"/>
                <w:sz w:val="24"/>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14:paraId="6AFD707D">
            <w:pPr>
              <w:autoSpaceDE w:val="0"/>
              <w:autoSpaceDN w:val="0"/>
              <w:adjustRightInd w:val="0"/>
              <w:snapToGrid w:val="0"/>
              <w:jc w:val="left"/>
              <w:rPr>
                <w:rFonts w:eastAsia="仿宋_GB2312"/>
                <w:color w:val="auto"/>
                <w:sz w:val="24"/>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14:paraId="06595D13">
            <w:pPr>
              <w:autoSpaceDE w:val="0"/>
              <w:autoSpaceDN w:val="0"/>
              <w:adjustRightInd w:val="0"/>
              <w:snapToGrid w:val="0"/>
              <w:jc w:val="left"/>
              <w:rPr>
                <w:rFonts w:eastAsia="仿宋_GB2312"/>
                <w:color w:val="auto"/>
                <w:sz w:val="24"/>
              </w:rPr>
            </w:pPr>
          </w:p>
        </w:tc>
        <w:tc>
          <w:tcPr>
            <w:tcW w:w="922" w:type="dxa"/>
            <w:tcBorders>
              <w:top w:val="single" w:color="auto" w:sz="6" w:space="0"/>
              <w:left w:val="single" w:color="auto" w:sz="6" w:space="0"/>
              <w:bottom w:val="single" w:color="auto" w:sz="6" w:space="0"/>
              <w:right w:val="single" w:color="auto" w:sz="6" w:space="0"/>
            </w:tcBorders>
            <w:noWrap w:val="0"/>
            <w:vAlign w:val="center"/>
          </w:tcPr>
          <w:p w14:paraId="179E8C92">
            <w:pPr>
              <w:autoSpaceDE w:val="0"/>
              <w:autoSpaceDN w:val="0"/>
              <w:adjustRightInd w:val="0"/>
              <w:snapToGrid w:val="0"/>
              <w:jc w:val="left"/>
              <w:rPr>
                <w:rFonts w:eastAsia="仿宋_GB2312"/>
                <w:color w:val="auto"/>
                <w:sz w:val="24"/>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14:paraId="4A642743">
            <w:pPr>
              <w:autoSpaceDE w:val="0"/>
              <w:autoSpaceDN w:val="0"/>
              <w:adjustRightInd w:val="0"/>
              <w:snapToGrid w:val="0"/>
              <w:jc w:val="left"/>
              <w:rPr>
                <w:rFonts w:eastAsia="仿宋_GB2312"/>
                <w:color w:val="auto"/>
                <w:sz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77E44A09">
            <w:pPr>
              <w:autoSpaceDE w:val="0"/>
              <w:autoSpaceDN w:val="0"/>
              <w:adjustRightInd w:val="0"/>
              <w:snapToGrid w:val="0"/>
              <w:jc w:val="left"/>
              <w:rPr>
                <w:rFonts w:eastAsia="仿宋_GB2312"/>
                <w:color w:val="auto"/>
                <w:sz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6B200B13">
            <w:pPr>
              <w:autoSpaceDE w:val="0"/>
              <w:autoSpaceDN w:val="0"/>
              <w:adjustRightInd w:val="0"/>
              <w:snapToGrid w:val="0"/>
              <w:jc w:val="left"/>
              <w:rPr>
                <w:rFonts w:eastAsia="仿宋_GB2312"/>
                <w:color w:val="auto"/>
                <w:sz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3C92B13E">
            <w:pPr>
              <w:autoSpaceDE w:val="0"/>
              <w:autoSpaceDN w:val="0"/>
              <w:adjustRightInd w:val="0"/>
              <w:snapToGrid w:val="0"/>
              <w:jc w:val="left"/>
              <w:rPr>
                <w:rFonts w:eastAsia="仿宋_GB2312"/>
                <w:color w:val="auto"/>
                <w:sz w:val="24"/>
              </w:rPr>
            </w:pPr>
          </w:p>
        </w:tc>
      </w:tr>
      <w:tr w14:paraId="0CAF0194">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center"/>
          </w:tcPr>
          <w:p w14:paraId="6436A7D0">
            <w:pPr>
              <w:autoSpaceDE w:val="0"/>
              <w:autoSpaceDN w:val="0"/>
              <w:adjustRightInd w:val="0"/>
              <w:snapToGrid w:val="0"/>
              <w:jc w:val="left"/>
              <w:rPr>
                <w:rFonts w:eastAsia="仿宋_GB2312"/>
                <w:color w:val="auto"/>
                <w:sz w:val="24"/>
              </w:rPr>
            </w:pPr>
          </w:p>
        </w:tc>
        <w:tc>
          <w:tcPr>
            <w:tcW w:w="1554" w:type="dxa"/>
            <w:tcBorders>
              <w:top w:val="single" w:color="auto" w:sz="6" w:space="0"/>
              <w:left w:val="single" w:color="auto" w:sz="6" w:space="0"/>
              <w:bottom w:val="single" w:color="auto" w:sz="6" w:space="0"/>
              <w:right w:val="single" w:color="auto" w:sz="6" w:space="0"/>
            </w:tcBorders>
            <w:noWrap w:val="0"/>
            <w:vAlign w:val="center"/>
          </w:tcPr>
          <w:p w14:paraId="2674BAAD">
            <w:pPr>
              <w:autoSpaceDE w:val="0"/>
              <w:autoSpaceDN w:val="0"/>
              <w:adjustRightInd w:val="0"/>
              <w:snapToGrid w:val="0"/>
              <w:jc w:val="left"/>
              <w:rPr>
                <w:rFonts w:eastAsia="仿宋_GB2312"/>
                <w:color w:val="auto"/>
                <w:sz w:val="24"/>
              </w:rPr>
            </w:pPr>
          </w:p>
        </w:tc>
        <w:tc>
          <w:tcPr>
            <w:tcW w:w="1036" w:type="dxa"/>
            <w:tcBorders>
              <w:top w:val="single" w:color="auto" w:sz="6" w:space="0"/>
              <w:left w:val="single" w:color="auto" w:sz="6" w:space="0"/>
              <w:bottom w:val="single" w:color="auto" w:sz="6" w:space="0"/>
              <w:right w:val="single" w:color="auto" w:sz="4" w:space="0"/>
            </w:tcBorders>
            <w:noWrap w:val="0"/>
            <w:vAlign w:val="center"/>
          </w:tcPr>
          <w:p w14:paraId="6FB0A34A">
            <w:pPr>
              <w:autoSpaceDE w:val="0"/>
              <w:autoSpaceDN w:val="0"/>
              <w:adjustRightInd w:val="0"/>
              <w:snapToGrid w:val="0"/>
              <w:jc w:val="left"/>
              <w:rPr>
                <w:rFonts w:eastAsia="仿宋_GB2312"/>
                <w:color w:val="auto"/>
                <w:sz w:val="24"/>
              </w:rPr>
            </w:pPr>
          </w:p>
        </w:tc>
        <w:tc>
          <w:tcPr>
            <w:tcW w:w="1036" w:type="dxa"/>
            <w:tcBorders>
              <w:top w:val="single" w:color="auto" w:sz="6" w:space="0"/>
              <w:left w:val="single" w:color="auto" w:sz="4" w:space="0"/>
              <w:bottom w:val="single" w:color="auto" w:sz="6" w:space="0"/>
              <w:right w:val="single" w:color="auto" w:sz="6" w:space="0"/>
            </w:tcBorders>
            <w:noWrap w:val="0"/>
            <w:vAlign w:val="center"/>
          </w:tcPr>
          <w:p w14:paraId="1CA4D6BB">
            <w:pPr>
              <w:autoSpaceDE w:val="0"/>
              <w:autoSpaceDN w:val="0"/>
              <w:adjustRightInd w:val="0"/>
              <w:snapToGrid w:val="0"/>
              <w:jc w:val="left"/>
              <w:rPr>
                <w:rFonts w:eastAsia="仿宋_GB2312"/>
                <w:color w:val="auto"/>
                <w:sz w:val="24"/>
              </w:rPr>
            </w:pPr>
          </w:p>
        </w:tc>
        <w:tc>
          <w:tcPr>
            <w:tcW w:w="922" w:type="dxa"/>
            <w:tcBorders>
              <w:top w:val="single" w:color="auto" w:sz="6" w:space="0"/>
              <w:left w:val="single" w:color="auto" w:sz="6" w:space="0"/>
              <w:bottom w:val="single" w:color="auto" w:sz="6" w:space="0"/>
              <w:right w:val="single" w:color="auto" w:sz="6" w:space="0"/>
            </w:tcBorders>
            <w:noWrap w:val="0"/>
            <w:vAlign w:val="center"/>
          </w:tcPr>
          <w:p w14:paraId="73708C58">
            <w:pPr>
              <w:autoSpaceDE w:val="0"/>
              <w:autoSpaceDN w:val="0"/>
              <w:adjustRightInd w:val="0"/>
              <w:snapToGrid w:val="0"/>
              <w:jc w:val="left"/>
              <w:rPr>
                <w:rFonts w:eastAsia="仿宋_GB2312"/>
                <w:color w:val="auto"/>
                <w:sz w:val="24"/>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14:paraId="5480BEB8">
            <w:pPr>
              <w:autoSpaceDE w:val="0"/>
              <w:autoSpaceDN w:val="0"/>
              <w:adjustRightInd w:val="0"/>
              <w:snapToGrid w:val="0"/>
              <w:jc w:val="left"/>
              <w:rPr>
                <w:rFonts w:eastAsia="仿宋_GB2312"/>
                <w:color w:val="auto"/>
                <w:sz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63FDE906">
            <w:pPr>
              <w:autoSpaceDE w:val="0"/>
              <w:autoSpaceDN w:val="0"/>
              <w:adjustRightInd w:val="0"/>
              <w:snapToGrid w:val="0"/>
              <w:jc w:val="left"/>
              <w:rPr>
                <w:rFonts w:eastAsia="仿宋_GB2312"/>
                <w:color w:val="auto"/>
                <w:sz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163CB217">
            <w:pPr>
              <w:autoSpaceDE w:val="0"/>
              <w:autoSpaceDN w:val="0"/>
              <w:adjustRightInd w:val="0"/>
              <w:snapToGrid w:val="0"/>
              <w:jc w:val="left"/>
              <w:rPr>
                <w:rFonts w:eastAsia="仿宋_GB2312"/>
                <w:color w:val="auto"/>
                <w:sz w:val="24"/>
              </w:rPr>
            </w:pPr>
          </w:p>
        </w:tc>
        <w:tc>
          <w:tcPr>
            <w:tcW w:w="716" w:type="dxa"/>
            <w:tcBorders>
              <w:top w:val="single" w:color="auto" w:sz="6" w:space="0"/>
              <w:left w:val="single" w:color="auto" w:sz="6" w:space="0"/>
              <w:bottom w:val="single" w:color="auto" w:sz="6" w:space="0"/>
              <w:right w:val="single" w:color="auto" w:sz="6" w:space="0"/>
            </w:tcBorders>
            <w:noWrap w:val="0"/>
            <w:vAlign w:val="center"/>
          </w:tcPr>
          <w:p w14:paraId="0C27EEB9">
            <w:pPr>
              <w:autoSpaceDE w:val="0"/>
              <w:autoSpaceDN w:val="0"/>
              <w:adjustRightInd w:val="0"/>
              <w:snapToGrid w:val="0"/>
              <w:jc w:val="left"/>
              <w:rPr>
                <w:rFonts w:eastAsia="仿宋_GB2312"/>
                <w:color w:val="auto"/>
                <w:sz w:val="24"/>
              </w:rPr>
            </w:pPr>
          </w:p>
        </w:tc>
      </w:tr>
      <w:tr w14:paraId="5A56D97A">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noWrap w:val="0"/>
            <w:vAlign w:val="center"/>
          </w:tcPr>
          <w:p w14:paraId="0BF2D19D">
            <w:pPr>
              <w:autoSpaceDE w:val="0"/>
              <w:autoSpaceDN w:val="0"/>
              <w:adjustRightInd w:val="0"/>
              <w:snapToGrid w:val="0"/>
              <w:jc w:val="left"/>
              <w:rPr>
                <w:rFonts w:eastAsia="仿宋_GB2312"/>
                <w:color w:val="auto"/>
                <w:sz w:val="24"/>
              </w:rPr>
            </w:pPr>
            <w:r>
              <w:rPr>
                <w:rFonts w:eastAsia="仿宋_GB2312"/>
                <w:color w:val="auto"/>
                <w:sz w:val="24"/>
              </w:rPr>
              <w:t>（2）</w:t>
            </w:r>
            <w:r>
              <w:rPr>
                <w:rFonts w:hint="eastAsia" w:eastAsia="仿宋_GB2312"/>
                <w:color w:val="auto"/>
                <w:sz w:val="24"/>
              </w:rPr>
              <w:t>优先采购</w:t>
            </w:r>
            <w:r>
              <w:rPr>
                <w:rFonts w:eastAsia="仿宋_GB2312"/>
                <w:color w:val="auto"/>
                <w:sz w:val="24"/>
              </w:rPr>
              <w:t>类</w:t>
            </w:r>
          </w:p>
        </w:tc>
      </w:tr>
      <w:tr w14:paraId="6066CDA6">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6C6AEF2B">
            <w:pPr>
              <w:autoSpaceDE w:val="0"/>
              <w:autoSpaceDN w:val="0"/>
              <w:adjustRightInd w:val="0"/>
              <w:snapToGrid w:val="0"/>
              <w:spacing w:line="360" w:lineRule="auto"/>
              <w:rPr>
                <w:rFonts w:eastAsia="仿宋_GB2312"/>
                <w:color w:val="auto"/>
                <w:sz w:val="24"/>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1648110F">
            <w:pPr>
              <w:autoSpaceDE w:val="0"/>
              <w:autoSpaceDN w:val="0"/>
              <w:adjustRightInd w:val="0"/>
              <w:snapToGrid w:val="0"/>
              <w:spacing w:line="360" w:lineRule="auto"/>
              <w:rPr>
                <w:rFonts w:eastAsia="仿宋_GB2312"/>
                <w:color w:val="auto"/>
                <w:sz w:val="24"/>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3B7DF8B9">
            <w:pPr>
              <w:autoSpaceDE w:val="0"/>
              <w:autoSpaceDN w:val="0"/>
              <w:adjustRightInd w:val="0"/>
              <w:snapToGrid w:val="0"/>
              <w:spacing w:line="360" w:lineRule="auto"/>
              <w:rPr>
                <w:rFonts w:eastAsia="仿宋_GB2312"/>
                <w:color w:val="auto"/>
                <w:sz w:val="24"/>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16603239">
            <w:pPr>
              <w:autoSpaceDE w:val="0"/>
              <w:autoSpaceDN w:val="0"/>
              <w:adjustRightInd w:val="0"/>
              <w:snapToGrid w:val="0"/>
              <w:spacing w:line="360" w:lineRule="auto"/>
              <w:rPr>
                <w:rFonts w:eastAsia="仿宋_GB2312"/>
                <w:color w:val="auto"/>
                <w:sz w:val="24"/>
              </w:rPr>
            </w:pPr>
          </w:p>
        </w:tc>
        <w:tc>
          <w:tcPr>
            <w:tcW w:w="922" w:type="dxa"/>
            <w:tcBorders>
              <w:top w:val="single" w:color="auto" w:sz="6" w:space="0"/>
              <w:left w:val="single" w:color="auto" w:sz="6" w:space="0"/>
              <w:bottom w:val="single" w:color="auto" w:sz="6" w:space="0"/>
              <w:right w:val="single" w:color="auto" w:sz="6" w:space="0"/>
            </w:tcBorders>
            <w:noWrap w:val="0"/>
            <w:vAlign w:val="top"/>
          </w:tcPr>
          <w:p w14:paraId="63A275A7">
            <w:pPr>
              <w:autoSpaceDE w:val="0"/>
              <w:autoSpaceDN w:val="0"/>
              <w:adjustRightInd w:val="0"/>
              <w:snapToGrid w:val="0"/>
              <w:spacing w:line="360" w:lineRule="auto"/>
              <w:rPr>
                <w:rFonts w:eastAsia="仿宋_GB2312"/>
                <w:color w:val="auto"/>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4E12A824">
            <w:pPr>
              <w:autoSpaceDE w:val="0"/>
              <w:autoSpaceDN w:val="0"/>
              <w:adjustRightInd w:val="0"/>
              <w:snapToGrid w:val="0"/>
              <w:spacing w:line="360" w:lineRule="auto"/>
              <w:rPr>
                <w:rFonts w:eastAsia="仿宋_GB2312"/>
                <w:color w:val="auto"/>
                <w:sz w:val="24"/>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58606744">
            <w:pPr>
              <w:autoSpaceDE w:val="0"/>
              <w:autoSpaceDN w:val="0"/>
              <w:adjustRightInd w:val="0"/>
              <w:snapToGrid w:val="0"/>
              <w:spacing w:line="360" w:lineRule="auto"/>
              <w:rPr>
                <w:rFonts w:eastAsia="仿宋_GB2312"/>
                <w:color w:val="auto"/>
                <w:sz w:val="24"/>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0B841FEB">
            <w:pPr>
              <w:autoSpaceDE w:val="0"/>
              <w:autoSpaceDN w:val="0"/>
              <w:adjustRightInd w:val="0"/>
              <w:snapToGrid w:val="0"/>
              <w:spacing w:line="360" w:lineRule="auto"/>
              <w:rPr>
                <w:rFonts w:eastAsia="仿宋_GB2312"/>
                <w:color w:val="auto"/>
                <w:sz w:val="24"/>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62B9D936">
            <w:pPr>
              <w:autoSpaceDE w:val="0"/>
              <w:autoSpaceDN w:val="0"/>
              <w:adjustRightInd w:val="0"/>
              <w:snapToGrid w:val="0"/>
              <w:spacing w:line="360" w:lineRule="auto"/>
              <w:rPr>
                <w:rFonts w:eastAsia="仿宋_GB2312"/>
                <w:color w:val="auto"/>
                <w:sz w:val="24"/>
              </w:rPr>
            </w:pPr>
          </w:p>
        </w:tc>
      </w:tr>
      <w:tr w14:paraId="5FD5AB92">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noWrap w:val="0"/>
            <w:vAlign w:val="top"/>
          </w:tcPr>
          <w:p w14:paraId="16E7AD8A">
            <w:pPr>
              <w:autoSpaceDE w:val="0"/>
              <w:autoSpaceDN w:val="0"/>
              <w:adjustRightInd w:val="0"/>
              <w:snapToGrid w:val="0"/>
              <w:spacing w:line="360" w:lineRule="auto"/>
              <w:rPr>
                <w:rFonts w:eastAsia="仿宋_GB2312"/>
                <w:color w:val="auto"/>
                <w:sz w:val="24"/>
              </w:rPr>
            </w:pPr>
          </w:p>
        </w:tc>
        <w:tc>
          <w:tcPr>
            <w:tcW w:w="1554" w:type="dxa"/>
            <w:tcBorders>
              <w:top w:val="single" w:color="auto" w:sz="6" w:space="0"/>
              <w:left w:val="single" w:color="auto" w:sz="6" w:space="0"/>
              <w:bottom w:val="single" w:color="auto" w:sz="6" w:space="0"/>
              <w:right w:val="single" w:color="auto" w:sz="6" w:space="0"/>
            </w:tcBorders>
            <w:noWrap w:val="0"/>
            <w:vAlign w:val="top"/>
          </w:tcPr>
          <w:p w14:paraId="20D5D6B5">
            <w:pPr>
              <w:autoSpaceDE w:val="0"/>
              <w:autoSpaceDN w:val="0"/>
              <w:adjustRightInd w:val="0"/>
              <w:snapToGrid w:val="0"/>
              <w:spacing w:line="360" w:lineRule="auto"/>
              <w:rPr>
                <w:rFonts w:eastAsia="仿宋_GB2312"/>
                <w:color w:val="auto"/>
                <w:sz w:val="24"/>
              </w:rPr>
            </w:pPr>
          </w:p>
        </w:tc>
        <w:tc>
          <w:tcPr>
            <w:tcW w:w="1036" w:type="dxa"/>
            <w:tcBorders>
              <w:top w:val="single" w:color="auto" w:sz="6" w:space="0"/>
              <w:left w:val="single" w:color="auto" w:sz="6" w:space="0"/>
              <w:bottom w:val="single" w:color="auto" w:sz="6" w:space="0"/>
              <w:right w:val="single" w:color="auto" w:sz="4" w:space="0"/>
            </w:tcBorders>
            <w:noWrap w:val="0"/>
            <w:vAlign w:val="top"/>
          </w:tcPr>
          <w:p w14:paraId="3E885029">
            <w:pPr>
              <w:autoSpaceDE w:val="0"/>
              <w:autoSpaceDN w:val="0"/>
              <w:adjustRightInd w:val="0"/>
              <w:snapToGrid w:val="0"/>
              <w:spacing w:line="360" w:lineRule="auto"/>
              <w:rPr>
                <w:rFonts w:eastAsia="仿宋_GB2312"/>
                <w:color w:val="auto"/>
                <w:sz w:val="24"/>
              </w:rPr>
            </w:pPr>
          </w:p>
        </w:tc>
        <w:tc>
          <w:tcPr>
            <w:tcW w:w="1036" w:type="dxa"/>
            <w:tcBorders>
              <w:top w:val="single" w:color="auto" w:sz="6" w:space="0"/>
              <w:left w:val="single" w:color="auto" w:sz="4" w:space="0"/>
              <w:bottom w:val="single" w:color="auto" w:sz="6" w:space="0"/>
              <w:right w:val="single" w:color="auto" w:sz="6" w:space="0"/>
            </w:tcBorders>
            <w:noWrap w:val="0"/>
            <w:vAlign w:val="top"/>
          </w:tcPr>
          <w:p w14:paraId="620D0BE6">
            <w:pPr>
              <w:autoSpaceDE w:val="0"/>
              <w:autoSpaceDN w:val="0"/>
              <w:adjustRightInd w:val="0"/>
              <w:snapToGrid w:val="0"/>
              <w:spacing w:line="360" w:lineRule="auto"/>
              <w:rPr>
                <w:rFonts w:eastAsia="仿宋_GB2312"/>
                <w:color w:val="auto"/>
                <w:sz w:val="24"/>
              </w:rPr>
            </w:pPr>
          </w:p>
        </w:tc>
        <w:tc>
          <w:tcPr>
            <w:tcW w:w="922" w:type="dxa"/>
            <w:tcBorders>
              <w:top w:val="single" w:color="auto" w:sz="6" w:space="0"/>
              <w:left w:val="single" w:color="auto" w:sz="6" w:space="0"/>
              <w:bottom w:val="single" w:color="auto" w:sz="6" w:space="0"/>
              <w:right w:val="single" w:color="auto" w:sz="6" w:space="0"/>
            </w:tcBorders>
            <w:noWrap w:val="0"/>
            <w:vAlign w:val="top"/>
          </w:tcPr>
          <w:p w14:paraId="68D0441B">
            <w:pPr>
              <w:autoSpaceDE w:val="0"/>
              <w:autoSpaceDN w:val="0"/>
              <w:adjustRightInd w:val="0"/>
              <w:snapToGrid w:val="0"/>
              <w:spacing w:line="360" w:lineRule="auto"/>
              <w:rPr>
                <w:rFonts w:eastAsia="仿宋_GB2312"/>
                <w:color w:val="auto"/>
                <w:sz w:val="24"/>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2A290AF4">
            <w:pPr>
              <w:autoSpaceDE w:val="0"/>
              <w:autoSpaceDN w:val="0"/>
              <w:adjustRightInd w:val="0"/>
              <w:snapToGrid w:val="0"/>
              <w:spacing w:line="360" w:lineRule="auto"/>
              <w:rPr>
                <w:rFonts w:eastAsia="仿宋_GB2312"/>
                <w:color w:val="auto"/>
                <w:sz w:val="24"/>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2452DFA8">
            <w:pPr>
              <w:autoSpaceDE w:val="0"/>
              <w:autoSpaceDN w:val="0"/>
              <w:adjustRightInd w:val="0"/>
              <w:snapToGrid w:val="0"/>
              <w:spacing w:line="360" w:lineRule="auto"/>
              <w:rPr>
                <w:rFonts w:eastAsia="仿宋_GB2312"/>
                <w:color w:val="auto"/>
                <w:sz w:val="24"/>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6826618C">
            <w:pPr>
              <w:autoSpaceDE w:val="0"/>
              <w:autoSpaceDN w:val="0"/>
              <w:adjustRightInd w:val="0"/>
              <w:snapToGrid w:val="0"/>
              <w:spacing w:line="360" w:lineRule="auto"/>
              <w:rPr>
                <w:rFonts w:eastAsia="仿宋_GB2312"/>
                <w:color w:val="auto"/>
                <w:sz w:val="24"/>
              </w:rPr>
            </w:pPr>
          </w:p>
        </w:tc>
        <w:tc>
          <w:tcPr>
            <w:tcW w:w="716" w:type="dxa"/>
            <w:tcBorders>
              <w:top w:val="single" w:color="auto" w:sz="6" w:space="0"/>
              <w:left w:val="single" w:color="auto" w:sz="6" w:space="0"/>
              <w:bottom w:val="single" w:color="auto" w:sz="6" w:space="0"/>
              <w:right w:val="single" w:color="auto" w:sz="6" w:space="0"/>
            </w:tcBorders>
            <w:noWrap w:val="0"/>
            <w:vAlign w:val="top"/>
          </w:tcPr>
          <w:p w14:paraId="09F3D52B">
            <w:pPr>
              <w:autoSpaceDE w:val="0"/>
              <w:autoSpaceDN w:val="0"/>
              <w:adjustRightInd w:val="0"/>
              <w:snapToGrid w:val="0"/>
              <w:spacing w:line="360" w:lineRule="auto"/>
              <w:rPr>
                <w:rFonts w:eastAsia="仿宋_GB2312"/>
                <w:color w:val="auto"/>
                <w:sz w:val="24"/>
              </w:rPr>
            </w:pPr>
          </w:p>
        </w:tc>
      </w:tr>
      <w:tr w14:paraId="63F23D13">
        <w:tblPrEx>
          <w:tblCellMar>
            <w:top w:w="0" w:type="dxa"/>
            <w:left w:w="108" w:type="dxa"/>
            <w:bottom w:w="0" w:type="dxa"/>
            <w:right w:w="108" w:type="dxa"/>
          </w:tblCellMar>
        </w:tblPrEx>
        <w:trPr>
          <w:trHeight w:val="622" w:hRule="atLeast"/>
          <w:jc w:val="center"/>
        </w:trPr>
        <w:tc>
          <w:tcPr>
            <w:tcW w:w="5264" w:type="dxa"/>
            <w:gridSpan w:val="5"/>
            <w:tcBorders>
              <w:top w:val="single" w:color="auto" w:sz="6" w:space="0"/>
              <w:left w:val="single" w:color="auto" w:sz="6" w:space="0"/>
              <w:bottom w:val="single" w:color="auto" w:sz="6" w:space="0"/>
              <w:right w:val="single" w:color="auto" w:sz="6" w:space="0"/>
            </w:tcBorders>
            <w:noWrap w:val="0"/>
            <w:vAlign w:val="center"/>
          </w:tcPr>
          <w:p w14:paraId="23CFAE8C">
            <w:pPr>
              <w:autoSpaceDE w:val="0"/>
              <w:autoSpaceDN w:val="0"/>
              <w:adjustRightInd w:val="0"/>
              <w:snapToGrid w:val="0"/>
              <w:jc w:val="center"/>
              <w:rPr>
                <w:rFonts w:eastAsia="仿宋_GB2312"/>
                <w:color w:val="auto"/>
                <w:sz w:val="24"/>
              </w:rPr>
            </w:pPr>
            <w:r>
              <w:rPr>
                <w:rFonts w:eastAsia="仿宋_GB2312"/>
                <w:color w:val="auto"/>
                <w:sz w:val="24"/>
              </w:rPr>
              <w:t>合计（人民币）</w:t>
            </w:r>
          </w:p>
        </w:tc>
        <w:tc>
          <w:tcPr>
            <w:tcW w:w="3618" w:type="dxa"/>
            <w:gridSpan w:val="4"/>
            <w:tcBorders>
              <w:top w:val="single" w:color="auto" w:sz="6" w:space="0"/>
              <w:left w:val="single" w:color="auto" w:sz="6" w:space="0"/>
              <w:bottom w:val="single" w:color="auto" w:sz="6" w:space="0"/>
              <w:right w:val="single" w:color="auto" w:sz="6" w:space="0"/>
            </w:tcBorders>
            <w:noWrap w:val="0"/>
            <w:vAlign w:val="center"/>
          </w:tcPr>
          <w:p w14:paraId="6D2149D8">
            <w:pPr>
              <w:autoSpaceDE w:val="0"/>
              <w:autoSpaceDN w:val="0"/>
              <w:adjustRightInd w:val="0"/>
              <w:snapToGrid w:val="0"/>
              <w:jc w:val="center"/>
              <w:rPr>
                <w:rFonts w:eastAsia="仿宋_GB2312"/>
                <w:color w:val="auto"/>
                <w:sz w:val="24"/>
              </w:rPr>
            </w:pPr>
          </w:p>
        </w:tc>
      </w:tr>
      <w:tr w14:paraId="4F15A234">
        <w:tblPrEx>
          <w:tblCellMar>
            <w:top w:w="0" w:type="dxa"/>
            <w:left w:w="108" w:type="dxa"/>
            <w:bottom w:w="0" w:type="dxa"/>
            <w:right w:w="108" w:type="dxa"/>
          </w:tblCellMar>
        </w:tblPrEx>
        <w:trPr>
          <w:trHeight w:val="622" w:hRule="atLeast"/>
          <w:jc w:val="center"/>
        </w:trPr>
        <w:tc>
          <w:tcPr>
            <w:tcW w:w="5264" w:type="dxa"/>
            <w:gridSpan w:val="5"/>
            <w:tcBorders>
              <w:top w:val="single" w:color="auto" w:sz="6" w:space="0"/>
              <w:left w:val="single" w:color="auto" w:sz="6" w:space="0"/>
              <w:bottom w:val="single" w:color="auto" w:sz="6" w:space="0"/>
              <w:right w:val="single" w:color="auto" w:sz="6" w:space="0"/>
            </w:tcBorders>
            <w:noWrap w:val="0"/>
            <w:vAlign w:val="center"/>
          </w:tcPr>
          <w:p w14:paraId="2D35BA8B">
            <w:pPr>
              <w:autoSpaceDE w:val="0"/>
              <w:autoSpaceDN w:val="0"/>
              <w:adjustRightInd w:val="0"/>
              <w:snapToGrid w:val="0"/>
              <w:jc w:val="center"/>
              <w:rPr>
                <w:rFonts w:eastAsia="仿宋_GB2312"/>
                <w:color w:val="auto"/>
                <w:sz w:val="24"/>
              </w:rPr>
            </w:pPr>
            <w:r>
              <w:rPr>
                <w:rFonts w:eastAsia="仿宋_GB2312"/>
                <w:color w:val="auto"/>
                <w:sz w:val="24"/>
              </w:rPr>
              <w:t>占总价的百分比（%）</w:t>
            </w:r>
          </w:p>
        </w:tc>
        <w:tc>
          <w:tcPr>
            <w:tcW w:w="3618" w:type="dxa"/>
            <w:gridSpan w:val="4"/>
            <w:tcBorders>
              <w:top w:val="single" w:color="auto" w:sz="6" w:space="0"/>
              <w:left w:val="single" w:color="auto" w:sz="6" w:space="0"/>
              <w:bottom w:val="single" w:color="auto" w:sz="6" w:space="0"/>
              <w:right w:val="single" w:color="auto" w:sz="6" w:space="0"/>
            </w:tcBorders>
            <w:noWrap w:val="0"/>
            <w:vAlign w:val="center"/>
          </w:tcPr>
          <w:p w14:paraId="32B72BB7">
            <w:pPr>
              <w:autoSpaceDE w:val="0"/>
              <w:autoSpaceDN w:val="0"/>
              <w:adjustRightInd w:val="0"/>
              <w:snapToGrid w:val="0"/>
              <w:jc w:val="center"/>
              <w:rPr>
                <w:rFonts w:eastAsia="仿宋_GB2312"/>
                <w:color w:val="auto"/>
                <w:sz w:val="24"/>
              </w:rPr>
            </w:pPr>
          </w:p>
        </w:tc>
      </w:tr>
    </w:tbl>
    <w:p w14:paraId="3B140602">
      <w:pPr>
        <w:adjustRightInd w:val="0"/>
        <w:snapToGrid w:val="0"/>
        <w:jc w:val="left"/>
        <w:rPr>
          <w:rFonts w:eastAsia="仿宋_GB2312"/>
          <w:color w:val="auto"/>
          <w:szCs w:val="21"/>
        </w:rPr>
      </w:pPr>
      <w:r>
        <w:rPr>
          <w:rFonts w:eastAsia="仿宋_GB2312"/>
          <w:color w:val="auto"/>
          <w:szCs w:val="21"/>
        </w:rPr>
        <w:t>说明：</w:t>
      </w:r>
    </w:p>
    <w:p w14:paraId="52A4FA61">
      <w:pPr>
        <w:adjustRightInd w:val="0"/>
        <w:snapToGrid w:val="0"/>
        <w:ind w:firstLine="420" w:firstLineChars="200"/>
        <w:jc w:val="left"/>
        <w:rPr>
          <w:rFonts w:eastAsia="仿宋_GB2312"/>
          <w:color w:val="auto"/>
          <w:szCs w:val="21"/>
          <w:lang w:val="zh-CN"/>
        </w:rPr>
      </w:pPr>
      <w:r>
        <w:rPr>
          <w:rFonts w:eastAsia="仿宋_GB2312"/>
          <w:color w:val="auto"/>
          <w:szCs w:val="21"/>
        </w:rPr>
        <w:t>1、</w:t>
      </w:r>
      <w:r>
        <w:rPr>
          <w:rFonts w:eastAsia="仿宋_GB2312"/>
          <w:color w:val="auto"/>
          <w:szCs w:val="21"/>
          <w:lang w:val="zh-CN"/>
        </w:rPr>
        <w:t>如投标</w:t>
      </w:r>
      <w:r>
        <w:rPr>
          <w:rFonts w:hint="eastAsia" w:eastAsia="仿宋_GB2312"/>
          <w:color w:val="auto"/>
          <w:szCs w:val="21"/>
          <w:lang w:val="en-US" w:eastAsia="zh-CN"/>
        </w:rPr>
        <w:t>工程伴随的产品</w:t>
      </w:r>
      <w:r>
        <w:rPr>
          <w:rFonts w:eastAsia="仿宋_GB2312"/>
          <w:color w:val="auto"/>
          <w:szCs w:val="21"/>
          <w:lang w:val="zh-CN"/>
        </w:rPr>
        <w:t>为</w:t>
      </w:r>
      <w:r>
        <w:rPr>
          <w:rFonts w:eastAsia="仿宋_GB2312"/>
          <w:color w:val="auto"/>
          <w:szCs w:val="21"/>
        </w:rPr>
        <w:t>品目清单中的</w:t>
      </w:r>
      <w:r>
        <w:rPr>
          <w:rFonts w:eastAsia="仿宋_GB2312"/>
          <w:color w:val="auto"/>
          <w:szCs w:val="21"/>
          <w:lang w:val="zh-CN"/>
        </w:rPr>
        <w:t>节能产品、环境标志产品，须按格式逐项填写，并附相关证明，否则评审时不予计分。</w:t>
      </w:r>
    </w:p>
    <w:p w14:paraId="6AAC24E3">
      <w:pPr>
        <w:numPr>
          <w:ilvl w:val="0"/>
          <w:numId w:val="18"/>
        </w:numPr>
        <w:adjustRightInd w:val="0"/>
        <w:snapToGrid w:val="0"/>
        <w:ind w:firstLine="420" w:firstLineChars="200"/>
        <w:jc w:val="left"/>
        <w:rPr>
          <w:rFonts w:eastAsia="仿宋_GB2312"/>
          <w:color w:val="auto"/>
          <w:szCs w:val="21"/>
          <w:lang w:val="zh-CN"/>
        </w:rPr>
      </w:pPr>
      <w:r>
        <w:rPr>
          <w:rFonts w:eastAsia="仿宋_GB2312"/>
          <w:color w:val="auto"/>
          <w:szCs w:val="21"/>
          <w:lang w:val="zh-CN"/>
        </w:rPr>
        <w:t>类别填写：节能产品或环境标志产品。</w:t>
      </w:r>
    </w:p>
    <w:p w14:paraId="2D41BF2C">
      <w:pPr>
        <w:tabs>
          <w:tab w:val="center" w:pos="4153"/>
          <w:tab w:val="right" w:pos="8306"/>
        </w:tabs>
        <w:adjustRightInd w:val="0"/>
        <w:snapToGrid w:val="0"/>
        <w:ind w:firstLine="420" w:firstLineChars="200"/>
        <w:rPr>
          <w:color w:val="auto"/>
          <w:szCs w:val="21"/>
          <w:lang w:val="zh-CN"/>
        </w:rPr>
      </w:pPr>
      <w:r>
        <w:rPr>
          <w:rFonts w:eastAsia="仿宋_GB2312"/>
          <w:color w:val="auto"/>
          <w:szCs w:val="21"/>
        </w:rPr>
        <w:t>3、</w:t>
      </w:r>
      <w:r>
        <w:rPr>
          <w:rFonts w:eastAsia="仿宋_GB2312"/>
          <w:color w:val="auto"/>
          <w:szCs w:val="21"/>
          <w:lang w:val="zh-CN"/>
        </w:rPr>
        <w:t>若所投产品为政府强制采购的节能产品，需提供响应产品经国家确定的认证机构出具的、处于有效期内的节能产品认证证书。</w:t>
      </w:r>
      <w:r>
        <w:rPr>
          <w:rFonts w:eastAsia="仿宋_GB2312"/>
          <w:color w:val="auto"/>
          <w:szCs w:val="21"/>
        </w:rPr>
        <w:t>强制类产品</w:t>
      </w:r>
      <w:r>
        <w:rPr>
          <w:rFonts w:eastAsia="仿宋_GB2312"/>
          <w:color w:val="auto"/>
          <w:szCs w:val="21"/>
          <w:lang w:val="zh-CN"/>
        </w:rPr>
        <w:t>具体品目详见《关于印发节能产品政府采购品目清单的通知》（财库[2019]19号文）</w:t>
      </w:r>
      <w:r>
        <w:rPr>
          <w:rFonts w:eastAsia="仿宋_GB2312"/>
          <w:color w:val="auto"/>
          <w:szCs w:val="21"/>
        </w:rPr>
        <w:t>。</w:t>
      </w:r>
    </w:p>
    <w:p w14:paraId="225C1CD3">
      <w:pPr>
        <w:autoSpaceDE w:val="0"/>
        <w:autoSpaceDN w:val="0"/>
        <w:adjustRightInd w:val="0"/>
        <w:snapToGrid w:val="0"/>
        <w:spacing w:line="360" w:lineRule="auto"/>
        <w:ind w:firstLine="1920" w:firstLineChars="800"/>
        <w:rPr>
          <w:rFonts w:eastAsia="仿宋_GB2312"/>
          <w:color w:val="auto"/>
          <w:sz w:val="24"/>
          <w:u w:val="single"/>
        </w:rPr>
      </w:pPr>
    </w:p>
    <w:p w14:paraId="7C28413C">
      <w:pPr>
        <w:spacing w:line="360" w:lineRule="auto"/>
        <w:ind w:firstLine="1920" w:firstLineChars="800"/>
        <w:rPr>
          <w:rFonts w:eastAsia="仿宋_GB2312"/>
          <w:color w:val="auto"/>
          <w:sz w:val="24"/>
        </w:rPr>
      </w:pPr>
      <w:r>
        <w:rPr>
          <w:rFonts w:hint="eastAsia" w:eastAsia="仿宋_GB2312"/>
          <w:color w:val="auto"/>
          <w:sz w:val="24"/>
          <w:lang w:eastAsia="zh-CN"/>
        </w:rPr>
        <w:t>供应商</w:t>
      </w:r>
      <w:r>
        <w:rPr>
          <w:rFonts w:eastAsia="仿宋_GB2312"/>
          <w:color w:val="auto"/>
          <w:sz w:val="24"/>
        </w:rPr>
        <w:t>（盖</w:t>
      </w:r>
      <w:r>
        <w:rPr>
          <w:rFonts w:hint="eastAsia" w:eastAsia="仿宋_GB2312"/>
          <w:color w:val="auto"/>
          <w:sz w:val="24"/>
        </w:rPr>
        <w:t>公</w:t>
      </w:r>
      <w:r>
        <w:rPr>
          <w:rFonts w:eastAsia="仿宋_GB2312"/>
          <w:color w:val="auto"/>
          <w:sz w:val="24"/>
        </w:rPr>
        <w:t>章）：</w:t>
      </w:r>
      <w:r>
        <w:rPr>
          <w:rFonts w:eastAsia="仿宋_GB2312"/>
          <w:color w:val="auto"/>
          <w:sz w:val="24"/>
          <w:u w:val="single"/>
        </w:rPr>
        <w:t xml:space="preserve">                   </w:t>
      </w:r>
      <w:r>
        <w:rPr>
          <w:rFonts w:hint="eastAsia" w:eastAsia="仿宋_GB2312"/>
          <w:color w:val="auto"/>
          <w:sz w:val="24"/>
          <w:u w:val="single"/>
        </w:rPr>
        <w:t xml:space="preserve">          </w:t>
      </w:r>
    </w:p>
    <w:p w14:paraId="4E18543F">
      <w:pPr>
        <w:spacing w:line="360" w:lineRule="auto"/>
        <w:ind w:firstLine="1920" w:firstLineChars="800"/>
        <w:rPr>
          <w:rFonts w:eastAsia="仿宋_GB2312"/>
          <w:color w:val="auto"/>
          <w:sz w:val="24"/>
          <w:u w:val="single"/>
        </w:rPr>
      </w:pPr>
      <w:r>
        <w:rPr>
          <w:rFonts w:eastAsia="仿宋_GB2312"/>
          <w:color w:val="auto"/>
          <w:sz w:val="24"/>
        </w:rPr>
        <w:t>法定代表人或授权代表（签字</w:t>
      </w:r>
      <w:r>
        <w:rPr>
          <w:rFonts w:hint="eastAsia" w:eastAsia="仿宋_GB2312"/>
          <w:color w:val="auto"/>
          <w:sz w:val="24"/>
        </w:rPr>
        <w:t>或盖章</w:t>
      </w:r>
      <w:r>
        <w:rPr>
          <w:rFonts w:eastAsia="仿宋_GB2312"/>
          <w:color w:val="auto"/>
          <w:sz w:val="24"/>
        </w:rPr>
        <w:t>）：</w:t>
      </w:r>
      <w:r>
        <w:rPr>
          <w:rFonts w:eastAsia="仿宋_GB2312"/>
          <w:color w:val="auto"/>
          <w:sz w:val="24"/>
          <w:u w:val="single"/>
        </w:rPr>
        <w:t xml:space="preserve">  </w:t>
      </w:r>
      <w:r>
        <w:rPr>
          <w:rFonts w:hint="eastAsia" w:eastAsia="仿宋_GB2312"/>
          <w:color w:val="auto"/>
          <w:sz w:val="24"/>
          <w:u w:val="single"/>
        </w:rPr>
        <w:t xml:space="preserve">  </w:t>
      </w:r>
      <w:r>
        <w:rPr>
          <w:rFonts w:eastAsia="仿宋_GB2312"/>
          <w:color w:val="auto"/>
          <w:sz w:val="24"/>
          <w:u w:val="single"/>
        </w:rPr>
        <w:t xml:space="preserve">       </w:t>
      </w:r>
    </w:p>
    <w:p w14:paraId="6D4473BA">
      <w:pPr>
        <w:autoSpaceDE w:val="0"/>
        <w:autoSpaceDN w:val="0"/>
        <w:adjustRightInd w:val="0"/>
        <w:snapToGrid w:val="0"/>
        <w:spacing w:line="360" w:lineRule="auto"/>
        <w:jc w:val="center"/>
        <w:rPr>
          <w:rFonts w:ascii="仿宋" w:hAnsi="仿宋" w:eastAsia="仿宋" w:cs="仿宋"/>
          <w:b/>
          <w:bCs/>
          <w:color w:val="auto"/>
          <w:sz w:val="24"/>
        </w:rPr>
      </w:pPr>
      <w:r>
        <w:rPr>
          <w:rFonts w:eastAsia="仿宋_GB2312"/>
          <w:color w:val="auto"/>
          <w:sz w:val="24"/>
        </w:rPr>
        <w:t>日    期：</w:t>
      </w:r>
      <w:r>
        <w:rPr>
          <w:rFonts w:eastAsia="仿宋_GB2312"/>
          <w:color w:val="auto"/>
          <w:sz w:val="32"/>
          <w:u w:val="single"/>
        </w:rPr>
        <w:t xml:space="preserve">                     </w:t>
      </w:r>
      <w:r>
        <w:rPr>
          <w:rFonts w:hint="eastAsia" w:eastAsia="仿宋_GB2312"/>
          <w:color w:val="auto"/>
          <w:sz w:val="32"/>
          <w:u w:val="single"/>
        </w:rPr>
        <w:t xml:space="preserve">  </w:t>
      </w:r>
      <w:r>
        <w:rPr>
          <w:rFonts w:eastAsia="仿宋_GB2312"/>
          <w:color w:val="auto"/>
          <w:sz w:val="32"/>
          <w:u w:val="single"/>
        </w:rPr>
        <w:t xml:space="preserve"> </w:t>
      </w:r>
      <w:r>
        <w:rPr>
          <w:rFonts w:hint="eastAsia" w:eastAsia="仿宋_GB2312"/>
          <w:color w:val="auto"/>
          <w:sz w:val="32"/>
          <w:u w:val="single"/>
        </w:rPr>
        <w:t xml:space="preserve">    </w:t>
      </w:r>
      <w:r>
        <w:rPr>
          <w:rFonts w:eastAsia="仿宋_GB2312"/>
          <w:color w:val="auto"/>
          <w:sz w:val="24"/>
        </w:rPr>
        <w:br w:type="page"/>
      </w:r>
      <w:bookmarkEnd w:id="481"/>
      <w:bookmarkStart w:id="484" w:name="_Toc342748433"/>
      <w:bookmarkStart w:id="485" w:name="_Toc301514201"/>
      <w:bookmarkStart w:id="486" w:name="_Toc15888"/>
    </w:p>
    <w:bookmarkEnd w:id="484"/>
    <w:bookmarkEnd w:id="485"/>
    <w:bookmarkEnd w:id="486"/>
    <w:p w14:paraId="4E76F867">
      <w:pPr>
        <w:rPr>
          <w:color w:val="auto"/>
        </w:rPr>
      </w:pPr>
    </w:p>
    <w:p w14:paraId="5DC6F0A4">
      <w:pPr>
        <w:jc w:val="center"/>
        <w:outlineLvl w:val="1"/>
        <w:rPr>
          <w:rFonts w:ascii="仿宋" w:hAnsi="仿宋" w:eastAsia="仿宋" w:cs="仿宋"/>
          <w:b/>
          <w:bCs/>
          <w:color w:val="auto"/>
          <w:kern w:val="0"/>
          <w:sz w:val="28"/>
          <w:szCs w:val="28"/>
          <w:lang w:val="zh-CN"/>
        </w:rPr>
      </w:pPr>
      <w:bookmarkStart w:id="487" w:name="_Toc12184"/>
      <w:r>
        <w:rPr>
          <w:rFonts w:hint="eastAsia" w:ascii="仿宋" w:hAnsi="仿宋" w:eastAsia="仿宋" w:cs="仿宋"/>
          <w:b/>
          <w:bCs/>
          <w:color w:val="auto"/>
          <w:kern w:val="0"/>
          <w:sz w:val="32"/>
          <w:szCs w:val="32"/>
          <w:lang w:val="en-US" w:eastAsia="zh-CN"/>
        </w:rPr>
        <w:t>四、</w:t>
      </w:r>
      <w:r>
        <w:rPr>
          <w:rFonts w:hint="eastAsia" w:ascii="仿宋" w:hAnsi="仿宋" w:eastAsia="仿宋" w:cs="仿宋"/>
          <w:b/>
          <w:bCs/>
          <w:color w:val="auto"/>
          <w:kern w:val="0"/>
          <w:sz w:val="28"/>
          <w:szCs w:val="28"/>
          <w:lang w:val="zh-CN"/>
        </w:rPr>
        <w:t>最终磋商报价表</w:t>
      </w:r>
      <w:bookmarkEnd w:id="487"/>
    </w:p>
    <w:p w14:paraId="30C088D3">
      <w:pPr>
        <w:autoSpaceDE w:val="0"/>
        <w:autoSpaceDN w:val="0"/>
        <w:adjustRightInd w:val="0"/>
        <w:snapToGrid w:val="0"/>
        <w:spacing w:line="360" w:lineRule="auto"/>
        <w:jc w:val="right"/>
        <w:rPr>
          <w:rFonts w:ascii="仿宋" w:hAnsi="仿宋" w:eastAsia="仿宋" w:cs="仿宋"/>
          <w:b/>
          <w:color w:val="auto"/>
          <w:sz w:val="24"/>
        </w:rPr>
      </w:pPr>
      <w:r>
        <w:rPr>
          <w:rFonts w:hint="eastAsia" w:ascii="仿宋" w:hAnsi="仿宋" w:eastAsia="仿宋" w:cs="仿宋"/>
          <w:color w:val="auto"/>
          <w:sz w:val="32"/>
          <w:szCs w:val="32"/>
        </w:rPr>
        <w:t xml:space="preserve">                                                          </w:t>
      </w:r>
      <w:r>
        <w:rPr>
          <w:rFonts w:hint="eastAsia" w:ascii="仿宋" w:hAnsi="仿宋" w:eastAsia="仿宋" w:cs="仿宋"/>
          <w:b/>
          <w:color w:val="auto"/>
          <w:sz w:val="24"/>
          <w:lang w:val="zh-CN"/>
        </w:rPr>
        <w:t>单位</w:t>
      </w:r>
      <w:r>
        <w:rPr>
          <w:rFonts w:hint="eastAsia" w:ascii="仿宋" w:hAnsi="仿宋" w:eastAsia="仿宋" w:cs="仿宋"/>
          <w:b/>
          <w:color w:val="auto"/>
          <w:sz w:val="24"/>
        </w:rPr>
        <w:t xml:space="preserve"> </w:t>
      </w:r>
      <w:r>
        <w:rPr>
          <w:rFonts w:hint="eastAsia" w:ascii="仿宋" w:hAnsi="仿宋" w:eastAsia="仿宋" w:cs="仿宋"/>
          <w:b/>
          <w:color w:val="auto"/>
          <w:sz w:val="24"/>
          <w:lang w:val="zh-CN"/>
        </w:rPr>
        <w:t>：元</w:t>
      </w:r>
      <w:r>
        <w:rPr>
          <w:rFonts w:hint="eastAsia" w:ascii="仿宋" w:hAnsi="仿宋" w:eastAsia="仿宋" w:cs="仿宋"/>
          <w:b/>
          <w:color w:val="auto"/>
          <w:sz w:val="24"/>
        </w:rPr>
        <w:t xml:space="preserve"> </w:t>
      </w:r>
    </w:p>
    <w:tbl>
      <w:tblPr>
        <w:tblStyle w:val="50"/>
        <w:tblW w:w="4308" w:type="pct"/>
        <w:jc w:val="center"/>
        <w:tblLayout w:type="autofit"/>
        <w:tblCellMar>
          <w:top w:w="0" w:type="dxa"/>
          <w:left w:w="108" w:type="dxa"/>
          <w:bottom w:w="0" w:type="dxa"/>
          <w:right w:w="108" w:type="dxa"/>
        </w:tblCellMar>
      </w:tblPr>
      <w:tblGrid>
        <w:gridCol w:w="2374"/>
        <w:gridCol w:w="1567"/>
        <w:gridCol w:w="1504"/>
        <w:gridCol w:w="1271"/>
        <w:gridCol w:w="1285"/>
      </w:tblGrid>
      <w:tr w14:paraId="0983FE13">
        <w:tblPrEx>
          <w:tblCellMar>
            <w:top w:w="0" w:type="dxa"/>
            <w:left w:w="108" w:type="dxa"/>
            <w:bottom w:w="0" w:type="dxa"/>
            <w:right w:w="108" w:type="dxa"/>
          </w:tblCellMar>
        </w:tblPrEx>
        <w:trPr>
          <w:trHeight w:val="1397" w:hRule="atLeast"/>
          <w:jc w:val="center"/>
        </w:trPr>
        <w:tc>
          <w:tcPr>
            <w:tcW w:w="1484" w:type="pct"/>
            <w:tcBorders>
              <w:top w:val="single" w:color="auto" w:sz="6" w:space="0"/>
              <w:left w:val="single" w:color="auto" w:sz="6" w:space="0"/>
              <w:bottom w:val="single" w:color="auto" w:sz="6" w:space="0"/>
              <w:right w:val="single" w:color="auto" w:sz="6" w:space="0"/>
              <w:tl2br w:val="single" w:color="auto" w:sz="4" w:space="0"/>
            </w:tcBorders>
          </w:tcPr>
          <w:p w14:paraId="2EA37957">
            <w:pPr>
              <w:autoSpaceDE w:val="0"/>
              <w:autoSpaceDN w:val="0"/>
              <w:adjustRightInd w:val="0"/>
              <w:snapToGrid w:val="0"/>
              <w:spacing w:line="360" w:lineRule="auto"/>
              <w:jc w:val="right"/>
              <w:rPr>
                <w:rFonts w:ascii="仿宋" w:hAnsi="仿宋" w:eastAsia="仿宋" w:cs="仿宋"/>
                <w:color w:val="auto"/>
                <w:sz w:val="24"/>
              </w:rPr>
            </w:pPr>
            <w:r>
              <w:rPr>
                <w:rFonts w:hint="eastAsia" w:ascii="仿宋" w:hAnsi="仿宋" w:eastAsia="仿宋" w:cs="仿宋"/>
                <w:color w:val="auto"/>
                <w:sz w:val="24"/>
                <w:lang w:val="zh-CN"/>
              </w:rPr>
              <w:t>报价内容</w:t>
            </w:r>
          </w:p>
          <w:p w14:paraId="606D24E3">
            <w:pPr>
              <w:autoSpaceDE w:val="0"/>
              <w:autoSpaceDN w:val="0"/>
              <w:adjustRightInd w:val="0"/>
              <w:snapToGrid w:val="0"/>
              <w:spacing w:line="360" w:lineRule="auto"/>
              <w:ind w:left="-1" w:hanging="419"/>
              <w:rPr>
                <w:rFonts w:ascii="仿宋" w:hAnsi="仿宋" w:eastAsia="仿宋" w:cs="仿宋"/>
                <w:color w:val="auto"/>
                <w:sz w:val="24"/>
              </w:rPr>
            </w:pPr>
          </w:p>
          <w:p w14:paraId="288F1148">
            <w:pPr>
              <w:autoSpaceDE w:val="0"/>
              <w:autoSpaceDN w:val="0"/>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lang w:val="zh-CN"/>
              </w:rPr>
              <w:t>供应商</w:t>
            </w:r>
          </w:p>
        </w:tc>
        <w:tc>
          <w:tcPr>
            <w:tcW w:w="979" w:type="pct"/>
            <w:tcBorders>
              <w:top w:val="single" w:color="auto" w:sz="6" w:space="0"/>
              <w:left w:val="single" w:color="auto" w:sz="6" w:space="0"/>
              <w:bottom w:val="single" w:color="auto" w:sz="6" w:space="0"/>
              <w:right w:val="single" w:color="auto" w:sz="4" w:space="0"/>
            </w:tcBorders>
            <w:vAlign w:val="center"/>
          </w:tcPr>
          <w:p w14:paraId="1EDD0E50">
            <w:pPr>
              <w:autoSpaceDE w:val="0"/>
              <w:autoSpaceDN w:val="0"/>
              <w:adjustRightInd w:val="0"/>
              <w:snapToGrid w:val="0"/>
              <w:spacing w:line="360" w:lineRule="auto"/>
              <w:rPr>
                <w:rFonts w:ascii="仿宋" w:hAnsi="仿宋" w:eastAsia="仿宋" w:cs="仿宋"/>
                <w:color w:val="auto"/>
                <w:sz w:val="24"/>
                <w:lang w:val="zh-CN"/>
              </w:rPr>
            </w:pPr>
            <w:r>
              <w:rPr>
                <w:rFonts w:hint="eastAsia" w:ascii="仿宋" w:hAnsi="仿宋" w:eastAsia="仿宋" w:cs="仿宋"/>
                <w:color w:val="auto"/>
                <w:sz w:val="24"/>
              </w:rPr>
              <w:t>总报价(元)</w:t>
            </w:r>
          </w:p>
        </w:tc>
        <w:tc>
          <w:tcPr>
            <w:tcW w:w="940" w:type="pct"/>
            <w:tcBorders>
              <w:top w:val="single" w:color="auto" w:sz="6" w:space="0"/>
              <w:left w:val="single" w:color="auto" w:sz="4" w:space="0"/>
              <w:bottom w:val="single" w:color="auto" w:sz="6" w:space="0"/>
              <w:right w:val="single" w:color="auto" w:sz="6" w:space="0"/>
            </w:tcBorders>
            <w:vAlign w:val="center"/>
          </w:tcPr>
          <w:p w14:paraId="16DBA73B">
            <w:pPr>
              <w:autoSpaceDE w:val="0"/>
              <w:autoSpaceDN w:val="0"/>
              <w:adjustRightInd w:val="0"/>
              <w:snapToGrid w:val="0"/>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rPr>
              <w:t>工期</w:t>
            </w:r>
          </w:p>
          <w:p w14:paraId="75B43D6B">
            <w:pPr>
              <w:autoSpaceDE w:val="0"/>
              <w:autoSpaceDN w:val="0"/>
              <w:adjustRightInd w:val="0"/>
              <w:snapToGrid w:val="0"/>
              <w:spacing w:line="360" w:lineRule="auto"/>
              <w:jc w:val="center"/>
              <w:rPr>
                <w:rFonts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天</w:t>
            </w:r>
            <w:r>
              <w:rPr>
                <w:rFonts w:hint="eastAsia" w:ascii="仿宋" w:hAnsi="仿宋" w:eastAsia="仿宋" w:cs="仿宋"/>
                <w:color w:val="auto"/>
                <w:sz w:val="24"/>
              </w:rPr>
              <w:t>）</w:t>
            </w:r>
          </w:p>
        </w:tc>
        <w:tc>
          <w:tcPr>
            <w:tcW w:w="794" w:type="pct"/>
            <w:tcBorders>
              <w:top w:val="single" w:color="auto" w:sz="6" w:space="0"/>
              <w:left w:val="single" w:color="auto" w:sz="6" w:space="0"/>
              <w:bottom w:val="single" w:color="auto" w:sz="6" w:space="0"/>
              <w:right w:val="single" w:color="auto" w:sz="6" w:space="0"/>
            </w:tcBorders>
            <w:vAlign w:val="center"/>
          </w:tcPr>
          <w:p w14:paraId="0780C0B9">
            <w:pPr>
              <w:autoSpaceDE w:val="0"/>
              <w:autoSpaceDN w:val="0"/>
              <w:adjustRightInd w:val="0"/>
              <w:snapToGrid w:val="0"/>
              <w:spacing w:line="360" w:lineRule="auto"/>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项目经理</w:t>
            </w:r>
          </w:p>
        </w:tc>
        <w:tc>
          <w:tcPr>
            <w:tcW w:w="800" w:type="pct"/>
            <w:tcBorders>
              <w:top w:val="single" w:color="auto" w:sz="6" w:space="0"/>
              <w:left w:val="single" w:color="auto" w:sz="6" w:space="0"/>
              <w:bottom w:val="single" w:color="auto" w:sz="6" w:space="0"/>
              <w:right w:val="single" w:color="auto" w:sz="6" w:space="0"/>
            </w:tcBorders>
            <w:vAlign w:val="center"/>
          </w:tcPr>
          <w:p w14:paraId="5AA8DA4C">
            <w:pPr>
              <w:autoSpaceDE w:val="0"/>
              <w:autoSpaceDN w:val="0"/>
              <w:adjustRightInd w:val="0"/>
              <w:snapToGrid w:val="0"/>
              <w:spacing w:line="360" w:lineRule="auto"/>
              <w:ind w:right="240"/>
              <w:jc w:val="center"/>
              <w:rPr>
                <w:rFonts w:hint="eastAsia" w:ascii="仿宋" w:hAnsi="仿宋" w:eastAsia="仿宋" w:cs="仿宋"/>
                <w:color w:val="auto"/>
                <w:sz w:val="24"/>
                <w:lang w:val="zh-CN" w:eastAsia="zh-CN"/>
              </w:rPr>
            </w:pPr>
            <w:r>
              <w:rPr>
                <w:rFonts w:hint="eastAsia" w:ascii="仿宋" w:hAnsi="仿宋" w:eastAsia="仿宋" w:cs="仿宋"/>
                <w:color w:val="auto"/>
                <w:sz w:val="24"/>
                <w:lang w:val="en-US" w:eastAsia="zh-CN"/>
              </w:rPr>
              <w:t>备注</w:t>
            </w:r>
          </w:p>
        </w:tc>
      </w:tr>
      <w:tr w14:paraId="2EB6C661">
        <w:tblPrEx>
          <w:tblCellMar>
            <w:top w:w="0" w:type="dxa"/>
            <w:left w:w="108" w:type="dxa"/>
            <w:bottom w:w="0" w:type="dxa"/>
            <w:right w:w="108" w:type="dxa"/>
          </w:tblCellMar>
        </w:tblPrEx>
        <w:trPr>
          <w:trHeight w:val="1168" w:hRule="atLeast"/>
          <w:jc w:val="center"/>
        </w:trPr>
        <w:tc>
          <w:tcPr>
            <w:tcW w:w="1484" w:type="pct"/>
            <w:tcBorders>
              <w:top w:val="single" w:color="auto" w:sz="6" w:space="0"/>
              <w:left w:val="single" w:color="auto" w:sz="6" w:space="0"/>
              <w:bottom w:val="single" w:color="auto" w:sz="6" w:space="0"/>
              <w:right w:val="single" w:color="auto" w:sz="6" w:space="0"/>
            </w:tcBorders>
            <w:vAlign w:val="center"/>
          </w:tcPr>
          <w:p w14:paraId="7CB6F1DE">
            <w:pPr>
              <w:autoSpaceDE w:val="0"/>
              <w:autoSpaceDN w:val="0"/>
              <w:adjustRightInd w:val="0"/>
              <w:snapToGrid w:val="0"/>
              <w:spacing w:line="360" w:lineRule="auto"/>
              <w:jc w:val="center"/>
              <w:rPr>
                <w:rFonts w:ascii="仿宋" w:hAnsi="仿宋" w:eastAsia="仿宋" w:cs="仿宋"/>
                <w:color w:val="auto"/>
                <w:sz w:val="24"/>
              </w:rPr>
            </w:pPr>
          </w:p>
        </w:tc>
        <w:tc>
          <w:tcPr>
            <w:tcW w:w="979" w:type="pct"/>
            <w:tcBorders>
              <w:top w:val="single" w:color="auto" w:sz="6" w:space="0"/>
              <w:left w:val="single" w:color="auto" w:sz="6" w:space="0"/>
              <w:bottom w:val="single" w:color="auto" w:sz="6" w:space="0"/>
              <w:right w:val="single" w:color="auto" w:sz="4" w:space="0"/>
            </w:tcBorders>
            <w:vAlign w:val="center"/>
          </w:tcPr>
          <w:p w14:paraId="6F2ADE1F">
            <w:pPr>
              <w:autoSpaceDE w:val="0"/>
              <w:autoSpaceDN w:val="0"/>
              <w:adjustRightInd w:val="0"/>
              <w:snapToGrid w:val="0"/>
              <w:spacing w:line="360" w:lineRule="auto"/>
              <w:rPr>
                <w:rFonts w:ascii="仿宋" w:hAnsi="仿宋" w:eastAsia="仿宋" w:cs="仿宋"/>
                <w:color w:val="auto"/>
                <w:sz w:val="24"/>
              </w:rPr>
            </w:pPr>
          </w:p>
        </w:tc>
        <w:tc>
          <w:tcPr>
            <w:tcW w:w="940" w:type="pct"/>
            <w:tcBorders>
              <w:top w:val="single" w:color="auto" w:sz="6" w:space="0"/>
              <w:left w:val="single" w:color="auto" w:sz="4" w:space="0"/>
              <w:bottom w:val="single" w:color="auto" w:sz="6" w:space="0"/>
              <w:right w:val="single" w:color="auto" w:sz="6" w:space="0"/>
            </w:tcBorders>
            <w:vAlign w:val="center"/>
          </w:tcPr>
          <w:p w14:paraId="5F273E79">
            <w:pPr>
              <w:autoSpaceDE w:val="0"/>
              <w:autoSpaceDN w:val="0"/>
              <w:adjustRightInd w:val="0"/>
              <w:snapToGrid w:val="0"/>
              <w:spacing w:line="360" w:lineRule="auto"/>
              <w:rPr>
                <w:rFonts w:ascii="仿宋" w:hAnsi="仿宋" w:eastAsia="仿宋" w:cs="仿宋"/>
                <w:color w:val="auto"/>
                <w:sz w:val="24"/>
              </w:rPr>
            </w:pPr>
          </w:p>
        </w:tc>
        <w:tc>
          <w:tcPr>
            <w:tcW w:w="794" w:type="pct"/>
            <w:tcBorders>
              <w:top w:val="single" w:color="auto" w:sz="6" w:space="0"/>
              <w:left w:val="single" w:color="auto" w:sz="6" w:space="0"/>
              <w:bottom w:val="single" w:color="auto" w:sz="6" w:space="0"/>
              <w:right w:val="single" w:color="auto" w:sz="6" w:space="0"/>
            </w:tcBorders>
            <w:vAlign w:val="center"/>
          </w:tcPr>
          <w:p w14:paraId="18D4D88D">
            <w:pPr>
              <w:autoSpaceDE w:val="0"/>
              <w:autoSpaceDN w:val="0"/>
              <w:adjustRightInd w:val="0"/>
              <w:snapToGrid w:val="0"/>
              <w:spacing w:line="360" w:lineRule="auto"/>
              <w:rPr>
                <w:rFonts w:ascii="仿宋" w:hAnsi="仿宋" w:eastAsia="仿宋" w:cs="仿宋"/>
                <w:color w:val="auto"/>
                <w:sz w:val="24"/>
              </w:rPr>
            </w:pPr>
          </w:p>
        </w:tc>
        <w:tc>
          <w:tcPr>
            <w:tcW w:w="800" w:type="pct"/>
            <w:tcBorders>
              <w:top w:val="single" w:color="auto" w:sz="6" w:space="0"/>
              <w:left w:val="single" w:color="auto" w:sz="6" w:space="0"/>
              <w:bottom w:val="single" w:color="auto" w:sz="6" w:space="0"/>
              <w:right w:val="single" w:color="auto" w:sz="6" w:space="0"/>
            </w:tcBorders>
            <w:vAlign w:val="center"/>
          </w:tcPr>
          <w:p w14:paraId="282CBC6A">
            <w:pPr>
              <w:autoSpaceDE w:val="0"/>
              <w:autoSpaceDN w:val="0"/>
              <w:adjustRightInd w:val="0"/>
              <w:snapToGrid w:val="0"/>
              <w:spacing w:line="360" w:lineRule="auto"/>
              <w:jc w:val="center"/>
              <w:rPr>
                <w:rFonts w:ascii="仿宋" w:hAnsi="仿宋" w:eastAsia="仿宋" w:cs="仿宋"/>
                <w:color w:val="auto"/>
                <w:sz w:val="24"/>
              </w:rPr>
            </w:pPr>
          </w:p>
        </w:tc>
      </w:tr>
      <w:tr w14:paraId="7E15852F">
        <w:tblPrEx>
          <w:tblCellMar>
            <w:top w:w="0" w:type="dxa"/>
            <w:left w:w="108" w:type="dxa"/>
            <w:bottom w:w="0" w:type="dxa"/>
            <w:right w:w="108" w:type="dxa"/>
          </w:tblCellMar>
        </w:tblPrEx>
        <w:trPr>
          <w:trHeight w:val="1168" w:hRule="atLeast"/>
          <w:jc w:val="center"/>
        </w:trPr>
        <w:tc>
          <w:tcPr>
            <w:tcW w:w="5000" w:type="pct"/>
            <w:gridSpan w:val="5"/>
            <w:tcBorders>
              <w:top w:val="single" w:color="auto" w:sz="6" w:space="0"/>
              <w:left w:val="single" w:color="auto" w:sz="6" w:space="0"/>
              <w:bottom w:val="single" w:color="auto" w:sz="6" w:space="0"/>
              <w:right w:val="single" w:color="auto" w:sz="6" w:space="0"/>
            </w:tcBorders>
            <w:vAlign w:val="center"/>
          </w:tcPr>
          <w:p w14:paraId="2D3E8739">
            <w:pPr>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总计：</w:t>
            </w:r>
          </w:p>
          <w:p w14:paraId="5C9ACAF7">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人民币大写：                    ￥：       元</w:t>
            </w:r>
          </w:p>
        </w:tc>
      </w:tr>
      <w:tr w14:paraId="72E63A5F">
        <w:tblPrEx>
          <w:tblCellMar>
            <w:top w:w="0" w:type="dxa"/>
            <w:left w:w="108" w:type="dxa"/>
            <w:bottom w:w="0" w:type="dxa"/>
            <w:right w:w="108" w:type="dxa"/>
          </w:tblCellMar>
        </w:tblPrEx>
        <w:trPr>
          <w:trHeight w:val="1168" w:hRule="atLeast"/>
          <w:jc w:val="center"/>
        </w:trPr>
        <w:tc>
          <w:tcPr>
            <w:tcW w:w="5000" w:type="pct"/>
            <w:gridSpan w:val="5"/>
            <w:tcBorders>
              <w:top w:val="single" w:color="auto" w:sz="6" w:space="0"/>
              <w:left w:val="single" w:color="auto" w:sz="6" w:space="0"/>
              <w:bottom w:val="single" w:color="auto" w:sz="6" w:space="0"/>
              <w:right w:val="single" w:color="auto" w:sz="6" w:space="0"/>
            </w:tcBorders>
            <w:vAlign w:val="center"/>
          </w:tcPr>
          <w:p w14:paraId="1A297B03">
            <w:pPr>
              <w:autoSpaceDE w:val="0"/>
              <w:autoSpaceDN w:val="0"/>
              <w:adjustRightInd w:val="0"/>
              <w:snapToGri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备注：表内报价内容以元为单位，精确到分。</w:t>
            </w:r>
          </w:p>
        </w:tc>
      </w:tr>
    </w:tbl>
    <w:p w14:paraId="44A2B178">
      <w:pPr>
        <w:autoSpaceDE w:val="0"/>
        <w:autoSpaceDN w:val="0"/>
        <w:adjustRightInd w:val="0"/>
        <w:snapToGrid w:val="0"/>
        <w:spacing w:line="360" w:lineRule="auto"/>
        <w:rPr>
          <w:rFonts w:ascii="仿宋" w:hAnsi="仿宋" w:eastAsia="仿宋" w:cs="仿宋"/>
          <w:color w:val="auto"/>
          <w:sz w:val="24"/>
        </w:rPr>
      </w:pPr>
      <w:r>
        <w:rPr>
          <w:rFonts w:hint="eastAsia" w:ascii="仿宋" w:hAnsi="仿宋" w:eastAsia="仿宋" w:cs="仿宋"/>
          <w:b/>
          <w:bCs/>
          <w:color w:val="auto"/>
          <w:sz w:val="24"/>
        </w:rPr>
        <w:t xml:space="preserve">                                                                                      </w:t>
      </w:r>
    </w:p>
    <w:p w14:paraId="5C93BAF2">
      <w:pPr>
        <w:autoSpaceDE w:val="0"/>
        <w:autoSpaceDN w:val="0"/>
        <w:adjustRightInd w:val="0"/>
        <w:snapToGrid w:val="0"/>
        <w:spacing w:line="360" w:lineRule="auto"/>
        <w:ind w:firstLine="1080" w:firstLineChars="450"/>
        <w:rPr>
          <w:rFonts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4092ACDB">
      <w:pPr>
        <w:autoSpaceDE w:val="0"/>
        <w:autoSpaceDN w:val="0"/>
        <w:adjustRightInd w:val="0"/>
        <w:snapToGrid w:val="0"/>
        <w:spacing w:line="360" w:lineRule="auto"/>
        <w:ind w:firstLine="960" w:firstLineChars="400"/>
        <w:rPr>
          <w:rFonts w:ascii="仿宋" w:hAnsi="仿宋" w:eastAsia="仿宋" w:cs="仿宋"/>
          <w:color w:val="auto"/>
          <w:sz w:val="24"/>
          <w:lang w:val="zh-CN"/>
        </w:rPr>
      </w:pPr>
      <w:r>
        <w:rPr>
          <w:rFonts w:hint="eastAsia" w:ascii="仿宋" w:hAnsi="仿宋" w:eastAsia="仿宋" w:cs="仿宋"/>
          <w:color w:val="auto"/>
          <w:sz w:val="24"/>
          <w:lang w:val="zh-CN"/>
        </w:rPr>
        <w:t>（公章）：                  （签字或盖章）：</w:t>
      </w:r>
    </w:p>
    <w:p w14:paraId="427ED88C">
      <w:pPr>
        <w:autoSpaceDE w:val="0"/>
        <w:autoSpaceDN w:val="0"/>
        <w:adjustRightInd w:val="0"/>
        <w:snapToGrid w:val="0"/>
        <w:spacing w:line="360" w:lineRule="auto"/>
        <w:rPr>
          <w:rFonts w:ascii="仿宋" w:hAnsi="仿宋" w:eastAsia="仿宋" w:cs="仿宋"/>
          <w:color w:val="auto"/>
          <w:sz w:val="24"/>
          <w:lang w:val="zh-CN"/>
        </w:rPr>
      </w:pPr>
    </w:p>
    <w:p w14:paraId="67E655DF">
      <w:pPr>
        <w:autoSpaceDE w:val="0"/>
        <w:autoSpaceDN w:val="0"/>
        <w:adjustRightInd w:val="0"/>
        <w:snapToGrid w:val="0"/>
        <w:spacing w:line="360" w:lineRule="auto"/>
        <w:rPr>
          <w:rFonts w:ascii="仿宋" w:hAnsi="仿宋" w:eastAsia="仿宋" w:cs="仿宋"/>
          <w:color w:val="auto"/>
          <w:sz w:val="24"/>
          <w:lang w:val="zh-CN"/>
        </w:rPr>
      </w:pPr>
    </w:p>
    <w:p w14:paraId="4739722D">
      <w:pPr>
        <w:autoSpaceDE w:val="0"/>
        <w:autoSpaceDN w:val="0"/>
        <w:adjustRightInd w:val="0"/>
        <w:snapToGrid w:val="0"/>
        <w:spacing w:line="360" w:lineRule="auto"/>
        <w:ind w:firstLine="240" w:firstLineChars="100"/>
        <w:rPr>
          <w:rFonts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14:paraId="17809A30">
      <w:pPr>
        <w:autoSpaceDE w:val="0"/>
        <w:autoSpaceDN w:val="0"/>
        <w:adjustRightInd w:val="0"/>
        <w:snapToGrid w:val="0"/>
        <w:spacing w:line="360" w:lineRule="auto"/>
        <w:ind w:firstLine="2880"/>
        <w:rPr>
          <w:rFonts w:ascii="仿宋" w:hAnsi="仿宋" w:eastAsia="仿宋" w:cs="仿宋"/>
          <w:color w:val="auto"/>
          <w:sz w:val="24"/>
        </w:rPr>
      </w:pPr>
    </w:p>
    <w:p w14:paraId="302DC901">
      <w:pPr>
        <w:autoSpaceDE w:val="0"/>
        <w:autoSpaceDN w:val="0"/>
        <w:adjustRightInd w:val="0"/>
        <w:snapToGrid w:val="0"/>
        <w:spacing w:line="360" w:lineRule="auto"/>
        <w:ind w:firstLine="2880"/>
        <w:rPr>
          <w:rFonts w:ascii="仿宋" w:hAnsi="仿宋" w:eastAsia="仿宋" w:cs="仿宋"/>
          <w:color w:val="auto"/>
          <w:sz w:val="24"/>
        </w:rPr>
      </w:pPr>
    </w:p>
    <w:p w14:paraId="2D5AC0B5">
      <w:pPr>
        <w:autoSpaceDE w:val="0"/>
        <w:autoSpaceDN w:val="0"/>
        <w:adjustRightInd w:val="0"/>
        <w:snapToGrid w:val="0"/>
        <w:spacing w:line="360" w:lineRule="auto"/>
        <w:rPr>
          <w:rFonts w:ascii="仿宋" w:hAnsi="仿宋" w:eastAsia="仿宋" w:cs="仿宋"/>
          <w:color w:val="auto"/>
          <w:sz w:val="24"/>
        </w:rPr>
      </w:pPr>
      <w:r>
        <w:rPr>
          <w:rFonts w:hint="eastAsia" w:ascii="仿宋" w:hAnsi="仿宋" w:eastAsia="仿宋" w:cs="仿宋"/>
          <w:color w:val="auto"/>
          <w:sz w:val="24"/>
        </w:rPr>
        <w:t>备注：我单位承诺所有分部分项工程量最终磋商报价按总报价的首次和最终磋商报价相同下降比例下浮报价。</w:t>
      </w:r>
    </w:p>
    <w:p w14:paraId="61EE7425">
      <w:pPr>
        <w:autoSpaceDE w:val="0"/>
        <w:autoSpaceDN w:val="0"/>
        <w:adjustRightInd w:val="0"/>
        <w:snapToGrid w:val="0"/>
        <w:spacing w:line="360" w:lineRule="auto"/>
        <w:rPr>
          <w:rFonts w:ascii="仿宋" w:hAnsi="仿宋" w:eastAsia="仿宋" w:cs="仿宋"/>
          <w:color w:val="auto"/>
          <w:sz w:val="24"/>
        </w:rPr>
      </w:pPr>
    </w:p>
    <w:p w14:paraId="3EF0490A">
      <w:pPr>
        <w:autoSpaceDE w:val="0"/>
        <w:autoSpaceDN w:val="0"/>
        <w:adjustRightInd w:val="0"/>
        <w:snapToGrid w:val="0"/>
        <w:spacing w:line="360" w:lineRule="auto"/>
        <w:jc w:val="center"/>
        <w:rPr>
          <w:rFonts w:ascii="仿宋" w:hAnsi="仿宋" w:eastAsia="仿宋" w:cs="仿宋"/>
          <w:b/>
          <w:bCs/>
          <w:color w:val="auto"/>
          <w:sz w:val="24"/>
        </w:rPr>
      </w:pPr>
      <w:r>
        <w:rPr>
          <w:rFonts w:hint="eastAsia" w:ascii="仿宋" w:hAnsi="仿宋" w:eastAsia="仿宋" w:cs="仿宋"/>
          <w:b/>
          <w:bCs/>
          <w:color w:val="auto"/>
          <w:sz w:val="24"/>
        </w:rPr>
        <w:t>（备注：最后磋商报价表请提前盖章</w:t>
      </w:r>
      <w:r>
        <w:rPr>
          <w:rFonts w:hint="eastAsia" w:ascii="仿宋" w:hAnsi="仿宋" w:eastAsia="仿宋" w:cs="仿宋"/>
          <w:b/>
          <w:bCs/>
          <w:color w:val="auto"/>
          <w:sz w:val="24"/>
          <w:lang w:val="en-US" w:eastAsia="zh-CN"/>
        </w:rPr>
        <w:t>填写</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不见面磋商</w:t>
      </w:r>
      <w:r>
        <w:rPr>
          <w:rFonts w:hint="eastAsia" w:ascii="仿宋" w:hAnsi="仿宋" w:eastAsia="仿宋" w:cs="仿宋"/>
          <w:b/>
          <w:bCs/>
          <w:color w:val="auto"/>
          <w:sz w:val="24"/>
        </w:rPr>
        <w:t>报价</w:t>
      </w:r>
      <w:r>
        <w:rPr>
          <w:rFonts w:hint="eastAsia" w:ascii="仿宋" w:hAnsi="仿宋" w:eastAsia="仿宋" w:cs="仿宋"/>
          <w:b/>
          <w:bCs/>
          <w:color w:val="auto"/>
          <w:sz w:val="24"/>
          <w:lang w:val="en-US" w:eastAsia="zh-CN"/>
        </w:rPr>
        <w:t>结束后扫描发至招标代理机构邮箱：616497136@qq.com</w:t>
      </w:r>
      <w:r>
        <w:rPr>
          <w:rFonts w:hint="eastAsia" w:ascii="仿宋" w:hAnsi="仿宋" w:eastAsia="仿宋" w:cs="仿宋"/>
          <w:b/>
          <w:bCs/>
          <w:color w:val="auto"/>
          <w:sz w:val="24"/>
        </w:rPr>
        <w:t>）</w:t>
      </w:r>
    </w:p>
    <w:p w14:paraId="34A1BA0C">
      <w:pPr>
        <w:rPr>
          <w:rFonts w:hint="eastAsia" w:ascii="仿宋" w:hAnsi="仿宋" w:eastAsia="仿宋" w:cs="仿宋"/>
          <w:b/>
          <w:bCs/>
          <w:color w:val="auto"/>
          <w:kern w:val="0"/>
          <w:sz w:val="32"/>
          <w:szCs w:val="32"/>
          <w:lang w:val="zh-CN" w:eastAsia="zh-CN"/>
        </w:rPr>
      </w:pPr>
      <w:r>
        <w:rPr>
          <w:rFonts w:hint="eastAsia" w:ascii="仿宋" w:hAnsi="仿宋" w:eastAsia="仿宋" w:cs="仿宋"/>
          <w:b/>
          <w:bCs/>
          <w:color w:val="auto"/>
          <w:kern w:val="0"/>
          <w:sz w:val="32"/>
          <w:szCs w:val="32"/>
          <w:lang w:val="zh-CN" w:eastAsia="zh-CN"/>
        </w:rPr>
        <w:br w:type="page"/>
      </w:r>
    </w:p>
    <w:p w14:paraId="2043C4D5">
      <w:pPr>
        <w:numPr>
          <w:ilvl w:val="0"/>
          <w:numId w:val="0"/>
        </w:numPr>
        <w:ind w:leftChars="0"/>
        <w:jc w:val="center"/>
        <w:outlineLvl w:val="1"/>
        <w:rPr>
          <w:rFonts w:hint="eastAsia" w:ascii="仿宋" w:hAnsi="仿宋" w:eastAsia="仿宋" w:cs="仿宋"/>
          <w:b/>
          <w:bCs/>
          <w:color w:val="auto"/>
          <w:kern w:val="0"/>
          <w:sz w:val="32"/>
          <w:szCs w:val="32"/>
          <w:lang w:val="zh-CN" w:eastAsia="zh-CN"/>
        </w:rPr>
      </w:pPr>
      <w:bookmarkStart w:id="488" w:name="_Toc25573"/>
      <w:r>
        <w:rPr>
          <w:rFonts w:hint="eastAsia" w:ascii="仿宋" w:hAnsi="仿宋" w:eastAsia="仿宋" w:cs="仿宋"/>
          <w:b/>
          <w:bCs/>
          <w:color w:val="auto"/>
          <w:kern w:val="0"/>
          <w:sz w:val="32"/>
          <w:szCs w:val="32"/>
          <w:lang w:val="zh-CN" w:eastAsia="zh-CN"/>
        </w:rPr>
        <w:t>五、</w:t>
      </w:r>
      <w:bookmarkStart w:id="489" w:name="_Toc301514205"/>
      <w:bookmarkStart w:id="490" w:name="_Toc342748437"/>
      <w:r>
        <w:rPr>
          <w:rFonts w:hint="eastAsia" w:ascii="仿宋" w:hAnsi="仿宋" w:eastAsia="仿宋" w:cs="仿宋"/>
          <w:b/>
          <w:bCs/>
          <w:color w:val="auto"/>
          <w:kern w:val="0"/>
          <w:sz w:val="32"/>
          <w:szCs w:val="32"/>
          <w:lang w:val="zh-CN" w:eastAsia="zh-CN"/>
        </w:rPr>
        <w:t>供应商承诺书</w:t>
      </w:r>
      <w:bookmarkEnd w:id="488"/>
    </w:p>
    <w:p w14:paraId="02C39E34">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陕西省采购招标有限责任公司：</w:t>
      </w:r>
    </w:p>
    <w:p w14:paraId="5E9B4054">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做为参加贵单位组织的（项目名称）的供应商，本公司郑重承诺：</w:t>
      </w:r>
    </w:p>
    <w:p w14:paraId="4098ABC3">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1、在参加本项目磋商之前不存在被依法禁止经营行为、财产被接管或冻结的情况，如有隐瞒实情，愿承担一切责任及后果。</w:t>
      </w:r>
    </w:p>
    <w:p w14:paraId="20A6A5E5">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2、近三年受到有关行政主管部门的行政处理、不良行为记录为</w:t>
      </w:r>
      <w:r>
        <w:rPr>
          <w:rFonts w:hint="eastAsia" w:ascii="仿宋" w:hAnsi="仿宋" w:eastAsia="仿宋" w:cs="仿宋"/>
          <w:color w:val="auto"/>
          <w:sz w:val="24"/>
          <w:u w:val="single"/>
        </w:rPr>
        <w:t xml:space="preserve">      </w:t>
      </w:r>
      <w:r>
        <w:rPr>
          <w:rFonts w:hint="eastAsia" w:ascii="仿宋" w:hAnsi="仿宋" w:eastAsia="仿宋" w:cs="仿宋"/>
          <w:color w:val="auto"/>
          <w:sz w:val="24"/>
        </w:rPr>
        <w:t>次（没有填零），如有隐瞒实情，愿承担一切责任及后果。</w:t>
      </w:r>
    </w:p>
    <w:p w14:paraId="7E25D8B2">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3、参加本次磋商提交的所有资质证明文件和资信证明文件及业绩证明文件是真实的、有效的，如有隐瞒实情，愿承担一切责任及后果。</w:t>
      </w:r>
    </w:p>
    <w:p w14:paraId="28F82B8D">
      <w:pPr>
        <w:adjustRightInd w:val="0"/>
        <w:snapToGrid w:val="0"/>
        <w:spacing w:line="360" w:lineRule="auto"/>
        <w:ind w:firstLine="480" w:firstLineChars="200"/>
        <w:rPr>
          <w:rFonts w:ascii="仿宋" w:hAnsi="仿宋" w:eastAsia="仿宋" w:cs="仿宋"/>
          <w:color w:val="auto"/>
          <w:sz w:val="24"/>
        </w:rPr>
      </w:pPr>
    </w:p>
    <w:p w14:paraId="0EEDCC86">
      <w:pPr>
        <w:adjustRightInd w:val="0"/>
        <w:snapToGrid w:val="0"/>
        <w:spacing w:line="360" w:lineRule="auto"/>
        <w:ind w:firstLine="480" w:firstLineChars="200"/>
        <w:rPr>
          <w:rFonts w:ascii="仿宋" w:hAnsi="仿宋" w:eastAsia="仿宋" w:cs="仿宋"/>
          <w:color w:val="auto"/>
          <w:sz w:val="24"/>
        </w:rPr>
      </w:pPr>
    </w:p>
    <w:p w14:paraId="298EE5E4">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供应商                            法定代表人或授权代表</w:t>
      </w:r>
    </w:p>
    <w:p w14:paraId="53F8693F">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（公章）：                           （签字或盖章）：</w:t>
      </w:r>
    </w:p>
    <w:p w14:paraId="5E91A846">
      <w:pPr>
        <w:autoSpaceDE w:val="0"/>
        <w:autoSpaceDN w:val="0"/>
        <w:adjustRightInd w:val="0"/>
        <w:snapToGrid w:val="0"/>
        <w:spacing w:line="360" w:lineRule="auto"/>
        <w:jc w:val="center"/>
        <w:rPr>
          <w:rFonts w:ascii="仿宋" w:hAnsi="仿宋" w:eastAsia="仿宋" w:cs="仿宋"/>
          <w:b/>
          <w:bCs/>
          <w:color w:val="auto"/>
          <w:kern w:val="0"/>
          <w:sz w:val="28"/>
          <w:szCs w:val="28"/>
          <w:lang w:val="zh-CN"/>
        </w:rPr>
      </w:pPr>
      <w:r>
        <w:rPr>
          <w:rFonts w:hint="eastAsia" w:ascii="仿宋" w:hAnsi="仿宋" w:eastAsia="仿宋" w:cs="仿宋"/>
          <w:b/>
          <w:bCs/>
          <w:color w:val="auto"/>
          <w:sz w:val="32"/>
          <w:szCs w:val="32"/>
        </w:rPr>
        <w:br w:type="page"/>
      </w:r>
      <w:r>
        <w:rPr>
          <w:rFonts w:hint="eastAsia" w:ascii="仿宋" w:hAnsi="仿宋" w:eastAsia="仿宋" w:cs="仿宋"/>
          <w:b/>
          <w:bCs/>
          <w:color w:val="auto"/>
          <w:kern w:val="0"/>
          <w:sz w:val="28"/>
          <w:szCs w:val="28"/>
          <w:lang w:val="zh-CN"/>
        </w:rPr>
        <w:t>履约承诺书</w:t>
      </w:r>
      <w:bookmarkEnd w:id="489"/>
      <w:bookmarkEnd w:id="490"/>
    </w:p>
    <w:p w14:paraId="6C7224B3">
      <w:pPr>
        <w:adjustRightInd w:val="0"/>
        <w:snapToGrid w:val="0"/>
        <w:spacing w:line="360" w:lineRule="auto"/>
        <w:rPr>
          <w:rFonts w:ascii="仿宋" w:hAnsi="仿宋" w:eastAsia="仿宋" w:cs="仿宋"/>
          <w:color w:val="auto"/>
          <w:sz w:val="24"/>
          <w:u w:val="single"/>
        </w:rPr>
      </w:pPr>
      <w:r>
        <w:rPr>
          <w:rFonts w:hint="eastAsia" w:ascii="仿宋" w:hAnsi="仿宋" w:eastAsia="仿宋" w:cs="仿宋"/>
          <w:color w:val="auto"/>
          <w:sz w:val="24"/>
        </w:rPr>
        <w:t>致：</w:t>
      </w:r>
      <w:r>
        <w:rPr>
          <w:rFonts w:hint="eastAsia" w:ascii="仿宋" w:hAnsi="仿宋" w:eastAsia="仿宋" w:cs="仿宋"/>
          <w:color w:val="auto"/>
          <w:sz w:val="24"/>
          <w:u w:val="single"/>
        </w:rPr>
        <w:t xml:space="preserve">                  </w:t>
      </w:r>
    </w:p>
    <w:p w14:paraId="3D1ED916">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我公司完全承诺“</w:t>
      </w:r>
      <w:r>
        <w:rPr>
          <w:rFonts w:hint="eastAsia" w:ascii="仿宋" w:hAnsi="仿宋" w:eastAsia="仿宋" w:cs="仿宋"/>
          <w:b/>
          <w:color w:val="auto"/>
          <w:sz w:val="24"/>
        </w:rPr>
        <w:t>项目名称</w:t>
      </w:r>
      <w:r>
        <w:rPr>
          <w:rFonts w:hint="eastAsia" w:ascii="仿宋" w:hAnsi="仿宋" w:eastAsia="仿宋" w:cs="仿宋"/>
          <w:color w:val="auto"/>
          <w:sz w:val="24"/>
        </w:rPr>
        <w:t>”</w:t>
      </w:r>
      <w:r>
        <w:rPr>
          <w:rFonts w:hint="eastAsia" w:ascii="仿宋" w:hAnsi="仿宋" w:eastAsia="仿宋" w:cs="仿宋"/>
          <w:color w:val="auto"/>
          <w:sz w:val="24"/>
          <w:lang w:eastAsia="zh-CN"/>
        </w:rPr>
        <w:t>磋商文件</w:t>
      </w:r>
      <w:r>
        <w:rPr>
          <w:rFonts w:hint="eastAsia" w:ascii="仿宋" w:hAnsi="仿宋" w:eastAsia="仿宋" w:cs="仿宋"/>
          <w:color w:val="auto"/>
          <w:sz w:val="24"/>
        </w:rPr>
        <w:t>和合同条款。在此</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r>
        <w:rPr>
          <w:rFonts w:hint="eastAsia" w:ascii="仿宋" w:hAnsi="仿宋" w:eastAsia="仿宋" w:cs="仿宋"/>
          <w:color w:val="auto"/>
          <w:sz w:val="24"/>
          <w:lang w:eastAsia="zh-CN"/>
        </w:rPr>
        <w:t>磋商供应商</w:t>
      </w:r>
      <w:r>
        <w:rPr>
          <w:rFonts w:hint="eastAsia" w:ascii="仿宋" w:hAnsi="仿宋" w:eastAsia="仿宋" w:cs="仿宋"/>
          <w:color w:val="auto"/>
          <w:sz w:val="24"/>
        </w:rPr>
        <w:t>名称）的法人代表</w:t>
      </w:r>
      <w:r>
        <w:rPr>
          <w:rFonts w:hint="eastAsia" w:ascii="仿宋" w:hAnsi="仿宋" w:eastAsia="仿宋" w:cs="仿宋"/>
          <w:color w:val="auto"/>
          <w:sz w:val="24"/>
          <w:u w:val="single"/>
        </w:rPr>
        <w:t xml:space="preserve">              </w:t>
      </w:r>
      <w:r>
        <w:rPr>
          <w:rFonts w:hint="eastAsia" w:ascii="仿宋" w:hAnsi="仿宋" w:eastAsia="仿宋" w:cs="仿宋"/>
          <w:color w:val="auto"/>
          <w:sz w:val="24"/>
        </w:rPr>
        <w:t>（姓名）以合法地位郑重做如下承诺：一旦中标，我们将承担合同规定的全部责任和义务。如果中标后不能履行</w:t>
      </w:r>
      <w:r>
        <w:rPr>
          <w:rFonts w:hint="eastAsia" w:ascii="仿宋" w:hAnsi="仿宋" w:eastAsia="仿宋" w:cs="仿宋"/>
          <w:color w:val="auto"/>
          <w:sz w:val="24"/>
          <w:lang w:eastAsia="zh-CN"/>
        </w:rPr>
        <w:t>磋商文件</w:t>
      </w:r>
      <w:r>
        <w:rPr>
          <w:rFonts w:hint="eastAsia" w:ascii="仿宋" w:hAnsi="仿宋" w:eastAsia="仿宋" w:cs="仿宋"/>
          <w:color w:val="auto"/>
          <w:sz w:val="24"/>
        </w:rPr>
        <w:t>中合同条款规定的义务，出现如下情况：</w:t>
      </w:r>
    </w:p>
    <w:p w14:paraId="614349A9">
      <w:pPr>
        <w:tabs>
          <w:tab w:val="left" w:pos="1080"/>
        </w:tabs>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、投入的主要管理人员、机械设备数量和型号、管理及施工队伍的配置等与合同约定不符；</w:t>
      </w:r>
    </w:p>
    <w:p w14:paraId="52E9BE6F">
      <w:pPr>
        <w:tabs>
          <w:tab w:val="left" w:pos="1080"/>
        </w:tabs>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、工程质量达不到合同要求，进度严重滞后，或该合同段控制工程进度影响了整体工程进度和项目总目标的实现；</w:t>
      </w:r>
    </w:p>
    <w:p w14:paraId="433B6D83">
      <w:pPr>
        <w:tabs>
          <w:tab w:val="left" w:pos="1080"/>
        </w:tabs>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、将工程转包或将主体工程违法分包，或以劳务协作为名，将工程违法分包给不具备相应资质的施工队伍或个体承包者；</w:t>
      </w:r>
    </w:p>
    <w:p w14:paraId="784EABF8">
      <w:pPr>
        <w:tabs>
          <w:tab w:val="left" w:pos="1080"/>
        </w:tabs>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rPr>
        <w:t>、在项目建设过程中因工程管理（包括：质量、进度、安全、廉政、资金使用、文明工地）受到省级以上交通主管部门通报批评或被新闻媒体曝光；</w:t>
      </w:r>
    </w:p>
    <w:p w14:paraId="48F7096C">
      <w:pPr>
        <w:tabs>
          <w:tab w:val="left" w:pos="1080"/>
        </w:tabs>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lang w:val="en-US" w:eastAsia="zh-CN"/>
        </w:rPr>
        <w:t>5</w:t>
      </w:r>
      <w:r>
        <w:rPr>
          <w:rFonts w:hint="eastAsia" w:ascii="仿宋" w:hAnsi="仿宋" w:eastAsia="仿宋" w:cs="仿宋"/>
          <w:color w:val="auto"/>
          <w:sz w:val="24"/>
        </w:rPr>
        <w:t>、违规使用工程预付款，将建设资金从该合同段项目经理部抽走，或拖欠工程款、材料款和劳务费用。则发包方有权没收我方提交的磋商保证金，我公司还承诺，如果对发包人造成损失，接受发包人对我们所采取的如下任何处理措施：</w:t>
      </w:r>
    </w:p>
    <w:p w14:paraId="70F4F82F">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1、限期整改纠正，使工程建设满足发包人要求；</w:t>
      </w:r>
    </w:p>
    <w:p w14:paraId="6D798837">
      <w:pPr>
        <w:tabs>
          <w:tab w:val="left" w:pos="0"/>
        </w:tabs>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2、同意发包人从正常支付中扣除相应款项，直接支付所欠工程款和劳务费用，不足部分直接从履约担保中扣除；</w:t>
      </w:r>
    </w:p>
    <w:p w14:paraId="01AAE8F7">
      <w:pPr>
        <w:tabs>
          <w:tab w:val="left" w:pos="0"/>
        </w:tabs>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3、发包人有权终止承包人在本合同段的承包，或将本合同段工程中部分工作交由其他承包人或特殊分包人完成，</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r>
        <w:rPr>
          <w:rFonts w:hint="eastAsia" w:ascii="仿宋" w:hAnsi="仿宋" w:eastAsia="仿宋" w:cs="仿宋"/>
          <w:color w:val="auto"/>
          <w:sz w:val="24"/>
          <w:lang w:eastAsia="zh-CN"/>
        </w:rPr>
        <w:t>磋商供应商</w:t>
      </w:r>
      <w:r>
        <w:rPr>
          <w:rFonts w:hint="eastAsia" w:ascii="仿宋" w:hAnsi="仿宋" w:eastAsia="仿宋" w:cs="仿宋"/>
          <w:color w:val="auto"/>
          <w:sz w:val="24"/>
        </w:rPr>
        <w:t>名称）无条件按照发包人规定的期限退场或接受调遣。在不解除本合同规定的承包人和义务的同时，由此引起的责任及相关费用均由承包人承担。</w:t>
      </w:r>
    </w:p>
    <w:p w14:paraId="0FE988E4">
      <w:pPr>
        <w:tabs>
          <w:tab w:val="left" w:pos="0"/>
        </w:tabs>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4、同意承担合同段清场而引起的材料、供货、设备租用、民工工资和其他相关损失费用，否则发包人有权采取必要的手段和措施，并无条件没收履约担保。</w:t>
      </w:r>
    </w:p>
    <w:p w14:paraId="728DB3F8">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本承诺自合同签定之日起生效，在发包人向承包人颁发交工证书之日失效。</w:t>
      </w:r>
    </w:p>
    <w:p w14:paraId="25234A02">
      <w:pPr>
        <w:autoSpaceDE w:val="0"/>
        <w:autoSpaceDN w:val="0"/>
        <w:adjustRightInd w:val="0"/>
        <w:snapToGrid w:val="0"/>
        <w:spacing w:line="360" w:lineRule="auto"/>
        <w:ind w:firstLine="1446" w:firstLineChars="600"/>
        <w:jc w:val="right"/>
        <w:rPr>
          <w:rFonts w:ascii="仿宋" w:hAnsi="仿宋" w:eastAsia="仿宋" w:cs="仿宋"/>
          <w:b/>
          <w:color w:val="auto"/>
          <w:kern w:val="0"/>
          <w:sz w:val="24"/>
        </w:rPr>
      </w:pPr>
      <w:r>
        <w:rPr>
          <w:rFonts w:hint="eastAsia" w:ascii="仿宋" w:hAnsi="仿宋" w:eastAsia="仿宋" w:cs="仿宋"/>
          <w:b/>
          <w:color w:val="auto"/>
          <w:kern w:val="0"/>
          <w:sz w:val="24"/>
        </w:rPr>
        <w:t xml:space="preserve"> 供应商 ：</w:t>
      </w:r>
      <w:r>
        <w:rPr>
          <w:rFonts w:hint="eastAsia" w:ascii="仿宋" w:hAnsi="仿宋" w:eastAsia="仿宋" w:cs="仿宋"/>
          <w:b/>
          <w:color w:val="auto"/>
          <w:kern w:val="0"/>
          <w:sz w:val="24"/>
          <w:u w:val="single"/>
        </w:rPr>
        <w:t xml:space="preserve">                          </w:t>
      </w:r>
      <w:r>
        <w:rPr>
          <w:rFonts w:hint="eastAsia" w:ascii="仿宋" w:hAnsi="仿宋" w:eastAsia="仿宋" w:cs="仿宋"/>
          <w:b/>
          <w:color w:val="auto"/>
          <w:kern w:val="0"/>
          <w:sz w:val="24"/>
        </w:rPr>
        <w:t>（盖单位章）</w:t>
      </w:r>
    </w:p>
    <w:p w14:paraId="0FB85BBA">
      <w:pPr>
        <w:autoSpaceDE w:val="0"/>
        <w:autoSpaceDN w:val="0"/>
        <w:adjustRightInd w:val="0"/>
        <w:snapToGrid w:val="0"/>
        <w:spacing w:line="360" w:lineRule="auto"/>
        <w:ind w:firstLine="1446" w:firstLineChars="600"/>
        <w:jc w:val="right"/>
        <w:rPr>
          <w:rFonts w:ascii="仿宋" w:hAnsi="仿宋" w:eastAsia="仿宋" w:cs="仿宋"/>
          <w:b/>
          <w:color w:val="auto"/>
          <w:kern w:val="0"/>
          <w:sz w:val="24"/>
        </w:rPr>
      </w:pPr>
      <w:r>
        <w:rPr>
          <w:rFonts w:hint="eastAsia" w:ascii="仿宋" w:hAnsi="仿宋" w:eastAsia="仿宋" w:cs="仿宋"/>
          <w:b/>
          <w:color w:val="auto"/>
          <w:kern w:val="0"/>
          <w:sz w:val="24"/>
        </w:rPr>
        <w:t>法定代表人或其授权代理人：</w:t>
      </w:r>
      <w:r>
        <w:rPr>
          <w:rFonts w:hint="eastAsia" w:ascii="仿宋" w:hAnsi="仿宋" w:eastAsia="仿宋" w:cs="仿宋"/>
          <w:b/>
          <w:color w:val="auto"/>
          <w:kern w:val="0"/>
          <w:sz w:val="24"/>
          <w:u w:val="single"/>
        </w:rPr>
        <w:t xml:space="preserve">            </w:t>
      </w:r>
      <w:r>
        <w:rPr>
          <w:rFonts w:hint="eastAsia" w:ascii="仿宋" w:hAnsi="仿宋" w:eastAsia="仿宋" w:cs="仿宋"/>
          <w:b/>
          <w:color w:val="auto"/>
          <w:kern w:val="0"/>
          <w:sz w:val="24"/>
        </w:rPr>
        <w:t>（签字）</w:t>
      </w:r>
    </w:p>
    <w:p w14:paraId="46169C59">
      <w:pPr>
        <w:autoSpaceDE w:val="0"/>
        <w:autoSpaceDN w:val="0"/>
        <w:adjustRightInd w:val="0"/>
        <w:snapToGrid w:val="0"/>
        <w:spacing w:line="360" w:lineRule="auto"/>
        <w:ind w:firstLine="2891" w:firstLineChars="1200"/>
        <w:jc w:val="right"/>
        <w:rPr>
          <w:rFonts w:ascii="仿宋" w:hAnsi="仿宋" w:eastAsia="仿宋" w:cs="仿宋"/>
          <w:b/>
          <w:color w:val="auto"/>
          <w:kern w:val="0"/>
          <w:sz w:val="24"/>
        </w:rPr>
      </w:pPr>
      <w:r>
        <w:rPr>
          <w:rFonts w:hint="eastAsia" w:ascii="仿宋" w:hAnsi="仿宋" w:eastAsia="仿宋" w:cs="仿宋"/>
          <w:b/>
          <w:color w:val="auto"/>
          <w:kern w:val="0"/>
          <w:sz w:val="24"/>
          <w:u w:val="single"/>
        </w:rPr>
        <w:t xml:space="preserve">           </w:t>
      </w:r>
      <w:r>
        <w:rPr>
          <w:rFonts w:hint="eastAsia" w:ascii="仿宋" w:hAnsi="仿宋" w:eastAsia="仿宋" w:cs="仿宋"/>
          <w:b/>
          <w:color w:val="auto"/>
          <w:kern w:val="0"/>
          <w:sz w:val="24"/>
        </w:rPr>
        <w:t xml:space="preserve">年 </w:t>
      </w:r>
      <w:r>
        <w:rPr>
          <w:rFonts w:hint="eastAsia" w:ascii="仿宋" w:hAnsi="仿宋" w:eastAsia="仿宋" w:cs="仿宋"/>
          <w:b/>
          <w:color w:val="auto"/>
          <w:kern w:val="0"/>
          <w:sz w:val="24"/>
          <w:u w:val="single"/>
        </w:rPr>
        <w:t xml:space="preserve">         </w:t>
      </w:r>
      <w:r>
        <w:rPr>
          <w:rFonts w:hint="eastAsia" w:ascii="仿宋" w:hAnsi="仿宋" w:eastAsia="仿宋" w:cs="仿宋"/>
          <w:b/>
          <w:color w:val="auto"/>
          <w:kern w:val="0"/>
          <w:sz w:val="24"/>
        </w:rPr>
        <w:t>月</w:t>
      </w:r>
      <w:r>
        <w:rPr>
          <w:rFonts w:hint="eastAsia" w:ascii="仿宋" w:hAnsi="仿宋" w:eastAsia="仿宋" w:cs="仿宋"/>
          <w:b/>
          <w:color w:val="auto"/>
          <w:kern w:val="0"/>
          <w:sz w:val="24"/>
          <w:u w:val="single"/>
        </w:rPr>
        <w:t xml:space="preserve">      </w:t>
      </w:r>
      <w:r>
        <w:rPr>
          <w:rFonts w:hint="eastAsia" w:ascii="仿宋" w:hAnsi="仿宋" w:eastAsia="仿宋" w:cs="仿宋"/>
          <w:b/>
          <w:color w:val="auto"/>
          <w:kern w:val="0"/>
          <w:sz w:val="24"/>
        </w:rPr>
        <w:t>日</w:t>
      </w:r>
    </w:p>
    <w:p w14:paraId="419F8491">
      <w:pPr>
        <w:autoSpaceDE w:val="0"/>
        <w:autoSpaceDN w:val="0"/>
        <w:adjustRightInd w:val="0"/>
        <w:spacing w:line="360" w:lineRule="auto"/>
        <w:jc w:val="center"/>
        <w:rPr>
          <w:rFonts w:ascii="仿宋" w:hAnsi="仿宋" w:eastAsia="仿宋" w:cs="仿宋"/>
          <w:b/>
          <w:bCs/>
          <w:color w:val="auto"/>
          <w:kern w:val="0"/>
          <w:sz w:val="28"/>
          <w:szCs w:val="28"/>
          <w:lang w:val="zh-CN"/>
        </w:rPr>
      </w:pPr>
      <w:bookmarkStart w:id="491" w:name="_Toc301514206"/>
      <w:bookmarkStart w:id="492" w:name="_Toc342748438"/>
      <w:r>
        <w:rPr>
          <w:rFonts w:hint="eastAsia" w:ascii="仿宋" w:hAnsi="仿宋" w:eastAsia="仿宋" w:cs="仿宋"/>
          <w:b/>
          <w:bCs/>
          <w:color w:val="auto"/>
          <w:kern w:val="0"/>
          <w:sz w:val="28"/>
          <w:szCs w:val="28"/>
          <w:lang w:val="zh-CN"/>
        </w:rPr>
        <w:t>供应商企业关系关联承诺书</w:t>
      </w:r>
    </w:p>
    <w:p w14:paraId="48F1773D">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我单位供应商在本磋商项目中，与其它供应商负责人为同一人，有控股、管理等关联关系承诺：</w:t>
      </w:r>
    </w:p>
    <w:p w14:paraId="3CE33DD2">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1、管理关系说明：</w:t>
      </w:r>
    </w:p>
    <w:p w14:paraId="2B731E12">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我单位管理的具有独立法人的下属单位有：</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26C3755A">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我单位的上级管理单位有</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34B82192">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2、股权关系说明：</w:t>
      </w:r>
    </w:p>
    <w:p w14:paraId="6B361988">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我单位控股的单位有</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14:paraId="1998A564">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我单位被</w:t>
      </w:r>
      <w:r>
        <w:rPr>
          <w:rFonts w:hint="eastAsia" w:ascii="仿宋" w:hAnsi="仿宋" w:eastAsia="仿宋" w:cs="仿宋"/>
          <w:color w:val="auto"/>
          <w:sz w:val="24"/>
          <w:u w:val="single"/>
        </w:rPr>
        <w:t xml:space="preserve">              </w:t>
      </w:r>
      <w:r>
        <w:rPr>
          <w:rFonts w:hint="eastAsia" w:ascii="仿宋" w:hAnsi="仿宋" w:eastAsia="仿宋" w:cs="仿宋"/>
          <w:color w:val="auto"/>
          <w:sz w:val="24"/>
        </w:rPr>
        <w:t>单位控股。</w:t>
      </w:r>
    </w:p>
    <w:p w14:paraId="5381517D">
      <w:pPr>
        <w:adjustRightInd w:val="0"/>
        <w:snapToGrid w:val="0"/>
        <w:spacing w:line="360" w:lineRule="auto"/>
        <w:ind w:firstLine="480" w:firstLineChars="200"/>
        <w:rPr>
          <w:rFonts w:ascii="仿宋" w:hAnsi="仿宋" w:eastAsia="仿宋" w:cs="仿宋"/>
          <w:color w:val="auto"/>
          <w:sz w:val="24"/>
          <w:u w:val="single"/>
        </w:rPr>
      </w:pPr>
      <w:r>
        <w:rPr>
          <w:rFonts w:hint="eastAsia" w:ascii="仿宋" w:hAnsi="仿宋" w:eastAsia="仿宋" w:cs="仿宋"/>
          <w:color w:val="auto"/>
          <w:sz w:val="24"/>
        </w:rPr>
        <w:t>3、其他与本项目有关的利害关系说明：</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14:paraId="008DE111">
      <w:pPr>
        <w:adjustRightInd w:val="0"/>
        <w:snapToGrid w:val="0"/>
        <w:spacing w:line="360" w:lineRule="auto"/>
        <w:ind w:firstLine="480" w:firstLineChars="200"/>
        <w:rPr>
          <w:rFonts w:ascii="仿宋" w:hAnsi="仿宋" w:eastAsia="仿宋" w:cs="仿宋"/>
          <w:color w:val="auto"/>
          <w:sz w:val="24"/>
        </w:rPr>
      </w:pPr>
    </w:p>
    <w:p w14:paraId="749AB6A7">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我单位承诺以上说明真实有效，无虚假内容或隐瞒。</w:t>
      </w:r>
    </w:p>
    <w:p w14:paraId="3DFFF0E3">
      <w:pPr>
        <w:adjustRightInd w:val="0"/>
        <w:snapToGrid w:val="0"/>
        <w:spacing w:line="360" w:lineRule="auto"/>
        <w:ind w:firstLine="480" w:firstLineChars="200"/>
        <w:rPr>
          <w:rFonts w:ascii="仿宋" w:hAnsi="仿宋" w:eastAsia="仿宋" w:cs="仿宋"/>
          <w:color w:val="auto"/>
          <w:sz w:val="24"/>
        </w:rPr>
      </w:pPr>
    </w:p>
    <w:p w14:paraId="1150D0B9">
      <w:pPr>
        <w:adjustRightInd w:val="0"/>
        <w:snapToGrid w:val="0"/>
        <w:spacing w:line="360" w:lineRule="auto"/>
        <w:ind w:firstLine="480" w:firstLineChars="200"/>
        <w:rPr>
          <w:rFonts w:ascii="仿宋" w:hAnsi="仿宋" w:eastAsia="仿宋" w:cs="仿宋"/>
          <w:color w:val="auto"/>
          <w:sz w:val="24"/>
        </w:rPr>
      </w:pPr>
    </w:p>
    <w:p w14:paraId="5CF07AF6">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 xml:space="preserve"> 供应商                    法定代表人或授权代表</w:t>
      </w:r>
    </w:p>
    <w:p w14:paraId="0BD83756">
      <w:pPr>
        <w:adjustRightInd w:val="0"/>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（公章）：                     （签字或盖章）：</w:t>
      </w:r>
    </w:p>
    <w:p w14:paraId="0668C881">
      <w:pPr>
        <w:adjustRightInd w:val="0"/>
        <w:snapToGrid w:val="0"/>
        <w:spacing w:line="360" w:lineRule="auto"/>
        <w:ind w:firstLine="480" w:firstLineChars="200"/>
        <w:rPr>
          <w:rFonts w:ascii="仿宋" w:hAnsi="仿宋" w:eastAsia="仿宋" w:cs="仿宋"/>
          <w:color w:val="auto"/>
          <w:sz w:val="24"/>
          <w:lang w:val="zh-CN"/>
        </w:rPr>
      </w:pPr>
      <w:r>
        <w:rPr>
          <w:rFonts w:hint="eastAsia" w:ascii="仿宋" w:hAnsi="仿宋" w:eastAsia="仿宋" w:cs="仿宋"/>
          <w:color w:val="auto"/>
          <w:sz w:val="24"/>
        </w:rPr>
        <w:t xml:space="preserve">                                年    月    日</w:t>
      </w:r>
    </w:p>
    <w:p w14:paraId="226FD357">
      <w:pPr>
        <w:adjustRightInd w:val="0"/>
        <w:snapToGrid w:val="0"/>
        <w:spacing w:line="360" w:lineRule="auto"/>
        <w:ind w:firstLine="480" w:firstLineChars="200"/>
        <w:rPr>
          <w:rFonts w:ascii="仿宋" w:hAnsi="仿宋" w:eastAsia="仿宋" w:cs="仿宋"/>
          <w:color w:val="auto"/>
          <w:sz w:val="24"/>
          <w:lang w:val="zh-CN"/>
        </w:rPr>
      </w:pPr>
    </w:p>
    <w:p w14:paraId="3C2A1723">
      <w:pPr>
        <w:adjustRightInd w:val="0"/>
        <w:snapToGrid w:val="0"/>
        <w:spacing w:line="360" w:lineRule="auto"/>
        <w:ind w:firstLine="480" w:firstLineChars="200"/>
        <w:rPr>
          <w:rFonts w:ascii="仿宋" w:hAnsi="仿宋" w:eastAsia="仿宋" w:cs="仿宋"/>
          <w:color w:val="auto"/>
          <w:sz w:val="24"/>
          <w:lang w:val="zh-CN"/>
        </w:rPr>
      </w:pPr>
    </w:p>
    <w:p w14:paraId="27953A80">
      <w:pPr>
        <w:pStyle w:val="68"/>
        <w:keepNext w:val="0"/>
        <w:keepLines w:val="0"/>
        <w:pageBreakBefore w:val="0"/>
        <w:widowControl w:val="0"/>
        <w:kinsoku/>
        <w:wordWrap/>
        <w:overflowPunct/>
        <w:topLinePunct w:val="0"/>
        <w:autoSpaceDE/>
        <w:autoSpaceDN/>
        <w:bidi w:val="0"/>
        <w:adjustRightInd/>
        <w:snapToGrid/>
        <w:spacing w:line="360" w:lineRule="auto"/>
        <w:ind w:firstLine="883" w:firstLineChars="200"/>
        <w:textAlignment w:val="auto"/>
        <w:rPr>
          <w:rFonts w:hint="eastAsia" w:ascii="仿宋_GB2312" w:hAnsi="仿宋_GB2312" w:eastAsia="仿宋_GB2312" w:cs="仿宋_GB2312"/>
          <w:color w:val="auto"/>
          <w:kern w:val="0"/>
          <w:sz w:val="24"/>
          <w:lang w:val="en-US" w:eastAsia="zh-CN"/>
        </w:rPr>
      </w:pPr>
      <w:r>
        <w:rPr>
          <w:rFonts w:hint="eastAsia" w:ascii="仿宋" w:hAnsi="仿宋" w:eastAsia="仿宋" w:cs="仿宋"/>
          <w:b/>
          <w:bCs/>
          <w:color w:val="auto"/>
          <w:sz w:val="44"/>
          <w:szCs w:val="44"/>
          <w:lang w:val="zh-CN"/>
        </w:rPr>
        <w:br w:type="page"/>
      </w:r>
    </w:p>
    <w:p w14:paraId="533BE9D5">
      <w:pPr>
        <w:pStyle w:val="3"/>
        <w:tabs>
          <w:tab w:val="left" w:pos="3780"/>
        </w:tabs>
        <w:jc w:val="center"/>
        <w:rPr>
          <w:rFonts w:ascii="仿宋" w:hAnsi="仿宋" w:eastAsia="仿宋" w:cs="仿宋"/>
          <w:b/>
          <w:bCs/>
          <w:color w:val="auto"/>
          <w:kern w:val="0"/>
          <w:sz w:val="24"/>
        </w:rPr>
      </w:pPr>
      <w:bookmarkStart w:id="493" w:name="_Toc9829"/>
      <w:r>
        <w:rPr>
          <w:rFonts w:hint="eastAsia" w:ascii="仿宋" w:hAnsi="仿宋" w:eastAsia="仿宋" w:cs="仿宋"/>
          <w:b/>
          <w:bCs/>
          <w:color w:val="auto"/>
          <w:kern w:val="0"/>
          <w:szCs w:val="28"/>
          <w:lang w:eastAsia="zh-CN"/>
        </w:rPr>
        <w:t>六</w:t>
      </w:r>
      <w:r>
        <w:rPr>
          <w:rFonts w:hint="eastAsia" w:ascii="仿宋" w:hAnsi="仿宋" w:eastAsia="仿宋" w:cs="仿宋"/>
          <w:b/>
          <w:bCs/>
          <w:color w:val="auto"/>
          <w:kern w:val="0"/>
          <w:szCs w:val="28"/>
        </w:rPr>
        <w:t>、近年完成的类似工程业绩情况</w:t>
      </w:r>
      <w:bookmarkEnd w:id="493"/>
    </w:p>
    <w:tbl>
      <w:tblPr>
        <w:tblStyle w:val="50"/>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68"/>
        <w:gridCol w:w="1695"/>
        <w:gridCol w:w="1285"/>
        <w:gridCol w:w="1311"/>
        <w:gridCol w:w="1307"/>
        <w:gridCol w:w="1321"/>
      </w:tblGrid>
      <w:tr w14:paraId="0F0F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14:paraId="7B149AD1">
            <w:pPr>
              <w:tabs>
                <w:tab w:val="left" w:pos="1200"/>
                <w:tab w:val="center" w:pos="4592"/>
              </w:tabs>
              <w:spacing w:line="500"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1668" w:type="dxa"/>
            <w:vAlign w:val="center"/>
          </w:tcPr>
          <w:p w14:paraId="399F3058">
            <w:pPr>
              <w:tabs>
                <w:tab w:val="left" w:pos="1200"/>
                <w:tab w:val="center" w:pos="4592"/>
              </w:tabs>
              <w:spacing w:line="500" w:lineRule="exact"/>
              <w:jc w:val="center"/>
              <w:rPr>
                <w:rFonts w:ascii="仿宋" w:hAnsi="仿宋" w:eastAsia="仿宋" w:cs="仿宋"/>
                <w:color w:val="auto"/>
                <w:sz w:val="24"/>
              </w:rPr>
            </w:pPr>
            <w:r>
              <w:rPr>
                <w:rFonts w:hint="eastAsia" w:ascii="仿宋" w:hAnsi="仿宋" w:eastAsia="仿宋" w:cs="仿宋"/>
                <w:color w:val="auto"/>
                <w:sz w:val="24"/>
              </w:rPr>
              <w:t>合同名称</w:t>
            </w:r>
          </w:p>
        </w:tc>
        <w:tc>
          <w:tcPr>
            <w:tcW w:w="1695" w:type="dxa"/>
            <w:vAlign w:val="center"/>
          </w:tcPr>
          <w:p w14:paraId="578C1A57">
            <w:pPr>
              <w:tabs>
                <w:tab w:val="left" w:pos="1200"/>
                <w:tab w:val="center" w:pos="4592"/>
              </w:tabs>
              <w:spacing w:line="500" w:lineRule="exact"/>
              <w:jc w:val="center"/>
              <w:rPr>
                <w:rFonts w:ascii="仿宋" w:hAnsi="仿宋" w:eastAsia="仿宋" w:cs="仿宋"/>
                <w:color w:val="auto"/>
                <w:sz w:val="24"/>
              </w:rPr>
            </w:pPr>
            <w:r>
              <w:rPr>
                <w:rFonts w:hint="eastAsia" w:ascii="仿宋" w:hAnsi="仿宋" w:eastAsia="仿宋" w:cs="仿宋"/>
                <w:color w:val="auto"/>
                <w:sz w:val="24"/>
              </w:rPr>
              <w:t>采购内容</w:t>
            </w:r>
          </w:p>
        </w:tc>
        <w:tc>
          <w:tcPr>
            <w:tcW w:w="1285" w:type="dxa"/>
            <w:vAlign w:val="center"/>
          </w:tcPr>
          <w:p w14:paraId="3F499282">
            <w:pPr>
              <w:tabs>
                <w:tab w:val="left" w:pos="1200"/>
                <w:tab w:val="center" w:pos="4592"/>
              </w:tabs>
              <w:spacing w:line="500" w:lineRule="exact"/>
              <w:jc w:val="center"/>
              <w:rPr>
                <w:rFonts w:ascii="仿宋" w:hAnsi="仿宋" w:eastAsia="仿宋" w:cs="仿宋"/>
                <w:color w:val="auto"/>
                <w:sz w:val="24"/>
              </w:rPr>
            </w:pPr>
            <w:r>
              <w:rPr>
                <w:rFonts w:hint="eastAsia" w:ascii="仿宋" w:hAnsi="仿宋" w:eastAsia="仿宋" w:cs="仿宋"/>
                <w:color w:val="auto"/>
                <w:sz w:val="24"/>
              </w:rPr>
              <w:t>时间</w:t>
            </w:r>
          </w:p>
        </w:tc>
        <w:tc>
          <w:tcPr>
            <w:tcW w:w="1311" w:type="dxa"/>
            <w:vAlign w:val="center"/>
          </w:tcPr>
          <w:p w14:paraId="308E3B70">
            <w:pPr>
              <w:tabs>
                <w:tab w:val="left" w:pos="1200"/>
                <w:tab w:val="center" w:pos="4592"/>
              </w:tabs>
              <w:spacing w:line="500" w:lineRule="exact"/>
              <w:jc w:val="center"/>
              <w:rPr>
                <w:rFonts w:ascii="仿宋" w:hAnsi="仿宋" w:eastAsia="仿宋" w:cs="仿宋"/>
                <w:color w:val="auto"/>
                <w:sz w:val="24"/>
              </w:rPr>
            </w:pPr>
            <w:r>
              <w:rPr>
                <w:rFonts w:hint="eastAsia" w:ascii="仿宋" w:hAnsi="仿宋" w:eastAsia="仿宋" w:cs="仿宋"/>
                <w:color w:val="auto"/>
                <w:sz w:val="24"/>
              </w:rPr>
              <w:t>采购人</w:t>
            </w:r>
          </w:p>
        </w:tc>
        <w:tc>
          <w:tcPr>
            <w:tcW w:w="1307" w:type="dxa"/>
            <w:vAlign w:val="center"/>
          </w:tcPr>
          <w:p w14:paraId="6DC46581">
            <w:pPr>
              <w:tabs>
                <w:tab w:val="left" w:pos="1200"/>
                <w:tab w:val="center" w:pos="4592"/>
              </w:tabs>
              <w:spacing w:line="500" w:lineRule="exact"/>
              <w:jc w:val="center"/>
              <w:rPr>
                <w:rFonts w:ascii="仿宋" w:hAnsi="仿宋" w:eastAsia="仿宋" w:cs="仿宋"/>
                <w:color w:val="auto"/>
                <w:sz w:val="24"/>
              </w:rPr>
            </w:pPr>
            <w:r>
              <w:rPr>
                <w:rFonts w:hint="eastAsia" w:ascii="仿宋" w:hAnsi="仿宋" w:eastAsia="仿宋" w:cs="仿宋"/>
                <w:color w:val="auto"/>
                <w:sz w:val="24"/>
              </w:rPr>
              <w:t>合同金额</w:t>
            </w:r>
          </w:p>
        </w:tc>
        <w:tc>
          <w:tcPr>
            <w:tcW w:w="1321" w:type="dxa"/>
            <w:vAlign w:val="center"/>
          </w:tcPr>
          <w:p w14:paraId="7D9A69DD">
            <w:pPr>
              <w:tabs>
                <w:tab w:val="left" w:pos="1200"/>
                <w:tab w:val="center" w:pos="4592"/>
              </w:tabs>
              <w:spacing w:line="500" w:lineRule="exact"/>
              <w:jc w:val="center"/>
              <w:rPr>
                <w:rFonts w:ascii="仿宋" w:hAnsi="仿宋" w:eastAsia="仿宋" w:cs="仿宋"/>
                <w:color w:val="auto"/>
                <w:sz w:val="24"/>
              </w:rPr>
            </w:pPr>
            <w:r>
              <w:rPr>
                <w:rFonts w:hint="eastAsia" w:ascii="仿宋" w:hAnsi="仿宋" w:eastAsia="仿宋" w:cs="仿宋"/>
                <w:color w:val="auto"/>
                <w:sz w:val="24"/>
              </w:rPr>
              <w:t>备注</w:t>
            </w:r>
          </w:p>
        </w:tc>
      </w:tr>
      <w:tr w14:paraId="3A59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065444BF">
            <w:pPr>
              <w:tabs>
                <w:tab w:val="left" w:pos="1200"/>
                <w:tab w:val="center" w:pos="4592"/>
              </w:tabs>
              <w:spacing w:line="500" w:lineRule="exact"/>
              <w:jc w:val="center"/>
              <w:rPr>
                <w:rFonts w:ascii="仿宋" w:hAnsi="仿宋" w:eastAsia="仿宋" w:cs="仿宋"/>
                <w:color w:val="auto"/>
                <w:sz w:val="24"/>
              </w:rPr>
            </w:pPr>
          </w:p>
        </w:tc>
        <w:tc>
          <w:tcPr>
            <w:tcW w:w="1668" w:type="dxa"/>
            <w:vAlign w:val="center"/>
          </w:tcPr>
          <w:p w14:paraId="5057A362">
            <w:pPr>
              <w:tabs>
                <w:tab w:val="left" w:pos="1200"/>
                <w:tab w:val="center" w:pos="4592"/>
              </w:tabs>
              <w:spacing w:line="500" w:lineRule="exact"/>
              <w:jc w:val="center"/>
              <w:rPr>
                <w:rFonts w:ascii="仿宋" w:hAnsi="仿宋" w:eastAsia="仿宋" w:cs="仿宋"/>
                <w:color w:val="auto"/>
                <w:sz w:val="24"/>
              </w:rPr>
            </w:pPr>
          </w:p>
        </w:tc>
        <w:tc>
          <w:tcPr>
            <w:tcW w:w="1695" w:type="dxa"/>
            <w:vAlign w:val="center"/>
          </w:tcPr>
          <w:p w14:paraId="5EC27314">
            <w:pPr>
              <w:tabs>
                <w:tab w:val="left" w:pos="1200"/>
                <w:tab w:val="center" w:pos="4592"/>
              </w:tabs>
              <w:spacing w:line="500" w:lineRule="exact"/>
              <w:jc w:val="center"/>
              <w:rPr>
                <w:rFonts w:ascii="仿宋" w:hAnsi="仿宋" w:eastAsia="仿宋" w:cs="仿宋"/>
                <w:color w:val="auto"/>
                <w:sz w:val="24"/>
              </w:rPr>
            </w:pPr>
          </w:p>
        </w:tc>
        <w:tc>
          <w:tcPr>
            <w:tcW w:w="1285" w:type="dxa"/>
            <w:vAlign w:val="center"/>
          </w:tcPr>
          <w:p w14:paraId="1B2BE36C">
            <w:pPr>
              <w:tabs>
                <w:tab w:val="left" w:pos="1200"/>
                <w:tab w:val="center" w:pos="4592"/>
              </w:tabs>
              <w:spacing w:line="500" w:lineRule="exact"/>
              <w:jc w:val="center"/>
              <w:rPr>
                <w:rFonts w:ascii="仿宋" w:hAnsi="仿宋" w:eastAsia="仿宋" w:cs="仿宋"/>
                <w:color w:val="auto"/>
                <w:sz w:val="24"/>
              </w:rPr>
            </w:pPr>
          </w:p>
        </w:tc>
        <w:tc>
          <w:tcPr>
            <w:tcW w:w="1311" w:type="dxa"/>
            <w:vAlign w:val="center"/>
          </w:tcPr>
          <w:p w14:paraId="631CEA39">
            <w:pPr>
              <w:tabs>
                <w:tab w:val="left" w:pos="1200"/>
                <w:tab w:val="center" w:pos="4592"/>
              </w:tabs>
              <w:spacing w:line="500" w:lineRule="exact"/>
              <w:jc w:val="center"/>
              <w:rPr>
                <w:rFonts w:ascii="仿宋" w:hAnsi="仿宋" w:eastAsia="仿宋" w:cs="仿宋"/>
                <w:color w:val="auto"/>
                <w:sz w:val="24"/>
              </w:rPr>
            </w:pPr>
          </w:p>
        </w:tc>
        <w:tc>
          <w:tcPr>
            <w:tcW w:w="1307" w:type="dxa"/>
            <w:vAlign w:val="center"/>
          </w:tcPr>
          <w:p w14:paraId="14D46665">
            <w:pPr>
              <w:tabs>
                <w:tab w:val="left" w:pos="1200"/>
                <w:tab w:val="center" w:pos="4592"/>
              </w:tabs>
              <w:spacing w:line="500" w:lineRule="exact"/>
              <w:jc w:val="center"/>
              <w:rPr>
                <w:rFonts w:ascii="仿宋" w:hAnsi="仿宋" w:eastAsia="仿宋" w:cs="仿宋"/>
                <w:color w:val="auto"/>
                <w:sz w:val="24"/>
              </w:rPr>
            </w:pPr>
          </w:p>
        </w:tc>
        <w:tc>
          <w:tcPr>
            <w:tcW w:w="1321" w:type="dxa"/>
            <w:vAlign w:val="center"/>
          </w:tcPr>
          <w:p w14:paraId="68E689E7">
            <w:pPr>
              <w:tabs>
                <w:tab w:val="left" w:pos="1200"/>
                <w:tab w:val="center" w:pos="4592"/>
              </w:tabs>
              <w:spacing w:line="500" w:lineRule="exact"/>
              <w:jc w:val="center"/>
              <w:rPr>
                <w:rFonts w:ascii="仿宋" w:hAnsi="仿宋" w:eastAsia="仿宋" w:cs="仿宋"/>
                <w:color w:val="auto"/>
                <w:sz w:val="24"/>
              </w:rPr>
            </w:pPr>
          </w:p>
        </w:tc>
      </w:tr>
      <w:tr w14:paraId="4CA7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53F07044">
            <w:pPr>
              <w:tabs>
                <w:tab w:val="left" w:pos="1200"/>
                <w:tab w:val="center" w:pos="4592"/>
              </w:tabs>
              <w:spacing w:line="500" w:lineRule="exact"/>
              <w:jc w:val="center"/>
              <w:rPr>
                <w:rFonts w:ascii="仿宋" w:hAnsi="仿宋" w:eastAsia="仿宋" w:cs="仿宋"/>
                <w:color w:val="auto"/>
                <w:sz w:val="24"/>
              </w:rPr>
            </w:pPr>
          </w:p>
        </w:tc>
        <w:tc>
          <w:tcPr>
            <w:tcW w:w="1668" w:type="dxa"/>
            <w:vAlign w:val="center"/>
          </w:tcPr>
          <w:p w14:paraId="4526DFCD">
            <w:pPr>
              <w:tabs>
                <w:tab w:val="left" w:pos="1200"/>
                <w:tab w:val="center" w:pos="4592"/>
              </w:tabs>
              <w:spacing w:line="500" w:lineRule="exact"/>
              <w:jc w:val="center"/>
              <w:rPr>
                <w:rFonts w:ascii="仿宋" w:hAnsi="仿宋" w:eastAsia="仿宋" w:cs="仿宋"/>
                <w:color w:val="auto"/>
                <w:sz w:val="24"/>
              </w:rPr>
            </w:pPr>
          </w:p>
        </w:tc>
        <w:tc>
          <w:tcPr>
            <w:tcW w:w="1695" w:type="dxa"/>
            <w:vAlign w:val="center"/>
          </w:tcPr>
          <w:p w14:paraId="00F0F214">
            <w:pPr>
              <w:tabs>
                <w:tab w:val="left" w:pos="1200"/>
                <w:tab w:val="center" w:pos="4592"/>
              </w:tabs>
              <w:spacing w:line="500" w:lineRule="exact"/>
              <w:jc w:val="center"/>
              <w:rPr>
                <w:rFonts w:ascii="仿宋" w:hAnsi="仿宋" w:eastAsia="仿宋" w:cs="仿宋"/>
                <w:color w:val="auto"/>
                <w:sz w:val="24"/>
              </w:rPr>
            </w:pPr>
          </w:p>
        </w:tc>
        <w:tc>
          <w:tcPr>
            <w:tcW w:w="1285" w:type="dxa"/>
            <w:vAlign w:val="center"/>
          </w:tcPr>
          <w:p w14:paraId="6021DDD6">
            <w:pPr>
              <w:tabs>
                <w:tab w:val="left" w:pos="1200"/>
                <w:tab w:val="center" w:pos="4592"/>
              </w:tabs>
              <w:spacing w:line="500" w:lineRule="exact"/>
              <w:jc w:val="center"/>
              <w:rPr>
                <w:rFonts w:ascii="仿宋" w:hAnsi="仿宋" w:eastAsia="仿宋" w:cs="仿宋"/>
                <w:color w:val="auto"/>
                <w:sz w:val="24"/>
              </w:rPr>
            </w:pPr>
          </w:p>
        </w:tc>
        <w:tc>
          <w:tcPr>
            <w:tcW w:w="1311" w:type="dxa"/>
            <w:vAlign w:val="center"/>
          </w:tcPr>
          <w:p w14:paraId="4065A2CA">
            <w:pPr>
              <w:tabs>
                <w:tab w:val="left" w:pos="1200"/>
                <w:tab w:val="center" w:pos="4592"/>
              </w:tabs>
              <w:spacing w:line="500" w:lineRule="exact"/>
              <w:jc w:val="center"/>
              <w:rPr>
                <w:rFonts w:ascii="仿宋" w:hAnsi="仿宋" w:eastAsia="仿宋" w:cs="仿宋"/>
                <w:color w:val="auto"/>
                <w:sz w:val="24"/>
              </w:rPr>
            </w:pPr>
          </w:p>
        </w:tc>
        <w:tc>
          <w:tcPr>
            <w:tcW w:w="1307" w:type="dxa"/>
            <w:vAlign w:val="center"/>
          </w:tcPr>
          <w:p w14:paraId="0F479CF7">
            <w:pPr>
              <w:tabs>
                <w:tab w:val="left" w:pos="1200"/>
                <w:tab w:val="center" w:pos="4592"/>
              </w:tabs>
              <w:spacing w:line="500" w:lineRule="exact"/>
              <w:jc w:val="center"/>
              <w:rPr>
                <w:rFonts w:ascii="仿宋" w:hAnsi="仿宋" w:eastAsia="仿宋" w:cs="仿宋"/>
                <w:color w:val="auto"/>
                <w:sz w:val="24"/>
              </w:rPr>
            </w:pPr>
          </w:p>
        </w:tc>
        <w:tc>
          <w:tcPr>
            <w:tcW w:w="1321" w:type="dxa"/>
            <w:vAlign w:val="center"/>
          </w:tcPr>
          <w:p w14:paraId="2F3FE9D7">
            <w:pPr>
              <w:tabs>
                <w:tab w:val="left" w:pos="1200"/>
                <w:tab w:val="center" w:pos="4592"/>
              </w:tabs>
              <w:spacing w:line="500" w:lineRule="exact"/>
              <w:jc w:val="center"/>
              <w:rPr>
                <w:rFonts w:ascii="仿宋" w:hAnsi="仿宋" w:eastAsia="仿宋" w:cs="仿宋"/>
                <w:color w:val="auto"/>
                <w:sz w:val="24"/>
              </w:rPr>
            </w:pPr>
          </w:p>
        </w:tc>
      </w:tr>
      <w:tr w14:paraId="52D2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2CEDB2FD">
            <w:pPr>
              <w:tabs>
                <w:tab w:val="left" w:pos="1200"/>
                <w:tab w:val="center" w:pos="4592"/>
              </w:tabs>
              <w:spacing w:line="500" w:lineRule="exact"/>
              <w:jc w:val="center"/>
              <w:rPr>
                <w:rFonts w:ascii="仿宋" w:hAnsi="仿宋" w:eastAsia="仿宋" w:cs="仿宋"/>
                <w:color w:val="auto"/>
                <w:sz w:val="24"/>
              </w:rPr>
            </w:pPr>
          </w:p>
        </w:tc>
        <w:tc>
          <w:tcPr>
            <w:tcW w:w="1668" w:type="dxa"/>
            <w:vAlign w:val="center"/>
          </w:tcPr>
          <w:p w14:paraId="232E7A69">
            <w:pPr>
              <w:tabs>
                <w:tab w:val="left" w:pos="1200"/>
                <w:tab w:val="center" w:pos="4592"/>
              </w:tabs>
              <w:spacing w:line="500" w:lineRule="exact"/>
              <w:jc w:val="center"/>
              <w:rPr>
                <w:rFonts w:ascii="仿宋" w:hAnsi="仿宋" w:eastAsia="仿宋" w:cs="仿宋"/>
                <w:color w:val="auto"/>
                <w:sz w:val="24"/>
              </w:rPr>
            </w:pPr>
          </w:p>
        </w:tc>
        <w:tc>
          <w:tcPr>
            <w:tcW w:w="1695" w:type="dxa"/>
            <w:vAlign w:val="center"/>
          </w:tcPr>
          <w:p w14:paraId="3A51D40E">
            <w:pPr>
              <w:tabs>
                <w:tab w:val="left" w:pos="1200"/>
                <w:tab w:val="center" w:pos="4592"/>
              </w:tabs>
              <w:spacing w:line="500" w:lineRule="exact"/>
              <w:jc w:val="center"/>
              <w:rPr>
                <w:rFonts w:ascii="仿宋" w:hAnsi="仿宋" w:eastAsia="仿宋" w:cs="仿宋"/>
                <w:color w:val="auto"/>
                <w:sz w:val="24"/>
              </w:rPr>
            </w:pPr>
          </w:p>
        </w:tc>
        <w:tc>
          <w:tcPr>
            <w:tcW w:w="1285" w:type="dxa"/>
            <w:vAlign w:val="center"/>
          </w:tcPr>
          <w:p w14:paraId="7CB8D3ED">
            <w:pPr>
              <w:tabs>
                <w:tab w:val="left" w:pos="1200"/>
                <w:tab w:val="center" w:pos="4592"/>
              </w:tabs>
              <w:spacing w:line="500" w:lineRule="exact"/>
              <w:jc w:val="center"/>
              <w:rPr>
                <w:rFonts w:ascii="仿宋" w:hAnsi="仿宋" w:eastAsia="仿宋" w:cs="仿宋"/>
                <w:color w:val="auto"/>
                <w:sz w:val="24"/>
              </w:rPr>
            </w:pPr>
          </w:p>
        </w:tc>
        <w:tc>
          <w:tcPr>
            <w:tcW w:w="1311" w:type="dxa"/>
            <w:vAlign w:val="center"/>
          </w:tcPr>
          <w:p w14:paraId="1445E5D8">
            <w:pPr>
              <w:tabs>
                <w:tab w:val="left" w:pos="1200"/>
                <w:tab w:val="center" w:pos="4592"/>
              </w:tabs>
              <w:spacing w:line="500" w:lineRule="exact"/>
              <w:jc w:val="center"/>
              <w:rPr>
                <w:rFonts w:ascii="仿宋" w:hAnsi="仿宋" w:eastAsia="仿宋" w:cs="仿宋"/>
                <w:color w:val="auto"/>
                <w:sz w:val="24"/>
              </w:rPr>
            </w:pPr>
          </w:p>
        </w:tc>
        <w:tc>
          <w:tcPr>
            <w:tcW w:w="1307" w:type="dxa"/>
            <w:vAlign w:val="center"/>
          </w:tcPr>
          <w:p w14:paraId="00EDF18E">
            <w:pPr>
              <w:tabs>
                <w:tab w:val="left" w:pos="1200"/>
                <w:tab w:val="center" w:pos="4592"/>
              </w:tabs>
              <w:spacing w:line="500" w:lineRule="exact"/>
              <w:jc w:val="center"/>
              <w:rPr>
                <w:rFonts w:ascii="仿宋" w:hAnsi="仿宋" w:eastAsia="仿宋" w:cs="仿宋"/>
                <w:color w:val="auto"/>
                <w:sz w:val="24"/>
              </w:rPr>
            </w:pPr>
          </w:p>
        </w:tc>
        <w:tc>
          <w:tcPr>
            <w:tcW w:w="1321" w:type="dxa"/>
            <w:vAlign w:val="center"/>
          </w:tcPr>
          <w:p w14:paraId="071122F0">
            <w:pPr>
              <w:tabs>
                <w:tab w:val="left" w:pos="1200"/>
                <w:tab w:val="center" w:pos="4592"/>
              </w:tabs>
              <w:spacing w:line="500" w:lineRule="exact"/>
              <w:jc w:val="center"/>
              <w:rPr>
                <w:rFonts w:ascii="仿宋" w:hAnsi="仿宋" w:eastAsia="仿宋" w:cs="仿宋"/>
                <w:color w:val="auto"/>
                <w:sz w:val="24"/>
              </w:rPr>
            </w:pPr>
          </w:p>
        </w:tc>
      </w:tr>
      <w:tr w14:paraId="2F6B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2FA74876">
            <w:pPr>
              <w:tabs>
                <w:tab w:val="left" w:pos="1200"/>
                <w:tab w:val="center" w:pos="4592"/>
              </w:tabs>
              <w:spacing w:line="500" w:lineRule="exact"/>
              <w:jc w:val="center"/>
              <w:rPr>
                <w:rFonts w:ascii="仿宋" w:hAnsi="仿宋" w:eastAsia="仿宋" w:cs="仿宋"/>
                <w:color w:val="auto"/>
                <w:sz w:val="24"/>
              </w:rPr>
            </w:pPr>
          </w:p>
        </w:tc>
        <w:tc>
          <w:tcPr>
            <w:tcW w:w="1668" w:type="dxa"/>
            <w:vAlign w:val="center"/>
          </w:tcPr>
          <w:p w14:paraId="3AFC3147">
            <w:pPr>
              <w:tabs>
                <w:tab w:val="left" w:pos="1200"/>
                <w:tab w:val="center" w:pos="4592"/>
              </w:tabs>
              <w:spacing w:line="500" w:lineRule="exact"/>
              <w:jc w:val="center"/>
              <w:rPr>
                <w:rFonts w:ascii="仿宋" w:hAnsi="仿宋" w:eastAsia="仿宋" w:cs="仿宋"/>
                <w:color w:val="auto"/>
                <w:sz w:val="24"/>
              </w:rPr>
            </w:pPr>
          </w:p>
        </w:tc>
        <w:tc>
          <w:tcPr>
            <w:tcW w:w="1695" w:type="dxa"/>
            <w:vAlign w:val="center"/>
          </w:tcPr>
          <w:p w14:paraId="2212B5AB">
            <w:pPr>
              <w:tabs>
                <w:tab w:val="left" w:pos="1200"/>
                <w:tab w:val="center" w:pos="4592"/>
              </w:tabs>
              <w:spacing w:line="500" w:lineRule="exact"/>
              <w:jc w:val="center"/>
              <w:rPr>
                <w:rFonts w:ascii="仿宋" w:hAnsi="仿宋" w:eastAsia="仿宋" w:cs="仿宋"/>
                <w:color w:val="auto"/>
                <w:sz w:val="24"/>
              </w:rPr>
            </w:pPr>
          </w:p>
        </w:tc>
        <w:tc>
          <w:tcPr>
            <w:tcW w:w="1285" w:type="dxa"/>
            <w:vAlign w:val="center"/>
          </w:tcPr>
          <w:p w14:paraId="68D8FAD8">
            <w:pPr>
              <w:tabs>
                <w:tab w:val="left" w:pos="1200"/>
                <w:tab w:val="center" w:pos="4592"/>
              </w:tabs>
              <w:spacing w:line="500" w:lineRule="exact"/>
              <w:jc w:val="center"/>
              <w:rPr>
                <w:rFonts w:ascii="仿宋" w:hAnsi="仿宋" w:eastAsia="仿宋" w:cs="仿宋"/>
                <w:color w:val="auto"/>
                <w:sz w:val="24"/>
              </w:rPr>
            </w:pPr>
          </w:p>
        </w:tc>
        <w:tc>
          <w:tcPr>
            <w:tcW w:w="1311" w:type="dxa"/>
            <w:vAlign w:val="center"/>
          </w:tcPr>
          <w:p w14:paraId="69C11E1E">
            <w:pPr>
              <w:tabs>
                <w:tab w:val="left" w:pos="1200"/>
                <w:tab w:val="center" w:pos="4592"/>
              </w:tabs>
              <w:spacing w:line="500" w:lineRule="exact"/>
              <w:jc w:val="center"/>
              <w:rPr>
                <w:rFonts w:ascii="仿宋" w:hAnsi="仿宋" w:eastAsia="仿宋" w:cs="仿宋"/>
                <w:color w:val="auto"/>
                <w:sz w:val="24"/>
              </w:rPr>
            </w:pPr>
          </w:p>
        </w:tc>
        <w:tc>
          <w:tcPr>
            <w:tcW w:w="1307" w:type="dxa"/>
            <w:vAlign w:val="center"/>
          </w:tcPr>
          <w:p w14:paraId="602C743B">
            <w:pPr>
              <w:tabs>
                <w:tab w:val="left" w:pos="1200"/>
                <w:tab w:val="center" w:pos="4592"/>
              </w:tabs>
              <w:spacing w:line="500" w:lineRule="exact"/>
              <w:jc w:val="center"/>
              <w:rPr>
                <w:rFonts w:ascii="仿宋" w:hAnsi="仿宋" w:eastAsia="仿宋" w:cs="仿宋"/>
                <w:color w:val="auto"/>
                <w:sz w:val="24"/>
              </w:rPr>
            </w:pPr>
          </w:p>
        </w:tc>
        <w:tc>
          <w:tcPr>
            <w:tcW w:w="1321" w:type="dxa"/>
            <w:vAlign w:val="center"/>
          </w:tcPr>
          <w:p w14:paraId="6F6CA57D">
            <w:pPr>
              <w:tabs>
                <w:tab w:val="left" w:pos="1200"/>
                <w:tab w:val="center" w:pos="4592"/>
              </w:tabs>
              <w:spacing w:line="500" w:lineRule="exact"/>
              <w:jc w:val="center"/>
              <w:rPr>
                <w:rFonts w:ascii="仿宋" w:hAnsi="仿宋" w:eastAsia="仿宋" w:cs="仿宋"/>
                <w:color w:val="auto"/>
                <w:sz w:val="24"/>
              </w:rPr>
            </w:pPr>
          </w:p>
        </w:tc>
      </w:tr>
      <w:tr w14:paraId="70A3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18708DB1">
            <w:pPr>
              <w:tabs>
                <w:tab w:val="left" w:pos="1200"/>
                <w:tab w:val="center" w:pos="4592"/>
              </w:tabs>
              <w:spacing w:line="500" w:lineRule="exact"/>
              <w:jc w:val="center"/>
              <w:rPr>
                <w:rFonts w:ascii="仿宋" w:hAnsi="仿宋" w:eastAsia="仿宋" w:cs="仿宋"/>
                <w:color w:val="auto"/>
                <w:sz w:val="24"/>
              </w:rPr>
            </w:pPr>
          </w:p>
        </w:tc>
        <w:tc>
          <w:tcPr>
            <w:tcW w:w="1668" w:type="dxa"/>
            <w:vAlign w:val="center"/>
          </w:tcPr>
          <w:p w14:paraId="03EF684C">
            <w:pPr>
              <w:tabs>
                <w:tab w:val="left" w:pos="1200"/>
                <w:tab w:val="center" w:pos="4592"/>
              </w:tabs>
              <w:spacing w:line="500" w:lineRule="exact"/>
              <w:jc w:val="center"/>
              <w:rPr>
                <w:rFonts w:ascii="仿宋" w:hAnsi="仿宋" w:eastAsia="仿宋" w:cs="仿宋"/>
                <w:color w:val="auto"/>
                <w:sz w:val="24"/>
              </w:rPr>
            </w:pPr>
          </w:p>
        </w:tc>
        <w:tc>
          <w:tcPr>
            <w:tcW w:w="1695" w:type="dxa"/>
            <w:vAlign w:val="center"/>
          </w:tcPr>
          <w:p w14:paraId="662D86F6">
            <w:pPr>
              <w:tabs>
                <w:tab w:val="left" w:pos="1200"/>
                <w:tab w:val="center" w:pos="4592"/>
              </w:tabs>
              <w:spacing w:line="500" w:lineRule="exact"/>
              <w:jc w:val="center"/>
              <w:rPr>
                <w:rFonts w:ascii="仿宋" w:hAnsi="仿宋" w:eastAsia="仿宋" w:cs="仿宋"/>
                <w:color w:val="auto"/>
                <w:sz w:val="24"/>
              </w:rPr>
            </w:pPr>
          </w:p>
        </w:tc>
        <w:tc>
          <w:tcPr>
            <w:tcW w:w="1285" w:type="dxa"/>
            <w:vAlign w:val="center"/>
          </w:tcPr>
          <w:p w14:paraId="4EFB912D">
            <w:pPr>
              <w:tabs>
                <w:tab w:val="left" w:pos="1200"/>
                <w:tab w:val="center" w:pos="4592"/>
              </w:tabs>
              <w:spacing w:line="500" w:lineRule="exact"/>
              <w:jc w:val="center"/>
              <w:rPr>
                <w:rFonts w:ascii="仿宋" w:hAnsi="仿宋" w:eastAsia="仿宋" w:cs="仿宋"/>
                <w:color w:val="auto"/>
                <w:sz w:val="24"/>
              </w:rPr>
            </w:pPr>
          </w:p>
        </w:tc>
        <w:tc>
          <w:tcPr>
            <w:tcW w:w="1311" w:type="dxa"/>
            <w:vAlign w:val="center"/>
          </w:tcPr>
          <w:p w14:paraId="1AE29662">
            <w:pPr>
              <w:tabs>
                <w:tab w:val="left" w:pos="1200"/>
                <w:tab w:val="center" w:pos="4592"/>
              </w:tabs>
              <w:spacing w:line="500" w:lineRule="exact"/>
              <w:jc w:val="center"/>
              <w:rPr>
                <w:rFonts w:ascii="仿宋" w:hAnsi="仿宋" w:eastAsia="仿宋" w:cs="仿宋"/>
                <w:color w:val="auto"/>
                <w:sz w:val="24"/>
              </w:rPr>
            </w:pPr>
          </w:p>
        </w:tc>
        <w:tc>
          <w:tcPr>
            <w:tcW w:w="1307" w:type="dxa"/>
            <w:vAlign w:val="center"/>
          </w:tcPr>
          <w:p w14:paraId="06B77BEB">
            <w:pPr>
              <w:tabs>
                <w:tab w:val="left" w:pos="1200"/>
                <w:tab w:val="center" w:pos="4592"/>
              </w:tabs>
              <w:spacing w:line="500" w:lineRule="exact"/>
              <w:jc w:val="center"/>
              <w:rPr>
                <w:rFonts w:ascii="仿宋" w:hAnsi="仿宋" w:eastAsia="仿宋" w:cs="仿宋"/>
                <w:color w:val="auto"/>
                <w:sz w:val="24"/>
              </w:rPr>
            </w:pPr>
          </w:p>
        </w:tc>
        <w:tc>
          <w:tcPr>
            <w:tcW w:w="1321" w:type="dxa"/>
            <w:vAlign w:val="center"/>
          </w:tcPr>
          <w:p w14:paraId="09706873">
            <w:pPr>
              <w:tabs>
                <w:tab w:val="left" w:pos="1200"/>
                <w:tab w:val="center" w:pos="4592"/>
              </w:tabs>
              <w:spacing w:line="500" w:lineRule="exact"/>
              <w:jc w:val="center"/>
              <w:rPr>
                <w:rFonts w:ascii="仿宋" w:hAnsi="仿宋" w:eastAsia="仿宋" w:cs="仿宋"/>
                <w:color w:val="auto"/>
                <w:sz w:val="24"/>
              </w:rPr>
            </w:pPr>
          </w:p>
        </w:tc>
      </w:tr>
      <w:tr w14:paraId="099B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5364068B">
            <w:pPr>
              <w:tabs>
                <w:tab w:val="left" w:pos="1200"/>
                <w:tab w:val="center" w:pos="4592"/>
              </w:tabs>
              <w:spacing w:line="500" w:lineRule="exact"/>
              <w:jc w:val="center"/>
              <w:rPr>
                <w:rFonts w:ascii="仿宋" w:hAnsi="仿宋" w:eastAsia="仿宋" w:cs="仿宋"/>
                <w:color w:val="auto"/>
                <w:sz w:val="24"/>
              </w:rPr>
            </w:pPr>
          </w:p>
        </w:tc>
        <w:tc>
          <w:tcPr>
            <w:tcW w:w="1668" w:type="dxa"/>
            <w:vAlign w:val="center"/>
          </w:tcPr>
          <w:p w14:paraId="7B733877">
            <w:pPr>
              <w:tabs>
                <w:tab w:val="left" w:pos="1200"/>
                <w:tab w:val="center" w:pos="4592"/>
              </w:tabs>
              <w:spacing w:line="500" w:lineRule="exact"/>
              <w:jc w:val="center"/>
              <w:rPr>
                <w:rFonts w:ascii="仿宋" w:hAnsi="仿宋" w:eastAsia="仿宋" w:cs="仿宋"/>
                <w:color w:val="auto"/>
                <w:sz w:val="24"/>
              </w:rPr>
            </w:pPr>
          </w:p>
        </w:tc>
        <w:tc>
          <w:tcPr>
            <w:tcW w:w="1695" w:type="dxa"/>
            <w:vAlign w:val="center"/>
          </w:tcPr>
          <w:p w14:paraId="56142BF9">
            <w:pPr>
              <w:tabs>
                <w:tab w:val="left" w:pos="1200"/>
                <w:tab w:val="center" w:pos="4592"/>
              </w:tabs>
              <w:spacing w:line="500" w:lineRule="exact"/>
              <w:jc w:val="center"/>
              <w:rPr>
                <w:rFonts w:ascii="仿宋" w:hAnsi="仿宋" w:eastAsia="仿宋" w:cs="仿宋"/>
                <w:color w:val="auto"/>
                <w:sz w:val="24"/>
              </w:rPr>
            </w:pPr>
          </w:p>
        </w:tc>
        <w:tc>
          <w:tcPr>
            <w:tcW w:w="1285" w:type="dxa"/>
            <w:vAlign w:val="center"/>
          </w:tcPr>
          <w:p w14:paraId="5A4D8F22">
            <w:pPr>
              <w:tabs>
                <w:tab w:val="left" w:pos="1200"/>
                <w:tab w:val="center" w:pos="4592"/>
              </w:tabs>
              <w:spacing w:line="500" w:lineRule="exact"/>
              <w:jc w:val="center"/>
              <w:rPr>
                <w:rFonts w:ascii="仿宋" w:hAnsi="仿宋" w:eastAsia="仿宋" w:cs="仿宋"/>
                <w:color w:val="auto"/>
                <w:sz w:val="24"/>
              </w:rPr>
            </w:pPr>
          </w:p>
        </w:tc>
        <w:tc>
          <w:tcPr>
            <w:tcW w:w="1311" w:type="dxa"/>
            <w:vAlign w:val="center"/>
          </w:tcPr>
          <w:p w14:paraId="0FBC0BBA">
            <w:pPr>
              <w:tabs>
                <w:tab w:val="left" w:pos="1200"/>
                <w:tab w:val="center" w:pos="4592"/>
              </w:tabs>
              <w:spacing w:line="500" w:lineRule="exact"/>
              <w:jc w:val="center"/>
              <w:rPr>
                <w:rFonts w:ascii="仿宋" w:hAnsi="仿宋" w:eastAsia="仿宋" w:cs="仿宋"/>
                <w:color w:val="auto"/>
                <w:sz w:val="24"/>
              </w:rPr>
            </w:pPr>
          </w:p>
        </w:tc>
        <w:tc>
          <w:tcPr>
            <w:tcW w:w="1307" w:type="dxa"/>
            <w:vAlign w:val="center"/>
          </w:tcPr>
          <w:p w14:paraId="0CCB9EF3">
            <w:pPr>
              <w:tabs>
                <w:tab w:val="left" w:pos="1200"/>
                <w:tab w:val="center" w:pos="4592"/>
              </w:tabs>
              <w:spacing w:line="500" w:lineRule="exact"/>
              <w:jc w:val="center"/>
              <w:rPr>
                <w:rFonts w:ascii="仿宋" w:hAnsi="仿宋" w:eastAsia="仿宋" w:cs="仿宋"/>
                <w:color w:val="auto"/>
                <w:sz w:val="24"/>
              </w:rPr>
            </w:pPr>
          </w:p>
        </w:tc>
        <w:tc>
          <w:tcPr>
            <w:tcW w:w="1321" w:type="dxa"/>
            <w:vAlign w:val="center"/>
          </w:tcPr>
          <w:p w14:paraId="7FB3FC28">
            <w:pPr>
              <w:tabs>
                <w:tab w:val="left" w:pos="1200"/>
                <w:tab w:val="center" w:pos="4592"/>
              </w:tabs>
              <w:spacing w:line="500" w:lineRule="exact"/>
              <w:jc w:val="center"/>
              <w:rPr>
                <w:rFonts w:ascii="仿宋" w:hAnsi="仿宋" w:eastAsia="仿宋" w:cs="仿宋"/>
                <w:color w:val="auto"/>
                <w:sz w:val="24"/>
              </w:rPr>
            </w:pPr>
          </w:p>
        </w:tc>
      </w:tr>
      <w:tr w14:paraId="186E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6494149D">
            <w:pPr>
              <w:tabs>
                <w:tab w:val="left" w:pos="1200"/>
                <w:tab w:val="center" w:pos="4592"/>
              </w:tabs>
              <w:spacing w:line="500" w:lineRule="exact"/>
              <w:jc w:val="center"/>
              <w:rPr>
                <w:rFonts w:ascii="仿宋" w:hAnsi="仿宋" w:eastAsia="仿宋" w:cs="仿宋"/>
                <w:color w:val="auto"/>
                <w:sz w:val="24"/>
              </w:rPr>
            </w:pPr>
          </w:p>
        </w:tc>
        <w:tc>
          <w:tcPr>
            <w:tcW w:w="1668" w:type="dxa"/>
            <w:vAlign w:val="center"/>
          </w:tcPr>
          <w:p w14:paraId="2B2A5620">
            <w:pPr>
              <w:tabs>
                <w:tab w:val="left" w:pos="1200"/>
                <w:tab w:val="center" w:pos="4592"/>
              </w:tabs>
              <w:spacing w:line="500" w:lineRule="exact"/>
              <w:jc w:val="center"/>
              <w:rPr>
                <w:rFonts w:ascii="仿宋" w:hAnsi="仿宋" w:eastAsia="仿宋" w:cs="仿宋"/>
                <w:color w:val="auto"/>
                <w:sz w:val="24"/>
              </w:rPr>
            </w:pPr>
          </w:p>
        </w:tc>
        <w:tc>
          <w:tcPr>
            <w:tcW w:w="1695" w:type="dxa"/>
            <w:vAlign w:val="center"/>
          </w:tcPr>
          <w:p w14:paraId="7CC80924">
            <w:pPr>
              <w:tabs>
                <w:tab w:val="left" w:pos="1200"/>
                <w:tab w:val="center" w:pos="4592"/>
              </w:tabs>
              <w:spacing w:line="500" w:lineRule="exact"/>
              <w:jc w:val="center"/>
              <w:rPr>
                <w:rFonts w:ascii="仿宋" w:hAnsi="仿宋" w:eastAsia="仿宋" w:cs="仿宋"/>
                <w:color w:val="auto"/>
                <w:sz w:val="24"/>
              </w:rPr>
            </w:pPr>
          </w:p>
        </w:tc>
        <w:tc>
          <w:tcPr>
            <w:tcW w:w="1285" w:type="dxa"/>
            <w:vAlign w:val="center"/>
          </w:tcPr>
          <w:p w14:paraId="145381F8">
            <w:pPr>
              <w:tabs>
                <w:tab w:val="left" w:pos="1200"/>
                <w:tab w:val="center" w:pos="4592"/>
              </w:tabs>
              <w:spacing w:line="500" w:lineRule="exact"/>
              <w:jc w:val="center"/>
              <w:rPr>
                <w:rFonts w:ascii="仿宋" w:hAnsi="仿宋" w:eastAsia="仿宋" w:cs="仿宋"/>
                <w:color w:val="auto"/>
                <w:sz w:val="24"/>
              </w:rPr>
            </w:pPr>
          </w:p>
        </w:tc>
        <w:tc>
          <w:tcPr>
            <w:tcW w:w="1311" w:type="dxa"/>
            <w:vAlign w:val="center"/>
          </w:tcPr>
          <w:p w14:paraId="4B24655A">
            <w:pPr>
              <w:tabs>
                <w:tab w:val="left" w:pos="1200"/>
                <w:tab w:val="center" w:pos="4592"/>
              </w:tabs>
              <w:spacing w:line="500" w:lineRule="exact"/>
              <w:jc w:val="center"/>
              <w:rPr>
                <w:rFonts w:ascii="仿宋" w:hAnsi="仿宋" w:eastAsia="仿宋" w:cs="仿宋"/>
                <w:color w:val="auto"/>
                <w:sz w:val="24"/>
              </w:rPr>
            </w:pPr>
          </w:p>
        </w:tc>
        <w:tc>
          <w:tcPr>
            <w:tcW w:w="1307" w:type="dxa"/>
            <w:vAlign w:val="center"/>
          </w:tcPr>
          <w:p w14:paraId="2C35C462">
            <w:pPr>
              <w:tabs>
                <w:tab w:val="left" w:pos="1200"/>
                <w:tab w:val="center" w:pos="4592"/>
              </w:tabs>
              <w:spacing w:line="500" w:lineRule="exact"/>
              <w:jc w:val="center"/>
              <w:rPr>
                <w:rFonts w:ascii="仿宋" w:hAnsi="仿宋" w:eastAsia="仿宋" w:cs="仿宋"/>
                <w:color w:val="auto"/>
                <w:sz w:val="24"/>
              </w:rPr>
            </w:pPr>
          </w:p>
        </w:tc>
        <w:tc>
          <w:tcPr>
            <w:tcW w:w="1321" w:type="dxa"/>
            <w:vAlign w:val="center"/>
          </w:tcPr>
          <w:p w14:paraId="080AB761">
            <w:pPr>
              <w:tabs>
                <w:tab w:val="left" w:pos="1200"/>
                <w:tab w:val="center" w:pos="4592"/>
              </w:tabs>
              <w:spacing w:line="500" w:lineRule="exact"/>
              <w:jc w:val="center"/>
              <w:rPr>
                <w:rFonts w:ascii="仿宋" w:hAnsi="仿宋" w:eastAsia="仿宋" w:cs="仿宋"/>
                <w:color w:val="auto"/>
                <w:sz w:val="24"/>
              </w:rPr>
            </w:pPr>
          </w:p>
        </w:tc>
      </w:tr>
      <w:tr w14:paraId="1F2F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053297BB">
            <w:pPr>
              <w:tabs>
                <w:tab w:val="left" w:pos="1200"/>
                <w:tab w:val="center" w:pos="4592"/>
              </w:tabs>
              <w:spacing w:line="500" w:lineRule="exact"/>
              <w:jc w:val="center"/>
              <w:rPr>
                <w:rFonts w:ascii="仿宋" w:hAnsi="仿宋" w:eastAsia="仿宋" w:cs="仿宋"/>
                <w:color w:val="auto"/>
                <w:sz w:val="24"/>
              </w:rPr>
            </w:pPr>
          </w:p>
        </w:tc>
        <w:tc>
          <w:tcPr>
            <w:tcW w:w="1668" w:type="dxa"/>
            <w:vAlign w:val="center"/>
          </w:tcPr>
          <w:p w14:paraId="4D079935">
            <w:pPr>
              <w:tabs>
                <w:tab w:val="left" w:pos="1200"/>
                <w:tab w:val="center" w:pos="4592"/>
              </w:tabs>
              <w:spacing w:line="500" w:lineRule="exact"/>
              <w:jc w:val="center"/>
              <w:rPr>
                <w:rFonts w:ascii="仿宋" w:hAnsi="仿宋" w:eastAsia="仿宋" w:cs="仿宋"/>
                <w:color w:val="auto"/>
                <w:sz w:val="24"/>
              </w:rPr>
            </w:pPr>
          </w:p>
        </w:tc>
        <w:tc>
          <w:tcPr>
            <w:tcW w:w="1695" w:type="dxa"/>
            <w:vAlign w:val="center"/>
          </w:tcPr>
          <w:p w14:paraId="6DA097E5">
            <w:pPr>
              <w:tabs>
                <w:tab w:val="left" w:pos="1200"/>
                <w:tab w:val="center" w:pos="4592"/>
              </w:tabs>
              <w:spacing w:line="500" w:lineRule="exact"/>
              <w:jc w:val="center"/>
              <w:rPr>
                <w:rFonts w:ascii="仿宋" w:hAnsi="仿宋" w:eastAsia="仿宋" w:cs="仿宋"/>
                <w:color w:val="auto"/>
                <w:sz w:val="24"/>
              </w:rPr>
            </w:pPr>
          </w:p>
        </w:tc>
        <w:tc>
          <w:tcPr>
            <w:tcW w:w="1285" w:type="dxa"/>
            <w:vAlign w:val="center"/>
          </w:tcPr>
          <w:p w14:paraId="35F977FE">
            <w:pPr>
              <w:tabs>
                <w:tab w:val="left" w:pos="1200"/>
                <w:tab w:val="center" w:pos="4592"/>
              </w:tabs>
              <w:spacing w:line="500" w:lineRule="exact"/>
              <w:jc w:val="center"/>
              <w:rPr>
                <w:rFonts w:ascii="仿宋" w:hAnsi="仿宋" w:eastAsia="仿宋" w:cs="仿宋"/>
                <w:color w:val="auto"/>
                <w:sz w:val="24"/>
              </w:rPr>
            </w:pPr>
          </w:p>
        </w:tc>
        <w:tc>
          <w:tcPr>
            <w:tcW w:w="1311" w:type="dxa"/>
            <w:vAlign w:val="center"/>
          </w:tcPr>
          <w:p w14:paraId="2B026054">
            <w:pPr>
              <w:tabs>
                <w:tab w:val="left" w:pos="1200"/>
                <w:tab w:val="center" w:pos="4592"/>
              </w:tabs>
              <w:spacing w:line="500" w:lineRule="exact"/>
              <w:jc w:val="center"/>
              <w:rPr>
                <w:rFonts w:ascii="仿宋" w:hAnsi="仿宋" w:eastAsia="仿宋" w:cs="仿宋"/>
                <w:color w:val="auto"/>
                <w:sz w:val="24"/>
              </w:rPr>
            </w:pPr>
          </w:p>
        </w:tc>
        <w:tc>
          <w:tcPr>
            <w:tcW w:w="1307" w:type="dxa"/>
            <w:vAlign w:val="center"/>
          </w:tcPr>
          <w:p w14:paraId="0F91BB0B">
            <w:pPr>
              <w:tabs>
                <w:tab w:val="left" w:pos="1200"/>
                <w:tab w:val="center" w:pos="4592"/>
              </w:tabs>
              <w:spacing w:line="500" w:lineRule="exact"/>
              <w:jc w:val="center"/>
              <w:rPr>
                <w:rFonts w:ascii="仿宋" w:hAnsi="仿宋" w:eastAsia="仿宋" w:cs="仿宋"/>
                <w:color w:val="auto"/>
                <w:sz w:val="24"/>
              </w:rPr>
            </w:pPr>
          </w:p>
        </w:tc>
        <w:tc>
          <w:tcPr>
            <w:tcW w:w="1321" w:type="dxa"/>
            <w:vAlign w:val="center"/>
          </w:tcPr>
          <w:p w14:paraId="579FC128">
            <w:pPr>
              <w:tabs>
                <w:tab w:val="left" w:pos="1200"/>
                <w:tab w:val="center" w:pos="4592"/>
              </w:tabs>
              <w:spacing w:line="500" w:lineRule="exact"/>
              <w:jc w:val="center"/>
              <w:rPr>
                <w:rFonts w:ascii="仿宋" w:hAnsi="仿宋" w:eastAsia="仿宋" w:cs="仿宋"/>
                <w:color w:val="auto"/>
                <w:sz w:val="24"/>
              </w:rPr>
            </w:pPr>
          </w:p>
        </w:tc>
      </w:tr>
      <w:tr w14:paraId="087D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9285" w:type="dxa"/>
            <w:gridSpan w:val="7"/>
            <w:vAlign w:val="center"/>
          </w:tcPr>
          <w:p w14:paraId="33E25F68">
            <w:pPr>
              <w:tabs>
                <w:tab w:val="left" w:pos="1200"/>
                <w:tab w:val="center" w:pos="4592"/>
              </w:tabs>
              <w:spacing w:line="500" w:lineRule="exact"/>
              <w:ind w:left="1080" w:hanging="1080" w:hangingChars="450"/>
              <w:rPr>
                <w:rFonts w:ascii="仿宋" w:hAnsi="仿宋" w:eastAsia="仿宋" w:cs="仿宋"/>
                <w:color w:val="auto"/>
                <w:sz w:val="24"/>
              </w:rPr>
            </w:pPr>
            <w:r>
              <w:rPr>
                <w:rFonts w:hint="eastAsia" w:ascii="仿宋" w:hAnsi="仿宋" w:eastAsia="仿宋" w:cs="仿宋"/>
                <w:color w:val="auto"/>
                <w:sz w:val="24"/>
              </w:rPr>
              <w:t>备注：1、所填写内容以合同（加盖公章复印件）为准，时间以签订合同的时间为准；</w:t>
            </w:r>
          </w:p>
          <w:p w14:paraId="018FFAF6">
            <w:pPr>
              <w:tabs>
                <w:tab w:val="left" w:pos="1200"/>
                <w:tab w:val="center" w:pos="4592"/>
              </w:tabs>
              <w:spacing w:line="500" w:lineRule="exact"/>
              <w:rPr>
                <w:rFonts w:ascii="仿宋" w:hAnsi="仿宋" w:eastAsia="仿宋" w:cs="仿宋"/>
                <w:color w:val="auto"/>
                <w:sz w:val="24"/>
              </w:rPr>
            </w:pPr>
            <w:r>
              <w:rPr>
                <w:rFonts w:hint="eastAsia" w:ascii="仿宋" w:hAnsi="仿宋" w:eastAsia="仿宋" w:cs="仿宋"/>
                <w:color w:val="auto"/>
                <w:sz w:val="24"/>
              </w:rPr>
              <w:t xml:space="preserve">      2、此表格式不够可自行增加；</w:t>
            </w:r>
          </w:p>
          <w:p w14:paraId="1E0841A7">
            <w:pPr>
              <w:tabs>
                <w:tab w:val="left" w:pos="1200"/>
                <w:tab w:val="center" w:pos="4592"/>
              </w:tabs>
              <w:spacing w:line="500" w:lineRule="exact"/>
              <w:rPr>
                <w:rFonts w:ascii="仿宋" w:hAnsi="仿宋" w:eastAsia="仿宋" w:cs="仿宋"/>
                <w:color w:val="auto"/>
                <w:sz w:val="24"/>
              </w:rPr>
            </w:pPr>
            <w:r>
              <w:rPr>
                <w:rFonts w:hint="eastAsia" w:ascii="仿宋" w:hAnsi="仿宋" w:eastAsia="仿宋" w:cs="仿宋"/>
                <w:color w:val="auto"/>
                <w:sz w:val="24"/>
              </w:rPr>
              <w:t xml:space="preserve">      3、此表后按表格顺序附</w:t>
            </w:r>
            <w:r>
              <w:rPr>
                <w:rFonts w:hint="eastAsia" w:ascii="仿宋" w:hAnsi="仿宋" w:eastAsia="仿宋" w:cs="仿宋"/>
                <w:color w:val="auto"/>
                <w:spacing w:val="-2"/>
                <w:sz w:val="24"/>
              </w:rPr>
              <w:t>合同</w:t>
            </w:r>
            <w:r>
              <w:rPr>
                <w:rFonts w:hint="eastAsia" w:ascii="仿宋" w:hAnsi="仿宋" w:eastAsia="仿宋" w:cs="仿宋"/>
                <w:color w:val="auto"/>
                <w:sz w:val="24"/>
              </w:rPr>
              <w:t>（加盖公章复印件）。</w:t>
            </w:r>
          </w:p>
        </w:tc>
      </w:tr>
    </w:tbl>
    <w:p w14:paraId="1467C8DE">
      <w:pPr>
        <w:autoSpaceDE w:val="0"/>
        <w:autoSpaceDN w:val="0"/>
        <w:adjustRightInd w:val="0"/>
        <w:snapToGrid w:val="0"/>
        <w:spacing w:line="360" w:lineRule="auto"/>
        <w:rPr>
          <w:rFonts w:ascii="仿宋" w:hAnsi="仿宋" w:eastAsia="仿宋" w:cs="仿宋"/>
          <w:color w:val="auto"/>
          <w:sz w:val="24"/>
          <w:lang w:val="zh-CN"/>
        </w:rPr>
      </w:pPr>
    </w:p>
    <w:p w14:paraId="70BB946E">
      <w:pPr>
        <w:autoSpaceDE w:val="0"/>
        <w:autoSpaceDN w:val="0"/>
        <w:adjustRightInd w:val="0"/>
        <w:snapToGrid w:val="0"/>
        <w:spacing w:line="360" w:lineRule="auto"/>
        <w:rPr>
          <w:rFonts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17511CE9">
      <w:pPr>
        <w:autoSpaceDE w:val="0"/>
        <w:autoSpaceDN w:val="0"/>
        <w:adjustRightInd w:val="0"/>
        <w:snapToGrid w:val="0"/>
        <w:spacing w:line="360" w:lineRule="auto"/>
        <w:rPr>
          <w:rFonts w:ascii="仿宋" w:hAnsi="仿宋" w:eastAsia="仿宋" w:cs="仿宋"/>
          <w:color w:val="auto"/>
          <w:sz w:val="24"/>
          <w:lang w:val="zh-CN"/>
        </w:rPr>
      </w:pPr>
      <w:r>
        <w:rPr>
          <w:rFonts w:hint="eastAsia" w:ascii="仿宋" w:hAnsi="仿宋" w:eastAsia="仿宋" w:cs="仿宋"/>
          <w:color w:val="auto"/>
          <w:sz w:val="24"/>
          <w:lang w:val="zh-CN"/>
        </w:rPr>
        <w:t xml:space="preserve">（公章）：                    </w:t>
      </w:r>
      <w:r>
        <w:rPr>
          <w:rFonts w:hint="eastAsia" w:ascii="仿宋" w:hAnsi="仿宋" w:eastAsia="仿宋" w:cs="仿宋"/>
          <w:color w:val="auto"/>
          <w:sz w:val="24"/>
        </w:rPr>
        <w:t xml:space="preserve">          </w:t>
      </w:r>
      <w:r>
        <w:rPr>
          <w:rFonts w:hint="eastAsia" w:ascii="仿宋" w:hAnsi="仿宋" w:eastAsia="仿宋" w:cs="仿宋"/>
          <w:color w:val="auto"/>
          <w:sz w:val="24"/>
          <w:lang w:val="zh-CN"/>
        </w:rPr>
        <w:t xml:space="preserve"> （签字或盖章）：</w:t>
      </w:r>
    </w:p>
    <w:p w14:paraId="4E8AA626">
      <w:pPr>
        <w:autoSpaceDE w:val="0"/>
        <w:autoSpaceDN w:val="0"/>
        <w:adjustRightInd w:val="0"/>
        <w:snapToGrid w:val="0"/>
        <w:spacing w:line="360" w:lineRule="auto"/>
        <w:rPr>
          <w:rFonts w:ascii="仿宋" w:hAnsi="仿宋" w:eastAsia="仿宋" w:cs="仿宋"/>
          <w:color w:val="auto"/>
          <w:sz w:val="24"/>
          <w:lang w:val="zh-CN"/>
        </w:rPr>
      </w:pPr>
    </w:p>
    <w:p w14:paraId="2B838333">
      <w:pPr>
        <w:autoSpaceDE w:val="0"/>
        <w:autoSpaceDN w:val="0"/>
        <w:adjustRightInd w:val="0"/>
        <w:snapToGrid w:val="0"/>
        <w:spacing w:line="360" w:lineRule="auto"/>
        <w:ind w:firstLine="240" w:firstLineChars="100"/>
        <w:rPr>
          <w:rFonts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rPr>
        <w:t xml:space="preserve">               日期：</w:t>
      </w: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14:paraId="64627E93">
      <w:pPr>
        <w:autoSpaceDE w:val="0"/>
        <w:autoSpaceDN w:val="0"/>
        <w:adjustRightInd w:val="0"/>
        <w:snapToGrid w:val="0"/>
        <w:spacing w:line="360" w:lineRule="auto"/>
        <w:rPr>
          <w:rFonts w:ascii="仿宋" w:hAnsi="仿宋" w:eastAsia="仿宋" w:cs="仿宋"/>
          <w:color w:val="auto"/>
          <w:sz w:val="24"/>
        </w:rPr>
      </w:pPr>
    </w:p>
    <w:p w14:paraId="4C483D3B">
      <w:pPr>
        <w:pStyle w:val="3"/>
        <w:jc w:val="center"/>
        <w:rPr>
          <w:rFonts w:hint="eastAsia" w:ascii="仿宋" w:hAnsi="仿宋" w:eastAsia="仿宋"/>
          <w:b/>
          <w:bCs/>
          <w:color w:val="auto"/>
          <w:lang w:eastAsia="zh-CN"/>
        </w:rPr>
      </w:pPr>
      <w:r>
        <w:rPr>
          <w:rFonts w:hint="eastAsia" w:ascii="仿宋" w:hAnsi="仿宋" w:eastAsia="仿宋" w:cs="仿宋"/>
          <w:color w:val="auto"/>
          <w:sz w:val="24"/>
        </w:rPr>
        <w:br w:type="page"/>
      </w:r>
      <w:bookmarkEnd w:id="491"/>
      <w:bookmarkEnd w:id="492"/>
      <w:bookmarkStart w:id="494" w:name="_Toc19496"/>
      <w:bookmarkStart w:id="495" w:name="_Toc16032"/>
      <w:r>
        <w:rPr>
          <w:rFonts w:ascii="仿宋" w:hAnsi="仿宋" w:eastAsia="仿宋"/>
          <w:b/>
          <w:bCs/>
          <w:color w:val="auto"/>
        </w:rPr>
        <w:t xml:space="preserve">第三部分  </w:t>
      </w:r>
      <w:r>
        <w:rPr>
          <w:rFonts w:hint="eastAsia" w:ascii="仿宋" w:hAnsi="仿宋" w:eastAsia="仿宋"/>
          <w:b/>
          <w:bCs/>
          <w:color w:val="auto"/>
          <w:lang w:eastAsia="zh-CN"/>
        </w:rPr>
        <w:t>磋商</w:t>
      </w:r>
      <w:r>
        <w:rPr>
          <w:rFonts w:hint="eastAsia" w:ascii="仿宋" w:hAnsi="仿宋" w:eastAsia="仿宋" w:cs="仿宋"/>
          <w:b/>
          <w:bCs/>
          <w:color w:val="auto"/>
          <w:kern w:val="0"/>
          <w:szCs w:val="28"/>
          <w:lang w:val="en-US" w:eastAsia="zh-CN"/>
        </w:rPr>
        <w:t>响应</w:t>
      </w:r>
      <w:r>
        <w:rPr>
          <w:rFonts w:hint="eastAsia" w:ascii="仿宋" w:hAnsi="仿宋" w:eastAsia="仿宋"/>
          <w:b/>
          <w:bCs/>
          <w:color w:val="auto"/>
          <w:lang w:eastAsia="zh-CN"/>
        </w:rPr>
        <w:t>方案</w:t>
      </w:r>
      <w:bookmarkEnd w:id="494"/>
      <w:bookmarkEnd w:id="495"/>
    </w:p>
    <w:p w14:paraId="16AEB863">
      <w:pPr>
        <w:rPr>
          <w:rFonts w:hint="eastAsia" w:ascii="仿宋" w:hAnsi="仿宋" w:eastAsia="仿宋" w:cs="仿宋"/>
          <w:color w:val="auto"/>
          <w:sz w:val="24"/>
          <w:highlight w:val="none"/>
        </w:rPr>
      </w:pPr>
    </w:p>
    <w:p w14:paraId="2A60911D">
      <w:pPr>
        <w:keepNext w:val="0"/>
        <w:keepLines w:val="0"/>
        <w:pageBreakBefore w:val="0"/>
        <w:widowControl/>
        <w:kinsoku/>
        <w:wordWrap/>
        <w:overflowPunct/>
        <w:topLinePunct w:val="0"/>
        <w:autoSpaceDE/>
        <w:autoSpaceDN/>
        <w:bidi w:val="0"/>
        <w:spacing w:beforeLines="50" w:line="500" w:lineRule="exact"/>
        <w:ind w:firstLine="482" w:firstLineChars="200"/>
        <w:textAlignment w:val="auto"/>
        <w:outlineLvl w:val="9"/>
        <w:rPr>
          <w:rFonts w:hint="eastAsia" w:ascii="仿宋" w:hAnsi="仿宋" w:eastAsia="仿宋" w:cs="Calibri Light"/>
          <w:b/>
          <w:color w:val="auto"/>
          <w:kern w:val="0"/>
          <w:sz w:val="24"/>
          <w:szCs w:val="24"/>
          <w:highlight w:val="none"/>
        </w:rPr>
      </w:pPr>
      <w:r>
        <w:rPr>
          <w:rFonts w:hint="eastAsia" w:ascii="仿宋" w:hAnsi="仿宋" w:eastAsia="仿宋" w:cs="Calibri Light"/>
          <w:b/>
          <w:color w:val="auto"/>
          <w:kern w:val="0"/>
          <w:sz w:val="24"/>
          <w:szCs w:val="24"/>
          <w:highlight w:val="none"/>
        </w:rPr>
        <w:t>一、供应商基本信息</w:t>
      </w:r>
    </w:p>
    <w:p w14:paraId="3C634949">
      <w:pPr>
        <w:keepNext w:val="0"/>
        <w:keepLines w:val="0"/>
        <w:pageBreakBefore w:val="0"/>
        <w:widowControl/>
        <w:kinsoku/>
        <w:wordWrap/>
        <w:overflowPunct/>
        <w:topLinePunct w:val="0"/>
        <w:autoSpaceDE/>
        <w:autoSpaceDN/>
        <w:bidi w:val="0"/>
        <w:spacing w:beforeLines="50" w:line="500" w:lineRule="exact"/>
        <w:ind w:firstLine="480" w:firstLineChars="200"/>
        <w:textAlignment w:val="auto"/>
        <w:outlineLvl w:val="9"/>
        <w:rPr>
          <w:rFonts w:hint="eastAsia" w:ascii="仿宋" w:hAnsi="仿宋" w:eastAsia="仿宋" w:cs="Calibri Light"/>
          <w:b w:val="0"/>
          <w:bCs/>
          <w:color w:val="auto"/>
          <w:kern w:val="0"/>
          <w:sz w:val="24"/>
          <w:szCs w:val="24"/>
          <w:highlight w:val="none"/>
        </w:rPr>
      </w:pPr>
      <w:r>
        <w:rPr>
          <w:rFonts w:hint="eastAsia" w:ascii="仿宋" w:hAnsi="仿宋" w:eastAsia="仿宋" w:cs="Calibri Light"/>
          <w:b w:val="0"/>
          <w:bCs/>
          <w:color w:val="auto"/>
          <w:kern w:val="0"/>
          <w:sz w:val="24"/>
          <w:szCs w:val="24"/>
          <w:highlight w:val="none"/>
        </w:rPr>
        <w:t>如设立时间、隶属关系、经营范围、资质等级及单位人员情况。</w:t>
      </w:r>
    </w:p>
    <w:p w14:paraId="24C2C135">
      <w:pPr>
        <w:keepNext w:val="0"/>
        <w:keepLines w:val="0"/>
        <w:pageBreakBefore w:val="0"/>
        <w:widowControl/>
        <w:numPr>
          <w:ilvl w:val="0"/>
          <w:numId w:val="0"/>
        </w:numPr>
        <w:kinsoku/>
        <w:wordWrap/>
        <w:overflowPunct/>
        <w:topLinePunct w:val="0"/>
        <w:autoSpaceDE/>
        <w:autoSpaceDN/>
        <w:bidi w:val="0"/>
        <w:spacing w:beforeLines="50" w:line="500" w:lineRule="exact"/>
        <w:ind w:firstLine="482" w:firstLineChars="200"/>
        <w:textAlignment w:val="auto"/>
        <w:outlineLvl w:val="9"/>
        <w:rPr>
          <w:rFonts w:hint="eastAsia" w:ascii="仿宋" w:hAnsi="仿宋" w:eastAsia="仿宋" w:cs="Calibri Light"/>
          <w:b/>
          <w:color w:val="auto"/>
          <w:kern w:val="0"/>
          <w:sz w:val="24"/>
          <w:szCs w:val="24"/>
          <w:highlight w:val="none"/>
        </w:rPr>
      </w:pPr>
      <w:r>
        <w:rPr>
          <w:rFonts w:hint="eastAsia" w:ascii="仿宋" w:hAnsi="仿宋" w:eastAsia="仿宋" w:cs="Calibri Light"/>
          <w:b/>
          <w:color w:val="auto"/>
          <w:kern w:val="0"/>
          <w:sz w:val="24"/>
          <w:szCs w:val="24"/>
          <w:lang w:val="en-US" w:eastAsia="zh-CN" w:bidi="ar-SA"/>
        </w:rPr>
        <w:t>二、</w:t>
      </w:r>
      <w:r>
        <w:rPr>
          <w:rFonts w:hint="eastAsia" w:ascii="仿宋" w:hAnsi="仿宋" w:eastAsia="仿宋" w:cs="Calibri Light"/>
          <w:b/>
          <w:color w:val="auto"/>
          <w:kern w:val="0"/>
          <w:sz w:val="24"/>
          <w:szCs w:val="24"/>
          <w:highlight w:val="none"/>
        </w:rPr>
        <w:t>磋商技术方案</w:t>
      </w:r>
    </w:p>
    <w:p w14:paraId="4180868E">
      <w:pPr>
        <w:keepNext w:val="0"/>
        <w:keepLines w:val="0"/>
        <w:pageBreakBefore w:val="0"/>
        <w:kinsoku/>
        <w:wordWrap/>
        <w:overflowPunct/>
        <w:topLinePunct w:val="0"/>
        <w:autoSpaceDE/>
        <w:autoSpaceDN/>
        <w:bidi w:val="0"/>
        <w:spacing w:line="500" w:lineRule="exact"/>
        <w:ind w:firstLine="482" w:firstLineChars="200"/>
        <w:textAlignment w:val="auto"/>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供应商编制施工组织设计的要求包括但不限于以下几个方面：</w:t>
      </w:r>
    </w:p>
    <w:p w14:paraId="3BAE643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（1）确保工程质量的技术组织措施</w:t>
      </w:r>
    </w:p>
    <w:p w14:paraId="1F54934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outlineLvl w:val="9"/>
        <w:rPr>
          <w:rFonts w:ascii="仿宋" w:hAnsi="仿宋" w:eastAsia="仿宋" w:cs="仿宋"/>
          <w:color w:val="auto"/>
          <w:sz w:val="24"/>
          <w:highlight w:val="none"/>
          <w:lang w:val="zh-CN"/>
        </w:rPr>
      </w:pPr>
      <w:r>
        <w:rPr>
          <w:rFonts w:hint="eastAsia" w:ascii="仿宋" w:hAnsi="仿宋" w:eastAsia="仿宋" w:cs="仿宋"/>
          <w:color w:val="auto"/>
          <w:sz w:val="24"/>
          <w:highlight w:val="none"/>
        </w:rPr>
        <w:t>（2）确保安全生产的技术组织措施</w:t>
      </w:r>
    </w:p>
    <w:p w14:paraId="23D4EE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outlineLvl w:val="9"/>
        <w:rPr>
          <w:rFonts w:ascii="仿宋" w:hAnsi="仿宋" w:eastAsia="仿宋" w:cs="仿宋"/>
          <w:color w:val="auto"/>
          <w:sz w:val="24"/>
          <w:highlight w:val="none"/>
          <w:lang w:val="zh-CN"/>
        </w:rPr>
      </w:pPr>
      <w:r>
        <w:rPr>
          <w:rFonts w:hint="eastAsia" w:ascii="仿宋" w:hAnsi="仿宋" w:eastAsia="仿宋" w:cs="仿宋"/>
          <w:color w:val="auto"/>
          <w:sz w:val="24"/>
          <w:highlight w:val="none"/>
        </w:rPr>
        <w:t>（3）确保文明施工的技术组织措施及环境保护措施</w:t>
      </w:r>
    </w:p>
    <w:p w14:paraId="3110324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outlineLvl w:val="9"/>
        <w:rPr>
          <w:rFonts w:ascii="仿宋" w:hAnsi="仿宋" w:eastAsia="仿宋" w:cs="仿宋"/>
          <w:color w:val="auto"/>
          <w:sz w:val="24"/>
          <w:highlight w:val="none"/>
          <w:lang w:val="zh-CN"/>
        </w:rPr>
      </w:pPr>
      <w:r>
        <w:rPr>
          <w:rFonts w:hint="eastAsia" w:ascii="仿宋" w:hAnsi="仿宋" w:eastAsia="仿宋" w:cs="仿宋"/>
          <w:color w:val="auto"/>
          <w:sz w:val="24"/>
          <w:highlight w:val="none"/>
        </w:rPr>
        <w:t>（4）确保工期的技术组织措施</w:t>
      </w:r>
    </w:p>
    <w:p w14:paraId="1DE6F6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outlineLvl w:val="9"/>
        <w:rPr>
          <w:rFonts w:ascii="仿宋" w:hAnsi="仿宋" w:eastAsia="仿宋" w:cs="仿宋"/>
          <w:color w:val="auto"/>
          <w:sz w:val="24"/>
          <w:highlight w:val="none"/>
          <w:lang w:val="zh-CN"/>
        </w:rPr>
      </w:pPr>
      <w:r>
        <w:rPr>
          <w:rFonts w:hint="eastAsia" w:ascii="仿宋" w:hAnsi="仿宋" w:eastAsia="仿宋" w:cs="仿宋"/>
          <w:color w:val="auto"/>
          <w:sz w:val="24"/>
          <w:highlight w:val="none"/>
        </w:rPr>
        <w:t>（5）施工方案和项目经理部组成人员；</w:t>
      </w:r>
    </w:p>
    <w:p w14:paraId="482980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outlineLvl w:val="9"/>
        <w:rPr>
          <w:rFonts w:ascii="仿宋" w:hAnsi="仿宋" w:eastAsia="仿宋" w:cs="仿宋"/>
          <w:color w:val="auto"/>
          <w:sz w:val="24"/>
          <w:highlight w:val="none"/>
          <w:lang w:val="zh-CN"/>
        </w:rPr>
      </w:pPr>
      <w:r>
        <w:rPr>
          <w:rFonts w:hint="eastAsia" w:ascii="仿宋" w:hAnsi="仿宋" w:eastAsia="仿宋" w:cs="仿宋"/>
          <w:color w:val="auto"/>
          <w:sz w:val="24"/>
          <w:highlight w:val="none"/>
        </w:rPr>
        <w:t>（6）施工机械配备和材料投入计划</w:t>
      </w:r>
    </w:p>
    <w:p w14:paraId="3B4D9C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outlineLvl w:val="9"/>
        <w:rPr>
          <w:rFonts w:ascii="仿宋" w:hAnsi="仿宋" w:eastAsia="仿宋" w:cs="仿宋"/>
          <w:color w:val="auto"/>
          <w:sz w:val="24"/>
          <w:highlight w:val="none"/>
          <w:lang w:val="zh-CN"/>
        </w:rPr>
      </w:pPr>
      <w:r>
        <w:rPr>
          <w:rFonts w:hint="eastAsia" w:ascii="仿宋" w:hAnsi="仿宋" w:eastAsia="仿宋" w:cs="仿宋"/>
          <w:color w:val="auto"/>
          <w:sz w:val="24"/>
          <w:highlight w:val="none"/>
        </w:rPr>
        <w:t>（7）施工进度表或施工网络图</w:t>
      </w:r>
    </w:p>
    <w:p w14:paraId="5050DD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outlineLvl w:val="9"/>
        <w:rPr>
          <w:rFonts w:ascii="仿宋" w:hAnsi="仿宋" w:eastAsia="仿宋" w:cs="仿宋"/>
          <w:color w:val="auto"/>
          <w:sz w:val="24"/>
          <w:highlight w:val="none"/>
          <w:lang w:val="zh-CN"/>
        </w:rPr>
      </w:pPr>
      <w:r>
        <w:rPr>
          <w:rFonts w:hint="eastAsia" w:ascii="仿宋" w:hAnsi="仿宋" w:eastAsia="仿宋" w:cs="仿宋"/>
          <w:color w:val="auto"/>
          <w:sz w:val="24"/>
          <w:highlight w:val="none"/>
        </w:rPr>
        <w:t>（8）劳动力安排计划</w:t>
      </w:r>
    </w:p>
    <w:p w14:paraId="257F7D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outlineLvl w:val="9"/>
        <w:rPr>
          <w:rFonts w:ascii="仿宋" w:hAnsi="仿宋" w:eastAsia="仿宋" w:cs="仿宋"/>
          <w:color w:val="auto"/>
          <w:sz w:val="24"/>
          <w:highlight w:val="none"/>
          <w:lang w:val="zh-CN"/>
        </w:rPr>
      </w:pPr>
      <w:r>
        <w:rPr>
          <w:rFonts w:hint="eastAsia" w:ascii="仿宋" w:hAnsi="仿宋" w:eastAsia="仿宋" w:cs="仿宋"/>
          <w:color w:val="auto"/>
          <w:sz w:val="24"/>
          <w:highlight w:val="none"/>
        </w:rPr>
        <w:t>（9）施工总平面布置图</w:t>
      </w:r>
    </w:p>
    <w:p w14:paraId="605F0BE5">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outlineLvl w:val="9"/>
        <w:rPr>
          <w:rFonts w:ascii="仿宋" w:hAnsi="仿宋" w:eastAsia="仿宋" w:cs="仿宋"/>
          <w:color w:val="auto"/>
          <w:sz w:val="24"/>
          <w:highlight w:val="none"/>
        </w:rPr>
      </w:pPr>
      <w:r>
        <w:rPr>
          <w:rFonts w:hint="eastAsia" w:ascii="仿宋" w:hAnsi="仿宋" w:eastAsia="仿宋" w:cs="仿宋"/>
          <w:color w:val="auto"/>
          <w:sz w:val="24"/>
          <w:highlight w:val="none"/>
        </w:rPr>
        <w:t>（10）新技术、新产品、新工艺、新材料应用</w:t>
      </w:r>
    </w:p>
    <w:p w14:paraId="19CD592C">
      <w:pPr>
        <w:keepNext w:val="0"/>
        <w:keepLines w:val="0"/>
        <w:pageBreakBefore w:val="0"/>
        <w:widowControl/>
        <w:numPr>
          <w:ilvl w:val="0"/>
          <w:numId w:val="0"/>
        </w:numPr>
        <w:kinsoku/>
        <w:wordWrap/>
        <w:overflowPunct/>
        <w:topLinePunct w:val="0"/>
        <w:autoSpaceDE/>
        <w:autoSpaceDN/>
        <w:bidi w:val="0"/>
        <w:spacing w:beforeLines="50" w:line="500" w:lineRule="exact"/>
        <w:ind w:firstLine="482" w:firstLineChars="200"/>
        <w:textAlignment w:val="auto"/>
        <w:outlineLvl w:val="9"/>
        <w:rPr>
          <w:rFonts w:hint="default" w:ascii="仿宋" w:hAnsi="仿宋" w:eastAsia="仿宋" w:cs="Calibri Light"/>
          <w:b/>
          <w:color w:val="auto"/>
          <w:kern w:val="0"/>
          <w:sz w:val="24"/>
          <w:szCs w:val="24"/>
          <w:highlight w:val="none"/>
          <w:lang w:val="en-US"/>
        </w:rPr>
      </w:pPr>
      <w:r>
        <w:rPr>
          <w:rFonts w:hint="eastAsia" w:ascii="仿宋" w:hAnsi="仿宋" w:eastAsia="仿宋" w:cs="Calibri Light"/>
          <w:b/>
          <w:color w:val="auto"/>
          <w:kern w:val="0"/>
          <w:sz w:val="24"/>
          <w:szCs w:val="24"/>
          <w:lang w:val="en-US" w:eastAsia="zh-CN" w:bidi="ar-SA"/>
        </w:rPr>
        <w:t>三、质量保修方案</w:t>
      </w:r>
    </w:p>
    <w:p w14:paraId="7760A219">
      <w:pPr>
        <w:keepNext w:val="0"/>
        <w:keepLines w:val="0"/>
        <w:pageBreakBefore w:val="0"/>
        <w:widowControl w:val="0"/>
        <w:kinsoku/>
        <w:wordWrap/>
        <w:overflowPunct/>
        <w:topLinePunct w:val="0"/>
        <w:autoSpaceDE/>
        <w:autoSpaceDN/>
        <w:bidi w:val="0"/>
        <w:spacing w:line="500" w:lineRule="exact"/>
        <w:ind w:firstLine="480" w:firstLineChars="200"/>
        <w:jc w:val="left"/>
        <w:textAlignment w:val="auto"/>
        <w:outlineLvl w:val="2"/>
        <w:rPr>
          <w:rFonts w:ascii="仿宋" w:hAnsi="仿宋" w:eastAsia="仿宋" w:cs="仿宋"/>
          <w:color w:val="auto"/>
          <w:sz w:val="24"/>
          <w:highlight w:val="none"/>
        </w:rPr>
      </w:pPr>
    </w:p>
    <w:p w14:paraId="02D3ABBE">
      <w:pPr>
        <w:rPr>
          <w:color w:val="auto"/>
        </w:rPr>
      </w:pPr>
    </w:p>
    <w:sectPr>
      <w:footerReference r:id="rId14" w:type="first"/>
      <w:headerReference r:id="rId13"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7C68A">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5DF6F">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14:paraId="2C9B1CD4">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16F25">
    <w:pPr>
      <w:pStyle w:val="3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AACE3">
    <w:pPr>
      <w:pStyle w:val="3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2C202">
    <w:pPr>
      <w:pStyle w:val="3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C101C">
                          <w:pPr>
                            <w:pStyle w:val="33"/>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B6C101C">
                    <w:pPr>
                      <w:pStyle w:val="33"/>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9AFA5">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F75516">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28F75516">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5A51">
    <w:pPr>
      <w:pStyle w:val="34"/>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1D10D">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E32D">
    <w:pPr>
      <w:pStyle w:val="3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11E7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1999F">
    <w:pPr>
      <w:pStyle w:val="3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E7225">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898C2F74"/>
    <w:multiLevelType w:val="singleLevel"/>
    <w:tmpl w:val="898C2F74"/>
    <w:lvl w:ilvl="0" w:tentative="0">
      <w:start w:val="7"/>
      <w:numFmt w:val="chineseCounting"/>
      <w:suff w:val="nothing"/>
      <w:lvlText w:val="%1、"/>
      <w:lvlJc w:val="left"/>
      <w:rPr>
        <w:rFonts w:hint="eastAsia"/>
      </w:rPr>
    </w:lvl>
  </w:abstractNum>
  <w:abstractNum w:abstractNumId="1">
    <w:nsid w:val="9432A548"/>
    <w:multiLevelType w:val="singleLevel"/>
    <w:tmpl w:val="9432A548"/>
    <w:lvl w:ilvl="0" w:tentative="0">
      <w:start w:val="1"/>
      <w:numFmt w:val="chineseCounting"/>
      <w:suff w:val="space"/>
      <w:lvlText w:val="第%1章"/>
      <w:lvlJc w:val="left"/>
      <w:rPr>
        <w:rFonts w:hint="eastAsia"/>
      </w:rPr>
    </w:lvl>
  </w:abstractNum>
  <w:abstractNum w:abstractNumId="2">
    <w:nsid w:val="FA2D3D5B"/>
    <w:multiLevelType w:val="singleLevel"/>
    <w:tmpl w:val="FA2D3D5B"/>
    <w:lvl w:ilvl="0" w:tentative="0">
      <w:start w:val="30"/>
      <w:numFmt w:val="decimal"/>
      <w:suff w:val="space"/>
      <w:lvlText w:val="%1."/>
      <w:lvlJc w:val="left"/>
    </w:lvl>
  </w:abstractNum>
  <w:abstractNum w:abstractNumId="3">
    <w:nsid w:val="FAB4BA4D"/>
    <w:multiLevelType w:val="multilevel"/>
    <w:tmpl w:val="FAB4BA4D"/>
    <w:lvl w:ilvl="0" w:tentative="0">
      <w:start w:val="1"/>
      <w:numFmt w:val="decimal"/>
      <w:lvlText w:val="%1)"/>
      <w:lvlJc w:val="left"/>
      <w:pPr>
        <w:tabs>
          <w:tab w:val="left" w:pos="900"/>
        </w:tabs>
        <w:ind w:left="881" w:hanging="418"/>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000000E"/>
    <w:multiLevelType w:val="multilevel"/>
    <w:tmpl w:val="0000000E"/>
    <w:lvl w:ilvl="0" w:tentative="0">
      <w:start w:val="1"/>
      <w:numFmt w:val="decimal"/>
      <w:pStyle w:val="98"/>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862126D"/>
    <w:multiLevelType w:val="singleLevel"/>
    <w:tmpl w:val="0862126D"/>
    <w:lvl w:ilvl="0" w:tentative="0">
      <w:start w:val="2"/>
      <w:numFmt w:val="decimal"/>
      <w:suff w:val="nothing"/>
      <w:lvlText w:val="%1、"/>
      <w:lvlJc w:val="left"/>
    </w:lvl>
  </w:abstractNum>
  <w:abstractNum w:abstractNumId="7">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8">
    <w:nsid w:val="0ACB36DC"/>
    <w:multiLevelType w:val="multilevel"/>
    <w:tmpl w:val="0ACB36DC"/>
    <w:lvl w:ilvl="0" w:tentative="0">
      <w:start w:val="1"/>
      <w:numFmt w:val="decimal"/>
      <w:lvlText w:val="（%1）"/>
      <w:lvlJc w:val="left"/>
      <w:pPr>
        <w:tabs>
          <w:tab w:val="left" w:pos="1120"/>
        </w:tabs>
        <w:ind w:left="1120" w:hanging="420"/>
      </w:pPr>
      <w:rPr>
        <w:rFonts w:hint="eastAsia"/>
      </w:rPr>
    </w:lvl>
    <w:lvl w:ilvl="1" w:tentative="0">
      <w:start w:val="1"/>
      <w:numFmt w:val="decimal"/>
      <w:lvlText w:val="%2."/>
      <w:lvlJc w:val="left"/>
      <w:pPr>
        <w:tabs>
          <w:tab w:val="left" w:pos="840"/>
        </w:tabs>
        <w:ind w:left="840" w:hanging="420"/>
      </w:pPr>
      <w:rPr>
        <w:rFonts w:hint="eastAsia"/>
        <w:color w:val="00000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035497F"/>
    <w:multiLevelType w:val="singleLevel"/>
    <w:tmpl w:val="1035497F"/>
    <w:lvl w:ilvl="0" w:tentative="0">
      <w:start w:val="5"/>
      <w:numFmt w:val="decimal"/>
      <w:suff w:val="space"/>
      <w:lvlText w:val="%1."/>
      <w:lvlJc w:val="left"/>
    </w:lvl>
  </w:abstractNum>
  <w:abstractNum w:abstractNumId="10">
    <w:nsid w:val="537AA372"/>
    <w:multiLevelType w:val="singleLevel"/>
    <w:tmpl w:val="537AA372"/>
    <w:lvl w:ilvl="0" w:tentative="0">
      <w:start w:val="21"/>
      <w:numFmt w:val="decimal"/>
      <w:suff w:val="space"/>
      <w:lvlText w:val="%1."/>
      <w:lvlJc w:val="left"/>
    </w:lvl>
  </w:abstractNum>
  <w:abstractNum w:abstractNumId="11">
    <w:nsid w:val="55392C28"/>
    <w:multiLevelType w:val="multilevel"/>
    <w:tmpl w:val="55392C28"/>
    <w:lvl w:ilvl="0" w:tentative="0">
      <w:start w:val="1"/>
      <w:numFmt w:val="decimal"/>
      <w:lvlText w:val="（%1）"/>
      <w:lvlJc w:val="left"/>
      <w:pPr>
        <w:tabs>
          <w:tab w:val="left" w:pos="1120"/>
        </w:tabs>
        <w:ind w:left="11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24D1350"/>
    <w:multiLevelType w:val="singleLevel"/>
    <w:tmpl w:val="624D1350"/>
    <w:lvl w:ilvl="0" w:tentative="0">
      <w:start w:val="25"/>
      <w:numFmt w:val="decimal"/>
      <w:suff w:val="space"/>
      <w:lvlText w:val="%1."/>
      <w:lvlJc w:val="left"/>
    </w:lvl>
  </w:abstractNum>
  <w:abstractNum w:abstractNumId="13">
    <w:nsid w:val="6CEA2025"/>
    <w:multiLevelType w:val="multilevel"/>
    <w:tmpl w:val="6CEA2025"/>
    <w:lvl w:ilvl="0" w:tentative="0">
      <w:start w:val="1"/>
      <w:numFmt w:val="none"/>
      <w:pStyle w:val="245"/>
      <w:suff w:val="nothing"/>
      <w:lvlText w:val="%1"/>
      <w:lvlJc w:val="left"/>
      <w:pPr>
        <w:ind w:left="0" w:firstLine="0"/>
      </w:pPr>
      <w:rPr>
        <w:rFonts w:hint="default" w:ascii="Times New Roman" w:hAnsi="Times New Roman"/>
        <w:b/>
        <w:i w:val="0"/>
        <w:sz w:val="21"/>
      </w:rPr>
    </w:lvl>
    <w:lvl w:ilvl="1" w:tentative="0">
      <w:start w:val="1"/>
      <w:numFmt w:val="decimal"/>
      <w:pStyle w:val="246"/>
      <w:suff w:val="nothing"/>
      <w:lvlText w:val="%1%2　"/>
      <w:lvlJc w:val="left"/>
      <w:pPr>
        <w:ind w:left="315" w:firstLine="0"/>
      </w:pPr>
      <w:rPr>
        <w:rFonts w:hint="eastAsia" w:ascii="黑体" w:hAnsi="Times New Roman" w:eastAsia="黑体"/>
        <w:b w:val="0"/>
        <w:i w:val="0"/>
        <w:sz w:val="21"/>
      </w:rPr>
    </w:lvl>
    <w:lvl w:ilvl="2" w:tentative="0">
      <w:start w:val="1"/>
      <w:numFmt w:val="decimal"/>
      <w:pStyle w:val="247"/>
      <w:suff w:val="nothing"/>
      <w:lvlText w:val="%1%2.%3　"/>
      <w:lvlJc w:val="left"/>
      <w:pPr>
        <w:ind w:left="630" w:firstLine="0"/>
      </w:pPr>
      <w:rPr>
        <w:rFonts w:hint="eastAsia" w:ascii="黑体" w:hAnsi="Times New Roman" w:eastAsia="黑体"/>
        <w:b w:val="0"/>
        <w:i w:val="0"/>
        <w:sz w:val="21"/>
      </w:rPr>
    </w:lvl>
    <w:lvl w:ilvl="3" w:tentative="0">
      <w:start w:val="1"/>
      <w:numFmt w:val="decimal"/>
      <w:pStyle w:val="248"/>
      <w:suff w:val="nothing"/>
      <w:lvlText w:val="%1%2.%3.%4　"/>
      <w:lvlJc w:val="left"/>
      <w:pPr>
        <w:ind w:left="567" w:firstLine="0"/>
      </w:pPr>
      <w:rPr>
        <w:rFonts w:hint="eastAsia" w:ascii="黑体" w:hAnsi="Times New Roman" w:eastAsia="黑体"/>
        <w:b w:val="0"/>
        <w:i w:val="0"/>
        <w:sz w:val="21"/>
      </w:rPr>
    </w:lvl>
    <w:lvl w:ilvl="4" w:tentative="0">
      <w:start w:val="1"/>
      <w:numFmt w:val="decimal"/>
      <w:pStyle w:val="250"/>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51"/>
      <w:suff w:val="nothing"/>
      <w:lvlText w:val="%1%2.%3.%4.%5.%6　"/>
      <w:lvlJc w:val="left"/>
      <w:pPr>
        <w:ind w:left="0" w:firstLine="0"/>
      </w:pPr>
      <w:rPr>
        <w:rFonts w:hint="eastAsia" w:ascii="黑体" w:hAnsi="Times New Roman" w:eastAsia="黑体"/>
        <w:b w:val="0"/>
        <w:i w:val="0"/>
        <w:sz w:val="21"/>
      </w:rPr>
    </w:lvl>
    <w:lvl w:ilvl="6" w:tentative="0">
      <w:start w:val="1"/>
      <w:numFmt w:val="decimal"/>
      <w:pStyle w:val="25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5">
    <w:nsid w:val="75CCCB0C"/>
    <w:multiLevelType w:val="singleLevel"/>
    <w:tmpl w:val="75CCCB0C"/>
    <w:lvl w:ilvl="0" w:tentative="0">
      <w:start w:val="6"/>
      <w:numFmt w:val="chineseCounting"/>
      <w:suff w:val="space"/>
      <w:lvlText w:val="第%1章"/>
      <w:lvlJc w:val="left"/>
      <w:rPr>
        <w:rFonts w:hint="eastAsia"/>
      </w:rPr>
    </w:lvl>
  </w:abstractNum>
  <w:abstractNum w:abstractNumId="16">
    <w:nsid w:val="76933334"/>
    <w:multiLevelType w:val="multilevel"/>
    <w:tmpl w:val="76933334"/>
    <w:lvl w:ilvl="0" w:tentative="0">
      <w:start w:val="1"/>
      <w:numFmt w:val="none"/>
      <w:pStyle w:val="24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78F65754"/>
    <w:multiLevelType w:val="multilevel"/>
    <w:tmpl w:val="78F65754"/>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5"/>
  </w:num>
  <w:num w:numId="2">
    <w:abstractNumId w:val="4"/>
  </w:num>
  <w:num w:numId="3">
    <w:abstractNumId w:val="13"/>
  </w:num>
  <w:num w:numId="4">
    <w:abstractNumId w:val="16"/>
  </w:num>
  <w:num w:numId="5">
    <w:abstractNumId w:val="1"/>
  </w:num>
  <w:num w:numId="6">
    <w:abstractNumId w:val="0"/>
  </w:num>
  <w:num w:numId="7">
    <w:abstractNumId w:val="9"/>
  </w:num>
  <w:num w:numId="8">
    <w:abstractNumId w:val="10"/>
  </w:num>
  <w:num w:numId="9">
    <w:abstractNumId w:val="12"/>
  </w:num>
  <w:num w:numId="10">
    <w:abstractNumId w:val="7"/>
  </w:num>
  <w:num w:numId="11">
    <w:abstractNumId w:val="2"/>
  </w:num>
  <w:num w:numId="12">
    <w:abstractNumId w:val="3"/>
  </w:num>
  <w:num w:numId="13">
    <w:abstractNumId w:val="8"/>
  </w:num>
  <w:num w:numId="14">
    <w:abstractNumId w:val="11"/>
  </w:num>
  <w:num w:numId="15">
    <w:abstractNumId w:val="17"/>
  </w:num>
  <w:num w:numId="16">
    <w:abstractNumId w:val="15"/>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NjJlNmMxNGY4NzkyNmVhNmM2MWU2NTZmOGE2YTAifQ=="/>
  </w:docVars>
  <w:rsids>
    <w:rsidRoot w:val="00172A27"/>
    <w:rsid w:val="000076EB"/>
    <w:rsid w:val="00010824"/>
    <w:rsid w:val="00011C69"/>
    <w:rsid w:val="00017F4A"/>
    <w:rsid w:val="00027A12"/>
    <w:rsid w:val="0003167F"/>
    <w:rsid w:val="00035C01"/>
    <w:rsid w:val="000360A4"/>
    <w:rsid w:val="00042BE5"/>
    <w:rsid w:val="000432ED"/>
    <w:rsid w:val="00043EA6"/>
    <w:rsid w:val="000449A9"/>
    <w:rsid w:val="00047D64"/>
    <w:rsid w:val="00051DDB"/>
    <w:rsid w:val="000524DF"/>
    <w:rsid w:val="00060BDF"/>
    <w:rsid w:val="00062930"/>
    <w:rsid w:val="00065533"/>
    <w:rsid w:val="00065875"/>
    <w:rsid w:val="0006752D"/>
    <w:rsid w:val="000739EC"/>
    <w:rsid w:val="000864F6"/>
    <w:rsid w:val="000866FA"/>
    <w:rsid w:val="00090E0B"/>
    <w:rsid w:val="00091EC9"/>
    <w:rsid w:val="0009361A"/>
    <w:rsid w:val="00093935"/>
    <w:rsid w:val="0009799D"/>
    <w:rsid w:val="000A15A6"/>
    <w:rsid w:val="000A2D28"/>
    <w:rsid w:val="000A4FE6"/>
    <w:rsid w:val="000B5CCC"/>
    <w:rsid w:val="000C135C"/>
    <w:rsid w:val="000C3906"/>
    <w:rsid w:val="000C5BB6"/>
    <w:rsid w:val="000D231B"/>
    <w:rsid w:val="000D4A95"/>
    <w:rsid w:val="000D6BDC"/>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133C"/>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F07EB"/>
    <w:rsid w:val="001F2A94"/>
    <w:rsid w:val="001F2DA3"/>
    <w:rsid w:val="001F642F"/>
    <w:rsid w:val="00200AA2"/>
    <w:rsid w:val="00203E3F"/>
    <w:rsid w:val="00210A41"/>
    <w:rsid w:val="0021263B"/>
    <w:rsid w:val="0021351E"/>
    <w:rsid w:val="002156D3"/>
    <w:rsid w:val="00220DD5"/>
    <w:rsid w:val="00222276"/>
    <w:rsid w:val="0022779B"/>
    <w:rsid w:val="00237812"/>
    <w:rsid w:val="00246479"/>
    <w:rsid w:val="00247D31"/>
    <w:rsid w:val="002527EC"/>
    <w:rsid w:val="0026051F"/>
    <w:rsid w:val="00262E9E"/>
    <w:rsid w:val="0026552B"/>
    <w:rsid w:val="002713C4"/>
    <w:rsid w:val="0027169F"/>
    <w:rsid w:val="0027314A"/>
    <w:rsid w:val="00276156"/>
    <w:rsid w:val="00280D0D"/>
    <w:rsid w:val="0028153C"/>
    <w:rsid w:val="0028435C"/>
    <w:rsid w:val="00290692"/>
    <w:rsid w:val="00290B93"/>
    <w:rsid w:val="00293DE8"/>
    <w:rsid w:val="0029438A"/>
    <w:rsid w:val="00294F2B"/>
    <w:rsid w:val="002957B2"/>
    <w:rsid w:val="002971F9"/>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E321E"/>
    <w:rsid w:val="002E32E8"/>
    <w:rsid w:val="002E5A17"/>
    <w:rsid w:val="002E601A"/>
    <w:rsid w:val="002F1770"/>
    <w:rsid w:val="002F2F49"/>
    <w:rsid w:val="002F2FB6"/>
    <w:rsid w:val="002F5F72"/>
    <w:rsid w:val="002F6981"/>
    <w:rsid w:val="00304929"/>
    <w:rsid w:val="00307E03"/>
    <w:rsid w:val="00310A20"/>
    <w:rsid w:val="00321BA2"/>
    <w:rsid w:val="003236F0"/>
    <w:rsid w:val="00326D08"/>
    <w:rsid w:val="00334EF7"/>
    <w:rsid w:val="00341AFB"/>
    <w:rsid w:val="00345937"/>
    <w:rsid w:val="00355C44"/>
    <w:rsid w:val="00367444"/>
    <w:rsid w:val="003703B4"/>
    <w:rsid w:val="00371750"/>
    <w:rsid w:val="0037250B"/>
    <w:rsid w:val="00373E63"/>
    <w:rsid w:val="0037458F"/>
    <w:rsid w:val="003752C8"/>
    <w:rsid w:val="003778AA"/>
    <w:rsid w:val="003803CD"/>
    <w:rsid w:val="003816EF"/>
    <w:rsid w:val="00383DEC"/>
    <w:rsid w:val="00385CAD"/>
    <w:rsid w:val="00387748"/>
    <w:rsid w:val="0039011E"/>
    <w:rsid w:val="00394350"/>
    <w:rsid w:val="003A02D7"/>
    <w:rsid w:val="003A0A59"/>
    <w:rsid w:val="003C1B37"/>
    <w:rsid w:val="003C5F20"/>
    <w:rsid w:val="003D08D2"/>
    <w:rsid w:val="003D1432"/>
    <w:rsid w:val="003D378B"/>
    <w:rsid w:val="003D6CC0"/>
    <w:rsid w:val="003D6F83"/>
    <w:rsid w:val="003E0455"/>
    <w:rsid w:val="003E6091"/>
    <w:rsid w:val="003E6268"/>
    <w:rsid w:val="003F1C98"/>
    <w:rsid w:val="00400609"/>
    <w:rsid w:val="00402745"/>
    <w:rsid w:val="0040289E"/>
    <w:rsid w:val="004035B3"/>
    <w:rsid w:val="00410849"/>
    <w:rsid w:val="00421C0B"/>
    <w:rsid w:val="004247BB"/>
    <w:rsid w:val="00424FDA"/>
    <w:rsid w:val="00424FED"/>
    <w:rsid w:val="00425851"/>
    <w:rsid w:val="00425E9F"/>
    <w:rsid w:val="00427494"/>
    <w:rsid w:val="004326EC"/>
    <w:rsid w:val="0043286E"/>
    <w:rsid w:val="00441E37"/>
    <w:rsid w:val="00442A84"/>
    <w:rsid w:val="00443C15"/>
    <w:rsid w:val="004655F6"/>
    <w:rsid w:val="00465B46"/>
    <w:rsid w:val="00467B48"/>
    <w:rsid w:val="004729B0"/>
    <w:rsid w:val="00494A82"/>
    <w:rsid w:val="004A0A68"/>
    <w:rsid w:val="004A4BC1"/>
    <w:rsid w:val="004A6CB2"/>
    <w:rsid w:val="004B012C"/>
    <w:rsid w:val="004B4658"/>
    <w:rsid w:val="004B498E"/>
    <w:rsid w:val="004B631E"/>
    <w:rsid w:val="004C2993"/>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4343C"/>
    <w:rsid w:val="00553423"/>
    <w:rsid w:val="00557461"/>
    <w:rsid w:val="00562743"/>
    <w:rsid w:val="00562C82"/>
    <w:rsid w:val="00570118"/>
    <w:rsid w:val="0057296E"/>
    <w:rsid w:val="00572DA7"/>
    <w:rsid w:val="00573153"/>
    <w:rsid w:val="00573C62"/>
    <w:rsid w:val="00574517"/>
    <w:rsid w:val="00576D30"/>
    <w:rsid w:val="0058247B"/>
    <w:rsid w:val="00594BFB"/>
    <w:rsid w:val="005A3176"/>
    <w:rsid w:val="005A3911"/>
    <w:rsid w:val="005B0EE1"/>
    <w:rsid w:val="005B4961"/>
    <w:rsid w:val="005C1347"/>
    <w:rsid w:val="005C2FC9"/>
    <w:rsid w:val="005C32D0"/>
    <w:rsid w:val="005C34E7"/>
    <w:rsid w:val="005C75CD"/>
    <w:rsid w:val="005D0DAD"/>
    <w:rsid w:val="005D3236"/>
    <w:rsid w:val="005D391F"/>
    <w:rsid w:val="005D626C"/>
    <w:rsid w:val="005E226F"/>
    <w:rsid w:val="005E62A2"/>
    <w:rsid w:val="005E725B"/>
    <w:rsid w:val="005F2153"/>
    <w:rsid w:val="005F5F4A"/>
    <w:rsid w:val="005F65DF"/>
    <w:rsid w:val="005F7683"/>
    <w:rsid w:val="00610176"/>
    <w:rsid w:val="006169A4"/>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4FCF"/>
    <w:rsid w:val="0067503A"/>
    <w:rsid w:val="00675BB2"/>
    <w:rsid w:val="00682569"/>
    <w:rsid w:val="00684CC0"/>
    <w:rsid w:val="00685847"/>
    <w:rsid w:val="006859E8"/>
    <w:rsid w:val="00691990"/>
    <w:rsid w:val="00692CE2"/>
    <w:rsid w:val="00694AD5"/>
    <w:rsid w:val="006A2B93"/>
    <w:rsid w:val="006A414E"/>
    <w:rsid w:val="006A5F7C"/>
    <w:rsid w:val="006A6858"/>
    <w:rsid w:val="006A7003"/>
    <w:rsid w:val="006B00F6"/>
    <w:rsid w:val="006B5997"/>
    <w:rsid w:val="006C0DD3"/>
    <w:rsid w:val="006C20DF"/>
    <w:rsid w:val="006C3F78"/>
    <w:rsid w:val="006C6120"/>
    <w:rsid w:val="006C7DB2"/>
    <w:rsid w:val="006D02B6"/>
    <w:rsid w:val="006D0EA8"/>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392F"/>
    <w:rsid w:val="00716957"/>
    <w:rsid w:val="00720269"/>
    <w:rsid w:val="007219AF"/>
    <w:rsid w:val="007247E7"/>
    <w:rsid w:val="007249D9"/>
    <w:rsid w:val="00724A04"/>
    <w:rsid w:val="00725CA4"/>
    <w:rsid w:val="00735AA2"/>
    <w:rsid w:val="00735EA4"/>
    <w:rsid w:val="00740059"/>
    <w:rsid w:val="00740FB3"/>
    <w:rsid w:val="00744A89"/>
    <w:rsid w:val="00745687"/>
    <w:rsid w:val="00747962"/>
    <w:rsid w:val="0075070D"/>
    <w:rsid w:val="00751324"/>
    <w:rsid w:val="00751F4A"/>
    <w:rsid w:val="00752C78"/>
    <w:rsid w:val="007603C6"/>
    <w:rsid w:val="00762641"/>
    <w:rsid w:val="00765D99"/>
    <w:rsid w:val="00767EB5"/>
    <w:rsid w:val="0077123A"/>
    <w:rsid w:val="0077391F"/>
    <w:rsid w:val="00777AD6"/>
    <w:rsid w:val="007820A4"/>
    <w:rsid w:val="007847E9"/>
    <w:rsid w:val="00787F49"/>
    <w:rsid w:val="00790A08"/>
    <w:rsid w:val="00797C0F"/>
    <w:rsid w:val="007A2BCA"/>
    <w:rsid w:val="007A5B87"/>
    <w:rsid w:val="007B3285"/>
    <w:rsid w:val="007B5519"/>
    <w:rsid w:val="007C4C08"/>
    <w:rsid w:val="007C6A3F"/>
    <w:rsid w:val="007D2F26"/>
    <w:rsid w:val="007E1E5B"/>
    <w:rsid w:val="007E5F14"/>
    <w:rsid w:val="007E71F5"/>
    <w:rsid w:val="007E73B0"/>
    <w:rsid w:val="007F4D32"/>
    <w:rsid w:val="00801DEF"/>
    <w:rsid w:val="0080217E"/>
    <w:rsid w:val="008031F1"/>
    <w:rsid w:val="00804363"/>
    <w:rsid w:val="00804A4E"/>
    <w:rsid w:val="00807872"/>
    <w:rsid w:val="00817CCC"/>
    <w:rsid w:val="00826B74"/>
    <w:rsid w:val="00831006"/>
    <w:rsid w:val="008357E9"/>
    <w:rsid w:val="00845769"/>
    <w:rsid w:val="0084595F"/>
    <w:rsid w:val="00855B04"/>
    <w:rsid w:val="00865539"/>
    <w:rsid w:val="00867C65"/>
    <w:rsid w:val="00872B82"/>
    <w:rsid w:val="00874426"/>
    <w:rsid w:val="008761AB"/>
    <w:rsid w:val="00881621"/>
    <w:rsid w:val="0088479D"/>
    <w:rsid w:val="008855E4"/>
    <w:rsid w:val="008861AE"/>
    <w:rsid w:val="008941E4"/>
    <w:rsid w:val="008942C8"/>
    <w:rsid w:val="008A0E72"/>
    <w:rsid w:val="008A3154"/>
    <w:rsid w:val="008A594E"/>
    <w:rsid w:val="008B4671"/>
    <w:rsid w:val="008B5C32"/>
    <w:rsid w:val="008B7216"/>
    <w:rsid w:val="008C000B"/>
    <w:rsid w:val="008C3554"/>
    <w:rsid w:val="008C4E5C"/>
    <w:rsid w:val="008C633E"/>
    <w:rsid w:val="008D2615"/>
    <w:rsid w:val="008D47E6"/>
    <w:rsid w:val="008E1587"/>
    <w:rsid w:val="008E3772"/>
    <w:rsid w:val="008E64B8"/>
    <w:rsid w:val="008F2A45"/>
    <w:rsid w:val="008F42F1"/>
    <w:rsid w:val="008F5042"/>
    <w:rsid w:val="00902DE7"/>
    <w:rsid w:val="00904AE8"/>
    <w:rsid w:val="0091049B"/>
    <w:rsid w:val="00912229"/>
    <w:rsid w:val="00915E8C"/>
    <w:rsid w:val="00921008"/>
    <w:rsid w:val="00921EB2"/>
    <w:rsid w:val="009238F5"/>
    <w:rsid w:val="0093690A"/>
    <w:rsid w:val="0094157C"/>
    <w:rsid w:val="00945555"/>
    <w:rsid w:val="00951D00"/>
    <w:rsid w:val="0095414E"/>
    <w:rsid w:val="00954420"/>
    <w:rsid w:val="00957118"/>
    <w:rsid w:val="00961697"/>
    <w:rsid w:val="009633A0"/>
    <w:rsid w:val="00972AD9"/>
    <w:rsid w:val="00972D74"/>
    <w:rsid w:val="00976425"/>
    <w:rsid w:val="009808B4"/>
    <w:rsid w:val="009864F9"/>
    <w:rsid w:val="0099054D"/>
    <w:rsid w:val="00992349"/>
    <w:rsid w:val="00993B5F"/>
    <w:rsid w:val="00994A20"/>
    <w:rsid w:val="009954FA"/>
    <w:rsid w:val="009A00B0"/>
    <w:rsid w:val="009A48D0"/>
    <w:rsid w:val="009A6975"/>
    <w:rsid w:val="009B42B8"/>
    <w:rsid w:val="009B5AAB"/>
    <w:rsid w:val="009B5D0A"/>
    <w:rsid w:val="009B5E2B"/>
    <w:rsid w:val="009C08A6"/>
    <w:rsid w:val="009C0994"/>
    <w:rsid w:val="009C339F"/>
    <w:rsid w:val="009C401D"/>
    <w:rsid w:val="009C7C3E"/>
    <w:rsid w:val="009D1A82"/>
    <w:rsid w:val="009D1BC2"/>
    <w:rsid w:val="009D4E57"/>
    <w:rsid w:val="009D74CD"/>
    <w:rsid w:val="009E6071"/>
    <w:rsid w:val="009E695E"/>
    <w:rsid w:val="009F19A2"/>
    <w:rsid w:val="009F56F2"/>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47F09"/>
    <w:rsid w:val="00A50575"/>
    <w:rsid w:val="00A52C70"/>
    <w:rsid w:val="00A556AC"/>
    <w:rsid w:val="00A60B1F"/>
    <w:rsid w:val="00A62048"/>
    <w:rsid w:val="00A627F3"/>
    <w:rsid w:val="00A75A14"/>
    <w:rsid w:val="00A77387"/>
    <w:rsid w:val="00A80309"/>
    <w:rsid w:val="00A80EE8"/>
    <w:rsid w:val="00A85050"/>
    <w:rsid w:val="00A85AED"/>
    <w:rsid w:val="00A863D4"/>
    <w:rsid w:val="00A91861"/>
    <w:rsid w:val="00A94ED0"/>
    <w:rsid w:val="00A97CF5"/>
    <w:rsid w:val="00AA24F4"/>
    <w:rsid w:val="00AA3929"/>
    <w:rsid w:val="00AA4027"/>
    <w:rsid w:val="00AB0C96"/>
    <w:rsid w:val="00AB3A97"/>
    <w:rsid w:val="00AB5D9E"/>
    <w:rsid w:val="00AB762D"/>
    <w:rsid w:val="00AB7CB0"/>
    <w:rsid w:val="00AC3C7D"/>
    <w:rsid w:val="00AC5E2A"/>
    <w:rsid w:val="00AD2213"/>
    <w:rsid w:val="00AF0443"/>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212F"/>
    <w:rsid w:val="00B52AF4"/>
    <w:rsid w:val="00B537AA"/>
    <w:rsid w:val="00B56FF2"/>
    <w:rsid w:val="00B66F2B"/>
    <w:rsid w:val="00B8179D"/>
    <w:rsid w:val="00B84903"/>
    <w:rsid w:val="00B92025"/>
    <w:rsid w:val="00B967ED"/>
    <w:rsid w:val="00BA17CC"/>
    <w:rsid w:val="00BA6742"/>
    <w:rsid w:val="00BA7DCB"/>
    <w:rsid w:val="00BB43B3"/>
    <w:rsid w:val="00BC231E"/>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34FA"/>
    <w:rsid w:val="00C17134"/>
    <w:rsid w:val="00C20ACB"/>
    <w:rsid w:val="00C21F1E"/>
    <w:rsid w:val="00C22317"/>
    <w:rsid w:val="00C224CF"/>
    <w:rsid w:val="00C34B36"/>
    <w:rsid w:val="00C362FD"/>
    <w:rsid w:val="00C5095D"/>
    <w:rsid w:val="00C5104C"/>
    <w:rsid w:val="00C53775"/>
    <w:rsid w:val="00C57033"/>
    <w:rsid w:val="00C6149A"/>
    <w:rsid w:val="00C61A4D"/>
    <w:rsid w:val="00C63FF4"/>
    <w:rsid w:val="00C643D7"/>
    <w:rsid w:val="00C650C0"/>
    <w:rsid w:val="00C72612"/>
    <w:rsid w:val="00C87A81"/>
    <w:rsid w:val="00C94EED"/>
    <w:rsid w:val="00C9738A"/>
    <w:rsid w:val="00CA5206"/>
    <w:rsid w:val="00CA6B7F"/>
    <w:rsid w:val="00CB450A"/>
    <w:rsid w:val="00CB5439"/>
    <w:rsid w:val="00CB689E"/>
    <w:rsid w:val="00CB694A"/>
    <w:rsid w:val="00CC0844"/>
    <w:rsid w:val="00CC0E95"/>
    <w:rsid w:val="00CC2D24"/>
    <w:rsid w:val="00CC3041"/>
    <w:rsid w:val="00CD26A8"/>
    <w:rsid w:val="00CD3958"/>
    <w:rsid w:val="00CD3EB4"/>
    <w:rsid w:val="00CD526B"/>
    <w:rsid w:val="00CD68B8"/>
    <w:rsid w:val="00CE1EC9"/>
    <w:rsid w:val="00CE68B4"/>
    <w:rsid w:val="00CE768C"/>
    <w:rsid w:val="00D01379"/>
    <w:rsid w:val="00D0569E"/>
    <w:rsid w:val="00D11C7A"/>
    <w:rsid w:val="00D23560"/>
    <w:rsid w:val="00D27402"/>
    <w:rsid w:val="00D30536"/>
    <w:rsid w:val="00D31E4B"/>
    <w:rsid w:val="00D325EA"/>
    <w:rsid w:val="00D3565A"/>
    <w:rsid w:val="00D411BC"/>
    <w:rsid w:val="00D41306"/>
    <w:rsid w:val="00D42FB2"/>
    <w:rsid w:val="00D45F64"/>
    <w:rsid w:val="00D506F5"/>
    <w:rsid w:val="00D51A3F"/>
    <w:rsid w:val="00D54273"/>
    <w:rsid w:val="00D55ADC"/>
    <w:rsid w:val="00D62DF1"/>
    <w:rsid w:val="00D667BC"/>
    <w:rsid w:val="00D67830"/>
    <w:rsid w:val="00D71514"/>
    <w:rsid w:val="00D72228"/>
    <w:rsid w:val="00D72BB3"/>
    <w:rsid w:val="00D75CAE"/>
    <w:rsid w:val="00D761EE"/>
    <w:rsid w:val="00D76207"/>
    <w:rsid w:val="00D829AD"/>
    <w:rsid w:val="00D83EE7"/>
    <w:rsid w:val="00D852B7"/>
    <w:rsid w:val="00D860F4"/>
    <w:rsid w:val="00D8765D"/>
    <w:rsid w:val="00D91269"/>
    <w:rsid w:val="00D92486"/>
    <w:rsid w:val="00D96F9A"/>
    <w:rsid w:val="00DA178E"/>
    <w:rsid w:val="00DA1939"/>
    <w:rsid w:val="00DA6A22"/>
    <w:rsid w:val="00DB6D23"/>
    <w:rsid w:val="00DC0934"/>
    <w:rsid w:val="00DC46E0"/>
    <w:rsid w:val="00DC5752"/>
    <w:rsid w:val="00DD10CD"/>
    <w:rsid w:val="00DE4818"/>
    <w:rsid w:val="00DF2F86"/>
    <w:rsid w:val="00DF4D97"/>
    <w:rsid w:val="00DF780E"/>
    <w:rsid w:val="00E04115"/>
    <w:rsid w:val="00E05A25"/>
    <w:rsid w:val="00E06BE5"/>
    <w:rsid w:val="00E114E0"/>
    <w:rsid w:val="00E127EE"/>
    <w:rsid w:val="00E1663B"/>
    <w:rsid w:val="00E16D9A"/>
    <w:rsid w:val="00E26CB6"/>
    <w:rsid w:val="00E32C0B"/>
    <w:rsid w:val="00E33989"/>
    <w:rsid w:val="00E41A7C"/>
    <w:rsid w:val="00E42196"/>
    <w:rsid w:val="00E43AA8"/>
    <w:rsid w:val="00E44511"/>
    <w:rsid w:val="00E50929"/>
    <w:rsid w:val="00E547C7"/>
    <w:rsid w:val="00E6011D"/>
    <w:rsid w:val="00E624AA"/>
    <w:rsid w:val="00E66313"/>
    <w:rsid w:val="00E71EEB"/>
    <w:rsid w:val="00E80D1E"/>
    <w:rsid w:val="00E81B72"/>
    <w:rsid w:val="00E8550B"/>
    <w:rsid w:val="00E90FA3"/>
    <w:rsid w:val="00E91CF3"/>
    <w:rsid w:val="00E950EE"/>
    <w:rsid w:val="00E972E9"/>
    <w:rsid w:val="00EA4AF9"/>
    <w:rsid w:val="00EB17A4"/>
    <w:rsid w:val="00EB3115"/>
    <w:rsid w:val="00EB330A"/>
    <w:rsid w:val="00EB556C"/>
    <w:rsid w:val="00EB5B56"/>
    <w:rsid w:val="00EB75AB"/>
    <w:rsid w:val="00EC4AB3"/>
    <w:rsid w:val="00EC603D"/>
    <w:rsid w:val="00EC618E"/>
    <w:rsid w:val="00ED12D4"/>
    <w:rsid w:val="00ED4E89"/>
    <w:rsid w:val="00EE20B7"/>
    <w:rsid w:val="00EE5580"/>
    <w:rsid w:val="00EF7CDA"/>
    <w:rsid w:val="00F00998"/>
    <w:rsid w:val="00F06D26"/>
    <w:rsid w:val="00F0784F"/>
    <w:rsid w:val="00F204B5"/>
    <w:rsid w:val="00F2464A"/>
    <w:rsid w:val="00F25E73"/>
    <w:rsid w:val="00F41DAF"/>
    <w:rsid w:val="00F52B8C"/>
    <w:rsid w:val="00F602DF"/>
    <w:rsid w:val="00F67C33"/>
    <w:rsid w:val="00F7008C"/>
    <w:rsid w:val="00F74506"/>
    <w:rsid w:val="00F77351"/>
    <w:rsid w:val="00F81A9D"/>
    <w:rsid w:val="00F83C5D"/>
    <w:rsid w:val="00F83DAA"/>
    <w:rsid w:val="00F854CB"/>
    <w:rsid w:val="00F92E18"/>
    <w:rsid w:val="00F95CCB"/>
    <w:rsid w:val="00FA1D2C"/>
    <w:rsid w:val="00FA1F1A"/>
    <w:rsid w:val="00FA2237"/>
    <w:rsid w:val="00FA2C5D"/>
    <w:rsid w:val="00FA5FF9"/>
    <w:rsid w:val="00FB49E3"/>
    <w:rsid w:val="00FB64AE"/>
    <w:rsid w:val="00FB7DA7"/>
    <w:rsid w:val="00FC2897"/>
    <w:rsid w:val="00FC37C4"/>
    <w:rsid w:val="00FC5EC3"/>
    <w:rsid w:val="00FC78D0"/>
    <w:rsid w:val="00FD2F77"/>
    <w:rsid w:val="00FD2F93"/>
    <w:rsid w:val="00FD71F3"/>
    <w:rsid w:val="00FE7373"/>
    <w:rsid w:val="00FF1ECD"/>
    <w:rsid w:val="00FF6AE6"/>
    <w:rsid w:val="01276CE6"/>
    <w:rsid w:val="01391AF7"/>
    <w:rsid w:val="01946AD8"/>
    <w:rsid w:val="01A56820"/>
    <w:rsid w:val="01B73196"/>
    <w:rsid w:val="01DB0F21"/>
    <w:rsid w:val="01E138CE"/>
    <w:rsid w:val="01F85948"/>
    <w:rsid w:val="020D0CED"/>
    <w:rsid w:val="02353A89"/>
    <w:rsid w:val="02535E4C"/>
    <w:rsid w:val="025E5A02"/>
    <w:rsid w:val="027C5214"/>
    <w:rsid w:val="027D1EDC"/>
    <w:rsid w:val="02983B94"/>
    <w:rsid w:val="02AA6F17"/>
    <w:rsid w:val="02D0295C"/>
    <w:rsid w:val="02DD6033"/>
    <w:rsid w:val="02E6429D"/>
    <w:rsid w:val="02ED5A1C"/>
    <w:rsid w:val="03004097"/>
    <w:rsid w:val="032E5AB3"/>
    <w:rsid w:val="0380752A"/>
    <w:rsid w:val="039B5EA1"/>
    <w:rsid w:val="03B140D4"/>
    <w:rsid w:val="04360C8C"/>
    <w:rsid w:val="0445245C"/>
    <w:rsid w:val="044B1820"/>
    <w:rsid w:val="04874841"/>
    <w:rsid w:val="04AF0DC0"/>
    <w:rsid w:val="04B43CC1"/>
    <w:rsid w:val="04E35F2C"/>
    <w:rsid w:val="05080FE1"/>
    <w:rsid w:val="05485A55"/>
    <w:rsid w:val="056F48F0"/>
    <w:rsid w:val="05AB3E6A"/>
    <w:rsid w:val="05AF68F8"/>
    <w:rsid w:val="05CA3B1B"/>
    <w:rsid w:val="05CA44E8"/>
    <w:rsid w:val="05D40F8A"/>
    <w:rsid w:val="05E97CB2"/>
    <w:rsid w:val="060C08A1"/>
    <w:rsid w:val="060D6A3B"/>
    <w:rsid w:val="0611137B"/>
    <w:rsid w:val="061342EF"/>
    <w:rsid w:val="06141C07"/>
    <w:rsid w:val="06193B1E"/>
    <w:rsid w:val="06383C8B"/>
    <w:rsid w:val="06810FB4"/>
    <w:rsid w:val="06836FFF"/>
    <w:rsid w:val="068D3BE8"/>
    <w:rsid w:val="06A448DD"/>
    <w:rsid w:val="06C6067E"/>
    <w:rsid w:val="06C929F2"/>
    <w:rsid w:val="06DF18E2"/>
    <w:rsid w:val="0707497A"/>
    <w:rsid w:val="070B00E2"/>
    <w:rsid w:val="070D2099"/>
    <w:rsid w:val="0723158C"/>
    <w:rsid w:val="07375E64"/>
    <w:rsid w:val="07394A3D"/>
    <w:rsid w:val="07416329"/>
    <w:rsid w:val="074900A9"/>
    <w:rsid w:val="07501B9E"/>
    <w:rsid w:val="07686592"/>
    <w:rsid w:val="077706A0"/>
    <w:rsid w:val="077822B3"/>
    <w:rsid w:val="07B168A5"/>
    <w:rsid w:val="07BB122F"/>
    <w:rsid w:val="07BD7E25"/>
    <w:rsid w:val="07EC6275"/>
    <w:rsid w:val="07ED334C"/>
    <w:rsid w:val="07F11CC7"/>
    <w:rsid w:val="082500FC"/>
    <w:rsid w:val="0838785B"/>
    <w:rsid w:val="08597DA5"/>
    <w:rsid w:val="087D0B78"/>
    <w:rsid w:val="0920129B"/>
    <w:rsid w:val="092C1016"/>
    <w:rsid w:val="09823E4D"/>
    <w:rsid w:val="098852A8"/>
    <w:rsid w:val="09E704EE"/>
    <w:rsid w:val="09F268AC"/>
    <w:rsid w:val="0A187F18"/>
    <w:rsid w:val="0A211347"/>
    <w:rsid w:val="0A4B18CE"/>
    <w:rsid w:val="0A5B1BB3"/>
    <w:rsid w:val="0A6D3AAB"/>
    <w:rsid w:val="0A8A4B12"/>
    <w:rsid w:val="0AC800D5"/>
    <w:rsid w:val="0AFA19A7"/>
    <w:rsid w:val="0B181252"/>
    <w:rsid w:val="0B2543AA"/>
    <w:rsid w:val="0B611AFC"/>
    <w:rsid w:val="0B651CEF"/>
    <w:rsid w:val="0C000C64"/>
    <w:rsid w:val="0C275A89"/>
    <w:rsid w:val="0C686809"/>
    <w:rsid w:val="0CBB5882"/>
    <w:rsid w:val="0CC40F79"/>
    <w:rsid w:val="0CF34325"/>
    <w:rsid w:val="0D006A41"/>
    <w:rsid w:val="0D361B4D"/>
    <w:rsid w:val="0D531CDF"/>
    <w:rsid w:val="0DCA3125"/>
    <w:rsid w:val="0DE545B5"/>
    <w:rsid w:val="0E003677"/>
    <w:rsid w:val="0E3063A7"/>
    <w:rsid w:val="0E416A77"/>
    <w:rsid w:val="0E4450FC"/>
    <w:rsid w:val="0E4A4418"/>
    <w:rsid w:val="0E5C2657"/>
    <w:rsid w:val="0E682AF0"/>
    <w:rsid w:val="0E737A33"/>
    <w:rsid w:val="0E827E9C"/>
    <w:rsid w:val="0EA34036"/>
    <w:rsid w:val="0EB049DF"/>
    <w:rsid w:val="0EB63F9D"/>
    <w:rsid w:val="0EE77EB9"/>
    <w:rsid w:val="0F0528DC"/>
    <w:rsid w:val="0F114F36"/>
    <w:rsid w:val="0F20786F"/>
    <w:rsid w:val="0F245037"/>
    <w:rsid w:val="0F54794B"/>
    <w:rsid w:val="0F6A354E"/>
    <w:rsid w:val="0F702826"/>
    <w:rsid w:val="0F7F4595"/>
    <w:rsid w:val="0F8646C3"/>
    <w:rsid w:val="0F88478D"/>
    <w:rsid w:val="0F98145F"/>
    <w:rsid w:val="0FAD2E15"/>
    <w:rsid w:val="0FB73DA5"/>
    <w:rsid w:val="0FD20B69"/>
    <w:rsid w:val="0FDE2587"/>
    <w:rsid w:val="0FDF43EB"/>
    <w:rsid w:val="103435D2"/>
    <w:rsid w:val="103649EC"/>
    <w:rsid w:val="10507757"/>
    <w:rsid w:val="107A1082"/>
    <w:rsid w:val="108A2A32"/>
    <w:rsid w:val="108B0D18"/>
    <w:rsid w:val="109E7189"/>
    <w:rsid w:val="10C72BB3"/>
    <w:rsid w:val="10EB7E81"/>
    <w:rsid w:val="10FD7E68"/>
    <w:rsid w:val="115206FB"/>
    <w:rsid w:val="11531DCE"/>
    <w:rsid w:val="11664A63"/>
    <w:rsid w:val="11B40613"/>
    <w:rsid w:val="11BB5E31"/>
    <w:rsid w:val="11BE2022"/>
    <w:rsid w:val="11D83EA2"/>
    <w:rsid w:val="12203AA7"/>
    <w:rsid w:val="122510EE"/>
    <w:rsid w:val="12405481"/>
    <w:rsid w:val="12490E8B"/>
    <w:rsid w:val="128D1331"/>
    <w:rsid w:val="12A3197E"/>
    <w:rsid w:val="12C1355D"/>
    <w:rsid w:val="12EA1EE6"/>
    <w:rsid w:val="12EF7289"/>
    <w:rsid w:val="13374C44"/>
    <w:rsid w:val="133D7CD4"/>
    <w:rsid w:val="134D5A81"/>
    <w:rsid w:val="137D2B9A"/>
    <w:rsid w:val="13BF6991"/>
    <w:rsid w:val="13E744B7"/>
    <w:rsid w:val="13ED41C3"/>
    <w:rsid w:val="13F0123C"/>
    <w:rsid w:val="13F03DED"/>
    <w:rsid w:val="13F95DC4"/>
    <w:rsid w:val="13FB64F0"/>
    <w:rsid w:val="14084CE2"/>
    <w:rsid w:val="141D50C3"/>
    <w:rsid w:val="141E6F89"/>
    <w:rsid w:val="142A3E2D"/>
    <w:rsid w:val="14306226"/>
    <w:rsid w:val="143F2545"/>
    <w:rsid w:val="144A7973"/>
    <w:rsid w:val="14610001"/>
    <w:rsid w:val="146572C9"/>
    <w:rsid w:val="14861F22"/>
    <w:rsid w:val="14900156"/>
    <w:rsid w:val="149B4240"/>
    <w:rsid w:val="14C91E0F"/>
    <w:rsid w:val="14DD6AB1"/>
    <w:rsid w:val="14E76398"/>
    <w:rsid w:val="14FB7DA2"/>
    <w:rsid w:val="1565494C"/>
    <w:rsid w:val="1568787A"/>
    <w:rsid w:val="158710F3"/>
    <w:rsid w:val="158A77F0"/>
    <w:rsid w:val="15C522B7"/>
    <w:rsid w:val="15C772F3"/>
    <w:rsid w:val="15CE4C34"/>
    <w:rsid w:val="15D45E04"/>
    <w:rsid w:val="15F0775C"/>
    <w:rsid w:val="15FC2159"/>
    <w:rsid w:val="1600198B"/>
    <w:rsid w:val="160A0AD0"/>
    <w:rsid w:val="16377978"/>
    <w:rsid w:val="163F4A7E"/>
    <w:rsid w:val="16401732"/>
    <w:rsid w:val="165B6F79"/>
    <w:rsid w:val="166E5EB0"/>
    <w:rsid w:val="16785E3E"/>
    <w:rsid w:val="16846935"/>
    <w:rsid w:val="168F6536"/>
    <w:rsid w:val="16F50974"/>
    <w:rsid w:val="17050BE4"/>
    <w:rsid w:val="17710C68"/>
    <w:rsid w:val="177A195D"/>
    <w:rsid w:val="177E3B20"/>
    <w:rsid w:val="17AE4B7A"/>
    <w:rsid w:val="17C07EAA"/>
    <w:rsid w:val="17D8243D"/>
    <w:rsid w:val="17EB2DCD"/>
    <w:rsid w:val="1820060E"/>
    <w:rsid w:val="18205BA9"/>
    <w:rsid w:val="182A4579"/>
    <w:rsid w:val="18370FAA"/>
    <w:rsid w:val="188D7D42"/>
    <w:rsid w:val="18C45643"/>
    <w:rsid w:val="1917583F"/>
    <w:rsid w:val="191C10A7"/>
    <w:rsid w:val="19240771"/>
    <w:rsid w:val="194C7917"/>
    <w:rsid w:val="1955531B"/>
    <w:rsid w:val="19575882"/>
    <w:rsid w:val="195E155B"/>
    <w:rsid w:val="198C7FDB"/>
    <w:rsid w:val="19FB7A0B"/>
    <w:rsid w:val="1A0C41D1"/>
    <w:rsid w:val="1A336BE7"/>
    <w:rsid w:val="1A612D7C"/>
    <w:rsid w:val="1A807E72"/>
    <w:rsid w:val="1A845156"/>
    <w:rsid w:val="1A8A2A47"/>
    <w:rsid w:val="1AA743A2"/>
    <w:rsid w:val="1ABA0B77"/>
    <w:rsid w:val="1AEC4CFD"/>
    <w:rsid w:val="1B16166A"/>
    <w:rsid w:val="1B2A7F25"/>
    <w:rsid w:val="1B2E017E"/>
    <w:rsid w:val="1B3F5786"/>
    <w:rsid w:val="1B4B7A22"/>
    <w:rsid w:val="1B5B36F7"/>
    <w:rsid w:val="1B6050F1"/>
    <w:rsid w:val="1BAD4238"/>
    <w:rsid w:val="1BB93E83"/>
    <w:rsid w:val="1BC644B6"/>
    <w:rsid w:val="1C275ED7"/>
    <w:rsid w:val="1C613AB1"/>
    <w:rsid w:val="1C61484A"/>
    <w:rsid w:val="1C8A6D4D"/>
    <w:rsid w:val="1C8C0466"/>
    <w:rsid w:val="1C9846E4"/>
    <w:rsid w:val="1CB13F8E"/>
    <w:rsid w:val="1CC854C2"/>
    <w:rsid w:val="1CD73E0F"/>
    <w:rsid w:val="1CDF0A2F"/>
    <w:rsid w:val="1D0121D0"/>
    <w:rsid w:val="1D0B504C"/>
    <w:rsid w:val="1D494FEE"/>
    <w:rsid w:val="1D5B524F"/>
    <w:rsid w:val="1D6D3522"/>
    <w:rsid w:val="1D855C9C"/>
    <w:rsid w:val="1D8638E8"/>
    <w:rsid w:val="1D9E3B64"/>
    <w:rsid w:val="1DAB5588"/>
    <w:rsid w:val="1DD35A76"/>
    <w:rsid w:val="1DD72694"/>
    <w:rsid w:val="1DDE1DE9"/>
    <w:rsid w:val="1DF61C3F"/>
    <w:rsid w:val="1DFA7416"/>
    <w:rsid w:val="1E5740C0"/>
    <w:rsid w:val="1EF26B32"/>
    <w:rsid w:val="1F474868"/>
    <w:rsid w:val="1F6E2F8D"/>
    <w:rsid w:val="1F883C9F"/>
    <w:rsid w:val="1F971592"/>
    <w:rsid w:val="1FA76AC2"/>
    <w:rsid w:val="1FB63942"/>
    <w:rsid w:val="1FB94E27"/>
    <w:rsid w:val="1FF41576"/>
    <w:rsid w:val="20005D65"/>
    <w:rsid w:val="2011123A"/>
    <w:rsid w:val="20183BB5"/>
    <w:rsid w:val="202E4B7E"/>
    <w:rsid w:val="206D51FF"/>
    <w:rsid w:val="209D2ACD"/>
    <w:rsid w:val="20AF20C5"/>
    <w:rsid w:val="20C906A6"/>
    <w:rsid w:val="20DB2F08"/>
    <w:rsid w:val="20ED7306"/>
    <w:rsid w:val="20F96916"/>
    <w:rsid w:val="20FB77F4"/>
    <w:rsid w:val="211106C5"/>
    <w:rsid w:val="21163B53"/>
    <w:rsid w:val="214271D1"/>
    <w:rsid w:val="21431785"/>
    <w:rsid w:val="214E5900"/>
    <w:rsid w:val="215C6622"/>
    <w:rsid w:val="217527FA"/>
    <w:rsid w:val="2176795E"/>
    <w:rsid w:val="21843C8D"/>
    <w:rsid w:val="21957F46"/>
    <w:rsid w:val="219E251A"/>
    <w:rsid w:val="21C24F4B"/>
    <w:rsid w:val="21ED35E0"/>
    <w:rsid w:val="21FB3F4F"/>
    <w:rsid w:val="22071464"/>
    <w:rsid w:val="22117F49"/>
    <w:rsid w:val="22220439"/>
    <w:rsid w:val="2232235C"/>
    <w:rsid w:val="224C010D"/>
    <w:rsid w:val="22732280"/>
    <w:rsid w:val="228D17C6"/>
    <w:rsid w:val="22CA3922"/>
    <w:rsid w:val="23291785"/>
    <w:rsid w:val="23710488"/>
    <w:rsid w:val="2381304A"/>
    <w:rsid w:val="23863C23"/>
    <w:rsid w:val="23B80062"/>
    <w:rsid w:val="23BB002C"/>
    <w:rsid w:val="23C33515"/>
    <w:rsid w:val="23D40E3B"/>
    <w:rsid w:val="23D9206E"/>
    <w:rsid w:val="23F1680C"/>
    <w:rsid w:val="23F36BF2"/>
    <w:rsid w:val="24064638"/>
    <w:rsid w:val="243E15D5"/>
    <w:rsid w:val="243E7F4B"/>
    <w:rsid w:val="2441700C"/>
    <w:rsid w:val="24551238"/>
    <w:rsid w:val="245E2574"/>
    <w:rsid w:val="248E2DBA"/>
    <w:rsid w:val="24BD373E"/>
    <w:rsid w:val="24EA3E07"/>
    <w:rsid w:val="24FD2A9C"/>
    <w:rsid w:val="25224672"/>
    <w:rsid w:val="25250089"/>
    <w:rsid w:val="25252A8D"/>
    <w:rsid w:val="258601E7"/>
    <w:rsid w:val="2592529E"/>
    <w:rsid w:val="259F2E44"/>
    <w:rsid w:val="25A67057"/>
    <w:rsid w:val="25B9333C"/>
    <w:rsid w:val="25D54115"/>
    <w:rsid w:val="25F72F27"/>
    <w:rsid w:val="260311ED"/>
    <w:rsid w:val="26075EA7"/>
    <w:rsid w:val="260F4C55"/>
    <w:rsid w:val="26143AC5"/>
    <w:rsid w:val="261C5D65"/>
    <w:rsid w:val="26224F7B"/>
    <w:rsid w:val="26291B1A"/>
    <w:rsid w:val="26487037"/>
    <w:rsid w:val="265D1D80"/>
    <w:rsid w:val="26763E6F"/>
    <w:rsid w:val="267C3983"/>
    <w:rsid w:val="26A034EE"/>
    <w:rsid w:val="26D82BDE"/>
    <w:rsid w:val="26EB0757"/>
    <w:rsid w:val="26F64CE5"/>
    <w:rsid w:val="270101AC"/>
    <w:rsid w:val="273A290F"/>
    <w:rsid w:val="274D71B2"/>
    <w:rsid w:val="2751147F"/>
    <w:rsid w:val="278B260B"/>
    <w:rsid w:val="279C6957"/>
    <w:rsid w:val="27D32B77"/>
    <w:rsid w:val="27DE5929"/>
    <w:rsid w:val="27E14C4C"/>
    <w:rsid w:val="27EB411E"/>
    <w:rsid w:val="281A2C55"/>
    <w:rsid w:val="28617A68"/>
    <w:rsid w:val="286C62A1"/>
    <w:rsid w:val="287543F9"/>
    <w:rsid w:val="288D78CB"/>
    <w:rsid w:val="28926B4E"/>
    <w:rsid w:val="28A069B8"/>
    <w:rsid w:val="28B74948"/>
    <w:rsid w:val="28E70E00"/>
    <w:rsid w:val="28F72971"/>
    <w:rsid w:val="291D7223"/>
    <w:rsid w:val="29384AFF"/>
    <w:rsid w:val="294C32E2"/>
    <w:rsid w:val="295F542A"/>
    <w:rsid w:val="297F73E4"/>
    <w:rsid w:val="29A17326"/>
    <w:rsid w:val="2A293624"/>
    <w:rsid w:val="2A3073E0"/>
    <w:rsid w:val="2A614B6C"/>
    <w:rsid w:val="2A9F5945"/>
    <w:rsid w:val="2ACB46DB"/>
    <w:rsid w:val="2AE35535"/>
    <w:rsid w:val="2B1D68D9"/>
    <w:rsid w:val="2B496FA3"/>
    <w:rsid w:val="2B532BFE"/>
    <w:rsid w:val="2B930C5A"/>
    <w:rsid w:val="2BB024B4"/>
    <w:rsid w:val="2BC60F98"/>
    <w:rsid w:val="2BCB45F0"/>
    <w:rsid w:val="2BE075C6"/>
    <w:rsid w:val="2BF212E7"/>
    <w:rsid w:val="2C066A1A"/>
    <w:rsid w:val="2C0B4AE6"/>
    <w:rsid w:val="2C46226B"/>
    <w:rsid w:val="2C8165FA"/>
    <w:rsid w:val="2CA3162D"/>
    <w:rsid w:val="2CAC7CBD"/>
    <w:rsid w:val="2CB33219"/>
    <w:rsid w:val="2CCC08A3"/>
    <w:rsid w:val="2CEE1B1D"/>
    <w:rsid w:val="2D0A514C"/>
    <w:rsid w:val="2D527BCC"/>
    <w:rsid w:val="2D6D2D27"/>
    <w:rsid w:val="2DB15E62"/>
    <w:rsid w:val="2DB235BF"/>
    <w:rsid w:val="2DC43ECD"/>
    <w:rsid w:val="2DE35EF1"/>
    <w:rsid w:val="2DF746EE"/>
    <w:rsid w:val="2E025438"/>
    <w:rsid w:val="2E3600BD"/>
    <w:rsid w:val="2E38354B"/>
    <w:rsid w:val="2E577392"/>
    <w:rsid w:val="2E8B1B62"/>
    <w:rsid w:val="2E9574DA"/>
    <w:rsid w:val="2E970AE4"/>
    <w:rsid w:val="2EB227A5"/>
    <w:rsid w:val="2F1E618A"/>
    <w:rsid w:val="2F5F226E"/>
    <w:rsid w:val="2F822BAC"/>
    <w:rsid w:val="2F9037FD"/>
    <w:rsid w:val="2FAF1032"/>
    <w:rsid w:val="301F6139"/>
    <w:rsid w:val="3029016A"/>
    <w:rsid w:val="30641E74"/>
    <w:rsid w:val="306E7FE2"/>
    <w:rsid w:val="3075311F"/>
    <w:rsid w:val="307C202C"/>
    <w:rsid w:val="30810E1D"/>
    <w:rsid w:val="30890163"/>
    <w:rsid w:val="30A12166"/>
    <w:rsid w:val="30A93220"/>
    <w:rsid w:val="30AB4D93"/>
    <w:rsid w:val="30AC721C"/>
    <w:rsid w:val="30BC0D4E"/>
    <w:rsid w:val="30CC243B"/>
    <w:rsid w:val="30F050B8"/>
    <w:rsid w:val="30F97581"/>
    <w:rsid w:val="31070655"/>
    <w:rsid w:val="312B1A2F"/>
    <w:rsid w:val="314256C4"/>
    <w:rsid w:val="314D1E5E"/>
    <w:rsid w:val="31947CF5"/>
    <w:rsid w:val="31A1316D"/>
    <w:rsid w:val="31DB5204"/>
    <w:rsid w:val="31FC1299"/>
    <w:rsid w:val="326353A7"/>
    <w:rsid w:val="329C0DE9"/>
    <w:rsid w:val="329F04E5"/>
    <w:rsid w:val="32F9755F"/>
    <w:rsid w:val="331167D3"/>
    <w:rsid w:val="331B2806"/>
    <w:rsid w:val="333214D1"/>
    <w:rsid w:val="334D3EDF"/>
    <w:rsid w:val="3366323B"/>
    <w:rsid w:val="3370495E"/>
    <w:rsid w:val="339D32F3"/>
    <w:rsid w:val="33CC0FC6"/>
    <w:rsid w:val="33D62126"/>
    <w:rsid w:val="33DD0EAC"/>
    <w:rsid w:val="3406224F"/>
    <w:rsid w:val="34143D51"/>
    <w:rsid w:val="34302898"/>
    <w:rsid w:val="343060D1"/>
    <w:rsid w:val="345B460B"/>
    <w:rsid w:val="348E2B4F"/>
    <w:rsid w:val="34BB4966"/>
    <w:rsid w:val="34F8431E"/>
    <w:rsid w:val="350E221C"/>
    <w:rsid w:val="352F7CE5"/>
    <w:rsid w:val="35456A18"/>
    <w:rsid w:val="354B5D8C"/>
    <w:rsid w:val="356C1A5A"/>
    <w:rsid w:val="35AB75E3"/>
    <w:rsid w:val="35BE1739"/>
    <w:rsid w:val="35C912A7"/>
    <w:rsid w:val="35C97D56"/>
    <w:rsid w:val="35DA3A24"/>
    <w:rsid w:val="35E376C2"/>
    <w:rsid w:val="35EE5D6B"/>
    <w:rsid w:val="362829E1"/>
    <w:rsid w:val="3637765B"/>
    <w:rsid w:val="363A3F05"/>
    <w:rsid w:val="365311E6"/>
    <w:rsid w:val="367112A8"/>
    <w:rsid w:val="3689036D"/>
    <w:rsid w:val="36EF1705"/>
    <w:rsid w:val="370E78C2"/>
    <w:rsid w:val="37120FD8"/>
    <w:rsid w:val="37472705"/>
    <w:rsid w:val="375445E4"/>
    <w:rsid w:val="37671019"/>
    <w:rsid w:val="376964D6"/>
    <w:rsid w:val="37907FE4"/>
    <w:rsid w:val="379C3619"/>
    <w:rsid w:val="37A7638D"/>
    <w:rsid w:val="37BF1F63"/>
    <w:rsid w:val="37DD280A"/>
    <w:rsid w:val="37F466EA"/>
    <w:rsid w:val="380D1430"/>
    <w:rsid w:val="384758D1"/>
    <w:rsid w:val="384A2F51"/>
    <w:rsid w:val="384F083A"/>
    <w:rsid w:val="38651CCB"/>
    <w:rsid w:val="3867035C"/>
    <w:rsid w:val="38B60778"/>
    <w:rsid w:val="38CC73F3"/>
    <w:rsid w:val="38D33B52"/>
    <w:rsid w:val="38FB262F"/>
    <w:rsid w:val="390D5279"/>
    <w:rsid w:val="39186D3D"/>
    <w:rsid w:val="392C27E9"/>
    <w:rsid w:val="392E6E71"/>
    <w:rsid w:val="393F251C"/>
    <w:rsid w:val="395B66C1"/>
    <w:rsid w:val="395E1562"/>
    <w:rsid w:val="395E3B0F"/>
    <w:rsid w:val="399138F8"/>
    <w:rsid w:val="39AE15AC"/>
    <w:rsid w:val="39E83FB4"/>
    <w:rsid w:val="3A153790"/>
    <w:rsid w:val="3A1942C1"/>
    <w:rsid w:val="3A1F11A7"/>
    <w:rsid w:val="3A492703"/>
    <w:rsid w:val="3A7109FB"/>
    <w:rsid w:val="3A7D60A3"/>
    <w:rsid w:val="3A86575A"/>
    <w:rsid w:val="3A995C5C"/>
    <w:rsid w:val="3ACB38F2"/>
    <w:rsid w:val="3AD83F3F"/>
    <w:rsid w:val="3AF92B9E"/>
    <w:rsid w:val="3B115AB0"/>
    <w:rsid w:val="3B341FC1"/>
    <w:rsid w:val="3B5925A3"/>
    <w:rsid w:val="3B6F11E8"/>
    <w:rsid w:val="3B732683"/>
    <w:rsid w:val="3B80172C"/>
    <w:rsid w:val="3B851216"/>
    <w:rsid w:val="3B961039"/>
    <w:rsid w:val="3B974891"/>
    <w:rsid w:val="3BFB79F7"/>
    <w:rsid w:val="3C421FE9"/>
    <w:rsid w:val="3C5B6EE5"/>
    <w:rsid w:val="3C7C75E3"/>
    <w:rsid w:val="3C8C1F1C"/>
    <w:rsid w:val="3CAB1C76"/>
    <w:rsid w:val="3CB868C0"/>
    <w:rsid w:val="3CCA47F2"/>
    <w:rsid w:val="3CD64F45"/>
    <w:rsid w:val="3CE038F8"/>
    <w:rsid w:val="3D0B4A9A"/>
    <w:rsid w:val="3D121CF5"/>
    <w:rsid w:val="3D517AA3"/>
    <w:rsid w:val="3D8D46A8"/>
    <w:rsid w:val="3DA349DC"/>
    <w:rsid w:val="3DA43295"/>
    <w:rsid w:val="3DAD3E60"/>
    <w:rsid w:val="3DB45F9A"/>
    <w:rsid w:val="3DC16694"/>
    <w:rsid w:val="3E0D119A"/>
    <w:rsid w:val="3E1E2E95"/>
    <w:rsid w:val="3E3457B0"/>
    <w:rsid w:val="3E470969"/>
    <w:rsid w:val="3E766473"/>
    <w:rsid w:val="3E9753EA"/>
    <w:rsid w:val="3E9948D1"/>
    <w:rsid w:val="3E9C6CF1"/>
    <w:rsid w:val="3EAA4DA9"/>
    <w:rsid w:val="3EBF7C5B"/>
    <w:rsid w:val="3EC3599D"/>
    <w:rsid w:val="3ECB1DC0"/>
    <w:rsid w:val="3ED7475C"/>
    <w:rsid w:val="3EE41CB3"/>
    <w:rsid w:val="3EF70024"/>
    <w:rsid w:val="3F2A77CA"/>
    <w:rsid w:val="3F2B709E"/>
    <w:rsid w:val="3F4141DC"/>
    <w:rsid w:val="3F43088C"/>
    <w:rsid w:val="3F5A27C7"/>
    <w:rsid w:val="3F5E71A0"/>
    <w:rsid w:val="3F73566E"/>
    <w:rsid w:val="3F7F3F6B"/>
    <w:rsid w:val="3F84480C"/>
    <w:rsid w:val="3FAA346A"/>
    <w:rsid w:val="3FAB012A"/>
    <w:rsid w:val="3FAB317E"/>
    <w:rsid w:val="3FBC64AD"/>
    <w:rsid w:val="3FC32226"/>
    <w:rsid w:val="3FC95FA6"/>
    <w:rsid w:val="3FDA2F9E"/>
    <w:rsid w:val="3FF373E3"/>
    <w:rsid w:val="401C5365"/>
    <w:rsid w:val="402D5B27"/>
    <w:rsid w:val="40576FA2"/>
    <w:rsid w:val="40602185"/>
    <w:rsid w:val="406214AE"/>
    <w:rsid w:val="406571D2"/>
    <w:rsid w:val="406D3C7A"/>
    <w:rsid w:val="40715E59"/>
    <w:rsid w:val="4081341A"/>
    <w:rsid w:val="408D0A8F"/>
    <w:rsid w:val="40A1642F"/>
    <w:rsid w:val="40DD4529"/>
    <w:rsid w:val="414920DE"/>
    <w:rsid w:val="41550B18"/>
    <w:rsid w:val="41803457"/>
    <w:rsid w:val="41A02631"/>
    <w:rsid w:val="41B94E35"/>
    <w:rsid w:val="41C40D9E"/>
    <w:rsid w:val="41E371A6"/>
    <w:rsid w:val="4206324A"/>
    <w:rsid w:val="4234435F"/>
    <w:rsid w:val="428B0580"/>
    <w:rsid w:val="42980EEF"/>
    <w:rsid w:val="42B01A80"/>
    <w:rsid w:val="42B540C6"/>
    <w:rsid w:val="42D44852"/>
    <w:rsid w:val="43124DBF"/>
    <w:rsid w:val="431D39EB"/>
    <w:rsid w:val="43267EE9"/>
    <w:rsid w:val="43411BCB"/>
    <w:rsid w:val="435C4BA0"/>
    <w:rsid w:val="4373005F"/>
    <w:rsid w:val="4382178C"/>
    <w:rsid w:val="43DF68B0"/>
    <w:rsid w:val="440E1469"/>
    <w:rsid w:val="441D09AD"/>
    <w:rsid w:val="44781DAA"/>
    <w:rsid w:val="449576D9"/>
    <w:rsid w:val="44B33DBE"/>
    <w:rsid w:val="44CA357E"/>
    <w:rsid w:val="44F75E5D"/>
    <w:rsid w:val="45424F2A"/>
    <w:rsid w:val="4557299B"/>
    <w:rsid w:val="45585F0F"/>
    <w:rsid w:val="45CC02C6"/>
    <w:rsid w:val="45CF460B"/>
    <w:rsid w:val="45D30400"/>
    <w:rsid w:val="45E27E1E"/>
    <w:rsid w:val="45E439D3"/>
    <w:rsid w:val="46367D71"/>
    <w:rsid w:val="464B0184"/>
    <w:rsid w:val="465339C1"/>
    <w:rsid w:val="46546F3A"/>
    <w:rsid w:val="46B856BC"/>
    <w:rsid w:val="46C87FF5"/>
    <w:rsid w:val="470316C4"/>
    <w:rsid w:val="470E368E"/>
    <w:rsid w:val="47445BC8"/>
    <w:rsid w:val="47483BCD"/>
    <w:rsid w:val="475148DA"/>
    <w:rsid w:val="47875EB6"/>
    <w:rsid w:val="47AC7367"/>
    <w:rsid w:val="47BA5BC1"/>
    <w:rsid w:val="47C7285C"/>
    <w:rsid w:val="480C69CA"/>
    <w:rsid w:val="481F5DCA"/>
    <w:rsid w:val="485A5A36"/>
    <w:rsid w:val="486D2524"/>
    <w:rsid w:val="48704B8E"/>
    <w:rsid w:val="487519F9"/>
    <w:rsid w:val="48761A10"/>
    <w:rsid w:val="487D6BBD"/>
    <w:rsid w:val="48A46D51"/>
    <w:rsid w:val="48D72ABD"/>
    <w:rsid w:val="48E938EC"/>
    <w:rsid w:val="48EE3617"/>
    <w:rsid w:val="48F81653"/>
    <w:rsid w:val="49032C95"/>
    <w:rsid w:val="490979B0"/>
    <w:rsid w:val="4943606A"/>
    <w:rsid w:val="494732CE"/>
    <w:rsid w:val="49793BC2"/>
    <w:rsid w:val="497F756E"/>
    <w:rsid w:val="49973CAE"/>
    <w:rsid w:val="49A415E1"/>
    <w:rsid w:val="49C87E68"/>
    <w:rsid w:val="49C975FA"/>
    <w:rsid w:val="49D0601C"/>
    <w:rsid w:val="49E807A3"/>
    <w:rsid w:val="49F720E7"/>
    <w:rsid w:val="4A084BAC"/>
    <w:rsid w:val="4A0A5885"/>
    <w:rsid w:val="4A2117CA"/>
    <w:rsid w:val="4A2F2139"/>
    <w:rsid w:val="4AE6721D"/>
    <w:rsid w:val="4AF07B1A"/>
    <w:rsid w:val="4AFC7BF7"/>
    <w:rsid w:val="4B073A5C"/>
    <w:rsid w:val="4B094738"/>
    <w:rsid w:val="4B2C52D5"/>
    <w:rsid w:val="4B44760D"/>
    <w:rsid w:val="4B5C5D27"/>
    <w:rsid w:val="4B5E326D"/>
    <w:rsid w:val="4B731B6E"/>
    <w:rsid w:val="4B79654B"/>
    <w:rsid w:val="4B7B155A"/>
    <w:rsid w:val="4B840ACD"/>
    <w:rsid w:val="4B8C42AD"/>
    <w:rsid w:val="4B95246F"/>
    <w:rsid w:val="4BAF1783"/>
    <w:rsid w:val="4BBC4AE1"/>
    <w:rsid w:val="4BCB2D04"/>
    <w:rsid w:val="4BF72474"/>
    <w:rsid w:val="4C001C76"/>
    <w:rsid w:val="4C2E5AE5"/>
    <w:rsid w:val="4C4F0B45"/>
    <w:rsid w:val="4C716E34"/>
    <w:rsid w:val="4CA465C7"/>
    <w:rsid w:val="4CE95658"/>
    <w:rsid w:val="4D2E5D0E"/>
    <w:rsid w:val="4D3F2693"/>
    <w:rsid w:val="4D6C4AF0"/>
    <w:rsid w:val="4D777E98"/>
    <w:rsid w:val="4D807DB7"/>
    <w:rsid w:val="4D9F7987"/>
    <w:rsid w:val="4DA954F8"/>
    <w:rsid w:val="4DA969FC"/>
    <w:rsid w:val="4DB73FDD"/>
    <w:rsid w:val="4DB84393"/>
    <w:rsid w:val="4DF01BDF"/>
    <w:rsid w:val="4DF55447"/>
    <w:rsid w:val="4E2541C1"/>
    <w:rsid w:val="4ED214E4"/>
    <w:rsid w:val="4EE302F0"/>
    <w:rsid w:val="4EEA4880"/>
    <w:rsid w:val="4EF75255"/>
    <w:rsid w:val="4F066320"/>
    <w:rsid w:val="4F0C4606"/>
    <w:rsid w:val="4F4E6EBF"/>
    <w:rsid w:val="4F605720"/>
    <w:rsid w:val="4F6F4A92"/>
    <w:rsid w:val="4F7D4C71"/>
    <w:rsid w:val="4FCA7073"/>
    <w:rsid w:val="4FE259E9"/>
    <w:rsid w:val="501D7C2E"/>
    <w:rsid w:val="502D711A"/>
    <w:rsid w:val="504662EB"/>
    <w:rsid w:val="5079671E"/>
    <w:rsid w:val="50854DD4"/>
    <w:rsid w:val="50963550"/>
    <w:rsid w:val="50B7257F"/>
    <w:rsid w:val="50C51101"/>
    <w:rsid w:val="50F809EE"/>
    <w:rsid w:val="512C7508"/>
    <w:rsid w:val="51383A19"/>
    <w:rsid w:val="51825244"/>
    <w:rsid w:val="518F0997"/>
    <w:rsid w:val="519A258E"/>
    <w:rsid w:val="51AB3449"/>
    <w:rsid w:val="51E7284C"/>
    <w:rsid w:val="51EC4A5E"/>
    <w:rsid w:val="52321D93"/>
    <w:rsid w:val="52420452"/>
    <w:rsid w:val="52533FC1"/>
    <w:rsid w:val="527057A6"/>
    <w:rsid w:val="528175D5"/>
    <w:rsid w:val="52B54959"/>
    <w:rsid w:val="52B7716F"/>
    <w:rsid w:val="536A5F90"/>
    <w:rsid w:val="53BB70AD"/>
    <w:rsid w:val="53DA43C4"/>
    <w:rsid w:val="53E267AB"/>
    <w:rsid w:val="54194A99"/>
    <w:rsid w:val="54300F87"/>
    <w:rsid w:val="5435659E"/>
    <w:rsid w:val="543E1F56"/>
    <w:rsid w:val="54B756AE"/>
    <w:rsid w:val="54D02C4B"/>
    <w:rsid w:val="55112B45"/>
    <w:rsid w:val="55230788"/>
    <w:rsid w:val="55351206"/>
    <w:rsid w:val="55482300"/>
    <w:rsid w:val="55653C63"/>
    <w:rsid w:val="556B0889"/>
    <w:rsid w:val="558F79BB"/>
    <w:rsid w:val="55945546"/>
    <w:rsid w:val="55A649AE"/>
    <w:rsid w:val="55D178C1"/>
    <w:rsid w:val="55D93627"/>
    <w:rsid w:val="55E22755"/>
    <w:rsid w:val="560A5808"/>
    <w:rsid w:val="56256C9C"/>
    <w:rsid w:val="56602AF8"/>
    <w:rsid w:val="568455BA"/>
    <w:rsid w:val="569D1848"/>
    <w:rsid w:val="56B13A64"/>
    <w:rsid w:val="56BA3AA0"/>
    <w:rsid w:val="56CF6D97"/>
    <w:rsid w:val="56D66689"/>
    <w:rsid w:val="56D937B7"/>
    <w:rsid w:val="570E46A2"/>
    <w:rsid w:val="572D11C4"/>
    <w:rsid w:val="5764012A"/>
    <w:rsid w:val="57847C36"/>
    <w:rsid w:val="5797131D"/>
    <w:rsid w:val="57A426FE"/>
    <w:rsid w:val="57AC12E1"/>
    <w:rsid w:val="57DD1D89"/>
    <w:rsid w:val="57F038B1"/>
    <w:rsid w:val="57FF75EE"/>
    <w:rsid w:val="586A742C"/>
    <w:rsid w:val="587D6B69"/>
    <w:rsid w:val="5881039C"/>
    <w:rsid w:val="588D61F2"/>
    <w:rsid w:val="58C134D7"/>
    <w:rsid w:val="58C94C3F"/>
    <w:rsid w:val="58E02EAE"/>
    <w:rsid w:val="58E13419"/>
    <w:rsid w:val="59060578"/>
    <w:rsid w:val="591E42EB"/>
    <w:rsid w:val="592A1676"/>
    <w:rsid w:val="59771F1D"/>
    <w:rsid w:val="598E39A2"/>
    <w:rsid w:val="59C679E6"/>
    <w:rsid w:val="59E71DDE"/>
    <w:rsid w:val="59F7288F"/>
    <w:rsid w:val="59FB6128"/>
    <w:rsid w:val="5A064D2E"/>
    <w:rsid w:val="5A0B7169"/>
    <w:rsid w:val="5A1A5D73"/>
    <w:rsid w:val="5A53496E"/>
    <w:rsid w:val="5A7756D8"/>
    <w:rsid w:val="5A96078C"/>
    <w:rsid w:val="5ABB0552"/>
    <w:rsid w:val="5AC87CD6"/>
    <w:rsid w:val="5AE85A5C"/>
    <w:rsid w:val="5B18744E"/>
    <w:rsid w:val="5B196705"/>
    <w:rsid w:val="5B3F000F"/>
    <w:rsid w:val="5B70236B"/>
    <w:rsid w:val="5B761B6E"/>
    <w:rsid w:val="5B773940"/>
    <w:rsid w:val="5B7A7970"/>
    <w:rsid w:val="5C4A2BD7"/>
    <w:rsid w:val="5C4B1054"/>
    <w:rsid w:val="5C5E240A"/>
    <w:rsid w:val="5C5E45F5"/>
    <w:rsid w:val="5C6C0FCA"/>
    <w:rsid w:val="5C9672E8"/>
    <w:rsid w:val="5CAF68F6"/>
    <w:rsid w:val="5CBC5AAE"/>
    <w:rsid w:val="5CD32DD4"/>
    <w:rsid w:val="5CF84E92"/>
    <w:rsid w:val="5D0128DB"/>
    <w:rsid w:val="5D0D46A3"/>
    <w:rsid w:val="5D1136AC"/>
    <w:rsid w:val="5D213D72"/>
    <w:rsid w:val="5D3476B8"/>
    <w:rsid w:val="5D5070BD"/>
    <w:rsid w:val="5D63632E"/>
    <w:rsid w:val="5D921815"/>
    <w:rsid w:val="5D9A1417"/>
    <w:rsid w:val="5E2775BD"/>
    <w:rsid w:val="5E2A0C80"/>
    <w:rsid w:val="5E326512"/>
    <w:rsid w:val="5E3E4C59"/>
    <w:rsid w:val="5E504C73"/>
    <w:rsid w:val="5E985E8A"/>
    <w:rsid w:val="5EA52C54"/>
    <w:rsid w:val="5EB0119B"/>
    <w:rsid w:val="5EE54D87"/>
    <w:rsid w:val="5F197952"/>
    <w:rsid w:val="5FA23826"/>
    <w:rsid w:val="5FB455AB"/>
    <w:rsid w:val="5FD8479E"/>
    <w:rsid w:val="5FEF4FD0"/>
    <w:rsid w:val="5FF11588"/>
    <w:rsid w:val="5FF7262C"/>
    <w:rsid w:val="60585DBB"/>
    <w:rsid w:val="60C96655"/>
    <w:rsid w:val="60CA5E20"/>
    <w:rsid w:val="610E55EA"/>
    <w:rsid w:val="61315854"/>
    <w:rsid w:val="61394E2C"/>
    <w:rsid w:val="61444E12"/>
    <w:rsid w:val="61C3355C"/>
    <w:rsid w:val="61F07FA8"/>
    <w:rsid w:val="62081236"/>
    <w:rsid w:val="62125B9A"/>
    <w:rsid w:val="621C7A8F"/>
    <w:rsid w:val="6291178B"/>
    <w:rsid w:val="62A741E4"/>
    <w:rsid w:val="62F475B6"/>
    <w:rsid w:val="630102B4"/>
    <w:rsid w:val="630C6A64"/>
    <w:rsid w:val="631F7E44"/>
    <w:rsid w:val="63220635"/>
    <w:rsid w:val="63376FCF"/>
    <w:rsid w:val="633F62B8"/>
    <w:rsid w:val="637C04DD"/>
    <w:rsid w:val="638075ED"/>
    <w:rsid w:val="63964CCA"/>
    <w:rsid w:val="63B3451B"/>
    <w:rsid w:val="63E0112A"/>
    <w:rsid w:val="63EA5CF8"/>
    <w:rsid w:val="644A33F2"/>
    <w:rsid w:val="645D28B7"/>
    <w:rsid w:val="64877B59"/>
    <w:rsid w:val="64B3678C"/>
    <w:rsid w:val="64F102BF"/>
    <w:rsid w:val="650A75D2"/>
    <w:rsid w:val="650B7121"/>
    <w:rsid w:val="65164221"/>
    <w:rsid w:val="652A2E44"/>
    <w:rsid w:val="65312DB1"/>
    <w:rsid w:val="653308D7"/>
    <w:rsid w:val="65474383"/>
    <w:rsid w:val="654E4849"/>
    <w:rsid w:val="65686657"/>
    <w:rsid w:val="65BD69EB"/>
    <w:rsid w:val="65C42009"/>
    <w:rsid w:val="65E035FB"/>
    <w:rsid w:val="66012783"/>
    <w:rsid w:val="662B7800"/>
    <w:rsid w:val="66456B14"/>
    <w:rsid w:val="664977CF"/>
    <w:rsid w:val="66C7654F"/>
    <w:rsid w:val="66EC4975"/>
    <w:rsid w:val="67016B09"/>
    <w:rsid w:val="671A7640"/>
    <w:rsid w:val="672030DD"/>
    <w:rsid w:val="674A63AC"/>
    <w:rsid w:val="678C3BA0"/>
    <w:rsid w:val="67D143D7"/>
    <w:rsid w:val="681220D8"/>
    <w:rsid w:val="681317B4"/>
    <w:rsid w:val="681B27B3"/>
    <w:rsid w:val="682E35D8"/>
    <w:rsid w:val="683116BC"/>
    <w:rsid w:val="686C5281"/>
    <w:rsid w:val="68717D7D"/>
    <w:rsid w:val="687A3291"/>
    <w:rsid w:val="688F3871"/>
    <w:rsid w:val="68915AF8"/>
    <w:rsid w:val="68C7732E"/>
    <w:rsid w:val="68D20407"/>
    <w:rsid w:val="68DC76F5"/>
    <w:rsid w:val="68E74072"/>
    <w:rsid w:val="68FA1CF2"/>
    <w:rsid w:val="69173BDC"/>
    <w:rsid w:val="69474951"/>
    <w:rsid w:val="698A0CE2"/>
    <w:rsid w:val="69935DE8"/>
    <w:rsid w:val="69A2397C"/>
    <w:rsid w:val="69B41F99"/>
    <w:rsid w:val="69BD4674"/>
    <w:rsid w:val="69F02271"/>
    <w:rsid w:val="6A036769"/>
    <w:rsid w:val="6A123C5B"/>
    <w:rsid w:val="6A325674"/>
    <w:rsid w:val="6A351BA5"/>
    <w:rsid w:val="6A444D90"/>
    <w:rsid w:val="6A52291B"/>
    <w:rsid w:val="6A7B10E5"/>
    <w:rsid w:val="6A817F02"/>
    <w:rsid w:val="6AB26742"/>
    <w:rsid w:val="6AD22940"/>
    <w:rsid w:val="6AF14266"/>
    <w:rsid w:val="6B0D5727"/>
    <w:rsid w:val="6B26157B"/>
    <w:rsid w:val="6B351E6F"/>
    <w:rsid w:val="6B7A4051"/>
    <w:rsid w:val="6B855C05"/>
    <w:rsid w:val="6BCA3618"/>
    <w:rsid w:val="6BE14999"/>
    <w:rsid w:val="6BE362D3"/>
    <w:rsid w:val="6BED6CE1"/>
    <w:rsid w:val="6BFB5FD1"/>
    <w:rsid w:val="6C1256EA"/>
    <w:rsid w:val="6C2753D7"/>
    <w:rsid w:val="6C442590"/>
    <w:rsid w:val="6C7A6DEC"/>
    <w:rsid w:val="6CAC3E0C"/>
    <w:rsid w:val="6CE72B85"/>
    <w:rsid w:val="6D0B3E9F"/>
    <w:rsid w:val="6D12175F"/>
    <w:rsid w:val="6D1E53C7"/>
    <w:rsid w:val="6D1F5AF0"/>
    <w:rsid w:val="6D2B478E"/>
    <w:rsid w:val="6D456C64"/>
    <w:rsid w:val="6D965EA7"/>
    <w:rsid w:val="6DA32372"/>
    <w:rsid w:val="6DC85640"/>
    <w:rsid w:val="6DD56355"/>
    <w:rsid w:val="6DE625FB"/>
    <w:rsid w:val="6E186185"/>
    <w:rsid w:val="6E1D76E4"/>
    <w:rsid w:val="6E260837"/>
    <w:rsid w:val="6E67178A"/>
    <w:rsid w:val="6E9F35BE"/>
    <w:rsid w:val="6EAD16FA"/>
    <w:rsid w:val="6EB905E3"/>
    <w:rsid w:val="6ED54165"/>
    <w:rsid w:val="6F3657AD"/>
    <w:rsid w:val="6F6F3EC3"/>
    <w:rsid w:val="6F7D1437"/>
    <w:rsid w:val="6F881820"/>
    <w:rsid w:val="6F974373"/>
    <w:rsid w:val="6F9920B9"/>
    <w:rsid w:val="6FC74058"/>
    <w:rsid w:val="70040E87"/>
    <w:rsid w:val="70134BAC"/>
    <w:rsid w:val="703028E3"/>
    <w:rsid w:val="704871A4"/>
    <w:rsid w:val="704B42E1"/>
    <w:rsid w:val="705525B2"/>
    <w:rsid w:val="70592DFA"/>
    <w:rsid w:val="70694F36"/>
    <w:rsid w:val="706D1692"/>
    <w:rsid w:val="70880C5C"/>
    <w:rsid w:val="708C533F"/>
    <w:rsid w:val="709A21B2"/>
    <w:rsid w:val="70AE175A"/>
    <w:rsid w:val="70B07280"/>
    <w:rsid w:val="70B523D0"/>
    <w:rsid w:val="70DD3906"/>
    <w:rsid w:val="70E60EF4"/>
    <w:rsid w:val="70E722F8"/>
    <w:rsid w:val="71092745"/>
    <w:rsid w:val="7109479F"/>
    <w:rsid w:val="710F509D"/>
    <w:rsid w:val="71274BE5"/>
    <w:rsid w:val="71503577"/>
    <w:rsid w:val="71653A85"/>
    <w:rsid w:val="719B076B"/>
    <w:rsid w:val="71DC2403"/>
    <w:rsid w:val="71E76B02"/>
    <w:rsid w:val="721A2C2C"/>
    <w:rsid w:val="727560F9"/>
    <w:rsid w:val="72FF004B"/>
    <w:rsid w:val="731425D9"/>
    <w:rsid w:val="731F249B"/>
    <w:rsid w:val="7333412C"/>
    <w:rsid w:val="73393BC2"/>
    <w:rsid w:val="733C0DD4"/>
    <w:rsid w:val="73407F33"/>
    <w:rsid w:val="73463ECB"/>
    <w:rsid w:val="737B44DB"/>
    <w:rsid w:val="73A40BF2"/>
    <w:rsid w:val="73B47087"/>
    <w:rsid w:val="73DB34FE"/>
    <w:rsid w:val="73EF020E"/>
    <w:rsid w:val="74237E25"/>
    <w:rsid w:val="74262B1B"/>
    <w:rsid w:val="74746B99"/>
    <w:rsid w:val="74A6094A"/>
    <w:rsid w:val="74CC21DF"/>
    <w:rsid w:val="74E16F35"/>
    <w:rsid w:val="751B1EAC"/>
    <w:rsid w:val="75532D3D"/>
    <w:rsid w:val="755813DA"/>
    <w:rsid w:val="7579607C"/>
    <w:rsid w:val="758805C2"/>
    <w:rsid w:val="7596375A"/>
    <w:rsid w:val="75C335B1"/>
    <w:rsid w:val="75CC30DE"/>
    <w:rsid w:val="761F2330"/>
    <w:rsid w:val="763F26D5"/>
    <w:rsid w:val="764D0528"/>
    <w:rsid w:val="76C82F19"/>
    <w:rsid w:val="76D846CA"/>
    <w:rsid w:val="77045A49"/>
    <w:rsid w:val="770B3DED"/>
    <w:rsid w:val="771D4F43"/>
    <w:rsid w:val="77266E5A"/>
    <w:rsid w:val="77291B31"/>
    <w:rsid w:val="774F6FF7"/>
    <w:rsid w:val="775C7088"/>
    <w:rsid w:val="77701354"/>
    <w:rsid w:val="77750DFA"/>
    <w:rsid w:val="77902D8C"/>
    <w:rsid w:val="779A189F"/>
    <w:rsid w:val="7801041C"/>
    <w:rsid w:val="78022CDB"/>
    <w:rsid w:val="7802777D"/>
    <w:rsid w:val="78066102"/>
    <w:rsid w:val="781F51BA"/>
    <w:rsid w:val="784119ED"/>
    <w:rsid w:val="78494544"/>
    <w:rsid w:val="785654BE"/>
    <w:rsid w:val="787E5347"/>
    <w:rsid w:val="78B039E4"/>
    <w:rsid w:val="78C8123D"/>
    <w:rsid w:val="78E431C4"/>
    <w:rsid w:val="78EB4A40"/>
    <w:rsid w:val="78F970FD"/>
    <w:rsid w:val="79181E66"/>
    <w:rsid w:val="7968288C"/>
    <w:rsid w:val="7970077A"/>
    <w:rsid w:val="79A11E5C"/>
    <w:rsid w:val="79A91C11"/>
    <w:rsid w:val="79BA6E69"/>
    <w:rsid w:val="79C30382"/>
    <w:rsid w:val="79E16CB2"/>
    <w:rsid w:val="79F944AF"/>
    <w:rsid w:val="7A2F69EB"/>
    <w:rsid w:val="7A4413F9"/>
    <w:rsid w:val="7A5711E4"/>
    <w:rsid w:val="7A5A101B"/>
    <w:rsid w:val="7A650B11"/>
    <w:rsid w:val="7AA37E55"/>
    <w:rsid w:val="7ACE2838"/>
    <w:rsid w:val="7AEA0E27"/>
    <w:rsid w:val="7AF97A75"/>
    <w:rsid w:val="7B1D0CD2"/>
    <w:rsid w:val="7B3311D9"/>
    <w:rsid w:val="7B40416F"/>
    <w:rsid w:val="7B4927AB"/>
    <w:rsid w:val="7B525505"/>
    <w:rsid w:val="7B6D66D7"/>
    <w:rsid w:val="7B92757E"/>
    <w:rsid w:val="7BAF6112"/>
    <w:rsid w:val="7BEB5610"/>
    <w:rsid w:val="7C735E4E"/>
    <w:rsid w:val="7C9A6B2B"/>
    <w:rsid w:val="7C9B1DD4"/>
    <w:rsid w:val="7CAA7279"/>
    <w:rsid w:val="7CAE22D0"/>
    <w:rsid w:val="7D071AF5"/>
    <w:rsid w:val="7D1B544C"/>
    <w:rsid w:val="7D4E6DD3"/>
    <w:rsid w:val="7D611A8C"/>
    <w:rsid w:val="7D651C73"/>
    <w:rsid w:val="7D7E7646"/>
    <w:rsid w:val="7D913173"/>
    <w:rsid w:val="7DA22646"/>
    <w:rsid w:val="7DA760AB"/>
    <w:rsid w:val="7DC26738"/>
    <w:rsid w:val="7DC8165C"/>
    <w:rsid w:val="7DD66F00"/>
    <w:rsid w:val="7E01111B"/>
    <w:rsid w:val="7E8F3C3B"/>
    <w:rsid w:val="7E972C19"/>
    <w:rsid w:val="7EAB4E7D"/>
    <w:rsid w:val="7EAD3464"/>
    <w:rsid w:val="7EB46C53"/>
    <w:rsid w:val="7EBB2BFC"/>
    <w:rsid w:val="7EDC14AE"/>
    <w:rsid w:val="7F494366"/>
    <w:rsid w:val="7F5F1417"/>
    <w:rsid w:val="7F622623"/>
    <w:rsid w:val="7F6E4E40"/>
    <w:rsid w:val="7F7E2419"/>
    <w:rsid w:val="7F856BE9"/>
    <w:rsid w:val="7F9E3F8F"/>
    <w:rsid w:val="7FB81CA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qFormat="1"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7"/>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1"/>
    <w:link w:val="109"/>
    <w:qFormat/>
    <w:uiPriority w:val="99"/>
    <w:pPr>
      <w:spacing w:before="260" w:after="260" w:line="416" w:lineRule="atLeast"/>
      <w:outlineLvl w:val="1"/>
    </w:pPr>
    <w:rPr>
      <w:rFonts w:ascii="Cambria" w:hAnsi="Cambria"/>
      <w:sz w:val="32"/>
      <w:szCs w:val="32"/>
    </w:rPr>
  </w:style>
  <w:style w:type="paragraph" w:styleId="4">
    <w:name w:val="heading 3"/>
    <w:basedOn w:val="1"/>
    <w:next w:val="5"/>
    <w:link w:val="119"/>
    <w:qFormat/>
    <w:uiPriority w:val="99"/>
    <w:pPr>
      <w:tabs>
        <w:tab w:val="left" w:pos="588"/>
      </w:tabs>
      <w:spacing w:line="360" w:lineRule="auto"/>
      <w:outlineLvl w:val="2"/>
    </w:pPr>
    <w:rPr>
      <w:rFonts w:ascii="Tahoma" w:hAnsi="Tahoma"/>
    </w:rPr>
  </w:style>
  <w:style w:type="paragraph" w:styleId="6">
    <w:name w:val="heading 4"/>
    <w:basedOn w:val="1"/>
    <w:next w:val="1"/>
    <w:link w:val="146"/>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8"/>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9"/>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9"/>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14"/>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31"/>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42"/>
    <w:qFormat/>
    <w:uiPriority w:val="0"/>
    <w:pPr>
      <w:spacing w:line="360" w:lineRule="auto"/>
      <w:ind w:firstLine="200" w:firstLineChars="200"/>
    </w:pPr>
    <w:rPr>
      <w:sz w:val="24"/>
      <w:szCs w:val="20"/>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5"/>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caption"/>
    <w:basedOn w:val="1"/>
    <w:next w:val="1"/>
    <w:link w:val="100"/>
    <w:qFormat/>
    <w:uiPriority w:val="0"/>
    <w:pPr>
      <w:spacing w:line="480" w:lineRule="auto"/>
    </w:pPr>
    <w:rPr>
      <w:rFonts w:ascii="华文中宋" w:eastAsia="华文中宋"/>
      <w:sz w:val="36"/>
      <w:szCs w:val="20"/>
    </w:rPr>
  </w:style>
  <w:style w:type="paragraph" w:styleId="16">
    <w:name w:val="index 5"/>
    <w:basedOn w:val="1"/>
    <w:next w:val="1"/>
    <w:qFormat/>
    <w:uiPriority w:val="99"/>
    <w:pPr>
      <w:ind w:left="800" w:leftChars="800"/>
    </w:pPr>
    <w:rPr>
      <w:rFonts w:eastAsia="宋体"/>
    </w:rPr>
  </w:style>
  <w:style w:type="paragraph" w:styleId="17">
    <w:name w:val="Document Map"/>
    <w:basedOn w:val="1"/>
    <w:link w:val="136"/>
    <w:qFormat/>
    <w:uiPriority w:val="99"/>
    <w:pPr>
      <w:spacing w:line="440" w:lineRule="exact"/>
    </w:pPr>
    <w:rPr>
      <w:rFonts w:ascii="宋体"/>
      <w:sz w:val="18"/>
      <w:szCs w:val="18"/>
    </w:rPr>
  </w:style>
  <w:style w:type="paragraph" w:styleId="18">
    <w:name w:val="toa heading"/>
    <w:basedOn w:val="1"/>
    <w:next w:val="1"/>
    <w:unhideWhenUsed/>
    <w:qFormat/>
    <w:uiPriority w:val="99"/>
    <w:pPr>
      <w:spacing w:before="120"/>
    </w:pPr>
    <w:rPr>
      <w:rFonts w:ascii="Cambria" w:hAnsi="Cambria" w:eastAsia="宋体"/>
      <w:sz w:val="24"/>
    </w:rPr>
  </w:style>
  <w:style w:type="paragraph" w:styleId="19">
    <w:name w:val="annotation text"/>
    <w:basedOn w:val="1"/>
    <w:link w:val="106"/>
    <w:qFormat/>
    <w:uiPriority w:val="0"/>
    <w:pPr>
      <w:jc w:val="left"/>
    </w:pPr>
    <w:rPr>
      <w:rFonts w:ascii="Tahoma" w:hAnsi="Tahoma"/>
    </w:rPr>
  </w:style>
  <w:style w:type="paragraph" w:styleId="20">
    <w:name w:val="Salutation"/>
    <w:basedOn w:val="14"/>
    <w:next w:val="14"/>
    <w:link w:val="204"/>
    <w:qFormat/>
    <w:uiPriority w:val="0"/>
    <w:rPr>
      <w:rFonts w:ascii="..ì." w:eastAsia="..ì." w:cs="Times New Roman"/>
      <w:color w:val="auto"/>
      <w:szCs w:val="20"/>
    </w:rPr>
  </w:style>
  <w:style w:type="paragraph" w:styleId="21">
    <w:name w:val="Body Text 3"/>
    <w:basedOn w:val="1"/>
    <w:link w:val="212"/>
    <w:qFormat/>
    <w:uiPriority w:val="99"/>
    <w:pPr>
      <w:spacing w:after="120"/>
    </w:pPr>
    <w:rPr>
      <w:rFonts w:eastAsia="宋体"/>
      <w:sz w:val="16"/>
      <w:szCs w:val="16"/>
    </w:rPr>
  </w:style>
  <w:style w:type="paragraph" w:styleId="22">
    <w:name w:val="Body Text"/>
    <w:basedOn w:val="1"/>
    <w:next w:val="1"/>
    <w:link w:val="140"/>
    <w:qFormat/>
    <w:uiPriority w:val="99"/>
    <w:pPr>
      <w:spacing w:line="360" w:lineRule="auto"/>
    </w:pPr>
    <w:rPr>
      <w:rFonts w:ascii="Tahoma" w:hAnsi="Tahoma"/>
    </w:rPr>
  </w:style>
  <w:style w:type="paragraph" w:styleId="23">
    <w:name w:val="Body Text Indent"/>
    <w:basedOn w:val="1"/>
    <w:link w:val="172"/>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314"/>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202"/>
    <w:qFormat/>
    <w:uiPriority w:val="99"/>
    <w:pPr>
      <w:spacing w:line="360" w:lineRule="auto"/>
      <w:ind w:left="2500" w:leftChars="2500"/>
    </w:pPr>
    <w:rPr>
      <w:rFonts w:ascii="Tahoma" w:hAnsi="Tahoma"/>
    </w:rPr>
  </w:style>
  <w:style w:type="paragraph" w:styleId="31">
    <w:name w:val="Body Text Indent 2"/>
    <w:basedOn w:val="1"/>
    <w:link w:val="168"/>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102"/>
    <w:qFormat/>
    <w:uiPriority w:val="0"/>
    <w:rPr>
      <w:sz w:val="18"/>
      <w:szCs w:val="18"/>
    </w:rPr>
  </w:style>
  <w:style w:type="paragraph" w:styleId="33">
    <w:name w:val="footer"/>
    <w:basedOn w:val="1"/>
    <w:link w:val="143"/>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8"/>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15"/>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74"/>
    <w:qFormat/>
    <w:uiPriority w:val="99"/>
    <w:pPr>
      <w:spacing w:line="360" w:lineRule="auto"/>
      <w:ind w:right="26"/>
    </w:pPr>
    <w:rPr>
      <w:rFonts w:ascii="宋体" w:eastAsia="宋体"/>
      <w:szCs w:val="20"/>
    </w:rPr>
  </w:style>
  <w:style w:type="paragraph" w:styleId="43">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30"/>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34"/>
    <w:unhideWhenUsed/>
    <w:qFormat/>
    <w:uiPriority w:val="99"/>
    <w:pPr>
      <w:spacing w:line="440" w:lineRule="exact"/>
    </w:pPr>
    <w:rPr>
      <w:b/>
      <w:bCs/>
      <w:sz w:val="24"/>
      <w:szCs w:val="28"/>
    </w:rPr>
  </w:style>
  <w:style w:type="paragraph" w:styleId="48">
    <w:name w:val="Body Text First Indent"/>
    <w:basedOn w:val="22"/>
    <w:next w:val="22"/>
    <w:link w:val="137"/>
    <w:qFormat/>
    <w:uiPriority w:val="0"/>
    <w:pPr>
      <w:spacing w:after="120" w:line="240" w:lineRule="auto"/>
      <w:ind w:firstLine="100" w:firstLineChars="100"/>
    </w:pPr>
  </w:style>
  <w:style w:type="paragraph" w:styleId="49">
    <w:name w:val="Body Text First Indent 2"/>
    <w:basedOn w:val="23"/>
    <w:link w:val="173"/>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Typewriter"/>
    <w:basedOn w:val="52"/>
    <w:semiHidden/>
    <w:unhideWhenUsed/>
    <w:qFormat/>
    <w:uiPriority w:val="0"/>
    <w:rPr>
      <w:rFonts w:hint="default" w:ascii="monospace" w:hAnsi="monospace" w:eastAsia="monospace" w:cs="monospace"/>
      <w:sz w:val="20"/>
    </w:rPr>
  </w:style>
  <w:style w:type="character" w:styleId="59">
    <w:name w:val="HTML Acronym"/>
    <w:basedOn w:val="52"/>
    <w:semiHidden/>
    <w:unhideWhenUsed/>
    <w:qFormat/>
    <w:uiPriority w:val="0"/>
  </w:style>
  <w:style w:type="character" w:styleId="60">
    <w:name w:val="HTML Variable"/>
    <w:unhideWhenUsed/>
    <w:qFormat/>
    <w:uiPriority w:val="0"/>
  </w:style>
  <w:style w:type="character" w:styleId="61">
    <w:name w:val="Hyperlink"/>
    <w:qFormat/>
    <w:uiPriority w:val="99"/>
    <w:rPr>
      <w:rFonts w:hint="eastAsia" w:ascii="宋体" w:hAnsi="宋体" w:eastAsia="宋体" w:cs="宋体"/>
      <w:color w:val="004A85"/>
      <w:sz w:val="12"/>
      <w:szCs w:val="12"/>
      <w:u w:val="single"/>
    </w:rPr>
  </w:style>
  <w:style w:type="character" w:styleId="62">
    <w:name w:val="HTML Code"/>
    <w:basedOn w:val="52"/>
    <w:unhideWhenUsed/>
    <w:qFormat/>
    <w:uiPriority w:val="0"/>
    <w:rPr>
      <w:rFonts w:hint="default" w:ascii="monospace" w:hAnsi="monospace" w:eastAsia="monospace" w:cs="monospace"/>
      <w:sz w:val="20"/>
    </w:rPr>
  </w:style>
  <w:style w:type="character" w:styleId="63">
    <w:name w:val="annotation reference"/>
    <w:qFormat/>
    <w:uiPriority w:val="99"/>
    <w:rPr>
      <w:sz w:val="21"/>
      <w:szCs w:val="21"/>
    </w:rPr>
  </w:style>
  <w:style w:type="character" w:styleId="64">
    <w:name w:val="HTML Cite"/>
    <w:unhideWhenUsed/>
    <w:qFormat/>
    <w:uiPriority w:val="0"/>
  </w:style>
  <w:style w:type="character" w:styleId="65">
    <w:name w:val="HTML Keyboard"/>
    <w:basedOn w:val="52"/>
    <w:semiHidden/>
    <w:unhideWhenUsed/>
    <w:qFormat/>
    <w:uiPriority w:val="0"/>
    <w:rPr>
      <w:rFonts w:ascii="monospace" w:hAnsi="monospace" w:eastAsia="monospace" w:cs="monospace"/>
      <w:sz w:val="20"/>
    </w:rPr>
  </w:style>
  <w:style w:type="character" w:styleId="66">
    <w:name w:val="HTML Sample"/>
    <w:basedOn w:val="52"/>
    <w:semiHidden/>
    <w:unhideWhenUsed/>
    <w:qFormat/>
    <w:uiPriority w:val="0"/>
    <w:rPr>
      <w:rFonts w:hint="default" w:ascii="monospace" w:hAnsi="monospace" w:eastAsia="monospace" w:cs="monospace"/>
    </w:rPr>
  </w:style>
  <w:style w:type="paragraph" w:customStyle="1" w:styleId="67">
    <w:name w:val="TOC 标题1"/>
    <w:basedOn w:val="2"/>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68">
    <w:name w:val="Char"/>
    <w:basedOn w:val="1"/>
    <w:qFormat/>
    <w:uiPriority w:val="0"/>
    <w:rPr>
      <w:rFonts w:ascii="Tahoma" w:hAnsi="Tahoma"/>
      <w:sz w:val="24"/>
    </w:rPr>
  </w:style>
  <w:style w:type="paragraph" w:customStyle="1" w:styleId="69">
    <w:name w:val="样式1"/>
    <w:basedOn w:val="1"/>
    <w:next w:val="4"/>
    <w:qFormat/>
    <w:uiPriority w:val="99"/>
    <w:rPr>
      <w:rFonts w:eastAsia="宋体"/>
      <w:sz w:val="24"/>
      <w:szCs w:val="20"/>
    </w:rPr>
  </w:style>
  <w:style w:type="paragraph" w:customStyle="1" w:styleId="70">
    <w:name w:val="样式2"/>
    <w:basedOn w:val="1"/>
    <w:link w:val="124"/>
    <w:qFormat/>
    <w:uiPriority w:val="0"/>
    <w:pPr>
      <w:spacing w:line="300" w:lineRule="auto"/>
      <w:jc w:val="center"/>
      <w:outlineLvl w:val="0"/>
    </w:pPr>
    <w:rPr>
      <w:b/>
      <w:sz w:val="24"/>
    </w:rPr>
  </w:style>
  <w:style w:type="paragraph" w:customStyle="1" w:styleId="7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73">
    <w:name w:val="列出段落2"/>
    <w:basedOn w:val="1"/>
    <w:unhideWhenUsed/>
    <w:qFormat/>
    <w:uiPriority w:val="0"/>
    <w:pPr>
      <w:ind w:firstLine="420" w:firstLineChars="200"/>
    </w:pPr>
  </w:style>
  <w:style w:type="paragraph" w:customStyle="1" w:styleId="74">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5">
    <w:name w:val="_Style 67"/>
    <w:basedOn w:val="1"/>
    <w:next w:val="76"/>
    <w:qFormat/>
    <w:uiPriority w:val="99"/>
    <w:pPr>
      <w:ind w:firstLine="420" w:firstLineChars="200"/>
    </w:pPr>
    <w:rPr>
      <w:rFonts w:ascii="Calibri" w:hAnsi="Calibri"/>
      <w:szCs w:val="22"/>
    </w:rPr>
  </w:style>
  <w:style w:type="paragraph" w:styleId="76">
    <w:name w:val="List Paragraph"/>
    <w:basedOn w:val="1"/>
    <w:qFormat/>
    <w:uiPriority w:val="34"/>
    <w:pPr>
      <w:ind w:firstLine="420" w:firstLineChars="200"/>
    </w:pPr>
    <w:rPr>
      <w:rFonts w:ascii="Calibri" w:hAnsi="Calibri" w:eastAsia="宋体"/>
      <w:szCs w:val="22"/>
    </w:rPr>
  </w:style>
  <w:style w:type="paragraph" w:customStyle="1" w:styleId="77">
    <w:name w:val="_Style 2"/>
    <w:basedOn w:val="1"/>
    <w:qFormat/>
    <w:uiPriority w:val="34"/>
    <w:pPr>
      <w:ind w:firstLine="420" w:firstLineChars="200"/>
    </w:pPr>
    <w:rPr>
      <w:rFonts w:ascii="Calibri" w:hAnsi="Calibri"/>
      <w:szCs w:val="22"/>
    </w:rPr>
  </w:style>
  <w:style w:type="paragraph" w:customStyle="1" w:styleId="78">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9">
    <w:name w:val="封面落款"/>
    <w:basedOn w:val="1"/>
    <w:qFormat/>
    <w:uiPriority w:val="0"/>
    <w:pPr>
      <w:spacing w:line="360" w:lineRule="auto"/>
      <w:jc w:val="center"/>
    </w:pPr>
    <w:rPr>
      <w:rFonts w:ascii="Arial" w:hAnsi="Arial" w:eastAsia="黑体"/>
      <w:sz w:val="32"/>
      <w:szCs w:val="28"/>
    </w:rPr>
  </w:style>
  <w:style w:type="paragraph" w:customStyle="1" w:styleId="80">
    <w:name w:val="目录"/>
    <w:link w:val="111"/>
    <w:qFormat/>
    <w:uiPriority w:val="0"/>
    <w:pPr>
      <w:spacing w:before="156" w:after="156"/>
    </w:pPr>
    <w:rPr>
      <w:rFonts w:ascii="仿宋_GB2312" w:hAnsi="宋体" w:eastAsia="仿宋_GB2312" w:cs="Times New Roman"/>
      <w:sz w:val="28"/>
      <w:szCs w:val="28"/>
      <w:lang w:val="en-US" w:eastAsia="zh-CN" w:bidi="ar-SA"/>
    </w:rPr>
  </w:style>
  <w:style w:type="paragraph" w:customStyle="1" w:styleId="81">
    <w:name w:val="表格字体小四"/>
    <w:link w:val="110"/>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82">
    <w:name w:val="样式 标题 5 + 小四"/>
    <w:basedOn w:val="7"/>
    <w:qFormat/>
    <w:uiPriority w:val="0"/>
    <w:pPr>
      <w:tabs>
        <w:tab w:val="left" w:pos="567"/>
      </w:tabs>
      <w:wordWrap w:val="0"/>
      <w:spacing w:line="377" w:lineRule="auto"/>
      <w:ind w:left="567" w:hanging="567"/>
      <w:jc w:val="left"/>
    </w:pPr>
  </w:style>
  <w:style w:type="paragraph" w:customStyle="1" w:styleId="83">
    <w:name w:val="表格格式"/>
    <w:basedOn w:val="1"/>
    <w:qFormat/>
    <w:uiPriority w:val="0"/>
    <w:pPr>
      <w:adjustRightInd w:val="0"/>
      <w:snapToGrid w:val="0"/>
      <w:jc w:val="left"/>
      <w:textAlignment w:val="baseline"/>
    </w:pPr>
    <w:rPr>
      <w:rFonts w:ascii="宋体"/>
      <w:kern w:val="0"/>
      <w:szCs w:val="20"/>
    </w:rPr>
  </w:style>
  <w:style w:type="paragraph" w:customStyle="1" w:styleId="84">
    <w:name w:val="样式5"/>
    <w:basedOn w:val="5"/>
    <w:qFormat/>
    <w:uiPriority w:val="0"/>
    <w:pPr>
      <w:ind w:firstLine="420"/>
    </w:pPr>
    <w:rPr>
      <w:sz w:val="21"/>
      <w:szCs w:val="21"/>
    </w:rPr>
  </w:style>
  <w:style w:type="paragraph" w:customStyle="1" w:styleId="85">
    <w:name w:val="标题2"/>
    <w:basedOn w:val="3"/>
    <w:next w:val="1"/>
    <w:link w:val="101"/>
    <w:qFormat/>
    <w:uiPriority w:val="0"/>
    <w:pPr>
      <w:widowControl/>
      <w:spacing w:beforeLines="10" w:afterLines="10" w:line="240" w:lineRule="auto"/>
      <w:jc w:val="left"/>
    </w:pPr>
    <w:rPr>
      <w:rFonts w:ascii="Times New Roman" w:hAnsi="Times New Roman" w:eastAsia="黑体"/>
      <w:b/>
      <w:bCs/>
      <w:szCs w:val="24"/>
    </w:rPr>
  </w:style>
  <w:style w:type="paragraph" w:customStyle="1" w:styleId="86">
    <w:name w:val="三级"/>
    <w:basedOn w:val="3"/>
    <w:link w:val="112"/>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7">
    <w:name w:val="Char1"/>
    <w:basedOn w:val="1"/>
    <w:qFormat/>
    <w:uiPriority w:val="0"/>
    <w:pPr>
      <w:adjustRightInd w:val="0"/>
      <w:spacing w:line="360" w:lineRule="auto"/>
    </w:pPr>
    <w:rPr>
      <w:kern w:val="0"/>
      <w:sz w:val="24"/>
      <w:szCs w:val="20"/>
    </w:rPr>
  </w:style>
  <w:style w:type="paragraph" w:customStyle="1" w:styleId="88">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9">
    <w:name w:val="标题3"/>
    <w:basedOn w:val="4"/>
    <w:next w:val="1"/>
    <w:link w:val="145"/>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90">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91">
    <w:name w:val="表格标题"/>
    <w:basedOn w:val="15"/>
    <w:link w:val="138"/>
    <w:qFormat/>
    <w:uiPriority w:val="0"/>
    <w:pPr>
      <w:spacing w:before="152" w:after="160" w:line="420" w:lineRule="exact"/>
      <w:ind w:firstLine="480" w:firstLineChars="200"/>
      <w:jc w:val="center"/>
    </w:pPr>
    <w:rPr>
      <w:rFonts w:ascii="Arial" w:hAnsi="Arial" w:eastAsia="宋体"/>
      <w:sz w:val="24"/>
      <w:szCs w:val="24"/>
    </w:rPr>
  </w:style>
  <w:style w:type="paragraph" w:customStyle="1" w:styleId="92">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3">
    <w:name w:val="图片"/>
    <w:basedOn w:val="1"/>
    <w:link w:val="126"/>
    <w:qFormat/>
    <w:uiPriority w:val="0"/>
    <w:pPr>
      <w:jc w:val="center"/>
    </w:pPr>
    <w:rPr>
      <w:sz w:val="28"/>
      <w:szCs w:val="28"/>
    </w:rPr>
  </w:style>
  <w:style w:type="paragraph" w:customStyle="1" w:styleId="94">
    <w:name w:val="正文首行缩进1"/>
    <w:basedOn w:val="22"/>
    <w:qFormat/>
    <w:uiPriority w:val="0"/>
    <w:pPr>
      <w:suppressAutoHyphens/>
      <w:spacing w:line="300" w:lineRule="auto"/>
      <w:ind w:left="426"/>
    </w:pPr>
    <w:rPr>
      <w:rFonts w:ascii="宋体" w:hAnsi="宋体"/>
      <w:szCs w:val="20"/>
    </w:rPr>
  </w:style>
  <w:style w:type="paragraph" w:customStyle="1" w:styleId="95">
    <w:name w:val="纯文本1"/>
    <w:basedOn w:val="1"/>
    <w:qFormat/>
    <w:uiPriority w:val="0"/>
    <w:rPr>
      <w:rFonts w:ascii="宋体" w:hAnsi="Courier New"/>
    </w:rPr>
  </w:style>
  <w:style w:type="paragraph" w:customStyle="1" w:styleId="96">
    <w:name w:val="样式 首行不缩进"/>
    <w:basedOn w:val="1"/>
    <w:qFormat/>
    <w:uiPriority w:val="0"/>
    <w:pPr>
      <w:spacing w:before="120" w:after="120" w:line="360" w:lineRule="auto"/>
      <w:jc w:val="center"/>
    </w:pPr>
    <w:rPr>
      <w:rFonts w:cs="宋体"/>
      <w:sz w:val="24"/>
      <w:szCs w:val="20"/>
    </w:rPr>
  </w:style>
  <w:style w:type="paragraph" w:customStyle="1" w:styleId="97">
    <w:name w:val="图题"/>
    <w:link w:val="120"/>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8">
    <w:name w:val="小列表"/>
    <w:basedOn w:val="1"/>
    <w:link w:val="104"/>
    <w:qFormat/>
    <w:uiPriority w:val="0"/>
    <w:pPr>
      <w:numPr>
        <w:ilvl w:val="0"/>
        <w:numId w:val="2"/>
      </w:numPr>
      <w:autoSpaceDE w:val="0"/>
      <w:autoSpaceDN w:val="0"/>
      <w:spacing w:line="440" w:lineRule="exact"/>
      <w:ind w:firstLine="0"/>
    </w:pPr>
    <w:rPr>
      <w:sz w:val="24"/>
      <w:szCs w:val="28"/>
    </w:rPr>
  </w:style>
  <w:style w:type="paragraph" w:customStyle="1" w:styleId="99">
    <w:name w:val="表格正文"/>
    <w:basedOn w:val="1"/>
    <w:qFormat/>
    <w:uiPriority w:val="0"/>
    <w:pPr>
      <w:widowControl/>
      <w:snapToGrid w:val="0"/>
      <w:spacing w:before="60" w:after="60"/>
      <w:ind w:left="11"/>
      <w:jc w:val="center"/>
    </w:pPr>
    <w:rPr>
      <w:kern w:val="0"/>
      <w:szCs w:val="21"/>
    </w:rPr>
  </w:style>
  <w:style w:type="character" w:customStyle="1" w:styleId="100">
    <w:name w:val="题注 Char"/>
    <w:link w:val="15"/>
    <w:qFormat/>
    <w:uiPriority w:val="0"/>
    <w:rPr>
      <w:rFonts w:ascii="华文中宋" w:eastAsia="华文中宋"/>
      <w:kern w:val="2"/>
      <w:sz w:val="36"/>
    </w:rPr>
  </w:style>
  <w:style w:type="character" w:customStyle="1" w:styleId="101">
    <w:name w:val="标题2 Char Char"/>
    <w:link w:val="85"/>
    <w:qFormat/>
    <w:uiPriority w:val="0"/>
    <w:rPr>
      <w:rFonts w:eastAsia="黑体"/>
      <w:kern w:val="2"/>
      <w:sz w:val="32"/>
      <w:szCs w:val="24"/>
    </w:rPr>
  </w:style>
  <w:style w:type="character" w:customStyle="1" w:styleId="102">
    <w:name w:val="批注框文本 Char"/>
    <w:link w:val="32"/>
    <w:qFormat/>
    <w:uiPriority w:val="0"/>
    <w:rPr>
      <w:kern w:val="2"/>
      <w:sz w:val="18"/>
      <w:szCs w:val="18"/>
    </w:rPr>
  </w:style>
  <w:style w:type="character" w:customStyle="1" w:styleId="103">
    <w:name w:val="refresh"/>
    <w:basedOn w:val="52"/>
    <w:qFormat/>
    <w:uiPriority w:val="0"/>
  </w:style>
  <w:style w:type="character" w:customStyle="1" w:styleId="104">
    <w:name w:val="小列表 Char Char"/>
    <w:link w:val="98"/>
    <w:qFormat/>
    <w:uiPriority w:val="0"/>
    <w:rPr>
      <w:rFonts w:eastAsia="Arial Unicode MS"/>
      <w:kern w:val="2"/>
      <w:sz w:val="24"/>
      <w:szCs w:val="28"/>
    </w:rPr>
  </w:style>
  <w:style w:type="character" w:customStyle="1" w:styleId="105">
    <w:name w:val="del"/>
    <w:basedOn w:val="52"/>
    <w:qFormat/>
    <w:uiPriority w:val="0"/>
  </w:style>
  <w:style w:type="character" w:customStyle="1" w:styleId="106">
    <w:name w:val="批注文字 Char1"/>
    <w:link w:val="19"/>
    <w:qFormat/>
    <w:uiPriority w:val="0"/>
    <w:rPr>
      <w:rFonts w:ascii="Tahoma" w:hAnsi="Tahoma"/>
      <w:kern w:val="2"/>
      <w:sz w:val="21"/>
      <w:szCs w:val="24"/>
    </w:rPr>
  </w:style>
  <w:style w:type="character" w:customStyle="1" w:styleId="107">
    <w:name w:val="正文缩进 Char1"/>
    <w:qFormat/>
    <w:uiPriority w:val="0"/>
    <w:rPr>
      <w:rFonts w:eastAsia="宋体"/>
      <w:kern w:val="2"/>
      <w:sz w:val="21"/>
      <w:szCs w:val="24"/>
      <w:lang w:val="en-US" w:eastAsia="zh-CN" w:bidi="ar-SA"/>
    </w:rPr>
  </w:style>
  <w:style w:type="character" w:customStyle="1" w:styleId="108">
    <w:name w:val="标题 5 Char"/>
    <w:link w:val="7"/>
    <w:qFormat/>
    <w:uiPriority w:val="99"/>
    <w:rPr>
      <w:b/>
      <w:bCs/>
      <w:kern w:val="2"/>
      <w:sz w:val="24"/>
      <w:szCs w:val="28"/>
    </w:rPr>
  </w:style>
  <w:style w:type="character" w:customStyle="1" w:styleId="109">
    <w:name w:val="标题 2 Char"/>
    <w:link w:val="3"/>
    <w:qFormat/>
    <w:uiPriority w:val="99"/>
    <w:rPr>
      <w:rFonts w:ascii="Cambria" w:hAnsi="Cambria"/>
      <w:b/>
      <w:bCs/>
      <w:kern w:val="2"/>
      <w:sz w:val="32"/>
      <w:szCs w:val="32"/>
    </w:rPr>
  </w:style>
  <w:style w:type="character" w:customStyle="1" w:styleId="110">
    <w:name w:val="表格字体小四 Char Char"/>
    <w:link w:val="81"/>
    <w:qFormat/>
    <w:uiPriority w:val="0"/>
    <w:rPr>
      <w:kern w:val="2"/>
      <w:sz w:val="24"/>
      <w:szCs w:val="24"/>
      <w:lang w:val="en-US" w:eastAsia="zh-CN" w:bidi="ar-SA"/>
    </w:rPr>
  </w:style>
  <w:style w:type="character" w:customStyle="1" w:styleId="111">
    <w:name w:val="目录 Char Char"/>
    <w:link w:val="80"/>
    <w:qFormat/>
    <w:uiPriority w:val="0"/>
    <w:rPr>
      <w:rFonts w:ascii="仿宋_GB2312" w:hAnsi="宋体" w:eastAsia="仿宋_GB2312"/>
      <w:sz w:val="28"/>
      <w:szCs w:val="28"/>
      <w:lang w:val="en-US" w:eastAsia="zh-CN" w:bidi="ar-SA"/>
    </w:rPr>
  </w:style>
  <w:style w:type="character" w:customStyle="1" w:styleId="112">
    <w:name w:val="三级 Char Char"/>
    <w:link w:val="86"/>
    <w:qFormat/>
    <w:uiPriority w:val="0"/>
    <w:rPr>
      <w:rFonts w:eastAsia="黑体"/>
      <w:bCs/>
      <w:kern w:val="2"/>
      <w:sz w:val="30"/>
      <w:szCs w:val="24"/>
    </w:rPr>
  </w:style>
  <w:style w:type="character" w:customStyle="1" w:styleId="113">
    <w:name w:val="label"/>
    <w:basedOn w:val="52"/>
    <w:qFormat/>
    <w:uiPriority w:val="0"/>
  </w:style>
  <w:style w:type="character" w:customStyle="1" w:styleId="114">
    <w:name w:val="标题 8 Char"/>
    <w:link w:val="10"/>
    <w:qFormat/>
    <w:uiPriority w:val="99"/>
    <w:rPr>
      <w:rFonts w:ascii="Arial" w:hAnsi="Arial" w:eastAsia="黑体"/>
      <w:kern w:val="2"/>
      <w:sz w:val="24"/>
      <w:szCs w:val="28"/>
    </w:rPr>
  </w:style>
  <w:style w:type="character" w:customStyle="1" w:styleId="115">
    <w:name w:val="open2"/>
    <w:basedOn w:val="52"/>
    <w:qFormat/>
    <w:uiPriority w:val="0"/>
  </w:style>
  <w:style w:type="character" w:customStyle="1" w:styleId="116">
    <w:name w:val="15"/>
    <w:qFormat/>
    <w:uiPriority w:val="0"/>
    <w:rPr>
      <w:rFonts w:hint="default" w:ascii="Calibri" w:hAnsi="Calibri" w:cs="Calibri"/>
      <w:color w:val="0000FF"/>
      <w:u w:val="single"/>
    </w:rPr>
  </w:style>
  <w:style w:type="character" w:customStyle="1" w:styleId="117">
    <w:name w:val="trans"/>
    <w:basedOn w:val="52"/>
    <w:qFormat/>
    <w:uiPriority w:val="0"/>
  </w:style>
  <w:style w:type="character" w:customStyle="1" w:styleId="118">
    <w:name w:val="del2"/>
    <w:basedOn w:val="52"/>
    <w:qFormat/>
    <w:uiPriority w:val="0"/>
  </w:style>
  <w:style w:type="character" w:customStyle="1" w:styleId="119">
    <w:name w:val="标题 3 Char"/>
    <w:link w:val="4"/>
    <w:qFormat/>
    <w:uiPriority w:val="99"/>
    <w:rPr>
      <w:rFonts w:ascii="Tahoma" w:hAnsi="Tahoma"/>
      <w:b/>
      <w:bCs/>
      <w:kern w:val="2"/>
      <w:sz w:val="32"/>
      <w:szCs w:val="32"/>
    </w:rPr>
  </w:style>
  <w:style w:type="character" w:customStyle="1" w:styleId="120">
    <w:name w:val="图题 Char Char"/>
    <w:link w:val="97"/>
    <w:qFormat/>
    <w:uiPriority w:val="0"/>
    <w:rPr>
      <w:kern w:val="2"/>
      <w:sz w:val="24"/>
      <w:szCs w:val="24"/>
      <w:lang w:val="en-US" w:eastAsia="zh-CN" w:bidi="ar-SA"/>
    </w:rPr>
  </w:style>
  <w:style w:type="character" w:customStyle="1" w:styleId="121">
    <w:name w:val="pagelinks"/>
    <w:basedOn w:val="52"/>
    <w:qFormat/>
    <w:uiPriority w:val="0"/>
  </w:style>
  <w:style w:type="character" w:customStyle="1" w:styleId="122">
    <w:name w:val="morewin"/>
    <w:basedOn w:val="52"/>
    <w:qFormat/>
    <w:uiPriority w:val="0"/>
  </w:style>
  <w:style w:type="character" w:customStyle="1" w:styleId="123">
    <w:name w:val="open"/>
    <w:basedOn w:val="52"/>
    <w:qFormat/>
    <w:uiPriority w:val="0"/>
  </w:style>
  <w:style w:type="character" w:customStyle="1" w:styleId="124">
    <w:name w:val="样式2 Char Char"/>
    <w:link w:val="70"/>
    <w:qFormat/>
    <w:uiPriority w:val="0"/>
    <w:rPr>
      <w:b/>
      <w:kern w:val="2"/>
      <w:sz w:val="24"/>
      <w:szCs w:val="24"/>
    </w:rPr>
  </w:style>
  <w:style w:type="character" w:customStyle="1" w:styleId="125">
    <w:name w:val="批注文字 Char"/>
    <w:qFormat/>
    <w:uiPriority w:val="99"/>
    <w:rPr>
      <w:kern w:val="2"/>
      <w:sz w:val="24"/>
      <w:szCs w:val="28"/>
    </w:rPr>
  </w:style>
  <w:style w:type="character" w:customStyle="1" w:styleId="126">
    <w:name w:val="图片 Char Char"/>
    <w:link w:val="93"/>
    <w:qFormat/>
    <w:uiPriority w:val="0"/>
    <w:rPr>
      <w:kern w:val="2"/>
      <w:sz w:val="28"/>
      <w:szCs w:val="28"/>
    </w:rPr>
  </w:style>
  <w:style w:type="character" w:customStyle="1" w:styleId="127">
    <w:name w:val="标题 1 Char"/>
    <w:link w:val="2"/>
    <w:qFormat/>
    <w:uiPriority w:val="99"/>
    <w:rPr>
      <w:rFonts w:ascii="Tahoma" w:hAnsi="Tahoma"/>
      <w:b/>
      <w:bCs/>
      <w:kern w:val="44"/>
      <w:sz w:val="24"/>
      <w:szCs w:val="44"/>
    </w:rPr>
  </w:style>
  <w:style w:type="character" w:customStyle="1" w:styleId="128">
    <w:name w:val="页眉 Char"/>
    <w:link w:val="34"/>
    <w:qFormat/>
    <w:uiPriority w:val="99"/>
    <w:rPr>
      <w:rFonts w:ascii="Tahoma" w:hAnsi="Tahoma"/>
      <w:kern w:val="2"/>
      <w:sz w:val="18"/>
      <w:szCs w:val="18"/>
    </w:rPr>
  </w:style>
  <w:style w:type="character" w:customStyle="1" w:styleId="129">
    <w:name w:val="标题 7 Char"/>
    <w:link w:val="9"/>
    <w:qFormat/>
    <w:uiPriority w:val="99"/>
    <w:rPr>
      <w:b/>
      <w:bCs/>
      <w:kern w:val="2"/>
      <w:sz w:val="24"/>
      <w:szCs w:val="28"/>
    </w:rPr>
  </w:style>
  <w:style w:type="character" w:customStyle="1" w:styleId="130">
    <w:name w:val="标题 Char"/>
    <w:link w:val="46"/>
    <w:qFormat/>
    <w:uiPriority w:val="0"/>
    <w:rPr>
      <w:rFonts w:ascii="Cambria" w:hAnsi="Cambria"/>
      <w:b/>
      <w:bCs/>
      <w:kern w:val="2"/>
      <w:sz w:val="32"/>
      <w:szCs w:val="32"/>
    </w:rPr>
  </w:style>
  <w:style w:type="character" w:customStyle="1" w:styleId="131">
    <w:name w:val="标题 9 Char"/>
    <w:link w:val="11"/>
    <w:qFormat/>
    <w:uiPriority w:val="99"/>
    <w:rPr>
      <w:rFonts w:ascii="Arial" w:hAnsi="Arial" w:eastAsia="黑体"/>
      <w:kern w:val="2"/>
      <w:sz w:val="24"/>
      <w:szCs w:val="21"/>
    </w:rPr>
  </w:style>
  <w:style w:type="character" w:customStyle="1" w:styleId="132">
    <w:name w:val="error"/>
    <w:qFormat/>
    <w:uiPriority w:val="0"/>
    <w:rPr>
      <w:color w:val="CC0000"/>
    </w:rPr>
  </w:style>
  <w:style w:type="character" w:customStyle="1" w:styleId="133">
    <w:name w:val="add"/>
    <w:basedOn w:val="52"/>
    <w:qFormat/>
    <w:uiPriority w:val="0"/>
  </w:style>
  <w:style w:type="character" w:customStyle="1" w:styleId="134">
    <w:name w:val="批注主题 Char"/>
    <w:link w:val="47"/>
    <w:qFormat/>
    <w:uiPriority w:val="99"/>
    <w:rPr>
      <w:rFonts w:ascii="Tahoma" w:hAnsi="Tahoma"/>
      <w:b/>
      <w:bCs/>
      <w:kern w:val="2"/>
      <w:sz w:val="24"/>
      <w:szCs w:val="28"/>
    </w:rPr>
  </w:style>
  <w:style w:type="character" w:customStyle="1" w:styleId="135">
    <w:name w:val="pagebanner"/>
    <w:basedOn w:val="52"/>
    <w:qFormat/>
    <w:uiPriority w:val="0"/>
  </w:style>
  <w:style w:type="character" w:customStyle="1" w:styleId="136">
    <w:name w:val="文档结构图 Char"/>
    <w:link w:val="17"/>
    <w:qFormat/>
    <w:uiPriority w:val="99"/>
    <w:rPr>
      <w:rFonts w:ascii="宋体"/>
      <w:kern w:val="2"/>
      <w:sz w:val="18"/>
      <w:szCs w:val="18"/>
    </w:rPr>
  </w:style>
  <w:style w:type="character" w:customStyle="1" w:styleId="137">
    <w:name w:val="正文首行缩进 Char"/>
    <w:link w:val="48"/>
    <w:qFormat/>
    <w:uiPriority w:val="0"/>
    <w:rPr>
      <w:rFonts w:ascii="Tahoma" w:hAnsi="Tahoma"/>
      <w:kern w:val="2"/>
      <w:sz w:val="21"/>
      <w:szCs w:val="24"/>
    </w:rPr>
  </w:style>
  <w:style w:type="character" w:customStyle="1" w:styleId="138">
    <w:name w:val="表格标题 Char Char"/>
    <w:link w:val="91"/>
    <w:qFormat/>
    <w:uiPriority w:val="0"/>
    <w:rPr>
      <w:rFonts w:ascii="Arial" w:hAnsi="Arial" w:cs="Arial"/>
      <w:kern w:val="2"/>
      <w:sz w:val="24"/>
      <w:szCs w:val="24"/>
    </w:rPr>
  </w:style>
  <w:style w:type="character" w:customStyle="1" w:styleId="139">
    <w:name w:val="标题 6 Char"/>
    <w:link w:val="8"/>
    <w:qFormat/>
    <w:uiPriority w:val="99"/>
    <w:rPr>
      <w:rFonts w:ascii="Arial" w:hAnsi="Arial" w:eastAsia="黑体"/>
      <w:b/>
      <w:bCs/>
      <w:kern w:val="2"/>
      <w:sz w:val="24"/>
      <w:szCs w:val="28"/>
    </w:rPr>
  </w:style>
  <w:style w:type="character" w:customStyle="1" w:styleId="140">
    <w:name w:val="正文文本 Char"/>
    <w:link w:val="22"/>
    <w:qFormat/>
    <w:uiPriority w:val="99"/>
    <w:rPr>
      <w:rFonts w:ascii="Tahoma" w:hAnsi="Tahoma"/>
      <w:kern w:val="2"/>
      <w:sz w:val="21"/>
      <w:szCs w:val="24"/>
    </w:rPr>
  </w:style>
  <w:style w:type="character" w:customStyle="1" w:styleId="141">
    <w:name w:val="10"/>
    <w:qFormat/>
    <w:uiPriority w:val="0"/>
    <w:rPr>
      <w:rFonts w:hint="default" w:ascii="Calibri" w:hAnsi="Calibri" w:cs="Calibri"/>
    </w:rPr>
  </w:style>
  <w:style w:type="character" w:customStyle="1" w:styleId="142">
    <w:name w:val="正文缩进 Char"/>
    <w:link w:val="5"/>
    <w:qFormat/>
    <w:uiPriority w:val="0"/>
    <w:rPr>
      <w:kern w:val="2"/>
      <w:sz w:val="24"/>
    </w:rPr>
  </w:style>
  <w:style w:type="character" w:customStyle="1" w:styleId="143">
    <w:name w:val="页脚 Char"/>
    <w:link w:val="33"/>
    <w:qFormat/>
    <w:uiPriority w:val="99"/>
    <w:rPr>
      <w:rFonts w:ascii="Tahoma" w:hAnsi="Tahoma"/>
      <w:kern w:val="2"/>
      <w:sz w:val="18"/>
      <w:szCs w:val="18"/>
    </w:rPr>
  </w:style>
  <w:style w:type="character" w:customStyle="1" w:styleId="144">
    <w:name w:val="mod"/>
    <w:basedOn w:val="52"/>
    <w:qFormat/>
    <w:uiPriority w:val="0"/>
  </w:style>
  <w:style w:type="character" w:customStyle="1" w:styleId="145">
    <w:name w:val="标题3 Char Char"/>
    <w:link w:val="89"/>
    <w:qFormat/>
    <w:uiPriority w:val="0"/>
    <w:rPr>
      <w:rFonts w:eastAsia="黑体"/>
      <w:kern w:val="2"/>
      <w:sz w:val="28"/>
      <w:szCs w:val="32"/>
    </w:rPr>
  </w:style>
  <w:style w:type="character" w:customStyle="1" w:styleId="146">
    <w:name w:val="标题 4 Char"/>
    <w:link w:val="6"/>
    <w:qFormat/>
    <w:uiPriority w:val="99"/>
    <w:rPr>
      <w:b/>
      <w:sz w:val="24"/>
      <w:szCs w:val="24"/>
    </w:rPr>
  </w:style>
  <w:style w:type="paragraph" w:customStyle="1" w:styleId="147">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8">
    <w:name w:val="redfilefwwh"/>
    <w:basedOn w:val="52"/>
    <w:qFormat/>
    <w:uiPriority w:val="0"/>
    <w:rPr>
      <w:color w:val="BA2636"/>
      <w:sz w:val="12"/>
      <w:szCs w:val="12"/>
    </w:rPr>
  </w:style>
  <w:style w:type="character" w:customStyle="1" w:styleId="149">
    <w:name w:val="gjfg"/>
    <w:basedOn w:val="52"/>
    <w:qFormat/>
    <w:uiPriority w:val="0"/>
  </w:style>
  <w:style w:type="character" w:customStyle="1" w:styleId="150">
    <w:name w:val="redfilenumber"/>
    <w:basedOn w:val="52"/>
    <w:qFormat/>
    <w:uiPriority w:val="0"/>
    <w:rPr>
      <w:color w:val="BA2636"/>
      <w:sz w:val="12"/>
      <w:szCs w:val="12"/>
    </w:rPr>
  </w:style>
  <w:style w:type="character" w:customStyle="1" w:styleId="151">
    <w:name w:val="qxdate"/>
    <w:basedOn w:val="52"/>
    <w:qFormat/>
    <w:uiPriority w:val="0"/>
    <w:rPr>
      <w:color w:val="333333"/>
      <w:sz w:val="12"/>
      <w:szCs w:val="12"/>
    </w:rPr>
  </w:style>
  <w:style w:type="character" w:customStyle="1" w:styleId="152">
    <w:name w:val="prev"/>
    <w:basedOn w:val="52"/>
    <w:qFormat/>
    <w:uiPriority w:val="0"/>
    <w:rPr>
      <w:rFonts w:ascii="微软雅黑" w:hAnsi="微软雅黑" w:eastAsia="微软雅黑" w:cs="微软雅黑"/>
      <w:sz w:val="14"/>
      <w:szCs w:val="14"/>
    </w:rPr>
  </w:style>
  <w:style w:type="character" w:customStyle="1" w:styleId="153">
    <w:name w:val="cfdate"/>
    <w:basedOn w:val="52"/>
    <w:qFormat/>
    <w:uiPriority w:val="0"/>
    <w:rPr>
      <w:color w:val="333333"/>
      <w:sz w:val="12"/>
      <w:szCs w:val="12"/>
    </w:rPr>
  </w:style>
  <w:style w:type="character" w:customStyle="1" w:styleId="154">
    <w:name w:val="displayarti"/>
    <w:basedOn w:val="52"/>
    <w:qFormat/>
    <w:uiPriority w:val="0"/>
    <w:rPr>
      <w:color w:val="FFFFFF"/>
      <w:shd w:val="clear" w:color="auto" w:fill="A00000"/>
    </w:rPr>
  </w:style>
  <w:style w:type="character" w:customStyle="1" w:styleId="155">
    <w:name w:val="next2"/>
    <w:basedOn w:val="52"/>
    <w:qFormat/>
    <w:uiPriority w:val="0"/>
    <w:rPr>
      <w:rFonts w:hint="eastAsia" w:ascii="微软雅黑" w:hAnsi="微软雅黑" w:eastAsia="微软雅黑" w:cs="微软雅黑"/>
      <w:sz w:val="14"/>
      <w:szCs w:val="14"/>
    </w:rPr>
  </w:style>
  <w:style w:type="character" w:customStyle="1" w:styleId="156">
    <w:name w:val="next3"/>
    <w:basedOn w:val="52"/>
    <w:qFormat/>
    <w:uiPriority w:val="0"/>
    <w:rPr>
      <w:color w:val="888888"/>
    </w:rPr>
  </w:style>
  <w:style w:type="character" w:customStyle="1" w:styleId="157">
    <w:name w:val="next"/>
    <w:basedOn w:val="52"/>
    <w:qFormat/>
    <w:uiPriority w:val="0"/>
    <w:rPr>
      <w:rFonts w:ascii="微软雅黑" w:hAnsi="微软雅黑" w:eastAsia="微软雅黑" w:cs="微软雅黑"/>
      <w:sz w:val="14"/>
      <w:szCs w:val="14"/>
    </w:rPr>
  </w:style>
  <w:style w:type="character" w:customStyle="1" w:styleId="158">
    <w:name w:val="prev1"/>
    <w:basedOn w:val="52"/>
    <w:qFormat/>
    <w:uiPriority w:val="0"/>
    <w:rPr>
      <w:color w:val="888888"/>
    </w:rPr>
  </w:style>
  <w:style w:type="paragraph" w:customStyle="1" w:styleId="159">
    <w:name w:val="Body text|21"/>
    <w:basedOn w:val="1"/>
    <w:link w:val="161"/>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60">
    <w:name w:val="Body text|2 + Spacing 0 pt"/>
    <w:basedOn w:val="161"/>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61">
    <w:name w:val="Body text|2_"/>
    <w:basedOn w:val="52"/>
    <w:link w:val="159"/>
    <w:qFormat/>
    <w:uiPriority w:val="0"/>
    <w:rPr>
      <w:rFonts w:ascii="PMingLiU" w:hAnsi="PMingLiU" w:eastAsia="PMingLiU" w:cs="PMingLiU"/>
      <w:spacing w:val="30"/>
    </w:rPr>
  </w:style>
  <w:style w:type="character" w:customStyle="1" w:styleId="162">
    <w:name w:val="Body text|2 + Spacing 3 pt"/>
    <w:basedOn w:val="161"/>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63">
    <w:name w:val="图文"/>
    <w:basedOn w:val="1"/>
    <w:qFormat/>
    <w:uiPriority w:val="0"/>
    <w:pPr>
      <w:adjustRightInd w:val="0"/>
      <w:snapToGrid w:val="0"/>
      <w:spacing w:after="50" w:line="360" w:lineRule="auto"/>
    </w:pPr>
    <w:rPr>
      <w:sz w:val="24"/>
    </w:rPr>
  </w:style>
  <w:style w:type="paragraph" w:customStyle="1" w:styleId="164">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5">
    <w:name w:val="Char2"/>
    <w:basedOn w:val="1"/>
    <w:qFormat/>
    <w:uiPriority w:val="0"/>
    <w:rPr>
      <w:rFonts w:ascii="仿宋_GB2312" w:eastAsia="仿宋_GB2312"/>
      <w:b/>
      <w:sz w:val="32"/>
      <w:szCs w:val="32"/>
    </w:rPr>
  </w:style>
  <w:style w:type="paragraph" w:customStyle="1" w:styleId="166">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7">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8">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70">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71">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72">
    <w:name w:val="正文文本缩进 Char"/>
    <w:basedOn w:val="52"/>
    <w:link w:val="23"/>
    <w:qFormat/>
    <w:uiPriority w:val="99"/>
    <w:rPr>
      <w:rFonts w:ascii="Tahoma" w:hAnsi="Tahoma" w:eastAsia="Arial Unicode MS" w:cs="Times New Roman"/>
      <w:kern w:val="2"/>
      <w:sz w:val="21"/>
      <w:szCs w:val="24"/>
    </w:rPr>
  </w:style>
  <w:style w:type="character" w:customStyle="1" w:styleId="173">
    <w:name w:val="正文首行缩进 2 Char"/>
    <w:basedOn w:val="172"/>
    <w:link w:val="49"/>
    <w:qFormat/>
    <w:uiPriority w:val="0"/>
    <w:rPr>
      <w:rFonts w:ascii="Times New Roman" w:hAnsi="Times New Roman" w:eastAsia="宋体" w:cs="Times New Roman"/>
      <w:kern w:val="2"/>
      <w:sz w:val="21"/>
      <w:szCs w:val="24"/>
    </w:rPr>
  </w:style>
  <w:style w:type="character" w:customStyle="1" w:styleId="174">
    <w:name w:val="正文文本 2 Char"/>
    <w:basedOn w:val="52"/>
    <w:link w:val="42"/>
    <w:qFormat/>
    <w:uiPriority w:val="99"/>
    <w:rPr>
      <w:rFonts w:ascii="宋体" w:hAnsi="Times New Roman" w:eastAsia="宋体" w:cs="Times New Roman"/>
      <w:kern w:val="2"/>
      <w:sz w:val="21"/>
    </w:rPr>
  </w:style>
  <w:style w:type="paragraph" w:customStyle="1" w:styleId="175">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6">
    <w:name w:val="样式 标题 2 + (符号) 宋体 小四"/>
    <w:basedOn w:val="3"/>
    <w:qFormat/>
    <w:uiPriority w:val="0"/>
    <w:pPr>
      <w:keepNext/>
      <w:keepLines/>
      <w:spacing w:line="416" w:lineRule="auto"/>
    </w:pPr>
    <w:rPr>
      <w:rFonts w:ascii="Arial" w:hAnsi="Arial" w:eastAsia="宋体"/>
      <w:bCs/>
      <w:sz w:val="24"/>
    </w:rPr>
  </w:style>
  <w:style w:type="character" w:customStyle="1" w:styleId="177">
    <w:name w:val="Char21"/>
    <w:qFormat/>
    <w:uiPriority w:val="0"/>
    <w:rPr>
      <w:rFonts w:ascii="Arial" w:hAnsi="Arial" w:eastAsia="黑体"/>
      <w:b/>
      <w:bCs/>
      <w:kern w:val="2"/>
      <w:sz w:val="32"/>
      <w:szCs w:val="32"/>
      <w:lang w:val="en-US" w:eastAsia="zh-CN" w:bidi="ar-SA"/>
    </w:rPr>
  </w:style>
  <w:style w:type="character" w:customStyle="1" w:styleId="178">
    <w:name w:val="样式 标题 2 + (符号) 宋体 小四 Char"/>
    <w:qFormat/>
    <w:uiPriority w:val="0"/>
    <w:rPr>
      <w:rFonts w:ascii="Arial" w:hAnsi="Arial" w:eastAsia="宋体"/>
      <w:b/>
      <w:bCs/>
      <w:kern w:val="2"/>
      <w:sz w:val="24"/>
      <w:szCs w:val="32"/>
      <w:lang w:val="en-US" w:eastAsia="zh-CN" w:bidi="ar-SA"/>
    </w:rPr>
  </w:style>
  <w:style w:type="paragraph" w:customStyle="1" w:styleId="179">
    <w:name w:val="默认段落字体 Para Char Char Char Char Char Char Char Char Char Char"/>
    <w:basedOn w:val="17"/>
    <w:qFormat/>
    <w:uiPriority w:val="0"/>
    <w:pPr>
      <w:shd w:val="clear" w:color="auto" w:fill="000080"/>
      <w:spacing w:line="240" w:lineRule="auto"/>
    </w:pPr>
    <w:rPr>
      <w:rFonts w:ascii="Tahoma" w:hAnsi="Tahoma" w:eastAsia="宋体"/>
      <w:sz w:val="24"/>
      <w:szCs w:val="24"/>
    </w:rPr>
  </w:style>
  <w:style w:type="paragraph" w:customStyle="1" w:styleId="180">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81">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8">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9">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9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3">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4">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5">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8">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200">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201">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202">
    <w:name w:val="日期 Char"/>
    <w:link w:val="30"/>
    <w:qFormat/>
    <w:uiPriority w:val="99"/>
    <w:rPr>
      <w:rFonts w:ascii="Tahoma" w:hAnsi="Tahoma" w:eastAsia="Arial Unicode MS" w:cs="Times New Roman"/>
      <w:kern w:val="2"/>
      <w:sz w:val="21"/>
      <w:szCs w:val="24"/>
    </w:rPr>
  </w:style>
  <w:style w:type="character" w:customStyle="1" w:styleId="203">
    <w:name w:val="Char Char"/>
    <w:qFormat/>
    <w:uiPriority w:val="0"/>
    <w:rPr>
      <w:rFonts w:eastAsia="宋体"/>
      <w:kern w:val="2"/>
      <w:sz w:val="24"/>
      <w:lang w:val="en-US" w:eastAsia="zh-CN" w:bidi="ar-SA"/>
    </w:rPr>
  </w:style>
  <w:style w:type="character" w:customStyle="1" w:styleId="204">
    <w:name w:val="称呼 Char"/>
    <w:basedOn w:val="52"/>
    <w:link w:val="20"/>
    <w:qFormat/>
    <w:uiPriority w:val="0"/>
    <w:rPr>
      <w:rFonts w:ascii="..ì." w:hAnsi="Times New Roman" w:eastAsia="..ì." w:cs="Times New Roman"/>
      <w:sz w:val="24"/>
    </w:rPr>
  </w:style>
  <w:style w:type="character" w:customStyle="1" w:styleId="205">
    <w:name w:val="注释标题 Char"/>
    <w:basedOn w:val="52"/>
    <w:link w:val="13"/>
    <w:qFormat/>
    <w:uiPriority w:val="0"/>
    <w:rPr>
      <w:rFonts w:ascii="..ì." w:hAnsi="Times New Roman" w:eastAsia="..ì." w:cs="Times New Roman"/>
      <w:sz w:val="24"/>
    </w:rPr>
  </w:style>
  <w:style w:type="paragraph" w:customStyle="1" w:styleId="206">
    <w:name w:val="1 Char Char Char Char"/>
    <w:basedOn w:val="1"/>
    <w:qFormat/>
    <w:uiPriority w:val="0"/>
    <w:rPr>
      <w:rFonts w:ascii="Tahoma" w:hAnsi="Tahoma" w:eastAsia="宋体"/>
      <w:sz w:val="24"/>
      <w:szCs w:val="20"/>
    </w:rPr>
  </w:style>
  <w:style w:type="paragraph" w:customStyle="1" w:styleId="20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8">
    <w:name w:val="TOC 标题2"/>
    <w:basedOn w:val="2"/>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9">
    <w:name w:val="标题 1 Char1"/>
    <w:qFormat/>
    <w:uiPriority w:val="99"/>
    <w:rPr>
      <w:rFonts w:ascii="黑体" w:eastAsia="黑体"/>
      <w:sz w:val="52"/>
      <w:lang w:bidi="ar-SA"/>
    </w:rPr>
  </w:style>
  <w:style w:type="paragraph" w:customStyle="1" w:styleId="210">
    <w:name w:val="样式 标题 2 + Times New Roman 四号 非加粗 段前: 5 磅 段后: 0 磅 行距: 固定值 20..."/>
    <w:basedOn w:val="3"/>
    <w:qFormat/>
    <w:uiPriority w:val="99"/>
    <w:pPr>
      <w:keepNext/>
      <w:keepLines/>
      <w:spacing w:before="100" w:after="0" w:line="400" w:lineRule="exact"/>
    </w:pPr>
    <w:rPr>
      <w:rFonts w:ascii="Times New Roman" w:hAnsi="Times New Roman" w:eastAsia="黑体" w:cs="宋体"/>
      <w:sz w:val="28"/>
      <w:szCs w:val="20"/>
    </w:rPr>
  </w:style>
  <w:style w:type="paragraph" w:customStyle="1" w:styleId="211">
    <w:name w:val="3"/>
    <w:basedOn w:val="1"/>
    <w:next w:val="21"/>
    <w:qFormat/>
    <w:uiPriority w:val="99"/>
    <w:rPr>
      <w:rFonts w:ascii="宋体" w:eastAsia="宋体"/>
      <w:sz w:val="24"/>
      <w:szCs w:val="20"/>
    </w:rPr>
  </w:style>
  <w:style w:type="character" w:customStyle="1" w:styleId="212">
    <w:name w:val="正文文本 3 Char"/>
    <w:basedOn w:val="52"/>
    <w:link w:val="21"/>
    <w:qFormat/>
    <w:uiPriority w:val="99"/>
    <w:rPr>
      <w:rFonts w:ascii="Times New Roman" w:hAnsi="Times New Roman" w:eastAsia="宋体" w:cs="Times New Roman"/>
      <w:kern w:val="2"/>
      <w:sz w:val="16"/>
      <w:szCs w:val="16"/>
    </w:rPr>
  </w:style>
  <w:style w:type="paragraph" w:customStyle="1" w:styleId="213">
    <w:name w:val="样式 标题 3 + (中文) 黑体 小四 非加粗 段前: 7.8 磅 段后: 0 磅 行距: 固定值 20 磅"/>
    <w:basedOn w:val="4"/>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4">
    <w:name w:val="2"/>
    <w:basedOn w:val="1"/>
    <w:next w:val="23"/>
    <w:qFormat/>
    <w:uiPriority w:val="99"/>
    <w:pPr>
      <w:ind w:left="432"/>
    </w:pPr>
    <w:rPr>
      <w:rFonts w:eastAsia="宋体"/>
      <w:szCs w:val="20"/>
    </w:rPr>
  </w:style>
  <w:style w:type="character" w:customStyle="1" w:styleId="215">
    <w:name w:val="正文文本缩进 3 Char"/>
    <w:link w:val="39"/>
    <w:qFormat/>
    <w:uiPriority w:val="99"/>
    <w:rPr>
      <w:rFonts w:ascii="Times New Roman" w:hAnsi="Times New Roman" w:eastAsia="Arial Unicode MS" w:cs="Times New Roman"/>
      <w:kern w:val="2"/>
      <w:sz w:val="16"/>
      <w:szCs w:val="16"/>
    </w:rPr>
  </w:style>
  <w:style w:type="paragraph" w:customStyle="1" w:styleId="216">
    <w:name w:val="样式 标题 1 + 黑体 三号 非加粗 居中 段前: 6 磅 段后: 6 磅 行距: 固定值 20 磅"/>
    <w:basedOn w:val="2"/>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7">
    <w:name w:val="Char1111"/>
    <w:basedOn w:val="1"/>
    <w:qFormat/>
    <w:uiPriority w:val="0"/>
    <w:rPr>
      <w:rFonts w:ascii="Tahoma" w:hAnsi="Tahoma" w:eastAsia="宋体"/>
      <w:sz w:val="24"/>
      <w:szCs w:val="20"/>
    </w:rPr>
  </w:style>
  <w:style w:type="character" w:customStyle="1" w:styleId="218">
    <w:name w:val="font161"/>
    <w:qFormat/>
    <w:uiPriority w:val="99"/>
    <w:rPr>
      <w:b/>
      <w:bCs/>
      <w:sz w:val="32"/>
      <w:szCs w:val="32"/>
    </w:rPr>
  </w:style>
  <w:style w:type="paragraph" w:customStyle="1" w:styleId="219">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20">
    <w:name w:val="表格"/>
    <w:basedOn w:val="1"/>
    <w:qFormat/>
    <w:uiPriority w:val="99"/>
    <w:pPr>
      <w:jc w:val="center"/>
      <w:textAlignment w:val="center"/>
    </w:pPr>
    <w:rPr>
      <w:rFonts w:ascii="华文细黑" w:hAnsi="华文细黑" w:eastAsia="宋体"/>
      <w:kern w:val="0"/>
      <w:szCs w:val="20"/>
    </w:rPr>
  </w:style>
  <w:style w:type="paragraph" w:customStyle="1" w:styleId="221">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22">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3">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4">
    <w:name w:val="样式 粉红"/>
    <w:qFormat/>
    <w:uiPriority w:val="99"/>
    <w:rPr>
      <w:color w:val="auto"/>
      <w:u w:val="none"/>
    </w:rPr>
  </w:style>
  <w:style w:type="character" w:customStyle="1" w:styleId="225">
    <w:name w:val="Char Char1"/>
    <w:qFormat/>
    <w:uiPriority w:val="0"/>
    <w:rPr>
      <w:rFonts w:eastAsia="宋体"/>
      <w:kern w:val="2"/>
      <w:sz w:val="24"/>
      <w:lang w:val="en-US" w:eastAsia="zh-CN" w:bidi="ar-SA"/>
    </w:rPr>
  </w:style>
  <w:style w:type="character" w:customStyle="1" w:styleId="226">
    <w:name w:val="纯文本 Char"/>
    <w:qFormat/>
    <w:uiPriority w:val="0"/>
    <w:rPr>
      <w:rFonts w:ascii="宋体" w:hAnsi="Courier New" w:eastAsia="Arial Unicode MS" w:cs="Times New Roman"/>
      <w:kern w:val="2"/>
      <w:sz w:val="21"/>
      <w:szCs w:val="21"/>
    </w:rPr>
  </w:style>
  <w:style w:type="paragraph" w:customStyle="1" w:styleId="227">
    <w:name w:val="Char Char Char Char"/>
    <w:basedOn w:val="1"/>
    <w:qFormat/>
    <w:uiPriority w:val="0"/>
    <w:pPr>
      <w:widowControl/>
      <w:spacing w:after="160" w:line="240" w:lineRule="exact"/>
      <w:jc w:val="left"/>
    </w:pPr>
    <w:rPr>
      <w:rFonts w:eastAsia="宋体"/>
      <w:szCs w:val="20"/>
    </w:rPr>
  </w:style>
  <w:style w:type="paragraph" w:customStyle="1" w:styleId="228">
    <w:name w:val="p17"/>
    <w:basedOn w:val="1"/>
    <w:qFormat/>
    <w:uiPriority w:val="99"/>
    <w:pPr>
      <w:widowControl/>
    </w:pPr>
    <w:rPr>
      <w:rFonts w:eastAsia="宋体"/>
      <w:kern w:val="0"/>
      <w:szCs w:val="21"/>
    </w:rPr>
  </w:style>
  <w:style w:type="character" w:customStyle="1" w:styleId="229">
    <w:name w:val="H4 Char"/>
    <w:qFormat/>
    <w:uiPriority w:val="0"/>
    <w:rPr>
      <w:b/>
      <w:sz w:val="28"/>
    </w:rPr>
  </w:style>
  <w:style w:type="character" w:customStyle="1" w:styleId="230">
    <w:name w:val="Char Char2"/>
    <w:qFormat/>
    <w:uiPriority w:val="0"/>
    <w:rPr>
      <w:rFonts w:eastAsia="宋体"/>
      <w:kern w:val="2"/>
      <w:sz w:val="24"/>
      <w:lang w:val="en-US" w:eastAsia="zh-CN" w:bidi="ar-SA"/>
    </w:rPr>
  </w:style>
  <w:style w:type="character" w:customStyle="1" w:styleId="231">
    <w:name w:val="Char Char111"/>
    <w:qFormat/>
    <w:uiPriority w:val="99"/>
    <w:rPr>
      <w:rFonts w:eastAsia="宋体"/>
      <w:kern w:val="2"/>
      <w:sz w:val="24"/>
      <w:lang w:val="en-US" w:eastAsia="zh-CN" w:bidi="ar-SA"/>
    </w:rPr>
  </w:style>
  <w:style w:type="paragraph" w:customStyle="1" w:styleId="232">
    <w:name w:val="Char Char Char Char111"/>
    <w:basedOn w:val="1"/>
    <w:qFormat/>
    <w:uiPriority w:val="0"/>
    <w:pPr>
      <w:widowControl/>
      <w:spacing w:after="160" w:line="240" w:lineRule="exact"/>
      <w:jc w:val="left"/>
    </w:pPr>
    <w:rPr>
      <w:rFonts w:eastAsia="宋体"/>
      <w:szCs w:val="20"/>
    </w:rPr>
  </w:style>
  <w:style w:type="paragraph" w:customStyle="1" w:styleId="233">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4">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5">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6">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0">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1">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3">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4">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5">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6">
    <w:name w:val="章标题"/>
    <w:next w:val="1"/>
    <w:link w:val="253"/>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7">
    <w:name w:val="一级条标题"/>
    <w:basedOn w:val="246"/>
    <w:next w:val="1"/>
    <w:link w:val="254"/>
    <w:qFormat/>
    <w:uiPriority w:val="0"/>
    <w:pPr>
      <w:numPr>
        <w:ilvl w:val="2"/>
      </w:numPr>
      <w:tabs>
        <w:tab w:val="left" w:pos="360"/>
      </w:tabs>
      <w:spacing w:beforeLines="0" w:afterLines="0"/>
      <w:ind w:left="315"/>
      <w:outlineLvl w:val="2"/>
    </w:pPr>
  </w:style>
  <w:style w:type="paragraph" w:customStyle="1" w:styleId="248">
    <w:name w:val="二级条标题"/>
    <w:basedOn w:val="247"/>
    <w:next w:val="1"/>
    <w:link w:val="255"/>
    <w:qFormat/>
    <w:uiPriority w:val="0"/>
    <w:pPr>
      <w:numPr>
        <w:ilvl w:val="3"/>
      </w:numPr>
      <w:ind w:left="315"/>
      <w:outlineLvl w:val="3"/>
    </w:pPr>
  </w:style>
  <w:style w:type="paragraph" w:customStyle="1" w:styleId="249">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50">
    <w:name w:val="三级条标题"/>
    <w:basedOn w:val="248"/>
    <w:next w:val="1"/>
    <w:qFormat/>
    <w:uiPriority w:val="0"/>
    <w:pPr>
      <w:numPr>
        <w:ilvl w:val="4"/>
      </w:numPr>
      <w:tabs>
        <w:tab w:val="left" w:pos="1680"/>
        <w:tab w:val="left" w:pos="2100"/>
      </w:tabs>
      <w:ind w:left="2100" w:hanging="420"/>
      <w:outlineLvl w:val="4"/>
    </w:pPr>
  </w:style>
  <w:style w:type="paragraph" w:customStyle="1" w:styleId="251">
    <w:name w:val="四级条标题"/>
    <w:basedOn w:val="250"/>
    <w:next w:val="1"/>
    <w:qFormat/>
    <w:uiPriority w:val="0"/>
    <w:pPr>
      <w:numPr>
        <w:ilvl w:val="5"/>
      </w:numPr>
      <w:tabs>
        <w:tab w:val="left" w:pos="2520"/>
      </w:tabs>
      <w:ind w:left="2520" w:hanging="420"/>
      <w:outlineLvl w:val="5"/>
    </w:pPr>
  </w:style>
  <w:style w:type="paragraph" w:customStyle="1" w:styleId="252">
    <w:name w:val="五级条标题"/>
    <w:basedOn w:val="251"/>
    <w:next w:val="1"/>
    <w:qFormat/>
    <w:uiPriority w:val="0"/>
    <w:pPr>
      <w:numPr>
        <w:ilvl w:val="6"/>
      </w:numPr>
      <w:tabs>
        <w:tab w:val="left" w:pos="2940"/>
      </w:tabs>
      <w:ind w:left="2940" w:hanging="420"/>
      <w:outlineLvl w:val="6"/>
    </w:pPr>
  </w:style>
  <w:style w:type="character" w:customStyle="1" w:styleId="253">
    <w:name w:val="章标题 Char"/>
    <w:link w:val="246"/>
    <w:qFormat/>
    <w:uiPriority w:val="0"/>
    <w:rPr>
      <w:rFonts w:ascii="黑体" w:eastAsia="黑体"/>
      <w:sz w:val="21"/>
    </w:rPr>
  </w:style>
  <w:style w:type="character" w:customStyle="1" w:styleId="254">
    <w:name w:val="一级条标题 Char"/>
    <w:link w:val="247"/>
    <w:qFormat/>
    <w:uiPriority w:val="0"/>
    <w:rPr>
      <w:rFonts w:ascii="黑体" w:eastAsia="黑体"/>
      <w:sz w:val="21"/>
    </w:rPr>
  </w:style>
  <w:style w:type="character" w:customStyle="1" w:styleId="255">
    <w:name w:val="二级条标题 Char"/>
    <w:link w:val="248"/>
    <w:qFormat/>
    <w:uiPriority w:val="0"/>
    <w:rPr>
      <w:rFonts w:ascii="黑体" w:eastAsia="黑体"/>
      <w:sz w:val="21"/>
    </w:rPr>
  </w:style>
  <w:style w:type="character" w:customStyle="1" w:styleId="256">
    <w:name w:val="Heading 1 Char"/>
    <w:qFormat/>
    <w:locked/>
    <w:uiPriority w:val="0"/>
    <w:rPr>
      <w:rFonts w:ascii="黑体" w:hAnsi="Times New Roman" w:eastAsia="黑体" w:cs="Times New Roman"/>
      <w:kern w:val="0"/>
      <w:sz w:val="20"/>
      <w:szCs w:val="20"/>
    </w:rPr>
  </w:style>
  <w:style w:type="character" w:customStyle="1" w:styleId="257">
    <w:name w:val="Heading 2 Char"/>
    <w:qFormat/>
    <w:locked/>
    <w:uiPriority w:val="0"/>
    <w:rPr>
      <w:rFonts w:ascii="Times New Roman" w:hAnsi="Times New Roman" w:eastAsia="宋体" w:cs="Times New Roman"/>
      <w:b/>
      <w:kern w:val="0"/>
      <w:sz w:val="32"/>
      <w:szCs w:val="32"/>
    </w:rPr>
  </w:style>
  <w:style w:type="character" w:customStyle="1" w:styleId="258">
    <w:name w:val="标题 3 Char1"/>
    <w:qFormat/>
    <w:locked/>
    <w:uiPriority w:val="99"/>
    <w:rPr>
      <w:rFonts w:eastAsia="宋体"/>
      <w:b/>
      <w:sz w:val="32"/>
      <w:lang w:val="en-US" w:eastAsia="zh-CN" w:bidi="ar-SA"/>
    </w:rPr>
  </w:style>
  <w:style w:type="character" w:customStyle="1" w:styleId="259">
    <w:name w:val="Heading 4 Char"/>
    <w:qFormat/>
    <w:locked/>
    <w:uiPriority w:val="0"/>
    <w:rPr>
      <w:rFonts w:ascii="Times New Roman" w:hAnsi="Times New Roman" w:eastAsia="宋体" w:cs="Times New Roman"/>
      <w:b/>
      <w:kern w:val="0"/>
      <w:sz w:val="20"/>
      <w:szCs w:val="20"/>
    </w:rPr>
  </w:style>
  <w:style w:type="character" w:customStyle="1" w:styleId="260">
    <w:name w:val="Heading 5 Char"/>
    <w:qFormat/>
    <w:locked/>
    <w:uiPriority w:val="0"/>
    <w:rPr>
      <w:rFonts w:ascii="Times New Roman" w:hAnsi="Times New Roman" w:eastAsia="宋体" w:cs="Times New Roman"/>
      <w:b/>
      <w:bCs/>
      <w:sz w:val="28"/>
      <w:szCs w:val="28"/>
    </w:rPr>
  </w:style>
  <w:style w:type="character" w:customStyle="1" w:styleId="261">
    <w:name w:val="Heading 6 Char"/>
    <w:qFormat/>
    <w:locked/>
    <w:uiPriority w:val="0"/>
    <w:rPr>
      <w:rFonts w:ascii="Arial" w:hAnsi="Arial" w:eastAsia="黑体" w:cs="Times New Roman"/>
      <w:b/>
      <w:bCs/>
      <w:kern w:val="0"/>
      <w:sz w:val="24"/>
      <w:szCs w:val="24"/>
    </w:rPr>
  </w:style>
  <w:style w:type="character" w:customStyle="1" w:styleId="262">
    <w:name w:val="Heading 7 Char"/>
    <w:qFormat/>
    <w:locked/>
    <w:uiPriority w:val="0"/>
    <w:rPr>
      <w:rFonts w:ascii="Times New Roman" w:hAnsi="Times New Roman" w:eastAsia="宋体" w:cs="Times New Roman"/>
      <w:b/>
      <w:bCs/>
      <w:kern w:val="0"/>
      <w:sz w:val="24"/>
      <w:szCs w:val="24"/>
    </w:rPr>
  </w:style>
  <w:style w:type="character" w:customStyle="1" w:styleId="263">
    <w:name w:val="Heading 8 Char"/>
    <w:qFormat/>
    <w:locked/>
    <w:uiPriority w:val="0"/>
    <w:rPr>
      <w:rFonts w:ascii="Arial" w:hAnsi="Arial" w:eastAsia="黑体" w:cs="Times New Roman"/>
      <w:kern w:val="0"/>
      <w:sz w:val="24"/>
      <w:szCs w:val="24"/>
    </w:rPr>
  </w:style>
  <w:style w:type="character" w:customStyle="1" w:styleId="264">
    <w:name w:val="Heading 9 Char"/>
    <w:qFormat/>
    <w:locked/>
    <w:uiPriority w:val="0"/>
    <w:rPr>
      <w:rFonts w:ascii="Arial" w:hAnsi="Arial" w:eastAsia="黑体" w:cs="Times New Roman"/>
      <w:kern w:val="0"/>
      <w:sz w:val="21"/>
      <w:szCs w:val="21"/>
    </w:rPr>
  </w:style>
  <w:style w:type="character" w:customStyle="1" w:styleId="265">
    <w:name w:val="Document Map Char"/>
    <w:qFormat/>
    <w:locked/>
    <w:uiPriority w:val="0"/>
    <w:rPr>
      <w:rFonts w:ascii="Times New Roman" w:hAnsi="Times New Roman" w:eastAsia="宋体" w:cs="Times New Roman"/>
      <w:sz w:val="24"/>
      <w:szCs w:val="24"/>
      <w:shd w:val="clear" w:color="auto" w:fill="000080"/>
    </w:rPr>
  </w:style>
  <w:style w:type="character" w:customStyle="1" w:styleId="266">
    <w:name w:val="Date Char"/>
    <w:qFormat/>
    <w:locked/>
    <w:uiPriority w:val="0"/>
    <w:rPr>
      <w:rFonts w:ascii="Times New Roman" w:hAnsi="Times New Roman" w:eastAsia="宋体" w:cs="Times New Roman"/>
      <w:sz w:val="20"/>
      <w:szCs w:val="20"/>
    </w:rPr>
  </w:style>
  <w:style w:type="character" w:customStyle="1" w:styleId="267">
    <w:name w:val="Header Char"/>
    <w:qFormat/>
    <w:locked/>
    <w:uiPriority w:val="0"/>
    <w:rPr>
      <w:rFonts w:ascii="Times New Roman" w:hAnsi="Times New Roman" w:eastAsia="宋体" w:cs="Times New Roman"/>
      <w:kern w:val="0"/>
      <w:sz w:val="20"/>
      <w:szCs w:val="20"/>
    </w:rPr>
  </w:style>
  <w:style w:type="character" w:customStyle="1" w:styleId="268">
    <w:name w:val="Footer Char"/>
    <w:qFormat/>
    <w:locked/>
    <w:uiPriority w:val="0"/>
    <w:rPr>
      <w:rFonts w:ascii="Times New Roman" w:hAnsi="Times New Roman" w:eastAsia="宋体" w:cs="Times New Roman"/>
      <w:kern w:val="0"/>
      <w:sz w:val="20"/>
      <w:szCs w:val="20"/>
    </w:rPr>
  </w:style>
  <w:style w:type="character" w:customStyle="1" w:styleId="269">
    <w:name w:val="Plain Text Char"/>
    <w:qFormat/>
    <w:locked/>
    <w:uiPriority w:val="0"/>
    <w:rPr>
      <w:rFonts w:ascii="宋体" w:hAnsi="Courier New" w:eastAsia="宋体" w:cs="Times New Roman"/>
      <w:sz w:val="20"/>
      <w:szCs w:val="20"/>
    </w:rPr>
  </w:style>
  <w:style w:type="character" w:customStyle="1" w:styleId="270">
    <w:name w:val="Body Text Indent 2 Char"/>
    <w:qFormat/>
    <w:locked/>
    <w:uiPriority w:val="0"/>
    <w:rPr>
      <w:rFonts w:ascii="Times New Roman" w:hAnsi="Times New Roman" w:eastAsia="宋体" w:cs="Times New Roman"/>
      <w:sz w:val="30"/>
      <w:szCs w:val="30"/>
    </w:rPr>
  </w:style>
  <w:style w:type="character" w:customStyle="1" w:styleId="271">
    <w:name w:val="Body Text Indent 3 Char"/>
    <w:qFormat/>
    <w:locked/>
    <w:uiPriority w:val="0"/>
    <w:rPr>
      <w:rFonts w:ascii="Times New Roman" w:hAnsi="Times New Roman" w:eastAsia="宋体" w:cs="Times New Roman"/>
      <w:sz w:val="30"/>
      <w:szCs w:val="30"/>
    </w:rPr>
  </w:style>
  <w:style w:type="character" w:customStyle="1" w:styleId="272">
    <w:name w:val="Body Text First Indent 2 Char"/>
    <w:qFormat/>
    <w:locked/>
    <w:uiPriority w:val="0"/>
    <w:rPr>
      <w:rFonts w:ascii="Times New Roman" w:hAnsi="Times New Roman" w:eastAsia="宋体" w:cs="Times New Roman"/>
      <w:kern w:val="2"/>
      <w:sz w:val="24"/>
      <w:szCs w:val="24"/>
    </w:rPr>
  </w:style>
  <w:style w:type="character" w:customStyle="1" w:styleId="273">
    <w:name w:val="Body Text 2 Char"/>
    <w:qFormat/>
    <w:locked/>
    <w:uiPriority w:val="0"/>
    <w:rPr>
      <w:rFonts w:ascii="宋体" w:hAnsi="Times New Roman" w:eastAsia="宋体" w:cs="Times New Roman"/>
      <w:sz w:val="20"/>
      <w:szCs w:val="20"/>
    </w:rPr>
  </w:style>
  <w:style w:type="character" w:customStyle="1" w:styleId="274">
    <w:name w:val="Balloon Text Char"/>
    <w:qFormat/>
    <w:locked/>
    <w:uiPriority w:val="0"/>
    <w:rPr>
      <w:rFonts w:ascii="Times New Roman" w:hAnsi="Times New Roman" w:eastAsia="宋体" w:cs="Times New Roman"/>
      <w:sz w:val="18"/>
      <w:szCs w:val="18"/>
    </w:rPr>
  </w:style>
  <w:style w:type="character" w:customStyle="1" w:styleId="275">
    <w:name w:val="Salutation Char"/>
    <w:qFormat/>
    <w:locked/>
    <w:uiPriority w:val="0"/>
    <w:rPr>
      <w:rFonts w:ascii="..ì." w:hAnsi="Times New Roman" w:eastAsia="..ì." w:cs="Times New Roman"/>
      <w:kern w:val="0"/>
      <w:sz w:val="20"/>
      <w:szCs w:val="20"/>
    </w:rPr>
  </w:style>
  <w:style w:type="character" w:customStyle="1" w:styleId="276">
    <w:name w:val="Note Heading Char"/>
    <w:qFormat/>
    <w:locked/>
    <w:uiPriority w:val="0"/>
    <w:rPr>
      <w:rFonts w:ascii="..ì." w:hAnsi="Times New Roman" w:eastAsia="..ì." w:cs="Times New Roman"/>
      <w:kern w:val="0"/>
      <w:sz w:val="20"/>
      <w:szCs w:val="20"/>
    </w:rPr>
  </w:style>
  <w:style w:type="paragraph" w:customStyle="1" w:styleId="277">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8">
    <w:name w:val="TOC Heading1"/>
    <w:basedOn w:val="2"/>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9">
    <w:name w:val="Body Text 3 Char"/>
    <w:qFormat/>
    <w:locked/>
    <w:uiPriority w:val="0"/>
    <w:rPr>
      <w:rFonts w:ascii="Times New Roman" w:hAnsi="Times New Roman" w:eastAsia="宋体" w:cs="Times New Roman"/>
      <w:sz w:val="16"/>
      <w:szCs w:val="16"/>
    </w:rPr>
  </w:style>
  <w:style w:type="character" w:customStyle="1" w:styleId="280">
    <w:name w:val="Title Char"/>
    <w:qFormat/>
    <w:locked/>
    <w:uiPriority w:val="0"/>
    <w:rPr>
      <w:rFonts w:ascii="Arial" w:hAnsi="Arial" w:eastAsia="宋体" w:cs="Times New Roman"/>
      <w:b/>
      <w:kern w:val="0"/>
      <w:sz w:val="20"/>
      <w:szCs w:val="20"/>
    </w:rPr>
  </w:style>
  <w:style w:type="character" w:customStyle="1" w:styleId="281">
    <w:name w:val="Comment Subject Char"/>
    <w:qFormat/>
    <w:locked/>
    <w:uiPriority w:val="0"/>
    <w:rPr>
      <w:rFonts w:ascii="Times New Roman" w:hAnsi="Times New Roman" w:eastAsia="宋体" w:cs="Times New Roman"/>
      <w:b/>
      <w:bCs/>
      <w:sz w:val="24"/>
      <w:szCs w:val="24"/>
    </w:rPr>
  </w:style>
  <w:style w:type="character" w:customStyle="1" w:styleId="282">
    <w:name w:val="Comment Text Char"/>
    <w:qFormat/>
    <w:locked/>
    <w:uiPriority w:val="0"/>
    <w:rPr>
      <w:rFonts w:ascii="Times New Roman" w:hAnsi="Times New Roman" w:eastAsia="宋体"/>
      <w:sz w:val="24"/>
    </w:rPr>
  </w:style>
  <w:style w:type="paragraph" w:customStyle="1" w:styleId="283">
    <w:name w:val="List Paragraph1"/>
    <w:basedOn w:val="1"/>
    <w:qFormat/>
    <w:uiPriority w:val="0"/>
    <w:pPr>
      <w:ind w:firstLine="420" w:firstLineChars="200"/>
    </w:pPr>
    <w:rPr>
      <w:rFonts w:eastAsia="宋体"/>
    </w:rPr>
  </w:style>
  <w:style w:type="paragraph" w:customStyle="1" w:styleId="284">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5">
    <w:name w:val="未处理的提及"/>
    <w:unhideWhenUsed/>
    <w:qFormat/>
    <w:uiPriority w:val="99"/>
    <w:rPr>
      <w:color w:val="605E5C"/>
      <w:shd w:val="clear" w:color="auto" w:fill="E1DFDD"/>
    </w:rPr>
  </w:style>
  <w:style w:type="character" w:customStyle="1" w:styleId="286">
    <w:name w:val="Char Char11"/>
    <w:qFormat/>
    <w:uiPriority w:val="99"/>
    <w:rPr>
      <w:rFonts w:eastAsia="宋体"/>
      <w:kern w:val="2"/>
      <w:sz w:val="24"/>
      <w:lang w:val="en-US" w:eastAsia="zh-CN"/>
    </w:rPr>
  </w:style>
  <w:style w:type="character" w:customStyle="1" w:styleId="287">
    <w:name w:val="正文文本 Char1"/>
    <w:semiHidden/>
    <w:qFormat/>
    <w:uiPriority w:val="0"/>
    <w:rPr>
      <w:rFonts w:ascii="Times New Roman" w:hAnsi="Times New Roman" w:eastAsia="宋体" w:cs="Times New Roman"/>
      <w:szCs w:val="24"/>
    </w:rPr>
  </w:style>
  <w:style w:type="paragraph" w:customStyle="1" w:styleId="288">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Char11"/>
    <w:basedOn w:val="1"/>
    <w:qFormat/>
    <w:uiPriority w:val="99"/>
    <w:rPr>
      <w:rFonts w:ascii="Tahoma" w:hAnsi="Tahoma" w:eastAsia="宋体"/>
      <w:sz w:val="24"/>
      <w:szCs w:val="20"/>
    </w:rPr>
  </w:style>
  <w:style w:type="paragraph" w:customStyle="1" w:styleId="290">
    <w:name w:val="Char Char Char Char1"/>
    <w:basedOn w:val="1"/>
    <w:qFormat/>
    <w:uiPriority w:val="99"/>
    <w:pPr>
      <w:widowControl/>
      <w:spacing w:after="160" w:line="240" w:lineRule="exact"/>
      <w:jc w:val="left"/>
    </w:pPr>
    <w:rPr>
      <w:rFonts w:eastAsia="宋体"/>
      <w:szCs w:val="20"/>
    </w:rPr>
  </w:style>
  <w:style w:type="paragraph" w:customStyle="1" w:styleId="291">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92">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Char Char Char Char11"/>
    <w:basedOn w:val="1"/>
    <w:qFormat/>
    <w:uiPriority w:val="99"/>
    <w:pPr>
      <w:widowControl/>
      <w:spacing w:after="160" w:line="240" w:lineRule="exact"/>
      <w:jc w:val="left"/>
    </w:pPr>
    <w:rPr>
      <w:rFonts w:eastAsia="宋体"/>
      <w:szCs w:val="20"/>
    </w:rPr>
  </w:style>
  <w:style w:type="paragraph" w:customStyle="1" w:styleId="294">
    <w:name w:val="Char12"/>
    <w:basedOn w:val="1"/>
    <w:qFormat/>
    <w:uiPriority w:val="99"/>
    <w:rPr>
      <w:rFonts w:ascii="Tahoma" w:hAnsi="Tahoma" w:eastAsia="宋体"/>
      <w:sz w:val="24"/>
      <w:szCs w:val="20"/>
    </w:rPr>
  </w:style>
  <w:style w:type="paragraph" w:customStyle="1" w:styleId="295">
    <w:name w:val="Char111"/>
    <w:basedOn w:val="1"/>
    <w:qFormat/>
    <w:uiPriority w:val="99"/>
    <w:rPr>
      <w:rFonts w:ascii="Tahoma" w:hAnsi="Tahoma" w:eastAsia="宋体"/>
      <w:sz w:val="24"/>
      <w:szCs w:val="20"/>
    </w:rPr>
  </w:style>
  <w:style w:type="paragraph" w:customStyle="1" w:styleId="296">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Char Char Char Char2"/>
    <w:basedOn w:val="1"/>
    <w:qFormat/>
    <w:uiPriority w:val="99"/>
    <w:pPr>
      <w:widowControl/>
      <w:spacing w:after="160" w:line="240" w:lineRule="exact"/>
      <w:jc w:val="left"/>
    </w:pPr>
    <w:rPr>
      <w:rFonts w:eastAsia="宋体"/>
      <w:szCs w:val="20"/>
    </w:rPr>
  </w:style>
  <w:style w:type="character" w:customStyle="1" w:styleId="298">
    <w:name w:val="正文文本 字符"/>
    <w:qFormat/>
    <w:uiPriority w:val="0"/>
    <w:rPr>
      <w:b/>
      <w:i/>
      <w:szCs w:val="24"/>
    </w:rPr>
  </w:style>
  <w:style w:type="paragraph" w:customStyle="1" w:styleId="299">
    <w:name w:val="纯文本2"/>
    <w:basedOn w:val="1"/>
    <w:qFormat/>
    <w:uiPriority w:val="0"/>
    <w:rPr>
      <w:rFonts w:ascii="宋体" w:hAnsi="Courier New" w:cs="Courier New"/>
      <w:szCs w:val="21"/>
    </w:rPr>
  </w:style>
  <w:style w:type="paragraph" w:customStyle="1" w:styleId="300">
    <w:name w:val="TOC 标题3"/>
    <w:basedOn w:val="2"/>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301">
    <w:name w:val="HTML 预设格式 Char"/>
    <w:basedOn w:val="52"/>
    <w:link w:val="43"/>
    <w:qFormat/>
    <w:uiPriority w:val="0"/>
    <w:rPr>
      <w:rFonts w:ascii="黑体" w:hAnsi="Courier New" w:eastAsia="黑体"/>
    </w:rPr>
  </w:style>
  <w:style w:type="character" w:customStyle="1" w:styleId="302">
    <w:name w:val="beforeinfotext"/>
    <w:basedOn w:val="52"/>
    <w:qFormat/>
    <w:uiPriority w:val="0"/>
    <w:rPr>
      <w:color w:val="666666"/>
    </w:rPr>
  </w:style>
  <w:style w:type="character" w:customStyle="1" w:styleId="303">
    <w:name w:val="proollist"/>
    <w:basedOn w:val="52"/>
    <w:qFormat/>
    <w:uiPriority w:val="0"/>
  </w:style>
  <w:style w:type="character" w:customStyle="1" w:styleId="304">
    <w:name w:val="span-long"/>
    <w:basedOn w:val="52"/>
    <w:qFormat/>
    <w:uiPriority w:val="0"/>
  </w:style>
  <w:style w:type="character" w:customStyle="1" w:styleId="305">
    <w:name w:val="input-direction"/>
    <w:basedOn w:val="52"/>
    <w:qFormat/>
    <w:uiPriority w:val="0"/>
    <w:rPr>
      <w:color w:val="FF6600"/>
    </w:rPr>
  </w:style>
  <w:style w:type="character" w:customStyle="1" w:styleId="306">
    <w:name w:val="stclosebtn"/>
    <w:basedOn w:val="52"/>
    <w:qFormat/>
    <w:uiPriority w:val="0"/>
  </w:style>
  <w:style w:type="character" w:customStyle="1" w:styleId="307">
    <w:name w:val="number"/>
    <w:basedOn w:val="52"/>
    <w:qFormat/>
    <w:uiPriority w:val="0"/>
    <w:rPr>
      <w:color w:val="FF8833"/>
      <w:sz w:val="18"/>
      <w:szCs w:val="18"/>
    </w:rPr>
  </w:style>
  <w:style w:type="character" w:customStyle="1" w:styleId="308">
    <w:name w:val="button"/>
    <w:basedOn w:val="52"/>
    <w:qFormat/>
    <w:uiPriority w:val="0"/>
  </w:style>
  <w:style w:type="character" w:customStyle="1" w:styleId="309">
    <w:name w:val="phone"/>
    <w:basedOn w:val="52"/>
    <w:qFormat/>
    <w:uiPriority w:val="0"/>
    <w:rPr>
      <w:color w:val="FF8833"/>
      <w:sz w:val="18"/>
      <w:szCs w:val="18"/>
    </w:rPr>
  </w:style>
  <w:style w:type="character" w:customStyle="1" w:styleId="310">
    <w:name w:val="tmpztreemove_arrow"/>
    <w:basedOn w:val="52"/>
    <w:qFormat/>
    <w:uiPriority w:val="0"/>
  </w:style>
  <w:style w:type="character" w:customStyle="1" w:styleId="311">
    <w:name w:val="hilite"/>
    <w:basedOn w:val="52"/>
    <w:qFormat/>
    <w:uiPriority w:val="0"/>
    <w:rPr>
      <w:color w:val="FFFFFF"/>
      <w:shd w:val="clear" w:color="auto" w:fill="666677"/>
    </w:rPr>
  </w:style>
  <w:style w:type="character" w:customStyle="1" w:styleId="312">
    <w:name w:val="active"/>
    <w:basedOn w:val="52"/>
    <w:qFormat/>
    <w:uiPriority w:val="0"/>
    <w:rPr>
      <w:color w:val="00FF00"/>
      <w:shd w:val="clear" w:color="auto" w:fill="000000"/>
    </w:rPr>
  </w:style>
  <w:style w:type="paragraph" w:customStyle="1" w:styleId="313">
    <w:name w:val="标题 2（投标文件）"/>
    <w:basedOn w:val="3"/>
    <w:qFormat/>
    <w:uiPriority w:val="0"/>
    <w:pPr>
      <w:keepNext/>
      <w:keepLines/>
      <w:widowControl/>
      <w:spacing w:before="0" w:after="0"/>
      <w:jc w:val="center"/>
    </w:pPr>
    <w:rPr>
      <w:rFonts w:ascii="Calibri" w:hAnsi="Calibri" w:eastAsia="华文仿宋"/>
      <w:b/>
    </w:rPr>
  </w:style>
  <w:style w:type="character" w:customStyle="1" w:styleId="314">
    <w:name w:val="纯文本 Char1"/>
    <w:basedOn w:val="52"/>
    <w:link w:val="28"/>
    <w:qFormat/>
    <w:uiPriority w:val="0"/>
    <w:rPr>
      <w:rFonts w:hint="eastAsia" w:ascii="宋体" w:hAnsi="Courier New" w:eastAsia="Arial Unicode MS" w:cs="宋体"/>
      <w:kern w:val="2"/>
      <w:sz w:val="21"/>
      <w:szCs w:val="21"/>
    </w:rPr>
  </w:style>
  <w:style w:type="character" w:customStyle="1" w:styleId="315">
    <w:name w:val="NormalCharacter"/>
    <w:qFormat/>
    <w:uiPriority w:val="0"/>
    <w:rPr>
      <w:kern w:val="2"/>
      <w:sz w:val="21"/>
      <w:szCs w:val="22"/>
      <w:lang w:val="en-US" w:eastAsia="zh-CN" w:bidi="ar-SA"/>
    </w:rPr>
  </w:style>
  <w:style w:type="character" w:customStyle="1" w:styleId="316">
    <w:name w:val="mini-outputtext1"/>
    <w:basedOn w:val="5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152C4B-C496-4B5C-A23C-172293EF694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87</Pages>
  <Words>19654</Words>
  <Characters>22820</Characters>
  <Lines>396</Lines>
  <Paragraphs>111</Paragraphs>
  <TotalTime>16</TotalTime>
  <ScaleCrop>false</ScaleCrop>
  <LinksUpToDate>false</LinksUpToDate>
  <CharactersWithSpaces>23875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2020-12-12T00:34:00Z</dcterms:created>
  <dc:creator>Lv Ji_BM</dc:creator>
  <cp:lastModifiedBy>周乐</cp:lastModifiedBy>
  <cp:lastPrinted>2021-01-08T03:14:00Z</cp:lastPrinted>
  <dcterms:modified xsi:type="dcterms:W3CDTF">2026-04-22T05:37:35Z</dcterms:modified>
  <dc:title>_x0001_</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01D562C9AFF641AB9E5AD1186AA0CBCA_13</vt:lpwstr>
  </property>
  <property fmtid="{D5CDD505-2E9C-101B-9397-08002B2CF9AE}" pid="4" name="KSOTemplateDocerSaveRecord">
    <vt:lpwstr>eyJoZGlkIjoiNmJhODJlNDRmZTc2ZWYzMmQ0MzhhZTU0MDkyMDcyOWUiLCJ1c2VySWQiOiIyODI4NjAyODQifQ==</vt:lpwstr>
  </property>
</Properties>
</file>