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C4A21">
      <w:pPr>
        <w:spacing w:afterLines="50" w:line="240" w:lineRule="auto"/>
        <w:rPr>
          <w:rFonts w:ascii="仿宋" w:hAnsi="仿宋" w:eastAsia="仿宋" w:cs="Times New Roman"/>
          <w:sz w:val="52"/>
          <w:szCs w:val="52"/>
        </w:rPr>
      </w:pPr>
      <w:bookmarkStart w:id="0" w:name="_Toc1"/>
      <w:bookmarkStart w:id="1" w:name="_Toc7047"/>
      <w:bookmarkStart w:id="2" w:name="_Toc21160"/>
      <w:bookmarkStart w:id="3" w:name="_Toc6774"/>
      <w:bookmarkStart w:id="4" w:name="_Toc20135"/>
      <w:bookmarkStart w:id="5" w:name="_Toc10513"/>
      <w:bookmarkStart w:id="6" w:name="_Toc852"/>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rPr>
        <w:instrText xml:space="preserve">ADDIN CNKISM.UserStyle</w:instrText>
      </w:r>
      <w:r>
        <w:rPr>
          <w:rFonts w:ascii="仿宋" w:hAnsi="仿宋" w:eastAsia="仿宋" w:cs="Times New Roman"/>
          <w:sz w:val="52"/>
          <w:szCs w:val="52"/>
        </w:rPr>
        <w:fldChar w:fldCharType="end"/>
      </w:r>
    </w:p>
    <w:p w14:paraId="7FF4F452">
      <w:pPr>
        <w:pStyle w:val="29"/>
        <w:ind w:firstLine="183"/>
        <w:rPr>
          <w:rFonts w:ascii="仿宋" w:hAnsi="仿宋" w:eastAsia="仿宋"/>
        </w:rPr>
      </w:pPr>
    </w:p>
    <w:p w14:paraId="77A5C3A7">
      <w:pPr>
        <w:tabs>
          <w:tab w:val="left" w:pos="6506"/>
        </w:tabs>
        <w:spacing w:afterLines="50" w:line="240" w:lineRule="auto"/>
        <w:rPr>
          <w:rFonts w:ascii="仿宋" w:hAnsi="仿宋" w:eastAsia="仿宋" w:cs="Times New Roman"/>
          <w:sz w:val="52"/>
          <w:szCs w:val="52"/>
        </w:rPr>
      </w:pPr>
      <w:r>
        <w:rPr>
          <w:rFonts w:hint="eastAsia" w:ascii="仿宋" w:hAnsi="仿宋" w:eastAsia="仿宋" w:cs="Times New Roman"/>
          <w:sz w:val="52"/>
          <w:szCs w:val="52"/>
        </w:rPr>
        <w:tab/>
      </w:r>
    </w:p>
    <w:p w14:paraId="646A8414">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榆林市市级政府采购中心</w:t>
      </w:r>
    </w:p>
    <w:p w14:paraId="475FADA5">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公开招标文件</w:t>
      </w:r>
    </w:p>
    <w:p w14:paraId="318FFA02">
      <w:pPr>
        <w:spacing w:line="240" w:lineRule="auto"/>
        <w:rPr>
          <w:rFonts w:ascii="仿宋" w:hAnsi="仿宋" w:eastAsia="仿宋" w:cs="Times New Roman"/>
          <w:sz w:val="36"/>
          <w:szCs w:val="36"/>
        </w:rPr>
      </w:pPr>
    </w:p>
    <w:p w14:paraId="15218627">
      <w:pPr>
        <w:pStyle w:val="25"/>
        <w:spacing w:line="240" w:lineRule="auto"/>
        <w:jc w:val="both"/>
        <w:rPr>
          <w:rFonts w:ascii="仿宋" w:hAnsi="仿宋" w:eastAsia="仿宋" w:cs="Times New Roman"/>
          <w:sz w:val="36"/>
          <w:szCs w:val="36"/>
        </w:rPr>
      </w:pPr>
    </w:p>
    <w:p w14:paraId="049A4C69">
      <w:pPr>
        <w:pStyle w:val="25"/>
        <w:spacing w:line="240" w:lineRule="auto"/>
        <w:jc w:val="both"/>
        <w:rPr>
          <w:rFonts w:ascii="仿宋" w:hAnsi="仿宋" w:eastAsia="仿宋" w:cs="Times New Roman"/>
          <w:sz w:val="36"/>
          <w:szCs w:val="36"/>
        </w:rPr>
      </w:pPr>
    </w:p>
    <w:p w14:paraId="33F4F982">
      <w:pPr>
        <w:pStyle w:val="25"/>
        <w:spacing w:line="240" w:lineRule="auto"/>
        <w:jc w:val="both"/>
        <w:rPr>
          <w:rFonts w:ascii="仿宋" w:hAnsi="仿宋" w:eastAsia="仿宋" w:cs="Times New Roman"/>
          <w:sz w:val="36"/>
          <w:szCs w:val="36"/>
        </w:rPr>
      </w:pPr>
    </w:p>
    <w:p w14:paraId="5B61144F">
      <w:pPr>
        <w:pStyle w:val="29"/>
        <w:ind w:firstLine="183"/>
        <w:rPr>
          <w:rFonts w:ascii="仿宋" w:hAnsi="仿宋" w:eastAsia="仿宋" w:cs="Times New Roman"/>
        </w:rPr>
      </w:pPr>
    </w:p>
    <w:p w14:paraId="0C3C20D2">
      <w:pPr>
        <w:pStyle w:val="29"/>
        <w:ind w:firstLine="183"/>
        <w:rPr>
          <w:rFonts w:ascii="仿宋" w:hAnsi="仿宋" w:eastAsia="仿宋" w:cs="Times New Roman"/>
        </w:rPr>
      </w:pPr>
    </w:p>
    <w:p w14:paraId="753F2F8B">
      <w:pPr>
        <w:pStyle w:val="29"/>
        <w:ind w:firstLine="183"/>
        <w:rPr>
          <w:rFonts w:ascii="仿宋" w:hAnsi="仿宋" w:eastAsia="仿宋" w:cs="Times New Roman"/>
        </w:rPr>
      </w:pPr>
    </w:p>
    <w:p w14:paraId="13DA3C2D">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项目编号：</w:t>
      </w:r>
      <w:bookmarkStart w:id="7" w:name="_Hlk511210231"/>
      <w:r>
        <w:rPr>
          <w:rFonts w:hint="eastAsia" w:ascii="仿宋" w:hAnsi="仿宋" w:eastAsia="仿宋" w:cs="Times New Roman"/>
          <w:sz w:val="36"/>
          <w:szCs w:val="36"/>
          <w:lang w:eastAsia="zh-CN"/>
        </w:rPr>
        <w:t>YLCG202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lang w:eastAsia="zh-CN"/>
        </w:rPr>
        <w:t>-1</w:t>
      </w:r>
      <w:r>
        <w:rPr>
          <w:rFonts w:hint="eastAsia" w:ascii="仿宋" w:hAnsi="仿宋" w:eastAsia="仿宋" w:cs="Times New Roman"/>
          <w:sz w:val="36"/>
          <w:szCs w:val="36"/>
          <w:lang w:val="en-US" w:eastAsia="zh-CN"/>
        </w:rPr>
        <w:t>61</w:t>
      </w:r>
      <w:r>
        <w:rPr>
          <w:rFonts w:hint="eastAsia" w:ascii="仿宋" w:hAnsi="仿宋" w:eastAsia="仿宋" w:cs="Times New Roman"/>
          <w:sz w:val="36"/>
          <w:szCs w:val="36"/>
          <w:lang w:eastAsia="zh-CN"/>
        </w:rPr>
        <w:t>G</w:t>
      </w:r>
    </w:p>
    <w:bookmarkEnd w:id="7"/>
    <w:p w14:paraId="4E363C56">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项目名称：党政各级视频会议系统扩容加固建设服务项目</w:t>
      </w:r>
    </w:p>
    <w:p w14:paraId="337E693E">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采 购 人：榆林市市政府机关事务服务中心</w:t>
      </w:r>
    </w:p>
    <w:p w14:paraId="6EA6F81C">
      <w:pPr>
        <w:spacing w:line="240" w:lineRule="auto"/>
        <w:ind w:left="724" w:leftChars="256" w:right="707" w:rightChars="250"/>
        <w:jc w:val="left"/>
        <w:rPr>
          <w:rFonts w:ascii="仿宋" w:hAnsi="仿宋" w:eastAsia="仿宋" w:cs="Times New Roman"/>
          <w:sz w:val="36"/>
          <w:szCs w:val="36"/>
        </w:rPr>
      </w:pPr>
      <w:r>
        <w:rPr>
          <w:rFonts w:ascii="仿宋" w:hAnsi="仿宋" w:eastAsia="仿宋" w:cs="Times New Roman"/>
          <w:sz w:val="36"/>
          <w:szCs w:val="36"/>
        </w:rPr>
        <w:t>采购代理机构：</w:t>
      </w:r>
      <w:r>
        <w:rPr>
          <w:rFonts w:hint="eastAsia" w:ascii="仿宋" w:hAnsi="仿宋" w:eastAsia="仿宋" w:cs="Times New Roman"/>
          <w:sz w:val="36"/>
          <w:szCs w:val="36"/>
        </w:rPr>
        <w:t>榆林市市级政府采购中心</w:t>
      </w:r>
    </w:p>
    <w:p w14:paraId="233FBF7D">
      <w:pPr>
        <w:pStyle w:val="29"/>
        <w:ind w:firstLine="183"/>
        <w:rPr>
          <w:rFonts w:ascii="仿宋" w:hAnsi="仿宋" w:eastAsia="仿宋" w:cs="Times New Roman"/>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p>
    <w:p w14:paraId="724AA57C">
      <w:pPr>
        <w:pStyle w:val="29"/>
        <w:ind w:firstLine="183"/>
        <w:rPr>
          <w:rFonts w:ascii="仿宋" w:hAnsi="仿宋" w:eastAsia="仿宋" w:cs="Times New Roman"/>
        </w:rPr>
      </w:pPr>
    </w:p>
    <w:p w14:paraId="0CD7FFBB">
      <w:pPr>
        <w:spacing w:line="480" w:lineRule="auto"/>
        <w:jc w:val="center"/>
        <w:rPr>
          <w:rFonts w:ascii="仿宋" w:hAnsi="仿宋" w:eastAsia="仿宋"/>
          <w:b/>
          <w:sz w:val="44"/>
          <w:szCs w:val="44"/>
        </w:rPr>
      </w:pPr>
      <w:r>
        <w:rPr>
          <w:rFonts w:hint="eastAsia" w:ascii="仿宋" w:hAnsi="仿宋" w:eastAsia="仿宋"/>
          <w:b/>
          <w:sz w:val="44"/>
          <w:szCs w:val="44"/>
        </w:rPr>
        <w:t>招标文件签署栏</w:t>
      </w:r>
    </w:p>
    <w:p w14:paraId="4B7D6AD4">
      <w:pPr>
        <w:ind w:left="-147" w:leftChars="-202" w:right="-458" w:rightChars="-162" w:hanging="424" w:hangingChars="96"/>
        <w:jc w:val="center"/>
        <w:rPr>
          <w:rFonts w:ascii="仿宋" w:hAnsi="仿宋" w:eastAsia="仿宋"/>
          <w:b/>
          <w:sz w:val="44"/>
          <w:szCs w:val="44"/>
        </w:rPr>
      </w:pPr>
    </w:p>
    <w:tbl>
      <w:tblPr>
        <w:tblStyle w:val="31"/>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4A0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tcPr>
          <w:p w14:paraId="4014DD04">
            <w:pPr>
              <w:jc w:val="center"/>
              <w:rPr>
                <w:rFonts w:ascii="仿宋" w:hAnsi="仿宋" w:eastAsia="仿宋"/>
                <w:sz w:val="30"/>
                <w:szCs w:val="30"/>
              </w:rPr>
            </w:pPr>
            <w:r>
              <w:rPr>
                <w:rFonts w:hint="eastAsia" w:ascii="仿宋" w:hAnsi="仿宋" w:eastAsia="仿宋"/>
                <w:sz w:val="30"/>
                <w:szCs w:val="30"/>
              </w:rPr>
              <w:t>签署栏</w:t>
            </w:r>
          </w:p>
        </w:tc>
      </w:tr>
      <w:tr w14:paraId="0A5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tcPr>
          <w:p w14:paraId="611B208B">
            <w:pPr>
              <w:jc w:val="left"/>
              <w:rPr>
                <w:rFonts w:ascii="仿宋" w:hAnsi="仿宋" w:eastAsia="仿宋"/>
                <w:sz w:val="30"/>
                <w:szCs w:val="30"/>
              </w:rPr>
            </w:pPr>
            <w:r>
              <w:rPr>
                <w:rFonts w:hint="eastAsia" w:ascii="仿宋" w:hAnsi="仿宋" w:eastAsia="仿宋"/>
                <w:sz w:val="30"/>
                <w:szCs w:val="30"/>
              </w:rPr>
              <w:t>签发</w:t>
            </w:r>
          </w:p>
          <w:p w14:paraId="4AE522F7">
            <w:pPr>
              <w:rPr>
                <w:rFonts w:ascii="仿宋" w:hAnsi="仿宋" w:eastAsia="仿宋"/>
                <w:sz w:val="30"/>
                <w:szCs w:val="30"/>
              </w:rPr>
            </w:pPr>
          </w:p>
          <w:p w14:paraId="3A13F542">
            <w:pPr>
              <w:rPr>
                <w:rFonts w:ascii="仿宋" w:hAnsi="仿宋" w:eastAsia="仿宋"/>
                <w:sz w:val="30"/>
                <w:szCs w:val="30"/>
              </w:rPr>
            </w:pPr>
          </w:p>
          <w:p w14:paraId="2CD47723">
            <w:pPr>
              <w:jc w:val="left"/>
              <w:rPr>
                <w:rFonts w:ascii="仿宋" w:hAnsi="仿宋" w:eastAsia="仿宋"/>
                <w:sz w:val="30"/>
                <w:szCs w:val="30"/>
              </w:rPr>
            </w:pPr>
          </w:p>
          <w:p w14:paraId="51CBE37B">
            <w:pPr>
              <w:jc w:val="left"/>
              <w:rPr>
                <w:rFonts w:ascii="仿宋" w:hAnsi="仿宋" w:eastAsia="仿宋"/>
                <w:sz w:val="30"/>
                <w:szCs w:val="30"/>
              </w:rPr>
            </w:pPr>
          </w:p>
          <w:p w14:paraId="75E5841F">
            <w:pPr>
              <w:jc w:val="left"/>
              <w:rPr>
                <w:rFonts w:ascii="仿宋" w:hAnsi="仿宋" w:eastAsia="仿宋"/>
                <w:sz w:val="30"/>
                <w:szCs w:val="30"/>
              </w:rPr>
            </w:pPr>
          </w:p>
          <w:p w14:paraId="652E4694">
            <w:pPr>
              <w:jc w:val="left"/>
              <w:rPr>
                <w:rFonts w:ascii="仿宋" w:hAnsi="仿宋" w:eastAsia="仿宋"/>
                <w:sz w:val="30"/>
                <w:szCs w:val="30"/>
              </w:rPr>
            </w:pPr>
          </w:p>
          <w:p w14:paraId="3B6B1D4F">
            <w:pPr>
              <w:jc w:val="center"/>
              <w:rPr>
                <w:rFonts w:ascii="仿宋" w:hAnsi="仿宋" w:eastAsia="仿宋"/>
                <w:sz w:val="30"/>
                <w:szCs w:val="30"/>
              </w:rPr>
            </w:pPr>
            <w:r>
              <w:rPr>
                <w:rFonts w:hint="eastAsia" w:ascii="仿宋" w:hAnsi="仿宋" w:eastAsia="仿宋"/>
                <w:sz w:val="30"/>
                <w:szCs w:val="30"/>
              </w:rPr>
              <w:t>榆林市市级政府采购中心</w:t>
            </w:r>
          </w:p>
          <w:p w14:paraId="38BB96BC">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tcPr>
          <w:p w14:paraId="501BC023">
            <w:pPr>
              <w:jc w:val="left"/>
              <w:rPr>
                <w:rFonts w:ascii="仿宋" w:hAnsi="仿宋" w:eastAsia="仿宋"/>
                <w:sz w:val="30"/>
                <w:szCs w:val="30"/>
              </w:rPr>
            </w:pPr>
            <w:r>
              <w:rPr>
                <w:rFonts w:hint="eastAsia" w:ascii="仿宋" w:hAnsi="仿宋" w:eastAsia="仿宋"/>
                <w:sz w:val="30"/>
                <w:szCs w:val="30"/>
              </w:rPr>
              <w:t>签发</w:t>
            </w:r>
          </w:p>
          <w:p w14:paraId="2830F55E">
            <w:pPr>
              <w:rPr>
                <w:rFonts w:ascii="仿宋" w:hAnsi="仿宋" w:eastAsia="仿宋"/>
                <w:sz w:val="30"/>
                <w:szCs w:val="30"/>
              </w:rPr>
            </w:pPr>
          </w:p>
          <w:p w14:paraId="3F2D1E70">
            <w:pPr>
              <w:rPr>
                <w:rFonts w:ascii="仿宋" w:hAnsi="仿宋" w:eastAsia="仿宋"/>
                <w:sz w:val="30"/>
                <w:szCs w:val="30"/>
              </w:rPr>
            </w:pPr>
          </w:p>
          <w:p w14:paraId="284CC557">
            <w:pPr>
              <w:jc w:val="left"/>
              <w:rPr>
                <w:rFonts w:ascii="仿宋" w:hAnsi="仿宋" w:eastAsia="仿宋"/>
                <w:sz w:val="30"/>
                <w:szCs w:val="30"/>
              </w:rPr>
            </w:pPr>
          </w:p>
          <w:p w14:paraId="0C6D8B6A">
            <w:pPr>
              <w:jc w:val="left"/>
              <w:rPr>
                <w:rFonts w:ascii="仿宋" w:hAnsi="仿宋" w:eastAsia="仿宋"/>
                <w:sz w:val="30"/>
                <w:szCs w:val="30"/>
              </w:rPr>
            </w:pPr>
          </w:p>
          <w:p w14:paraId="4A032D58">
            <w:pPr>
              <w:jc w:val="left"/>
              <w:rPr>
                <w:rFonts w:ascii="仿宋" w:hAnsi="仿宋" w:eastAsia="仿宋"/>
                <w:sz w:val="30"/>
                <w:szCs w:val="30"/>
              </w:rPr>
            </w:pPr>
          </w:p>
          <w:p w14:paraId="5B0B706D">
            <w:pPr>
              <w:jc w:val="left"/>
              <w:rPr>
                <w:rFonts w:ascii="仿宋" w:hAnsi="仿宋" w:eastAsia="仿宋"/>
                <w:sz w:val="30"/>
                <w:szCs w:val="30"/>
              </w:rPr>
            </w:pPr>
          </w:p>
          <w:p w14:paraId="59770AC5">
            <w:pPr>
              <w:jc w:val="center"/>
              <w:rPr>
                <w:rFonts w:ascii="仿宋" w:hAnsi="仿宋" w:eastAsia="仿宋"/>
                <w:sz w:val="30"/>
                <w:szCs w:val="30"/>
              </w:rPr>
            </w:pPr>
            <w:r>
              <w:rPr>
                <w:rFonts w:hint="eastAsia" w:ascii="仿宋" w:hAnsi="仿宋" w:eastAsia="仿宋"/>
                <w:sz w:val="30"/>
                <w:szCs w:val="30"/>
              </w:rPr>
              <w:t>采购单位</w:t>
            </w:r>
          </w:p>
          <w:p w14:paraId="7179275D">
            <w:pPr>
              <w:jc w:val="center"/>
              <w:rPr>
                <w:rFonts w:ascii="仿宋" w:hAnsi="仿宋" w:eastAsia="仿宋"/>
                <w:sz w:val="30"/>
                <w:szCs w:val="30"/>
              </w:rPr>
            </w:pPr>
            <w:r>
              <w:rPr>
                <w:rFonts w:hint="eastAsia" w:ascii="仿宋" w:hAnsi="仿宋" w:eastAsia="仿宋"/>
                <w:sz w:val="30"/>
                <w:szCs w:val="30"/>
              </w:rPr>
              <w:t>（盖章）</w:t>
            </w:r>
          </w:p>
        </w:tc>
      </w:tr>
      <w:tr w14:paraId="1DC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42" w:type="dxa"/>
            <w:tcBorders>
              <w:top w:val="single" w:color="auto" w:sz="4" w:space="0"/>
              <w:bottom w:val="single" w:color="auto" w:sz="4" w:space="0"/>
              <w:right w:val="single" w:color="auto" w:sz="4" w:space="0"/>
            </w:tcBorders>
            <w:vAlign w:val="center"/>
          </w:tcPr>
          <w:p w14:paraId="1BBDB121">
            <w:pPr>
              <w:jc w:val="center"/>
              <w:rPr>
                <w:rFonts w:ascii="仿宋" w:hAnsi="仿宋" w:eastAsia="仿宋"/>
                <w:sz w:val="30"/>
                <w:szCs w:val="30"/>
              </w:rPr>
            </w:pPr>
            <w:r>
              <w:rPr>
                <w:rFonts w:hint="eastAsia" w:ascii="仿宋" w:hAnsi="仿宋" w:eastAsia="仿宋"/>
                <w:sz w:val="30"/>
                <w:szCs w:val="30"/>
              </w:rPr>
              <w:t>科室负责人</w:t>
            </w:r>
          </w:p>
        </w:tc>
        <w:tc>
          <w:tcPr>
            <w:tcW w:w="2695" w:type="dxa"/>
            <w:tcBorders>
              <w:top w:val="single" w:color="auto" w:sz="4" w:space="0"/>
              <w:left w:val="single" w:color="auto" w:sz="4" w:space="0"/>
              <w:bottom w:val="single" w:color="auto" w:sz="4" w:space="0"/>
              <w:right w:val="single" w:color="auto" w:sz="4" w:space="0"/>
            </w:tcBorders>
          </w:tcPr>
          <w:p w14:paraId="052B1C90">
            <w:pPr>
              <w:rPr>
                <w:rFonts w:ascii="仿宋" w:hAnsi="仿宋" w:eastAsia="仿宋"/>
                <w:sz w:val="30"/>
                <w:szCs w:val="30"/>
              </w:rPr>
            </w:pPr>
          </w:p>
        </w:tc>
        <w:tc>
          <w:tcPr>
            <w:tcW w:w="1843" w:type="dxa"/>
            <w:vMerge w:val="restart"/>
            <w:tcBorders>
              <w:top w:val="single" w:color="auto" w:sz="4" w:space="0"/>
              <w:left w:val="single" w:color="auto" w:sz="4" w:space="0"/>
              <w:right w:val="single" w:color="auto" w:sz="4" w:space="0"/>
            </w:tcBorders>
            <w:vAlign w:val="center"/>
          </w:tcPr>
          <w:p w14:paraId="497099BF">
            <w:pPr>
              <w:jc w:val="center"/>
              <w:rPr>
                <w:rFonts w:ascii="仿宋" w:hAnsi="仿宋" w:eastAsia="仿宋"/>
                <w:sz w:val="30"/>
                <w:szCs w:val="30"/>
              </w:rPr>
            </w:pPr>
            <w:r>
              <w:rPr>
                <w:rFonts w:hint="eastAsia" w:ascii="仿宋" w:hAnsi="仿宋" w:eastAsia="仿宋"/>
                <w:sz w:val="30"/>
                <w:szCs w:val="30"/>
              </w:rPr>
              <w:t>项目联系人</w:t>
            </w:r>
          </w:p>
        </w:tc>
        <w:tc>
          <w:tcPr>
            <w:tcW w:w="2693" w:type="dxa"/>
            <w:vMerge w:val="restart"/>
            <w:tcBorders>
              <w:top w:val="single" w:color="auto" w:sz="4" w:space="0"/>
              <w:left w:val="single" w:color="auto" w:sz="4" w:space="0"/>
            </w:tcBorders>
          </w:tcPr>
          <w:p w14:paraId="499F218B">
            <w:pPr>
              <w:rPr>
                <w:rFonts w:ascii="仿宋" w:hAnsi="仿宋" w:eastAsia="仿宋"/>
                <w:sz w:val="30"/>
                <w:szCs w:val="30"/>
              </w:rPr>
            </w:pPr>
          </w:p>
          <w:p w14:paraId="0AF46F80">
            <w:pPr>
              <w:jc w:val="right"/>
              <w:rPr>
                <w:rFonts w:ascii="仿宋" w:hAnsi="仿宋" w:eastAsia="仿宋"/>
                <w:sz w:val="30"/>
                <w:szCs w:val="30"/>
              </w:rPr>
            </w:pPr>
          </w:p>
        </w:tc>
      </w:tr>
      <w:tr w14:paraId="4198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42" w:type="dxa"/>
            <w:tcBorders>
              <w:top w:val="single" w:color="auto" w:sz="4" w:space="0"/>
              <w:bottom w:val="single" w:color="auto" w:sz="4" w:space="0"/>
              <w:right w:val="single" w:color="auto" w:sz="4" w:space="0"/>
            </w:tcBorders>
            <w:vAlign w:val="center"/>
          </w:tcPr>
          <w:p w14:paraId="5CC790E4">
            <w:pPr>
              <w:jc w:val="center"/>
              <w:rPr>
                <w:rFonts w:ascii="仿宋" w:hAnsi="仿宋" w:eastAsia="仿宋"/>
                <w:sz w:val="30"/>
                <w:szCs w:val="30"/>
              </w:rPr>
            </w:pPr>
            <w:r>
              <w:rPr>
                <w:rFonts w:hint="eastAsia" w:ascii="仿宋" w:hAnsi="仿宋" w:eastAsia="仿宋"/>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tcPr>
          <w:p w14:paraId="3BB9E420">
            <w:pPr>
              <w:rPr>
                <w:rFonts w:ascii="仿宋" w:hAnsi="仿宋" w:eastAsia="仿宋"/>
                <w:sz w:val="30"/>
                <w:szCs w:val="30"/>
              </w:rPr>
            </w:pPr>
          </w:p>
        </w:tc>
        <w:tc>
          <w:tcPr>
            <w:tcW w:w="1843" w:type="dxa"/>
            <w:vMerge w:val="continue"/>
            <w:tcBorders>
              <w:left w:val="single" w:color="auto" w:sz="4" w:space="0"/>
              <w:bottom w:val="single" w:color="auto" w:sz="4" w:space="0"/>
              <w:right w:val="single" w:color="auto" w:sz="4" w:space="0"/>
            </w:tcBorders>
          </w:tcPr>
          <w:p w14:paraId="4752E53E">
            <w:pPr>
              <w:rPr>
                <w:rFonts w:ascii="仿宋" w:hAnsi="仿宋" w:eastAsia="仿宋"/>
                <w:sz w:val="30"/>
                <w:szCs w:val="30"/>
              </w:rPr>
            </w:pPr>
          </w:p>
        </w:tc>
        <w:tc>
          <w:tcPr>
            <w:tcW w:w="2693" w:type="dxa"/>
            <w:vMerge w:val="continue"/>
            <w:tcBorders>
              <w:left w:val="single" w:color="auto" w:sz="4" w:space="0"/>
              <w:bottom w:val="single" w:color="auto" w:sz="4" w:space="0"/>
            </w:tcBorders>
          </w:tcPr>
          <w:p w14:paraId="6027800F">
            <w:pPr>
              <w:rPr>
                <w:rFonts w:ascii="仿宋" w:hAnsi="仿宋" w:eastAsia="仿宋"/>
                <w:sz w:val="30"/>
                <w:szCs w:val="30"/>
              </w:rPr>
            </w:pPr>
          </w:p>
        </w:tc>
      </w:tr>
      <w:tr w14:paraId="67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vAlign w:val="center"/>
          </w:tcPr>
          <w:p w14:paraId="5745FED6">
            <w:pPr>
              <w:jc w:val="left"/>
              <w:rPr>
                <w:rFonts w:ascii="仿宋" w:hAnsi="仿宋" w:eastAsia="仿宋"/>
                <w:sz w:val="30"/>
                <w:szCs w:val="30"/>
              </w:rPr>
            </w:pPr>
            <w:r>
              <w:rPr>
                <w:rFonts w:hint="eastAsia" w:ascii="仿宋" w:hAnsi="仿宋" w:eastAsia="仿宋"/>
                <w:sz w:val="30"/>
                <w:szCs w:val="30"/>
              </w:rPr>
              <w:t>联系电话：0912-3515078</w:t>
            </w:r>
          </w:p>
        </w:tc>
        <w:tc>
          <w:tcPr>
            <w:tcW w:w="4536" w:type="dxa"/>
            <w:gridSpan w:val="2"/>
            <w:tcBorders>
              <w:top w:val="single" w:color="auto" w:sz="4" w:space="0"/>
              <w:left w:val="single" w:color="auto" w:sz="4" w:space="0"/>
              <w:bottom w:val="single" w:color="auto" w:sz="4" w:space="0"/>
            </w:tcBorders>
            <w:vAlign w:val="center"/>
          </w:tcPr>
          <w:p w14:paraId="7F268252">
            <w:pPr>
              <w:jc w:val="left"/>
              <w:rPr>
                <w:rFonts w:ascii="仿宋" w:hAnsi="仿宋" w:eastAsia="仿宋"/>
                <w:sz w:val="30"/>
                <w:szCs w:val="30"/>
              </w:rPr>
            </w:pPr>
            <w:r>
              <w:rPr>
                <w:rFonts w:hint="eastAsia" w:ascii="仿宋" w:hAnsi="仿宋" w:eastAsia="仿宋"/>
                <w:sz w:val="30"/>
                <w:szCs w:val="30"/>
              </w:rPr>
              <w:t>联系电话：</w:t>
            </w:r>
          </w:p>
        </w:tc>
      </w:tr>
    </w:tbl>
    <w:p w14:paraId="35E41AA8">
      <w:pPr>
        <w:spacing w:line="240" w:lineRule="auto"/>
        <w:ind w:left="724" w:leftChars="256" w:right="707" w:rightChars="250"/>
        <w:jc w:val="left"/>
        <w:rPr>
          <w:rFonts w:ascii="仿宋" w:hAnsi="仿宋" w:eastAsia="仿宋" w:cs="Times New Roman"/>
          <w:sz w:val="36"/>
          <w:szCs w:val="36"/>
        </w:rPr>
        <w:sectPr>
          <w:footerReference r:id="rId9" w:type="first"/>
          <w:footerReference r:id="rId8" w:type="default"/>
          <w:pgSz w:w="11906" w:h="16838"/>
          <w:pgMar w:top="1417" w:right="1417" w:bottom="1417" w:left="1417" w:header="850" w:footer="992" w:gutter="0"/>
          <w:pgNumType w:start="1"/>
          <w:cols w:space="720" w:num="1"/>
          <w:docGrid w:type="linesAndChars" w:linePitch="381" w:charSpace="704"/>
        </w:sectPr>
      </w:pPr>
    </w:p>
    <w:p w14:paraId="32B0DE54">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14:paraId="7262269B">
      <w:pPr>
        <w:pStyle w:val="29"/>
        <w:ind w:firstLine="0" w:firstLineChars="0"/>
        <w:rPr>
          <w:rFonts w:ascii="仿宋" w:hAnsi="仿宋" w:eastAsia="仿宋"/>
          <w:sz w:val="32"/>
          <w:szCs w:val="32"/>
        </w:rPr>
      </w:pPr>
      <w:r>
        <w:rPr>
          <w:rFonts w:hint="eastAsia" w:ascii="仿宋" w:hAnsi="仿宋" w:eastAsia="仿宋"/>
          <w:sz w:val="32"/>
          <w:szCs w:val="32"/>
        </w:rPr>
        <w:t xml:space="preserve">    </w:t>
      </w:r>
    </w:p>
    <w:p w14:paraId="7A525DA9">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w:t>
      </w:r>
      <w:bookmarkStart w:id="8" w:name="_Toc445306491"/>
      <w:bookmarkStart w:id="9" w:name="_Toc495012769"/>
      <w:bookmarkStart w:id="10" w:name="_Toc495014583"/>
      <w:bookmarkStart w:id="11" w:name="_Toc495014609"/>
      <w:bookmarkStart w:id="12" w:name="_Toc495014647"/>
      <w:bookmarkStart w:id="13" w:name="_Toc495012819"/>
      <w:bookmarkStart w:id="14" w:name="_Toc495014952"/>
      <w:bookmarkStart w:id="15" w:name="_Toc495014918"/>
      <w:r>
        <w:rPr>
          <w:rFonts w:hint="eastAsia" w:ascii="仿宋" w:hAnsi="仿宋" w:eastAsia="仿宋"/>
          <w:sz w:val="32"/>
          <w:szCs w:val="32"/>
        </w:rPr>
        <w:t>第一章  招标公告</w:t>
      </w:r>
    </w:p>
    <w:p w14:paraId="6DB4792F">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第二章  投标人须知</w:t>
      </w:r>
    </w:p>
    <w:p w14:paraId="4494277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第三章  评审办法及标准 </w:t>
      </w:r>
    </w:p>
    <w:p w14:paraId="2CE0BBB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第四章  招标内容及采购需求</w:t>
      </w:r>
    </w:p>
    <w:p w14:paraId="6E04CC82">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第五章  合同基本条款</w:t>
      </w:r>
    </w:p>
    <w:p w14:paraId="14A1FCBE">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第六章  投标文件构成及格式</w:t>
      </w:r>
    </w:p>
    <w:p w14:paraId="1C574484">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第一部分  资格证明文件</w:t>
      </w:r>
    </w:p>
    <w:p w14:paraId="52A4DF5A">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第二部分  符合性证明文件</w:t>
      </w:r>
    </w:p>
    <w:p w14:paraId="5D1557D1">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第三部分  投标方案</w:t>
      </w:r>
    </w:p>
    <w:p w14:paraId="2345E6E3">
      <w:pPr>
        <w:pStyle w:val="21"/>
        <w:tabs>
          <w:tab w:val="right" w:leader="dot" w:pos="9062"/>
        </w:tabs>
        <w:spacing w:line="480" w:lineRule="auto"/>
        <w:jc w:val="left"/>
        <w:rPr>
          <w:rFonts w:ascii="仿宋" w:hAnsi="仿宋" w:eastAsia="仿宋" w:cs="Times New Roman"/>
          <w:sz w:val="32"/>
          <w:szCs w:val="32"/>
        </w:rPr>
      </w:pPr>
    </w:p>
    <w:p w14:paraId="68ADCF3A">
      <w:pPr>
        <w:pStyle w:val="21"/>
        <w:tabs>
          <w:tab w:val="right" w:leader="dot" w:pos="9062"/>
        </w:tabs>
        <w:jc w:val="left"/>
        <w:rPr>
          <w:rFonts w:ascii="仿宋" w:hAnsi="仿宋" w:eastAsia="仿宋" w:cs="Times New Roman"/>
          <w:sz w:val="32"/>
          <w:szCs w:val="32"/>
        </w:rPr>
      </w:pPr>
    </w:p>
    <w:bookmarkEnd w:id="8"/>
    <w:bookmarkEnd w:id="9"/>
    <w:bookmarkEnd w:id="10"/>
    <w:bookmarkEnd w:id="11"/>
    <w:bookmarkEnd w:id="12"/>
    <w:bookmarkEnd w:id="13"/>
    <w:bookmarkEnd w:id="14"/>
    <w:bookmarkEnd w:id="15"/>
    <w:p w14:paraId="10A260CF">
      <w:pPr>
        <w:pStyle w:val="86"/>
        <w:spacing w:line="500" w:lineRule="exact"/>
        <w:ind w:firstLine="643"/>
        <w:jc w:val="center"/>
        <w:rPr>
          <w:rFonts w:ascii="仿宋" w:hAnsi="仿宋" w:eastAsia="仿宋" w:cs="Times New Roman"/>
          <w:b/>
          <w:sz w:val="32"/>
          <w:szCs w:val="32"/>
        </w:rPr>
      </w:pPr>
    </w:p>
    <w:p w14:paraId="10934367">
      <w:pPr>
        <w:pStyle w:val="86"/>
        <w:spacing w:line="500" w:lineRule="exact"/>
        <w:ind w:firstLine="643"/>
        <w:jc w:val="center"/>
        <w:rPr>
          <w:rFonts w:ascii="仿宋" w:hAnsi="仿宋" w:eastAsia="仿宋" w:cs="Times New Roman"/>
          <w:b/>
          <w:sz w:val="32"/>
          <w:szCs w:val="32"/>
        </w:rPr>
      </w:pPr>
    </w:p>
    <w:p w14:paraId="20368D7E">
      <w:pPr>
        <w:pStyle w:val="86"/>
        <w:spacing w:line="500" w:lineRule="exact"/>
        <w:ind w:firstLine="643"/>
        <w:jc w:val="center"/>
        <w:rPr>
          <w:rFonts w:ascii="仿宋" w:hAnsi="仿宋" w:eastAsia="仿宋" w:cs="Times New Roman"/>
          <w:b/>
          <w:sz w:val="32"/>
          <w:szCs w:val="32"/>
        </w:rPr>
      </w:pPr>
    </w:p>
    <w:p w14:paraId="411B92EE">
      <w:pPr>
        <w:pStyle w:val="86"/>
        <w:spacing w:line="500" w:lineRule="exact"/>
        <w:ind w:firstLine="643"/>
        <w:jc w:val="center"/>
        <w:rPr>
          <w:rFonts w:ascii="仿宋" w:hAnsi="仿宋" w:eastAsia="仿宋" w:cs="Times New Roman"/>
          <w:b/>
          <w:sz w:val="32"/>
          <w:szCs w:val="32"/>
        </w:rPr>
      </w:pPr>
    </w:p>
    <w:p w14:paraId="558E6B0D">
      <w:pPr>
        <w:pStyle w:val="86"/>
        <w:spacing w:line="500" w:lineRule="exact"/>
        <w:ind w:firstLine="643"/>
        <w:jc w:val="center"/>
        <w:rPr>
          <w:rFonts w:ascii="仿宋" w:hAnsi="仿宋" w:eastAsia="仿宋" w:cs="Times New Roman"/>
          <w:b/>
          <w:sz w:val="32"/>
          <w:szCs w:val="32"/>
        </w:rPr>
      </w:pPr>
    </w:p>
    <w:p w14:paraId="5925DCCE">
      <w:pPr>
        <w:pStyle w:val="86"/>
        <w:spacing w:line="500" w:lineRule="exact"/>
        <w:ind w:firstLine="643"/>
        <w:jc w:val="center"/>
        <w:rPr>
          <w:rFonts w:ascii="仿宋" w:hAnsi="仿宋" w:eastAsia="仿宋" w:cs="Times New Roman"/>
          <w:b/>
          <w:sz w:val="32"/>
          <w:szCs w:val="32"/>
        </w:rPr>
      </w:pPr>
    </w:p>
    <w:p w14:paraId="26A7E122">
      <w:pPr>
        <w:pStyle w:val="86"/>
        <w:spacing w:line="500" w:lineRule="exact"/>
        <w:ind w:firstLine="643"/>
        <w:jc w:val="center"/>
        <w:rPr>
          <w:rFonts w:ascii="仿宋" w:hAnsi="仿宋" w:eastAsia="仿宋" w:cs="Times New Roman"/>
          <w:b/>
          <w:sz w:val="32"/>
          <w:szCs w:val="32"/>
        </w:rPr>
      </w:pPr>
    </w:p>
    <w:p w14:paraId="28122737">
      <w:pPr>
        <w:pStyle w:val="86"/>
        <w:spacing w:line="500" w:lineRule="exact"/>
        <w:ind w:firstLine="0" w:firstLineChars="0"/>
        <w:rPr>
          <w:rFonts w:ascii="仿宋" w:hAnsi="仿宋" w:eastAsia="仿宋" w:cs="Times New Roman"/>
          <w:b/>
          <w:sz w:val="32"/>
          <w:szCs w:val="32"/>
        </w:rPr>
      </w:pPr>
    </w:p>
    <w:p w14:paraId="231AE055">
      <w:pPr>
        <w:pStyle w:val="86"/>
        <w:spacing w:line="500" w:lineRule="exact"/>
        <w:ind w:firstLine="643"/>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招标公告</w:t>
      </w:r>
    </w:p>
    <w:p w14:paraId="6DC0B76D">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14:paraId="2B86453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项目编号：</w:t>
      </w:r>
      <w:r>
        <w:rPr>
          <w:rFonts w:hint="eastAsia" w:ascii="仿宋" w:hAnsi="仿宋" w:eastAsia="仿宋" w:cs="Times New Roman"/>
          <w:lang w:eastAsia="zh-CN"/>
        </w:rPr>
        <w:t>YLCG202</w:t>
      </w:r>
      <w:r>
        <w:rPr>
          <w:rFonts w:hint="eastAsia" w:ascii="仿宋" w:hAnsi="仿宋" w:eastAsia="仿宋" w:cs="Times New Roman"/>
          <w:lang w:val="en-US" w:eastAsia="zh-CN"/>
        </w:rPr>
        <w:t>5</w:t>
      </w:r>
      <w:r>
        <w:rPr>
          <w:rFonts w:hint="eastAsia" w:ascii="仿宋" w:hAnsi="仿宋" w:eastAsia="仿宋" w:cs="Times New Roman"/>
          <w:lang w:eastAsia="zh-CN"/>
        </w:rPr>
        <w:t>-1</w:t>
      </w:r>
      <w:r>
        <w:rPr>
          <w:rFonts w:hint="eastAsia" w:ascii="仿宋" w:hAnsi="仿宋" w:eastAsia="仿宋" w:cs="Times New Roman"/>
          <w:lang w:val="en-US" w:eastAsia="zh-CN"/>
        </w:rPr>
        <w:t>61</w:t>
      </w:r>
      <w:r>
        <w:rPr>
          <w:rFonts w:hint="eastAsia" w:ascii="仿宋" w:hAnsi="仿宋" w:eastAsia="仿宋" w:cs="Times New Roman"/>
          <w:lang w:eastAsia="zh-CN"/>
        </w:rPr>
        <w:t>G</w:t>
      </w:r>
    </w:p>
    <w:p w14:paraId="1D69C18B">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项目名称：党政各级视频会议系统扩容加固建设服务项目</w:t>
      </w:r>
    </w:p>
    <w:p w14:paraId="2ADD543F">
      <w:pPr>
        <w:spacing w:line="500" w:lineRule="exact"/>
        <w:ind w:firstLine="566" w:firstLineChars="200"/>
        <w:rPr>
          <w:rFonts w:ascii="仿宋" w:hAnsi="仿宋" w:eastAsia="仿宋" w:cs="Times New Roman"/>
        </w:rPr>
      </w:pPr>
      <w:r>
        <w:rPr>
          <w:rFonts w:hint="eastAsia" w:ascii="仿宋" w:hAnsi="仿宋" w:eastAsia="仿宋" w:cs="Times New Roman"/>
        </w:rPr>
        <w:t>采购方式：公开招标</w:t>
      </w:r>
    </w:p>
    <w:p w14:paraId="144BD406">
      <w:pPr>
        <w:spacing w:line="500" w:lineRule="exact"/>
        <w:ind w:firstLine="566" w:firstLineChars="200"/>
        <w:rPr>
          <w:rFonts w:ascii="仿宋" w:hAnsi="仿宋" w:eastAsia="仿宋" w:cs="Times New Roman"/>
        </w:rPr>
      </w:pPr>
      <w:r>
        <w:rPr>
          <w:rFonts w:hint="eastAsia" w:ascii="仿宋" w:hAnsi="仿宋" w:eastAsia="仿宋" w:cs="Times New Roman"/>
        </w:rPr>
        <w:t>预算金额：4173500.00元</w:t>
      </w:r>
    </w:p>
    <w:p w14:paraId="73E5C594">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31"/>
        <w:tblW w:w="496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3377"/>
        <w:gridCol w:w="1559"/>
        <w:gridCol w:w="1274"/>
        <w:gridCol w:w="1132"/>
        <w:gridCol w:w="1199"/>
      </w:tblGrid>
      <w:tr w14:paraId="66F08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842C40B">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合同包号</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7B53D4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合同包名称</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2FF4D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技术规格、参数及要求</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91DE8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预算金额（元）</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B3DEC94">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是否接受联合体</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608211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合同履行期限</w:t>
            </w:r>
          </w:p>
        </w:tc>
      </w:tr>
      <w:tr w14:paraId="64EC60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2"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3658240">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329126">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-01</w:t>
            </w:r>
          </w:p>
          <w:p w14:paraId="76CAB8F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D42700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F58753C">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4018500.00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25B4B2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BE9C01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3DF15D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D610F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2815FA5">
            <w:pPr>
              <w:wordWrap w:val="0"/>
              <w:spacing w:line="301" w:lineRule="exact"/>
              <w:jc w:val="left"/>
              <w:rPr>
                <w:rFonts w:hint="eastAsia" w:ascii="仿宋" w:hAnsi="仿宋" w:eastAsia="仿宋" w:cs="宋体"/>
                <w:kern w:val="0"/>
                <w:sz w:val="21"/>
                <w:szCs w:val="21"/>
                <w:lang w:val="en-US" w:eastAsia="zh-CN"/>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w:t>
            </w:r>
            <w:r>
              <w:rPr>
                <w:rFonts w:hint="eastAsia" w:ascii="仿宋" w:hAnsi="仿宋" w:eastAsia="仿宋" w:cs="宋体"/>
                <w:kern w:val="0"/>
                <w:sz w:val="21"/>
                <w:szCs w:val="21"/>
                <w:lang w:val="en-US" w:eastAsia="zh-CN"/>
              </w:rPr>
              <w:t>2</w:t>
            </w:r>
          </w:p>
          <w:p w14:paraId="5D896FE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标段名称：榆林市党政各级视频会议系统扩容加固建设项目监理服务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7787E0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652C881">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25000.00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7D0A90A">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5010AD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1DA3B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699691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3</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3D9510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-03</w:t>
            </w:r>
          </w:p>
          <w:p w14:paraId="77103FD8">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标段名称：榆林市党政各级视频会议系统扩容加固建设项目网络安全等级保护测评服务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E6CBB7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85F65E3">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60000.00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D434FB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DF3CB7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023D9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CC11E9F">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4</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C41AB79">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-04</w:t>
            </w:r>
          </w:p>
          <w:p w14:paraId="1A1449C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标段名称：榆林市党政各级视频会议系统扩容加固建设项目密码应用安全性评估服务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7ED19B">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DCE6E31">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70000.0</w:t>
            </w:r>
            <w:r>
              <w:rPr>
                <w:rFonts w:hint="eastAsia" w:ascii="仿宋" w:hAnsi="仿宋" w:eastAsia="仿宋" w:cs="宋体"/>
                <w:kern w:val="0"/>
                <w:sz w:val="21"/>
                <w:szCs w:val="21"/>
                <w:lang w:val="en-US" w:eastAsia="zh-CN"/>
              </w:rPr>
              <w:t>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213E87E">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2AA13D9">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bl>
    <w:p w14:paraId="757CA51F">
      <w:pPr>
        <w:spacing w:line="500" w:lineRule="exact"/>
        <w:ind w:firstLine="566" w:firstLineChars="200"/>
        <w:rPr>
          <w:rFonts w:ascii="仿宋" w:hAnsi="仿宋" w:eastAsia="仿宋" w:cs="Times New Roman"/>
          <w:b/>
        </w:rPr>
      </w:pPr>
      <w:r>
        <w:rPr>
          <w:rFonts w:hint="eastAsia" w:ascii="仿宋" w:hAnsi="仿宋" w:eastAsia="仿宋" w:cs="Times New Roman"/>
          <w:b/>
        </w:rPr>
        <w:t>二、 投标人的资格要求</w:t>
      </w:r>
    </w:p>
    <w:p w14:paraId="06454D0B">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14:paraId="50300F6C">
      <w:pPr>
        <w:spacing w:line="500" w:lineRule="exact"/>
        <w:ind w:firstLine="566" w:firstLineChars="200"/>
        <w:rPr>
          <w:rFonts w:ascii="仿宋" w:hAnsi="仿宋" w:eastAsia="仿宋" w:cs="Times New Roman"/>
        </w:rPr>
      </w:pPr>
      <w:r>
        <w:rPr>
          <w:rFonts w:hint="eastAsia" w:ascii="仿宋" w:hAnsi="仿宋" w:eastAsia="仿宋" w:cs="Times New Roman"/>
        </w:rPr>
        <w:t>2、落实政府采购政策需满足的资格要求：根据相关政策落实。</w:t>
      </w:r>
    </w:p>
    <w:p w14:paraId="256787A3">
      <w:pPr>
        <w:shd w:val="clear" w:color="auto" w:fill="FFFFFF"/>
        <w:spacing w:line="500" w:lineRule="exact"/>
        <w:ind w:firstLine="566" w:firstLineChars="200"/>
        <w:rPr>
          <w:rFonts w:ascii="仿宋" w:hAnsi="仿宋" w:eastAsia="仿宋" w:cs="宋体"/>
          <w:kern w:val="0"/>
          <w:shd w:val="clear" w:color="auto" w:fill="FFFFFF"/>
        </w:rPr>
      </w:pPr>
      <w:r>
        <w:rPr>
          <w:rFonts w:hint="eastAsia" w:ascii="仿宋" w:hAnsi="仿宋" w:eastAsia="仿宋" w:cs="宋体"/>
          <w:kern w:val="0"/>
          <w:shd w:val="clear" w:color="auto" w:fill="FFFFFF"/>
        </w:rPr>
        <w:t>3、本项目的特定资格要求：</w:t>
      </w:r>
    </w:p>
    <w:p w14:paraId="257D1BD0">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投标人需在投标文件中提供相关证明材料复印件加盖公章。</w:t>
      </w:r>
    </w:p>
    <w:p w14:paraId="6D42EDCE">
      <w:pPr>
        <w:autoSpaceDE w:val="0"/>
        <w:autoSpaceDN w:val="0"/>
        <w:adjustRightInd w:val="0"/>
        <w:snapToGrid w:val="0"/>
        <w:spacing w:line="500" w:lineRule="exact"/>
        <w:ind w:firstLine="574" w:firstLineChars="200"/>
        <w:rPr>
          <w:rFonts w:hint="eastAsia" w:ascii="仿宋" w:hAnsi="仿宋" w:eastAsia="仿宋" w:cs="仿宋"/>
          <w:spacing w:val="2"/>
          <w:kern w:val="0"/>
          <w:lang w:eastAsia="zh-CN"/>
        </w:rPr>
      </w:pPr>
      <w:r>
        <w:rPr>
          <w:rFonts w:hint="eastAsia" w:ascii="仿宋" w:hAnsi="仿宋" w:eastAsia="仿宋" w:cs="仿宋"/>
          <w:spacing w:val="2"/>
          <w:kern w:val="0"/>
          <w:lang w:eastAsia="zh-CN"/>
        </w:rPr>
        <w:t>一标段：</w:t>
      </w:r>
    </w:p>
    <w:p w14:paraId="704D662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430474F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78B0BDB">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CC1952B">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3EB5AD8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二标段：</w:t>
      </w:r>
    </w:p>
    <w:p w14:paraId="55036125">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2F717FA2">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EFD4003">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3D6AD213">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0678FD2">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拟派本项目总监理工程师为供应商本单位人员，具有信息系统监理师证书</w:t>
      </w:r>
      <w:r>
        <w:rPr>
          <w:rFonts w:hint="eastAsia" w:ascii="仿宋" w:hAnsi="仿宋" w:eastAsia="仿宋" w:cs="Times New Roman"/>
          <w:lang w:eastAsia="zh-CN"/>
        </w:rPr>
        <w:t>。</w:t>
      </w:r>
    </w:p>
    <w:p w14:paraId="7C919D0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三标段：</w:t>
      </w:r>
    </w:p>
    <w:p w14:paraId="3BCE3F54">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E4D6DDE">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6CA8A964">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2DF22439">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57A503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供应商应具备公安部第三研究所认证的《网络安全服务认证证书等级保护测评服务认证》或《网络安全等级测评与检测评估机构服务认证证书》</w:t>
      </w:r>
      <w:r>
        <w:rPr>
          <w:rFonts w:hint="eastAsia" w:ascii="仿宋" w:hAnsi="仿宋" w:eastAsia="仿宋" w:cs="Times New Roman"/>
          <w:lang w:eastAsia="zh-CN"/>
        </w:rPr>
        <w:t>。</w:t>
      </w:r>
    </w:p>
    <w:p w14:paraId="4DB0743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四标段：</w:t>
      </w:r>
    </w:p>
    <w:p w14:paraId="6EA3B47D">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235965F">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2C571528">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494C8DE">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34B27AD">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投标人须具备商用密码检测机构资质证书</w:t>
      </w:r>
      <w:r>
        <w:rPr>
          <w:rFonts w:hint="eastAsia" w:ascii="仿宋" w:hAnsi="仿宋" w:eastAsia="仿宋" w:cs="Times New Roman"/>
          <w:lang w:eastAsia="zh-CN"/>
        </w:rPr>
        <w:t>。</w:t>
      </w:r>
    </w:p>
    <w:p w14:paraId="6FBC1C8D">
      <w:pPr>
        <w:spacing w:line="500" w:lineRule="exact"/>
        <w:ind w:firstLine="566" w:firstLineChars="200"/>
        <w:rPr>
          <w:rFonts w:hint="eastAsia" w:ascii="仿宋" w:hAnsi="仿宋" w:eastAsia="仿宋" w:cs="Times New Roman"/>
        </w:rPr>
      </w:pPr>
      <w:r>
        <w:rPr>
          <w:rFonts w:hint="eastAsia" w:ascii="仿宋" w:hAnsi="仿宋" w:eastAsia="仿宋" w:cs="Times New Roman"/>
        </w:rPr>
        <w:t>备注：1.《基本资格条件承诺函》、《法定代表人授权委托书》、《榆林市政府采购工程类/货物类/服务类项目供应商信用承诺书》应按招标文件第六章给定的格式填写。</w:t>
      </w:r>
    </w:p>
    <w:p w14:paraId="5001254A">
      <w:pPr>
        <w:spacing w:line="500" w:lineRule="exact"/>
        <w:ind w:firstLine="1415" w:firstLineChars="500"/>
        <w:rPr>
          <w:rFonts w:hint="default" w:ascii="仿宋" w:hAnsi="仿宋" w:eastAsia="仿宋" w:cs="Times New Roman"/>
          <w:lang w:val="en-US" w:eastAsia="zh-CN"/>
        </w:rPr>
      </w:pPr>
      <w:r>
        <w:rPr>
          <w:rFonts w:hint="eastAsia" w:ascii="仿宋" w:hAnsi="仿宋" w:eastAsia="仿宋" w:cs="Times New Roman"/>
          <w:lang w:val="en-US" w:eastAsia="zh-CN"/>
        </w:rPr>
        <w:t>2.本项目一、二、三标段采购已完成，本次采购四标段。</w:t>
      </w:r>
    </w:p>
    <w:p w14:paraId="574685EB">
      <w:pPr>
        <w:spacing w:line="500" w:lineRule="exact"/>
        <w:ind w:firstLine="566" w:firstLineChars="200"/>
        <w:rPr>
          <w:rFonts w:ascii="仿宋" w:hAnsi="仿宋" w:eastAsia="仿宋" w:cs="Times New Roman"/>
          <w:b/>
        </w:rPr>
      </w:pPr>
      <w:r>
        <w:rPr>
          <w:rFonts w:hint="eastAsia" w:ascii="仿宋" w:hAnsi="仿宋" w:eastAsia="仿宋" w:cs="Times New Roman"/>
          <w:b/>
        </w:rPr>
        <w:t>三、获取招标文件</w:t>
      </w:r>
    </w:p>
    <w:p w14:paraId="039D7926">
      <w:pPr>
        <w:spacing w:line="500" w:lineRule="exact"/>
        <w:ind w:firstLine="566" w:firstLineChars="200"/>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04</w:t>
      </w:r>
      <w:r>
        <w:rPr>
          <w:rFonts w:hint="eastAsia" w:ascii="仿宋" w:hAnsi="仿宋" w:eastAsia="仿宋" w:cs="Times New Roman"/>
        </w:rPr>
        <w:t>月</w:t>
      </w:r>
      <w:r>
        <w:rPr>
          <w:rFonts w:hint="eastAsia" w:ascii="仿宋" w:hAnsi="仿宋" w:eastAsia="仿宋" w:cs="Times New Roman"/>
          <w:lang w:val="en-US" w:eastAsia="zh-CN"/>
        </w:rPr>
        <w:t>01</w:t>
      </w:r>
      <w:r>
        <w:rPr>
          <w:rFonts w:hint="eastAsia" w:ascii="仿宋" w:hAnsi="仿宋" w:eastAsia="仿宋" w:cs="Times New Roman"/>
        </w:rPr>
        <w:t>日 至 2</w:t>
      </w:r>
      <w:r>
        <w:rPr>
          <w:rFonts w:hint="eastAsia" w:ascii="仿宋" w:hAnsi="仿宋" w:eastAsia="仿宋" w:cs="Times New Roman"/>
          <w:lang w:val="en-US" w:eastAsia="zh-CN"/>
        </w:rPr>
        <w:t>026</w:t>
      </w:r>
      <w:r>
        <w:rPr>
          <w:rFonts w:hint="eastAsia" w:ascii="仿宋" w:hAnsi="仿宋" w:eastAsia="仿宋" w:cs="Times New Roman"/>
        </w:rPr>
        <w:t>年</w:t>
      </w:r>
      <w:r>
        <w:rPr>
          <w:rFonts w:hint="eastAsia" w:ascii="仿宋" w:hAnsi="仿宋" w:eastAsia="仿宋" w:cs="Times New Roman"/>
          <w:lang w:val="en-US" w:eastAsia="zh-CN"/>
        </w:rPr>
        <w:t>04</w:t>
      </w:r>
      <w:r>
        <w:rPr>
          <w:rFonts w:hint="eastAsia" w:ascii="仿宋" w:hAnsi="仿宋" w:eastAsia="仿宋" w:cs="Times New Roman"/>
        </w:rPr>
        <w:t>月</w:t>
      </w:r>
      <w:r>
        <w:rPr>
          <w:rFonts w:hint="eastAsia" w:ascii="仿宋" w:hAnsi="仿宋" w:eastAsia="仿宋" w:cs="Times New Roman"/>
          <w:lang w:val="en-US" w:eastAsia="zh-CN"/>
        </w:rPr>
        <w:t>08</w:t>
      </w:r>
      <w:r>
        <w:rPr>
          <w:rFonts w:hint="eastAsia" w:ascii="仿宋" w:hAnsi="仿宋" w:eastAsia="仿宋" w:cs="Times New Roman"/>
        </w:rPr>
        <w:t xml:space="preserve">日 ，每天上午 00:00:00 至 12:00:00 ，下午 12:00:00 至 23:59:59 （北京时间,法定节假日除外）   </w:t>
      </w:r>
    </w:p>
    <w:p w14:paraId="6B32571F">
      <w:pPr>
        <w:spacing w:line="500" w:lineRule="exact"/>
        <w:ind w:firstLine="566" w:firstLineChars="200"/>
        <w:rPr>
          <w:rFonts w:ascii="仿宋" w:hAnsi="仿宋" w:eastAsia="仿宋" w:cs="Times New Roman"/>
        </w:rPr>
      </w:pPr>
      <w:r>
        <w:rPr>
          <w:rFonts w:hint="eastAsia" w:ascii="仿宋" w:hAnsi="仿宋" w:eastAsia="仿宋" w:cs="Times New Roman"/>
        </w:rPr>
        <w:t>地点：CA锁报名后自行下载</w:t>
      </w:r>
    </w:p>
    <w:p w14:paraId="4D3E7C2B">
      <w:pPr>
        <w:spacing w:line="500" w:lineRule="exact"/>
        <w:ind w:firstLine="566" w:firstLineChars="200"/>
        <w:rPr>
          <w:rFonts w:ascii="仿宋" w:hAnsi="仿宋" w:eastAsia="仿宋" w:cs="Times New Roman"/>
          <w:bCs/>
        </w:rPr>
      </w:pPr>
      <w:r>
        <w:rPr>
          <w:rFonts w:hint="eastAsia" w:ascii="仿宋" w:hAnsi="仿宋" w:eastAsia="仿宋" w:cs="Times New Roman"/>
          <w:bCs/>
        </w:rPr>
        <w:t>售价：免费获取</w:t>
      </w:r>
    </w:p>
    <w:p w14:paraId="256F3800">
      <w:pPr>
        <w:spacing w:line="500" w:lineRule="exact"/>
        <w:ind w:firstLine="566" w:firstLineChars="200"/>
        <w:rPr>
          <w:rFonts w:ascii="仿宋" w:hAnsi="仿宋" w:eastAsia="仿宋" w:cs="Times New Roman"/>
          <w:bCs/>
        </w:rPr>
      </w:pPr>
      <w:r>
        <w:rPr>
          <w:rFonts w:hint="eastAsia" w:ascii="仿宋" w:hAnsi="仿宋" w:eastAsia="仿宋" w:cs="Times New Roman"/>
          <w:bCs/>
        </w:rPr>
        <w:t>方式：在线获取</w:t>
      </w:r>
    </w:p>
    <w:p w14:paraId="683D1DEE">
      <w:pPr>
        <w:spacing w:line="500" w:lineRule="exact"/>
        <w:ind w:firstLine="566" w:firstLineChars="200"/>
        <w:rPr>
          <w:rFonts w:ascii="仿宋" w:hAnsi="仿宋" w:eastAsia="仿宋" w:cs="Times New Roman"/>
          <w:b/>
        </w:rPr>
      </w:pPr>
      <w:r>
        <w:rPr>
          <w:rFonts w:hint="eastAsia" w:ascii="仿宋" w:hAnsi="仿宋" w:eastAsia="仿宋" w:cs="Times New Roman"/>
          <w:b/>
          <w:bCs/>
        </w:rPr>
        <w:t>四、提交投标文件截止时间、开标时间和地点</w:t>
      </w:r>
    </w:p>
    <w:p w14:paraId="42607610">
      <w:pPr>
        <w:spacing w:line="500" w:lineRule="exact"/>
        <w:ind w:firstLine="566" w:firstLineChars="200"/>
        <w:rPr>
          <w:rFonts w:ascii="仿宋" w:hAnsi="仿宋" w:eastAsia="仿宋" w:cs="Times New Roman"/>
        </w:rPr>
      </w:pPr>
      <w:r>
        <w:rPr>
          <w:rFonts w:hint="eastAsia" w:ascii="仿宋" w:hAnsi="仿宋" w:eastAsia="仿宋" w:cs="Times New Roman"/>
        </w:rPr>
        <w:t>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4</w:t>
      </w:r>
      <w:r>
        <w:rPr>
          <w:rFonts w:hint="eastAsia" w:ascii="仿宋" w:hAnsi="仿宋" w:eastAsia="仿宋" w:cs="Times New Roman"/>
        </w:rPr>
        <w:t>月</w:t>
      </w:r>
      <w:r>
        <w:rPr>
          <w:rFonts w:hint="eastAsia" w:ascii="仿宋" w:hAnsi="仿宋" w:eastAsia="仿宋" w:cs="Times New Roman"/>
          <w:lang w:val="en-US" w:eastAsia="zh-CN"/>
        </w:rPr>
        <w:t>21</w:t>
      </w:r>
      <w:r>
        <w:rPr>
          <w:rFonts w:hint="eastAsia" w:ascii="仿宋" w:hAnsi="仿宋" w:eastAsia="仿宋" w:cs="Times New Roman"/>
        </w:rPr>
        <w:t>日 09时30分00秒（北京时间）</w:t>
      </w:r>
    </w:p>
    <w:p w14:paraId="083A37C4">
      <w:pPr>
        <w:spacing w:line="500" w:lineRule="exact"/>
        <w:ind w:firstLine="566" w:firstLineChars="200"/>
        <w:rPr>
          <w:rFonts w:ascii="仿宋" w:hAnsi="仿宋" w:eastAsia="仿宋" w:cs="Times New Roman"/>
          <w:bCs/>
        </w:rPr>
      </w:pPr>
      <w:r>
        <w:rPr>
          <w:rFonts w:hint="eastAsia" w:ascii="仿宋" w:hAnsi="仿宋" w:eastAsia="仿宋" w:cs="Times New Roman"/>
          <w:bCs/>
        </w:rPr>
        <w:t>地点：网上递交</w:t>
      </w:r>
    </w:p>
    <w:p w14:paraId="6DA10CB6">
      <w:pPr>
        <w:spacing w:line="500" w:lineRule="exact"/>
        <w:ind w:firstLine="566" w:firstLineChars="200"/>
        <w:rPr>
          <w:rFonts w:ascii="仿宋" w:hAnsi="仿宋" w:eastAsia="仿宋" w:cs="Times New Roman"/>
          <w:b/>
          <w:bCs/>
        </w:rPr>
      </w:pPr>
      <w:r>
        <w:rPr>
          <w:rFonts w:hint="eastAsia" w:ascii="仿宋" w:hAnsi="仿宋" w:eastAsia="仿宋" w:cs="Times New Roman"/>
          <w:b/>
          <w:bCs/>
        </w:rPr>
        <w:t>五、公告期限</w:t>
      </w:r>
    </w:p>
    <w:p w14:paraId="1D21FC90">
      <w:pPr>
        <w:spacing w:line="500" w:lineRule="exact"/>
        <w:ind w:firstLine="566" w:firstLineChars="200"/>
        <w:rPr>
          <w:rFonts w:ascii="仿宋" w:hAnsi="仿宋" w:eastAsia="仿宋" w:cs="Times New Roman"/>
          <w:bCs/>
        </w:rPr>
      </w:pPr>
      <w:r>
        <w:rPr>
          <w:rFonts w:hint="eastAsia" w:ascii="仿宋" w:hAnsi="仿宋" w:eastAsia="仿宋" w:cs="Times New Roman"/>
          <w:bCs/>
        </w:rPr>
        <w:t>自本公告发布之日起5个工作日。</w:t>
      </w:r>
    </w:p>
    <w:p w14:paraId="21F77E0A">
      <w:pPr>
        <w:spacing w:line="500" w:lineRule="exact"/>
        <w:ind w:firstLine="566" w:firstLineChars="200"/>
        <w:rPr>
          <w:rFonts w:ascii="仿宋" w:hAnsi="仿宋" w:eastAsia="仿宋" w:cs="Times New Roman"/>
          <w:b/>
          <w:bCs/>
        </w:rPr>
      </w:pPr>
      <w:r>
        <w:rPr>
          <w:rFonts w:hint="eastAsia" w:ascii="仿宋" w:hAnsi="仿宋" w:eastAsia="仿宋" w:cs="Times New Roman"/>
          <w:b/>
          <w:bCs/>
        </w:rPr>
        <w:t>六、其他补充事宜</w:t>
      </w:r>
    </w:p>
    <w:p w14:paraId="0DCB7666">
      <w:pPr>
        <w:spacing w:line="500" w:lineRule="exact"/>
        <w:ind w:firstLine="566" w:firstLineChars="200"/>
        <w:rPr>
          <w:rFonts w:ascii="仿宋" w:hAnsi="仿宋" w:eastAsia="仿宋" w:cs="Times New Roman"/>
          <w:b/>
        </w:rPr>
      </w:pPr>
      <w:r>
        <w:rPr>
          <w:rFonts w:hint="eastAsia" w:ascii="仿宋" w:hAnsi="仿宋" w:eastAsia="仿宋" w:cs="Times New Roman"/>
        </w:rPr>
        <w:t>本项目开标地点：榆林</w:t>
      </w:r>
      <w:r>
        <w:rPr>
          <w:rFonts w:hint="eastAsia" w:ascii="仿宋" w:hAnsi="仿宋" w:eastAsia="仿宋" w:cs="Times New Roman"/>
          <w:lang w:eastAsia="zh-CN"/>
        </w:rPr>
        <w:t>市</w:t>
      </w:r>
      <w:r>
        <w:rPr>
          <w:rFonts w:hint="eastAsia" w:ascii="仿宋" w:hAnsi="仿宋" w:eastAsia="仿宋" w:cs="Times New Roman"/>
        </w:rPr>
        <w:t>不见面开标大厅</w:t>
      </w:r>
    </w:p>
    <w:p w14:paraId="57B436AF">
      <w:pPr>
        <w:spacing w:line="500" w:lineRule="exact"/>
        <w:ind w:firstLine="566" w:firstLineChars="200"/>
        <w:rPr>
          <w:rFonts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。CA锁购买：榆林市榆阳区文化南路市民大厦三楼窗口购买,或下载手机APP：陕</w:t>
      </w:r>
      <w:bookmarkStart w:id="466" w:name="_GoBack"/>
      <w:bookmarkEnd w:id="466"/>
      <w:r>
        <w:rPr>
          <w:rFonts w:hint="eastAsia" w:ascii="仿宋" w:hAnsi="仿宋" w:eastAsia="仿宋" w:cs="Times New Roman"/>
          <w:bCs/>
        </w:rPr>
        <w:t>公共资源交易服务，线上购买。联系电话：0912-3452148</w:t>
      </w:r>
    </w:p>
    <w:p w14:paraId="4037CCDE">
      <w:pPr>
        <w:spacing w:line="500" w:lineRule="exact"/>
        <w:ind w:firstLine="566" w:firstLineChars="200"/>
        <w:rPr>
          <w:rFonts w:ascii="仿宋" w:hAnsi="仿宋" w:eastAsia="仿宋" w:cs="Times New Roman"/>
        </w:rPr>
      </w:pPr>
      <w:r>
        <w:rPr>
          <w:rFonts w:hint="eastAsia" w:ascii="仿宋" w:hAnsi="仿宋" w:eastAsia="仿宋" w:cs="Times New Roman"/>
        </w:rPr>
        <w:t>2、建议使用带有麦克风和摄像头的笔记本电脑。</w:t>
      </w:r>
    </w:p>
    <w:p w14:paraId="33E4F72B">
      <w:pPr>
        <w:spacing w:line="500" w:lineRule="exact"/>
        <w:ind w:firstLine="566" w:firstLineChars="200"/>
        <w:rPr>
          <w:rFonts w:ascii="仿宋" w:hAnsi="仿宋" w:eastAsia="仿宋" w:cs="Times New Roman"/>
          <w:b/>
        </w:rPr>
      </w:pPr>
      <w:bookmarkStart w:id="16" w:name="_Toc495012770"/>
      <w:bookmarkStart w:id="17" w:name="_Toc495014953"/>
      <w:bookmarkStart w:id="18" w:name="_Toc495014584"/>
      <w:bookmarkStart w:id="19" w:name="_Toc48834444"/>
      <w:bookmarkStart w:id="20" w:name="_Toc48834155"/>
      <w:bookmarkStart w:id="21" w:name="_Toc28381"/>
      <w:bookmarkStart w:id="22" w:name="_Toc445306492"/>
      <w:bookmarkStart w:id="23" w:name="_Toc495012820"/>
      <w:bookmarkStart w:id="24" w:name="_Toc495014648"/>
      <w:bookmarkStart w:id="25" w:name="_Toc48834523"/>
      <w:bookmarkStart w:id="26" w:name="_Toc495014610"/>
      <w:bookmarkStart w:id="27" w:name="_Toc48834085"/>
      <w:bookmarkStart w:id="28" w:name="_Toc495014919"/>
      <w:bookmarkStart w:id="29" w:name="_Toc48834282"/>
      <w:r>
        <w:rPr>
          <w:rFonts w:hint="eastAsia" w:ascii="仿宋" w:hAnsi="仿宋" w:eastAsia="仿宋" w:cs="Times New Roman"/>
          <w:b/>
        </w:rPr>
        <w:t>七、对本次招标提出询问，请按以下方式联系。</w:t>
      </w:r>
    </w:p>
    <w:p w14:paraId="7D227A65">
      <w:pPr>
        <w:spacing w:line="500" w:lineRule="exact"/>
        <w:ind w:firstLine="566" w:firstLineChars="200"/>
        <w:rPr>
          <w:rFonts w:ascii="仿宋" w:hAnsi="仿宋" w:eastAsia="仿宋" w:cs="Times New Roman"/>
        </w:rPr>
      </w:pPr>
      <w:r>
        <w:rPr>
          <w:rFonts w:hint="eastAsia" w:ascii="仿宋" w:hAnsi="仿宋" w:eastAsia="仿宋" w:cs="Times New Roman"/>
        </w:rPr>
        <w:t>1、采购人信息</w:t>
      </w:r>
    </w:p>
    <w:p w14:paraId="2118759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名称：榆林市市政府机关事务服务中心</w:t>
      </w:r>
    </w:p>
    <w:p w14:paraId="6CCB3F5F">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地址：榆林市榆阳区青山路</w:t>
      </w:r>
    </w:p>
    <w:p w14:paraId="50A61A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联系方式：0912-3893002</w:t>
      </w:r>
    </w:p>
    <w:p w14:paraId="34D36C62">
      <w:pPr>
        <w:spacing w:line="500" w:lineRule="exact"/>
        <w:ind w:firstLine="566" w:firstLineChars="200"/>
        <w:rPr>
          <w:rFonts w:ascii="仿宋" w:hAnsi="仿宋" w:eastAsia="仿宋" w:cs="Times New Roman"/>
        </w:rPr>
      </w:pPr>
      <w:r>
        <w:rPr>
          <w:rFonts w:hint="eastAsia" w:ascii="仿宋" w:hAnsi="仿宋" w:eastAsia="仿宋" w:cs="Times New Roman"/>
        </w:rPr>
        <w:t>2、采购代理机构信息</w:t>
      </w:r>
    </w:p>
    <w:p w14:paraId="40684974">
      <w:pPr>
        <w:spacing w:line="500" w:lineRule="exact"/>
        <w:ind w:firstLine="566" w:firstLineChars="200"/>
        <w:rPr>
          <w:rFonts w:ascii="仿宋" w:hAnsi="仿宋" w:eastAsia="仿宋" w:cs="Times New Roman"/>
        </w:rPr>
      </w:pPr>
      <w:r>
        <w:rPr>
          <w:rFonts w:hint="eastAsia" w:ascii="仿宋" w:hAnsi="仿宋" w:eastAsia="仿宋" w:cs="Times New Roman"/>
        </w:rPr>
        <w:t>名称：榆林市市级政府采购中心</w:t>
      </w:r>
    </w:p>
    <w:p w14:paraId="777BCB24">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地址：榆林市榆阳区文化南路市民大厦11楼</w:t>
      </w:r>
    </w:p>
    <w:p w14:paraId="7DABB779">
      <w:pPr>
        <w:spacing w:line="500" w:lineRule="exact"/>
        <w:ind w:firstLine="566" w:firstLineChars="200"/>
        <w:rPr>
          <w:rFonts w:ascii="仿宋" w:hAnsi="仿宋" w:eastAsia="仿宋" w:cs="Times New Roman"/>
        </w:rPr>
      </w:pPr>
      <w:r>
        <w:rPr>
          <w:rFonts w:hint="eastAsia" w:ascii="仿宋" w:hAnsi="仿宋" w:eastAsia="仿宋" w:cs="Times New Roman"/>
        </w:rPr>
        <w:t>3、项目联系方式</w:t>
      </w:r>
    </w:p>
    <w:p w14:paraId="521487D4">
      <w:pPr>
        <w:spacing w:line="500" w:lineRule="exact"/>
        <w:ind w:firstLine="566" w:firstLineChars="200"/>
        <w:rPr>
          <w:rFonts w:ascii="仿宋" w:hAnsi="仿宋" w:eastAsia="仿宋" w:cs="Times New Roman"/>
        </w:rPr>
      </w:pPr>
      <w:r>
        <w:rPr>
          <w:rFonts w:hint="eastAsia" w:ascii="仿宋" w:hAnsi="仿宋" w:eastAsia="仿宋" w:cs="Times New Roman"/>
        </w:rPr>
        <w:t>项目联系人：</w:t>
      </w:r>
      <w:r>
        <w:rPr>
          <w:rFonts w:hint="eastAsia" w:ascii="仿宋" w:hAnsi="仿宋" w:eastAsia="仿宋" w:cs="Times New Roman"/>
          <w:lang w:eastAsia="zh-CN"/>
        </w:rPr>
        <w:t>刘</w:t>
      </w:r>
      <w:r>
        <w:rPr>
          <w:rFonts w:hint="eastAsia" w:ascii="仿宋" w:hAnsi="仿宋" w:eastAsia="仿宋" w:cs="Times New Roman"/>
        </w:rPr>
        <w:t xml:space="preserve">老师    </w:t>
      </w:r>
    </w:p>
    <w:p w14:paraId="634E3A04">
      <w:pPr>
        <w:spacing w:line="500" w:lineRule="exact"/>
        <w:ind w:firstLine="566" w:firstLineChars="200"/>
        <w:rPr>
          <w:rFonts w:ascii="仿宋" w:hAnsi="仿宋" w:eastAsia="仿宋" w:cs="Times New Roman"/>
        </w:rPr>
      </w:pPr>
      <w:r>
        <w:rPr>
          <w:rFonts w:hint="eastAsia" w:ascii="仿宋" w:hAnsi="仿宋" w:eastAsia="仿宋" w:cs="Times New Roman"/>
        </w:rPr>
        <w:t>电话：0912-3515078</w:t>
      </w:r>
    </w:p>
    <w:p w14:paraId="5FBDBB21">
      <w:pPr>
        <w:pStyle w:val="19"/>
        <w:rPr>
          <w:rFonts w:ascii="仿宋" w:hAnsi="仿宋" w:eastAsia="仿宋"/>
        </w:rPr>
      </w:pPr>
    </w:p>
    <w:p w14:paraId="20960334">
      <w:pPr>
        <w:pStyle w:val="19"/>
        <w:rPr>
          <w:rFonts w:ascii="仿宋" w:hAnsi="仿宋" w:eastAsia="仿宋"/>
        </w:rPr>
      </w:pPr>
    </w:p>
    <w:p w14:paraId="401ABAC1">
      <w:pPr>
        <w:pStyle w:val="19"/>
        <w:rPr>
          <w:rFonts w:ascii="仿宋" w:hAnsi="仿宋" w:eastAsia="仿宋"/>
        </w:rPr>
      </w:pPr>
    </w:p>
    <w:p w14:paraId="4DFF1B63">
      <w:pPr>
        <w:pStyle w:val="19"/>
        <w:rPr>
          <w:rFonts w:ascii="仿宋" w:hAnsi="仿宋" w:eastAsia="仿宋"/>
        </w:rPr>
      </w:pPr>
    </w:p>
    <w:p w14:paraId="20A30F4C">
      <w:pPr>
        <w:pStyle w:val="19"/>
        <w:rPr>
          <w:rFonts w:ascii="仿宋" w:hAnsi="仿宋" w:eastAsia="仿宋"/>
        </w:rPr>
      </w:pPr>
    </w:p>
    <w:p w14:paraId="7416BB7E">
      <w:pPr>
        <w:pStyle w:val="19"/>
        <w:rPr>
          <w:rFonts w:ascii="仿宋" w:hAnsi="仿宋" w:eastAsia="仿宋"/>
        </w:rPr>
      </w:pPr>
    </w:p>
    <w:p w14:paraId="22AC3456">
      <w:pPr>
        <w:pStyle w:val="19"/>
        <w:rPr>
          <w:rFonts w:ascii="仿宋" w:hAnsi="仿宋" w:eastAsia="仿宋"/>
        </w:rPr>
      </w:pPr>
    </w:p>
    <w:p w14:paraId="04015573">
      <w:pPr>
        <w:pStyle w:val="19"/>
        <w:rPr>
          <w:rFonts w:ascii="仿宋" w:hAnsi="仿宋" w:eastAsia="仿宋"/>
        </w:rPr>
      </w:pPr>
    </w:p>
    <w:p w14:paraId="0CAF9D0D">
      <w:pPr>
        <w:pStyle w:val="19"/>
        <w:rPr>
          <w:rFonts w:ascii="仿宋" w:hAnsi="仿宋" w:eastAsia="仿宋"/>
        </w:rPr>
      </w:pPr>
    </w:p>
    <w:p w14:paraId="75355172">
      <w:pPr>
        <w:pStyle w:val="19"/>
        <w:rPr>
          <w:rFonts w:ascii="仿宋" w:hAnsi="仿宋" w:eastAsia="仿宋"/>
        </w:rPr>
      </w:pPr>
    </w:p>
    <w:p w14:paraId="416396BF">
      <w:pPr>
        <w:pStyle w:val="19"/>
        <w:rPr>
          <w:rFonts w:ascii="仿宋" w:hAnsi="仿宋" w:eastAsia="仿宋"/>
        </w:rPr>
      </w:pPr>
    </w:p>
    <w:p w14:paraId="2394F8E6">
      <w:pPr>
        <w:pStyle w:val="19"/>
        <w:rPr>
          <w:rFonts w:ascii="仿宋" w:hAnsi="仿宋" w:eastAsia="仿宋"/>
        </w:rPr>
      </w:pPr>
    </w:p>
    <w:p w14:paraId="38D7A662">
      <w:pPr>
        <w:pStyle w:val="19"/>
        <w:rPr>
          <w:rFonts w:ascii="仿宋" w:hAnsi="仿宋" w:eastAsia="仿宋"/>
        </w:rPr>
      </w:pPr>
    </w:p>
    <w:p w14:paraId="73458D4C">
      <w:pPr>
        <w:pStyle w:val="19"/>
        <w:rPr>
          <w:rFonts w:ascii="仿宋" w:hAnsi="仿宋" w:eastAsia="仿宋"/>
        </w:rPr>
      </w:pPr>
    </w:p>
    <w:p w14:paraId="1FDFAA24">
      <w:pPr>
        <w:pStyle w:val="19"/>
        <w:rPr>
          <w:rFonts w:ascii="仿宋" w:hAnsi="仿宋" w:eastAsia="仿宋"/>
        </w:rPr>
      </w:pPr>
    </w:p>
    <w:p w14:paraId="39E1EDFB">
      <w:pPr>
        <w:pStyle w:val="19"/>
        <w:rPr>
          <w:rFonts w:ascii="仿宋" w:hAnsi="仿宋" w:eastAsia="仿宋"/>
        </w:rPr>
      </w:pPr>
    </w:p>
    <w:p w14:paraId="0ECA4AC1">
      <w:pPr>
        <w:pStyle w:val="19"/>
        <w:rPr>
          <w:rFonts w:ascii="仿宋" w:hAnsi="仿宋" w:eastAsia="仿宋"/>
        </w:rPr>
      </w:pPr>
    </w:p>
    <w:p w14:paraId="11BD77CF">
      <w:pPr>
        <w:pStyle w:val="19"/>
        <w:rPr>
          <w:rFonts w:ascii="仿宋" w:hAnsi="仿宋" w:eastAsia="仿宋"/>
        </w:rPr>
      </w:pPr>
    </w:p>
    <w:p w14:paraId="4559BA60">
      <w:pPr>
        <w:pStyle w:val="19"/>
        <w:rPr>
          <w:rFonts w:ascii="仿宋" w:hAnsi="仿宋" w:eastAsia="仿宋"/>
        </w:rPr>
      </w:pPr>
    </w:p>
    <w:p w14:paraId="7597B5F2">
      <w:pPr>
        <w:pStyle w:val="19"/>
        <w:rPr>
          <w:rFonts w:ascii="仿宋" w:hAnsi="仿宋" w:eastAsia="仿宋"/>
        </w:rPr>
      </w:pPr>
    </w:p>
    <w:p w14:paraId="0BFFB753">
      <w:pPr>
        <w:pStyle w:val="19"/>
        <w:rPr>
          <w:rFonts w:ascii="仿宋" w:hAnsi="仿宋" w:eastAsia="仿宋"/>
        </w:rPr>
      </w:pPr>
    </w:p>
    <w:p w14:paraId="3DD03BE1">
      <w:pPr>
        <w:pStyle w:val="19"/>
        <w:rPr>
          <w:rFonts w:ascii="仿宋" w:hAnsi="仿宋" w:eastAsia="仿宋"/>
        </w:rPr>
      </w:pPr>
    </w:p>
    <w:p w14:paraId="44BC2D1E">
      <w:pPr>
        <w:pStyle w:val="19"/>
        <w:rPr>
          <w:rFonts w:ascii="仿宋" w:hAnsi="仿宋" w:eastAsia="仿宋"/>
        </w:rPr>
      </w:pPr>
    </w:p>
    <w:p w14:paraId="54F8CAF0">
      <w:pPr>
        <w:pStyle w:val="19"/>
        <w:rPr>
          <w:rFonts w:ascii="仿宋" w:hAnsi="仿宋" w:eastAsia="仿宋"/>
        </w:rPr>
      </w:pPr>
    </w:p>
    <w:p w14:paraId="3FADF7F2">
      <w:pPr>
        <w:pStyle w:val="19"/>
        <w:rPr>
          <w:rFonts w:ascii="仿宋" w:hAnsi="仿宋" w:eastAsia="仿宋"/>
        </w:rPr>
      </w:pPr>
    </w:p>
    <w:p w14:paraId="2345555F">
      <w:pPr>
        <w:pStyle w:val="19"/>
        <w:rPr>
          <w:rFonts w:ascii="仿宋" w:hAnsi="仿宋" w:eastAsia="仿宋"/>
        </w:rPr>
      </w:pPr>
    </w:p>
    <w:p w14:paraId="4418651C">
      <w:pPr>
        <w:pStyle w:val="19"/>
        <w:rPr>
          <w:rFonts w:ascii="仿宋" w:hAnsi="仿宋" w:eastAsia="仿宋"/>
        </w:rPr>
      </w:pPr>
    </w:p>
    <w:p w14:paraId="7D9C7E26">
      <w:pPr>
        <w:pStyle w:val="19"/>
        <w:rPr>
          <w:rFonts w:ascii="仿宋" w:hAnsi="仿宋" w:eastAsia="仿宋"/>
        </w:rPr>
      </w:pPr>
    </w:p>
    <w:p w14:paraId="0EE23BC4">
      <w:pPr>
        <w:pStyle w:val="19"/>
        <w:rPr>
          <w:rFonts w:ascii="仿宋" w:hAnsi="仿宋" w:eastAsia="仿宋"/>
        </w:rPr>
      </w:pPr>
    </w:p>
    <w:p w14:paraId="35052079">
      <w:pPr>
        <w:pStyle w:val="19"/>
        <w:rPr>
          <w:rFonts w:ascii="仿宋" w:hAnsi="仿宋" w:eastAsia="仿宋"/>
        </w:rPr>
      </w:pPr>
    </w:p>
    <w:p w14:paraId="232D180B">
      <w:pPr>
        <w:pStyle w:val="19"/>
        <w:rPr>
          <w:rFonts w:ascii="仿宋" w:hAnsi="仿宋" w:eastAsia="仿宋"/>
        </w:rPr>
      </w:pPr>
    </w:p>
    <w:p w14:paraId="431F0553">
      <w:pPr>
        <w:pStyle w:val="19"/>
        <w:rPr>
          <w:rFonts w:ascii="仿宋" w:hAnsi="仿宋" w:eastAsia="仿宋"/>
        </w:rPr>
      </w:pPr>
    </w:p>
    <w:p w14:paraId="7DBBD99A">
      <w:pPr>
        <w:pStyle w:val="19"/>
        <w:rPr>
          <w:rFonts w:ascii="仿宋" w:hAnsi="仿宋" w:eastAsia="仿宋"/>
        </w:rPr>
      </w:pPr>
    </w:p>
    <w:p w14:paraId="52DDDE43">
      <w:pPr>
        <w:pStyle w:val="19"/>
        <w:rPr>
          <w:rFonts w:ascii="仿宋" w:hAnsi="仿宋" w:eastAsia="仿宋"/>
        </w:rPr>
      </w:pPr>
    </w:p>
    <w:p w14:paraId="58DB1726">
      <w:pPr>
        <w:pStyle w:val="19"/>
        <w:rPr>
          <w:rFonts w:ascii="仿宋" w:hAnsi="仿宋" w:eastAsia="仿宋"/>
        </w:rPr>
      </w:pPr>
    </w:p>
    <w:p w14:paraId="114EFF67">
      <w:pPr>
        <w:pStyle w:val="19"/>
        <w:rPr>
          <w:rFonts w:ascii="仿宋" w:hAnsi="仿宋" w:eastAsia="仿宋"/>
        </w:rPr>
      </w:pPr>
    </w:p>
    <w:p w14:paraId="68C1EDD0">
      <w:pPr>
        <w:pStyle w:val="19"/>
        <w:rPr>
          <w:rFonts w:ascii="仿宋" w:hAnsi="仿宋" w:eastAsia="仿宋"/>
        </w:rPr>
      </w:pPr>
    </w:p>
    <w:p w14:paraId="06C07AE8">
      <w:pPr>
        <w:pStyle w:val="89"/>
        <w:spacing w:line="500" w:lineRule="exact"/>
        <w:ind w:firstLine="3230" w:firstLineChars="1000"/>
        <w:jc w:val="both"/>
        <w:rPr>
          <w:rFonts w:ascii="仿宋" w:hAnsi="仿宋" w:eastAsia="仿宋" w:cs="宋体"/>
          <w:b/>
          <w:bCs/>
          <w:sz w:val="21"/>
          <w:szCs w:val="21"/>
        </w:rPr>
      </w:pPr>
      <w:r>
        <w:rPr>
          <w:rFonts w:ascii="仿宋" w:hAnsi="仿宋" w:cs="Times New Roman"/>
          <w:b/>
          <w:sz w:val="32"/>
          <w:szCs w:val="32"/>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0364C4E">
      <w:pPr>
        <w:pStyle w:val="29"/>
        <w:spacing w:line="500" w:lineRule="exact"/>
        <w:ind w:firstLine="566" w:firstLineChars="200"/>
        <w:outlineLvl w:val="1"/>
        <w:rPr>
          <w:rFonts w:ascii="仿宋" w:hAnsi="仿宋" w:eastAsia="仿宋" w:cs="Times New Roman"/>
          <w:b/>
          <w:sz w:val="28"/>
          <w:szCs w:val="28"/>
        </w:rPr>
      </w:pPr>
      <w:bookmarkStart w:id="30" w:name="_Toc48834283"/>
      <w:bookmarkStart w:id="31" w:name="_Toc48834524"/>
      <w:bookmarkStart w:id="32" w:name="_Toc48834086"/>
      <w:bookmarkStart w:id="33" w:name="_Toc48834156"/>
      <w:bookmarkStart w:id="34" w:name="_Toc32331"/>
      <w:bookmarkStart w:id="35" w:name="_Toc48834445"/>
      <w:r>
        <w:rPr>
          <w:rFonts w:ascii="仿宋" w:hAnsi="仿宋" w:eastAsia="仿宋" w:cs="Times New Roman"/>
          <w:b/>
          <w:sz w:val="28"/>
          <w:szCs w:val="28"/>
        </w:rPr>
        <w:t>一、定义</w:t>
      </w:r>
      <w:bookmarkEnd w:id="30"/>
      <w:bookmarkEnd w:id="31"/>
      <w:bookmarkEnd w:id="32"/>
      <w:bookmarkEnd w:id="33"/>
      <w:bookmarkEnd w:id="34"/>
      <w:bookmarkEnd w:id="35"/>
    </w:p>
    <w:p w14:paraId="43C3AD2D">
      <w:pPr>
        <w:spacing w:line="500" w:lineRule="exact"/>
        <w:ind w:firstLine="566" w:firstLineChars="200"/>
        <w:rPr>
          <w:rFonts w:hint="eastAsia" w:ascii="仿宋" w:hAnsi="仿宋" w:eastAsia="仿宋" w:cs="Times New Roman"/>
          <w:lang w:eastAsia="zh-CN"/>
        </w:rPr>
      </w:pPr>
      <w:r>
        <w:rPr>
          <w:rFonts w:ascii="仿宋" w:hAnsi="仿宋" w:eastAsia="仿宋" w:cs="Times New Roman"/>
        </w:rPr>
        <w:t>（一）采购人：</w:t>
      </w:r>
      <w:r>
        <w:rPr>
          <w:rFonts w:hint="eastAsia" w:ascii="仿宋" w:hAnsi="仿宋" w:eastAsia="仿宋" w:cs="Times New Roman"/>
        </w:rPr>
        <w:t>榆林市市政府机关事务服务中心</w:t>
      </w:r>
    </w:p>
    <w:p w14:paraId="143DF1C8">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榆林市财政局</w:t>
      </w:r>
    </w:p>
    <w:p w14:paraId="3C8163C5">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rPr>
        <w:t>榆林市市级政府</w:t>
      </w:r>
      <w:r>
        <w:rPr>
          <w:rFonts w:ascii="仿宋" w:hAnsi="仿宋" w:eastAsia="仿宋" w:cs="Times New Roman"/>
        </w:rPr>
        <w:t>采购中心</w:t>
      </w:r>
      <w:r>
        <w:rPr>
          <w:rFonts w:hint="eastAsia" w:ascii="仿宋" w:hAnsi="仿宋" w:eastAsia="仿宋" w:cs="Times New Roman"/>
        </w:rPr>
        <w:t>（以下简称市采购中心）</w:t>
      </w:r>
    </w:p>
    <w:p w14:paraId="621C5757">
      <w:pPr>
        <w:spacing w:line="500" w:lineRule="exact"/>
        <w:ind w:firstLine="566" w:firstLineChars="200"/>
        <w:rPr>
          <w:rFonts w:ascii="仿宋" w:hAnsi="仿宋" w:eastAsia="仿宋" w:cs="Times New Roman"/>
        </w:rPr>
      </w:pPr>
      <w:r>
        <w:rPr>
          <w:rFonts w:ascii="仿宋" w:hAnsi="仿宋" w:eastAsia="仿宋" w:cs="Times New Roman"/>
        </w:rPr>
        <w:t>（四）投标人：拟向采购人提供货物、工程或者服务的法人、其他组织或者自然人</w:t>
      </w:r>
    </w:p>
    <w:p w14:paraId="4D1F2892">
      <w:pPr>
        <w:pStyle w:val="29"/>
        <w:spacing w:line="500" w:lineRule="exact"/>
        <w:ind w:firstLine="566" w:firstLineChars="200"/>
        <w:outlineLvl w:val="1"/>
        <w:rPr>
          <w:rFonts w:ascii="仿宋" w:hAnsi="仿宋" w:eastAsia="仿宋" w:cs="Times New Roman"/>
          <w:b/>
          <w:sz w:val="28"/>
          <w:szCs w:val="28"/>
        </w:rPr>
      </w:pPr>
      <w:bookmarkStart w:id="36" w:name="_Toc48834157"/>
      <w:bookmarkStart w:id="37" w:name="_Toc1840"/>
      <w:bookmarkStart w:id="38" w:name="_Toc48834087"/>
      <w:bookmarkStart w:id="39" w:name="_Toc48834284"/>
      <w:bookmarkStart w:id="40" w:name="_Toc48834525"/>
      <w:bookmarkStart w:id="41" w:name="_Toc48834446"/>
      <w:r>
        <w:rPr>
          <w:rFonts w:ascii="仿宋" w:hAnsi="仿宋" w:eastAsia="仿宋" w:cs="Times New Roman"/>
          <w:b/>
          <w:sz w:val="28"/>
          <w:szCs w:val="28"/>
        </w:rPr>
        <w:t>二、投标人注意事项</w:t>
      </w:r>
      <w:bookmarkEnd w:id="36"/>
      <w:bookmarkEnd w:id="37"/>
      <w:bookmarkEnd w:id="38"/>
      <w:bookmarkEnd w:id="39"/>
      <w:bookmarkEnd w:id="40"/>
      <w:bookmarkEnd w:id="41"/>
    </w:p>
    <w:p w14:paraId="46F025B3">
      <w:pPr>
        <w:spacing w:line="500" w:lineRule="exact"/>
        <w:ind w:firstLine="566" w:firstLineChars="200"/>
        <w:outlineLvl w:val="2"/>
        <w:rPr>
          <w:rFonts w:ascii="仿宋" w:hAnsi="仿宋" w:eastAsia="仿宋" w:cs="Times New Roman"/>
          <w:b/>
        </w:rPr>
      </w:pPr>
      <w:bookmarkStart w:id="42" w:name="_Toc30368"/>
      <w:bookmarkStart w:id="43" w:name="_Toc24852"/>
      <w:bookmarkStart w:id="44" w:name="_Toc734"/>
      <w:bookmarkStart w:id="45" w:name="_Toc23045"/>
      <w:r>
        <w:rPr>
          <w:rFonts w:ascii="仿宋" w:hAnsi="仿宋" w:eastAsia="仿宋" w:cs="Times New Roman"/>
          <w:b/>
        </w:rPr>
        <w:t>（一）询问</w:t>
      </w:r>
      <w:bookmarkEnd w:id="42"/>
      <w:bookmarkEnd w:id="43"/>
      <w:bookmarkEnd w:id="44"/>
      <w:bookmarkEnd w:id="45"/>
    </w:p>
    <w:p w14:paraId="74D6BE25">
      <w:pPr>
        <w:spacing w:line="500" w:lineRule="exact"/>
        <w:ind w:firstLine="566" w:firstLineChars="200"/>
        <w:outlineLvl w:val="2"/>
        <w:rPr>
          <w:rFonts w:ascii="仿宋" w:hAnsi="仿宋" w:eastAsia="仿宋" w:cs="Times New Roman"/>
        </w:rPr>
      </w:pPr>
      <w:bookmarkStart w:id="46" w:name="_Toc7423"/>
      <w:bookmarkStart w:id="47" w:name="_Toc11418"/>
      <w:bookmarkStart w:id="48" w:name="_Toc16663"/>
      <w:bookmarkStart w:id="49" w:name="_Toc26397"/>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14:paraId="14988916">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6"/>
      <w:bookmarkEnd w:id="47"/>
      <w:bookmarkEnd w:id="48"/>
      <w:bookmarkEnd w:id="49"/>
      <w:r>
        <w:rPr>
          <w:rFonts w:ascii="仿宋" w:hAnsi="仿宋" w:eastAsia="仿宋" w:cs="Times New Roman"/>
          <w:b/>
        </w:rPr>
        <w:t>质疑和投诉</w:t>
      </w:r>
    </w:p>
    <w:p w14:paraId="0A73A1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w:t>
      </w:r>
      <w:r>
        <w:rPr>
          <w:rFonts w:hint="eastAsia" w:ascii="仿宋" w:hAnsi="仿宋" w:eastAsia="仿宋"/>
          <w:bCs/>
          <w:kern w:val="2"/>
          <w:sz w:val="28"/>
        </w:rPr>
        <w:t>招标</w:t>
      </w:r>
      <w:r>
        <w:rPr>
          <w:rFonts w:ascii="仿宋" w:hAnsi="仿宋" w:eastAsia="仿宋"/>
          <w:bCs/>
          <w:kern w:val="2"/>
          <w:sz w:val="28"/>
        </w:rPr>
        <w:t>文件中涉及的采购需求（包括投标人资格条件、评审要素及分值设置、采购内容和要求、合同条款等）使自身的合法权益受到损害，可以在招标文件公告期限届满之日起７个工作日内，以书面形式向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14:paraId="2A70EA7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投标人如果认为采购程序、采购过程或成交结果使自身的合法权益受到损害，可以在知道或应知其权益受到损害之日起7个工作日内，以书面形式向</w:t>
      </w:r>
      <w:r>
        <w:rPr>
          <w:rFonts w:ascii="仿宋" w:hAnsi="仿宋" w:eastAsia="仿宋"/>
          <w:b/>
          <w:bCs/>
          <w:kern w:val="2"/>
          <w:sz w:val="28"/>
        </w:rPr>
        <w:t>市采购中心</w:t>
      </w:r>
      <w:r>
        <w:rPr>
          <w:rFonts w:ascii="仿宋" w:hAnsi="仿宋" w:eastAsia="仿宋"/>
          <w:bCs/>
          <w:kern w:val="2"/>
          <w:sz w:val="28"/>
        </w:rPr>
        <w:t>提出质疑。</w:t>
      </w:r>
    </w:p>
    <w:p w14:paraId="11E05C48">
      <w:pPr>
        <w:pStyle w:val="26"/>
        <w:spacing w:beforeAutospacing="0" w:afterAutospacing="0" w:line="500" w:lineRule="exact"/>
        <w:ind w:firstLine="526" w:firstLineChars="200"/>
        <w:jc w:val="both"/>
        <w:rPr>
          <w:rFonts w:ascii="仿宋" w:hAnsi="仿宋" w:eastAsia="仿宋"/>
          <w:bCs/>
          <w:spacing w:val="-10"/>
          <w:kern w:val="2"/>
          <w:sz w:val="28"/>
        </w:rPr>
      </w:pPr>
      <w:r>
        <w:rPr>
          <w:rFonts w:hint="eastAsia" w:ascii="仿宋" w:hAnsi="仿宋" w:eastAsia="仿宋"/>
          <w:bCs/>
          <w:spacing w:val="-10"/>
          <w:kern w:val="2"/>
          <w:sz w:val="28"/>
        </w:rPr>
        <w:t>采购人、市采购中心</w:t>
      </w:r>
      <w:r>
        <w:rPr>
          <w:rFonts w:ascii="仿宋" w:hAnsi="仿宋" w:eastAsia="仿宋"/>
          <w:bCs/>
          <w:spacing w:val="-10"/>
          <w:kern w:val="2"/>
          <w:sz w:val="28"/>
        </w:rPr>
        <w:t>将在收到书面质疑后7个工作日内做出答复，并以书面形式通知质疑人和其他有关投标人。</w:t>
      </w:r>
    </w:p>
    <w:p w14:paraId="49E62C75">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1、投标人提出质疑应当提交质疑函和必要的证明材料，并按财政部《质疑函范本》给定的格式进行填写，范本下载详见【财政部国库司（gks.mof.gov.cn）】网站〖首页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〉政府采购管理〗栏目中的《政府采购投标人质疑函范本》。</w:t>
      </w:r>
    </w:p>
    <w:p w14:paraId="7FD6D3A7">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《政府采购投标人质疑函范本》链接地址：</w:t>
      </w:r>
    </w:p>
    <w:p w14:paraId="175CE801">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14:paraId="3151FD6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14:paraId="6C1D5C9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14:paraId="27B8E8EA">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市采购中心不予受理：</w:t>
      </w:r>
    </w:p>
    <w:p w14:paraId="5EB3B974">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（1）质疑人不是参与本次采购项目的投标人或潜在投标人；</w:t>
      </w:r>
    </w:p>
    <w:p w14:paraId="10176B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14:paraId="5C79CB3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14:paraId="51952EBB">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14:paraId="1961A6E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14:paraId="6603345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14:paraId="52D4CA9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14:paraId="3AFC57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、质疑人对市采购中心或采购人的答复不满意，以及采购人</w:t>
      </w:r>
      <w:r>
        <w:rPr>
          <w:rFonts w:hint="eastAsia" w:ascii="仿宋" w:hAnsi="仿宋" w:eastAsia="仿宋"/>
          <w:bCs/>
          <w:kern w:val="2"/>
          <w:sz w:val="28"/>
        </w:rPr>
        <w:t>、</w:t>
      </w:r>
      <w:r>
        <w:rPr>
          <w:rFonts w:ascii="仿宋" w:hAnsi="仿宋" w:eastAsia="仿宋"/>
          <w:bCs/>
          <w:kern w:val="2"/>
          <w:sz w:val="28"/>
        </w:rPr>
        <w:t>市采购中心未在规定时间内做出答复的，可以在答复期满后15个工作日内向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14:paraId="5AA156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、投标人投诉的事项不得超出已质疑事项的范围。</w:t>
      </w:r>
    </w:p>
    <w:p w14:paraId="13852AF2">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14:paraId="6D673A76">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19762F82">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14:paraId="7EB1048B">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提出投诉的投标人</w:t>
      </w:r>
      <w:r>
        <w:rPr>
          <w:rFonts w:ascii="仿宋" w:hAnsi="仿宋" w:eastAsia="仿宋" w:cs="Times New Roman"/>
        </w:rPr>
        <w:t>列入不良行为记录名单，禁止其一至三年内参加政府采购活动。</w:t>
      </w:r>
    </w:p>
    <w:p w14:paraId="1A91D0A0">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14:paraId="2E2E90CE">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14:paraId="333D479B">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14:paraId="6211DBEC">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w:t>
      </w:r>
    </w:p>
    <w:p w14:paraId="1EF308B7">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采购人：榆林市市政府机关事务服务中心  联系电话：0912-3893002</w:t>
      </w:r>
    </w:p>
    <w:p w14:paraId="58D27F1B">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代理机构：市</w:t>
      </w:r>
      <w:r>
        <w:rPr>
          <w:rFonts w:ascii="仿宋" w:hAnsi="仿宋" w:eastAsia="仿宋" w:cs="Times New Roman"/>
          <w:spacing w:val="-10"/>
        </w:rPr>
        <w:t>交易中心</w:t>
      </w:r>
      <w:r>
        <w:rPr>
          <w:rFonts w:hint="eastAsia" w:ascii="仿宋" w:hAnsi="仿宋" w:eastAsia="仿宋" w:cs="Times New Roman"/>
          <w:spacing w:val="-10"/>
        </w:rPr>
        <w:t xml:space="preserve">办公室  </w:t>
      </w:r>
      <w:r>
        <w:rPr>
          <w:rFonts w:hint="eastAsia" w:ascii="仿宋" w:hAnsi="仿宋" w:eastAsia="仿宋" w:cs="Times New Roman"/>
          <w:b/>
          <w:bCs/>
          <w:spacing w:val="-10"/>
        </w:rPr>
        <w:t xml:space="preserve"> </w:t>
      </w:r>
      <w:r>
        <w:rPr>
          <w:rFonts w:hint="eastAsia" w:ascii="仿宋" w:hAnsi="仿宋" w:eastAsia="仿宋" w:cs="Times New Roman"/>
          <w:spacing w:val="-10"/>
        </w:rPr>
        <w:t xml:space="preserve">        </w:t>
      </w:r>
    </w:p>
    <w:p w14:paraId="188FEC76">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榆林市榆阳区文化南路市民大厦11楼1131室      </w:t>
      </w:r>
    </w:p>
    <w:p w14:paraId="28947A7E">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912-3515048        质疑递交（邮箱）：ylsjyzx@sina.com</w:t>
      </w:r>
    </w:p>
    <w:p w14:paraId="4FB6E711">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14:paraId="229FC1AD">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r>
        <w:rPr>
          <w:rFonts w:ascii="仿宋" w:hAnsi="仿宋" w:eastAsia="仿宋" w:cs="Times New Roman"/>
        </w:rPr>
        <w:t>联系电话：</w:t>
      </w:r>
      <w:r>
        <w:rPr>
          <w:rFonts w:hint="eastAsia" w:ascii="仿宋" w:hAnsi="仿宋" w:eastAsia="仿宋" w:cs="Times New Roman"/>
        </w:rPr>
        <w:t>0912-3595892</w:t>
      </w:r>
    </w:p>
    <w:p w14:paraId="226744D3">
      <w:pPr>
        <w:spacing w:line="500" w:lineRule="exact"/>
        <w:ind w:firstLine="566" w:firstLineChars="200"/>
        <w:rPr>
          <w:rFonts w:ascii="仿宋" w:hAnsi="仿宋" w:eastAsia="仿宋" w:cs="Times New Roman"/>
          <w:b/>
          <w:bCs/>
        </w:rPr>
      </w:pPr>
      <w:bookmarkStart w:id="50" w:name="_Toc4945"/>
      <w:bookmarkStart w:id="51" w:name="_Toc4661"/>
      <w:bookmarkStart w:id="52" w:name="_Toc15976"/>
      <w:bookmarkStart w:id="53" w:name="_Toc30404"/>
      <w:r>
        <w:rPr>
          <w:rFonts w:ascii="仿宋" w:hAnsi="仿宋" w:eastAsia="仿宋" w:cs="Times New Roman"/>
          <w:b/>
          <w:bCs/>
        </w:rPr>
        <w:t>（</w:t>
      </w:r>
      <w:r>
        <w:rPr>
          <w:rFonts w:hint="eastAsia" w:ascii="仿宋" w:hAnsi="仿宋" w:eastAsia="仿宋" w:cs="Times New Roman"/>
          <w:b/>
          <w:bCs/>
        </w:rPr>
        <w:t>三</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14:paraId="00F03E71">
      <w:pPr>
        <w:spacing w:line="500" w:lineRule="exact"/>
        <w:ind w:firstLine="566" w:firstLineChars="200"/>
        <w:rPr>
          <w:rFonts w:ascii="仿宋" w:hAnsi="仿宋" w:eastAsia="仿宋" w:cs="Times New Roman"/>
          <w:bCs/>
        </w:rPr>
      </w:pPr>
      <w:r>
        <w:rPr>
          <w:rFonts w:hint="eastAsia" w:ascii="仿宋" w:hAnsi="仿宋" w:eastAsia="仿宋" w:cs="Times New Roman"/>
          <w:bCs/>
        </w:rPr>
        <w:t>对于中小企业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14:paraId="5624FB10">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14:paraId="4AE1339B">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0"/>
    <w:bookmarkEnd w:id="51"/>
    <w:bookmarkEnd w:id="52"/>
    <w:bookmarkEnd w:id="53"/>
    <w:p w14:paraId="1948B79F">
      <w:pPr>
        <w:spacing w:line="500" w:lineRule="exact"/>
        <w:ind w:firstLine="566" w:firstLineChars="200"/>
        <w:rPr>
          <w:rFonts w:ascii="仿宋" w:hAnsi="仿宋" w:eastAsia="仿宋" w:cs="Times New Roman"/>
          <w:b/>
          <w:bCs/>
        </w:rPr>
      </w:pPr>
      <w:bookmarkStart w:id="54" w:name="_Toc1993"/>
      <w:bookmarkStart w:id="55" w:name="_Toc22982"/>
      <w:bookmarkStart w:id="56" w:name="_Toc16749"/>
      <w:bookmarkStart w:id="57" w:name="_Toc16492"/>
      <w:r>
        <w:rPr>
          <w:rFonts w:ascii="仿宋" w:hAnsi="仿宋" w:eastAsia="仿宋" w:cs="Times New Roman"/>
          <w:b/>
        </w:rPr>
        <w:t>（</w:t>
      </w:r>
      <w:r>
        <w:rPr>
          <w:rFonts w:hint="eastAsia" w:ascii="仿宋" w:hAnsi="仿宋" w:eastAsia="仿宋" w:cs="Times New Roman"/>
          <w:b/>
        </w:rPr>
        <w:t>四</w:t>
      </w:r>
      <w:r>
        <w:rPr>
          <w:rFonts w:ascii="仿宋" w:hAnsi="仿宋" w:eastAsia="仿宋" w:cs="Times New Roman"/>
          <w:b/>
        </w:rPr>
        <w:t>）关于知识产权与保密事项</w:t>
      </w:r>
      <w:bookmarkEnd w:id="54"/>
      <w:bookmarkEnd w:id="55"/>
      <w:bookmarkEnd w:id="56"/>
      <w:bookmarkEnd w:id="57"/>
    </w:p>
    <w:p w14:paraId="2144C8A8">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1、所有涉及知识产权的产品及设计，投标人必须确保采购人拥有其合法的、不受限制的无偿使用权，并免受任何侵权诉讼或索偿，否则，由此产生的一切经济损失和法律责任由投标人承担。</w:t>
      </w:r>
    </w:p>
    <w:p w14:paraId="7C4DE1CF">
      <w:pPr>
        <w:spacing w:line="500" w:lineRule="exact"/>
        <w:ind w:firstLine="566" w:firstLineChars="200"/>
        <w:rPr>
          <w:rFonts w:ascii="仿宋" w:hAnsi="仿宋" w:eastAsia="仿宋" w:cs="Times New Roman"/>
          <w:bCs/>
        </w:rPr>
      </w:pPr>
      <w:r>
        <w:rPr>
          <w:rFonts w:ascii="仿宋" w:hAnsi="仿宋" w:eastAsia="仿宋" w:cs="Times New Roman"/>
          <w:bCs/>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1FEB42B6">
      <w:pPr>
        <w:spacing w:line="500" w:lineRule="exact"/>
        <w:ind w:firstLine="566" w:firstLineChars="200"/>
        <w:rPr>
          <w:rFonts w:ascii="仿宋" w:hAnsi="仿宋" w:eastAsia="仿宋" w:cs="Times New Roman"/>
          <w:b/>
          <w:bCs/>
        </w:rPr>
      </w:pPr>
      <w:bookmarkStart w:id="58" w:name="_Toc48834285"/>
      <w:bookmarkStart w:id="59" w:name="_Toc48834158"/>
      <w:bookmarkStart w:id="60" w:name="_Toc48834447"/>
      <w:bookmarkStart w:id="61" w:name="_Toc48834526"/>
      <w:bookmarkStart w:id="62" w:name="_Toc25185"/>
      <w:bookmarkStart w:id="63" w:name="_Toc48834088"/>
      <w:r>
        <w:rPr>
          <w:rFonts w:hint="eastAsia" w:ascii="仿宋" w:hAnsi="仿宋" w:eastAsia="仿宋" w:cs="Times New Roman"/>
          <w:b/>
          <w:bCs/>
        </w:rPr>
        <w:t>（五）政采贷业务</w:t>
      </w:r>
    </w:p>
    <w:p w14:paraId="36E78F78">
      <w:pPr>
        <w:spacing w:line="500" w:lineRule="exact"/>
        <w:ind w:firstLine="566" w:firstLineChars="200"/>
        <w:rPr>
          <w:rFonts w:ascii="仿宋" w:hAnsi="仿宋" w:eastAsia="仿宋" w:cs="Times New Roman"/>
        </w:rPr>
      </w:pPr>
      <w:bookmarkStart w:id="64" w:name="_Toc24866"/>
      <w:bookmarkStart w:id="65" w:name="_Toc2340"/>
      <w:bookmarkStart w:id="66" w:name="_Toc19023"/>
      <w:bookmarkStart w:id="67" w:name="_Toc18387"/>
      <w:r>
        <w:rPr>
          <w:rFonts w:hint="eastAsia" w:ascii="仿宋" w:hAnsi="仿宋" w:eastAsia="仿宋" w:cs="Times New Roma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市场主导、财政引导、银企自愿、风险自担的原则，中标（成交）投标人可根据自身资金需求，登录陕西省政府采购信用融资平台（http://www.ccgp-shaanxi.gov.cn/zcdservice/zcd/shanxi/）在线申请，依法参加政府采购信用融资活动。</w:t>
      </w:r>
    </w:p>
    <w:p w14:paraId="367778E5">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w:t>
      </w:r>
    </w:p>
    <w:p w14:paraId="18B988D3">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中国银行分行，联系人：屈维倩</w:t>
      </w:r>
    </w:p>
    <w:p w14:paraId="1740968E">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联系电话：0912-3426909  15509121207</w:t>
      </w:r>
    </w:p>
    <w:p w14:paraId="5CA655E8">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w:t>
      </w:r>
      <w:r>
        <w:rPr>
          <w:rFonts w:hint="eastAsia" w:ascii="仿宋" w:hAnsi="仿宋" w:eastAsia="仿宋" w:cs="Times New Roman"/>
          <w:b/>
          <w:sz w:val="28"/>
          <w:szCs w:val="28"/>
        </w:rPr>
        <w:t>六</w:t>
      </w:r>
      <w:r>
        <w:rPr>
          <w:rFonts w:ascii="仿宋" w:hAnsi="仿宋" w:eastAsia="仿宋" w:cs="Times New Roman"/>
          <w:b/>
          <w:sz w:val="28"/>
          <w:szCs w:val="28"/>
        </w:rPr>
        <w:t>）投标人的投标费用自理</w:t>
      </w:r>
      <w:bookmarkEnd w:id="64"/>
      <w:bookmarkEnd w:id="65"/>
      <w:bookmarkEnd w:id="66"/>
      <w:bookmarkEnd w:id="67"/>
    </w:p>
    <w:p w14:paraId="212C7E31">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三、招标文件</w:t>
      </w:r>
      <w:bookmarkEnd w:id="58"/>
      <w:bookmarkEnd w:id="59"/>
      <w:bookmarkEnd w:id="60"/>
      <w:bookmarkEnd w:id="61"/>
      <w:bookmarkEnd w:id="62"/>
      <w:bookmarkEnd w:id="63"/>
    </w:p>
    <w:p w14:paraId="0A3ACE11">
      <w:pPr>
        <w:spacing w:line="500" w:lineRule="exact"/>
        <w:ind w:firstLine="566" w:firstLineChars="200"/>
        <w:outlineLvl w:val="2"/>
        <w:rPr>
          <w:rFonts w:ascii="仿宋" w:hAnsi="仿宋" w:eastAsia="仿宋" w:cs="Times New Roman"/>
          <w:b/>
        </w:rPr>
      </w:pPr>
      <w:bookmarkStart w:id="68" w:name="_Toc19555"/>
      <w:bookmarkStart w:id="69" w:name="_Toc5972"/>
      <w:bookmarkStart w:id="70" w:name="_Toc7620"/>
      <w:bookmarkStart w:id="71" w:name="_Toc20323"/>
      <w:r>
        <w:rPr>
          <w:rFonts w:ascii="仿宋" w:hAnsi="仿宋" w:eastAsia="仿宋" w:cs="Times New Roman"/>
          <w:b/>
        </w:rPr>
        <w:t>（一）招标文件包括下列内容</w:t>
      </w:r>
      <w:bookmarkEnd w:id="68"/>
      <w:bookmarkEnd w:id="69"/>
      <w:bookmarkEnd w:id="70"/>
      <w:bookmarkEnd w:id="71"/>
    </w:p>
    <w:p w14:paraId="43B4E255">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招标公告</w:t>
      </w:r>
    </w:p>
    <w:p w14:paraId="514805E8">
      <w:pPr>
        <w:spacing w:line="500" w:lineRule="exact"/>
        <w:ind w:firstLine="566" w:firstLineChars="200"/>
        <w:rPr>
          <w:rFonts w:ascii="仿宋" w:hAnsi="仿宋" w:eastAsia="仿宋" w:cs="Times New Roman"/>
        </w:rPr>
      </w:pPr>
      <w:r>
        <w:rPr>
          <w:rFonts w:ascii="仿宋" w:hAnsi="仿宋" w:eastAsia="仿宋" w:cs="Times New Roman"/>
        </w:rPr>
        <w:t>第二章　投标人须知</w:t>
      </w:r>
    </w:p>
    <w:p w14:paraId="28D2E48E">
      <w:pPr>
        <w:spacing w:line="500" w:lineRule="exact"/>
        <w:ind w:firstLine="566" w:firstLineChars="200"/>
        <w:rPr>
          <w:rFonts w:ascii="仿宋" w:hAnsi="仿宋" w:eastAsia="仿宋" w:cs="Times New Roman"/>
        </w:rPr>
      </w:pPr>
      <w:bookmarkStart w:id="72" w:name="_Toc4199"/>
      <w:bookmarkStart w:id="73" w:name="_Toc7448"/>
      <w:bookmarkStart w:id="74" w:name="_Toc18777"/>
      <w:bookmarkStart w:id="75" w:name="_Toc32645"/>
      <w:r>
        <w:rPr>
          <w:rFonts w:ascii="仿宋" w:hAnsi="仿宋" w:eastAsia="仿宋" w:cs="Times New Roman"/>
        </w:rPr>
        <w:t>第三章　</w:t>
      </w:r>
      <w:r>
        <w:rPr>
          <w:rFonts w:hint="eastAsia" w:ascii="仿宋" w:hAnsi="仿宋" w:eastAsia="仿宋"/>
          <w:sz w:val="32"/>
          <w:szCs w:val="32"/>
        </w:rPr>
        <w:t>评审办法及标准</w:t>
      </w:r>
    </w:p>
    <w:p w14:paraId="35FCF9B6">
      <w:pPr>
        <w:spacing w:line="500" w:lineRule="exact"/>
        <w:ind w:firstLine="566" w:firstLineChars="200"/>
        <w:rPr>
          <w:rFonts w:ascii="仿宋" w:hAnsi="仿宋" w:eastAsia="仿宋" w:cs="Times New Roman"/>
        </w:rPr>
      </w:pPr>
      <w:r>
        <w:rPr>
          <w:rFonts w:ascii="仿宋" w:hAnsi="仿宋" w:eastAsia="仿宋" w:cs="Times New Roman"/>
        </w:rPr>
        <w:t>第四章  招标内容及采购要求</w:t>
      </w:r>
    </w:p>
    <w:p w14:paraId="308DDB80">
      <w:pPr>
        <w:spacing w:line="500" w:lineRule="exact"/>
        <w:ind w:firstLine="566" w:firstLineChars="200"/>
        <w:rPr>
          <w:rFonts w:ascii="仿宋" w:hAnsi="仿宋" w:eastAsia="仿宋" w:cs="Times New Roman"/>
        </w:rPr>
      </w:pPr>
      <w:r>
        <w:rPr>
          <w:rFonts w:ascii="仿宋" w:hAnsi="仿宋" w:eastAsia="仿宋" w:cs="Times New Roman"/>
        </w:rPr>
        <w:t>第五章  合同基本条款</w:t>
      </w:r>
    </w:p>
    <w:p w14:paraId="6A5E86F9">
      <w:pPr>
        <w:spacing w:line="500" w:lineRule="exact"/>
        <w:ind w:firstLine="566" w:firstLineChars="200"/>
        <w:rPr>
          <w:rFonts w:ascii="仿宋" w:hAnsi="仿宋" w:eastAsia="仿宋" w:cs="Times New Roman"/>
        </w:rPr>
      </w:pPr>
      <w:r>
        <w:rPr>
          <w:rFonts w:hint="eastAsia" w:ascii="仿宋" w:hAnsi="仿宋" w:eastAsia="仿宋" w:cs="Times New Roman"/>
        </w:rPr>
        <w:t xml:space="preserve">第六章  </w:t>
      </w:r>
      <w:r>
        <w:rPr>
          <w:rFonts w:ascii="仿宋" w:hAnsi="仿宋" w:eastAsia="仿宋" w:cs="Times New Roman"/>
        </w:rPr>
        <w:t>投标文件构成及格式</w:t>
      </w:r>
    </w:p>
    <w:p w14:paraId="6716A151">
      <w:pPr>
        <w:spacing w:line="500" w:lineRule="exact"/>
        <w:ind w:firstLine="566" w:firstLineChars="200"/>
        <w:outlineLvl w:val="2"/>
        <w:rPr>
          <w:rFonts w:ascii="仿宋" w:hAnsi="仿宋" w:eastAsia="仿宋" w:cs="Times New Roman"/>
          <w:b/>
        </w:rPr>
      </w:pPr>
      <w:r>
        <w:rPr>
          <w:rFonts w:ascii="仿宋" w:hAnsi="仿宋" w:eastAsia="仿宋" w:cs="Times New Roman"/>
          <w:b/>
        </w:rPr>
        <w:t>（二）招标文件的检查及阅读</w:t>
      </w:r>
      <w:bookmarkEnd w:id="72"/>
      <w:bookmarkEnd w:id="73"/>
      <w:bookmarkEnd w:id="74"/>
      <w:bookmarkEnd w:id="75"/>
    </w:p>
    <w:p w14:paraId="47B09F09">
      <w:pPr>
        <w:spacing w:line="500" w:lineRule="exact"/>
        <w:ind w:firstLine="566" w:firstLineChars="200"/>
        <w:rPr>
          <w:rFonts w:ascii="仿宋" w:hAnsi="仿宋" w:eastAsia="仿宋" w:cs="Times New Roman"/>
        </w:rPr>
      </w:pPr>
      <w:r>
        <w:rPr>
          <w:rFonts w:ascii="仿宋" w:hAnsi="仿宋" w:eastAsia="仿宋" w:cs="Times New Roman"/>
        </w:rPr>
        <w:t>投标人下载招标文件后应仔细阅读检查招标文件中的所有内容，按照招标文件中所列事项、条款、规范要求及格式，在投标文件中对招标文件做出全面的响应，并按招标文件的要求提交全部资料。</w:t>
      </w:r>
    </w:p>
    <w:p w14:paraId="69FFF49F">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重新组织招标，市采购中心将重新编制、发布新版招标文件，投标人应按新版招标文件重新编制投标文件。原招标文件及投标文件失效。</w:t>
      </w:r>
    </w:p>
    <w:p w14:paraId="1CCC2E80">
      <w:pPr>
        <w:spacing w:line="500" w:lineRule="exact"/>
        <w:ind w:firstLine="566" w:firstLineChars="200"/>
        <w:rPr>
          <w:rFonts w:ascii="仿宋" w:hAnsi="仿宋" w:eastAsia="仿宋" w:cs="Times New Roman"/>
          <w:b/>
        </w:rPr>
      </w:pPr>
      <w:r>
        <w:rPr>
          <w:rFonts w:ascii="仿宋" w:hAnsi="仿宋" w:eastAsia="仿宋" w:cs="Times New Roman"/>
          <w:b/>
        </w:rPr>
        <w:t>投标文件封面、投标函以及法定代表人授权委托书三处的项目名称、项目编号、标段（如有）应当与最新发布的招标文件保持一致，否则将被视为无效投标文件。</w:t>
      </w:r>
    </w:p>
    <w:p w14:paraId="21BDBF8A">
      <w:pPr>
        <w:spacing w:line="500" w:lineRule="exact"/>
        <w:ind w:firstLine="566" w:firstLineChars="200"/>
        <w:outlineLvl w:val="2"/>
        <w:rPr>
          <w:rFonts w:ascii="仿宋" w:hAnsi="仿宋" w:eastAsia="仿宋" w:cs="Times New Roman"/>
          <w:b/>
        </w:rPr>
      </w:pPr>
      <w:bookmarkStart w:id="76" w:name="_Toc25748"/>
      <w:bookmarkStart w:id="77" w:name="_Toc21665"/>
      <w:bookmarkStart w:id="78" w:name="_Toc27301"/>
      <w:bookmarkStart w:id="79" w:name="_Toc6302"/>
      <w:r>
        <w:rPr>
          <w:rFonts w:ascii="仿宋" w:hAnsi="仿宋" w:eastAsia="仿宋" w:cs="Times New Roman"/>
          <w:b/>
        </w:rPr>
        <w:t>（三）招标文件的修改、澄清</w:t>
      </w:r>
      <w:bookmarkEnd w:id="76"/>
      <w:bookmarkEnd w:id="77"/>
      <w:bookmarkEnd w:id="78"/>
      <w:bookmarkEnd w:id="79"/>
    </w:p>
    <w:p w14:paraId="79B819EE">
      <w:pPr>
        <w:spacing w:line="500" w:lineRule="exact"/>
        <w:ind w:firstLine="566" w:firstLineChars="200"/>
        <w:rPr>
          <w:rFonts w:ascii="仿宋" w:hAnsi="仿宋" w:eastAsia="仿宋" w:cs="Times New Roman"/>
        </w:rPr>
      </w:pPr>
      <w:r>
        <w:rPr>
          <w:rFonts w:hint="eastAsia" w:ascii="仿宋" w:hAnsi="仿宋" w:eastAsia="仿宋" w:cs="Times New Roman"/>
        </w:rPr>
        <w:t>1、</w:t>
      </w:r>
      <w:r>
        <w:rPr>
          <w:rFonts w:ascii="仿宋" w:hAnsi="仿宋" w:eastAsia="仿宋" w:cs="Times New Roman"/>
        </w:rPr>
        <w:t>市采购中心</w:t>
      </w:r>
      <w:r>
        <w:rPr>
          <w:rFonts w:hint="eastAsia" w:ascii="仿宋" w:hAnsi="仿宋" w:eastAsia="仿宋" w:cs="Times New Roman"/>
        </w:rPr>
        <w:t>可以对已发出的招标文件进行必要的澄清或者修改，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澄清或者修改应将在原公告发布媒体上发布澄清公告，其内容为招标文件的组成部分。</w:t>
      </w:r>
    </w:p>
    <w:p w14:paraId="3A9541EE">
      <w:pPr>
        <w:spacing w:line="500" w:lineRule="exact"/>
        <w:ind w:firstLine="566" w:firstLineChars="200"/>
        <w:rPr>
          <w:rFonts w:ascii="仿宋" w:hAnsi="仿宋" w:eastAsia="仿宋" w:cs="Times New Roman"/>
        </w:rPr>
      </w:pPr>
      <w:r>
        <w:rPr>
          <w:rFonts w:hint="eastAsia" w:ascii="仿宋" w:hAnsi="仿宋" w:eastAsia="仿宋" w:cs="Times New Roman"/>
        </w:rPr>
        <w:t xml:space="preserve"> 2、澄清或者修改的内容可能影响投标文件编制的，</w:t>
      </w:r>
      <w:r>
        <w:rPr>
          <w:rFonts w:ascii="仿宋" w:hAnsi="仿宋" w:eastAsia="仿宋" w:cs="Times New Roman"/>
        </w:rPr>
        <w:t>市采购中心</w:t>
      </w:r>
      <w:r>
        <w:rPr>
          <w:rFonts w:hint="eastAsia" w:ascii="仿宋" w:hAnsi="仿宋" w:eastAsia="仿宋" w:cs="Times New Roman"/>
        </w:rPr>
        <w:t>将在投标截止时间至少15日前，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；不足15日，市采购中心将顺延提交投标文件的截止时间。</w:t>
      </w:r>
    </w:p>
    <w:p w14:paraId="7D20242C">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对招标文件提出质疑的，应在招标文件公告期限届满之日起7个工作日内以书面形式提出，采购人或市采购中心以书面形式予以答复；在此之后提出的针对招标文件的质疑为无效质疑。答复的内容可能影响投标文件编制的，市采购中心将在财政部门指定的政府采购信息发布媒体上</w:t>
      </w:r>
      <w:r>
        <w:rPr>
          <w:rFonts w:ascii="仿宋" w:hAnsi="仿宋" w:eastAsia="仿宋" w:cs="Times New Roman"/>
          <w:b/>
        </w:rPr>
        <w:t>发布更正公告</w:t>
      </w:r>
      <w:r>
        <w:rPr>
          <w:rFonts w:ascii="仿宋" w:hAnsi="仿宋" w:eastAsia="仿宋" w:cs="Times New Roman"/>
        </w:rPr>
        <w:t>。</w:t>
      </w:r>
    </w:p>
    <w:p w14:paraId="5FD5EAB8">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、各投标人在提交投标文件截止时间之前，应随时关注下列地址发布的变更公告，也可登录全国公共资源交易平台（陕西省）政府采购交易系统查看左上角的信息提醒，市采购中心</w:t>
      </w:r>
      <w:r>
        <w:rPr>
          <w:rFonts w:ascii="仿宋" w:hAnsi="仿宋" w:eastAsia="仿宋" w:cs="Times New Roman"/>
          <w:b/>
        </w:rPr>
        <w:t>不再单独通知，因投标人未及时关注所造成的一切后果由投标人自行承担：</w:t>
      </w:r>
    </w:p>
    <w:p w14:paraId="312CF966">
      <w:pPr>
        <w:spacing w:line="500" w:lineRule="exact"/>
        <w:ind w:firstLine="566" w:firstLineChars="200"/>
        <w:rPr>
          <w:rFonts w:ascii="仿宋" w:hAnsi="仿宋" w:eastAsia="仿宋" w:cs="Times New Roman"/>
        </w:rPr>
      </w:pPr>
      <w:r>
        <w:rPr>
          <w:rFonts w:ascii="仿宋" w:hAnsi="仿宋" w:eastAsia="仿宋" w:cs="Times New Roman"/>
        </w:rPr>
        <w:t>（1）【</w:t>
      </w:r>
      <w:r>
        <w:fldChar w:fldCharType="begin"/>
      </w:r>
      <w:r>
        <w:instrText xml:space="preserve"> HYPERLINK "http://www.ccgp-shaanxi.gov.cn" </w:instrText>
      </w:r>
      <w:r>
        <w:fldChar w:fldCharType="separate"/>
      </w:r>
      <w:r>
        <w:rPr>
          <w:rStyle w:val="42"/>
          <w:rFonts w:ascii="仿宋" w:hAnsi="仿宋" w:eastAsia="仿宋" w:cs="Times New Roman"/>
          <w:color w:val="auto"/>
          <w:sz w:val="28"/>
          <w:szCs w:val="28"/>
        </w:rPr>
        <w:t>陕西省政府采购网</w:t>
      </w:r>
      <w:r>
        <w:rPr>
          <w:rStyle w:val="42"/>
          <w:rFonts w:ascii="仿宋" w:hAnsi="仿宋" w:eastAsia="仿宋" w:cs="Times New Roman"/>
          <w:color w:val="auto"/>
          <w:sz w:val="28"/>
          <w:szCs w:val="28"/>
        </w:rPr>
        <w:fldChar w:fldCharType="end"/>
      </w:r>
      <w:r>
        <w:rPr>
          <w:rFonts w:ascii="仿宋" w:hAnsi="仿宋" w:eastAsia="仿宋" w:cs="Times New Roman"/>
        </w:rPr>
        <w:t>（www.ccgp-shaanxi.gov.cn）】中的〖首页·〉省级公告·〉更正公告〗；</w:t>
      </w:r>
    </w:p>
    <w:p w14:paraId="40B137FB">
      <w:pPr>
        <w:spacing w:line="500" w:lineRule="exact"/>
        <w:ind w:firstLine="566" w:firstLineChars="200"/>
        <w:rPr>
          <w:rFonts w:ascii="仿宋" w:hAnsi="仿宋" w:eastAsia="仿宋" w:cs="Times New Roman"/>
        </w:rPr>
      </w:pPr>
      <w:r>
        <w:rPr>
          <w:rFonts w:ascii="仿宋" w:hAnsi="仿宋" w:eastAsia="仿宋" w:cs="Times New Roman"/>
        </w:rPr>
        <w:t>（2）【全国公共资源交易平台（陕西省）（http://www.sxggzyjy.cn/）】中的〖首页·〉交易大厅·〉政府采购〗。</w:t>
      </w:r>
    </w:p>
    <w:p w14:paraId="2F3CC329">
      <w:pPr>
        <w:spacing w:line="500" w:lineRule="exact"/>
        <w:ind w:firstLine="566" w:firstLineChars="200"/>
        <w:outlineLvl w:val="2"/>
        <w:rPr>
          <w:rFonts w:ascii="仿宋" w:hAnsi="仿宋" w:eastAsia="仿宋" w:cs="Times New Roman"/>
          <w:b/>
        </w:rPr>
      </w:pPr>
      <w:bookmarkStart w:id="80" w:name="_Toc6095"/>
      <w:bookmarkStart w:id="81" w:name="_Toc4045"/>
      <w:bookmarkStart w:id="82" w:name="_Toc9044"/>
      <w:bookmarkStart w:id="83" w:name="_Toc27379"/>
      <w:r>
        <w:rPr>
          <w:rFonts w:ascii="仿宋" w:hAnsi="仿宋" w:eastAsia="仿宋" w:cs="Times New Roman"/>
          <w:b/>
        </w:rPr>
        <w:t>（四）招标文件的解释权归市采购中心。</w:t>
      </w:r>
      <w:bookmarkEnd w:id="80"/>
      <w:bookmarkEnd w:id="81"/>
      <w:bookmarkEnd w:id="82"/>
      <w:bookmarkEnd w:id="83"/>
    </w:p>
    <w:p w14:paraId="39F5E9E7">
      <w:pPr>
        <w:pStyle w:val="29"/>
        <w:spacing w:line="500" w:lineRule="exact"/>
        <w:ind w:firstLine="566" w:firstLineChars="200"/>
        <w:outlineLvl w:val="1"/>
        <w:rPr>
          <w:rFonts w:ascii="仿宋" w:hAnsi="仿宋" w:eastAsia="仿宋" w:cs="Times New Roman"/>
          <w:b/>
          <w:sz w:val="28"/>
          <w:szCs w:val="28"/>
        </w:rPr>
      </w:pPr>
      <w:bookmarkStart w:id="84" w:name="_Toc48834090"/>
      <w:bookmarkStart w:id="85" w:name="_Toc48834160"/>
      <w:bookmarkStart w:id="86" w:name="_Toc48834528"/>
      <w:bookmarkStart w:id="87" w:name="_Toc16421"/>
      <w:bookmarkStart w:id="88" w:name="_Toc48834287"/>
      <w:bookmarkStart w:id="89" w:name="_Toc48834449"/>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4"/>
      <w:bookmarkEnd w:id="85"/>
      <w:bookmarkEnd w:id="86"/>
      <w:bookmarkEnd w:id="87"/>
      <w:bookmarkEnd w:id="88"/>
      <w:bookmarkEnd w:id="89"/>
    </w:p>
    <w:p w14:paraId="1B2DDC2E">
      <w:pPr>
        <w:spacing w:line="500" w:lineRule="exact"/>
        <w:ind w:firstLine="566" w:firstLineChars="200"/>
        <w:rPr>
          <w:rFonts w:ascii="仿宋" w:hAnsi="仿宋" w:eastAsia="仿宋" w:cs="Times New Roman"/>
        </w:rPr>
      </w:pPr>
      <w:r>
        <w:rPr>
          <w:rFonts w:ascii="仿宋" w:hAnsi="仿宋" w:eastAsia="仿宋" w:cs="Times New Roman"/>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7E5DCE3">
      <w:pPr>
        <w:spacing w:line="500" w:lineRule="exact"/>
        <w:ind w:firstLine="566" w:firstLineChars="200"/>
        <w:rPr>
          <w:rFonts w:ascii="仿宋" w:hAnsi="仿宋" w:eastAsia="仿宋" w:cs="Times New Roman"/>
        </w:rPr>
      </w:pPr>
      <w:r>
        <w:rPr>
          <w:rFonts w:ascii="仿宋" w:hAnsi="仿宋" w:eastAsia="仿宋" w:cs="Times New Roman"/>
        </w:rPr>
        <w:t>（一）投标人应严格按照《投标文件构成及格式》中《开标一览表》中的相关要求填写分类报价及其他需要响应的内容。</w:t>
      </w:r>
    </w:p>
    <w:p w14:paraId="072A13E0">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14:paraId="210CA940">
      <w:pPr>
        <w:spacing w:line="500" w:lineRule="exact"/>
        <w:ind w:firstLine="566" w:firstLineChars="200"/>
        <w:rPr>
          <w:rFonts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14:paraId="4A83A79F">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（四）投标报价应遵守《中华人民共和国价格法》，投标人不得以低于成本的报价参与投标。</w:t>
      </w:r>
    </w:p>
    <w:p w14:paraId="402E9CEC">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）投标文件报价出现前后不一致的，除招标文件另有规定外，按照下列规定修正：</w:t>
      </w:r>
    </w:p>
    <w:p w14:paraId="0ECBA902">
      <w:pPr>
        <w:spacing w:line="500" w:lineRule="exact"/>
        <w:ind w:firstLine="566" w:firstLineChars="200"/>
        <w:rPr>
          <w:rFonts w:ascii="仿宋" w:hAnsi="仿宋" w:eastAsia="仿宋" w:cs="Times New Roman"/>
        </w:rPr>
      </w:pPr>
      <w:r>
        <w:rPr>
          <w:rFonts w:ascii="仿宋" w:hAnsi="仿宋" w:eastAsia="仿宋" w:cs="Times New Roman"/>
        </w:rPr>
        <w:t>1、投标文件中开标一览表内容与投标文件中相应内容不一致的，以开标一览表为准；</w:t>
      </w:r>
    </w:p>
    <w:p w14:paraId="7A769554">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14:paraId="55D7C4D2">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14:paraId="61CA4F55">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14:paraId="03FFAE05">
      <w:pPr>
        <w:spacing w:line="500" w:lineRule="exact"/>
        <w:ind w:firstLine="566" w:firstLineChars="200"/>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修正后的报价经投标人确认后产生约束力，投标人不确认的，其投标无效。</w:t>
      </w:r>
    </w:p>
    <w:p w14:paraId="5E0C22D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）因投标人对招标文件理解不透、误解、疏漏或对市场行情了解不清造成的后果和风险，均由投标人自己负责。</w:t>
      </w:r>
    </w:p>
    <w:p w14:paraId="02DF88A7">
      <w:pPr>
        <w:spacing w:line="500" w:lineRule="exact"/>
        <w:ind w:firstLine="566" w:firstLineChars="200"/>
        <w:rPr>
          <w:rFonts w:ascii="仿宋" w:hAnsi="仿宋" w:eastAsia="仿宋" w:cs="Times New Roman"/>
          <w:b/>
        </w:rPr>
      </w:pPr>
      <w:bookmarkStart w:id="90" w:name="_Toc48834161"/>
      <w:bookmarkStart w:id="91" w:name="_Toc48834288"/>
      <w:bookmarkStart w:id="92" w:name="_Toc48834450"/>
      <w:bookmarkStart w:id="93" w:name="_Toc31048"/>
      <w:bookmarkStart w:id="94" w:name="_Toc48834529"/>
      <w:bookmarkStart w:id="95" w:name="_Toc48834091"/>
      <w:r>
        <w:rPr>
          <w:rFonts w:hint="eastAsia" w:ascii="仿宋" w:hAnsi="仿宋" w:eastAsia="仿宋" w:cs="Times New Roman"/>
          <w:b/>
        </w:rPr>
        <w:t>五</w:t>
      </w:r>
      <w:r>
        <w:rPr>
          <w:rFonts w:ascii="仿宋" w:hAnsi="仿宋" w:eastAsia="仿宋" w:cs="Times New Roman"/>
          <w:b/>
        </w:rPr>
        <w:t>、投标文件</w:t>
      </w:r>
      <w:bookmarkEnd w:id="90"/>
      <w:bookmarkEnd w:id="91"/>
      <w:bookmarkEnd w:id="92"/>
      <w:bookmarkEnd w:id="93"/>
      <w:bookmarkEnd w:id="94"/>
      <w:bookmarkEnd w:id="95"/>
    </w:p>
    <w:p w14:paraId="613CE15C">
      <w:pPr>
        <w:spacing w:line="500" w:lineRule="exact"/>
        <w:ind w:firstLine="566" w:firstLineChars="200"/>
        <w:rPr>
          <w:rFonts w:ascii="仿宋" w:hAnsi="仿宋" w:eastAsia="仿宋" w:cs="Times New Roman"/>
          <w:b/>
        </w:rPr>
      </w:pPr>
      <w:r>
        <w:rPr>
          <w:rFonts w:ascii="仿宋" w:hAnsi="仿宋" w:eastAsia="仿宋" w:cs="Times New Roman"/>
          <w:b/>
        </w:rPr>
        <w:t>（一）投标文件的式样</w:t>
      </w:r>
    </w:p>
    <w:p w14:paraId="5B5543B5">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本项目采用电子投标文件的形式。</w:t>
      </w:r>
    </w:p>
    <w:p w14:paraId="3DC69FFF">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编制电子投标文件时，应使用最新发布的电子招标文件及专用制作工具进行编制。并使用数字认证证书（CA锁）对电子投标文件进行</w:t>
      </w:r>
      <w:r>
        <w:rPr>
          <w:rFonts w:hint="eastAsia" w:ascii="仿宋" w:hAnsi="仿宋" w:eastAsia="仿宋" w:cs="Times New Roman"/>
          <w:bCs/>
          <w:sz w:val="28"/>
          <w:szCs w:val="28"/>
        </w:rPr>
        <w:t>签章、加密、递交及开标时解密等相关招投标事宜。</w:t>
      </w:r>
    </w:p>
    <w:p w14:paraId="02C019C6">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1、电子招标文件下载。投标人登录全国公共资源交易平台（陕西省） 网站〖首页·〉电子交易平台·〉企业端〗后，在〖招标公告/出让公告〗 模块中选择项目点击“我要投标”，参与投标活动。然后即可在〖我的项 目〗中点击“项目流程&gt;交易文件下载”下载电子招标文件。 </w:t>
      </w:r>
    </w:p>
    <w:p w14:paraId="3846472D">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2、电子招标文件需要使用专用软件打开、浏览。投标人可在全国公共 资源交易平台（陕西省）网站〖首页·〉服务指南·〉下载专区〗免费下载“陕西省公共资源交易平台政府采购电子标书制作工具(V8.0.0.2)”，并 升级至最新版本，使用该客户端可以打开电子招标文件。软件操作手册详见全国公共资源交易平台（陕西省）网站〖首页·〉服务指南·〉下载专区〗中的《陕西省公共资源交易（政府采购类）投标文件制作软件操作手册》。</w:t>
      </w:r>
    </w:p>
    <w:p w14:paraId="0FD63CF1">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3、制作电子投标文件。电子投标文件同样需要使用上述软件进行编制。 在编制过程中，如有技术性问题，请先翻阅操作手册，或致电软件开发商。 </w:t>
      </w:r>
    </w:p>
    <w:p w14:paraId="5ED9CE5A">
      <w:pPr>
        <w:pStyle w:val="29"/>
        <w:spacing w:line="500" w:lineRule="exact"/>
        <w:ind w:firstLine="566" w:firstLineChars="200"/>
        <w:rPr>
          <w:rFonts w:ascii="仿宋" w:hAnsi="仿宋" w:eastAsia="仿宋" w:cs="宋体"/>
          <w:bCs/>
          <w:sz w:val="21"/>
          <w:szCs w:val="21"/>
        </w:rPr>
      </w:pP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14:paraId="416B33BF">
      <w:pPr>
        <w:pStyle w:val="29"/>
        <w:spacing w:line="500" w:lineRule="exact"/>
        <w:ind w:firstLineChars="200"/>
        <w:rPr>
          <w:rFonts w:ascii="仿宋" w:hAnsi="仿宋" w:eastAsia="仿宋" w:cs="宋体"/>
          <w:bCs/>
          <w:sz w:val="21"/>
          <w:szCs w:val="21"/>
        </w:rPr>
      </w:pPr>
      <w:r>
        <w:rPr>
          <w:rFonts w:hint="eastAsia" w:ascii="仿宋" w:hAnsi="仿宋" w:eastAsia="仿宋" w:cs="宋体"/>
          <w:bCs/>
          <w:sz w:val="21"/>
          <w:szCs w:val="21"/>
        </w:rPr>
        <w:t xml:space="preserve">  </w:t>
      </w:r>
      <w:r>
        <w:rPr>
          <w:rFonts w:hint="eastAsia" w:ascii="仿宋" w:hAnsi="仿宋" w:eastAsia="仿宋" w:cs="Times New Roman"/>
          <w:bCs/>
          <w:sz w:val="28"/>
          <w:szCs w:val="28"/>
        </w:rPr>
        <w:t>CA锁购买：榆林市市民大厦三楼窗口购买,或下载手机APP：陕公共资源交易服务，线上购买。联系电话：0912-3452148</w:t>
      </w:r>
    </w:p>
    <w:p w14:paraId="2DA13649">
      <w:pPr>
        <w:spacing w:line="500" w:lineRule="exact"/>
        <w:ind w:firstLine="566" w:firstLineChars="200"/>
        <w:outlineLvl w:val="2"/>
        <w:rPr>
          <w:rFonts w:ascii="仿宋" w:hAnsi="仿宋" w:eastAsia="仿宋" w:cs="Times New Roman"/>
          <w:b/>
        </w:rPr>
      </w:pPr>
      <w:r>
        <w:rPr>
          <w:rFonts w:ascii="仿宋" w:hAnsi="仿宋" w:eastAsia="仿宋" w:cs="Times New Roman"/>
          <w:b/>
        </w:rPr>
        <w:t>（二）投标文件有效期</w:t>
      </w:r>
    </w:p>
    <w:p w14:paraId="743829D0">
      <w:pPr>
        <w:spacing w:line="500" w:lineRule="exact"/>
        <w:ind w:firstLine="566" w:firstLineChars="200"/>
        <w:rPr>
          <w:rFonts w:ascii="仿宋" w:hAnsi="仿宋" w:eastAsia="仿宋" w:cs="Times New Roman"/>
        </w:rPr>
      </w:pPr>
      <w:r>
        <w:rPr>
          <w:rFonts w:ascii="仿宋" w:hAnsi="仿宋" w:eastAsia="仿宋" w:cs="Times New Roman"/>
        </w:rPr>
        <w:t>投标文件有效期为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。如中标，延长至合同执行完毕时止。</w:t>
      </w:r>
    </w:p>
    <w:p w14:paraId="5DCB553A">
      <w:pPr>
        <w:spacing w:line="500" w:lineRule="exact"/>
        <w:ind w:firstLine="566" w:firstLineChars="200"/>
        <w:outlineLvl w:val="2"/>
        <w:rPr>
          <w:rFonts w:ascii="仿宋" w:hAnsi="仿宋" w:eastAsia="仿宋" w:cs="Times New Roman"/>
          <w:b/>
        </w:rPr>
      </w:pPr>
      <w:r>
        <w:rPr>
          <w:rFonts w:ascii="仿宋" w:hAnsi="仿宋" w:eastAsia="仿宋" w:cs="Times New Roman"/>
          <w:b/>
        </w:rPr>
        <w:t>（三）投标文件的提交</w:t>
      </w:r>
    </w:p>
    <w:p w14:paraId="5AE8D844">
      <w:pPr>
        <w:spacing w:line="500" w:lineRule="exact"/>
        <w:ind w:firstLine="566" w:firstLineChars="200"/>
        <w:rPr>
          <w:rFonts w:ascii="仿宋" w:hAnsi="仿宋" w:eastAsia="仿宋" w:cs="Times New Roman"/>
        </w:rPr>
      </w:pPr>
      <w:r>
        <w:rPr>
          <w:rFonts w:ascii="仿宋" w:hAnsi="仿宋" w:eastAsia="仿宋" w:cs="Times New Roman"/>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619590BF">
      <w:pPr>
        <w:spacing w:line="500" w:lineRule="exact"/>
        <w:ind w:firstLine="566" w:firstLineChars="200"/>
        <w:outlineLvl w:val="2"/>
        <w:rPr>
          <w:rFonts w:ascii="仿宋" w:hAnsi="仿宋" w:eastAsia="仿宋" w:cs="Times New Roman"/>
          <w:b/>
        </w:rPr>
      </w:pPr>
      <w:r>
        <w:rPr>
          <w:rFonts w:ascii="仿宋" w:hAnsi="仿宋" w:eastAsia="仿宋" w:cs="Times New Roman"/>
          <w:b/>
        </w:rPr>
        <w:t>（四）投标文件的补充、修改和撤回</w:t>
      </w:r>
    </w:p>
    <w:p w14:paraId="0A857A75">
      <w:pPr>
        <w:spacing w:line="500" w:lineRule="exact"/>
        <w:ind w:firstLine="566" w:firstLineChars="200"/>
        <w:rPr>
          <w:rFonts w:ascii="仿宋" w:hAnsi="仿宋" w:eastAsia="仿宋" w:cs="Times New Roman"/>
        </w:rPr>
      </w:pPr>
      <w:r>
        <w:rPr>
          <w:rFonts w:ascii="仿宋" w:hAnsi="仿宋" w:eastAsia="仿宋" w:cs="Times New Roman"/>
        </w:rPr>
        <w:t>1、投标人在递交投标文件后，且在提交投标文件截止时间前，可以对所提交的投标文件进行补充、修改或撤回。</w:t>
      </w:r>
    </w:p>
    <w:p w14:paraId="4FF420E9">
      <w:pPr>
        <w:pStyle w:val="87"/>
        <w:numPr>
          <w:ilvl w:val="0"/>
          <w:numId w:val="1"/>
        </w:numPr>
        <w:spacing w:line="500" w:lineRule="exact"/>
        <w:ind w:firstLine="560"/>
        <w:rPr>
          <w:rFonts w:ascii="仿宋" w:hAnsi="仿宋" w:eastAsia="仿宋"/>
        </w:rPr>
      </w:pPr>
      <w:r>
        <w:rPr>
          <w:rFonts w:ascii="仿宋" w:hAnsi="仿宋" w:eastAsia="仿宋"/>
        </w:rPr>
        <w:t xml:space="preserve">对电子投标文件进行补充、修改的，应先从电子交易平台上撤回旧 版，再重新提交新版。 </w:t>
      </w:r>
    </w:p>
    <w:p w14:paraId="76D5E083">
      <w:pPr>
        <w:pStyle w:val="87"/>
        <w:numPr>
          <w:ilvl w:val="0"/>
          <w:numId w:val="1"/>
        </w:numPr>
        <w:spacing w:line="500" w:lineRule="exact"/>
        <w:ind w:firstLine="560"/>
        <w:rPr>
          <w:rFonts w:ascii="仿宋" w:hAnsi="仿宋" w:eastAsia="仿宋"/>
        </w:rPr>
      </w:pPr>
      <w:r>
        <w:rPr>
          <w:rFonts w:ascii="仿宋" w:hAnsi="仿宋" w:eastAsia="仿宋"/>
        </w:rPr>
        <w:t>投标文件提交截止时间后，投标人不得对其投标文件做任何修改。</w:t>
      </w:r>
    </w:p>
    <w:p w14:paraId="5EBD60C1">
      <w:pPr>
        <w:spacing w:line="500" w:lineRule="exact"/>
        <w:ind w:firstLine="566" w:firstLineChars="200"/>
        <w:outlineLvl w:val="2"/>
        <w:rPr>
          <w:rFonts w:ascii="仿宋" w:hAnsi="仿宋" w:eastAsia="仿宋" w:cs="Times New Roman"/>
          <w:b/>
        </w:rPr>
      </w:pPr>
      <w:r>
        <w:rPr>
          <w:rFonts w:ascii="仿宋" w:hAnsi="仿宋" w:eastAsia="仿宋" w:cs="Times New Roman"/>
          <w:b/>
        </w:rPr>
        <w:t>（五）投标人出现下列情况之一的，其投标文件视为无效文件：</w:t>
      </w:r>
    </w:p>
    <w:p w14:paraId="302A8374">
      <w:pPr>
        <w:spacing w:line="500" w:lineRule="exact"/>
        <w:ind w:firstLine="566" w:firstLineChars="200"/>
        <w:rPr>
          <w:rFonts w:ascii="仿宋" w:hAnsi="仿宋" w:eastAsia="仿宋" w:cs="Times New Roman"/>
        </w:rPr>
      </w:pPr>
      <w:r>
        <w:rPr>
          <w:rFonts w:ascii="仿宋" w:hAnsi="仿宋" w:eastAsia="仿宋" w:cs="Times New Roman"/>
        </w:rPr>
        <w:t>1、逾期提交电子投标文件；</w:t>
      </w:r>
    </w:p>
    <w:p w14:paraId="39CBEA02">
      <w:pPr>
        <w:spacing w:line="500" w:lineRule="exact"/>
        <w:ind w:firstLine="566" w:firstLineChars="200"/>
        <w:rPr>
          <w:rFonts w:ascii="仿宋" w:hAnsi="仿宋" w:eastAsia="仿宋" w:cs="Times New Roman"/>
        </w:rPr>
      </w:pPr>
      <w:r>
        <w:rPr>
          <w:rFonts w:ascii="仿宋" w:hAnsi="仿宋" w:eastAsia="仿宋" w:cs="Times New Roman"/>
        </w:rPr>
        <w:t>2、提交的投标文件与本项目不相符；</w:t>
      </w:r>
    </w:p>
    <w:p w14:paraId="4A292090">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、投标人拒绝对电子投标文件进行解密；</w:t>
      </w:r>
    </w:p>
    <w:p w14:paraId="01A0BFE0">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、因投标人自身原因（</w:t>
      </w:r>
      <w:r>
        <w:rPr>
          <w:rFonts w:hint="eastAsia" w:ascii="仿宋" w:hAnsi="仿宋" w:eastAsia="仿宋" w:cs="Times New Roman"/>
        </w:rPr>
        <w:t>如在榆林市不见面开标大厅投标截止时间前未签到</w:t>
      </w:r>
      <w:r>
        <w:rPr>
          <w:rFonts w:ascii="仿宋" w:hAnsi="仿宋" w:eastAsia="仿宋" w:cs="Times New Roman"/>
        </w:rPr>
        <w:t>、</w:t>
      </w:r>
      <w:r>
        <w:rPr>
          <w:rFonts w:hint="eastAsia" w:ascii="仿宋" w:hAnsi="仿宋" w:eastAsia="仿宋" w:cs="Times New Roman"/>
        </w:rPr>
        <w:t>供应商网络设备故障</w:t>
      </w:r>
      <w:r>
        <w:rPr>
          <w:rFonts w:ascii="仿宋" w:hAnsi="仿宋" w:eastAsia="仿宋" w:cs="Times New Roman"/>
        </w:rPr>
        <w:t>或沿用旧版招标文件编制投标文件等情形），导致在规定时间内无法解密投标文件；</w:t>
      </w:r>
    </w:p>
    <w:p w14:paraId="2111293A">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、上传的电子投标文件无法打开</w:t>
      </w:r>
      <w:r>
        <w:rPr>
          <w:rFonts w:hint="eastAsia" w:ascii="仿宋" w:hAnsi="仿宋" w:eastAsia="仿宋" w:cs="Times New Roman"/>
        </w:rPr>
        <w:t>。</w:t>
      </w:r>
    </w:p>
    <w:p w14:paraId="7A07CBE3">
      <w:pPr>
        <w:pStyle w:val="29"/>
        <w:spacing w:line="500" w:lineRule="exact"/>
        <w:ind w:firstLine="566" w:firstLineChars="200"/>
        <w:outlineLvl w:val="1"/>
        <w:rPr>
          <w:rFonts w:ascii="仿宋" w:hAnsi="仿宋" w:eastAsia="仿宋" w:cs="Times New Roman"/>
          <w:b/>
          <w:sz w:val="28"/>
          <w:szCs w:val="28"/>
        </w:rPr>
      </w:pPr>
      <w:bookmarkStart w:id="96" w:name="_Toc14082125"/>
      <w:bookmarkStart w:id="97" w:name="_Toc48834162"/>
      <w:bookmarkStart w:id="98" w:name="_Toc48834530"/>
      <w:bookmarkStart w:id="99" w:name="_Toc48834289"/>
      <w:bookmarkStart w:id="100" w:name="_Toc48834092"/>
      <w:bookmarkStart w:id="101" w:name="_Toc48834451"/>
      <w:bookmarkStart w:id="102" w:name="_Toc21349"/>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96"/>
      <w:bookmarkEnd w:id="97"/>
      <w:bookmarkEnd w:id="98"/>
      <w:bookmarkEnd w:id="99"/>
      <w:bookmarkEnd w:id="100"/>
      <w:bookmarkEnd w:id="101"/>
      <w:bookmarkEnd w:id="102"/>
    </w:p>
    <w:p w14:paraId="6EBE0126">
      <w:pPr>
        <w:spacing w:line="500" w:lineRule="exact"/>
        <w:ind w:firstLine="566" w:firstLineChars="200"/>
        <w:rPr>
          <w:rFonts w:ascii="仿宋" w:hAnsi="仿宋" w:eastAsia="仿宋" w:cs="Times New Roman"/>
        </w:rPr>
      </w:pPr>
      <w:r>
        <w:rPr>
          <w:rFonts w:ascii="仿宋" w:hAnsi="仿宋" w:eastAsia="仿宋" w:cs="Times New Roman"/>
        </w:rPr>
        <w:t>（一）市采购中心组织招标、开标、评标工作，整个过程受政府采购监管机构的监督、管理。</w:t>
      </w:r>
    </w:p>
    <w:p w14:paraId="0D3FA256">
      <w:pPr>
        <w:spacing w:line="500" w:lineRule="exact"/>
        <w:ind w:firstLine="566" w:firstLineChars="200"/>
        <w:rPr>
          <w:rFonts w:ascii="仿宋" w:hAnsi="仿宋" w:eastAsia="仿宋" w:cs="Times New Roman"/>
        </w:rPr>
      </w:pPr>
      <w:r>
        <w:rPr>
          <w:rFonts w:ascii="仿宋" w:hAnsi="仿宋" w:eastAsia="仿宋" w:cs="Times New Roman"/>
        </w:rPr>
        <w:t>（二）市采购中心在</w:t>
      </w:r>
      <w:r>
        <w:rPr>
          <w:rFonts w:hint="eastAsia" w:ascii="仿宋" w:hAnsi="仿宋" w:eastAsia="仿宋" w:cs="Times New Roman"/>
        </w:rPr>
        <w:t>招标文件</w:t>
      </w:r>
      <w:r>
        <w:rPr>
          <w:rFonts w:ascii="仿宋" w:hAnsi="仿宋" w:eastAsia="仿宋" w:cs="Times New Roman"/>
        </w:rPr>
        <w:t>规定的时间和地点组织开标，</w:t>
      </w:r>
      <w:r>
        <w:rPr>
          <w:rFonts w:hint="eastAsia" w:ascii="仿宋" w:hAnsi="仿宋" w:eastAsia="仿宋" w:cs="Times New Roman"/>
        </w:rPr>
        <w:t>投标人必须在榆林市不见面开标大厅系统签名报到。</w:t>
      </w:r>
    </w:p>
    <w:p w14:paraId="7AA4BD14">
      <w:pPr>
        <w:spacing w:line="500" w:lineRule="exact"/>
        <w:ind w:firstLine="566" w:firstLineChars="200"/>
        <w:rPr>
          <w:rFonts w:ascii="仿宋" w:hAnsi="仿宋" w:eastAsia="仿宋" w:cs="Times New Roman"/>
          <w:b/>
          <w:bCs/>
        </w:rPr>
      </w:pPr>
      <w:r>
        <w:rPr>
          <w:rFonts w:hint="eastAsia" w:ascii="仿宋" w:hAnsi="仿宋" w:eastAsia="仿宋" w:cs="Times New Roman"/>
        </w:rPr>
        <w:t xml:space="preserve"> </w:t>
      </w:r>
      <w:r>
        <w:rPr>
          <w:rFonts w:ascii="仿宋" w:hAnsi="仿宋" w:eastAsia="仿宋" w:cs="Times New Roman"/>
        </w:rPr>
        <w:t>投标人不足3家的，不得开标。</w:t>
      </w:r>
    </w:p>
    <w:p w14:paraId="35391744">
      <w:pPr>
        <w:spacing w:line="500" w:lineRule="exact"/>
        <w:ind w:firstLine="566" w:firstLineChars="200"/>
        <w:rPr>
          <w:rFonts w:ascii="仿宋" w:hAnsi="仿宋" w:eastAsia="仿宋" w:cs="Times New Roman"/>
        </w:rPr>
      </w:pPr>
      <w:r>
        <w:rPr>
          <w:rFonts w:ascii="仿宋" w:hAnsi="仿宋" w:eastAsia="仿宋" w:cs="Times New Roman"/>
        </w:rPr>
        <w:t>（三）开标时，投标人应在规定时间内，</w:t>
      </w:r>
      <w:r>
        <w:rPr>
          <w:rFonts w:hint="eastAsia" w:ascii="仿宋" w:hAnsi="仿宋" w:eastAsia="仿宋" w:cs="Times New Roman"/>
        </w:rPr>
        <w:t>在榆林市不见面开标大厅系统解密电子投标文件</w:t>
      </w:r>
      <w:r>
        <w:rPr>
          <w:rFonts w:ascii="仿宋" w:hAnsi="仿宋" w:eastAsia="仿宋" w:cs="Times New Roman"/>
        </w:rPr>
        <w:t>。</w:t>
      </w:r>
    </w:p>
    <w:p w14:paraId="6F4CFCA2">
      <w:pPr>
        <w:spacing w:line="500" w:lineRule="exact"/>
        <w:ind w:firstLine="566" w:firstLineChars="200"/>
        <w:rPr>
          <w:rFonts w:ascii="仿宋" w:hAnsi="仿宋" w:eastAsia="仿宋" w:cs="Times New Roman"/>
        </w:rPr>
      </w:pPr>
      <w:r>
        <w:rPr>
          <w:rFonts w:ascii="仿宋" w:hAnsi="仿宋" w:eastAsia="仿宋" w:cs="Times New Roman"/>
        </w:rPr>
        <w:t>（四）开标</w:t>
      </w:r>
      <w:r>
        <w:rPr>
          <w:rFonts w:hint="eastAsia" w:ascii="仿宋" w:hAnsi="仿宋" w:eastAsia="仿宋" w:cs="Times New Roman"/>
        </w:rPr>
        <w:t>会议记录</w:t>
      </w:r>
      <w:r>
        <w:rPr>
          <w:rFonts w:ascii="仿宋" w:hAnsi="仿宋" w:eastAsia="仿宋" w:cs="Times New Roman"/>
        </w:rPr>
        <w:t>由市采购中心</w:t>
      </w:r>
      <w:r>
        <w:rPr>
          <w:rFonts w:hint="eastAsia" w:ascii="仿宋" w:hAnsi="仿宋" w:eastAsia="仿宋" w:cs="Times New Roman"/>
        </w:rPr>
        <w:t>工作人员</w:t>
      </w:r>
      <w:r>
        <w:rPr>
          <w:rFonts w:ascii="仿宋" w:hAnsi="仿宋" w:eastAsia="仿宋" w:cs="Times New Roman"/>
        </w:rPr>
        <w:t>记录，</w:t>
      </w:r>
      <w:r>
        <w:rPr>
          <w:rFonts w:hint="eastAsia" w:ascii="仿宋" w:hAnsi="仿宋" w:eastAsia="仿宋" w:cs="Times New Roman"/>
        </w:rPr>
        <w:t>参加开标的各供应商在规定时间内在榆林市不见面开标大厅系统签到，参加开标的采购人及市采购中心工作人员签到，所有资料</w:t>
      </w:r>
      <w:r>
        <w:rPr>
          <w:rFonts w:ascii="仿宋" w:hAnsi="仿宋" w:eastAsia="仿宋" w:cs="Times New Roman"/>
        </w:rPr>
        <w:t>随招标文件一并存档。</w:t>
      </w:r>
    </w:p>
    <w:p w14:paraId="69F12EC7">
      <w:pPr>
        <w:spacing w:line="500" w:lineRule="exact"/>
        <w:ind w:firstLine="566" w:firstLineChars="200"/>
        <w:rPr>
          <w:rFonts w:ascii="仿宋" w:hAnsi="仿宋" w:eastAsia="仿宋" w:cs="Times New Roman"/>
        </w:rPr>
      </w:pPr>
      <w:r>
        <w:rPr>
          <w:rFonts w:ascii="仿宋" w:hAnsi="仿宋" w:eastAsia="仿宋" w:cs="Times New Roman"/>
        </w:rPr>
        <w:t>（五）投标人对开标过程和开标记录有疑义，以及认为采购人、市采购中心相关工作人员有需要回避情形的，应在开标大厅提出询问或回避申请，采购人、市采购中心应当及时处理。</w:t>
      </w:r>
    </w:p>
    <w:p w14:paraId="611B66E8">
      <w:pPr>
        <w:spacing w:line="500" w:lineRule="exact"/>
        <w:ind w:firstLine="566" w:firstLineChars="200"/>
        <w:rPr>
          <w:rFonts w:ascii="仿宋" w:hAnsi="仿宋" w:eastAsia="仿宋" w:cs="Times New Roman"/>
        </w:rPr>
      </w:pPr>
      <w:r>
        <w:rPr>
          <w:rFonts w:ascii="仿宋" w:hAnsi="仿宋" w:eastAsia="仿宋" w:cs="Times New Roman"/>
        </w:rPr>
        <w:t>（六）投标人未参加开标的，视同认可开标结果。</w:t>
      </w:r>
    </w:p>
    <w:p w14:paraId="3EC9AE38">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14:paraId="54655615">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14:paraId="50DFCFAC">
      <w:pPr>
        <w:pStyle w:val="29"/>
        <w:spacing w:line="500" w:lineRule="exact"/>
        <w:ind w:firstLine="566" w:firstLineChars="200"/>
        <w:outlineLvl w:val="1"/>
        <w:rPr>
          <w:rFonts w:ascii="仿宋" w:hAnsi="仿宋" w:eastAsia="仿宋" w:cs="Times New Roman"/>
          <w:b/>
          <w:sz w:val="28"/>
          <w:szCs w:val="28"/>
        </w:rPr>
      </w:pPr>
      <w:bookmarkStart w:id="103" w:name="_Toc26927"/>
      <w:bookmarkStart w:id="104" w:name="_Toc48834093"/>
      <w:bookmarkStart w:id="105" w:name="_Toc14082126"/>
      <w:bookmarkStart w:id="106" w:name="_Toc48834531"/>
      <w:bookmarkStart w:id="107" w:name="_Toc48834163"/>
      <w:bookmarkStart w:id="108" w:name="_Toc48834452"/>
      <w:bookmarkStart w:id="109" w:name="_Toc48834290"/>
      <w:bookmarkStart w:id="110" w:name="_Toc48834292"/>
      <w:bookmarkStart w:id="111" w:name="_Toc48834454"/>
      <w:bookmarkStart w:id="112" w:name="_Toc48834165"/>
      <w:bookmarkStart w:id="113" w:name="_Toc14917"/>
      <w:bookmarkStart w:id="114" w:name="_Toc48834095"/>
      <w:bookmarkStart w:id="115" w:name="_Toc48834533"/>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3"/>
      <w:bookmarkEnd w:id="104"/>
      <w:bookmarkEnd w:id="105"/>
      <w:bookmarkEnd w:id="106"/>
      <w:bookmarkEnd w:id="107"/>
      <w:bookmarkEnd w:id="108"/>
      <w:bookmarkEnd w:id="109"/>
    </w:p>
    <w:p w14:paraId="48A6C47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开标结束后，由采购人代表依法对投标人的资格证明文件进行审查，投标人无需提供纸质材料，需在投标文件中提供相关证明材料复印件加盖公章。未通过资格审查的投标人其投标文件将被视为无效。</w:t>
      </w:r>
    </w:p>
    <w:p w14:paraId="6731DF26">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1、满足《中华人民共和国政府采购法》第二十二条规定。</w:t>
      </w:r>
    </w:p>
    <w:p w14:paraId="53E9B03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2、本项目的特定资格要求：</w:t>
      </w:r>
    </w:p>
    <w:p w14:paraId="43C1BD72">
      <w:pPr>
        <w:autoSpaceDE w:val="0"/>
        <w:autoSpaceDN w:val="0"/>
        <w:adjustRightInd w:val="0"/>
        <w:snapToGrid w:val="0"/>
        <w:spacing w:line="500" w:lineRule="exact"/>
        <w:ind w:firstLine="574" w:firstLineChars="200"/>
        <w:rPr>
          <w:rFonts w:hint="eastAsia" w:ascii="仿宋" w:hAnsi="仿宋" w:eastAsia="仿宋" w:cs="仿宋"/>
          <w:spacing w:val="2"/>
          <w:kern w:val="0"/>
          <w:lang w:eastAsia="zh-CN"/>
        </w:rPr>
      </w:pPr>
      <w:r>
        <w:rPr>
          <w:rFonts w:hint="eastAsia" w:ascii="仿宋" w:hAnsi="仿宋" w:eastAsia="仿宋" w:cs="仿宋"/>
          <w:spacing w:val="2"/>
          <w:kern w:val="0"/>
          <w:lang w:eastAsia="zh-CN"/>
        </w:rPr>
        <w:t>一标段：</w:t>
      </w:r>
    </w:p>
    <w:p w14:paraId="0BFFE3B4">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57D98A5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51038F4">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8C99EAD">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5D40F718">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二标段：</w:t>
      </w:r>
    </w:p>
    <w:p w14:paraId="41AADC70">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46B4622">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53A25735">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66159223">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BAA1707">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拟派本项目总监理工程师为供应商本单位人员，具有信息系统监理师证书</w:t>
      </w:r>
      <w:r>
        <w:rPr>
          <w:rFonts w:hint="eastAsia" w:ascii="仿宋" w:hAnsi="仿宋" w:eastAsia="仿宋" w:cs="Times New Roman"/>
          <w:lang w:eastAsia="zh-CN"/>
        </w:rPr>
        <w:t>。</w:t>
      </w:r>
    </w:p>
    <w:p w14:paraId="2769027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三标段：</w:t>
      </w:r>
    </w:p>
    <w:p w14:paraId="1C87E907">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5C67278A">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2C223EAB">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5FBBE15B">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49D76E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供应商应具备公安部第三研究所认证的《网络安全服务认证证书等级保护测评服务认证》或《网络安全等级测评与检测评估机构服务认证证书》</w:t>
      </w:r>
      <w:r>
        <w:rPr>
          <w:rFonts w:hint="eastAsia" w:ascii="仿宋" w:hAnsi="仿宋" w:eastAsia="仿宋" w:cs="Times New Roman"/>
          <w:lang w:eastAsia="zh-CN"/>
        </w:rPr>
        <w:t>。</w:t>
      </w:r>
    </w:p>
    <w:p w14:paraId="472619E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四标段：</w:t>
      </w:r>
    </w:p>
    <w:p w14:paraId="22CCD2A8">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71EB18DD">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77A6139A">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7AC01DD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25C20B2A">
      <w:pPr>
        <w:spacing w:line="500" w:lineRule="exact"/>
        <w:ind w:firstLine="566" w:firstLineChars="200"/>
        <w:rPr>
          <w:rFonts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投标人须具备商用密码检测机构资质证书</w:t>
      </w:r>
      <w:r>
        <w:rPr>
          <w:rFonts w:hint="eastAsia" w:ascii="仿宋" w:hAnsi="仿宋" w:eastAsia="仿宋" w:cs="Times New Roman"/>
          <w:lang w:eastAsia="zh-CN"/>
        </w:rPr>
        <w:t>。</w:t>
      </w:r>
    </w:p>
    <w:p w14:paraId="7474E362">
      <w:pPr>
        <w:spacing w:line="500" w:lineRule="exact"/>
        <w:ind w:firstLine="566" w:firstLineChars="200"/>
        <w:rPr>
          <w:rFonts w:ascii="仿宋" w:hAnsi="仿宋" w:eastAsia="仿宋" w:cs="Times New Roman"/>
          <w:b/>
        </w:rPr>
      </w:pPr>
      <w:r>
        <w:rPr>
          <w:rFonts w:hint="eastAsia" w:ascii="仿宋" w:hAnsi="仿宋" w:eastAsia="仿宋" w:cs="Times New Roman"/>
          <w:b/>
        </w:rPr>
        <w:t>通过资格审查的</w:t>
      </w:r>
      <w:r>
        <w:rPr>
          <w:rFonts w:ascii="仿宋" w:hAnsi="仿宋" w:eastAsia="仿宋" w:cs="Times New Roman"/>
          <w:b/>
        </w:rPr>
        <w:t>投标人不足3家的，不得评标。</w:t>
      </w:r>
    </w:p>
    <w:p w14:paraId="18DDF934">
      <w:pPr>
        <w:pStyle w:val="29"/>
        <w:spacing w:line="500" w:lineRule="exact"/>
        <w:ind w:firstLine="566" w:firstLineChars="200"/>
        <w:outlineLvl w:val="1"/>
        <w:rPr>
          <w:rFonts w:ascii="仿宋" w:hAnsi="仿宋" w:eastAsia="仿宋" w:cs="Times New Roman"/>
          <w:b/>
          <w:sz w:val="28"/>
          <w:szCs w:val="28"/>
        </w:rPr>
      </w:pPr>
      <w:bookmarkStart w:id="116" w:name="_Toc48834532"/>
      <w:bookmarkStart w:id="117" w:name="_Toc48834291"/>
      <w:bookmarkStart w:id="118" w:name="_Toc48834094"/>
      <w:bookmarkStart w:id="119" w:name="_Toc48834453"/>
      <w:bookmarkStart w:id="120" w:name="_Toc23906"/>
      <w:bookmarkStart w:id="121" w:name="_Toc48834164"/>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6"/>
      <w:bookmarkEnd w:id="117"/>
      <w:bookmarkEnd w:id="118"/>
      <w:bookmarkEnd w:id="119"/>
      <w:bookmarkEnd w:id="120"/>
      <w:bookmarkEnd w:id="121"/>
    </w:p>
    <w:p w14:paraId="213E07F8">
      <w:pPr>
        <w:spacing w:line="500" w:lineRule="exact"/>
        <w:ind w:firstLine="566" w:firstLineChars="200"/>
        <w:outlineLvl w:val="2"/>
        <w:rPr>
          <w:rFonts w:ascii="仿宋" w:hAnsi="仿宋" w:eastAsia="仿宋" w:cs="Times New Roman"/>
          <w:b/>
        </w:rPr>
      </w:pPr>
      <w:bookmarkStart w:id="122" w:name="_Toc30503"/>
      <w:bookmarkStart w:id="123" w:name="_Toc19349"/>
      <w:bookmarkStart w:id="124" w:name="_Toc9950"/>
      <w:bookmarkStart w:id="125" w:name="_Toc31809"/>
      <w:r>
        <w:rPr>
          <w:rFonts w:ascii="仿宋" w:hAnsi="仿宋" w:eastAsia="仿宋" w:cs="Times New Roman"/>
          <w:b/>
        </w:rPr>
        <w:t>（一）采购代理机构负责组织评标工作，并履行下列职责：</w:t>
      </w:r>
      <w:bookmarkEnd w:id="122"/>
      <w:bookmarkEnd w:id="123"/>
      <w:bookmarkEnd w:id="124"/>
      <w:bookmarkEnd w:id="125"/>
    </w:p>
    <w:p w14:paraId="73BC558B">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14:paraId="1F878C1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14:paraId="642E8127">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3、公布投标人名单，告知评审专家应当回避的情形;</w:t>
      </w:r>
    </w:p>
    <w:p w14:paraId="4444E41D">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4、组织评标委员会推选评标组长，采购人代表不得担任组长;</w:t>
      </w:r>
    </w:p>
    <w:p w14:paraId="767A753E">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14:paraId="4C0E1A5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6、根据评标委员会的要求介绍政府采购相关政策法规、招标文件;</w:t>
      </w:r>
    </w:p>
    <w:p w14:paraId="4FA41593">
      <w:pPr>
        <w:pStyle w:val="26"/>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7、维护评标秩序，监督评标委员会依</w:t>
      </w:r>
      <w:r>
        <w:rPr>
          <w:rFonts w:ascii="仿宋" w:hAnsi="仿宋" w:eastAsia="仿宋"/>
          <w:sz w:val="28"/>
          <w:shd w:val="clear" w:color="auto" w:fill="FFFFFF"/>
        </w:rPr>
        <w:t>照招标文件规定的评标程序、方法和标准进行独立评审，及时制止和纠正采购人代表、评审专家的倾向性言论或者违法违规行为;</w:t>
      </w:r>
    </w:p>
    <w:p w14:paraId="46278D9F">
      <w:pPr>
        <w:pStyle w:val="26"/>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14:paraId="04EAB47E">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14:paraId="511ADBC0">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14:paraId="4BD66B2A">
      <w:pPr>
        <w:spacing w:line="500" w:lineRule="exact"/>
        <w:ind w:firstLine="566" w:firstLineChars="200"/>
        <w:outlineLvl w:val="2"/>
        <w:rPr>
          <w:rFonts w:ascii="仿宋" w:hAnsi="仿宋" w:eastAsia="仿宋" w:cs="Times New Roman"/>
        </w:rPr>
      </w:pPr>
      <w:bookmarkStart w:id="126" w:name="_Toc21732"/>
      <w:bookmarkStart w:id="127" w:name="_Toc14136"/>
      <w:bookmarkStart w:id="128" w:name="_Toc27001"/>
      <w:bookmarkStart w:id="129" w:name="_Toc6679"/>
      <w:r>
        <w:rPr>
          <w:rFonts w:ascii="仿宋" w:hAnsi="仿宋" w:eastAsia="仿宋" w:cs="Times New Roman"/>
          <w:b/>
        </w:rPr>
        <w:t>（二）评标委员会负责具体评标事务，并独立履行下列职责：</w:t>
      </w:r>
      <w:bookmarkEnd w:id="126"/>
      <w:bookmarkEnd w:id="127"/>
      <w:bookmarkEnd w:id="128"/>
      <w:bookmarkEnd w:id="129"/>
    </w:p>
    <w:p w14:paraId="0A50D30E">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1、严格遵守评审工作纪律，按照客观、公正、审慎的原则，根据招标文件规定的评审程序、评审方法和评审标准进行独立评审；</w:t>
      </w:r>
    </w:p>
    <w:p w14:paraId="391C2F1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2、发现招标文件内容违反国家有关强制性规定或者招标文件存在歧义、重大缺陷导致评审工作无法进行时，应当停止评审并向采购人或者采购代理机构书面说明情况；</w:t>
      </w:r>
    </w:p>
    <w:p w14:paraId="55D185D7">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3、审查、评价投标文件是否符合招标文件的商务、技术等实质性要求；</w:t>
      </w:r>
    </w:p>
    <w:p w14:paraId="6372D85A">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4、要求投标人对投标文件有关事项做出澄清或者说明；</w:t>
      </w:r>
    </w:p>
    <w:p w14:paraId="5903B1AC">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5、对投标文件进行比较和评价；</w:t>
      </w:r>
    </w:p>
    <w:p w14:paraId="52D9E2F2">
      <w:pPr>
        <w:pStyle w:val="26"/>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6、确定中标候选人名单；</w:t>
      </w:r>
    </w:p>
    <w:p w14:paraId="72BDD995">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7、配合答复投标人的询问、质疑和投诉等事项,不得泄露评审文件、评审情况和在评审过程中获悉的商业秘密；</w:t>
      </w:r>
    </w:p>
    <w:p w14:paraId="5E02CDC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8、向采购人、采购代理机构或者有关部门报告评标中发现的违法行为。审查、评价投标文件是否符合招标文件的商务、技术等实质性要求。</w:t>
      </w:r>
    </w:p>
    <w:p w14:paraId="1A9D6967">
      <w:pPr>
        <w:pStyle w:val="26"/>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9、编写评标报告。</w:t>
      </w:r>
    </w:p>
    <w:p w14:paraId="1435EB2C">
      <w:pPr>
        <w:spacing w:line="500" w:lineRule="exact"/>
        <w:ind w:firstLine="566" w:firstLineChars="200"/>
        <w:outlineLvl w:val="2"/>
        <w:rPr>
          <w:rFonts w:ascii="仿宋" w:hAnsi="仿宋" w:eastAsia="仿宋" w:cs="Times New Roman"/>
        </w:rPr>
      </w:pPr>
      <w:bookmarkStart w:id="130" w:name="_Toc4951"/>
      <w:bookmarkStart w:id="131" w:name="_Toc29039"/>
      <w:bookmarkStart w:id="132" w:name="_Toc4434"/>
      <w:bookmarkStart w:id="133" w:name="_Toc932"/>
      <w:r>
        <w:rPr>
          <w:rFonts w:ascii="仿宋" w:hAnsi="仿宋" w:eastAsia="仿宋" w:cs="Times New Roman"/>
          <w:b/>
        </w:rPr>
        <w:t>（三）组建评标委员会</w:t>
      </w:r>
      <w:bookmarkEnd w:id="130"/>
      <w:bookmarkEnd w:id="131"/>
      <w:bookmarkEnd w:id="132"/>
      <w:bookmarkEnd w:id="133"/>
    </w:p>
    <w:p w14:paraId="3D8AC24C">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1、为了确保评标工作的公平、公正，依据政府采购法和政府采购相关法规、规章，成立评标委员会。</w:t>
      </w:r>
    </w:p>
    <w:p w14:paraId="75B335D9">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14:paraId="4486C870">
      <w:pPr>
        <w:spacing w:line="500" w:lineRule="exact"/>
        <w:ind w:firstLine="566" w:firstLineChars="200"/>
        <w:rPr>
          <w:rFonts w:ascii="仿宋" w:hAnsi="仿宋" w:eastAsia="仿宋" w:cs="Times New Roman"/>
        </w:rPr>
      </w:pPr>
      <w:r>
        <w:rPr>
          <w:rFonts w:ascii="仿宋" w:hAnsi="仿宋" w:eastAsia="仿宋" w:cs="Times New Roman"/>
        </w:rPr>
        <w:t>评标委员会成员名单在评标结果公告前应当保密。</w:t>
      </w:r>
    </w:p>
    <w:p w14:paraId="30173BEC">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752A35B7">
      <w:pPr>
        <w:spacing w:line="500" w:lineRule="exact"/>
        <w:ind w:firstLine="566" w:firstLineChars="200"/>
        <w:rPr>
          <w:rFonts w:ascii="仿宋" w:hAnsi="仿宋" w:eastAsia="仿宋" w:cs="Times New Roman"/>
        </w:rPr>
      </w:pPr>
      <w:r>
        <w:rPr>
          <w:rFonts w:ascii="仿宋" w:hAnsi="仿宋" w:eastAsia="仿宋" w:cs="Times New Roman"/>
        </w:rPr>
        <w:t>3、评标中因评标委员会成员缺席、回避或者健康等特殊原因导致评标委员会组成不符合规定的，市采购中心应当依法补足后继续评标。被更换的评标委员会成员所做出的评标意见无效。无法及时补足评标委员会成员的，市采购中心应当停止评标活动，封存所有投标文件和开标、评标资料，依法重新组建评标委员会进行评标。原评标委员会所做出的评标意见无效。</w:t>
      </w:r>
    </w:p>
    <w:p w14:paraId="16D34596">
      <w:pPr>
        <w:spacing w:line="500" w:lineRule="exact"/>
        <w:ind w:firstLine="566" w:firstLineChars="200"/>
        <w:outlineLvl w:val="2"/>
        <w:rPr>
          <w:rFonts w:ascii="仿宋" w:hAnsi="仿宋" w:eastAsia="仿宋" w:cs="Times New Roman"/>
        </w:rPr>
      </w:pPr>
      <w:bookmarkStart w:id="134" w:name="_Toc3980"/>
      <w:bookmarkStart w:id="135" w:name="_Toc21681"/>
      <w:bookmarkStart w:id="136" w:name="_Toc23735"/>
      <w:bookmarkStart w:id="137" w:name="_Toc19340"/>
      <w:r>
        <w:rPr>
          <w:rFonts w:ascii="仿宋" w:hAnsi="仿宋" w:eastAsia="仿宋" w:cs="Times New Roman"/>
          <w:b/>
        </w:rPr>
        <w:t>（四）评标方法：本次评审采用综合评分法</w:t>
      </w:r>
      <w:bookmarkEnd w:id="134"/>
      <w:bookmarkEnd w:id="135"/>
      <w:bookmarkEnd w:id="136"/>
      <w:bookmarkEnd w:id="137"/>
    </w:p>
    <w:p w14:paraId="0F93D973">
      <w:pPr>
        <w:spacing w:line="500" w:lineRule="exact"/>
        <w:ind w:firstLine="526" w:firstLineChars="200"/>
        <w:rPr>
          <w:rFonts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ascii="仿宋" w:hAnsi="仿宋" w:eastAsia="仿宋" w:cs="Times New Roman"/>
        </w:rPr>
        <w:t>投标文件满足招标文件全部实质性要求，且按照评审因素的量化指标评审得分最高的投标人为中标候选人的评标方法</w:t>
      </w:r>
      <w:r>
        <w:rPr>
          <w:rFonts w:hint="eastAsia" w:ascii="仿宋" w:hAnsi="仿宋" w:eastAsia="仿宋" w:cs="Times New Roman"/>
        </w:rPr>
        <w:t>。</w:t>
      </w:r>
    </w:p>
    <w:p w14:paraId="325948BB">
      <w:pPr>
        <w:spacing w:line="500" w:lineRule="exact"/>
        <w:ind w:firstLine="566" w:firstLineChars="200"/>
        <w:outlineLvl w:val="2"/>
        <w:rPr>
          <w:rFonts w:ascii="仿宋" w:hAnsi="仿宋" w:eastAsia="仿宋" w:cs="Times New Roman"/>
          <w:b/>
        </w:rPr>
      </w:pPr>
      <w:bookmarkStart w:id="138" w:name="_Toc15709"/>
      <w:bookmarkStart w:id="139" w:name="_Toc52"/>
      <w:bookmarkStart w:id="140" w:name="_Toc25401"/>
      <w:bookmarkStart w:id="141" w:name="_Toc27146"/>
      <w:r>
        <w:rPr>
          <w:rFonts w:ascii="仿宋" w:hAnsi="仿宋" w:eastAsia="仿宋" w:cs="Times New Roman"/>
          <w:b/>
        </w:rPr>
        <w:t>（五）评标程序</w:t>
      </w:r>
      <w:bookmarkEnd w:id="138"/>
      <w:bookmarkEnd w:id="139"/>
      <w:bookmarkEnd w:id="140"/>
      <w:bookmarkEnd w:id="141"/>
    </w:p>
    <w:p w14:paraId="1B08D24B">
      <w:pPr>
        <w:spacing w:line="500" w:lineRule="exact"/>
        <w:ind w:firstLine="566" w:firstLineChars="200"/>
        <w:rPr>
          <w:rFonts w:ascii="仿宋" w:hAnsi="仿宋" w:eastAsia="仿宋" w:cs="Times New Roman"/>
        </w:rPr>
      </w:pPr>
      <w:r>
        <w:rPr>
          <w:rFonts w:ascii="仿宋" w:hAnsi="仿宋" w:eastAsia="仿宋" w:cs="Times New Roman"/>
        </w:rPr>
        <w:t>分步评审，每一步评审不符合招标文件要求者，不得进入下一步评审，全部评审合格的投标人，进入最后的打分，最后按得分由高向低排序，推荐中标候选投标人。</w:t>
      </w:r>
    </w:p>
    <w:p w14:paraId="6509ADF2">
      <w:pPr>
        <w:spacing w:line="500" w:lineRule="exact"/>
        <w:ind w:firstLine="566" w:firstLineChars="200"/>
        <w:rPr>
          <w:rFonts w:ascii="仿宋" w:hAnsi="仿宋" w:eastAsia="仿宋" w:cs="Times New Roman"/>
          <w:b/>
        </w:rPr>
      </w:pPr>
      <w:r>
        <w:rPr>
          <w:rFonts w:ascii="仿宋" w:hAnsi="仿宋" w:eastAsia="仿宋" w:cs="Times New Roman"/>
          <w:b/>
        </w:rPr>
        <w:t>1、投标文件的符合性审查</w:t>
      </w:r>
    </w:p>
    <w:p w14:paraId="43033E39">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依据招标文件的规定，对投标文件的有效性、完整性和对招标文件的响应程度进行审查，以确定是否对招标文件的全部实质性要求做出响应。</w:t>
      </w:r>
    </w:p>
    <w:p w14:paraId="493C531D">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2FDE1A79">
      <w:pPr>
        <w:spacing w:line="500" w:lineRule="exact"/>
        <w:ind w:firstLine="566" w:firstLineChars="200"/>
        <w:rPr>
          <w:rFonts w:ascii="仿宋" w:hAnsi="仿宋" w:eastAsia="仿宋" w:cs="Times New Roman"/>
          <w:b/>
        </w:rPr>
      </w:pPr>
      <w:r>
        <w:rPr>
          <w:rFonts w:ascii="仿宋" w:hAnsi="仿宋" w:eastAsia="仿宋" w:cs="Times New Roman"/>
          <w:b/>
        </w:rPr>
        <w:t>2、投标文件的澄清</w:t>
      </w:r>
    </w:p>
    <w:p w14:paraId="38ED0A48">
      <w:pPr>
        <w:spacing w:line="500" w:lineRule="exact"/>
        <w:ind w:firstLine="566" w:firstLineChars="200"/>
        <w:rPr>
          <w:rFonts w:ascii="仿宋" w:hAnsi="仿宋" w:eastAsia="仿宋" w:cs="Times New Roman"/>
        </w:rPr>
      </w:pPr>
      <w:r>
        <w:rPr>
          <w:rFonts w:ascii="仿宋" w:hAnsi="仿宋" w:eastAsia="仿宋" w:cs="Times New Roman"/>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258A53E5">
      <w:pPr>
        <w:spacing w:line="500" w:lineRule="exact"/>
        <w:ind w:firstLine="566" w:firstLineChars="200"/>
        <w:rPr>
          <w:rFonts w:ascii="仿宋" w:hAnsi="仿宋" w:eastAsia="仿宋" w:cs="Times New Roman"/>
        </w:rPr>
      </w:pPr>
      <w:r>
        <w:rPr>
          <w:rFonts w:ascii="仿宋" w:hAnsi="仿宋" w:eastAsia="仿宋" w:cs="Times New Roman"/>
        </w:rPr>
        <w:t>（2）依照民法中的过失责任原则，澄清、说明或补正前评标委员会将按最不利于投标投标人的原则对投标文件做出评判。</w:t>
      </w:r>
    </w:p>
    <w:p w14:paraId="53C838BE">
      <w:pPr>
        <w:spacing w:line="500" w:lineRule="exact"/>
        <w:ind w:firstLine="566" w:firstLineChars="200"/>
        <w:rPr>
          <w:rFonts w:ascii="仿宋" w:hAnsi="仿宋" w:eastAsia="仿宋" w:cs="Times New Roman"/>
          <w:b/>
          <w:bCs/>
        </w:rPr>
      </w:pPr>
      <w:r>
        <w:rPr>
          <w:rFonts w:ascii="仿宋" w:hAnsi="仿宋" w:eastAsia="仿宋" w:cs="Times New Roman"/>
        </w:rPr>
        <w:t>（3）评标委员会要求投标人澄清、说明或者补正投标文件应通过</w:t>
      </w:r>
      <w:r>
        <w:rPr>
          <w:rFonts w:hint="eastAsia" w:ascii="仿宋" w:hAnsi="仿宋" w:eastAsia="仿宋" w:cs="Times New Roman"/>
        </w:rPr>
        <w:t>不见面电子询标系统</w:t>
      </w:r>
      <w:r>
        <w:rPr>
          <w:rFonts w:ascii="仿宋" w:hAnsi="仿宋" w:eastAsia="仿宋" w:cs="Times New Roman"/>
        </w:rPr>
        <w:t>。投标人应当在规定的澄清时限内按评标委员会要求的方式提交。</w:t>
      </w:r>
    </w:p>
    <w:p w14:paraId="3799A187">
      <w:pPr>
        <w:spacing w:line="500" w:lineRule="exact"/>
        <w:ind w:firstLine="566" w:firstLineChars="200"/>
        <w:rPr>
          <w:rFonts w:ascii="仿宋" w:hAnsi="仿宋" w:eastAsia="仿宋" w:cs="Times New Roman"/>
        </w:rPr>
      </w:pPr>
      <w:r>
        <w:rPr>
          <w:rFonts w:ascii="仿宋" w:hAnsi="仿宋" w:eastAsia="仿宋" w:cs="Times New Roman"/>
        </w:rPr>
        <w:t>（4）投标人的澄清、说明或者补正不得超出投标文件的范围或者改变投标文件的实质性内容。澄清、说明或者补正的内容将作为</w:t>
      </w:r>
      <w:r>
        <w:rPr>
          <w:rFonts w:ascii="仿宋" w:hAnsi="仿宋" w:eastAsia="仿宋" w:cs="Times New Roman"/>
          <w:kern w:val="0"/>
        </w:rPr>
        <w:t>合同</w:t>
      </w:r>
      <w:r>
        <w:rPr>
          <w:rFonts w:ascii="仿宋" w:hAnsi="仿宋" w:eastAsia="仿宋" w:cs="Times New Roman"/>
        </w:rPr>
        <w:t>履行的重要依据。</w:t>
      </w:r>
    </w:p>
    <w:p w14:paraId="36F17F3B">
      <w:pPr>
        <w:spacing w:line="500" w:lineRule="exact"/>
        <w:ind w:firstLine="566" w:firstLineChars="200"/>
        <w:rPr>
          <w:rFonts w:ascii="仿宋" w:hAnsi="仿宋" w:eastAsia="仿宋" w:cs="Times New Roman"/>
          <w:b/>
        </w:rPr>
      </w:pPr>
      <w:r>
        <w:rPr>
          <w:rFonts w:ascii="仿宋" w:hAnsi="仿宋" w:eastAsia="仿宋" w:cs="Times New Roman"/>
          <w:b/>
        </w:rPr>
        <w:t>3、综合比较与评价</w:t>
      </w:r>
    </w:p>
    <w:p w14:paraId="4EA9BCC6">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按“评审要素及分值一览表”中规定的评标标准，对通过符合性和响应性审查的投标文件进行商务和技术评估，综合比较与评价。</w:t>
      </w:r>
    </w:p>
    <w:p w14:paraId="4A1A3378">
      <w:pPr>
        <w:spacing w:line="500" w:lineRule="exact"/>
        <w:ind w:firstLine="566" w:firstLineChars="200"/>
        <w:rPr>
          <w:rFonts w:ascii="仿宋" w:hAnsi="仿宋" w:eastAsia="仿宋" w:cs="Times New Roman"/>
        </w:rPr>
      </w:pPr>
      <w:r>
        <w:rPr>
          <w:rFonts w:hint="eastAsia" w:ascii="仿宋" w:hAnsi="仿宋" w:eastAsia="仿宋" w:cs="Times New Roman"/>
        </w:rPr>
        <w:t xml:space="preserve">对监狱企业、残疾人福利性单位（参照第二章《投标人须知》（三）落实的政府采购政策）提供的投标报价给予20%的价格扣除，用扣除后的价格参与评审排序，除此之外的其他情形均不适用本款规定。 </w:t>
      </w:r>
    </w:p>
    <w:p w14:paraId="2A9514D6">
      <w:pPr>
        <w:spacing w:line="500" w:lineRule="exact"/>
        <w:ind w:firstLine="566" w:firstLineChars="200"/>
        <w:rPr>
          <w:rFonts w:ascii="仿宋" w:hAnsi="仿宋" w:eastAsia="仿宋" w:cs="Times New Roman"/>
        </w:rPr>
      </w:pPr>
      <w:r>
        <w:rPr>
          <w:rFonts w:hint="eastAsia" w:ascii="仿宋" w:hAnsi="仿宋" w:eastAsia="仿宋" w:cs="Times New Roman"/>
        </w:rPr>
        <w:t>评标委员会应审查投标人是否具备“落实政府采购政策”的资格，如不符合相关文件要求或投标人未提供相关声明或证明材料，投标人不可以享受价格折扣优惠政策。</w:t>
      </w:r>
    </w:p>
    <w:p w14:paraId="45059EA5">
      <w:pPr>
        <w:spacing w:line="500" w:lineRule="exact"/>
        <w:ind w:firstLine="566" w:firstLineChars="200"/>
      </w:pPr>
      <w:r>
        <w:rPr>
          <w:rFonts w:hint="eastAsia" w:ascii="仿宋" w:hAnsi="仿宋" w:eastAsia="仿宋" w:cs="Times New Roman"/>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3E1E87E2">
      <w:pPr>
        <w:spacing w:line="500" w:lineRule="exact"/>
        <w:ind w:firstLine="566" w:firstLineChars="200"/>
        <w:rPr>
          <w:rFonts w:ascii="仿宋" w:hAnsi="仿宋" w:eastAsia="仿宋" w:cs="Times New Roman"/>
          <w:b/>
        </w:rPr>
      </w:pPr>
      <w:r>
        <w:rPr>
          <w:rFonts w:ascii="仿宋" w:hAnsi="仿宋" w:eastAsia="仿宋" w:cs="Times New Roman"/>
          <w:b/>
        </w:rPr>
        <w:t>4、推荐中标候选投标人</w:t>
      </w:r>
    </w:p>
    <w:p w14:paraId="10463041">
      <w:pPr>
        <w:spacing w:line="500" w:lineRule="exact"/>
        <w:ind w:firstLine="566" w:firstLineChars="200"/>
        <w:rPr>
          <w:rFonts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16E26D">
      <w:pPr>
        <w:spacing w:line="500" w:lineRule="exact"/>
        <w:ind w:firstLine="566" w:firstLineChars="200"/>
        <w:rPr>
          <w:rFonts w:ascii="仿宋" w:hAnsi="仿宋" w:eastAsia="仿宋" w:cs="Times New Roman"/>
          <w:b/>
        </w:rPr>
      </w:pPr>
      <w:r>
        <w:rPr>
          <w:rFonts w:ascii="仿宋" w:hAnsi="仿宋" w:eastAsia="仿宋" w:cs="Times New Roman"/>
          <w:b/>
        </w:rPr>
        <w:t>5、编写评标报告</w:t>
      </w:r>
    </w:p>
    <w:p w14:paraId="0C826928">
      <w:pPr>
        <w:spacing w:line="500" w:lineRule="exact"/>
        <w:ind w:firstLine="566" w:firstLineChars="200"/>
        <w:rPr>
          <w:rFonts w:ascii="仿宋" w:hAnsi="仿宋" w:eastAsia="仿宋" w:cs="Times New Roman"/>
        </w:rPr>
      </w:pPr>
      <w:r>
        <w:rPr>
          <w:rFonts w:hint="eastAsia" w:ascii="仿宋" w:hAnsi="仿宋" w:eastAsia="仿宋" w:cs="Times New Roman"/>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14:paraId="158DE021">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评标委员会成员对需要共同认定的事项存在争议的，应当按照少数服从多数的原则做出结论。持不同意见的评标委员会成员应当在评标报告上签署不同意见及理由，否则视为同意评标报告。对拒绝说明理由的，报</w:t>
      </w:r>
      <w:r>
        <w:rPr>
          <w:rFonts w:hint="eastAsia" w:ascii="仿宋" w:hAnsi="仿宋" w:eastAsia="仿宋" w:cs="Times New Roman"/>
        </w:rPr>
        <w:t>市财政局</w:t>
      </w:r>
      <w:r>
        <w:rPr>
          <w:rFonts w:ascii="仿宋" w:hAnsi="仿宋" w:eastAsia="仿宋" w:cs="Times New Roman"/>
        </w:rPr>
        <w:t>处理，并将其评审情况如实计入考核表。</w:t>
      </w:r>
    </w:p>
    <w:p w14:paraId="2D9C34C2">
      <w:pPr>
        <w:spacing w:line="500" w:lineRule="exact"/>
        <w:ind w:firstLine="566" w:firstLineChars="200"/>
        <w:rPr>
          <w:rFonts w:ascii="仿宋" w:hAnsi="仿宋" w:eastAsia="仿宋" w:cs="Times New Roman"/>
        </w:rPr>
      </w:pPr>
      <w:r>
        <w:rPr>
          <w:rFonts w:hint="eastAsia" w:ascii="仿宋" w:hAnsi="仿宋" w:eastAsia="仿宋" w:cs="Times New Roman"/>
        </w:rPr>
        <w:t>（3）除出现</w:t>
      </w:r>
      <w:r>
        <w:rPr>
          <w:rFonts w:ascii="仿宋" w:hAnsi="仿宋" w:eastAsia="仿宋" w:cs="Times New Roman"/>
        </w:rPr>
        <w:t>分值汇总计算错误</w:t>
      </w:r>
      <w:r>
        <w:rPr>
          <w:rFonts w:hint="eastAsia" w:ascii="仿宋" w:hAnsi="仿宋" w:eastAsia="仿宋" w:cs="Times New Roman"/>
        </w:rPr>
        <w:t>、</w:t>
      </w:r>
      <w:r>
        <w:rPr>
          <w:rFonts w:ascii="仿宋" w:hAnsi="仿宋" w:eastAsia="仿宋" w:cs="Times New Roman"/>
        </w:rPr>
        <w:t>分项评分超出评分标准范围</w:t>
      </w:r>
      <w:r>
        <w:rPr>
          <w:rFonts w:hint="eastAsia" w:ascii="仿宋" w:hAnsi="仿宋" w:eastAsia="仿宋" w:cs="Times New Roman"/>
        </w:rPr>
        <w:t>、</w:t>
      </w:r>
      <w:r>
        <w:rPr>
          <w:rFonts w:ascii="仿宋" w:hAnsi="仿宋" w:eastAsia="仿宋" w:cs="Times New Roman"/>
        </w:rPr>
        <w:t>评标委员会成员对客观评审因素评分不一致</w:t>
      </w:r>
      <w:r>
        <w:rPr>
          <w:rFonts w:hint="eastAsia" w:ascii="仿宋" w:hAnsi="仿宋" w:eastAsia="仿宋" w:cs="Times New Roman"/>
        </w:rPr>
        <w:t>、</w:t>
      </w:r>
      <w:r>
        <w:rPr>
          <w:rFonts w:ascii="仿宋" w:hAnsi="仿宋" w:eastAsia="仿宋" w:cs="Times New Roman"/>
        </w:rPr>
        <w:t>经评标委员会认定评分畸高畸低</w:t>
      </w:r>
      <w:r>
        <w:rPr>
          <w:rFonts w:hint="eastAsia" w:ascii="仿宋" w:hAnsi="仿宋" w:eastAsia="仿宋" w:cs="Times New Roman"/>
        </w:rPr>
        <w:t>的四种情况之一的以外，</w:t>
      </w:r>
      <w:r>
        <w:rPr>
          <w:rFonts w:ascii="仿宋" w:hAnsi="仿宋" w:eastAsia="仿宋" w:cs="Times New Roman"/>
        </w:rPr>
        <w:t>任何人不得修改评标结果</w:t>
      </w:r>
      <w:r>
        <w:rPr>
          <w:rFonts w:hint="eastAsia" w:ascii="仿宋" w:hAnsi="仿宋" w:eastAsia="仿宋" w:cs="Times New Roman"/>
        </w:rPr>
        <w:t>。出现上述情形的处理方法：</w:t>
      </w:r>
    </w:p>
    <w:p w14:paraId="3A9B8175">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评标结果汇总完成，评标报告签署前，评标委员会应当当场修改评标结果，并在评标报告中记载</w:t>
      </w:r>
      <w:r>
        <w:rPr>
          <w:rFonts w:hint="eastAsia" w:ascii="仿宋" w:hAnsi="仿宋" w:eastAsia="仿宋" w:cs="Times New Roman"/>
        </w:rPr>
        <w:t>。</w:t>
      </w:r>
    </w:p>
    <w:p w14:paraId="100B3A64">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评标结果汇总完成，评标报告签署后，应当组织原评标委员会进行重新评审，重新评审改变评标结果的，书面报告</w:t>
      </w:r>
      <w:r>
        <w:rPr>
          <w:rFonts w:hint="eastAsia" w:ascii="仿宋" w:hAnsi="仿宋" w:eastAsia="仿宋" w:cs="Times New Roman"/>
        </w:rPr>
        <w:t>市财政局</w:t>
      </w:r>
      <w:r>
        <w:rPr>
          <w:rFonts w:ascii="仿宋" w:hAnsi="仿宋" w:eastAsia="仿宋" w:cs="Times New Roman"/>
        </w:rPr>
        <w:t>。</w:t>
      </w:r>
      <w:r>
        <w:rPr>
          <w:rFonts w:hint="eastAsia" w:ascii="仿宋" w:hAnsi="仿宋" w:eastAsia="仿宋" w:cs="Times New Roman"/>
        </w:rPr>
        <w:t xml:space="preserve"> </w:t>
      </w:r>
    </w:p>
    <w:p w14:paraId="334DBB92">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14:paraId="13D540EA">
      <w:pPr>
        <w:spacing w:line="500" w:lineRule="exact"/>
        <w:ind w:firstLine="566" w:firstLineChars="200"/>
        <w:rPr>
          <w:rFonts w:ascii="仿宋" w:hAnsi="仿宋" w:eastAsia="仿宋" w:cs="Times New Roman"/>
          <w:b/>
        </w:rPr>
      </w:pPr>
      <w:r>
        <w:rPr>
          <w:rFonts w:hint="eastAsia" w:ascii="仿宋" w:hAnsi="仿宋" w:eastAsia="仿宋" w:cs="Times New Roman"/>
          <w:b/>
        </w:rPr>
        <w:t>（一）投标人存在下列情况之一的，投标无效:</w:t>
      </w:r>
    </w:p>
    <w:p w14:paraId="3FD37D68">
      <w:pPr>
        <w:spacing w:line="500" w:lineRule="exact"/>
        <w:ind w:firstLine="566" w:firstLineChars="200"/>
        <w:rPr>
          <w:rFonts w:ascii="仿宋" w:hAnsi="仿宋" w:eastAsia="仿宋" w:cs="Times New Roman"/>
        </w:rPr>
      </w:pPr>
      <w:r>
        <w:rPr>
          <w:rFonts w:hint="eastAsia" w:ascii="仿宋" w:hAnsi="仿宋" w:eastAsia="仿宋" w:cs="Times New Roman"/>
        </w:rPr>
        <w:t>1、投标文件未按招标文件要求签署、盖章;</w:t>
      </w:r>
    </w:p>
    <w:p w14:paraId="04F6AF20">
      <w:pPr>
        <w:spacing w:line="500" w:lineRule="exact"/>
        <w:ind w:firstLine="566" w:firstLineChars="200"/>
        <w:rPr>
          <w:rFonts w:ascii="仿宋" w:hAnsi="仿宋" w:eastAsia="仿宋" w:cs="Times New Roman"/>
        </w:rPr>
      </w:pPr>
      <w:r>
        <w:rPr>
          <w:rFonts w:hint="eastAsia" w:ascii="仿宋" w:hAnsi="仿宋" w:eastAsia="仿宋" w:cs="Times New Roman"/>
        </w:rPr>
        <w:t>2、不具备招标文件中规定的资格要求;</w:t>
      </w:r>
    </w:p>
    <w:p w14:paraId="324FD465">
      <w:pPr>
        <w:spacing w:line="500" w:lineRule="exact"/>
        <w:ind w:firstLine="566" w:firstLineChars="200"/>
        <w:rPr>
          <w:rFonts w:ascii="仿宋" w:hAnsi="仿宋" w:eastAsia="仿宋" w:cs="Times New Roman"/>
        </w:rPr>
      </w:pPr>
      <w:r>
        <w:rPr>
          <w:rFonts w:hint="eastAsia" w:ascii="仿宋" w:hAnsi="仿宋" w:eastAsia="仿宋" w:cs="Times New Roman"/>
        </w:rPr>
        <w:t>3、报价超过招标文件中规定的预算金额或者最高限价;</w:t>
      </w:r>
    </w:p>
    <w:p w14:paraId="46AA7779">
      <w:pPr>
        <w:spacing w:line="500" w:lineRule="exact"/>
        <w:ind w:firstLine="566" w:firstLineChars="200"/>
        <w:rPr>
          <w:rFonts w:ascii="仿宋" w:hAnsi="仿宋" w:eastAsia="仿宋" w:cs="Times New Roman"/>
        </w:rPr>
      </w:pPr>
      <w:r>
        <w:rPr>
          <w:rFonts w:hint="eastAsia" w:ascii="仿宋" w:hAnsi="仿宋" w:eastAsia="仿宋" w:cs="Times New Roman"/>
        </w:rPr>
        <w:t>4、投标文件含有采购人不能接受的附加条件;</w:t>
      </w:r>
    </w:p>
    <w:p w14:paraId="41AE6468">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有选择的报价将不予接受，按无效投标处理</w:t>
      </w:r>
      <w:r>
        <w:rPr>
          <w:rFonts w:hint="eastAsia" w:ascii="仿宋" w:hAnsi="仿宋" w:eastAsia="仿宋" w:cs="Times New Roman"/>
        </w:rPr>
        <w:t>；</w:t>
      </w:r>
    </w:p>
    <w:p w14:paraId="3763C488">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修正后的报价经投标人确认后产生约束力，投标人不确认的，其投标无效。</w:t>
      </w:r>
    </w:p>
    <w:p w14:paraId="5608285C">
      <w:pPr>
        <w:spacing w:line="500" w:lineRule="exact"/>
        <w:ind w:firstLine="566" w:firstLineChars="200"/>
        <w:rPr>
          <w:rFonts w:ascii="仿宋" w:hAnsi="仿宋" w:eastAsia="仿宋" w:cs="Times New Roman"/>
          <w:b/>
        </w:rPr>
      </w:pPr>
      <w:r>
        <w:rPr>
          <w:rFonts w:hint="eastAsia" w:ascii="仿宋" w:hAnsi="仿宋" w:eastAsia="仿宋" w:cs="Times New Roman"/>
          <w:b/>
        </w:rPr>
        <w:t>（二）投标人存在下列情形之一的，视为串通投标，其投标无效：</w:t>
      </w:r>
    </w:p>
    <w:p w14:paraId="7A3CF320">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1、不同投标人的投标文件由同一单位或者个人编制；</w:t>
      </w:r>
    </w:p>
    <w:p w14:paraId="5B6C6936">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2、不同投标人委托同一单位或者个人办理投标事宜；</w:t>
      </w:r>
    </w:p>
    <w:p w14:paraId="660A0A7D">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3、不同投标人的投标文件载明的项目管理成员或者联系人员为同一人；</w:t>
      </w:r>
    </w:p>
    <w:p w14:paraId="2359FCC1">
      <w:pPr>
        <w:spacing w:line="500" w:lineRule="exact"/>
        <w:ind w:firstLine="566" w:firstLineChars="200"/>
        <w:rPr>
          <w:rFonts w:ascii="仿宋" w:hAnsi="仿宋" w:eastAsia="仿宋" w:cs="Times New Roman"/>
        </w:rPr>
      </w:pPr>
      <w:r>
        <w:rPr>
          <w:rFonts w:hint="eastAsia" w:ascii="仿宋" w:hAnsi="仿宋" w:eastAsia="仿宋" w:cs="Times New Roman"/>
        </w:rPr>
        <w:t xml:space="preserve"> 4、不同投标人的投标文件异常一致或者投标报价呈规律性差异；</w:t>
      </w:r>
    </w:p>
    <w:p w14:paraId="564DC03F">
      <w:pPr>
        <w:spacing w:line="500" w:lineRule="exact"/>
        <w:ind w:firstLine="566" w:firstLineChars="200"/>
        <w:rPr>
          <w:rFonts w:ascii="仿宋" w:hAnsi="仿宋" w:eastAsia="仿宋" w:cs="Times New Roman"/>
        </w:rPr>
      </w:pPr>
      <w:r>
        <w:rPr>
          <w:rFonts w:hint="eastAsia" w:ascii="仿宋" w:hAnsi="仿宋" w:eastAsia="仿宋" w:cs="Times New Roman"/>
        </w:rPr>
        <w:t xml:space="preserve"> 5、不同投标人的投标文件相互混装；</w:t>
      </w:r>
    </w:p>
    <w:p w14:paraId="4E6F41D9">
      <w:pPr>
        <w:spacing w:line="500" w:lineRule="exact"/>
        <w:ind w:firstLine="566" w:firstLineChars="200"/>
        <w:rPr>
          <w:rFonts w:ascii="仿宋" w:hAnsi="仿宋" w:eastAsia="仿宋" w:cs="Times New Roman"/>
          <w:b/>
        </w:rPr>
      </w:pPr>
      <w:r>
        <w:rPr>
          <w:rFonts w:hint="eastAsia" w:ascii="仿宋" w:hAnsi="仿宋" w:eastAsia="仿宋" w:cs="Times New Roman"/>
          <w:b/>
        </w:rPr>
        <w:t>（三）投标人不得以低于成本的报价参加本次采购项目。</w:t>
      </w:r>
      <w:r>
        <w:rPr>
          <w:rFonts w:hint="eastAsia" w:ascii="仿宋" w:hAnsi="仿宋" w:eastAsia="仿宋"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B714BC">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十、中标</w:t>
      </w:r>
      <w:bookmarkEnd w:id="110"/>
      <w:bookmarkEnd w:id="111"/>
      <w:bookmarkEnd w:id="112"/>
      <w:bookmarkEnd w:id="113"/>
      <w:bookmarkEnd w:id="114"/>
      <w:bookmarkEnd w:id="115"/>
    </w:p>
    <w:p w14:paraId="74B47855">
      <w:pPr>
        <w:spacing w:line="500" w:lineRule="exact"/>
        <w:ind w:firstLine="566" w:firstLineChars="200"/>
        <w:rPr>
          <w:rFonts w:ascii="仿宋" w:hAnsi="仿宋" w:eastAsia="仿宋" w:cs="Times New Roman"/>
        </w:rPr>
      </w:pPr>
      <w:r>
        <w:rPr>
          <w:rFonts w:ascii="仿宋" w:hAnsi="仿宋" w:eastAsia="仿宋" w:cs="Times New Roman"/>
        </w:rPr>
        <w:t>（一）市采购中心在评标工作结束后2个工作日内将评标报告送采购人。</w:t>
      </w:r>
    </w:p>
    <w:p w14:paraId="5AD708E5">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（二）采购人在收到评标报告之日起5个工作日内，在评标报告确定的中标候选人名单中按顺序确定</w:t>
      </w:r>
      <w:r>
        <w:rPr>
          <w:rFonts w:hint="eastAsia" w:ascii="仿宋" w:hAnsi="仿宋" w:eastAsia="仿宋" w:cs="Times New Roman"/>
        </w:rPr>
        <w:t>中标人</w:t>
      </w:r>
      <w:r>
        <w:rPr>
          <w:rFonts w:ascii="仿宋" w:hAnsi="仿宋" w:eastAsia="仿宋" w:cs="Times New Roman"/>
        </w:rPr>
        <w:t>。</w:t>
      </w:r>
    </w:p>
    <w:p w14:paraId="7DB539C0">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采购人在收到评标报告5个工作日内未按评标报告推荐的中标候选人顺序确定</w:t>
      </w:r>
      <w:r>
        <w:rPr>
          <w:rFonts w:hint="eastAsia" w:ascii="仿宋" w:hAnsi="仿宋" w:eastAsia="仿宋" w:cs="Times New Roman"/>
        </w:rPr>
        <w:t>中标人</w:t>
      </w:r>
      <w:r>
        <w:rPr>
          <w:rFonts w:ascii="仿宋" w:hAnsi="仿宋" w:eastAsia="仿宋" w:cs="Times New Roman"/>
        </w:rPr>
        <w:t>，又不能说明合法理由的，视同按评标报告推荐的顺序确定</w:t>
      </w:r>
      <w:r>
        <w:rPr>
          <w:rFonts w:hint="eastAsia" w:ascii="仿宋" w:hAnsi="仿宋" w:eastAsia="仿宋" w:cs="Times New Roman"/>
        </w:rPr>
        <w:t>中标人，</w:t>
      </w:r>
      <w:r>
        <w:rPr>
          <w:rFonts w:ascii="仿宋" w:hAnsi="仿宋" w:eastAsia="仿宋" w:cs="Times New Roman"/>
        </w:rPr>
        <w:t>市采购中心将</w:t>
      </w:r>
      <w:r>
        <w:rPr>
          <w:rFonts w:hint="eastAsia" w:ascii="仿宋" w:hAnsi="仿宋" w:eastAsia="仿宋" w:cs="Times New Roman"/>
        </w:rPr>
        <w:t>发布中标公告。</w:t>
      </w:r>
    </w:p>
    <w:p w14:paraId="604537B7">
      <w:pPr>
        <w:spacing w:line="500" w:lineRule="exact"/>
        <w:ind w:firstLine="566" w:firstLineChars="200"/>
        <w:rPr>
          <w:rFonts w:ascii="仿宋" w:hAnsi="仿宋" w:eastAsia="仿宋" w:cs="Times New Roman"/>
        </w:rPr>
      </w:pPr>
      <w:r>
        <w:rPr>
          <w:rFonts w:ascii="仿宋" w:hAnsi="仿宋" w:eastAsia="仿宋" w:cs="Times New Roman"/>
        </w:rPr>
        <w:t>（三）市采购中心将在</w:t>
      </w:r>
      <w:r>
        <w:rPr>
          <w:rFonts w:hint="eastAsia" w:ascii="仿宋" w:hAnsi="仿宋" w:eastAsia="仿宋" w:cs="Times New Roman"/>
        </w:rPr>
        <w:t>中标人</w:t>
      </w:r>
      <w:r>
        <w:rPr>
          <w:rFonts w:ascii="仿宋" w:hAnsi="仿宋" w:eastAsia="仿宋" w:cs="Times New Roman"/>
        </w:rPr>
        <w:t>确定之日起2个工作日内，</w:t>
      </w:r>
      <w:r>
        <w:rPr>
          <w:rFonts w:hint="eastAsia" w:ascii="仿宋" w:hAnsi="仿宋" w:eastAsia="仿宋" w:cs="Times New Roman"/>
        </w:rPr>
        <w:t>发布媒体为</w:t>
      </w:r>
      <w:r>
        <w:rPr>
          <w:rFonts w:ascii="仿宋" w:hAnsi="仿宋" w:eastAsia="仿宋" w:cs="Times New Roman"/>
        </w:rPr>
        <w:t>【</w:t>
      </w:r>
      <w:r>
        <w:fldChar w:fldCharType="begin"/>
      </w:r>
      <w:r>
        <w:instrText xml:space="preserve"> HYPERLINK "http://www.ccgp-shaanxi.gov.cn" </w:instrText>
      </w:r>
      <w: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42"/>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42"/>
          <w:rFonts w:ascii="仿宋" w:hAnsi="仿宋" w:eastAsia="仿宋" w:cs="Times New Roman"/>
          <w:color w:val="auto"/>
          <w:sz w:val="28"/>
          <w:szCs w:val="28"/>
        </w:rPr>
        <w:t>】</w:t>
      </w:r>
      <w:r>
        <w:rPr>
          <w:rFonts w:ascii="仿宋" w:hAnsi="仿宋" w:eastAsia="仿宋" w:cs="Times New Roman"/>
        </w:rPr>
        <w:t>上公告中标结果。</w:t>
      </w:r>
    </w:p>
    <w:p w14:paraId="277906F5">
      <w:pPr>
        <w:spacing w:line="500" w:lineRule="exact"/>
        <w:ind w:firstLine="566" w:firstLineChars="200"/>
        <w:rPr>
          <w:rFonts w:ascii="仿宋" w:hAnsi="仿宋" w:eastAsia="仿宋" w:cs="Times New Roman"/>
        </w:rPr>
      </w:pPr>
      <w:r>
        <w:rPr>
          <w:rFonts w:ascii="仿宋" w:hAnsi="仿宋" w:eastAsia="仿宋" w:cs="Times New Roman"/>
        </w:rPr>
        <w:t>中标公告期限为1个工作日。</w:t>
      </w:r>
    </w:p>
    <w:p w14:paraId="422523AF">
      <w:pPr>
        <w:spacing w:line="500" w:lineRule="exact"/>
        <w:ind w:firstLine="566" w:firstLineChars="200"/>
        <w:rPr>
          <w:rFonts w:ascii="仿宋" w:hAnsi="仿宋" w:eastAsia="仿宋" w:cs="Times New Roman"/>
        </w:rPr>
      </w:pPr>
      <w:r>
        <w:rPr>
          <w:rFonts w:ascii="仿宋" w:hAnsi="仿宋" w:eastAsia="仿宋" w:cs="Times New Roman"/>
        </w:rPr>
        <w:t>（四）在公告中标结果的同时，市采购中心向</w:t>
      </w:r>
      <w:r>
        <w:rPr>
          <w:rFonts w:hint="eastAsia" w:ascii="仿宋" w:hAnsi="仿宋" w:eastAsia="仿宋" w:cs="Times New Roman"/>
        </w:rPr>
        <w:t>中标人</w:t>
      </w:r>
      <w:r>
        <w:rPr>
          <w:rFonts w:ascii="仿宋" w:hAnsi="仿宋" w:eastAsia="仿宋" w:cs="Times New Roman"/>
        </w:rPr>
        <w:t>发出中标通知书</w:t>
      </w:r>
      <w:r>
        <w:rPr>
          <w:rFonts w:hint="eastAsia" w:ascii="仿宋" w:hAnsi="仿宋" w:eastAsia="仿宋" w:cs="Times New Roman"/>
        </w:rPr>
        <w:t>。</w:t>
      </w:r>
    </w:p>
    <w:p w14:paraId="43050A10">
      <w:pPr>
        <w:spacing w:line="500" w:lineRule="exact"/>
        <w:ind w:firstLine="566" w:firstLineChars="200"/>
        <w:rPr>
          <w:rFonts w:ascii="仿宋" w:hAnsi="仿宋" w:eastAsia="仿宋" w:cs="Times New Roman"/>
          <w:b/>
        </w:rPr>
      </w:pPr>
      <w:r>
        <w:rPr>
          <w:rFonts w:ascii="仿宋" w:hAnsi="仿宋" w:eastAsia="仿宋" w:cs="Times New Roman"/>
        </w:rPr>
        <w:t>（五）中标通知书发出后，采购人不得违法改变中标结果，</w:t>
      </w:r>
      <w:r>
        <w:rPr>
          <w:rFonts w:hint="eastAsia" w:ascii="仿宋" w:hAnsi="仿宋" w:eastAsia="仿宋" w:cs="Times New Roman"/>
        </w:rPr>
        <w:t>中标人</w:t>
      </w:r>
      <w:r>
        <w:rPr>
          <w:rFonts w:ascii="仿宋" w:hAnsi="仿宋" w:eastAsia="仿宋" w:cs="Times New Roman"/>
        </w:rPr>
        <w:t>无正当理由不得放弃中标。</w:t>
      </w:r>
      <w:bookmarkStart w:id="142" w:name="_Toc48834534"/>
      <w:bookmarkStart w:id="143" w:name="_Toc48834455"/>
      <w:bookmarkStart w:id="144" w:name="_Toc48834096"/>
      <w:bookmarkStart w:id="145" w:name="_Toc48834293"/>
      <w:bookmarkStart w:id="146" w:name="_Toc10388"/>
      <w:bookmarkStart w:id="147" w:name="_Toc48834166"/>
    </w:p>
    <w:p w14:paraId="5C8F711D">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2"/>
      <w:bookmarkEnd w:id="143"/>
      <w:bookmarkEnd w:id="144"/>
      <w:bookmarkEnd w:id="145"/>
      <w:bookmarkEnd w:id="146"/>
      <w:bookmarkEnd w:id="147"/>
    </w:p>
    <w:p w14:paraId="10117AB2">
      <w:pPr>
        <w:spacing w:line="500" w:lineRule="exact"/>
        <w:ind w:firstLine="566" w:firstLineChars="200"/>
        <w:rPr>
          <w:rFonts w:ascii="仿宋" w:hAnsi="仿宋" w:eastAsia="仿宋" w:cs="Times New Roman"/>
          <w:kern w:val="0"/>
        </w:rPr>
      </w:pPr>
      <w:r>
        <w:rPr>
          <w:rFonts w:ascii="仿宋" w:hAnsi="仿宋" w:eastAsia="仿宋" w:cs="Times New Roman"/>
        </w:rPr>
        <w:t>（一）自中标通知书发出之日起</w:t>
      </w:r>
      <w:r>
        <w:rPr>
          <w:rFonts w:hint="eastAsia" w:ascii="仿宋" w:hAnsi="仿宋" w:eastAsia="仿宋" w:cs="Times New Roman"/>
        </w:rPr>
        <w:t>10日内</w:t>
      </w:r>
      <w:r>
        <w:rPr>
          <w:rFonts w:ascii="仿宋" w:hAnsi="仿宋" w:eastAsia="仿宋" w:cs="Times New Roman"/>
        </w:rPr>
        <w:t>，</w:t>
      </w:r>
      <w:r>
        <w:rPr>
          <w:rFonts w:ascii="仿宋" w:hAnsi="仿宋" w:eastAsia="仿宋" w:cs="Times New Roman"/>
          <w:kern w:val="0"/>
        </w:rPr>
        <w:t>采购人与中标人应按招标文件和中标人投标文件的规定，签订书面合同。所签订的政府采购合同不得对招标文件和中标人的投标文件内容作实质性修改。</w:t>
      </w:r>
    </w:p>
    <w:p w14:paraId="69A77DF9">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采购人不得向中标人提出任何不合理的要求作为签订合同的条件。</w:t>
      </w:r>
    </w:p>
    <w:p w14:paraId="51A87C45">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中标人拒绝与采购人签订合同的，采购人可以按照评标报告推荐的中标候选人名单排序，确定下一候选人为</w:t>
      </w:r>
      <w:r>
        <w:rPr>
          <w:rFonts w:hint="eastAsia" w:ascii="仿宋" w:hAnsi="仿宋" w:eastAsia="仿宋" w:cs="Times New Roman"/>
          <w:kern w:val="0"/>
        </w:rPr>
        <w:t>中标人</w:t>
      </w:r>
      <w:r>
        <w:rPr>
          <w:rFonts w:ascii="仿宋" w:hAnsi="仿宋" w:eastAsia="仿宋" w:cs="Times New Roman"/>
          <w:kern w:val="0"/>
        </w:rPr>
        <w:t>，也可以重新开展政府采购活动。</w:t>
      </w:r>
    </w:p>
    <w:p w14:paraId="00B0BE74">
      <w:pPr>
        <w:spacing w:line="500" w:lineRule="exact"/>
        <w:ind w:firstLine="566" w:firstLineChars="200"/>
        <w:rPr>
          <w:rFonts w:ascii="仿宋" w:hAnsi="仿宋" w:eastAsia="仿宋" w:cs="Times New Roman"/>
          <w:kern w:val="0"/>
        </w:rPr>
      </w:pPr>
      <w:r>
        <w:rPr>
          <w:rFonts w:ascii="仿宋" w:hAnsi="仿宋" w:eastAsia="仿宋" w:cs="Times New Roman"/>
        </w:rPr>
        <w:t>（三）招标文件、</w:t>
      </w:r>
      <w:r>
        <w:rPr>
          <w:rFonts w:hint="eastAsia" w:ascii="仿宋" w:hAnsi="仿宋" w:eastAsia="仿宋" w:cs="Times New Roman"/>
        </w:rPr>
        <w:t>中标人</w:t>
      </w:r>
      <w:r>
        <w:rPr>
          <w:rFonts w:ascii="仿宋" w:hAnsi="仿宋" w:eastAsia="仿宋" w:cs="Times New Roman"/>
        </w:rPr>
        <w:t>的投标文件、《中标通知书》及其澄清、说明文件、承诺等，均为签订采购合同的依据，作为采购合同的组成部分。</w:t>
      </w:r>
    </w:p>
    <w:p w14:paraId="315E825A">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w:t>
      </w:r>
      <w:r>
        <w:rPr>
          <w:rFonts w:hint="eastAsia" w:ascii="仿宋" w:hAnsi="仿宋" w:eastAsia="仿宋" w:cs="Times New Roman"/>
          <w:kern w:val="0"/>
        </w:rPr>
        <w:t>中标人</w:t>
      </w:r>
      <w:r>
        <w:rPr>
          <w:rFonts w:ascii="仿宋" w:hAnsi="仿宋" w:eastAsia="仿宋" w:cs="Times New Roman"/>
          <w:kern w:val="0"/>
        </w:rPr>
        <w:t>的名称和住所、标的、数量、质量、价款或者报酬、履行期限及地点和方式、验收要求、违约责任、解决争议的方法等内容。</w:t>
      </w:r>
    </w:p>
    <w:p w14:paraId="61626EFD">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（五）采购人与</w:t>
      </w:r>
      <w:r>
        <w:rPr>
          <w:rFonts w:hint="eastAsia" w:ascii="仿宋" w:hAnsi="仿宋" w:eastAsia="仿宋" w:cs="Times New Roman"/>
          <w:kern w:val="0"/>
        </w:rPr>
        <w:t>中标人</w:t>
      </w:r>
      <w:r>
        <w:rPr>
          <w:rFonts w:ascii="仿宋" w:hAnsi="仿宋" w:eastAsia="仿宋" w:cs="Times New Roman"/>
          <w:kern w:val="0"/>
        </w:rPr>
        <w:t>应当根据合同的约定依法履行合同义务。政府采购合同的履行、违约责任和解决争议的方法等适用《中华人民共和国</w:t>
      </w:r>
      <w:r>
        <w:rPr>
          <w:rFonts w:hint="eastAsia" w:ascii="仿宋" w:hAnsi="仿宋" w:eastAsia="仿宋" w:cs="Times New Roman"/>
          <w:kern w:val="0"/>
        </w:rPr>
        <w:t>民法典</w:t>
      </w:r>
      <w:r>
        <w:rPr>
          <w:rFonts w:ascii="仿宋" w:hAnsi="仿宋" w:eastAsia="仿宋" w:cs="Times New Roman"/>
          <w:kern w:val="0"/>
        </w:rPr>
        <w:t>》。</w:t>
      </w:r>
    </w:p>
    <w:p w14:paraId="1027E488">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（六）采购人应及时对采购项目进行验收。采购人可以邀请参加本项目的其他投标投标人或者第三方机构参与验收。参与验收的投标投标人或者第三方机构的意见作为验收书的参考资料一并存档。</w:t>
      </w:r>
    </w:p>
    <w:p w14:paraId="3E941200">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w:t>
      </w:r>
      <w:r>
        <w:rPr>
          <w:rFonts w:hint="eastAsia" w:ascii="仿宋" w:hAnsi="仿宋" w:eastAsia="仿宋" w:cs="Times New Roman"/>
          <w:kern w:val="0"/>
        </w:rPr>
        <w:t>中标人</w:t>
      </w:r>
      <w:r>
        <w:rPr>
          <w:rFonts w:ascii="仿宋" w:hAnsi="仿宋" w:eastAsia="仿宋" w:cs="Times New Roman"/>
          <w:kern w:val="0"/>
        </w:rPr>
        <w:t>的履约管理，并按照采购合同约定，及时向</w:t>
      </w:r>
      <w:r>
        <w:rPr>
          <w:rFonts w:hint="eastAsia" w:ascii="仿宋" w:hAnsi="仿宋" w:eastAsia="仿宋" w:cs="Times New Roman"/>
          <w:kern w:val="0"/>
        </w:rPr>
        <w:t>中标人</w:t>
      </w:r>
      <w:r>
        <w:rPr>
          <w:rFonts w:ascii="仿宋" w:hAnsi="仿宋" w:eastAsia="仿宋" w:cs="Times New Roman"/>
          <w:kern w:val="0"/>
        </w:rPr>
        <w:t>支付采购资金。对于</w:t>
      </w:r>
      <w:r>
        <w:rPr>
          <w:rFonts w:hint="eastAsia" w:ascii="仿宋" w:hAnsi="仿宋" w:eastAsia="仿宋" w:cs="Times New Roman"/>
          <w:kern w:val="0"/>
        </w:rPr>
        <w:t>中标人</w:t>
      </w:r>
      <w:r>
        <w:rPr>
          <w:rFonts w:ascii="仿宋" w:hAnsi="仿宋" w:eastAsia="仿宋" w:cs="Times New Roman"/>
          <w:kern w:val="0"/>
        </w:rPr>
        <w:t>违反采购合同约定的行为，采购人应当及时处理，依法追究其违约责任。</w:t>
      </w:r>
    </w:p>
    <w:p w14:paraId="343CEA9B">
      <w:pPr>
        <w:pStyle w:val="29"/>
        <w:spacing w:line="500" w:lineRule="exact"/>
        <w:ind w:firstLine="566" w:firstLineChars="200"/>
        <w:outlineLvl w:val="1"/>
        <w:rPr>
          <w:rFonts w:ascii="仿宋" w:hAnsi="仿宋" w:eastAsia="仿宋" w:cs="Times New Roman"/>
          <w:b/>
          <w:sz w:val="28"/>
          <w:szCs w:val="28"/>
        </w:rPr>
      </w:pPr>
      <w:bookmarkStart w:id="148" w:name="_Toc48834097"/>
      <w:bookmarkStart w:id="149" w:name="_Toc48834167"/>
      <w:bookmarkStart w:id="150" w:name="_Toc31345"/>
      <w:bookmarkStart w:id="151" w:name="_Toc48834535"/>
      <w:bookmarkStart w:id="152" w:name="_Toc48834456"/>
      <w:bookmarkStart w:id="153" w:name="_Toc48834294"/>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8"/>
      <w:bookmarkEnd w:id="149"/>
      <w:bookmarkEnd w:id="150"/>
      <w:bookmarkEnd w:id="151"/>
      <w:bookmarkEnd w:id="152"/>
      <w:bookmarkEnd w:id="153"/>
      <w:r>
        <w:rPr>
          <w:rFonts w:hint="eastAsia" w:ascii="仿宋" w:hAnsi="仿宋" w:eastAsia="仿宋" w:cs="Times New Roman"/>
          <w:b/>
          <w:sz w:val="28"/>
          <w:szCs w:val="28"/>
        </w:rPr>
        <w:t>废标情形</w:t>
      </w:r>
    </w:p>
    <w:p w14:paraId="069A15C9">
      <w:pPr>
        <w:spacing w:line="500" w:lineRule="exact"/>
        <w:ind w:firstLine="566" w:firstLineChars="200"/>
        <w:rPr>
          <w:rFonts w:ascii="仿宋" w:hAnsi="仿宋" w:eastAsia="仿宋" w:cs="Times New Roman"/>
        </w:rPr>
      </w:pPr>
      <w:r>
        <w:rPr>
          <w:rFonts w:ascii="仿宋" w:hAnsi="仿宋" w:eastAsia="仿宋" w:cs="Times New Roman"/>
        </w:rPr>
        <w:t>（一）评标委员会发现招标文件存在歧义、重大缺陷导致评标工作无法进行，或者招标文件内容违反国家有关强制性规定的，应当停止评标工作，与采购人或者市采购中心沟通并作书面记录。采购人或者市采购中心确认后，应当修改招标文件，重新组织采购活动。</w:t>
      </w:r>
    </w:p>
    <w:p w14:paraId="7ECA8EA4">
      <w:pPr>
        <w:spacing w:line="500" w:lineRule="exact"/>
        <w:ind w:firstLine="566" w:firstLineChars="200"/>
        <w:rPr>
          <w:rFonts w:hint="eastAsia" w:ascii="仿宋" w:hAnsi="仿宋" w:eastAsia="仿宋" w:cs="Times New Roman"/>
          <w:lang w:val="en-US" w:eastAsia="zh-CN"/>
        </w:rPr>
      </w:pPr>
      <w:r>
        <w:rPr>
          <w:rFonts w:ascii="仿宋" w:hAnsi="仿宋" w:eastAsia="仿宋" w:cs="Times New Roman"/>
        </w:rPr>
        <w:t>（二）根据《政府采购法》第三十六条规定，在招标采购中，出现下列情形之一的，本项目按废标处理：</w:t>
      </w:r>
      <w:r>
        <w:rPr>
          <w:rFonts w:hint="eastAsia" w:ascii="仿宋" w:hAnsi="仿宋" w:eastAsia="仿宋" w:cs="Times New Roman"/>
          <w:lang w:val="en-US" w:eastAsia="zh-CN"/>
        </w:rPr>
        <w:t xml:space="preserve"> </w:t>
      </w:r>
    </w:p>
    <w:p w14:paraId="1865F2D5">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1、</w:t>
      </w:r>
      <w:r>
        <w:rPr>
          <w:rFonts w:hint="eastAsia" w:ascii="仿宋" w:hAnsi="仿宋" w:eastAsia="仿宋" w:cs="Times New Roman"/>
        </w:rPr>
        <w:t>符合专业条件的供应商或者对招标文件作实质响应的供应商不足三家的；</w:t>
      </w:r>
    </w:p>
    <w:p w14:paraId="647FDC84">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2</w:t>
      </w:r>
      <w:r>
        <w:rPr>
          <w:rFonts w:ascii="仿宋" w:hAnsi="仿宋" w:eastAsia="仿宋" w:cs="Times New Roman"/>
        </w:rPr>
        <w:t>、出现影响采购公正的违法、违规行为；</w:t>
      </w:r>
    </w:p>
    <w:p w14:paraId="6F7C1188">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3</w:t>
      </w:r>
      <w:r>
        <w:rPr>
          <w:rFonts w:ascii="仿宋" w:hAnsi="仿宋" w:eastAsia="仿宋" w:cs="Times New Roman"/>
        </w:rPr>
        <w:t>、投标人的报价均超过了采购预算，采购人不能支付；</w:t>
      </w:r>
    </w:p>
    <w:p w14:paraId="6CE7CF59">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4</w:t>
      </w:r>
      <w:r>
        <w:rPr>
          <w:rFonts w:ascii="仿宋" w:hAnsi="仿宋" w:eastAsia="仿宋" w:cs="Times New Roman"/>
        </w:rPr>
        <w:t>、因重大变故，采购任务取消。</w:t>
      </w:r>
    </w:p>
    <w:p w14:paraId="35B82D70">
      <w:pPr>
        <w:spacing w:line="500" w:lineRule="exact"/>
        <w:ind w:firstLine="566" w:firstLineChars="200"/>
        <w:rPr>
          <w:rFonts w:ascii="仿宋" w:hAnsi="仿宋" w:eastAsia="仿宋" w:cs="Times New Roman"/>
        </w:rPr>
      </w:pPr>
      <w:r>
        <w:rPr>
          <w:rFonts w:ascii="仿宋" w:hAnsi="仿宋" w:eastAsia="仿宋" w:cs="Times New Roman"/>
        </w:rPr>
        <w:t>废标后，由市采购中心发布废标公告。</w:t>
      </w:r>
      <w:bookmarkStart w:id="154" w:name="_Toc48834538"/>
      <w:bookmarkStart w:id="155" w:name="_Toc48834170"/>
      <w:bookmarkStart w:id="156" w:name="_Toc48834100"/>
      <w:bookmarkStart w:id="157" w:name="_Toc48834297"/>
      <w:bookmarkStart w:id="158" w:name="_Toc48834459"/>
    </w:p>
    <w:p w14:paraId="6790BBCE">
      <w:pPr>
        <w:pStyle w:val="29"/>
        <w:spacing w:line="500" w:lineRule="exact"/>
        <w:ind w:firstLine="646" w:firstLineChars="200"/>
        <w:jc w:val="center"/>
        <w:outlineLvl w:val="1"/>
        <w:rPr>
          <w:rFonts w:ascii="仿宋" w:hAnsi="仿宋" w:eastAsia="仿宋" w:cs="Times New Roman"/>
          <w:b/>
          <w:sz w:val="32"/>
          <w:szCs w:val="32"/>
        </w:rPr>
      </w:pPr>
    </w:p>
    <w:p w14:paraId="175793AD">
      <w:pPr>
        <w:pStyle w:val="29"/>
        <w:spacing w:line="500" w:lineRule="exact"/>
        <w:ind w:firstLine="646" w:firstLineChars="200"/>
        <w:jc w:val="center"/>
        <w:outlineLvl w:val="1"/>
        <w:rPr>
          <w:rFonts w:ascii="仿宋" w:hAnsi="仿宋" w:eastAsia="仿宋" w:cs="Times New Roman"/>
          <w:b/>
          <w:sz w:val="32"/>
          <w:szCs w:val="32"/>
        </w:rPr>
      </w:pPr>
    </w:p>
    <w:p w14:paraId="0A22C20F">
      <w:pPr>
        <w:pStyle w:val="29"/>
        <w:spacing w:line="500" w:lineRule="exact"/>
        <w:ind w:firstLine="646" w:firstLineChars="200"/>
        <w:jc w:val="center"/>
        <w:outlineLvl w:val="1"/>
        <w:rPr>
          <w:rFonts w:ascii="仿宋" w:hAnsi="仿宋" w:eastAsia="仿宋" w:cs="Times New Roman"/>
          <w:b/>
          <w:sz w:val="32"/>
          <w:szCs w:val="32"/>
        </w:rPr>
      </w:pPr>
    </w:p>
    <w:p w14:paraId="5FDAB5DA">
      <w:pPr>
        <w:pStyle w:val="29"/>
        <w:spacing w:line="500" w:lineRule="exact"/>
        <w:ind w:firstLine="646" w:firstLineChars="200"/>
        <w:jc w:val="center"/>
        <w:outlineLvl w:val="1"/>
        <w:rPr>
          <w:rFonts w:ascii="仿宋" w:hAnsi="仿宋" w:eastAsia="仿宋" w:cs="Times New Roman"/>
          <w:b/>
          <w:sz w:val="32"/>
          <w:szCs w:val="32"/>
        </w:rPr>
      </w:pPr>
    </w:p>
    <w:p w14:paraId="3ADB48DF">
      <w:pPr>
        <w:pStyle w:val="29"/>
        <w:spacing w:line="500" w:lineRule="exact"/>
        <w:ind w:firstLine="646" w:firstLineChars="200"/>
        <w:jc w:val="center"/>
        <w:outlineLvl w:val="1"/>
        <w:rPr>
          <w:rFonts w:ascii="仿宋" w:hAnsi="仿宋" w:eastAsia="仿宋" w:cs="Times New Roman"/>
          <w:b/>
          <w:sz w:val="32"/>
          <w:szCs w:val="32"/>
        </w:rPr>
      </w:pPr>
    </w:p>
    <w:p w14:paraId="3D7B4D14">
      <w:pPr>
        <w:pStyle w:val="29"/>
        <w:spacing w:line="500" w:lineRule="exact"/>
        <w:ind w:firstLine="646" w:firstLineChars="200"/>
        <w:jc w:val="center"/>
        <w:outlineLvl w:val="1"/>
        <w:rPr>
          <w:rFonts w:ascii="仿宋" w:hAnsi="仿宋" w:eastAsia="仿宋" w:cs="Times New Roman"/>
          <w:b/>
          <w:sz w:val="32"/>
          <w:szCs w:val="32"/>
        </w:rPr>
      </w:pPr>
    </w:p>
    <w:p w14:paraId="5E25E211">
      <w:pPr>
        <w:pStyle w:val="29"/>
        <w:spacing w:line="500" w:lineRule="exact"/>
        <w:ind w:firstLine="646" w:firstLineChars="200"/>
        <w:jc w:val="center"/>
        <w:outlineLvl w:val="1"/>
        <w:rPr>
          <w:rFonts w:ascii="仿宋" w:hAnsi="仿宋" w:eastAsia="仿宋" w:cs="Times New Roman"/>
          <w:b/>
          <w:sz w:val="32"/>
          <w:szCs w:val="32"/>
        </w:rPr>
      </w:pPr>
    </w:p>
    <w:p w14:paraId="31F5475F">
      <w:pPr>
        <w:pStyle w:val="29"/>
        <w:spacing w:line="500" w:lineRule="exact"/>
        <w:ind w:firstLine="646" w:firstLineChars="200"/>
        <w:jc w:val="center"/>
        <w:outlineLvl w:val="1"/>
        <w:rPr>
          <w:rFonts w:ascii="仿宋" w:hAnsi="仿宋" w:eastAsia="仿宋" w:cs="Times New Roman"/>
          <w:b/>
          <w:sz w:val="32"/>
          <w:szCs w:val="32"/>
        </w:rPr>
      </w:pPr>
    </w:p>
    <w:p w14:paraId="31E7CBD0">
      <w:pPr>
        <w:pStyle w:val="29"/>
        <w:spacing w:line="500" w:lineRule="exact"/>
        <w:ind w:firstLine="646" w:firstLineChars="200"/>
        <w:jc w:val="center"/>
        <w:outlineLvl w:val="1"/>
        <w:rPr>
          <w:rFonts w:ascii="仿宋" w:hAnsi="仿宋" w:eastAsia="仿宋" w:cs="Times New Roman"/>
          <w:b/>
          <w:sz w:val="32"/>
          <w:szCs w:val="32"/>
        </w:rPr>
      </w:pPr>
    </w:p>
    <w:p w14:paraId="63801D88">
      <w:pPr>
        <w:pStyle w:val="29"/>
        <w:spacing w:line="500" w:lineRule="exact"/>
        <w:ind w:firstLine="646" w:firstLineChars="200"/>
        <w:jc w:val="center"/>
        <w:outlineLvl w:val="1"/>
        <w:rPr>
          <w:rFonts w:ascii="仿宋" w:hAnsi="仿宋" w:eastAsia="仿宋" w:cs="Times New Roman"/>
          <w:b/>
          <w:sz w:val="32"/>
          <w:szCs w:val="32"/>
        </w:rPr>
      </w:pPr>
    </w:p>
    <w:p w14:paraId="46282211">
      <w:pPr>
        <w:pStyle w:val="29"/>
        <w:spacing w:line="500" w:lineRule="exact"/>
        <w:ind w:left="0" w:leftChars="0" w:firstLine="0" w:firstLineChars="0"/>
        <w:jc w:val="both"/>
        <w:outlineLvl w:val="1"/>
        <w:rPr>
          <w:rFonts w:ascii="仿宋" w:hAnsi="仿宋" w:eastAsia="仿宋" w:cs="Times New Roman"/>
          <w:b/>
          <w:sz w:val="32"/>
          <w:szCs w:val="32"/>
        </w:rPr>
      </w:pPr>
    </w:p>
    <w:p w14:paraId="253BBD04">
      <w:pPr>
        <w:pStyle w:val="29"/>
        <w:spacing w:line="500" w:lineRule="exact"/>
        <w:ind w:left="0" w:leftChars="0" w:firstLine="0" w:firstLineChars="0"/>
        <w:jc w:val="both"/>
        <w:outlineLvl w:val="1"/>
        <w:rPr>
          <w:rFonts w:ascii="仿宋" w:hAnsi="仿宋" w:eastAsia="仿宋" w:cs="Times New Roman"/>
          <w:b/>
          <w:sz w:val="32"/>
          <w:szCs w:val="32"/>
        </w:rPr>
      </w:pPr>
    </w:p>
    <w:p w14:paraId="2D6CA5FC">
      <w:pPr>
        <w:pStyle w:val="29"/>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bookmarkEnd w:id="154"/>
      <w:bookmarkEnd w:id="155"/>
      <w:bookmarkEnd w:id="156"/>
      <w:bookmarkEnd w:id="157"/>
      <w:bookmarkEnd w:id="158"/>
    </w:p>
    <w:p w14:paraId="3837C23F">
      <w:pPr>
        <w:pStyle w:val="29"/>
        <w:spacing w:line="500" w:lineRule="exact"/>
        <w:ind w:firstLine="566" w:firstLineChars="200"/>
        <w:outlineLvl w:val="1"/>
        <w:rPr>
          <w:rFonts w:ascii="仿宋" w:hAnsi="仿宋" w:eastAsia="仿宋" w:cs="Times New Roman"/>
          <w:b/>
          <w:sz w:val="28"/>
          <w:szCs w:val="28"/>
        </w:rPr>
      </w:pPr>
      <w:bookmarkStart w:id="159" w:name="_Toc48834171"/>
      <w:bookmarkStart w:id="160" w:name="_Toc48834101"/>
      <w:bookmarkStart w:id="161" w:name="_Toc48834460"/>
      <w:bookmarkStart w:id="162" w:name="_Toc48834539"/>
      <w:bookmarkStart w:id="163" w:name="_Toc48834298"/>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9"/>
      <w:bookmarkEnd w:id="160"/>
      <w:bookmarkEnd w:id="161"/>
      <w:bookmarkEnd w:id="162"/>
      <w:bookmarkEnd w:id="163"/>
    </w:p>
    <w:p w14:paraId="3464EA05">
      <w:pPr>
        <w:pStyle w:val="25"/>
        <w:spacing w:line="500" w:lineRule="exact"/>
        <w:ind w:firstLine="566" w:firstLineChars="200"/>
        <w:jc w:val="center"/>
        <w:rPr>
          <w:rFonts w:ascii="仿宋" w:hAnsi="仿宋" w:eastAsia="仿宋" w:cs="Times New Roman"/>
        </w:rPr>
      </w:pPr>
      <w:r>
        <w:rPr>
          <w:rFonts w:ascii="仿宋" w:hAnsi="仿宋" w:eastAsia="仿宋" w:cs="Times New Roman"/>
          <w:b/>
          <w:bCs/>
          <w:sz w:val="28"/>
        </w:rPr>
        <w:t>符合性审查表</w:t>
      </w:r>
    </w:p>
    <w:tbl>
      <w:tblPr>
        <w:tblStyle w:val="31"/>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04"/>
        <w:gridCol w:w="5867"/>
      </w:tblGrid>
      <w:tr w14:paraId="718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D8D8D8"/>
            <w:vAlign w:val="center"/>
          </w:tcPr>
          <w:p w14:paraId="6E83012C">
            <w:pPr>
              <w:spacing w:line="500" w:lineRule="exact"/>
              <w:rPr>
                <w:rFonts w:ascii="仿宋" w:hAnsi="仿宋" w:eastAsia="仿宋" w:cs="Times New Roman"/>
                <w:sz w:val="24"/>
                <w:szCs w:val="24"/>
              </w:rPr>
            </w:pPr>
            <w:r>
              <w:rPr>
                <w:rFonts w:ascii="仿宋" w:hAnsi="仿宋" w:eastAsia="仿宋" w:cs="Times New Roman"/>
                <w:sz w:val="24"/>
                <w:szCs w:val="24"/>
              </w:rPr>
              <w:t>序号</w:t>
            </w:r>
          </w:p>
        </w:tc>
        <w:tc>
          <w:tcPr>
            <w:tcW w:w="1481" w:type="pct"/>
            <w:tcBorders>
              <w:top w:val="single" w:color="auto" w:sz="4" w:space="0"/>
              <w:left w:val="single" w:color="auto" w:sz="4" w:space="0"/>
              <w:bottom w:val="single" w:color="auto" w:sz="4" w:space="0"/>
              <w:right w:val="single" w:color="auto" w:sz="4" w:space="0"/>
            </w:tcBorders>
            <w:shd w:val="clear" w:color="auto" w:fill="D8D8D8"/>
            <w:vAlign w:val="center"/>
          </w:tcPr>
          <w:p w14:paraId="53F2357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符合性审查项</w:t>
            </w:r>
          </w:p>
        </w:tc>
        <w:tc>
          <w:tcPr>
            <w:tcW w:w="3098" w:type="pct"/>
            <w:tcBorders>
              <w:top w:val="single" w:color="auto" w:sz="4" w:space="0"/>
              <w:left w:val="single" w:color="auto" w:sz="4" w:space="0"/>
              <w:bottom w:val="single" w:color="auto" w:sz="4" w:space="0"/>
              <w:right w:val="single" w:color="auto" w:sz="4" w:space="0"/>
            </w:tcBorders>
            <w:shd w:val="clear" w:color="auto" w:fill="D8D8D8"/>
            <w:vAlign w:val="center"/>
          </w:tcPr>
          <w:p w14:paraId="6A3F56C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通过条件</w:t>
            </w:r>
          </w:p>
        </w:tc>
      </w:tr>
      <w:tr w14:paraId="686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13BF09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1</w:t>
            </w:r>
          </w:p>
        </w:tc>
        <w:tc>
          <w:tcPr>
            <w:tcW w:w="1481" w:type="pct"/>
            <w:tcBorders>
              <w:top w:val="single" w:color="auto" w:sz="4" w:space="0"/>
              <w:left w:val="single" w:color="auto" w:sz="4" w:space="0"/>
              <w:bottom w:val="single" w:color="auto" w:sz="4" w:space="0"/>
              <w:right w:val="single" w:color="auto" w:sz="4" w:space="0"/>
            </w:tcBorders>
            <w:vAlign w:val="center"/>
          </w:tcPr>
          <w:p w14:paraId="7F632AEE">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投标文件封面、投标函、法定代表人授权委托书三处的项目名称、项目编号</w:t>
            </w:r>
            <w:r>
              <w:rPr>
                <w:rFonts w:hint="eastAsia" w:ascii="仿宋" w:hAnsi="仿宋" w:eastAsia="仿宋" w:cs="Times New Roman"/>
                <w:sz w:val="24"/>
                <w:szCs w:val="24"/>
              </w:rPr>
              <w:t>、标段</w:t>
            </w:r>
          </w:p>
        </w:tc>
        <w:tc>
          <w:tcPr>
            <w:tcW w:w="3098" w:type="pct"/>
            <w:tcBorders>
              <w:top w:val="single" w:color="auto" w:sz="4" w:space="0"/>
              <w:left w:val="single" w:color="auto" w:sz="4" w:space="0"/>
              <w:bottom w:val="single" w:color="auto" w:sz="4" w:space="0"/>
              <w:right w:val="single" w:color="auto" w:sz="4" w:space="0"/>
            </w:tcBorders>
            <w:vAlign w:val="center"/>
          </w:tcPr>
          <w:p w14:paraId="65D7605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三处均无遗漏，且与所投项目名称、项目编号</w:t>
            </w:r>
            <w:r>
              <w:rPr>
                <w:rFonts w:hint="eastAsia" w:ascii="仿宋" w:hAnsi="仿宋" w:eastAsia="仿宋" w:cs="Times New Roman"/>
                <w:sz w:val="24"/>
                <w:szCs w:val="24"/>
              </w:rPr>
              <w:t>、标段</w:t>
            </w:r>
            <w:r>
              <w:rPr>
                <w:rFonts w:ascii="仿宋" w:hAnsi="仿宋" w:eastAsia="仿宋" w:cs="Times New Roman"/>
                <w:sz w:val="24"/>
                <w:szCs w:val="24"/>
              </w:rPr>
              <w:t>一致。</w:t>
            </w:r>
          </w:p>
        </w:tc>
      </w:tr>
      <w:tr w14:paraId="7EE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3A363F4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2</w:t>
            </w:r>
          </w:p>
        </w:tc>
        <w:tc>
          <w:tcPr>
            <w:tcW w:w="1481" w:type="pct"/>
            <w:tcBorders>
              <w:top w:val="single" w:color="auto" w:sz="4" w:space="0"/>
              <w:left w:val="single" w:color="auto" w:sz="4" w:space="0"/>
              <w:bottom w:val="single" w:color="auto" w:sz="4" w:space="0"/>
              <w:right w:val="single" w:color="auto" w:sz="4" w:space="0"/>
            </w:tcBorders>
            <w:vAlign w:val="center"/>
          </w:tcPr>
          <w:p w14:paraId="0648283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投标文件签署、盖章</w:t>
            </w:r>
          </w:p>
        </w:tc>
        <w:tc>
          <w:tcPr>
            <w:tcW w:w="3098" w:type="pct"/>
            <w:tcBorders>
              <w:top w:val="single" w:color="auto" w:sz="4" w:space="0"/>
              <w:left w:val="single" w:color="auto" w:sz="4" w:space="0"/>
              <w:bottom w:val="single" w:color="auto" w:sz="4" w:space="0"/>
              <w:right w:val="single" w:color="auto" w:sz="4" w:space="0"/>
            </w:tcBorders>
            <w:vAlign w:val="center"/>
          </w:tcPr>
          <w:p w14:paraId="78125C8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均按招标文件要求盖章（评分标准中要求提供的证明材料除外）。</w:t>
            </w:r>
          </w:p>
        </w:tc>
      </w:tr>
      <w:tr w14:paraId="202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7875559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3</w:t>
            </w:r>
          </w:p>
        </w:tc>
        <w:tc>
          <w:tcPr>
            <w:tcW w:w="1481" w:type="pct"/>
            <w:tcBorders>
              <w:top w:val="single" w:color="auto" w:sz="4" w:space="0"/>
              <w:left w:val="single" w:color="auto" w:sz="4" w:space="0"/>
              <w:bottom w:val="single" w:color="auto" w:sz="4" w:space="0"/>
              <w:right w:val="single" w:color="auto" w:sz="4" w:space="0"/>
            </w:tcBorders>
            <w:vAlign w:val="center"/>
          </w:tcPr>
          <w:p w14:paraId="2835463B">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投标文件组成</w:t>
            </w:r>
          </w:p>
        </w:tc>
        <w:tc>
          <w:tcPr>
            <w:tcW w:w="3098" w:type="pct"/>
            <w:tcBorders>
              <w:top w:val="single" w:color="auto" w:sz="4" w:space="0"/>
              <w:left w:val="single" w:color="auto" w:sz="4" w:space="0"/>
              <w:bottom w:val="single" w:color="auto" w:sz="4" w:space="0"/>
              <w:right w:val="single" w:color="auto" w:sz="4" w:space="0"/>
            </w:tcBorders>
            <w:vAlign w:val="center"/>
          </w:tcPr>
          <w:p w14:paraId="6F84E041">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投标文件应包含以下内容：</w:t>
            </w:r>
          </w:p>
          <w:p w14:paraId="585F3F28">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（1）资格证明文件；</w:t>
            </w:r>
          </w:p>
          <w:p w14:paraId="57386103">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（2）符合性证明文件；</w:t>
            </w:r>
          </w:p>
          <w:p w14:paraId="1BBACAC9">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（3）投标方案。</w:t>
            </w:r>
          </w:p>
        </w:tc>
      </w:tr>
      <w:tr w14:paraId="13B8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6E511C2B">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4</w:t>
            </w:r>
          </w:p>
        </w:tc>
        <w:tc>
          <w:tcPr>
            <w:tcW w:w="1481" w:type="pct"/>
            <w:tcBorders>
              <w:top w:val="single" w:color="auto" w:sz="4" w:space="0"/>
              <w:left w:val="single" w:color="auto" w:sz="4" w:space="0"/>
              <w:bottom w:val="single" w:color="auto" w:sz="4" w:space="0"/>
              <w:right w:val="single" w:color="auto" w:sz="4" w:space="0"/>
            </w:tcBorders>
            <w:vAlign w:val="center"/>
          </w:tcPr>
          <w:p w14:paraId="218555A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w:t>
            </w:r>
          </w:p>
        </w:tc>
        <w:tc>
          <w:tcPr>
            <w:tcW w:w="3098" w:type="pct"/>
            <w:tcBorders>
              <w:top w:val="single" w:color="auto" w:sz="4" w:space="0"/>
              <w:left w:val="single" w:color="auto" w:sz="4" w:space="0"/>
              <w:bottom w:val="single" w:color="auto" w:sz="4" w:space="0"/>
              <w:right w:val="single" w:color="auto" w:sz="4" w:space="0"/>
            </w:tcBorders>
            <w:vAlign w:val="center"/>
          </w:tcPr>
          <w:p w14:paraId="36A9B49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投标文件有效期符合招标文件要求。</w:t>
            </w:r>
          </w:p>
        </w:tc>
      </w:tr>
      <w:tr w14:paraId="40A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12A6277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5</w:t>
            </w:r>
          </w:p>
        </w:tc>
        <w:tc>
          <w:tcPr>
            <w:tcW w:w="1481" w:type="pct"/>
            <w:tcBorders>
              <w:top w:val="single" w:color="auto" w:sz="4" w:space="0"/>
              <w:left w:val="single" w:color="auto" w:sz="4" w:space="0"/>
              <w:bottom w:val="single" w:color="auto" w:sz="4" w:space="0"/>
              <w:right w:val="single" w:color="auto" w:sz="4" w:space="0"/>
            </w:tcBorders>
            <w:vAlign w:val="center"/>
          </w:tcPr>
          <w:p w14:paraId="25346D5C">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开标一览表</w:t>
            </w:r>
          </w:p>
        </w:tc>
        <w:tc>
          <w:tcPr>
            <w:tcW w:w="3098" w:type="pct"/>
            <w:tcBorders>
              <w:top w:val="single" w:color="auto" w:sz="4" w:space="0"/>
              <w:left w:val="single" w:color="auto" w:sz="4" w:space="0"/>
              <w:bottom w:val="single" w:color="auto" w:sz="4" w:space="0"/>
              <w:right w:val="single" w:color="auto" w:sz="4" w:space="0"/>
            </w:tcBorders>
            <w:vAlign w:val="center"/>
          </w:tcPr>
          <w:p w14:paraId="697AB4E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（1）投标报价符合唯一性要求：</w:t>
            </w:r>
          </w:p>
          <w:p w14:paraId="5A19329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（2）开标一览表填写符合要求；</w:t>
            </w:r>
          </w:p>
          <w:p w14:paraId="02D0E83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（3）计量单位、报价货币均符合招标文件要求；</w:t>
            </w:r>
          </w:p>
          <w:p w14:paraId="1C5E9EC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（4）未超出采购预算或招标文件规定的最高限价。</w:t>
            </w:r>
          </w:p>
        </w:tc>
      </w:tr>
      <w:tr w14:paraId="1E02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0C5DB3F">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6</w:t>
            </w:r>
          </w:p>
        </w:tc>
        <w:tc>
          <w:tcPr>
            <w:tcW w:w="1481" w:type="pct"/>
            <w:tcBorders>
              <w:top w:val="single" w:color="auto" w:sz="4" w:space="0"/>
              <w:left w:val="single" w:color="auto" w:sz="4" w:space="0"/>
              <w:bottom w:val="single" w:color="auto" w:sz="4" w:space="0"/>
              <w:right w:val="single" w:color="auto" w:sz="4" w:space="0"/>
            </w:tcBorders>
            <w:vAlign w:val="center"/>
          </w:tcPr>
          <w:p w14:paraId="0ABC70B6">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技术服务要求</w:t>
            </w:r>
          </w:p>
        </w:tc>
        <w:tc>
          <w:tcPr>
            <w:tcW w:w="3098" w:type="pct"/>
            <w:tcBorders>
              <w:top w:val="single" w:color="auto" w:sz="4" w:space="0"/>
              <w:left w:val="single" w:color="auto" w:sz="4" w:space="0"/>
              <w:bottom w:val="single" w:color="auto" w:sz="4" w:space="0"/>
              <w:right w:val="single" w:color="auto" w:sz="4" w:space="0"/>
            </w:tcBorders>
            <w:vAlign w:val="center"/>
          </w:tcPr>
          <w:p w14:paraId="7B380221">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完全理解并接受对合格投标人、合格的服务要求，实质性要求没有负偏离。</w:t>
            </w:r>
          </w:p>
        </w:tc>
      </w:tr>
      <w:tr w14:paraId="0A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0597A7B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7</w:t>
            </w:r>
          </w:p>
        </w:tc>
        <w:tc>
          <w:tcPr>
            <w:tcW w:w="1481" w:type="pct"/>
            <w:tcBorders>
              <w:top w:val="single" w:color="auto" w:sz="4" w:space="0"/>
              <w:left w:val="single" w:color="auto" w:sz="4" w:space="0"/>
              <w:bottom w:val="single" w:color="auto" w:sz="4" w:space="0"/>
              <w:right w:val="single" w:color="auto" w:sz="4" w:space="0"/>
            </w:tcBorders>
            <w:vAlign w:val="center"/>
          </w:tcPr>
          <w:p w14:paraId="344EF03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无其他招标文件或法规明确规定响应无效的事项</w:t>
            </w:r>
          </w:p>
        </w:tc>
        <w:tc>
          <w:tcPr>
            <w:tcW w:w="3098" w:type="pct"/>
            <w:tcBorders>
              <w:top w:val="single" w:color="auto" w:sz="4" w:space="0"/>
              <w:left w:val="single" w:color="auto" w:sz="4" w:space="0"/>
              <w:bottom w:val="single" w:color="auto" w:sz="4" w:space="0"/>
              <w:right w:val="single" w:color="auto" w:sz="4" w:space="0"/>
            </w:tcBorders>
            <w:vAlign w:val="center"/>
          </w:tcPr>
          <w:p w14:paraId="040D109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没有不符合招标文件规定的被视为无效响应的其他条款。</w:t>
            </w:r>
          </w:p>
        </w:tc>
      </w:tr>
      <w:tr w14:paraId="54F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2BBB09A">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8</w:t>
            </w:r>
          </w:p>
        </w:tc>
        <w:tc>
          <w:tcPr>
            <w:tcW w:w="1481" w:type="pct"/>
            <w:tcBorders>
              <w:top w:val="single" w:color="auto" w:sz="4" w:space="0"/>
              <w:left w:val="single" w:color="auto" w:sz="4" w:space="0"/>
              <w:bottom w:val="single" w:color="auto" w:sz="4" w:space="0"/>
              <w:right w:val="single" w:color="auto" w:sz="4" w:space="0"/>
            </w:tcBorders>
            <w:vAlign w:val="center"/>
          </w:tcPr>
          <w:p w14:paraId="18D2278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c>
          <w:tcPr>
            <w:tcW w:w="3098" w:type="pct"/>
            <w:tcBorders>
              <w:top w:val="single" w:color="auto" w:sz="4" w:space="0"/>
              <w:left w:val="single" w:color="auto" w:sz="4" w:space="0"/>
              <w:bottom w:val="single" w:color="auto" w:sz="4" w:space="0"/>
              <w:right w:val="single" w:color="auto" w:sz="4" w:space="0"/>
            </w:tcBorders>
            <w:vAlign w:val="center"/>
          </w:tcPr>
          <w:p w14:paraId="13398B8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r>
    </w:tbl>
    <w:p w14:paraId="64B193BA">
      <w:pPr>
        <w:pStyle w:val="29"/>
        <w:spacing w:line="500" w:lineRule="exact"/>
        <w:ind w:firstLine="0" w:firstLineChars="0"/>
        <w:outlineLvl w:val="1"/>
        <w:rPr>
          <w:rFonts w:hint="eastAsia" w:ascii="仿宋" w:hAnsi="仿宋" w:eastAsia="仿宋" w:cs="Times New Roman"/>
          <w:b/>
          <w:sz w:val="28"/>
          <w:szCs w:val="28"/>
        </w:rPr>
      </w:pPr>
      <w:bookmarkStart w:id="164" w:name="_Toc48834540"/>
      <w:bookmarkStart w:id="165" w:name="_Toc48834102"/>
      <w:bookmarkStart w:id="166" w:name="_Toc48834172"/>
      <w:bookmarkStart w:id="167" w:name="_Toc48834461"/>
      <w:bookmarkStart w:id="168" w:name="_Hlk49247072"/>
      <w:bookmarkStart w:id="169" w:name="_Toc48834299"/>
    </w:p>
    <w:p w14:paraId="512391B2">
      <w:pPr>
        <w:pStyle w:val="29"/>
        <w:numPr>
          <w:ilvl w:val="0"/>
          <w:numId w:val="2"/>
        </w:numPr>
        <w:spacing w:line="500" w:lineRule="exact"/>
        <w:ind w:firstLine="0" w:firstLineChars="0"/>
        <w:outlineLvl w:val="1"/>
        <w:rPr>
          <w:rFonts w:ascii="仿宋" w:hAnsi="仿宋" w:eastAsia="仿宋" w:cs="Times New Roman"/>
          <w:b/>
          <w:sz w:val="28"/>
          <w:szCs w:val="28"/>
        </w:rPr>
      </w:pPr>
      <w:r>
        <w:rPr>
          <w:rFonts w:ascii="仿宋" w:hAnsi="仿宋" w:eastAsia="仿宋" w:cs="Times New Roman"/>
          <w:b/>
          <w:sz w:val="28"/>
          <w:szCs w:val="28"/>
        </w:rPr>
        <w:t>综合比较与评价</w:t>
      </w:r>
    </w:p>
    <w:p w14:paraId="26546792">
      <w:pPr>
        <w:pStyle w:val="29"/>
        <w:numPr>
          <w:ilvl w:val="0"/>
          <w:numId w:val="0"/>
        </w:numPr>
        <w:spacing w:afterLines="0" w:line="500" w:lineRule="exact"/>
        <w:jc w:val="both"/>
        <w:outlineLvl w:val="1"/>
        <w:rPr>
          <w:rFonts w:ascii="仿宋" w:hAnsi="仿宋" w:eastAsia="仿宋" w:cs="Times New Roman"/>
          <w:b/>
          <w:sz w:val="28"/>
          <w:szCs w:val="28"/>
        </w:rPr>
      </w:pPr>
      <w:r>
        <w:rPr>
          <w:rFonts w:hint="eastAsia" w:ascii="仿宋" w:hAnsi="仿宋" w:eastAsia="仿宋" w:cs="Times New Roman"/>
          <w:b/>
          <w:sz w:val="28"/>
          <w:szCs w:val="28"/>
          <w:lang w:eastAsia="zh-CN"/>
        </w:rPr>
        <w:t>一标段：</w:t>
      </w:r>
    </w:p>
    <w:bookmarkEnd w:id="164"/>
    <w:bookmarkEnd w:id="165"/>
    <w:bookmarkEnd w:id="166"/>
    <w:bookmarkEnd w:id="167"/>
    <w:bookmarkEnd w:id="168"/>
    <w:bookmarkEnd w:id="169"/>
    <w:tbl>
      <w:tblPr>
        <w:tblStyle w:val="31"/>
        <w:tblpPr w:leftFromText="180" w:rightFromText="180" w:vertAnchor="text" w:horzAnchor="page" w:tblpXSpec="center" w:tblpY="618"/>
        <w:tblOverlap w:val="never"/>
        <w:tblW w:w="9531" w:type="dxa"/>
        <w:jc w:val="center"/>
        <w:tblLayout w:type="fixed"/>
        <w:tblCellMar>
          <w:top w:w="0" w:type="dxa"/>
          <w:left w:w="108" w:type="dxa"/>
          <w:bottom w:w="0" w:type="dxa"/>
          <w:right w:w="108" w:type="dxa"/>
        </w:tblCellMar>
      </w:tblPr>
      <w:tblGrid>
        <w:gridCol w:w="800"/>
        <w:gridCol w:w="976"/>
        <w:gridCol w:w="725"/>
        <w:gridCol w:w="7030"/>
      </w:tblGrid>
      <w:tr w14:paraId="0ED83668">
        <w:tblPrEx>
          <w:tblCellMar>
            <w:top w:w="0" w:type="dxa"/>
            <w:left w:w="108" w:type="dxa"/>
            <w:bottom w:w="0" w:type="dxa"/>
            <w:right w:w="108" w:type="dxa"/>
          </w:tblCellMar>
        </w:tblPrEx>
        <w:trPr>
          <w:trHeight w:val="5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F43">
            <w:pPr>
              <w:widowControl/>
              <w:autoSpaceDN w:val="0"/>
              <w:spacing w:line="360" w:lineRule="exact"/>
              <w:jc w:val="center"/>
              <w:textAlignment w:val="center"/>
              <w:rPr>
                <w:rFonts w:hint="eastAsia" w:ascii="仿宋" w:hAnsi="仿宋" w:eastAsia="仿宋" w:cs="仿宋"/>
                <w:bCs/>
                <w:color w:val="000000"/>
                <w:kern w:val="0"/>
                <w:sz w:val="24"/>
                <w:szCs w:val="24"/>
                <w:lang w:bidi="ar"/>
              </w:rPr>
            </w:pPr>
            <w:bookmarkStart w:id="170" w:name="_Toc48834462"/>
            <w:bookmarkStart w:id="171" w:name="_Toc48834541"/>
            <w:bookmarkStart w:id="172" w:name="_Toc495014585"/>
            <w:bookmarkStart w:id="173" w:name="_Toc48834103"/>
            <w:bookmarkStart w:id="174" w:name="_Toc445306493"/>
            <w:bookmarkStart w:id="175" w:name="_Toc495012771"/>
            <w:bookmarkStart w:id="176" w:name="_Toc424636365"/>
            <w:bookmarkStart w:id="177" w:name="_Toc495014954"/>
            <w:bookmarkStart w:id="178" w:name="_Toc2631"/>
            <w:bookmarkStart w:id="179" w:name="_Toc48834300"/>
            <w:bookmarkStart w:id="180" w:name="_Toc495014920"/>
            <w:bookmarkStart w:id="181" w:name="_Toc495012821"/>
            <w:bookmarkStart w:id="182" w:name="_Toc495014649"/>
            <w:bookmarkStart w:id="183" w:name="_Toc495014611"/>
            <w:bookmarkStart w:id="184" w:name="_Toc48834173"/>
            <w:r>
              <w:rPr>
                <w:rFonts w:hint="eastAsia" w:ascii="仿宋" w:hAnsi="仿宋" w:eastAsia="仿宋" w:cs="仿宋"/>
                <w:bCs/>
                <w:color w:val="000000"/>
                <w:kern w:val="0"/>
                <w:sz w:val="24"/>
                <w:szCs w:val="24"/>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343">
            <w:pPr>
              <w:widowControl/>
              <w:autoSpaceDN w:val="0"/>
              <w:spacing w:line="360" w:lineRule="exact"/>
              <w:jc w:val="center"/>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评分因素</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A69">
            <w:pPr>
              <w:widowControl/>
              <w:autoSpaceDN w:val="0"/>
              <w:spacing w:line="360" w:lineRule="exact"/>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分值</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9C2B">
            <w:pPr>
              <w:widowControl/>
              <w:autoSpaceDN w:val="0"/>
              <w:spacing w:line="360" w:lineRule="exact"/>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评分标准</w:t>
            </w:r>
          </w:p>
        </w:tc>
      </w:tr>
      <w:tr w14:paraId="5E00B807">
        <w:tblPrEx>
          <w:tblCellMar>
            <w:top w:w="0" w:type="dxa"/>
            <w:left w:w="108" w:type="dxa"/>
            <w:bottom w:w="0" w:type="dxa"/>
            <w:right w:w="108" w:type="dxa"/>
          </w:tblCellMar>
        </w:tblPrEx>
        <w:trPr>
          <w:trHeight w:val="5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7E1">
            <w:pPr>
              <w:widowControl/>
              <w:autoSpaceDN w:val="0"/>
              <w:spacing w:line="360" w:lineRule="exact"/>
              <w:jc w:val="center"/>
              <w:textAlignment w:val="center"/>
              <w:rPr>
                <w:rFonts w:hint="eastAsia" w:ascii="仿宋" w:hAnsi="仿宋" w:eastAsia="仿宋" w:cs="仿宋"/>
                <w:bCs/>
                <w:color w:val="000000"/>
                <w:kern w:val="0"/>
                <w:sz w:val="24"/>
                <w:szCs w:val="24"/>
                <w:lang w:bidi="ar"/>
              </w:rPr>
            </w:pPr>
          </w:p>
          <w:p w14:paraId="2D764BC4">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1</w:t>
            </w:r>
          </w:p>
          <w:p w14:paraId="20C7F608">
            <w:pPr>
              <w:pStyle w:val="26"/>
              <w:widowControl/>
              <w:spacing w:line="500" w:lineRule="exact"/>
              <w:ind w:firstLine="486" w:firstLineChars="200"/>
              <w:jc w:val="center"/>
              <w:rPr>
                <w:rFonts w:hint="eastAsia" w:ascii="仿宋" w:hAnsi="仿宋" w:eastAsia="仿宋" w:cs="仿宋"/>
                <w:bCs/>
                <w:sz w:val="24"/>
                <w:szCs w:val="24"/>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99B">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投标报价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279">
            <w:pPr>
              <w:widowControl/>
              <w:autoSpaceDN w:val="0"/>
              <w:spacing w:line="360" w:lineRule="exact"/>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30分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F486">
            <w:pPr>
              <w:widowControl/>
              <w:autoSpaceDN w:val="0"/>
              <w:spacing w:line="360" w:lineRule="exact"/>
              <w:jc w:val="left"/>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满足招标文件要求且投标价格最低的投标报价为评标基准价 ，其价格分为满分(除低于成本价的投标报价被拒绝外)。其他投标人的价格 分统一按照下列公式计算：投标报价得分=(评标基准价/投标报价) ×30 </w:t>
            </w:r>
          </w:p>
          <w:p w14:paraId="6409E5E3">
            <w:pPr>
              <w:widowControl/>
              <w:autoSpaceDN w:val="0"/>
              <w:spacing w:line="360" w:lineRule="exact"/>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rPr>
              <w:t>备注：计算分数时四舍五入取小数点后两位。评标委员会认为供应商的报价明显低于其他通过符合性审查供应商的报价，有可能影响产品质量或者不能诚信履约的，应当要求其在评标现场合理的时间内提供书面说明，必要时递交相关证明材料；供应商不能证明其报价合理性的，评标委员会应当将其作为无效投标处理。</w:t>
            </w:r>
          </w:p>
        </w:tc>
      </w:tr>
      <w:tr w14:paraId="2023CA0C">
        <w:tblPrEx>
          <w:tblCellMar>
            <w:top w:w="0" w:type="dxa"/>
            <w:left w:w="108" w:type="dxa"/>
            <w:bottom w:w="0" w:type="dxa"/>
            <w:right w:w="108"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7AA">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C94">
            <w:pPr>
              <w:widowControl/>
              <w:autoSpaceDN w:val="0"/>
              <w:spacing w:line="360" w:lineRule="exact"/>
              <w:jc w:val="center"/>
              <w:textAlignment w:val="center"/>
              <w:rPr>
                <w:rFonts w:hint="eastAsia" w:ascii="仿宋" w:hAnsi="仿宋" w:eastAsia="仿宋" w:cs="仿宋"/>
                <w:bCs/>
                <w:kern w:val="0"/>
                <w:sz w:val="24"/>
                <w:szCs w:val="24"/>
                <w:lang w:bidi="ar"/>
              </w:rPr>
            </w:pPr>
          </w:p>
          <w:p w14:paraId="7E041B0B">
            <w:pPr>
              <w:widowControl/>
              <w:autoSpaceDN w:val="0"/>
              <w:spacing w:line="360" w:lineRule="exact"/>
              <w:ind w:firstLine="243" w:firstLineChars="100"/>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来源渠道</w:t>
            </w:r>
          </w:p>
          <w:p w14:paraId="0E7BC54B">
            <w:pPr>
              <w:pStyle w:val="26"/>
              <w:widowControl/>
              <w:spacing w:line="500" w:lineRule="exact"/>
              <w:ind w:firstLine="486" w:firstLineChars="200"/>
              <w:jc w:val="center"/>
              <w:rPr>
                <w:rFonts w:hint="eastAsia" w:ascii="仿宋" w:hAnsi="仿宋" w:eastAsia="仿宋" w:cs="仿宋"/>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9C4">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4分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DFE">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根据投标人提供的产品合法来源渠道证明资料，有质量保证，确保无假货、水货、翻新货，技术、商务资料齐全，无产权纠纷。0-4分，不提供不得分。</w:t>
            </w:r>
          </w:p>
          <w:p w14:paraId="427D36A5">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备注：以加盖投标人公章的证明材料为计分依据。</w:t>
            </w:r>
          </w:p>
        </w:tc>
      </w:tr>
      <w:tr w14:paraId="075CBD21">
        <w:tblPrEx>
          <w:tblCellMar>
            <w:top w:w="0" w:type="dxa"/>
            <w:left w:w="108" w:type="dxa"/>
            <w:bottom w:w="0" w:type="dxa"/>
            <w:right w:w="108" w:type="dxa"/>
          </w:tblCellMar>
        </w:tblPrEx>
        <w:trPr>
          <w:trHeight w:val="2772"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65DF">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3</w:t>
            </w:r>
          </w:p>
        </w:tc>
        <w:tc>
          <w:tcPr>
            <w:tcW w:w="976"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AD14339">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技术方案</w:t>
            </w:r>
          </w:p>
        </w:tc>
        <w:tc>
          <w:tcPr>
            <w:tcW w:w="725"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3D2676CB">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25分</w:t>
            </w:r>
          </w:p>
        </w:tc>
        <w:tc>
          <w:tcPr>
            <w:tcW w:w="7030" w:type="dxa"/>
            <w:tcBorders>
              <w:top w:val="single" w:color="000000" w:sz="4" w:space="0"/>
              <w:left w:val="single" w:color="auto" w:sz="4" w:space="0"/>
              <w:bottom w:val="single" w:color="auto" w:sz="4" w:space="0"/>
              <w:right w:val="single" w:color="auto" w:sz="4" w:space="0"/>
            </w:tcBorders>
            <w:shd w:val="clear" w:color="auto" w:fill="auto"/>
            <w:vAlign w:val="center"/>
          </w:tcPr>
          <w:p w14:paraId="6A0FC5A4">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建设方案要求（10分）</w:t>
            </w:r>
          </w:p>
          <w:p w14:paraId="0AE02D0F">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本项目实际需求及特点，提供针对本项目的技术方案，包括但不限于产品规格型号、主要技术指标、功能描述等。技术方案科学合理，与现有设备对接稳定可靠，相关资料完整，体现出方案的先进性、稳定性、安全性。所投产品功能满足要求且操作方便，安全可靠，技术资料和认证证书齐全、产品彩页清晰、功能描述详细、技术参数清楚明确、产品选型合理、整体解决方案符合采购要求。</w:t>
            </w:r>
          </w:p>
          <w:p w14:paraId="6529D4EF">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1、技术方案完整，生产工艺先进，产品选型合理、规格型号明确，整体指标优于招标文件要求，7-10分。</w:t>
            </w:r>
          </w:p>
          <w:p w14:paraId="6202BC76">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2、技术方案部分完整，产品选型基本合理、规格型号明确，整体指标基本符合招标文件要求，4-6分。</w:t>
            </w:r>
          </w:p>
          <w:p w14:paraId="139F773A">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3、技术方案不完整，未明确产品规格型号，技术参数无法满足招标文件要求，1-3分。</w:t>
            </w:r>
          </w:p>
          <w:p w14:paraId="1A279602">
            <w:pPr>
              <w:widowControl/>
              <w:autoSpaceDE w:val="0"/>
              <w:autoSpaceDN w:val="0"/>
              <w:adjustRightInd w:val="0"/>
              <w:jc w:val="left"/>
              <w:rPr>
                <w:rFonts w:hint="eastAsia" w:ascii="仿宋" w:hAnsi="仿宋" w:eastAsia="仿宋" w:cs="仿宋"/>
                <w:sz w:val="24"/>
                <w:szCs w:val="24"/>
                <w:lang w:bidi="ar"/>
              </w:rPr>
            </w:pPr>
            <w:r>
              <w:rPr>
                <w:rFonts w:hint="eastAsia" w:ascii="仿宋" w:hAnsi="仿宋" w:eastAsia="仿宋" w:cs="仿宋"/>
                <w:kern w:val="0"/>
                <w:sz w:val="24"/>
                <w:szCs w:val="24"/>
              </w:rPr>
              <w:t>4、无本项方案，计0分。</w:t>
            </w:r>
          </w:p>
        </w:tc>
      </w:tr>
      <w:tr w14:paraId="00C60FB0">
        <w:tblPrEx>
          <w:tblCellMar>
            <w:top w:w="0" w:type="dxa"/>
            <w:left w:w="108" w:type="dxa"/>
            <w:bottom w:w="0" w:type="dxa"/>
            <w:right w:w="108" w:type="dxa"/>
          </w:tblCellMar>
        </w:tblPrEx>
        <w:trPr>
          <w:trHeight w:val="738"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AF6C">
            <w:pPr>
              <w:rPr>
                <w:rFonts w:hint="eastAsia" w:ascii="仿宋" w:hAnsi="仿宋" w:eastAsia="仿宋" w:cs="仿宋"/>
                <w:sz w:val="24"/>
                <w:szCs w:val="24"/>
              </w:rPr>
            </w:pPr>
          </w:p>
        </w:tc>
        <w:tc>
          <w:tcPr>
            <w:tcW w:w="97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0429B5">
            <w:pPr>
              <w:rPr>
                <w:rFonts w:hint="eastAsia" w:ascii="仿宋" w:hAnsi="仿宋" w:eastAsia="仿宋" w:cs="仿宋"/>
                <w:sz w:val="24"/>
                <w:szCs w:val="24"/>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FC146">
            <w:pPr>
              <w:rPr>
                <w:rFonts w:hint="eastAsia" w:ascii="仿宋" w:hAnsi="仿宋" w:eastAsia="仿宋" w:cs="仿宋"/>
                <w:sz w:val="24"/>
                <w:szCs w:val="24"/>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14:paraId="79D4DBF8">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兼容性要求（15分）</w:t>
            </w:r>
          </w:p>
          <w:p w14:paraId="1AA3EE7D">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为确保业务连续性，投标人应结合现有设备进行兼容性方案设计，要求新建系统完全兼容现有视频会议系统设备，确保各类设备均能发挥原有性能。</w:t>
            </w:r>
          </w:p>
          <w:p w14:paraId="77E88CF1">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1、方案完整，逻辑层次清晰、针对性强、最大限度发挥完全兼容现有设备性能，计11-15分。</w:t>
            </w:r>
          </w:p>
          <w:p w14:paraId="431E4DF0">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2、方案部分完整，逻辑层次较清晰、内容较简单，可基本发挥现有设备性能，计6-10分。</w:t>
            </w:r>
          </w:p>
          <w:p w14:paraId="3C070730">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3、方案不完整，逻辑层次不清晰、不全面，无法发挥现有设备性能，计1-5分。</w:t>
            </w:r>
          </w:p>
          <w:p w14:paraId="043A1CD1">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7230DFFB">
        <w:tblPrEx>
          <w:tblCellMar>
            <w:top w:w="0" w:type="dxa"/>
            <w:left w:w="108" w:type="dxa"/>
            <w:bottom w:w="0" w:type="dxa"/>
            <w:right w:w="108"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5DD">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kern w:val="0"/>
                <w:sz w:val="24"/>
                <w:szCs w:val="24"/>
                <w:lang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03C3">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spacing w:val="1"/>
                <w:kern w:val="0"/>
                <w:sz w:val="24"/>
                <w:szCs w:val="24"/>
                <w:lang w:bidi="ar"/>
              </w:rPr>
              <w:t>产品技术性能指标</w:t>
            </w:r>
          </w:p>
        </w:tc>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082E6E">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kern w:val="0"/>
                <w:sz w:val="24"/>
                <w:szCs w:val="24"/>
                <w:lang w:bidi="ar"/>
              </w:rPr>
              <w:t>24分</w:t>
            </w:r>
          </w:p>
        </w:tc>
        <w:tc>
          <w:tcPr>
            <w:tcW w:w="70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21E94">
            <w:pPr>
              <w:pStyle w:val="10"/>
              <w:rPr>
                <w:rFonts w:hint="eastAsia" w:ascii="仿宋" w:hAnsi="仿宋" w:eastAsia="仿宋" w:cs="仿宋"/>
                <w:sz w:val="24"/>
                <w:szCs w:val="24"/>
              </w:rPr>
            </w:pPr>
            <w:r>
              <w:rPr>
                <w:rFonts w:hint="eastAsia" w:ascii="仿宋" w:hAnsi="仿宋" w:eastAsia="仿宋" w:cs="仿宋"/>
                <w:sz w:val="24"/>
                <w:szCs w:val="24"/>
              </w:rPr>
              <w:t>产品配置完整合理，其技术参数清晰明确并能逐条响应招标文件“技术参数表 ” 中参数要求。完全满足得5分：</w:t>
            </w:r>
            <w:r>
              <w:rPr>
                <w:rFonts w:hint="eastAsia" w:ascii="仿宋" w:hAnsi="仿宋" w:eastAsia="仿宋" w:cs="仿宋"/>
                <w:color w:val="000000"/>
                <w:sz w:val="24"/>
                <w:szCs w:val="24"/>
                <w:lang w:bidi="ar"/>
              </w:rPr>
              <w:t>★</w:t>
            </w:r>
            <w:r>
              <w:rPr>
                <w:rFonts w:hint="eastAsia" w:ascii="仿宋" w:hAnsi="仿宋" w:eastAsia="仿宋" w:cs="仿宋"/>
                <w:sz w:val="24"/>
                <w:szCs w:val="24"/>
              </w:rPr>
              <w:t>是重要参数，每满足一条并按要求提供相关证明材料得1分，最多得19分，总计24分。</w:t>
            </w:r>
          </w:p>
        </w:tc>
      </w:tr>
      <w:tr w14:paraId="7B33E8DB">
        <w:tblPrEx>
          <w:tblCellMar>
            <w:top w:w="0" w:type="dxa"/>
            <w:left w:w="108" w:type="dxa"/>
            <w:bottom w:w="0" w:type="dxa"/>
            <w:right w:w="108" w:type="dxa"/>
          </w:tblCellMar>
        </w:tblPrEx>
        <w:trPr>
          <w:trHeight w:val="699"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BED70">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2C629">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售后服务及技术支持</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976F">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15分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EDE">
            <w:pPr>
              <w:widowControl/>
              <w:autoSpaceDN w:val="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售后服务方案（10分）：</w:t>
            </w:r>
          </w:p>
          <w:p w14:paraId="59F77AF3">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根据投标人提供的针对本项目的实施方案进行差别赋分，包括但不限于项目实施方案 、组织计划、工期保证措施、售后服务方案、保修方案、巡检方案、交流及培训、技术服务保障支持方案，保证项目的安装 、调试、进度和运行顺利进行；不提供不计分。</w:t>
            </w:r>
          </w:p>
          <w:p w14:paraId="46979E2B">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1、实施方案非常详细、售后服务保障体系及措施非常完善，技术支持能力强，服务响应快，响应程度高，计7-10分；</w:t>
            </w:r>
          </w:p>
          <w:p w14:paraId="1C262A96">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2、实施方案较详细、售后服务保障体系及措施较好，技术支持能力较强，服务响应较快，满足采购需求，计4-6分；</w:t>
            </w:r>
          </w:p>
          <w:p w14:paraId="6E0230F2">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3、实施方案、售后服务保障体系及措施基本符合招标要求，但技术能力和服务响应速度较差或一般，计1-3分。</w:t>
            </w:r>
          </w:p>
          <w:p w14:paraId="2B3C1216">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7B842368">
        <w:tblPrEx>
          <w:tblCellMar>
            <w:top w:w="0" w:type="dxa"/>
            <w:left w:w="108" w:type="dxa"/>
            <w:bottom w:w="0" w:type="dxa"/>
            <w:right w:w="108" w:type="dxa"/>
          </w:tblCellMar>
        </w:tblPrEx>
        <w:trPr>
          <w:trHeight w:val="9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2BFD">
            <w:pPr>
              <w:rPr>
                <w:rFonts w:hint="eastAsia" w:ascii="仿宋" w:hAnsi="仿宋" w:eastAsia="仿宋" w:cs="仿宋"/>
                <w:sz w:val="24"/>
                <w:szCs w:val="24"/>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7E1B">
            <w:pPr>
              <w:rPr>
                <w:rFonts w:hint="eastAsia" w:ascii="仿宋" w:hAnsi="仿宋" w:eastAsia="仿宋" w:cs="仿宋"/>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DE95">
            <w:pPr>
              <w:rPr>
                <w:rFonts w:hint="eastAsia" w:ascii="仿宋" w:hAnsi="仿宋" w:eastAsia="仿宋" w:cs="仿宋"/>
                <w:sz w:val="24"/>
                <w:szCs w:val="24"/>
              </w:rPr>
            </w:pP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23D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售后服务支持能力（5分）：</w:t>
            </w:r>
          </w:p>
          <w:p w14:paraId="39F8D79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投标人能够提供指定地点的现场服务支持，有最近的备品备件库、售后服务网络和对应的24小时服务支持热线，技术力量能满足应急服务及时保障的需求； </w:t>
            </w:r>
          </w:p>
          <w:p w14:paraId="656B24E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赋分依据（满分 5分） </w:t>
            </w:r>
          </w:p>
          <w:p w14:paraId="5910992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1、售后服务支持能力完备，遇到故障，响应时间产品服务 2 小时内，有故障处理及补救措施得，计5-4分；</w:t>
            </w:r>
          </w:p>
          <w:p w14:paraId="05EC9A5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2、售后服务支持能力较完善，遇到故障，响应时间产品服务 4 小时内，有故障处理及补救措施得，计2-3分。</w:t>
            </w:r>
          </w:p>
          <w:p w14:paraId="5219B7D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3、售后服务支持能力基本满足日常需求，响应时间产品服务 8 小时内，无故障处理及补救措施，计1分。</w:t>
            </w:r>
          </w:p>
          <w:p w14:paraId="4263E051">
            <w:pPr>
              <w:pStyle w:val="26"/>
              <w:widowControl/>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2F37FCDC">
        <w:tblPrEx>
          <w:tblCellMar>
            <w:top w:w="0" w:type="dxa"/>
            <w:left w:w="108" w:type="dxa"/>
            <w:bottom w:w="0" w:type="dxa"/>
            <w:right w:w="108" w:type="dxa"/>
          </w:tblCellMar>
        </w:tblPrEx>
        <w:trPr>
          <w:trHeight w:val="1143"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ECF">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6E4">
            <w:pPr>
              <w:widowControl/>
              <w:autoSpaceDN w:val="0"/>
              <w:spacing w:line="360" w:lineRule="exact"/>
              <w:jc w:val="center"/>
              <w:textAlignment w:val="center"/>
              <w:rPr>
                <w:rFonts w:hint="eastAsia" w:ascii="仿宋" w:hAnsi="仿宋" w:eastAsia="仿宋" w:cs="仿宋"/>
                <w:spacing w:val="1"/>
                <w:sz w:val="24"/>
                <w:szCs w:val="24"/>
              </w:rPr>
            </w:pPr>
            <w:r>
              <w:rPr>
                <w:rFonts w:hint="eastAsia" w:ascii="仿宋" w:hAnsi="仿宋" w:eastAsia="仿宋" w:cs="仿宋"/>
                <w:spacing w:val="1"/>
                <w:kern w:val="0"/>
                <w:sz w:val="24"/>
                <w:szCs w:val="24"/>
                <w:lang w:bidi="ar"/>
              </w:rPr>
              <w:t>业绩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598">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2分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F34">
            <w:pPr>
              <w:widowControl/>
              <w:autoSpaceDN w:val="0"/>
              <w:jc w:val="left"/>
              <w:textAlignment w:val="center"/>
              <w:rPr>
                <w:rFonts w:hint="eastAsia" w:ascii="仿宋" w:hAnsi="仿宋" w:eastAsia="仿宋" w:cs="仿宋"/>
                <w:spacing w:val="1"/>
                <w:sz w:val="24"/>
                <w:szCs w:val="24"/>
              </w:rPr>
            </w:pPr>
            <w:r>
              <w:rPr>
                <w:rFonts w:hint="eastAsia" w:ascii="仿宋" w:hAnsi="仿宋" w:eastAsia="仿宋" w:cs="仿宋"/>
                <w:spacing w:val="1"/>
                <w:sz w:val="24"/>
                <w:szCs w:val="24"/>
              </w:rPr>
              <w:t>投标人提供视频会议系统相关项目业绩，投标文件中须提供合同的相关页复印件，提供1份合同得2分，未提供不得分，最高得2分。</w:t>
            </w:r>
          </w:p>
        </w:tc>
      </w:tr>
    </w:tbl>
    <w:p w14:paraId="6EB1D038">
      <w:pPr>
        <w:spacing w:line="500" w:lineRule="exact"/>
        <w:rPr>
          <w:rFonts w:hint="eastAsia" w:ascii="宋体" w:hAnsi="宋体" w:cs="宋体"/>
          <w:b/>
          <w:bCs/>
          <w:kern w:val="0"/>
          <w:sz w:val="28"/>
          <w:szCs w:val="28"/>
          <w:lang w:eastAsia="zh-CN"/>
        </w:rPr>
      </w:pPr>
    </w:p>
    <w:p w14:paraId="6E658730">
      <w:pPr>
        <w:spacing w:line="500" w:lineRule="exact"/>
        <w:rPr>
          <w:rFonts w:hint="eastAsia" w:ascii="宋体" w:hAnsi="宋体" w:eastAsia="华文仿宋" w:cs="宋体"/>
          <w:b/>
          <w:bCs/>
          <w:kern w:val="0"/>
          <w:sz w:val="28"/>
          <w:szCs w:val="28"/>
          <w:lang w:eastAsia="zh-CN"/>
        </w:rPr>
      </w:pPr>
      <w:r>
        <w:rPr>
          <w:rFonts w:hint="eastAsia" w:ascii="宋体" w:hAnsi="宋体" w:cs="宋体"/>
          <w:b/>
          <w:bCs/>
          <w:kern w:val="0"/>
          <w:sz w:val="28"/>
          <w:szCs w:val="28"/>
          <w:lang w:eastAsia="zh-CN"/>
        </w:rPr>
        <w:t>二标段：</w:t>
      </w:r>
    </w:p>
    <w:tbl>
      <w:tblPr>
        <w:tblStyle w:val="100"/>
        <w:tblW w:w="894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1"/>
        <w:gridCol w:w="7057"/>
        <w:gridCol w:w="698"/>
      </w:tblGrid>
      <w:tr w14:paraId="00CB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191" w:type="dxa"/>
          </w:tcPr>
          <w:p w14:paraId="4D2DFC5B">
            <w:pPr>
              <w:pStyle w:val="104"/>
              <w:spacing w:before="171" w:line="219" w:lineRule="auto"/>
              <w:ind w:left="117"/>
            </w:pPr>
            <w:r>
              <w:rPr>
                <w:b/>
                <w:bCs/>
                <w:spacing w:val="-4"/>
              </w:rPr>
              <w:t>评分因素</w:t>
            </w:r>
          </w:p>
        </w:tc>
        <w:tc>
          <w:tcPr>
            <w:tcW w:w="7057" w:type="dxa"/>
          </w:tcPr>
          <w:p w14:paraId="196D4C13">
            <w:pPr>
              <w:pStyle w:val="104"/>
              <w:spacing w:before="171" w:line="219" w:lineRule="auto"/>
              <w:ind w:left="2964"/>
            </w:pPr>
            <w:r>
              <w:rPr>
                <w:b/>
                <w:bCs/>
                <w:spacing w:val="-4"/>
              </w:rPr>
              <w:t>评审内容</w:t>
            </w:r>
          </w:p>
        </w:tc>
        <w:tc>
          <w:tcPr>
            <w:tcW w:w="698" w:type="dxa"/>
          </w:tcPr>
          <w:p w14:paraId="2C5303DB">
            <w:pPr>
              <w:pStyle w:val="104"/>
              <w:spacing w:before="171" w:line="219" w:lineRule="auto"/>
              <w:ind w:left="214"/>
            </w:pPr>
            <w:r>
              <w:rPr>
                <w:b/>
                <w:bCs/>
                <w:spacing w:val="-8"/>
              </w:rPr>
              <w:t>分值</w:t>
            </w:r>
          </w:p>
        </w:tc>
      </w:tr>
      <w:tr w14:paraId="5258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8" w:hRule="atLeast"/>
        </w:trPr>
        <w:tc>
          <w:tcPr>
            <w:tcW w:w="1191" w:type="dxa"/>
          </w:tcPr>
          <w:p w14:paraId="0959D2C7">
            <w:pPr>
              <w:spacing w:line="272" w:lineRule="auto"/>
            </w:pPr>
          </w:p>
          <w:p w14:paraId="49A2ECCF">
            <w:pPr>
              <w:spacing w:line="272" w:lineRule="auto"/>
            </w:pPr>
          </w:p>
          <w:p w14:paraId="51F2A9DA">
            <w:pPr>
              <w:spacing w:line="273" w:lineRule="auto"/>
            </w:pPr>
          </w:p>
          <w:p w14:paraId="0B063362">
            <w:pPr>
              <w:spacing w:line="273" w:lineRule="auto"/>
            </w:pPr>
          </w:p>
          <w:p w14:paraId="08937EF8">
            <w:pPr>
              <w:spacing w:line="273" w:lineRule="auto"/>
            </w:pPr>
          </w:p>
          <w:p w14:paraId="3D3177A0">
            <w:pPr>
              <w:pStyle w:val="104"/>
              <w:spacing w:before="78" w:line="226" w:lineRule="auto"/>
              <w:ind w:left="75" w:right="62" w:firstLine="51"/>
            </w:pPr>
            <w:r>
              <w:rPr>
                <w:spacing w:val="-4"/>
              </w:rPr>
              <w:t>投标报价</w:t>
            </w:r>
            <w:r>
              <w:rPr>
                <w:spacing w:val="-11"/>
              </w:rPr>
              <w:t>（10</w:t>
            </w:r>
            <w:r>
              <w:rPr>
                <w:spacing w:val="12"/>
              </w:rPr>
              <w:t xml:space="preserve"> </w:t>
            </w:r>
            <w:r>
              <w:rPr>
                <w:spacing w:val="-11"/>
              </w:rPr>
              <w:t>分）</w:t>
            </w:r>
          </w:p>
        </w:tc>
        <w:tc>
          <w:tcPr>
            <w:tcW w:w="7057" w:type="dxa"/>
            <w:vAlign w:val="top"/>
          </w:tcPr>
          <w:p w14:paraId="24D01817">
            <w:pPr>
              <w:pStyle w:val="104"/>
              <w:spacing w:before="282" w:line="225" w:lineRule="auto"/>
              <w:ind w:left="35" w:right="111" w:firstLine="4"/>
              <w:rPr>
                <w:lang w:eastAsia="zh-CN"/>
              </w:rPr>
            </w:pPr>
            <w:r>
              <w:rPr>
                <w:spacing w:val="-1"/>
                <w:lang w:eastAsia="zh-CN"/>
              </w:rPr>
              <w:t>投标报价（10 分</w:t>
            </w:r>
            <w:r>
              <w:rPr>
                <w:spacing w:val="6"/>
                <w:lang w:eastAsia="zh-CN"/>
              </w:rPr>
              <w:t>）：</w:t>
            </w:r>
            <w:r>
              <w:rPr>
                <w:spacing w:val="-1"/>
                <w:lang w:eastAsia="zh-CN"/>
              </w:rPr>
              <w:t>满足招标文件实质性要求且投标价格最低</w:t>
            </w:r>
            <w:r>
              <w:rPr>
                <w:lang w:eastAsia="zh-CN"/>
              </w:rPr>
              <w:t>的投标报价为评标基准价，其价格分为满分</w:t>
            </w:r>
            <w:r>
              <w:rPr>
                <w:spacing w:val="-1"/>
                <w:lang w:eastAsia="zh-CN"/>
              </w:rPr>
              <w:t>。其他投标人的价格</w:t>
            </w:r>
            <w:r>
              <w:rPr>
                <w:lang w:eastAsia="zh-CN"/>
              </w:rPr>
              <w:t>分统一按照下列公式计算：投标报价得分 =</w:t>
            </w:r>
            <w:r>
              <w:rPr>
                <w:spacing w:val="-1"/>
                <w:lang w:eastAsia="zh-CN"/>
              </w:rPr>
              <w:t>(评标基准价／投标</w:t>
            </w:r>
            <w:r>
              <w:rPr>
                <w:lang w:eastAsia="zh-CN"/>
              </w:rPr>
              <w:t>报价)×价格权重值× 100，计算分数时四</w:t>
            </w:r>
            <w:r>
              <w:rPr>
                <w:spacing w:val="-1"/>
                <w:lang w:eastAsia="zh-CN"/>
              </w:rPr>
              <w:t>舍五入取小数点后两</w:t>
            </w:r>
            <w:r>
              <w:rPr>
                <w:lang w:eastAsia="zh-CN"/>
              </w:rPr>
              <w:t>位。评审委员会发现某一供应商的最后报价</w:t>
            </w:r>
            <w:r>
              <w:rPr>
                <w:spacing w:val="-1"/>
                <w:lang w:eastAsia="zh-CN"/>
              </w:rPr>
              <w:t>明显低于其他供应商</w:t>
            </w:r>
            <w:r>
              <w:rPr>
                <w:lang w:eastAsia="zh-CN"/>
              </w:rPr>
              <w:t>的最后报价，使得其报价可能低于其成本的</w:t>
            </w:r>
            <w:r>
              <w:rPr>
                <w:spacing w:val="-1"/>
                <w:lang w:eastAsia="zh-CN"/>
              </w:rPr>
              <w:t>，应当要求该供应商</w:t>
            </w:r>
            <w:r>
              <w:rPr>
                <w:lang w:eastAsia="zh-CN"/>
              </w:rPr>
              <w:t>作出书面说明并提供相应的证明材料。供应</w:t>
            </w:r>
            <w:r>
              <w:rPr>
                <w:spacing w:val="-1"/>
                <w:lang w:eastAsia="zh-CN"/>
              </w:rPr>
              <w:t>商不能合理说明或者</w:t>
            </w:r>
            <w:r>
              <w:rPr>
                <w:spacing w:val="-2"/>
                <w:lang w:eastAsia="zh-CN"/>
              </w:rPr>
              <w:t>不能提供相应证明材料的，</w:t>
            </w:r>
            <w:r>
              <w:rPr>
                <w:spacing w:val="45"/>
                <w:lang w:eastAsia="zh-CN"/>
              </w:rPr>
              <w:t xml:space="preserve"> </w:t>
            </w:r>
            <w:r>
              <w:rPr>
                <w:spacing w:val="-2"/>
                <w:lang w:eastAsia="zh-CN"/>
              </w:rPr>
              <w:t>由评审委员会认定该供应商以低于</w:t>
            </w:r>
            <w:r>
              <w:rPr>
                <w:lang w:eastAsia="zh-CN"/>
              </w:rPr>
              <w:t>成本报价竞标，其供应商的最后报价不予认</w:t>
            </w:r>
            <w:r>
              <w:rPr>
                <w:spacing w:val="-1"/>
                <w:lang w:eastAsia="zh-CN"/>
              </w:rPr>
              <w:t>可，作无效响应处理</w:t>
            </w:r>
            <w:r>
              <w:rPr>
                <w:spacing w:val="-9"/>
                <w:lang w:eastAsia="zh-CN"/>
              </w:rPr>
              <w:t>视为自动放弃。</w:t>
            </w:r>
          </w:p>
        </w:tc>
        <w:tc>
          <w:tcPr>
            <w:tcW w:w="698" w:type="dxa"/>
          </w:tcPr>
          <w:p w14:paraId="3FEED88B">
            <w:pPr>
              <w:spacing w:line="251" w:lineRule="auto"/>
            </w:pPr>
          </w:p>
          <w:p w14:paraId="3F58BCA9">
            <w:pPr>
              <w:spacing w:line="251" w:lineRule="auto"/>
            </w:pPr>
          </w:p>
          <w:p w14:paraId="1872CC4C">
            <w:pPr>
              <w:spacing w:line="251" w:lineRule="auto"/>
            </w:pPr>
          </w:p>
          <w:p w14:paraId="3AD0FD3F">
            <w:pPr>
              <w:spacing w:line="251" w:lineRule="auto"/>
            </w:pPr>
          </w:p>
          <w:p w14:paraId="25129E9F">
            <w:pPr>
              <w:spacing w:line="251" w:lineRule="auto"/>
            </w:pPr>
          </w:p>
          <w:p w14:paraId="60DD5FE0">
            <w:pPr>
              <w:spacing w:line="252" w:lineRule="auto"/>
            </w:pPr>
          </w:p>
          <w:p w14:paraId="45CCECD9">
            <w:pPr>
              <w:pStyle w:val="104"/>
              <w:spacing w:before="78"/>
              <w:ind w:left="351"/>
            </w:pPr>
            <w:r>
              <w:rPr>
                <w:spacing w:val="-14"/>
              </w:rPr>
              <w:t>10</w:t>
            </w:r>
          </w:p>
        </w:tc>
      </w:tr>
      <w:tr w14:paraId="519B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191" w:type="dxa"/>
          </w:tcPr>
          <w:p w14:paraId="18EE1D2B">
            <w:pPr>
              <w:spacing w:line="269" w:lineRule="auto"/>
            </w:pPr>
          </w:p>
          <w:p w14:paraId="21982CA6">
            <w:pPr>
              <w:spacing w:line="269" w:lineRule="auto"/>
            </w:pPr>
          </w:p>
          <w:p w14:paraId="56C22910">
            <w:pPr>
              <w:spacing w:line="269" w:lineRule="auto"/>
            </w:pPr>
          </w:p>
          <w:p w14:paraId="224F256D">
            <w:pPr>
              <w:spacing w:line="269" w:lineRule="auto"/>
            </w:pPr>
          </w:p>
          <w:p w14:paraId="40ED069B">
            <w:pPr>
              <w:spacing w:line="270" w:lineRule="auto"/>
            </w:pPr>
          </w:p>
          <w:p w14:paraId="3C0BB032">
            <w:pPr>
              <w:spacing w:line="270" w:lineRule="auto"/>
            </w:pPr>
          </w:p>
          <w:p w14:paraId="0668E1D2">
            <w:pPr>
              <w:spacing w:line="270" w:lineRule="auto"/>
            </w:pPr>
          </w:p>
          <w:p w14:paraId="2B6A77BA">
            <w:pPr>
              <w:pStyle w:val="104"/>
              <w:spacing w:before="78" w:line="228" w:lineRule="auto"/>
              <w:ind w:left="75" w:right="62" w:firstLine="48"/>
            </w:pPr>
            <w:r>
              <w:rPr>
                <w:spacing w:val="-3"/>
              </w:rPr>
              <w:t>服务方案</w:t>
            </w:r>
            <w:r>
              <w:rPr>
                <w:spacing w:val="-11"/>
              </w:rPr>
              <w:t>（40</w:t>
            </w:r>
            <w:r>
              <w:rPr>
                <w:spacing w:val="12"/>
              </w:rPr>
              <w:t xml:space="preserve"> </w:t>
            </w:r>
            <w:r>
              <w:rPr>
                <w:spacing w:val="-11"/>
              </w:rPr>
              <w:t>分）</w:t>
            </w:r>
          </w:p>
        </w:tc>
        <w:tc>
          <w:tcPr>
            <w:tcW w:w="7057" w:type="dxa"/>
          </w:tcPr>
          <w:p w14:paraId="4F2508D1">
            <w:pPr>
              <w:pStyle w:val="104"/>
              <w:spacing w:before="78" w:line="219" w:lineRule="auto"/>
              <w:rPr>
                <w:lang w:eastAsia="zh-CN"/>
              </w:rPr>
            </w:pPr>
            <w:r>
              <w:rPr>
                <w:spacing w:val="-3"/>
                <w:lang w:eastAsia="zh-CN"/>
              </w:rPr>
              <w:t>一、评审内容</w:t>
            </w:r>
          </w:p>
          <w:p w14:paraId="240D8247">
            <w:pPr>
              <w:pStyle w:val="104"/>
              <w:spacing w:before="10" w:line="224" w:lineRule="auto"/>
              <w:ind w:left="35" w:right="111" w:firstLine="3"/>
              <w:rPr>
                <w:lang w:eastAsia="zh-CN"/>
              </w:rPr>
            </w:pPr>
            <w:r>
              <w:rPr>
                <w:spacing w:val="-1"/>
                <w:lang w:eastAsia="zh-CN"/>
              </w:rPr>
              <w:t>投标人针对本项目提供完整、合理、详细的监理大纲，监理大纲需包含：①监理工作目标及监理依据；②监理工作内容；③质量控制方法和措施：④重点部位、关键点工序的控制措施；⑤安全管理措施；⑥进度控制措施；⑦组织协调措施：⑧合同管理及信息管理；⑨监理工作流程；⑩监理工作制度。</w:t>
            </w:r>
          </w:p>
          <w:p w14:paraId="1D18597C">
            <w:pPr>
              <w:pStyle w:val="104"/>
              <w:spacing w:line="220" w:lineRule="auto"/>
              <w:ind w:left="40"/>
              <w:rPr>
                <w:lang w:eastAsia="zh-CN"/>
              </w:rPr>
            </w:pPr>
            <w:r>
              <w:rPr>
                <w:spacing w:val="-3"/>
                <w:lang w:eastAsia="zh-CN"/>
              </w:rPr>
              <w:t>二、评审要求</w:t>
            </w:r>
          </w:p>
          <w:p w14:paraId="6597AD51">
            <w:pPr>
              <w:pStyle w:val="104"/>
              <w:spacing w:before="6" w:line="219" w:lineRule="auto"/>
              <w:ind w:left="36"/>
              <w:rPr>
                <w:lang w:eastAsia="zh-CN"/>
              </w:rPr>
            </w:pPr>
            <w:r>
              <w:rPr>
                <w:spacing w:val="-2"/>
                <w:lang w:eastAsia="zh-CN"/>
              </w:rPr>
              <w:t>每提供 1 项内容计</w:t>
            </w:r>
            <w:r>
              <w:rPr>
                <w:spacing w:val="12"/>
                <w:lang w:eastAsia="zh-CN"/>
              </w:rPr>
              <w:t xml:space="preserve"> </w:t>
            </w:r>
            <w:r>
              <w:rPr>
                <w:spacing w:val="-2"/>
                <w:lang w:eastAsia="zh-CN"/>
              </w:rPr>
              <w:t>4</w:t>
            </w:r>
            <w:r>
              <w:rPr>
                <w:spacing w:val="12"/>
                <w:lang w:eastAsia="zh-CN"/>
              </w:rPr>
              <w:t xml:space="preserve"> </w:t>
            </w:r>
            <w:r>
              <w:rPr>
                <w:spacing w:val="-2"/>
                <w:lang w:eastAsia="zh-CN"/>
              </w:rPr>
              <w:t>分，满分</w:t>
            </w:r>
            <w:r>
              <w:rPr>
                <w:spacing w:val="9"/>
                <w:lang w:eastAsia="zh-CN"/>
              </w:rPr>
              <w:t xml:space="preserve"> </w:t>
            </w:r>
            <w:r>
              <w:rPr>
                <w:spacing w:val="-2"/>
                <w:lang w:eastAsia="zh-CN"/>
              </w:rPr>
              <w:t>40</w:t>
            </w:r>
            <w:r>
              <w:rPr>
                <w:spacing w:val="12"/>
                <w:lang w:eastAsia="zh-CN"/>
              </w:rPr>
              <w:t xml:space="preserve"> </w:t>
            </w:r>
            <w:r>
              <w:rPr>
                <w:spacing w:val="-2"/>
                <w:lang w:eastAsia="zh-CN"/>
              </w:rPr>
              <w:t>分；每缺少一项内容扣</w:t>
            </w:r>
            <w:r>
              <w:rPr>
                <w:spacing w:val="9"/>
                <w:lang w:eastAsia="zh-CN"/>
              </w:rPr>
              <w:t xml:space="preserve"> </w:t>
            </w:r>
            <w:r>
              <w:rPr>
                <w:spacing w:val="-2"/>
                <w:lang w:eastAsia="zh-CN"/>
              </w:rPr>
              <w:t>4</w:t>
            </w:r>
          </w:p>
          <w:p w14:paraId="3B90D80C">
            <w:pPr>
              <w:pStyle w:val="104"/>
              <w:spacing w:before="9" w:line="225" w:lineRule="auto"/>
              <w:ind w:left="36" w:right="111" w:firstLine="2"/>
              <w:rPr>
                <w:lang w:eastAsia="zh-CN"/>
              </w:rPr>
            </w:pPr>
            <w:r>
              <w:rPr>
                <w:spacing w:val="-1"/>
                <w:lang w:eastAsia="zh-CN"/>
              </w:rPr>
              <w:t>分，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 分，扣完为止。</w:t>
            </w:r>
          </w:p>
        </w:tc>
        <w:tc>
          <w:tcPr>
            <w:tcW w:w="698" w:type="dxa"/>
          </w:tcPr>
          <w:p w14:paraId="250B37E3">
            <w:pPr>
              <w:spacing w:line="253" w:lineRule="auto"/>
            </w:pPr>
          </w:p>
          <w:p w14:paraId="3EB16A65">
            <w:pPr>
              <w:spacing w:line="254" w:lineRule="auto"/>
            </w:pPr>
          </w:p>
          <w:p w14:paraId="6B6D683E">
            <w:pPr>
              <w:spacing w:line="254" w:lineRule="auto"/>
            </w:pPr>
          </w:p>
          <w:p w14:paraId="169461CB">
            <w:pPr>
              <w:spacing w:line="254" w:lineRule="auto"/>
            </w:pPr>
          </w:p>
          <w:p w14:paraId="5DF8E683">
            <w:pPr>
              <w:spacing w:line="254" w:lineRule="auto"/>
            </w:pPr>
          </w:p>
          <w:p w14:paraId="24913F93">
            <w:pPr>
              <w:spacing w:line="254" w:lineRule="auto"/>
            </w:pPr>
          </w:p>
          <w:p w14:paraId="5C84DC18">
            <w:pPr>
              <w:spacing w:line="254" w:lineRule="auto"/>
            </w:pPr>
          </w:p>
          <w:p w14:paraId="7386E1AC">
            <w:pPr>
              <w:spacing w:line="254" w:lineRule="auto"/>
            </w:pPr>
          </w:p>
          <w:p w14:paraId="07705CB1">
            <w:pPr>
              <w:pStyle w:val="104"/>
              <w:spacing w:before="78"/>
              <w:ind w:left="332"/>
            </w:pPr>
            <w:r>
              <w:rPr>
                <w:spacing w:val="-5"/>
              </w:rPr>
              <w:t>40</w:t>
            </w:r>
          </w:p>
        </w:tc>
      </w:tr>
      <w:tr w14:paraId="4EEE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91" w:type="dxa"/>
          </w:tcPr>
          <w:p w14:paraId="0EDAB041">
            <w:pPr>
              <w:spacing w:line="262" w:lineRule="auto"/>
            </w:pPr>
          </w:p>
          <w:p w14:paraId="306EB2E3">
            <w:pPr>
              <w:spacing w:line="262" w:lineRule="auto"/>
            </w:pPr>
          </w:p>
          <w:p w14:paraId="3C38D9D1">
            <w:pPr>
              <w:spacing w:line="262" w:lineRule="auto"/>
            </w:pPr>
          </w:p>
          <w:p w14:paraId="416798D6">
            <w:pPr>
              <w:spacing w:line="262" w:lineRule="auto"/>
            </w:pPr>
          </w:p>
          <w:p w14:paraId="575FF172">
            <w:pPr>
              <w:spacing w:line="262" w:lineRule="auto"/>
            </w:pPr>
          </w:p>
          <w:p w14:paraId="74EAD8BC">
            <w:pPr>
              <w:spacing w:line="262" w:lineRule="auto"/>
            </w:pPr>
          </w:p>
          <w:p w14:paraId="7E8AEF62">
            <w:pPr>
              <w:spacing w:line="262" w:lineRule="auto"/>
            </w:pPr>
          </w:p>
          <w:p w14:paraId="4A227164">
            <w:pPr>
              <w:pStyle w:val="104"/>
              <w:spacing w:before="78" w:line="228" w:lineRule="auto"/>
              <w:ind w:left="194" w:right="101" w:hanging="71"/>
            </w:pPr>
            <w:r>
              <w:rPr>
                <w:spacing w:val="-3"/>
              </w:rPr>
              <w:t>服务承诺</w:t>
            </w:r>
            <w:r>
              <w:rPr>
                <w:spacing w:val="-6"/>
              </w:rPr>
              <w:t>（6分）</w:t>
            </w:r>
          </w:p>
        </w:tc>
        <w:tc>
          <w:tcPr>
            <w:tcW w:w="7057" w:type="dxa"/>
          </w:tcPr>
          <w:p w14:paraId="16924732">
            <w:pPr>
              <w:pStyle w:val="104"/>
              <w:spacing w:before="318" w:line="219" w:lineRule="auto"/>
              <w:ind w:left="40"/>
              <w:rPr>
                <w:lang w:eastAsia="zh-CN"/>
              </w:rPr>
            </w:pPr>
            <w:r>
              <w:rPr>
                <w:spacing w:val="-3"/>
                <w:lang w:eastAsia="zh-CN"/>
              </w:rPr>
              <w:t>一、评审内容</w:t>
            </w:r>
          </w:p>
          <w:p w14:paraId="6BE2E2D0">
            <w:pPr>
              <w:pStyle w:val="104"/>
              <w:spacing w:before="9" w:line="225" w:lineRule="auto"/>
              <w:ind w:left="36" w:right="111" w:firstLine="5"/>
              <w:rPr>
                <w:lang w:eastAsia="zh-CN"/>
              </w:rPr>
            </w:pPr>
            <w:r>
              <w:rPr>
                <w:spacing w:val="-1"/>
                <w:lang w:eastAsia="zh-CN"/>
              </w:rPr>
              <w:t>结合本项目实际情况，提供服务承诺，服务承诺包括①有良好的承诺和执行合同的能力；②服务质量承诺；③针对本项目处理突发问题方案及措施；④针对本项目实施提供的后续服务(包括但不限于：对与采购未涉及的有关问题提出有价值的建设性建议)</w:t>
            </w:r>
            <w:r>
              <w:rPr>
                <w:position w:val="1"/>
                <w:lang w:eastAsia="zh-CN"/>
              </w:rPr>
              <w:t>。</w:t>
            </w:r>
          </w:p>
          <w:p w14:paraId="6DCB6E81">
            <w:pPr>
              <w:pStyle w:val="104"/>
              <w:spacing w:before="14" w:line="220" w:lineRule="auto"/>
              <w:ind w:left="40"/>
              <w:rPr>
                <w:lang w:eastAsia="zh-CN"/>
              </w:rPr>
            </w:pPr>
            <w:r>
              <w:rPr>
                <w:spacing w:val="-3"/>
                <w:lang w:eastAsia="zh-CN"/>
              </w:rPr>
              <w:t>二、评审要求</w:t>
            </w:r>
          </w:p>
          <w:p w14:paraId="3462C9B3">
            <w:pPr>
              <w:pStyle w:val="104"/>
              <w:spacing w:before="8" w:line="225" w:lineRule="auto"/>
              <w:ind w:left="35" w:right="111"/>
              <w:rPr>
                <w:lang w:eastAsia="zh-CN"/>
              </w:rPr>
            </w:pPr>
            <w:r>
              <w:rPr>
                <w:lang w:eastAsia="zh-CN"/>
              </w:rPr>
              <w:t>每提供 1 项内容计1.5分，满分6分；每</w:t>
            </w:r>
            <w:r>
              <w:rPr>
                <w:spacing w:val="-1"/>
                <w:lang w:eastAsia="zh-CN"/>
              </w:rPr>
              <w:t>缺少一项内容扣2分，每</w:t>
            </w:r>
            <w:r>
              <w:rPr>
                <w:lang w:eastAsia="zh-CN"/>
              </w:rPr>
              <w:t>有一处缺陷(缺陷是指:存在不适用项目实</w:t>
            </w:r>
            <w:r>
              <w:rPr>
                <w:spacing w:val="-1"/>
                <w:lang w:eastAsia="zh-CN"/>
              </w:rPr>
              <w:t>际情况的情形、凭空编</w:t>
            </w:r>
            <w:r>
              <w:rPr>
                <w:spacing w:val="-2"/>
                <w:lang w:eastAsia="zh-CN"/>
              </w:rPr>
              <w:t>造、笼统描述、内容前后不一致、内容无法连贯、前后逻辑错</w:t>
            </w:r>
            <w:r>
              <w:rPr>
                <w:spacing w:val="-1"/>
                <w:lang w:eastAsia="zh-CN"/>
              </w:rPr>
              <w:t>误、涉及的规范及标准错误、地点区域错误直接套用其他项目方案、与项目实施特点不匹配、不符合或不满足采购需求实际等任意一种不利于项目实施情况)扣0.4 分，扣完为止。</w:t>
            </w:r>
          </w:p>
        </w:tc>
        <w:tc>
          <w:tcPr>
            <w:tcW w:w="698" w:type="dxa"/>
          </w:tcPr>
          <w:p w14:paraId="4E5F5272">
            <w:pPr>
              <w:spacing w:line="247" w:lineRule="auto"/>
            </w:pPr>
          </w:p>
          <w:p w14:paraId="41066DD9">
            <w:pPr>
              <w:spacing w:line="247" w:lineRule="auto"/>
            </w:pPr>
          </w:p>
          <w:p w14:paraId="6DE91362">
            <w:pPr>
              <w:spacing w:line="247" w:lineRule="auto"/>
            </w:pPr>
          </w:p>
          <w:p w14:paraId="3AC97F57">
            <w:pPr>
              <w:spacing w:line="247" w:lineRule="auto"/>
            </w:pPr>
          </w:p>
          <w:p w14:paraId="51D744C6">
            <w:pPr>
              <w:spacing w:line="247" w:lineRule="auto"/>
            </w:pPr>
          </w:p>
          <w:p w14:paraId="0EAA7851">
            <w:pPr>
              <w:spacing w:line="248" w:lineRule="auto"/>
            </w:pPr>
          </w:p>
          <w:p w14:paraId="6DAEB745">
            <w:pPr>
              <w:spacing w:line="248" w:lineRule="auto"/>
            </w:pPr>
          </w:p>
          <w:p w14:paraId="7393B081">
            <w:pPr>
              <w:spacing w:line="248" w:lineRule="auto"/>
            </w:pPr>
          </w:p>
          <w:p w14:paraId="4F876D34">
            <w:pPr>
              <w:pStyle w:val="104"/>
              <w:spacing w:before="78"/>
              <w:ind w:left="395"/>
            </w:pPr>
            <w:r>
              <w:t>6</w:t>
            </w:r>
          </w:p>
        </w:tc>
      </w:tr>
    </w:tbl>
    <w:tbl>
      <w:tblPr>
        <w:tblStyle w:val="111"/>
        <w:tblW w:w="89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1"/>
        <w:gridCol w:w="7069"/>
        <w:gridCol w:w="686"/>
      </w:tblGrid>
      <w:tr w14:paraId="5279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0" w:hRule="atLeast"/>
        </w:trPr>
        <w:tc>
          <w:tcPr>
            <w:tcW w:w="1191" w:type="dxa"/>
          </w:tcPr>
          <w:p w14:paraId="1AE4C41A">
            <w:pPr>
              <w:spacing w:line="271" w:lineRule="auto"/>
              <w:rPr>
                <w:rFonts w:ascii="Arial" w:hAnsi="Arial" w:cs="Arial" w:eastAsiaTheme="minorEastAsia"/>
              </w:rPr>
            </w:pPr>
          </w:p>
          <w:p w14:paraId="1775A1D4">
            <w:pPr>
              <w:spacing w:line="272" w:lineRule="auto"/>
              <w:rPr>
                <w:rFonts w:ascii="Arial" w:hAnsi="Arial" w:cs="Arial" w:eastAsiaTheme="minorEastAsia"/>
              </w:rPr>
            </w:pPr>
          </w:p>
          <w:p w14:paraId="7C97403A">
            <w:pPr>
              <w:spacing w:line="272" w:lineRule="auto"/>
              <w:rPr>
                <w:rFonts w:ascii="Arial" w:hAnsi="Arial" w:cs="Arial" w:eastAsiaTheme="minorEastAsia"/>
              </w:rPr>
            </w:pPr>
          </w:p>
          <w:p w14:paraId="4C915F75">
            <w:pPr>
              <w:spacing w:line="272" w:lineRule="auto"/>
              <w:rPr>
                <w:rFonts w:ascii="Arial" w:hAnsi="Arial" w:cs="Arial" w:eastAsiaTheme="minorEastAsia"/>
              </w:rPr>
            </w:pPr>
          </w:p>
          <w:p w14:paraId="4B788AAF">
            <w:pPr>
              <w:spacing w:line="272" w:lineRule="auto"/>
              <w:rPr>
                <w:rFonts w:ascii="Arial" w:hAnsi="Arial" w:cs="Arial" w:eastAsiaTheme="minorEastAsia"/>
              </w:rPr>
            </w:pPr>
          </w:p>
          <w:p w14:paraId="1B446140">
            <w:pPr>
              <w:spacing w:line="272" w:lineRule="auto"/>
              <w:rPr>
                <w:rFonts w:ascii="Arial" w:hAnsi="Arial" w:cs="Arial" w:eastAsiaTheme="minorEastAsia"/>
              </w:rPr>
            </w:pPr>
          </w:p>
          <w:p w14:paraId="3FEB4504">
            <w:pPr>
              <w:pStyle w:val="104"/>
              <w:spacing w:before="78" w:line="227" w:lineRule="auto"/>
              <w:ind w:left="134" w:right="101" w:hanging="11"/>
            </w:pPr>
            <w:r>
              <w:rPr>
                <w:spacing w:val="-3"/>
              </w:rPr>
              <w:t>服务团队</w:t>
            </w:r>
            <w:r>
              <w:rPr>
                <w:spacing w:val="-5"/>
              </w:rPr>
              <w:t>（20分）</w:t>
            </w:r>
          </w:p>
        </w:tc>
        <w:tc>
          <w:tcPr>
            <w:tcW w:w="7069" w:type="dxa"/>
          </w:tcPr>
          <w:p w14:paraId="38E84301">
            <w:pPr>
              <w:pStyle w:val="104"/>
              <w:spacing w:before="78" w:line="219" w:lineRule="auto"/>
              <w:rPr>
                <w:lang w:eastAsia="zh-CN"/>
              </w:rPr>
            </w:pPr>
            <w:r>
              <w:rPr>
                <w:spacing w:val="-1"/>
                <w:lang w:eastAsia="zh-CN"/>
              </w:rPr>
              <w:t>投标人针对本项目监理能力保障方案</w:t>
            </w:r>
          </w:p>
          <w:p w14:paraId="1677044E">
            <w:pPr>
              <w:pStyle w:val="104"/>
              <w:spacing w:before="6" w:line="219" w:lineRule="auto"/>
              <w:ind w:left="40"/>
              <w:rPr>
                <w:lang w:eastAsia="zh-CN"/>
              </w:rPr>
            </w:pPr>
            <w:r>
              <w:rPr>
                <w:spacing w:val="-3"/>
                <w:lang w:eastAsia="zh-CN"/>
              </w:rPr>
              <w:t>一、评审内容</w:t>
            </w:r>
          </w:p>
          <w:p w14:paraId="1745149D">
            <w:pPr>
              <w:pStyle w:val="104"/>
              <w:spacing w:before="8" w:line="224" w:lineRule="auto"/>
              <w:ind w:left="37" w:right="111" w:firstLine="1"/>
              <w:rPr>
                <w:lang w:eastAsia="zh-CN"/>
              </w:rPr>
            </w:pPr>
            <w:r>
              <w:rPr>
                <w:spacing w:val="-1"/>
                <w:lang w:eastAsia="zh-CN"/>
              </w:rPr>
              <w:t>投标人针对本项目提供的服务团队具备信息系统监理能力和相关</w:t>
            </w:r>
            <w:r>
              <w:rPr>
                <w:spacing w:val="-2"/>
                <w:lang w:eastAsia="zh-CN"/>
              </w:rPr>
              <w:t>技术能力，包含：</w:t>
            </w:r>
            <w:r>
              <w:rPr>
                <w:spacing w:val="-1"/>
                <w:lang w:eastAsia="zh-CN"/>
              </w:rPr>
              <w:t>①服务团队岗位职责；②服务团队技术能力。</w:t>
            </w:r>
          </w:p>
          <w:p w14:paraId="0C689DFD">
            <w:pPr>
              <w:pStyle w:val="104"/>
              <w:spacing w:before="10" w:line="220" w:lineRule="auto"/>
              <w:ind w:left="40"/>
              <w:rPr>
                <w:lang w:eastAsia="zh-CN"/>
              </w:rPr>
            </w:pPr>
            <w:r>
              <w:rPr>
                <w:spacing w:val="-3"/>
                <w:lang w:eastAsia="zh-CN"/>
              </w:rPr>
              <w:t>二、评审要求</w:t>
            </w:r>
          </w:p>
          <w:p w14:paraId="7387DDED">
            <w:pPr>
              <w:pStyle w:val="104"/>
              <w:spacing w:before="7" w:line="219" w:lineRule="auto"/>
              <w:ind w:left="29"/>
              <w:rPr>
                <w:lang w:eastAsia="zh-CN"/>
              </w:rPr>
            </w:pPr>
            <w:r>
              <w:rPr>
                <w:lang w:eastAsia="zh-CN"/>
              </w:rPr>
              <w:t>A.本项目服务团队职责明确、分工清晰的得4分，否则不</w:t>
            </w:r>
            <w:r>
              <w:rPr>
                <w:spacing w:val="-1"/>
                <w:lang w:eastAsia="zh-CN"/>
              </w:rPr>
              <w:t>得分。</w:t>
            </w:r>
          </w:p>
          <w:p w14:paraId="7BE1AFB9">
            <w:pPr>
              <w:pStyle w:val="104"/>
              <w:spacing w:before="5" w:line="219" w:lineRule="auto"/>
              <w:ind w:left="31"/>
              <w:rPr>
                <w:lang w:eastAsia="zh-CN"/>
              </w:rPr>
            </w:pPr>
            <w:r>
              <w:rPr>
                <w:lang w:eastAsia="zh-CN"/>
              </w:rPr>
              <w:t>B.本项目配备的驻场服务人员在具有信息系统监理</w:t>
            </w:r>
            <w:r>
              <w:rPr>
                <w:spacing w:val="-1"/>
                <w:lang w:eastAsia="zh-CN"/>
              </w:rPr>
              <w:t>技能的基础</w:t>
            </w:r>
          </w:p>
          <w:p w14:paraId="7A14F97E">
            <w:pPr>
              <w:pStyle w:val="104"/>
              <w:spacing w:before="10" w:line="222" w:lineRule="auto"/>
              <w:ind w:left="35" w:right="111" w:firstLine="2"/>
              <w:rPr>
                <w:lang w:eastAsia="zh-CN"/>
              </w:rPr>
            </w:pPr>
            <w:r>
              <w:rPr>
                <w:spacing w:val="-1"/>
                <w:lang w:eastAsia="zh-CN"/>
              </w:rPr>
              <w:t>上，具有提升监理服务能力的信息系统项目管理技能、信息安全保障技能、软件技术开发技能、信息系统测评技能，每项技能计4分，本项最高得16分。</w:t>
            </w:r>
          </w:p>
        </w:tc>
        <w:tc>
          <w:tcPr>
            <w:tcW w:w="686" w:type="dxa"/>
          </w:tcPr>
          <w:p w14:paraId="4512EC23">
            <w:pPr>
              <w:spacing w:line="253" w:lineRule="auto"/>
              <w:rPr>
                <w:rFonts w:ascii="Arial" w:hAnsi="Arial" w:cs="Arial" w:eastAsiaTheme="minorEastAsia"/>
              </w:rPr>
            </w:pPr>
          </w:p>
          <w:p w14:paraId="70E488A3">
            <w:pPr>
              <w:spacing w:line="253" w:lineRule="auto"/>
              <w:rPr>
                <w:rFonts w:ascii="Arial" w:hAnsi="Arial" w:cs="Arial" w:eastAsiaTheme="minorEastAsia"/>
              </w:rPr>
            </w:pPr>
          </w:p>
          <w:p w14:paraId="30BCD372">
            <w:pPr>
              <w:spacing w:line="253" w:lineRule="auto"/>
              <w:rPr>
                <w:rFonts w:ascii="Arial" w:hAnsi="Arial" w:cs="Arial" w:eastAsiaTheme="minorEastAsia"/>
              </w:rPr>
            </w:pPr>
          </w:p>
          <w:p w14:paraId="3D2B3C39">
            <w:pPr>
              <w:spacing w:line="254" w:lineRule="auto"/>
              <w:rPr>
                <w:rFonts w:ascii="Arial" w:hAnsi="Arial" w:cs="Arial" w:eastAsiaTheme="minorEastAsia"/>
              </w:rPr>
            </w:pPr>
          </w:p>
          <w:p w14:paraId="458CF142">
            <w:pPr>
              <w:spacing w:line="254" w:lineRule="auto"/>
              <w:rPr>
                <w:rFonts w:ascii="Arial" w:hAnsi="Arial" w:cs="Arial" w:eastAsiaTheme="minorEastAsia"/>
              </w:rPr>
            </w:pPr>
          </w:p>
          <w:p w14:paraId="32274FD1">
            <w:pPr>
              <w:spacing w:line="254" w:lineRule="auto"/>
              <w:rPr>
                <w:rFonts w:ascii="Arial" w:hAnsi="Arial" w:cs="Arial" w:eastAsiaTheme="minorEastAsia"/>
              </w:rPr>
            </w:pPr>
          </w:p>
          <w:p w14:paraId="6D6984EC">
            <w:pPr>
              <w:spacing w:line="254" w:lineRule="auto"/>
              <w:rPr>
                <w:rFonts w:ascii="Arial" w:hAnsi="Arial" w:cs="Arial" w:eastAsiaTheme="minorEastAsia"/>
              </w:rPr>
            </w:pPr>
          </w:p>
          <w:p w14:paraId="028B83EA">
            <w:pPr>
              <w:pStyle w:val="104"/>
              <w:spacing w:before="78"/>
              <w:ind w:left="336"/>
            </w:pPr>
            <w:r>
              <w:rPr>
                <w:spacing w:val="-7"/>
              </w:rPr>
              <w:t>20</w:t>
            </w:r>
          </w:p>
        </w:tc>
      </w:tr>
      <w:tr w14:paraId="6566F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trPr>
        <w:tc>
          <w:tcPr>
            <w:tcW w:w="1191" w:type="dxa"/>
          </w:tcPr>
          <w:p w14:paraId="73C87ABA">
            <w:pPr>
              <w:spacing w:line="270" w:lineRule="auto"/>
              <w:rPr>
                <w:rFonts w:ascii="Arial" w:hAnsi="Arial" w:cs="Arial" w:eastAsiaTheme="minorEastAsia"/>
              </w:rPr>
            </w:pPr>
          </w:p>
          <w:p w14:paraId="7C579FC7">
            <w:pPr>
              <w:spacing w:line="271" w:lineRule="auto"/>
              <w:rPr>
                <w:rFonts w:ascii="Arial" w:hAnsi="Arial" w:cs="Arial" w:eastAsiaTheme="minorEastAsia"/>
              </w:rPr>
            </w:pPr>
          </w:p>
          <w:p w14:paraId="71725324">
            <w:pPr>
              <w:spacing w:line="271" w:lineRule="auto"/>
              <w:rPr>
                <w:rFonts w:ascii="Arial" w:hAnsi="Arial" w:cs="Arial" w:eastAsiaTheme="minorEastAsia"/>
              </w:rPr>
            </w:pPr>
          </w:p>
          <w:p w14:paraId="7F42C618">
            <w:pPr>
              <w:spacing w:line="271" w:lineRule="auto"/>
              <w:rPr>
                <w:rFonts w:ascii="Arial" w:hAnsi="Arial" w:cs="Arial" w:eastAsiaTheme="minorEastAsia"/>
              </w:rPr>
            </w:pPr>
          </w:p>
          <w:p w14:paraId="61D967C8">
            <w:pPr>
              <w:spacing w:line="271" w:lineRule="auto"/>
              <w:rPr>
                <w:rFonts w:ascii="Arial" w:hAnsi="Arial" w:cs="Arial" w:eastAsiaTheme="minorEastAsia"/>
              </w:rPr>
            </w:pPr>
          </w:p>
          <w:p w14:paraId="060BCF7F">
            <w:pPr>
              <w:spacing w:line="271" w:lineRule="auto"/>
              <w:rPr>
                <w:rFonts w:ascii="Arial" w:hAnsi="Arial" w:cs="Arial" w:eastAsiaTheme="minorEastAsia"/>
              </w:rPr>
            </w:pPr>
          </w:p>
          <w:p w14:paraId="306AB7F1">
            <w:pPr>
              <w:spacing w:line="271" w:lineRule="auto"/>
              <w:rPr>
                <w:rFonts w:ascii="Arial" w:hAnsi="Arial" w:cs="Arial" w:eastAsiaTheme="minorEastAsia"/>
              </w:rPr>
            </w:pPr>
          </w:p>
          <w:p w14:paraId="2D95AB37">
            <w:pPr>
              <w:pStyle w:val="104"/>
              <w:spacing w:before="78" w:line="219" w:lineRule="auto"/>
              <w:ind w:left="123"/>
              <w:rPr>
                <w:lang w:eastAsia="zh-CN"/>
              </w:rPr>
            </w:pPr>
            <w:r>
              <w:rPr>
                <w:spacing w:val="-3"/>
                <w:lang w:eastAsia="zh-CN"/>
              </w:rPr>
              <w:t>服务质量</w:t>
            </w:r>
          </w:p>
          <w:p w14:paraId="35678EA3">
            <w:pPr>
              <w:pStyle w:val="104"/>
              <w:spacing w:before="3" w:line="221" w:lineRule="auto"/>
              <w:ind w:left="74"/>
              <w:rPr>
                <w:lang w:eastAsia="zh-CN"/>
              </w:rPr>
            </w:pPr>
            <w:r>
              <w:rPr>
                <w:spacing w:val="-1"/>
                <w:lang w:eastAsia="zh-CN"/>
              </w:rPr>
              <w:t>体系和保证</w:t>
            </w:r>
            <w:r>
              <w:rPr>
                <w:spacing w:val="-4"/>
                <w:lang w:eastAsia="zh-CN"/>
              </w:rPr>
              <w:t>措施</w:t>
            </w:r>
          </w:p>
          <w:p w14:paraId="68BFFCEB">
            <w:pPr>
              <w:pStyle w:val="104"/>
              <w:spacing w:before="8" w:line="221" w:lineRule="auto"/>
              <w:ind w:left="322"/>
            </w:pPr>
            <w:r>
              <w:rPr>
                <w:spacing w:val="-9"/>
              </w:rPr>
              <w:t>(14分)</w:t>
            </w:r>
          </w:p>
        </w:tc>
        <w:tc>
          <w:tcPr>
            <w:tcW w:w="7069" w:type="dxa"/>
          </w:tcPr>
          <w:p w14:paraId="6774D297">
            <w:pPr>
              <w:pStyle w:val="104"/>
              <w:spacing w:before="78" w:line="219" w:lineRule="auto"/>
              <w:rPr>
                <w:lang w:eastAsia="zh-CN"/>
              </w:rPr>
            </w:pPr>
            <w:r>
              <w:rPr>
                <w:spacing w:val="-3"/>
                <w:lang w:eastAsia="zh-CN"/>
              </w:rPr>
              <w:t>一、评审内容</w:t>
            </w:r>
          </w:p>
          <w:p w14:paraId="1A72B737">
            <w:pPr>
              <w:pStyle w:val="104"/>
              <w:spacing w:before="5" w:line="223" w:lineRule="auto"/>
              <w:ind w:left="37" w:right="111" w:firstLine="16"/>
              <w:rPr>
                <w:lang w:eastAsia="zh-CN"/>
              </w:rPr>
            </w:pPr>
            <w:r>
              <w:rPr>
                <w:spacing w:val="-1"/>
                <w:lang w:eastAsia="zh-CN"/>
              </w:rPr>
              <w:t>1、服务质量体系须包含：①服务质量目标分解、规划；②质量管理体系；③针对本项目的实际情况的保证措施；④对项目测试监控有科学且适应本项目特点的方法、手段和深刻理解。</w:t>
            </w:r>
          </w:p>
          <w:p w14:paraId="3270B58C">
            <w:pPr>
              <w:pStyle w:val="104"/>
              <w:spacing w:before="5" w:line="219" w:lineRule="auto"/>
              <w:ind w:left="39"/>
              <w:rPr>
                <w:lang w:eastAsia="zh-CN"/>
              </w:rPr>
            </w:pPr>
            <w:r>
              <w:rPr>
                <w:spacing w:val="-1"/>
                <w:lang w:eastAsia="zh-CN"/>
              </w:rPr>
              <w:t>2、服务质量保证措施须包含：拟投入本项目的监理仪器。</w:t>
            </w:r>
          </w:p>
          <w:p w14:paraId="07097700">
            <w:pPr>
              <w:pStyle w:val="104"/>
              <w:spacing w:before="8" w:line="220" w:lineRule="auto"/>
              <w:ind w:left="40"/>
              <w:rPr>
                <w:lang w:eastAsia="zh-CN"/>
              </w:rPr>
            </w:pPr>
            <w:r>
              <w:rPr>
                <w:spacing w:val="-3"/>
                <w:lang w:eastAsia="zh-CN"/>
              </w:rPr>
              <w:t>二、评审要求</w:t>
            </w:r>
          </w:p>
          <w:p w14:paraId="68B56E2C">
            <w:pPr>
              <w:pStyle w:val="104"/>
              <w:spacing w:before="3" w:line="224" w:lineRule="auto"/>
              <w:ind w:left="35" w:right="111" w:firstLine="18"/>
              <w:rPr>
                <w:lang w:eastAsia="zh-CN"/>
              </w:rPr>
            </w:pPr>
            <w:r>
              <w:rPr>
                <w:spacing w:val="-2"/>
                <w:lang w:eastAsia="zh-CN"/>
              </w:rPr>
              <w:t>1、每提供 1 项内容计1.5分，满分6分；每缺少一项内容扣</w:t>
            </w:r>
            <w:r>
              <w:rPr>
                <w:spacing w:val="37"/>
                <w:lang w:eastAsia="zh-CN"/>
              </w:rPr>
              <w:t xml:space="preserve"> </w:t>
            </w:r>
            <w:r>
              <w:rPr>
                <w:spacing w:val="-2"/>
                <w:lang w:eastAsia="zh-CN"/>
              </w:rPr>
              <w:t>1.5</w:t>
            </w:r>
            <w:r>
              <w:rPr>
                <w:lang w:eastAsia="zh-CN"/>
              </w:rPr>
              <w:t>分，每有一处缺陷(缺陷是指:存在不适用</w:t>
            </w:r>
            <w:r>
              <w:rPr>
                <w:spacing w:val="-1"/>
                <w:lang w:eastAsia="zh-CN"/>
              </w:rPr>
              <w:t>项目实际情况的情形、</w:t>
            </w:r>
            <w:r>
              <w:rPr>
                <w:spacing w:val="-2"/>
                <w:lang w:eastAsia="zh-CN"/>
              </w:rPr>
              <w:t>凭空编造、笼统描述、内容前后不一致、内容无法连贯、前后</w:t>
            </w:r>
            <w:r>
              <w:rPr>
                <w:spacing w:val="-1"/>
                <w:lang w:eastAsia="zh-CN"/>
              </w:rPr>
              <w:t>逻辑错误、涉及的规范及标准错误、地点区域错误直接套用其他项目方案、与项目实施特点不匹配、不符合或不满足采购需求实际等任意一种不利于项目实施情况)扣0.1 分，扣完为止。</w:t>
            </w:r>
          </w:p>
          <w:p w14:paraId="0F0FC59C">
            <w:pPr>
              <w:pStyle w:val="104"/>
              <w:spacing w:before="7" w:line="223" w:lineRule="auto"/>
              <w:ind w:left="39" w:right="231"/>
              <w:rPr>
                <w:lang w:eastAsia="zh-CN"/>
              </w:rPr>
            </w:pPr>
            <w:r>
              <w:rPr>
                <w:spacing w:val="-1"/>
                <w:lang w:eastAsia="zh-CN"/>
              </w:rPr>
              <w:t>2、投标人具有线缆分析仪、网络分析仪、电子数显卡尺、接地电阻测试仪，每提供一个上述仪器的检定或校准证书得2分，本</w:t>
            </w:r>
            <w:r>
              <w:rPr>
                <w:spacing w:val="-2"/>
                <w:lang w:eastAsia="zh-CN"/>
              </w:rPr>
              <w:t>项最高得8分。</w:t>
            </w:r>
          </w:p>
        </w:tc>
        <w:tc>
          <w:tcPr>
            <w:tcW w:w="686" w:type="dxa"/>
          </w:tcPr>
          <w:p w14:paraId="3C685F43">
            <w:pPr>
              <w:spacing w:line="253" w:lineRule="auto"/>
              <w:rPr>
                <w:rFonts w:ascii="Arial" w:hAnsi="Arial" w:cs="Arial" w:eastAsiaTheme="minorEastAsia"/>
              </w:rPr>
            </w:pPr>
          </w:p>
          <w:p w14:paraId="58D936ED">
            <w:pPr>
              <w:spacing w:line="253" w:lineRule="auto"/>
              <w:rPr>
                <w:rFonts w:ascii="Arial" w:hAnsi="Arial" w:cs="Arial" w:eastAsiaTheme="minorEastAsia"/>
              </w:rPr>
            </w:pPr>
          </w:p>
          <w:p w14:paraId="03C905FC">
            <w:pPr>
              <w:spacing w:line="253" w:lineRule="auto"/>
              <w:rPr>
                <w:rFonts w:ascii="Arial" w:hAnsi="Arial" w:cs="Arial" w:eastAsiaTheme="minorEastAsia"/>
              </w:rPr>
            </w:pPr>
          </w:p>
          <w:p w14:paraId="223D028C">
            <w:pPr>
              <w:spacing w:line="253" w:lineRule="auto"/>
              <w:rPr>
                <w:rFonts w:ascii="Arial" w:hAnsi="Arial" w:cs="Arial" w:eastAsiaTheme="minorEastAsia"/>
              </w:rPr>
            </w:pPr>
          </w:p>
          <w:p w14:paraId="7213BE7A">
            <w:pPr>
              <w:spacing w:line="254" w:lineRule="auto"/>
              <w:rPr>
                <w:rFonts w:ascii="Arial" w:hAnsi="Arial" w:cs="Arial" w:eastAsiaTheme="minorEastAsia"/>
              </w:rPr>
            </w:pPr>
          </w:p>
          <w:p w14:paraId="6437F607">
            <w:pPr>
              <w:spacing w:line="254" w:lineRule="auto"/>
              <w:rPr>
                <w:rFonts w:ascii="Arial" w:hAnsi="Arial" w:cs="Arial" w:eastAsiaTheme="minorEastAsia"/>
              </w:rPr>
            </w:pPr>
          </w:p>
          <w:p w14:paraId="6D0D9D6D">
            <w:pPr>
              <w:spacing w:line="254" w:lineRule="auto"/>
              <w:rPr>
                <w:rFonts w:ascii="Arial" w:hAnsi="Arial" w:cs="Arial" w:eastAsiaTheme="minorEastAsia"/>
              </w:rPr>
            </w:pPr>
          </w:p>
          <w:p w14:paraId="2E40DB84">
            <w:pPr>
              <w:spacing w:line="254" w:lineRule="auto"/>
              <w:rPr>
                <w:rFonts w:ascii="Arial" w:hAnsi="Arial" w:cs="Arial" w:eastAsiaTheme="minorEastAsia"/>
              </w:rPr>
            </w:pPr>
          </w:p>
          <w:p w14:paraId="3DBC998A">
            <w:pPr>
              <w:spacing w:line="254" w:lineRule="auto"/>
              <w:rPr>
                <w:rFonts w:ascii="Arial" w:hAnsi="Arial" w:cs="Arial" w:eastAsiaTheme="minorEastAsia"/>
              </w:rPr>
            </w:pPr>
          </w:p>
          <w:p w14:paraId="193E3F4A">
            <w:pPr>
              <w:pStyle w:val="104"/>
              <w:spacing w:before="78" w:line="241" w:lineRule="auto"/>
              <w:ind w:left="351"/>
            </w:pPr>
            <w:r>
              <w:rPr>
                <w:spacing w:val="-14"/>
              </w:rPr>
              <w:t>14</w:t>
            </w:r>
          </w:p>
        </w:tc>
      </w:tr>
      <w:tr w14:paraId="6A3D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0" w:hRule="atLeast"/>
        </w:trPr>
        <w:tc>
          <w:tcPr>
            <w:tcW w:w="1191" w:type="dxa"/>
          </w:tcPr>
          <w:p w14:paraId="0F1ED0A3">
            <w:pPr>
              <w:pStyle w:val="104"/>
              <w:spacing w:before="286" w:line="225" w:lineRule="auto"/>
              <w:ind w:left="395" w:right="101" w:hanging="269"/>
              <w:rPr>
                <w:lang w:eastAsia="zh-CN"/>
              </w:rPr>
            </w:pPr>
            <w:r>
              <w:rPr>
                <w:spacing w:val="-4"/>
                <w:lang w:eastAsia="zh-CN"/>
              </w:rPr>
              <w:t>工作成果</w:t>
            </w:r>
            <w:r>
              <w:rPr>
                <w:spacing w:val="-6"/>
                <w:lang w:eastAsia="zh-CN"/>
              </w:rPr>
              <w:t>交付</w:t>
            </w:r>
          </w:p>
          <w:p w14:paraId="03742CBC">
            <w:pPr>
              <w:pStyle w:val="104"/>
              <w:spacing w:line="230" w:lineRule="auto"/>
              <w:ind w:left="238" w:right="54" w:hanging="163"/>
              <w:rPr>
                <w:lang w:eastAsia="zh-CN"/>
              </w:rPr>
            </w:pPr>
            <w:r>
              <w:rPr>
                <w:spacing w:val="-1"/>
                <w:lang w:eastAsia="zh-CN"/>
              </w:rPr>
              <w:t>和验收方案</w:t>
            </w:r>
            <w:r>
              <w:rPr>
                <w:spacing w:val="-3"/>
                <w:lang w:eastAsia="zh-CN"/>
              </w:rPr>
              <w:t>（4分）</w:t>
            </w:r>
          </w:p>
        </w:tc>
        <w:tc>
          <w:tcPr>
            <w:tcW w:w="7069" w:type="dxa"/>
          </w:tcPr>
          <w:p w14:paraId="61E2139C">
            <w:pPr>
              <w:pStyle w:val="104"/>
              <w:spacing w:before="235" w:line="219" w:lineRule="auto"/>
              <w:ind w:left="36"/>
              <w:rPr>
                <w:lang w:eastAsia="zh-CN"/>
              </w:rPr>
            </w:pPr>
            <w:r>
              <w:rPr>
                <w:spacing w:val="-1"/>
                <w:lang w:eastAsia="zh-CN"/>
              </w:rPr>
              <w:t>针对本项目工作成果交付和验收方案，方案清晰合理，操作性</w:t>
            </w:r>
          </w:p>
          <w:p w14:paraId="482BB511">
            <w:pPr>
              <w:pStyle w:val="104"/>
              <w:spacing w:before="10" w:line="225" w:lineRule="auto"/>
              <w:ind w:left="37" w:right="111" w:firstLine="4"/>
              <w:rPr>
                <w:lang w:eastAsia="zh-CN"/>
              </w:rPr>
            </w:pPr>
            <w:r>
              <w:rPr>
                <w:spacing w:val="-1"/>
                <w:lang w:eastAsia="zh-CN"/>
              </w:rPr>
              <w:t>强，能够满足本项目需求；方案全面、清晰、准确：4 分；方案内容针对性比较强也符合本项目实际情况 2 分；无可行性或未</w:t>
            </w:r>
            <w:r>
              <w:rPr>
                <w:spacing w:val="-2"/>
                <w:lang w:eastAsia="zh-CN"/>
              </w:rPr>
              <w:t>提供方案不得分。</w:t>
            </w:r>
          </w:p>
        </w:tc>
        <w:tc>
          <w:tcPr>
            <w:tcW w:w="686" w:type="dxa"/>
          </w:tcPr>
          <w:p w14:paraId="0D0AC7B1">
            <w:pPr>
              <w:spacing w:line="297" w:lineRule="auto"/>
              <w:rPr>
                <w:rFonts w:ascii="Arial" w:hAnsi="Arial" w:cs="Arial" w:eastAsiaTheme="minorEastAsia"/>
              </w:rPr>
            </w:pPr>
          </w:p>
          <w:p w14:paraId="78C73953">
            <w:pPr>
              <w:spacing w:line="297" w:lineRule="auto"/>
              <w:rPr>
                <w:rFonts w:ascii="Arial" w:hAnsi="Arial" w:cs="Arial" w:eastAsiaTheme="minorEastAsia"/>
              </w:rPr>
            </w:pPr>
          </w:p>
          <w:p w14:paraId="556A058A">
            <w:pPr>
              <w:pStyle w:val="104"/>
              <w:spacing w:before="78" w:line="241" w:lineRule="auto"/>
              <w:ind w:left="392"/>
            </w:pPr>
            <w:r>
              <w:t>4</w:t>
            </w:r>
          </w:p>
        </w:tc>
      </w:tr>
      <w:tr w14:paraId="6029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1191" w:type="dxa"/>
          </w:tcPr>
          <w:p w14:paraId="4B8338C9">
            <w:pPr>
              <w:pStyle w:val="104"/>
              <w:spacing w:before="173" w:line="226" w:lineRule="auto"/>
              <w:ind w:left="65" w:right="62" w:firstLine="59"/>
            </w:pPr>
            <w:r>
              <w:rPr>
                <w:spacing w:val="-3"/>
              </w:rPr>
              <w:t>合理化建</w:t>
            </w:r>
            <w:r>
              <w:rPr>
                <w:spacing w:val="-7"/>
              </w:rPr>
              <w:t>议（3分）</w:t>
            </w:r>
          </w:p>
        </w:tc>
        <w:tc>
          <w:tcPr>
            <w:tcW w:w="7069" w:type="dxa"/>
          </w:tcPr>
          <w:p w14:paraId="708406C3">
            <w:pPr>
              <w:pStyle w:val="104"/>
              <w:spacing w:before="173" w:line="225" w:lineRule="auto"/>
              <w:ind w:left="38" w:right="351" w:hanging="1"/>
              <w:rPr>
                <w:lang w:eastAsia="zh-CN"/>
              </w:rPr>
            </w:pPr>
            <w:r>
              <w:rPr>
                <w:spacing w:val="-1"/>
                <w:lang w:eastAsia="zh-CN"/>
              </w:rPr>
              <w:t>提供针对本项目的其他合理化建议及意见，根据合理性及可行性，计 0-</w:t>
            </w:r>
            <w:r>
              <w:rPr>
                <w:rFonts w:hint="eastAsia"/>
                <w:spacing w:val="-1"/>
                <w:lang w:eastAsia="zh-CN"/>
              </w:rPr>
              <w:t>3</w:t>
            </w:r>
            <w:r>
              <w:rPr>
                <w:spacing w:val="-1"/>
                <w:lang w:eastAsia="zh-CN"/>
              </w:rPr>
              <w:t xml:space="preserve"> 分，未提供的不计分。</w:t>
            </w:r>
          </w:p>
        </w:tc>
        <w:tc>
          <w:tcPr>
            <w:tcW w:w="686" w:type="dxa"/>
          </w:tcPr>
          <w:p w14:paraId="2CE52BB9">
            <w:pPr>
              <w:rPr>
                <w:rFonts w:ascii="Arial" w:hAnsi="Arial" w:cs="Arial" w:eastAsiaTheme="minorEastAsia"/>
              </w:rPr>
            </w:pPr>
          </w:p>
          <w:p w14:paraId="2FC6CF5F">
            <w:pPr>
              <w:pStyle w:val="104"/>
              <w:spacing w:before="78"/>
              <w:ind w:left="398"/>
            </w:pPr>
            <w:r>
              <w:t>3</w:t>
            </w:r>
          </w:p>
        </w:tc>
      </w:tr>
      <w:tr w14:paraId="4B87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1191" w:type="dxa"/>
          </w:tcPr>
          <w:p w14:paraId="5427CAD3">
            <w:pPr>
              <w:spacing w:line="471" w:lineRule="auto"/>
              <w:rPr>
                <w:rFonts w:ascii="Arial" w:hAnsi="Arial" w:cs="Arial" w:eastAsiaTheme="minorEastAsia"/>
              </w:rPr>
            </w:pPr>
          </w:p>
          <w:p w14:paraId="502C2A1E">
            <w:pPr>
              <w:pStyle w:val="104"/>
              <w:spacing w:before="78" w:line="227" w:lineRule="auto"/>
              <w:ind w:left="195" w:right="182" w:firstLine="167"/>
            </w:pPr>
            <w:r>
              <w:rPr>
                <w:spacing w:val="-5"/>
              </w:rPr>
              <w:t>业绩</w:t>
            </w:r>
            <w:r>
              <w:rPr>
                <w:spacing w:val="-11"/>
              </w:rPr>
              <w:t>（3分）</w:t>
            </w:r>
          </w:p>
        </w:tc>
        <w:tc>
          <w:tcPr>
            <w:tcW w:w="7069" w:type="dxa"/>
          </w:tcPr>
          <w:p w14:paraId="28DE352F">
            <w:pPr>
              <w:pStyle w:val="104"/>
              <w:spacing w:before="263" w:line="225" w:lineRule="auto"/>
              <w:ind w:left="39" w:right="111" w:hanging="2"/>
            </w:pPr>
            <w:r>
              <w:rPr>
                <w:spacing w:val="-2"/>
                <w:lang w:eastAsia="zh-CN"/>
              </w:rPr>
              <w:t>提供自 2023 年 01</w:t>
            </w:r>
            <w:r>
              <w:rPr>
                <w:spacing w:val="16"/>
                <w:lang w:eastAsia="zh-CN"/>
              </w:rPr>
              <w:t xml:space="preserve"> </w:t>
            </w:r>
            <w:r>
              <w:rPr>
                <w:spacing w:val="-2"/>
                <w:lang w:eastAsia="zh-CN"/>
              </w:rPr>
              <w:t>月 01</w:t>
            </w:r>
            <w:r>
              <w:rPr>
                <w:spacing w:val="50"/>
                <w:lang w:eastAsia="zh-CN"/>
              </w:rPr>
              <w:t xml:space="preserve"> </w:t>
            </w:r>
            <w:r>
              <w:rPr>
                <w:spacing w:val="-2"/>
                <w:lang w:eastAsia="zh-CN"/>
              </w:rPr>
              <w:t>日至今类</w:t>
            </w:r>
            <w:r>
              <w:rPr>
                <w:spacing w:val="-3"/>
                <w:lang w:eastAsia="zh-CN"/>
              </w:rPr>
              <w:t>似项目业绩（需提供合同,</w:t>
            </w:r>
            <w:r>
              <w:rPr>
                <w:spacing w:val="-1"/>
                <w:lang w:eastAsia="zh-CN"/>
              </w:rPr>
              <w:t>以合同签订日期为准</w:t>
            </w:r>
            <w:r>
              <w:rPr>
                <w:spacing w:val="6"/>
                <w:lang w:eastAsia="zh-CN"/>
              </w:rPr>
              <w:t>），</w:t>
            </w:r>
            <w:r>
              <w:rPr>
                <w:spacing w:val="-1"/>
                <w:lang w:eastAsia="zh-CN"/>
              </w:rPr>
              <w:t>每提供一个得1分，最高得3分，不提供不得分。业绩证明资料如有弄虚作假者，取消其投标资格。</w:t>
            </w:r>
            <w:r>
              <w:rPr>
                <w:spacing w:val="-1"/>
              </w:rPr>
              <w:t>并依照相关法律法规追究其相应责任。</w:t>
            </w:r>
          </w:p>
        </w:tc>
        <w:tc>
          <w:tcPr>
            <w:tcW w:w="686" w:type="dxa"/>
          </w:tcPr>
          <w:p w14:paraId="1069946F">
            <w:pPr>
              <w:spacing w:line="308" w:lineRule="auto"/>
              <w:rPr>
                <w:rFonts w:ascii="Arial" w:hAnsi="Arial" w:cs="Arial" w:eastAsiaTheme="minorEastAsia"/>
              </w:rPr>
            </w:pPr>
          </w:p>
          <w:p w14:paraId="07AF865B">
            <w:pPr>
              <w:spacing w:line="308" w:lineRule="auto"/>
              <w:rPr>
                <w:rFonts w:ascii="Arial" w:hAnsi="Arial" w:cs="Arial" w:eastAsiaTheme="minorEastAsia"/>
              </w:rPr>
            </w:pPr>
          </w:p>
          <w:p w14:paraId="6271A9DF">
            <w:pPr>
              <w:pStyle w:val="104"/>
              <w:spacing w:before="78"/>
              <w:ind w:left="398"/>
            </w:pPr>
            <w:r>
              <w:t>3</w:t>
            </w:r>
          </w:p>
        </w:tc>
      </w:tr>
    </w:tbl>
    <w:p w14:paraId="21217DEF">
      <w:pPr>
        <w:spacing w:line="500" w:lineRule="exact"/>
        <w:rPr>
          <w:rFonts w:hint="eastAsia" w:ascii="宋体" w:hAnsi="宋体" w:cs="宋体"/>
          <w:kern w:val="0"/>
          <w:sz w:val="24"/>
        </w:rPr>
      </w:pPr>
    </w:p>
    <w:p w14:paraId="21AA0BD5">
      <w:pPr>
        <w:spacing w:line="500" w:lineRule="exac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三标段：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806"/>
        <w:gridCol w:w="6823"/>
      </w:tblGrid>
      <w:tr w14:paraId="06C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37F23BA3">
            <w:pPr>
              <w:widowControl/>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评分因素</w:t>
            </w:r>
          </w:p>
        </w:tc>
        <w:tc>
          <w:tcPr>
            <w:tcW w:w="434" w:type="pct"/>
            <w:vAlign w:val="center"/>
          </w:tcPr>
          <w:p w14:paraId="72678EE1">
            <w:pPr>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3674" w:type="pct"/>
            <w:vAlign w:val="center"/>
          </w:tcPr>
          <w:p w14:paraId="5BD6EA19">
            <w:pPr>
              <w:spacing w:line="24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评分标准</w:t>
            </w:r>
          </w:p>
        </w:tc>
      </w:tr>
      <w:tr w14:paraId="1E80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165FDE58">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报价</w:t>
            </w:r>
          </w:p>
        </w:tc>
        <w:tc>
          <w:tcPr>
            <w:tcW w:w="434" w:type="pct"/>
            <w:vAlign w:val="center"/>
          </w:tcPr>
          <w:p w14:paraId="19EC4643">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3674" w:type="pct"/>
            <w:vAlign w:val="center"/>
          </w:tcPr>
          <w:p w14:paraId="0DC2AECD">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投标报价（10分）：满足招标文件实质性要求且投标价格最 低的投标报价为评标基准价，其价格分为满分。 其他投标人的价格分统一按照下列公式计算：投标报价得分 =(评标基准价／投标报价)×价格权重值×100，计算分数时四舍五 入取小数点后两位。</w:t>
            </w:r>
          </w:p>
          <w:p w14:paraId="69125990">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评审委员会发现某一供应商的最后报价明显低于其他供应商的最后报价，使得其报价可能低于其成本的，应当要求该供应商作出书面说明并提供相应的证明材料。供应商不能合理说明或者不能 提供相应证明材料的，由评审委员会认定该供应商以低于成本报价竞标，其供应商的最后报价不予认可，作无效响应处理视为自动放弃。</w:t>
            </w:r>
          </w:p>
        </w:tc>
      </w:tr>
      <w:tr w14:paraId="5BDE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E0A1FD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项目需求分析</w:t>
            </w:r>
          </w:p>
        </w:tc>
        <w:tc>
          <w:tcPr>
            <w:tcW w:w="434" w:type="pct"/>
            <w:vAlign w:val="center"/>
          </w:tcPr>
          <w:p w14:paraId="5F5DBAB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12分</w:t>
            </w:r>
          </w:p>
        </w:tc>
        <w:tc>
          <w:tcPr>
            <w:tcW w:w="3674" w:type="pct"/>
            <w:vAlign w:val="center"/>
          </w:tcPr>
          <w:p w14:paraId="74729304">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7C8EFFCE">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对本项目需求的理解，结合项目需求，根据投标人对本项目需求的了解及认识，方案需包含：（1）项目背景分析；（2）项目总体规划思路；（3）项目需求理解分析；（4）服务标准。 </w:t>
            </w:r>
          </w:p>
          <w:p w14:paraId="0F9E7125">
            <w:pPr>
              <w:spacing w:line="240" w:lineRule="auto"/>
              <w:rPr>
                <w:rFonts w:hint="eastAsia" w:ascii="仿宋" w:hAnsi="仿宋" w:eastAsia="仿宋" w:cs="仿宋"/>
                <w:sz w:val="24"/>
                <w:szCs w:val="24"/>
              </w:rPr>
            </w:pPr>
            <w:r>
              <w:rPr>
                <w:rFonts w:hint="eastAsia" w:ascii="仿宋" w:hAnsi="仿宋" w:eastAsia="仿宋" w:cs="仿宋"/>
                <w:b/>
                <w:bCs/>
                <w:sz w:val="24"/>
                <w:szCs w:val="24"/>
              </w:rPr>
              <w:t xml:space="preserve">二、评审要求 </w:t>
            </w:r>
          </w:p>
          <w:p w14:paraId="3C346FB4">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每提供1项内容计3分，满分12分；每缺少一项内容扣3分，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0.3分，扣完为止。</w:t>
            </w:r>
          </w:p>
        </w:tc>
      </w:tr>
      <w:tr w14:paraId="49E1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7F208F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服务方案 </w:t>
            </w:r>
          </w:p>
        </w:tc>
        <w:tc>
          <w:tcPr>
            <w:tcW w:w="434" w:type="pct"/>
            <w:vAlign w:val="center"/>
          </w:tcPr>
          <w:p w14:paraId="7B313EF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36分</w:t>
            </w:r>
          </w:p>
        </w:tc>
        <w:tc>
          <w:tcPr>
            <w:tcW w:w="3674" w:type="pct"/>
            <w:vAlign w:val="center"/>
          </w:tcPr>
          <w:p w14:paraId="28633B4E">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一、评审内容</w:t>
            </w:r>
          </w:p>
          <w:p w14:paraId="65EA10A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投标人针对本项目技术要求提出的各项服务内容提供整体服务方案，方案包括：（1）针对本项目编制的整体服务计划书；（2） 针对本项目提供服务期内清晰的工作计划及工作节点安排；（3） 有健全的内部管理制度；（4）安全及保密控制方案；（5）项目服务各方协调管理；（6）项目成果展示。 </w:t>
            </w:r>
          </w:p>
          <w:p w14:paraId="3CAB86C4">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64A347A8">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每提供1项内容计6分，满分36分；每缺少一项内容扣6分， 每有一处缺陷(缺陷是指:存在不适用项目实际情况的情形、凭空编造、笼统描述、内容前后不一致、内容无法连贯、前后逻辑错误、 涉及的规范及标准错误、地点区域错误直接套用其他项目方案、与项目实施特点不匹配、不符合或不满足采购需求实际等任意一种不利于项目实施情况)扣0.6分，扣完为止。</w:t>
            </w:r>
          </w:p>
        </w:tc>
      </w:tr>
      <w:tr w14:paraId="5CD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26A0473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服务质量 保障方案 </w:t>
            </w:r>
          </w:p>
        </w:tc>
        <w:tc>
          <w:tcPr>
            <w:tcW w:w="434" w:type="pct"/>
            <w:vAlign w:val="center"/>
          </w:tcPr>
          <w:p w14:paraId="64055DCC">
            <w:pPr>
              <w:spacing w:line="24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rPr>
              <w:t>16分</w:t>
            </w:r>
          </w:p>
        </w:tc>
        <w:tc>
          <w:tcPr>
            <w:tcW w:w="3674" w:type="pct"/>
            <w:vAlign w:val="center"/>
          </w:tcPr>
          <w:p w14:paraId="678C339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63DBDB0F">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投标人针对本项目提供的服务质量保障方案，方案包括：（1） 服务质量保障目标；（2）服务质量管理制度；（3）服务质量保障 措施；（4）后续服务保障体系。 </w:t>
            </w:r>
          </w:p>
          <w:p w14:paraId="1324E53D">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26233989">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每提供1项内容计4分，满分16分；每缺少一项内容扣4分，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0.4分，扣完为止。</w:t>
            </w:r>
          </w:p>
        </w:tc>
      </w:tr>
      <w:tr w14:paraId="7385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D44F2B1">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服务团队 </w:t>
            </w:r>
          </w:p>
        </w:tc>
        <w:tc>
          <w:tcPr>
            <w:tcW w:w="434" w:type="pct"/>
            <w:vAlign w:val="center"/>
          </w:tcPr>
          <w:p w14:paraId="5B11ED42">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15分</w:t>
            </w:r>
          </w:p>
        </w:tc>
        <w:tc>
          <w:tcPr>
            <w:tcW w:w="3674" w:type="pct"/>
            <w:vAlign w:val="center"/>
          </w:tcPr>
          <w:p w14:paraId="03680A39">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25F40BA7">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投标人针对本项目提供的服务团队及管理方案，方案包含：（1） 人员职责明确、分工清晰；（2）岗位职责制度及考核办法（3）人 员管理、工作时间安排。 </w:t>
            </w:r>
          </w:p>
          <w:p w14:paraId="5111B7F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0D783042">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每提供1项内容计5分，满分15分；每缺少一项内容扣5分，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分，扣完为止。</w:t>
            </w:r>
          </w:p>
        </w:tc>
      </w:tr>
      <w:tr w14:paraId="7ED2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87FA400">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服务承诺 </w:t>
            </w:r>
          </w:p>
        </w:tc>
        <w:tc>
          <w:tcPr>
            <w:tcW w:w="434" w:type="pct"/>
            <w:vAlign w:val="center"/>
          </w:tcPr>
          <w:p w14:paraId="379B2C71">
            <w:pPr>
              <w:spacing w:line="240" w:lineRule="auto"/>
              <w:jc w:val="center"/>
              <w:rPr>
                <w:rFonts w:hint="eastAsia" w:ascii="仿宋" w:hAnsi="仿宋" w:eastAsia="仿宋" w:cs="仿宋"/>
                <w:color w:val="000000"/>
                <w:kern w:val="0"/>
                <w:sz w:val="24"/>
                <w:szCs w:val="24"/>
              </w:rPr>
            </w:pPr>
            <w:bookmarkStart w:id="185" w:name="OLE_LINK1"/>
            <w:r>
              <w:rPr>
                <w:rFonts w:hint="eastAsia" w:ascii="仿宋" w:hAnsi="仿宋" w:eastAsia="仿宋" w:cs="仿宋"/>
                <w:color w:val="000000"/>
                <w:kern w:val="0"/>
                <w:sz w:val="24"/>
                <w:szCs w:val="24"/>
              </w:rPr>
              <w:t>6分</w:t>
            </w:r>
            <w:bookmarkEnd w:id="185"/>
          </w:p>
        </w:tc>
        <w:tc>
          <w:tcPr>
            <w:tcW w:w="3674" w:type="pct"/>
            <w:vAlign w:val="center"/>
          </w:tcPr>
          <w:p w14:paraId="1A2D2AE0">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4434029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承诺，包括：（1）对服务期限内服务质量、人员到位情况及配合程度等做出实质性承诺；（2）针对本项目承诺并接受采购方对技术人员及服务事项的监督和管理；（3）承诺若出现技术服务人员因故不能工作的，及时补充上岗服务人员，确保采购需求服务工作的正常进行，提供合理可行的人员补充方案； </w:t>
            </w:r>
          </w:p>
          <w:p w14:paraId="24B61B39">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3B316B4D">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每提供1项内容计2分，满分6分；每缺少一项内容扣2分， 每有一处缺陷(缺陷是指:存在不适用项目实际情况的情形、凭空编造、笼统描述、内容前后不一致、内容无法连贯、前后逻辑错误、 涉及的规范及标准错误、地点区域错误直接套用其他项目方案、与项目实施特点不匹配、不符合或不满足采购需求实际等任意一种不利于项目实施情况)扣0.2分，扣完为止。</w:t>
            </w:r>
          </w:p>
        </w:tc>
      </w:tr>
      <w:tr w14:paraId="5919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140D5442">
            <w:pPr>
              <w:spacing w:line="240" w:lineRule="auto"/>
              <w:jc w:val="center"/>
              <w:rPr>
                <w:rFonts w:hint="eastAsia" w:ascii="仿宋" w:hAnsi="仿宋" w:eastAsia="仿宋" w:cs="仿宋"/>
                <w:color w:val="000000"/>
                <w:kern w:val="0"/>
                <w:sz w:val="24"/>
                <w:szCs w:val="24"/>
              </w:rPr>
            </w:pPr>
            <w:r>
              <w:rPr>
                <w:rFonts w:hint="eastAsia" w:ascii="仿宋" w:hAnsi="仿宋" w:eastAsia="仿宋" w:cs="仿宋"/>
                <w:sz w:val="24"/>
                <w:szCs w:val="24"/>
              </w:rPr>
              <w:t>应急处理服务</w:t>
            </w:r>
          </w:p>
        </w:tc>
        <w:tc>
          <w:tcPr>
            <w:tcW w:w="434" w:type="pct"/>
            <w:vAlign w:val="center"/>
          </w:tcPr>
          <w:p w14:paraId="42CB5643">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4分</w:t>
            </w:r>
          </w:p>
        </w:tc>
        <w:tc>
          <w:tcPr>
            <w:tcW w:w="3674" w:type="pct"/>
            <w:vAlign w:val="center"/>
          </w:tcPr>
          <w:p w14:paraId="236AB392">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1F4AA6C7">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针对本项目制定完善的应急处理服务，内容包括：①应急处置；②响应时间：保证紧急情况下能够快速进行处理，提供具体的缩短障碍处理时间。</w:t>
            </w:r>
          </w:p>
          <w:p w14:paraId="2AE5FE3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18D6DB6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2分，满分4分；每缺少一项内容扣2分，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分，扣完为止。</w:t>
            </w:r>
          </w:p>
        </w:tc>
      </w:tr>
      <w:tr w14:paraId="309F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4B25F84A">
            <w:pPr>
              <w:spacing w:line="240" w:lineRule="auto"/>
              <w:jc w:val="center"/>
              <w:rPr>
                <w:rFonts w:hint="eastAsia" w:ascii="仿宋" w:hAnsi="仿宋" w:eastAsia="仿宋" w:cs="仿宋"/>
                <w:color w:val="000000"/>
                <w:kern w:val="0"/>
                <w:sz w:val="24"/>
                <w:szCs w:val="24"/>
              </w:rPr>
            </w:pPr>
            <w:r>
              <w:rPr>
                <w:rFonts w:hint="eastAsia" w:ascii="仿宋" w:hAnsi="仿宋" w:eastAsia="仿宋" w:cs="仿宋"/>
                <w:sz w:val="24"/>
                <w:szCs w:val="24"/>
              </w:rPr>
              <w:t>合理化建议</w:t>
            </w:r>
          </w:p>
        </w:tc>
        <w:tc>
          <w:tcPr>
            <w:tcW w:w="434" w:type="pct"/>
            <w:vAlign w:val="center"/>
          </w:tcPr>
          <w:p w14:paraId="54315C85">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1分</w:t>
            </w:r>
          </w:p>
        </w:tc>
        <w:tc>
          <w:tcPr>
            <w:tcW w:w="3674" w:type="pct"/>
            <w:vAlign w:val="center"/>
          </w:tcPr>
          <w:p w14:paraId="5E377E61">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提供针对本项目的其他合理化建议及意见，根据合理性及可行性，计0-1分，未提供的不计分。</w:t>
            </w:r>
          </w:p>
        </w:tc>
      </w:tr>
    </w:tbl>
    <w:p w14:paraId="32C33392">
      <w:pPr>
        <w:spacing w:line="500" w:lineRule="exact"/>
        <w:rPr>
          <w:rFonts w:hint="eastAsia" w:ascii="宋体" w:hAnsi="宋体" w:cs="宋体"/>
          <w:b/>
          <w:bCs/>
          <w:kern w:val="0"/>
          <w:sz w:val="28"/>
          <w:szCs w:val="28"/>
          <w:lang w:eastAsia="zh-CN"/>
        </w:rPr>
      </w:pPr>
      <w:r>
        <w:rPr>
          <w:rFonts w:hint="eastAsia" w:ascii="宋体" w:hAnsi="宋体" w:cs="宋体"/>
          <w:b/>
          <w:bCs/>
          <w:kern w:val="0"/>
          <w:sz w:val="28"/>
          <w:szCs w:val="28"/>
          <w:lang w:eastAsia="zh-CN"/>
        </w:rPr>
        <w:t>四标段：</w:t>
      </w:r>
    </w:p>
    <w:tbl>
      <w:tblPr>
        <w:tblStyle w:val="31"/>
        <w:tblpPr w:leftFromText="180" w:rightFromText="180" w:vertAnchor="text" w:horzAnchor="page" w:tblpX="1528" w:tblpY="379"/>
        <w:tblOverlap w:val="never"/>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6875"/>
        <w:gridCol w:w="914"/>
      </w:tblGrid>
      <w:tr w14:paraId="19EA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03" w:type="dxa"/>
            <w:tcBorders>
              <w:top w:val="single" w:color="auto" w:sz="4" w:space="0"/>
              <w:left w:val="single" w:color="auto" w:sz="4" w:space="0"/>
              <w:bottom w:val="single" w:color="auto" w:sz="4" w:space="0"/>
              <w:right w:val="single" w:color="auto" w:sz="4" w:space="0"/>
            </w:tcBorders>
            <w:vAlign w:val="center"/>
          </w:tcPr>
          <w:p w14:paraId="09237F3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评审因素</w:t>
            </w:r>
          </w:p>
        </w:tc>
        <w:tc>
          <w:tcPr>
            <w:tcW w:w="6875" w:type="dxa"/>
            <w:tcBorders>
              <w:left w:val="single" w:color="auto" w:sz="4" w:space="0"/>
            </w:tcBorders>
            <w:vAlign w:val="center"/>
          </w:tcPr>
          <w:p w14:paraId="6798F05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内     容</w:t>
            </w:r>
          </w:p>
        </w:tc>
        <w:tc>
          <w:tcPr>
            <w:tcW w:w="914" w:type="dxa"/>
            <w:vAlign w:val="center"/>
          </w:tcPr>
          <w:p w14:paraId="1B7E30A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权值%</w:t>
            </w:r>
          </w:p>
        </w:tc>
      </w:tr>
      <w:tr w14:paraId="4A16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3" w:type="dxa"/>
            <w:tcBorders>
              <w:top w:val="single" w:color="auto" w:sz="4" w:space="0"/>
              <w:left w:val="single" w:color="auto" w:sz="4" w:space="0"/>
              <w:bottom w:val="single" w:color="auto" w:sz="4" w:space="0"/>
              <w:right w:val="single" w:color="auto" w:sz="4" w:space="0"/>
            </w:tcBorders>
            <w:vAlign w:val="center"/>
          </w:tcPr>
          <w:p w14:paraId="40DC8513">
            <w:pPr>
              <w:adjustRightInd w:val="0"/>
              <w:snapToGrid w:val="0"/>
              <w:spacing w:line="240" w:lineRule="auto"/>
              <w:jc w:val="center"/>
              <w:rPr>
                <w:rFonts w:hint="eastAsia" w:ascii="仿宋" w:hAnsi="仿宋" w:eastAsia="仿宋" w:cs="仿宋"/>
                <w:sz w:val="24"/>
                <w:szCs w:val="24"/>
              </w:rPr>
            </w:pPr>
          </w:p>
          <w:p w14:paraId="1C77A69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投标报价</w:t>
            </w:r>
          </w:p>
          <w:p w14:paraId="00D43C84">
            <w:pPr>
              <w:adjustRightInd w:val="0"/>
              <w:snapToGrid w:val="0"/>
              <w:spacing w:line="240" w:lineRule="auto"/>
              <w:jc w:val="center"/>
              <w:rPr>
                <w:rFonts w:hint="eastAsia" w:ascii="仿宋" w:hAnsi="仿宋" w:eastAsia="仿宋" w:cs="仿宋"/>
                <w:sz w:val="24"/>
                <w:szCs w:val="24"/>
              </w:rPr>
            </w:pPr>
          </w:p>
        </w:tc>
        <w:tc>
          <w:tcPr>
            <w:tcW w:w="6875" w:type="dxa"/>
            <w:tcBorders>
              <w:left w:val="single" w:color="auto" w:sz="4" w:space="0"/>
            </w:tcBorders>
            <w:vAlign w:val="center"/>
          </w:tcPr>
          <w:p w14:paraId="002A18A2">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投标报价（10 分）：满足招标文件实质性要求且投标价格最</w:t>
            </w:r>
          </w:p>
          <w:p w14:paraId="477672A5">
            <w:pPr>
              <w:spacing w:line="240" w:lineRule="auto"/>
              <w:jc w:val="left"/>
              <w:rPr>
                <w:rFonts w:hint="eastAsia" w:ascii="仿宋" w:hAnsi="仿宋" w:eastAsia="仿宋" w:cs="仿宋"/>
                <w:sz w:val="24"/>
                <w:szCs w:val="24"/>
              </w:rPr>
            </w:pPr>
            <w:r>
              <w:rPr>
                <w:rFonts w:hint="eastAsia" w:ascii="仿宋" w:hAnsi="仿宋" w:eastAsia="仿宋" w:cs="仿宋"/>
                <w:sz w:val="24"/>
                <w:szCs w:val="24"/>
              </w:rPr>
              <w:t>低的投标报价为评标基准价，其价格分为满分。</w:t>
            </w:r>
          </w:p>
          <w:p w14:paraId="5F6FFDD4">
            <w:pPr>
              <w:spacing w:line="240" w:lineRule="auto"/>
              <w:jc w:val="left"/>
              <w:rPr>
                <w:rFonts w:hint="eastAsia" w:ascii="仿宋" w:hAnsi="仿宋" w:eastAsia="仿宋" w:cs="仿宋"/>
                <w:sz w:val="24"/>
                <w:szCs w:val="24"/>
              </w:rPr>
            </w:pPr>
            <w:r>
              <w:rPr>
                <w:rFonts w:hint="eastAsia" w:ascii="仿宋" w:hAnsi="仿宋" w:eastAsia="仿宋" w:cs="仿宋"/>
                <w:sz w:val="24"/>
                <w:szCs w:val="24"/>
              </w:rPr>
              <w:t>其他投标人的价格分统一按照下列公式计算：投标报价得分</w:t>
            </w:r>
          </w:p>
          <w:p w14:paraId="2B575F97">
            <w:pPr>
              <w:spacing w:line="240" w:lineRule="auto"/>
              <w:jc w:val="left"/>
              <w:rPr>
                <w:rFonts w:hint="eastAsia" w:ascii="仿宋" w:hAnsi="仿宋" w:eastAsia="仿宋" w:cs="仿宋"/>
                <w:sz w:val="24"/>
                <w:szCs w:val="24"/>
              </w:rPr>
            </w:pPr>
            <w:r>
              <w:rPr>
                <w:rFonts w:hint="eastAsia" w:ascii="仿宋" w:hAnsi="仿宋" w:eastAsia="仿宋" w:cs="仿宋"/>
                <w:sz w:val="24"/>
                <w:szCs w:val="24"/>
              </w:rPr>
              <w:t>=(评标基准价／投标报价)×价格权重值×100，计算分数时四舍五入取小数点后两位。</w:t>
            </w:r>
          </w:p>
          <w:p w14:paraId="707DB2CA">
            <w:pPr>
              <w:spacing w:line="240" w:lineRule="auto"/>
              <w:jc w:val="left"/>
              <w:rPr>
                <w:rFonts w:hint="eastAsia" w:ascii="仿宋" w:hAnsi="仿宋" w:eastAsia="仿宋" w:cs="仿宋"/>
                <w:sz w:val="24"/>
                <w:szCs w:val="24"/>
              </w:rPr>
            </w:pPr>
            <w:r>
              <w:rPr>
                <w:rFonts w:hint="eastAsia" w:ascii="仿宋" w:hAnsi="仿宋" w:eastAsia="仿宋" w:cs="仿宋"/>
                <w:sz w:val="24"/>
                <w:szCs w:val="24"/>
              </w:rPr>
              <w:t>评审委员会发现某一供应商的最后报价明显低于其他供应商</w:t>
            </w:r>
          </w:p>
          <w:p w14:paraId="178C5552">
            <w:pPr>
              <w:spacing w:line="240" w:lineRule="auto"/>
              <w:jc w:val="left"/>
              <w:rPr>
                <w:rFonts w:hint="eastAsia" w:ascii="仿宋" w:hAnsi="仿宋" w:eastAsia="仿宋" w:cs="仿宋"/>
                <w:sz w:val="24"/>
                <w:szCs w:val="24"/>
              </w:rPr>
            </w:pPr>
            <w:r>
              <w:rPr>
                <w:rFonts w:hint="eastAsia" w:ascii="仿宋" w:hAnsi="仿宋" w:eastAsia="仿宋" w:cs="仿宋"/>
                <w:sz w:val="24"/>
                <w:szCs w:val="24"/>
              </w:rPr>
              <w:t>的最后报价，使得其报价可能低于其成本的，应当要求该供应商作出书面说明并提供相应的证明材料。供应商不能合理说明或者不能提供相应证明材料的，由评审委员会认定该供应商以低于成本报价竞标，其供应商的最后报价不予认可，作无效响应处理视为自动放弃。</w:t>
            </w:r>
          </w:p>
        </w:tc>
        <w:tc>
          <w:tcPr>
            <w:tcW w:w="914" w:type="dxa"/>
            <w:vAlign w:val="center"/>
          </w:tcPr>
          <w:p w14:paraId="5F57DD4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14:paraId="2BD7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3" w:type="dxa"/>
            <w:tcBorders>
              <w:top w:val="single" w:color="auto" w:sz="4" w:space="0"/>
              <w:left w:val="single" w:color="auto" w:sz="4" w:space="0"/>
              <w:bottom w:val="single" w:color="auto" w:sz="4" w:space="0"/>
              <w:right w:val="single" w:color="auto" w:sz="4" w:space="0"/>
            </w:tcBorders>
            <w:vAlign w:val="center"/>
          </w:tcPr>
          <w:p w14:paraId="680D22F8">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项目需求分析</w:t>
            </w:r>
          </w:p>
        </w:tc>
        <w:tc>
          <w:tcPr>
            <w:tcW w:w="6875" w:type="dxa"/>
            <w:tcBorders>
              <w:left w:val="single" w:color="auto" w:sz="4" w:space="0"/>
            </w:tcBorders>
            <w:vAlign w:val="center"/>
          </w:tcPr>
          <w:p w14:paraId="6BC03805">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540BE585">
            <w:pPr>
              <w:spacing w:line="240" w:lineRule="auto"/>
              <w:jc w:val="left"/>
              <w:rPr>
                <w:rFonts w:hint="eastAsia" w:ascii="仿宋" w:hAnsi="仿宋" w:eastAsia="仿宋" w:cs="仿宋"/>
                <w:sz w:val="24"/>
                <w:szCs w:val="24"/>
              </w:rPr>
            </w:pPr>
            <w:r>
              <w:rPr>
                <w:rFonts w:hint="eastAsia" w:ascii="仿宋" w:hAnsi="仿宋" w:eastAsia="仿宋" w:cs="仿宋"/>
                <w:sz w:val="24"/>
                <w:szCs w:val="24"/>
              </w:rPr>
              <w:t>对本项目需求的理解，结合项目需求，根据投标人对本项目需</w:t>
            </w:r>
          </w:p>
          <w:p w14:paraId="0F5F28A2">
            <w:pPr>
              <w:spacing w:line="240" w:lineRule="auto"/>
              <w:jc w:val="left"/>
              <w:rPr>
                <w:rFonts w:hint="eastAsia" w:ascii="仿宋" w:hAnsi="仿宋" w:eastAsia="仿宋" w:cs="仿宋"/>
                <w:sz w:val="24"/>
                <w:szCs w:val="24"/>
              </w:rPr>
            </w:pPr>
            <w:r>
              <w:rPr>
                <w:rFonts w:hint="eastAsia" w:ascii="仿宋" w:hAnsi="仿宋" w:eastAsia="仿宋" w:cs="仿宋"/>
                <w:sz w:val="24"/>
                <w:szCs w:val="24"/>
              </w:rPr>
              <w:t>求的了解及认识，方案需包含：（1）项目背景分析；（2）项目总体规划思路；（3）项目需求理解分析；（4）服务标准。</w:t>
            </w:r>
          </w:p>
          <w:p w14:paraId="4E566D6A">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473316A7">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项内容计3 分，满分12 分；每缺少一项内容扣3 分，</w:t>
            </w:r>
          </w:p>
          <w:p w14:paraId="67581CF2">
            <w:pPr>
              <w:spacing w:line="240" w:lineRule="auto"/>
              <w:jc w:val="left"/>
              <w:rPr>
                <w:rFonts w:hint="eastAsia" w:ascii="仿宋" w:hAnsi="仿宋" w:eastAsia="仿宋" w:cs="仿宋"/>
                <w:b/>
                <w:bCs/>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0.3 分，扣完为止。</w:t>
            </w:r>
          </w:p>
        </w:tc>
        <w:tc>
          <w:tcPr>
            <w:tcW w:w="914" w:type="dxa"/>
            <w:vAlign w:val="center"/>
          </w:tcPr>
          <w:p w14:paraId="1C831D05">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w:t>
            </w:r>
          </w:p>
        </w:tc>
      </w:tr>
      <w:tr w14:paraId="2F6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3" w:type="dxa"/>
            <w:tcBorders>
              <w:top w:val="single" w:color="auto" w:sz="4" w:space="0"/>
              <w:left w:val="single" w:color="auto" w:sz="4" w:space="0"/>
              <w:bottom w:val="single" w:color="auto" w:sz="4" w:space="0"/>
              <w:right w:val="single" w:color="auto" w:sz="4" w:space="0"/>
            </w:tcBorders>
            <w:vAlign w:val="center"/>
          </w:tcPr>
          <w:p w14:paraId="0C0899C7">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服务方案</w:t>
            </w:r>
          </w:p>
        </w:tc>
        <w:tc>
          <w:tcPr>
            <w:tcW w:w="6875" w:type="dxa"/>
            <w:tcBorders>
              <w:left w:val="single" w:color="auto" w:sz="4" w:space="0"/>
            </w:tcBorders>
            <w:vAlign w:val="center"/>
          </w:tcPr>
          <w:p w14:paraId="08556E72">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3DE16547">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投标人针对本项目技术要求提出的各项服务内容提供整体服</w:t>
            </w:r>
          </w:p>
          <w:p w14:paraId="622C813A">
            <w:pPr>
              <w:spacing w:line="240" w:lineRule="auto"/>
              <w:jc w:val="left"/>
              <w:rPr>
                <w:rFonts w:hint="eastAsia" w:ascii="仿宋" w:hAnsi="仿宋" w:eastAsia="仿宋" w:cs="仿宋"/>
                <w:sz w:val="24"/>
                <w:szCs w:val="24"/>
              </w:rPr>
            </w:pPr>
            <w:r>
              <w:rPr>
                <w:rFonts w:hint="eastAsia" w:ascii="仿宋" w:hAnsi="仿宋" w:eastAsia="仿宋" w:cs="仿宋"/>
                <w:sz w:val="24"/>
                <w:szCs w:val="24"/>
              </w:rPr>
              <w:t>务方案，方案包括：（1）针对本项目编制的整体服务计划书；（2）针对本项目提供服务期内清晰的工作计划及工作节点安排；（3）有健全的内部管理制度；（4）安全及保密控制方案；（5）项目服务各方协调管理；（6）项目成果展示。</w:t>
            </w:r>
          </w:p>
          <w:p w14:paraId="10964C14">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20BF85A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项内容计6 分，满分36 分；每缺少一项内容扣6 分，</w:t>
            </w:r>
          </w:p>
          <w:p w14:paraId="4ACF0240">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0.6分，扣完为止。</w:t>
            </w:r>
          </w:p>
        </w:tc>
        <w:tc>
          <w:tcPr>
            <w:tcW w:w="914" w:type="dxa"/>
            <w:vAlign w:val="center"/>
          </w:tcPr>
          <w:p w14:paraId="1484AD2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r>
      <w:tr w14:paraId="7118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3" w:type="dxa"/>
            <w:tcBorders>
              <w:top w:val="single" w:color="auto" w:sz="4" w:space="0"/>
              <w:left w:val="single" w:color="auto" w:sz="4" w:space="0"/>
              <w:bottom w:val="single" w:color="auto" w:sz="4" w:space="0"/>
              <w:right w:val="single" w:color="auto" w:sz="4" w:space="0"/>
            </w:tcBorders>
            <w:vAlign w:val="center"/>
          </w:tcPr>
          <w:p w14:paraId="4A7C967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服务质量</w:t>
            </w:r>
          </w:p>
          <w:p w14:paraId="0486922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保障方案</w:t>
            </w:r>
          </w:p>
        </w:tc>
        <w:tc>
          <w:tcPr>
            <w:tcW w:w="6875" w:type="dxa"/>
            <w:tcBorders>
              <w:left w:val="single" w:color="auto" w:sz="4" w:space="0"/>
            </w:tcBorders>
            <w:vAlign w:val="center"/>
          </w:tcPr>
          <w:p w14:paraId="6EF1ECF0">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438366CC">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投标人针对本项目提供的服务质量保障方案，方案包括：（1）</w:t>
            </w:r>
          </w:p>
          <w:p w14:paraId="4D750092">
            <w:pPr>
              <w:spacing w:line="240" w:lineRule="auto"/>
              <w:jc w:val="left"/>
              <w:rPr>
                <w:rFonts w:hint="eastAsia" w:ascii="仿宋" w:hAnsi="仿宋" w:eastAsia="仿宋" w:cs="仿宋"/>
                <w:sz w:val="24"/>
                <w:szCs w:val="24"/>
              </w:rPr>
            </w:pPr>
            <w:r>
              <w:rPr>
                <w:rFonts w:hint="eastAsia" w:ascii="仿宋" w:hAnsi="仿宋" w:eastAsia="仿宋" w:cs="仿宋"/>
                <w:sz w:val="24"/>
                <w:szCs w:val="24"/>
              </w:rPr>
              <w:t>服务质量保障目标；（2）服务质量管理制度；（3）服务质量保障措施；（4）后续服务保障体系。</w:t>
            </w:r>
          </w:p>
          <w:p w14:paraId="10A3B8DB">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5DA4921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项内容计4 分，满分16 分；每缺少一项内容扣4 分，</w:t>
            </w:r>
          </w:p>
          <w:p w14:paraId="2991763E">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0.4 分，扣完为止。</w:t>
            </w:r>
          </w:p>
        </w:tc>
        <w:tc>
          <w:tcPr>
            <w:tcW w:w="914" w:type="dxa"/>
            <w:vAlign w:val="center"/>
          </w:tcPr>
          <w:p w14:paraId="10700D3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w:t>
            </w:r>
          </w:p>
        </w:tc>
      </w:tr>
      <w:tr w14:paraId="5C58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403" w:type="dxa"/>
            <w:tcBorders>
              <w:top w:val="single" w:color="auto" w:sz="4" w:space="0"/>
              <w:left w:val="single" w:color="auto" w:sz="4" w:space="0"/>
              <w:bottom w:val="single" w:color="auto" w:sz="4" w:space="0"/>
              <w:right w:val="single" w:color="auto" w:sz="4" w:space="0"/>
            </w:tcBorders>
            <w:vAlign w:val="center"/>
          </w:tcPr>
          <w:p w14:paraId="53C9F8D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服务团队</w:t>
            </w:r>
          </w:p>
        </w:tc>
        <w:tc>
          <w:tcPr>
            <w:tcW w:w="6875" w:type="dxa"/>
            <w:tcBorders>
              <w:left w:val="single" w:color="auto" w:sz="4" w:space="0"/>
            </w:tcBorders>
            <w:vAlign w:val="center"/>
          </w:tcPr>
          <w:p w14:paraId="703EFF27">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4BF124EB">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投标人针对本项目提供的服务团队及管理方案，方案包含：（1）</w:t>
            </w:r>
          </w:p>
          <w:p w14:paraId="49F89E19">
            <w:pPr>
              <w:spacing w:line="240" w:lineRule="auto"/>
              <w:jc w:val="left"/>
              <w:rPr>
                <w:rFonts w:hint="eastAsia" w:ascii="仿宋" w:hAnsi="仿宋" w:eastAsia="仿宋" w:cs="仿宋"/>
                <w:sz w:val="24"/>
                <w:szCs w:val="24"/>
              </w:rPr>
            </w:pPr>
            <w:r>
              <w:rPr>
                <w:rFonts w:hint="eastAsia" w:ascii="仿宋" w:hAnsi="仿宋" w:eastAsia="仿宋" w:cs="仿宋"/>
                <w:sz w:val="24"/>
                <w:szCs w:val="24"/>
              </w:rPr>
              <w:t>人员职责明确、分工清晰；（2）岗位职责制度及考核办法（3）人员管理、工作时间安排。</w:t>
            </w:r>
          </w:p>
          <w:p w14:paraId="6B84B937">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0866FB26">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项内容计5 分，满分15 分；每缺少一项内容扣5 分，</w:t>
            </w:r>
          </w:p>
          <w:p w14:paraId="32415575">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 分，扣完为止。</w:t>
            </w:r>
          </w:p>
        </w:tc>
        <w:tc>
          <w:tcPr>
            <w:tcW w:w="914" w:type="dxa"/>
            <w:vAlign w:val="center"/>
          </w:tcPr>
          <w:p w14:paraId="3D0F8EF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w:t>
            </w:r>
          </w:p>
        </w:tc>
      </w:tr>
      <w:tr w14:paraId="18D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03" w:type="dxa"/>
            <w:tcBorders>
              <w:top w:val="single" w:color="auto" w:sz="4" w:space="0"/>
              <w:left w:val="single" w:color="auto" w:sz="4" w:space="0"/>
              <w:bottom w:val="single" w:color="auto" w:sz="4" w:space="0"/>
              <w:right w:val="single" w:color="auto" w:sz="4" w:space="0"/>
            </w:tcBorders>
            <w:vAlign w:val="center"/>
          </w:tcPr>
          <w:p w14:paraId="2AEC8E5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服务承诺</w:t>
            </w:r>
          </w:p>
        </w:tc>
        <w:tc>
          <w:tcPr>
            <w:tcW w:w="6875" w:type="dxa"/>
            <w:tcBorders>
              <w:left w:val="single" w:color="auto" w:sz="4" w:space="0"/>
            </w:tcBorders>
            <w:vAlign w:val="center"/>
          </w:tcPr>
          <w:p w14:paraId="2E0FBBE1">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794222FD">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投标人针对本项目提供的服务承诺，包括：（1）对服务期限</w:t>
            </w:r>
          </w:p>
          <w:p w14:paraId="2773053C">
            <w:pPr>
              <w:spacing w:line="240" w:lineRule="auto"/>
              <w:jc w:val="left"/>
              <w:rPr>
                <w:rFonts w:hint="eastAsia" w:ascii="仿宋" w:hAnsi="仿宋" w:eastAsia="仿宋" w:cs="仿宋"/>
                <w:sz w:val="24"/>
                <w:szCs w:val="24"/>
              </w:rPr>
            </w:pPr>
            <w:r>
              <w:rPr>
                <w:rFonts w:hint="eastAsia" w:ascii="仿宋" w:hAnsi="仿宋" w:eastAsia="仿宋" w:cs="仿宋"/>
                <w:sz w:val="24"/>
                <w:szCs w:val="24"/>
              </w:rPr>
              <w:t>内服务质量、人员到位情况及配合程度等做出实质性承诺；（2）</w:t>
            </w:r>
          </w:p>
          <w:p w14:paraId="6DB697C8">
            <w:pPr>
              <w:spacing w:line="240" w:lineRule="auto"/>
              <w:jc w:val="left"/>
              <w:rPr>
                <w:rFonts w:hint="eastAsia" w:ascii="仿宋" w:hAnsi="仿宋" w:eastAsia="仿宋" w:cs="仿宋"/>
                <w:sz w:val="24"/>
                <w:szCs w:val="24"/>
              </w:rPr>
            </w:pPr>
            <w:r>
              <w:rPr>
                <w:rFonts w:hint="eastAsia" w:ascii="仿宋" w:hAnsi="仿宋" w:eastAsia="仿宋" w:cs="仿宋"/>
                <w:sz w:val="24"/>
                <w:szCs w:val="24"/>
              </w:rPr>
              <w:t>针对本项目承诺并接受采购方对技术人员及服务事项的监督和管理；（3）承诺若出现技术服务人员因故不能工作的，及时补充上岗服务人员，确保采购需求服务工作的正常进行，提供合理可行的人员补充方案；</w:t>
            </w:r>
          </w:p>
          <w:p w14:paraId="726F8C21">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16C0A22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项内容计2 分，满分6 分；每缺少一项内容扣2 分，</w:t>
            </w:r>
          </w:p>
          <w:p w14:paraId="45220855">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 分，扣完为止。</w:t>
            </w:r>
          </w:p>
        </w:tc>
        <w:tc>
          <w:tcPr>
            <w:tcW w:w="914" w:type="dxa"/>
            <w:vAlign w:val="center"/>
          </w:tcPr>
          <w:p w14:paraId="213723F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14:paraId="48B1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3" w:type="dxa"/>
            <w:tcBorders>
              <w:top w:val="single" w:color="auto" w:sz="4" w:space="0"/>
              <w:left w:val="single" w:color="auto" w:sz="4" w:space="0"/>
              <w:bottom w:val="single" w:color="auto" w:sz="4" w:space="0"/>
              <w:right w:val="single" w:color="auto" w:sz="4" w:space="0"/>
            </w:tcBorders>
            <w:vAlign w:val="center"/>
          </w:tcPr>
          <w:p w14:paraId="27FF3E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应急处理</w:t>
            </w:r>
          </w:p>
          <w:p w14:paraId="46A7B50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w:t>
            </w:r>
          </w:p>
        </w:tc>
        <w:tc>
          <w:tcPr>
            <w:tcW w:w="6875" w:type="dxa"/>
            <w:tcBorders>
              <w:left w:val="single" w:color="auto" w:sz="4" w:space="0"/>
            </w:tcBorders>
            <w:vAlign w:val="center"/>
          </w:tcPr>
          <w:p w14:paraId="0CA5EC01">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069AEDEB">
            <w:pPr>
              <w:spacing w:line="240" w:lineRule="auto"/>
              <w:jc w:val="left"/>
              <w:rPr>
                <w:rFonts w:hint="eastAsia" w:ascii="仿宋" w:hAnsi="仿宋" w:eastAsia="仿宋" w:cs="仿宋"/>
                <w:sz w:val="24"/>
                <w:szCs w:val="24"/>
              </w:rPr>
            </w:pPr>
            <w:r>
              <w:rPr>
                <w:rFonts w:hint="eastAsia" w:ascii="仿宋" w:hAnsi="仿宋" w:eastAsia="仿宋" w:cs="仿宋"/>
                <w:sz w:val="24"/>
                <w:szCs w:val="24"/>
              </w:rPr>
              <w:t>针对本项目制定完善的应急处理服务，内容包括：①应急处置；</w:t>
            </w:r>
          </w:p>
          <w:p w14:paraId="3F5E52D1">
            <w:pPr>
              <w:spacing w:line="240" w:lineRule="auto"/>
              <w:jc w:val="left"/>
              <w:rPr>
                <w:rFonts w:hint="eastAsia" w:ascii="仿宋" w:hAnsi="仿宋" w:eastAsia="仿宋" w:cs="仿宋"/>
                <w:sz w:val="24"/>
                <w:szCs w:val="24"/>
              </w:rPr>
            </w:pPr>
            <w:r>
              <w:rPr>
                <w:rFonts w:hint="eastAsia" w:ascii="仿宋" w:hAnsi="仿宋" w:eastAsia="仿宋" w:cs="仿宋"/>
                <w:sz w:val="24"/>
                <w:szCs w:val="24"/>
              </w:rPr>
              <w:t>②响应时间：保证紧急情况下能够快速进行处理，提供具体的缩短障碍处理时间。</w:t>
            </w:r>
          </w:p>
          <w:p w14:paraId="3044A736">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6340A31E">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项内容计2 分，满分4 分；每缺少一项内容扣2 分，</w:t>
            </w:r>
          </w:p>
          <w:p w14:paraId="08079A0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 分，扣完为止。</w:t>
            </w:r>
          </w:p>
        </w:tc>
        <w:tc>
          <w:tcPr>
            <w:tcW w:w="914" w:type="dxa"/>
            <w:vAlign w:val="center"/>
          </w:tcPr>
          <w:p w14:paraId="3AC68A2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r>
      <w:tr w14:paraId="36B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3" w:type="dxa"/>
            <w:tcBorders>
              <w:top w:val="single" w:color="auto" w:sz="4" w:space="0"/>
              <w:left w:val="single" w:color="auto" w:sz="4" w:space="0"/>
              <w:bottom w:val="single" w:color="auto" w:sz="4" w:space="0"/>
              <w:right w:val="single" w:color="auto" w:sz="4" w:space="0"/>
            </w:tcBorders>
            <w:vAlign w:val="center"/>
          </w:tcPr>
          <w:p w14:paraId="6815DC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合理化建</w:t>
            </w:r>
          </w:p>
          <w:p w14:paraId="5738475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议</w:t>
            </w:r>
          </w:p>
        </w:tc>
        <w:tc>
          <w:tcPr>
            <w:tcW w:w="6875" w:type="dxa"/>
            <w:tcBorders>
              <w:left w:val="single" w:color="auto" w:sz="4" w:space="0"/>
            </w:tcBorders>
            <w:vAlign w:val="center"/>
          </w:tcPr>
          <w:p w14:paraId="0969AF37">
            <w:pPr>
              <w:spacing w:line="240" w:lineRule="auto"/>
              <w:jc w:val="left"/>
              <w:rPr>
                <w:rFonts w:hint="eastAsia" w:ascii="仿宋" w:hAnsi="仿宋" w:eastAsia="仿宋" w:cs="仿宋"/>
                <w:sz w:val="24"/>
                <w:szCs w:val="24"/>
              </w:rPr>
            </w:pPr>
            <w:r>
              <w:rPr>
                <w:rFonts w:hint="eastAsia" w:ascii="仿宋" w:hAnsi="仿宋" w:eastAsia="仿宋" w:cs="仿宋"/>
                <w:sz w:val="24"/>
                <w:szCs w:val="24"/>
              </w:rPr>
              <w:t>提供针对本项目的其他合理化建议及意见，根据合理性及可行</w:t>
            </w:r>
          </w:p>
          <w:p w14:paraId="25F299F8">
            <w:pPr>
              <w:spacing w:line="240" w:lineRule="auto"/>
              <w:jc w:val="left"/>
              <w:rPr>
                <w:rFonts w:hint="eastAsia" w:ascii="仿宋" w:hAnsi="仿宋" w:eastAsia="仿宋" w:cs="仿宋"/>
                <w:sz w:val="24"/>
                <w:szCs w:val="24"/>
              </w:rPr>
            </w:pPr>
            <w:r>
              <w:rPr>
                <w:rFonts w:hint="eastAsia" w:ascii="仿宋" w:hAnsi="仿宋" w:eastAsia="仿宋" w:cs="仿宋"/>
                <w:sz w:val="24"/>
                <w:szCs w:val="24"/>
              </w:rPr>
              <w:t>性，计0-1 分，未提供的不计分。</w:t>
            </w:r>
          </w:p>
        </w:tc>
        <w:tc>
          <w:tcPr>
            <w:tcW w:w="914" w:type="dxa"/>
            <w:vAlign w:val="center"/>
          </w:tcPr>
          <w:p w14:paraId="6BFA8DC8">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r>
    </w:tbl>
    <w:p w14:paraId="2B2A2DBF">
      <w:pPr>
        <w:spacing w:line="500" w:lineRule="exact"/>
        <w:rPr>
          <w:rFonts w:ascii="宋体" w:hAnsi="宋体" w:cs="宋体"/>
          <w:bCs/>
          <w:kern w:val="0"/>
          <w:sz w:val="24"/>
        </w:rPr>
      </w:pPr>
      <w:r>
        <w:rPr>
          <w:rFonts w:hint="eastAsia" w:ascii="宋体" w:hAnsi="宋体" w:cs="宋体"/>
          <w:kern w:val="0"/>
          <w:sz w:val="24"/>
        </w:rPr>
        <w:t>注：1、各种计算数字“四舍五入”保留二位小数。</w:t>
      </w:r>
    </w:p>
    <w:p w14:paraId="510AB9CA">
      <w:pPr>
        <w:spacing w:line="500" w:lineRule="exact"/>
        <w:ind w:firstLine="486" w:firstLineChars="200"/>
        <w:rPr>
          <w:rFonts w:ascii="仿宋" w:hAnsi="仿宋" w:eastAsia="仿宋" w:cs="Times New Roman"/>
          <w:b/>
          <w:sz w:val="32"/>
          <w:szCs w:val="32"/>
        </w:rPr>
      </w:pPr>
      <w:r>
        <w:rPr>
          <w:rFonts w:hint="eastAsia" w:ascii="宋体" w:hAnsi="宋体" w:cs="宋体"/>
          <w:kern w:val="0"/>
          <w:sz w:val="24"/>
        </w:rPr>
        <w:t>2、评标委员会成员如有打分超过分值界限或未按本表规定打分的，则该成员的打分作废，不计入汇总分。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6" w:name="_Toc48834107"/>
      <w:bookmarkStart w:id="187" w:name="_Toc48834304"/>
      <w:bookmarkStart w:id="188" w:name="_Toc14082138"/>
      <w:bookmarkStart w:id="189" w:name="_Toc48834177"/>
      <w:bookmarkStart w:id="190" w:name="_Toc48834545"/>
      <w:bookmarkStart w:id="191" w:name="_Toc48834466"/>
      <w:bookmarkStart w:id="192" w:name="_Toc20365"/>
    </w:p>
    <w:p w14:paraId="76B79238">
      <w:pPr>
        <w:snapToGrid w:val="0"/>
        <w:spacing w:line="500" w:lineRule="exact"/>
        <w:jc w:val="both"/>
        <w:rPr>
          <w:rFonts w:hint="eastAsia" w:ascii="仿宋" w:hAnsi="仿宋" w:eastAsia="仿宋" w:cs="Times New Roman"/>
          <w:b/>
          <w:sz w:val="32"/>
          <w:szCs w:val="32"/>
        </w:rPr>
      </w:pPr>
    </w:p>
    <w:p w14:paraId="4C0FD1B8">
      <w:pPr>
        <w:pStyle w:val="19"/>
        <w:rPr>
          <w:rFonts w:hint="eastAsia" w:ascii="仿宋" w:hAnsi="仿宋" w:eastAsia="仿宋" w:cs="Times New Roman"/>
          <w:b/>
          <w:sz w:val="32"/>
          <w:szCs w:val="32"/>
          <w:lang w:eastAsia="zh-CN"/>
        </w:rPr>
      </w:pPr>
    </w:p>
    <w:p w14:paraId="4C4D96FC">
      <w:pPr>
        <w:pStyle w:val="19"/>
        <w:rPr>
          <w:rFonts w:hint="eastAsia" w:ascii="仿宋" w:hAnsi="仿宋" w:eastAsia="仿宋" w:cs="Times New Roman"/>
          <w:b/>
          <w:sz w:val="32"/>
          <w:szCs w:val="32"/>
          <w:lang w:eastAsia="zh-CN"/>
        </w:rPr>
      </w:pPr>
    </w:p>
    <w:p w14:paraId="7F005942">
      <w:pPr>
        <w:pStyle w:val="19"/>
        <w:rPr>
          <w:rFonts w:hint="eastAsia" w:ascii="仿宋" w:hAnsi="仿宋" w:eastAsia="仿宋" w:cs="Times New Roman"/>
          <w:b/>
          <w:sz w:val="32"/>
          <w:szCs w:val="32"/>
          <w:lang w:eastAsia="zh-CN"/>
        </w:rPr>
      </w:pPr>
    </w:p>
    <w:p w14:paraId="470319D7">
      <w:pPr>
        <w:pStyle w:val="19"/>
        <w:rPr>
          <w:rFonts w:hint="eastAsia" w:ascii="仿宋" w:hAnsi="仿宋" w:eastAsia="仿宋" w:cs="Times New Roman"/>
          <w:b/>
          <w:sz w:val="32"/>
          <w:szCs w:val="32"/>
          <w:lang w:eastAsia="zh-CN"/>
        </w:rPr>
      </w:pPr>
    </w:p>
    <w:p w14:paraId="0C102F6B">
      <w:pPr>
        <w:pStyle w:val="19"/>
        <w:rPr>
          <w:rFonts w:hint="eastAsia" w:ascii="仿宋" w:hAnsi="仿宋" w:eastAsia="仿宋" w:cs="Times New Roman"/>
          <w:b/>
          <w:sz w:val="32"/>
          <w:szCs w:val="32"/>
          <w:lang w:eastAsia="zh-CN"/>
        </w:rPr>
      </w:pPr>
    </w:p>
    <w:p w14:paraId="71E3D206">
      <w:pPr>
        <w:pStyle w:val="19"/>
        <w:rPr>
          <w:rFonts w:hint="eastAsia" w:ascii="仿宋" w:hAnsi="仿宋" w:eastAsia="仿宋" w:cs="Times New Roman"/>
          <w:b/>
          <w:sz w:val="32"/>
          <w:szCs w:val="32"/>
          <w:lang w:eastAsia="zh-CN"/>
        </w:rPr>
      </w:pPr>
    </w:p>
    <w:p w14:paraId="61097835">
      <w:pPr>
        <w:pStyle w:val="19"/>
        <w:rPr>
          <w:rFonts w:hint="eastAsia" w:ascii="仿宋" w:hAnsi="仿宋" w:eastAsia="仿宋" w:cs="Times New Roman"/>
          <w:b/>
          <w:sz w:val="32"/>
          <w:szCs w:val="32"/>
          <w:lang w:eastAsia="zh-CN"/>
        </w:rPr>
      </w:pPr>
    </w:p>
    <w:p w14:paraId="1C971616">
      <w:pPr>
        <w:pStyle w:val="19"/>
        <w:rPr>
          <w:rFonts w:hint="eastAsia" w:ascii="仿宋" w:hAnsi="仿宋" w:eastAsia="仿宋" w:cs="Times New Roman"/>
          <w:b/>
          <w:sz w:val="32"/>
          <w:szCs w:val="32"/>
          <w:lang w:eastAsia="zh-CN"/>
        </w:rPr>
      </w:pPr>
    </w:p>
    <w:p w14:paraId="04606C14">
      <w:pPr>
        <w:pStyle w:val="19"/>
        <w:rPr>
          <w:rFonts w:hint="eastAsia" w:ascii="仿宋" w:hAnsi="仿宋" w:eastAsia="仿宋" w:cs="Times New Roman"/>
          <w:b/>
          <w:sz w:val="32"/>
          <w:szCs w:val="32"/>
          <w:lang w:eastAsia="zh-CN"/>
        </w:rPr>
      </w:pPr>
    </w:p>
    <w:p w14:paraId="650A6316">
      <w:pPr>
        <w:pStyle w:val="19"/>
        <w:rPr>
          <w:rFonts w:hint="eastAsia" w:ascii="仿宋" w:hAnsi="仿宋" w:eastAsia="仿宋" w:cs="Times New Roman"/>
          <w:b/>
          <w:sz w:val="32"/>
          <w:szCs w:val="32"/>
          <w:lang w:eastAsia="zh-CN"/>
        </w:rPr>
      </w:pPr>
    </w:p>
    <w:p w14:paraId="2F32F22C">
      <w:pPr>
        <w:pStyle w:val="19"/>
        <w:rPr>
          <w:rFonts w:hint="eastAsia" w:ascii="仿宋" w:hAnsi="仿宋" w:eastAsia="仿宋" w:cs="Times New Roman"/>
          <w:b/>
          <w:sz w:val="32"/>
          <w:szCs w:val="32"/>
          <w:lang w:eastAsia="zh-CN"/>
        </w:rPr>
      </w:pPr>
    </w:p>
    <w:p w14:paraId="7B538D81">
      <w:pPr>
        <w:pStyle w:val="19"/>
        <w:rPr>
          <w:rFonts w:hint="eastAsia" w:ascii="仿宋" w:hAnsi="仿宋" w:eastAsia="仿宋" w:cs="Times New Roman"/>
          <w:b/>
          <w:sz w:val="32"/>
          <w:szCs w:val="32"/>
          <w:lang w:eastAsia="zh-CN"/>
        </w:rPr>
      </w:pPr>
    </w:p>
    <w:p w14:paraId="3B0191AB">
      <w:pPr>
        <w:snapToGrid w:val="0"/>
        <w:spacing w:line="500" w:lineRule="exact"/>
        <w:jc w:val="center"/>
        <w:rPr>
          <w:rFonts w:ascii="仿宋" w:hAnsi="仿宋" w:eastAsia="仿宋" w:cs="仿宋"/>
          <w:sz w:val="30"/>
          <w:szCs w:val="30"/>
        </w:rPr>
      </w:pPr>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566" w:firstLineChars="200"/>
        <w:rPr>
          <w:rFonts w:ascii="仿宋" w:hAnsi="仿宋" w:eastAsia="仿宋" w:cs="Times New Roman"/>
        </w:rPr>
      </w:pPr>
      <w:r>
        <w:rPr>
          <w:rFonts w:hint="eastAsia" w:ascii="仿宋" w:hAnsi="仿宋" w:eastAsia="仿宋" w:cs="Times New Roman"/>
        </w:rPr>
        <w:t>本次采购项目为党政各级视频会议系统扩容加固建设服务项目，投标人必须对本项目进行整体响应，只对其中一部分内容进行的响应都被视为无效响应。投标报价应遵守《中华人民共和国价格法》，投标人不得以低于成本的报价参与投标。</w:t>
      </w:r>
    </w:p>
    <w:bookmarkEnd w:id="186"/>
    <w:bookmarkEnd w:id="187"/>
    <w:bookmarkEnd w:id="188"/>
    <w:bookmarkEnd w:id="189"/>
    <w:bookmarkEnd w:id="190"/>
    <w:bookmarkEnd w:id="191"/>
    <w:bookmarkEnd w:id="192"/>
    <w:p w14:paraId="783835B9">
      <w:pPr>
        <w:spacing w:line="500" w:lineRule="exact"/>
        <w:ind w:firstLine="606" w:firstLineChars="200"/>
        <w:rPr>
          <w:rFonts w:hint="eastAsia" w:ascii="仿宋" w:hAnsi="仿宋" w:eastAsia="仿宋" w:cs="Times New Roman"/>
          <w:b/>
          <w:sz w:val="30"/>
          <w:szCs w:val="30"/>
        </w:rPr>
      </w:pPr>
      <w:bookmarkStart w:id="193" w:name="_Toc48834178"/>
      <w:bookmarkStart w:id="194" w:name="_Toc14082139"/>
      <w:bookmarkStart w:id="195" w:name="_Toc48834546"/>
      <w:bookmarkStart w:id="196" w:name="_Toc15045"/>
      <w:bookmarkStart w:id="197" w:name="_Toc48834467"/>
      <w:bookmarkStart w:id="198" w:name="_Toc48834108"/>
      <w:bookmarkStart w:id="199" w:name="_Toc48834305"/>
      <w:r>
        <w:rPr>
          <w:rFonts w:hint="eastAsia" w:ascii="仿宋" w:hAnsi="仿宋" w:eastAsia="仿宋" w:cs="Times New Roman"/>
          <w:b/>
          <w:sz w:val="30"/>
          <w:szCs w:val="30"/>
        </w:rPr>
        <w:t>采购需求：</w:t>
      </w:r>
    </w:p>
    <w:p w14:paraId="0BA4D924">
      <w:pPr>
        <w:autoSpaceDE w:val="0"/>
        <w:autoSpaceDN w:val="0"/>
        <w:adjustRightInd w:val="0"/>
        <w:snapToGrid w:val="0"/>
        <w:spacing w:line="360" w:lineRule="auto"/>
        <w:ind w:firstLine="614"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采购内容及清单合同包1：</w:t>
      </w:r>
    </w:p>
    <w:p w14:paraId="7D049F1F">
      <w:pPr>
        <w:autoSpaceDE w:val="0"/>
        <w:autoSpaceDN w:val="0"/>
        <w:adjustRightInd w:val="0"/>
        <w:snapToGrid w:val="0"/>
        <w:spacing w:line="360" w:lineRule="auto"/>
        <w:ind w:firstLine="614"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采购预算：￥4,018,500.00元</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968"/>
        <w:gridCol w:w="6844"/>
        <w:gridCol w:w="455"/>
        <w:gridCol w:w="464"/>
      </w:tblGrid>
      <w:tr w14:paraId="4A37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5000" w:type="pct"/>
            <w:gridSpan w:val="5"/>
            <w:tcBorders>
              <w:tl2br w:val="nil"/>
              <w:tr2bl w:val="nil"/>
            </w:tcBorders>
            <w:shd w:val="clear" w:color="auto" w:fill="auto"/>
            <w:noWrap/>
            <w:vAlign w:val="center"/>
          </w:tcPr>
          <w:p w14:paraId="38957C4C">
            <w:pPr>
              <w:widowControl/>
              <w:jc w:val="center"/>
              <w:textAlignment w:val="center"/>
              <w:rPr>
                <w:rFonts w:ascii="宋体" w:hAnsi="宋体" w:cs="宋体"/>
                <w:b/>
                <w:bCs/>
                <w:color w:val="000000"/>
                <w:sz w:val="32"/>
                <w:szCs w:val="32"/>
              </w:rPr>
            </w:pPr>
            <w:r>
              <w:rPr>
                <w:rFonts w:hint="eastAsia" w:ascii="方正小标宋简体" w:hAnsi="方正小标宋简体" w:eastAsia="方正小标宋简体" w:cs="方正小标宋简体"/>
                <w:bCs/>
                <w:sz w:val="32"/>
                <w:szCs w:val="32"/>
              </w:rPr>
              <w:t>榆林市党政各级视频会议系统扩容加固建设服务项目</w:t>
            </w:r>
          </w:p>
        </w:tc>
      </w:tr>
      <w:tr w14:paraId="55D4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9" w:type="pct"/>
            <w:tcBorders>
              <w:tl2br w:val="nil"/>
              <w:tr2bl w:val="nil"/>
            </w:tcBorders>
            <w:shd w:val="clear" w:color="auto" w:fill="auto"/>
            <w:noWrap/>
            <w:vAlign w:val="center"/>
          </w:tcPr>
          <w:p w14:paraId="3F64B150">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521" w:type="pct"/>
            <w:tcBorders>
              <w:tl2br w:val="nil"/>
              <w:tr2bl w:val="nil"/>
            </w:tcBorders>
            <w:shd w:val="clear" w:color="auto" w:fill="auto"/>
            <w:noWrap/>
            <w:vAlign w:val="center"/>
          </w:tcPr>
          <w:p w14:paraId="19303F1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设备名称</w:t>
            </w:r>
          </w:p>
        </w:tc>
        <w:tc>
          <w:tcPr>
            <w:tcW w:w="3685" w:type="pct"/>
            <w:tcBorders>
              <w:tl2br w:val="nil"/>
              <w:tr2bl w:val="nil"/>
            </w:tcBorders>
            <w:shd w:val="clear" w:color="auto" w:fill="auto"/>
            <w:noWrap/>
            <w:vAlign w:val="center"/>
          </w:tcPr>
          <w:p w14:paraId="211A74E9">
            <w:pPr>
              <w:widowControl/>
              <w:jc w:val="center"/>
              <w:textAlignment w:val="center"/>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kern w:val="0"/>
                <w:sz w:val="24"/>
                <w:szCs w:val="24"/>
                <w:lang w:bidi="ar"/>
              </w:rPr>
              <w:t>采购指标项</w:t>
            </w:r>
          </w:p>
        </w:tc>
        <w:tc>
          <w:tcPr>
            <w:tcW w:w="245" w:type="pct"/>
            <w:tcBorders>
              <w:tl2br w:val="nil"/>
              <w:tr2bl w:val="nil"/>
            </w:tcBorders>
            <w:shd w:val="clear" w:color="auto" w:fill="auto"/>
            <w:noWrap/>
            <w:vAlign w:val="center"/>
          </w:tcPr>
          <w:p w14:paraId="11E432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247" w:type="pct"/>
            <w:tcBorders>
              <w:tl2br w:val="nil"/>
              <w:tr2bl w:val="nil"/>
            </w:tcBorders>
            <w:shd w:val="clear" w:color="auto" w:fill="auto"/>
            <w:noWrap/>
            <w:vAlign w:val="center"/>
          </w:tcPr>
          <w:p w14:paraId="720087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6D4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3E261628">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一、视频会议系统稳定性改造</w:t>
            </w:r>
          </w:p>
        </w:tc>
      </w:tr>
      <w:tr w14:paraId="3305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61CB10">
            <w:pPr>
              <w:widowControl/>
              <w:jc w:val="left"/>
              <w:textAlignment w:val="center"/>
              <w:rPr>
                <w:rFonts w:ascii="宋体" w:hAnsi="宋体" w:cs="宋体"/>
                <w:color w:val="000000"/>
                <w:sz w:val="22"/>
                <w:szCs w:val="22"/>
                <w:lang w:bidi="ar"/>
              </w:rPr>
            </w:pPr>
            <w:r>
              <w:rPr>
                <w:rFonts w:hint="eastAsia"/>
              </w:rPr>
              <w:t>榆林市政府党政视频会议系统现状：现状基于视频会议系统在日常工作中使用频次多，且会议重要性高的实际情况，为确保会议过程的稳定性，对会议系统的核心平台进行双机设备加固，增加一套热备视频会议系统（</w:t>
            </w:r>
            <w:r>
              <w:rPr>
                <w:rFonts w:hint="eastAsia" w:ascii="宋体" w:hAnsi="宋体" w:cs="宋体"/>
                <w:color w:val="000000"/>
                <w:sz w:val="22"/>
                <w:szCs w:val="22"/>
                <w:lang w:bidi="ar"/>
              </w:rPr>
              <w:t>会议管理热备系统</w:t>
            </w:r>
            <w:r>
              <w:rPr>
                <w:rFonts w:hint="eastAsia"/>
              </w:rPr>
              <w:t>、</w:t>
            </w:r>
            <w:r>
              <w:rPr>
                <w:rFonts w:hint="eastAsia" w:ascii="宋体" w:hAnsi="宋体" w:cs="宋体"/>
                <w:color w:val="000000"/>
                <w:sz w:val="22"/>
                <w:szCs w:val="22"/>
                <w:lang w:bidi="ar"/>
              </w:rPr>
              <w:t>公私网穿越系统</w:t>
            </w:r>
            <w:r>
              <w:rPr>
                <w:rFonts w:hint="eastAsia"/>
              </w:rPr>
              <w:t>、</w:t>
            </w:r>
            <w:r>
              <w:rPr>
                <w:rFonts w:hint="eastAsia" w:ascii="宋体" w:hAnsi="宋体" w:cs="宋体"/>
                <w:color w:val="000000"/>
                <w:sz w:val="22"/>
                <w:szCs w:val="22"/>
                <w:lang w:bidi="ar"/>
              </w:rPr>
              <w:t>调度资源热备系统</w:t>
            </w:r>
            <w:r>
              <w:rPr>
                <w:rFonts w:hint="eastAsia"/>
              </w:rPr>
              <w:t>、视频终端等），若一个平台在使用过程中出现故障，可平滑切换至备用平台，同时对市委市政府重要会场进行双机备份。并增加会议录播功能，保障历史会议视频可通过回放进行查阅。</w:t>
            </w:r>
          </w:p>
        </w:tc>
      </w:tr>
      <w:tr w14:paraId="5486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6" w:hRule="atLeast"/>
        </w:trPr>
        <w:tc>
          <w:tcPr>
            <w:tcW w:w="299" w:type="pct"/>
            <w:tcBorders>
              <w:tl2br w:val="nil"/>
              <w:tr2bl w:val="nil"/>
            </w:tcBorders>
            <w:shd w:val="clear" w:color="auto" w:fill="auto"/>
            <w:noWrap/>
            <w:vAlign w:val="center"/>
          </w:tcPr>
          <w:p w14:paraId="1FF841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21" w:type="pct"/>
            <w:tcBorders>
              <w:tl2br w:val="nil"/>
              <w:tr2bl w:val="nil"/>
            </w:tcBorders>
            <w:shd w:val="clear" w:color="auto" w:fill="auto"/>
            <w:noWrap/>
            <w:vAlign w:val="center"/>
          </w:tcPr>
          <w:p w14:paraId="4CF420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会议管理热备系统</w:t>
            </w:r>
          </w:p>
        </w:tc>
        <w:tc>
          <w:tcPr>
            <w:tcW w:w="3685" w:type="pct"/>
            <w:tcBorders>
              <w:tl2br w:val="nil"/>
              <w:tr2bl w:val="nil"/>
            </w:tcBorders>
            <w:shd w:val="clear" w:color="auto" w:fill="auto"/>
            <w:vAlign w:val="center"/>
          </w:tcPr>
          <w:p w14:paraId="69DF9F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★1、采用独立硬件部署（非MCU内置模块）；采用国产自主的处理芯片、操作系统和数据库软件。须提供带CMA或CNAS标识的第三方检测报告证明。</w:t>
            </w:r>
          </w:p>
          <w:p w14:paraId="3DFA39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2、支持IPv4协议、IPv6协议、IPv4和IPv6协议混合组网，支持 H.323、SIP 注册、呼叫、公私网穿越功能。</w:t>
            </w:r>
          </w:p>
          <w:p w14:paraId="78FB03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3、支持一键静/闭音、删除/添加会场、广播/选看会场、辅流加入多画面、设置多画面、锁定会议演示、指定会场发送辅流、声控切换、设置/释放主席、点名等功能。</w:t>
            </w:r>
          </w:p>
          <w:p w14:paraId="0BC990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★4、支持虚拟等候室，支持实时替换多画面背景，背景画面可包含不同语种和字体的文字、不同颜色和风格的台标或徽标。须提供带CMA或CNAS标识的第三方检测报告证明。</w:t>
            </w:r>
          </w:p>
          <w:p w14:paraId="789B40E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5、支持会议模板预置锁定视频源，会议开始后可自动锁定视频源，会场观看的内容不受广播、点名、声控切换、自动多画面等操作影响。</w:t>
            </w:r>
          </w:p>
          <w:p w14:paraId="6475F0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6、支持无须提前配置会议模板或参数，支持根据级联会议观看需要，自动调整MCU级联通道数量，同时上传多路会场画面。</w:t>
            </w:r>
          </w:p>
          <w:p w14:paraId="721BD18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7、支持按用户操作习惯，自定义会控功能按钮的优先顺序，不同的账号可拥有各自界面布局，布局设定后下次登录自动应用，无须重新设置。</w:t>
            </w:r>
          </w:p>
          <w:p w14:paraId="5A1D80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★8、支持在会议控制界面上，手动调整会场的先后排列顺序。须提供带CMA或CNAS标识的第三方检测报告证明。</w:t>
            </w:r>
          </w:p>
          <w:p w14:paraId="25CFB52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★9、支持三员账号管理，包含系统管理员、安全管理员、安全审计员账号角色，不同类型的账号权限相互独立、相互隔离。须提供带CMA或CNAS标识的第三方检测报告证明。</w:t>
            </w:r>
          </w:p>
          <w:p w14:paraId="55CE256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10、单机支持≥10000台设备管理，≥128台MCU资源池管理。</w:t>
            </w:r>
          </w:p>
          <w:p w14:paraId="782398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11、支持license许可资源集中管理、按需分配、浮动共享，授权许可不与硬件设备绑定，可通过软件许可和计算资源平滑扩容系统容量。</w:t>
            </w:r>
          </w:p>
          <w:p w14:paraId="4E08130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12、支持黑白名单过滤机制，可限制节点注册，避免非法请求和访问。</w:t>
            </w:r>
          </w:p>
          <w:p w14:paraId="7A447C82">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★13、本次要求双机热备部署。双机热备部署后，在主备倒换过程中，正在召开的会议不受影响，与会终端的音视频信号连续、流畅，无卡顿、花屏和凝固现象。提供相关证明材料。</w:t>
            </w:r>
          </w:p>
          <w:p w14:paraId="779563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★14、本次升级改造须对历史数据进行迁移和切换，确保整体业务平滑过渡。提供相关证明材料。</w:t>
            </w:r>
          </w:p>
          <w:p w14:paraId="683689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15、本次所投产品须提供三年质保服务。</w:t>
            </w:r>
          </w:p>
          <w:p w14:paraId="3E12FA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16、须提供产品的合法正规渠道供货证明及售后服务承诺函。</w:t>
            </w:r>
          </w:p>
        </w:tc>
        <w:tc>
          <w:tcPr>
            <w:tcW w:w="245" w:type="pct"/>
            <w:tcBorders>
              <w:tl2br w:val="nil"/>
              <w:tr2bl w:val="nil"/>
            </w:tcBorders>
            <w:shd w:val="clear" w:color="auto" w:fill="auto"/>
            <w:noWrap/>
            <w:vAlign w:val="center"/>
          </w:tcPr>
          <w:p w14:paraId="23D507BF">
            <w:pPr>
              <w:widowControl/>
              <w:jc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16C23FA7">
            <w:pPr>
              <w:widowControl/>
              <w:jc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98C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8" w:hRule="atLeast"/>
        </w:trPr>
        <w:tc>
          <w:tcPr>
            <w:tcW w:w="299" w:type="pct"/>
            <w:tcBorders>
              <w:tl2br w:val="nil"/>
              <w:tr2bl w:val="nil"/>
            </w:tcBorders>
            <w:shd w:val="clear" w:color="auto" w:fill="auto"/>
            <w:noWrap/>
            <w:vAlign w:val="center"/>
          </w:tcPr>
          <w:p w14:paraId="4E749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21" w:type="pct"/>
            <w:tcBorders>
              <w:tl2br w:val="nil"/>
              <w:tr2bl w:val="nil"/>
            </w:tcBorders>
            <w:shd w:val="clear" w:color="auto" w:fill="auto"/>
            <w:noWrap/>
            <w:vAlign w:val="center"/>
          </w:tcPr>
          <w:p w14:paraId="71D4A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公私网穿越系统</w:t>
            </w:r>
          </w:p>
        </w:tc>
        <w:tc>
          <w:tcPr>
            <w:tcW w:w="3685" w:type="pct"/>
            <w:tcBorders>
              <w:tl2br w:val="nil"/>
              <w:tr2bl w:val="nil"/>
            </w:tcBorders>
            <w:shd w:val="clear" w:color="auto" w:fill="auto"/>
            <w:vAlign w:val="center"/>
          </w:tcPr>
          <w:p w14:paraId="37483A3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★1、独立硬件服务器（非MCU内置模块）；采用国产自主处理芯片和操作系统。须提供带CMA或CNAS标识的第三方检测报告证明。</w:t>
            </w:r>
          </w:p>
          <w:p w14:paraId="3664119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2、支持H.323 Gatekeeper、Sip Server、SIP Proxy等功能。</w:t>
            </w:r>
          </w:p>
          <w:p w14:paraId="640EBD9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3、支持H.460、ICE、STUN、TURN、SNP等协议，实现H.323和SIP设备公私网穿越。</w:t>
            </w:r>
          </w:p>
          <w:p w14:paraId="229D0925">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呼叫带宽配置与管理，控制区域呼叫流量，避免网络拥塞；支持呼叫路由控制、号码变换，支持通过前缀匹配、后缀匹配、精确匹配等查找规则识别呼叫区域。须提供带CMA或CNAS标识的第三方检测报告证明。</w:t>
            </w:r>
          </w:p>
          <w:p w14:paraId="5D0F44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5、支持呼叫时携带会议号和鉴权密码信息，实现与异构MCU的鉴权会议级联。</w:t>
            </w:r>
          </w:p>
          <w:p w14:paraId="73A5F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★6、本次所投设备须与现网设备组成双机热备功能，须配备400M公私网穿越流量。提供相关证明材料。</w:t>
            </w:r>
          </w:p>
          <w:p w14:paraId="6CD79DA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7、本次所投设备须与现网设备组成双机热备功能，双机热备部署后，在主备倒换过程中，正在召开的会议不受影响，与会终端的音视频信号连续、流畅，无卡顿、花屏和凝固现象。</w:t>
            </w:r>
          </w:p>
          <w:p w14:paraId="0172AF1B">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8、本次所投产品须提供三年质保服务。</w:t>
            </w:r>
          </w:p>
        </w:tc>
        <w:tc>
          <w:tcPr>
            <w:tcW w:w="245" w:type="pct"/>
            <w:tcBorders>
              <w:tl2br w:val="nil"/>
              <w:tr2bl w:val="nil"/>
            </w:tcBorders>
            <w:shd w:val="clear" w:color="auto" w:fill="auto"/>
            <w:noWrap/>
            <w:vAlign w:val="center"/>
          </w:tcPr>
          <w:p w14:paraId="32EFE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50EC4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E9D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99" w:type="pct"/>
            <w:tcBorders>
              <w:tl2br w:val="nil"/>
              <w:tr2bl w:val="nil"/>
            </w:tcBorders>
            <w:shd w:val="clear" w:color="auto" w:fill="auto"/>
            <w:noWrap/>
            <w:vAlign w:val="center"/>
          </w:tcPr>
          <w:p w14:paraId="475902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21" w:type="pct"/>
            <w:tcBorders>
              <w:tl2br w:val="nil"/>
              <w:tr2bl w:val="nil"/>
            </w:tcBorders>
            <w:shd w:val="clear" w:color="auto" w:fill="auto"/>
            <w:vAlign w:val="center"/>
          </w:tcPr>
          <w:p w14:paraId="3B26F7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调度资源热备系统</w:t>
            </w:r>
          </w:p>
        </w:tc>
        <w:tc>
          <w:tcPr>
            <w:tcW w:w="3685" w:type="pct"/>
            <w:tcBorders>
              <w:tl2br w:val="nil"/>
              <w:tr2bl w:val="nil"/>
            </w:tcBorders>
            <w:shd w:val="clear" w:color="auto" w:fill="auto"/>
            <w:vAlign w:val="center"/>
          </w:tcPr>
          <w:p w14:paraId="1ADD639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★1、采用国产自主的编解码芯片和操作系统，满足信息技术应用创新产业标准。须提供带CMA或CNAS标识的第三方检测报告证明和安全可靠测评结果公告截图。</w:t>
            </w:r>
          </w:p>
          <w:p w14:paraId="589535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7B343A3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7511996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268F4B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7C8587A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★6、支持芯片备份、媒体板备份、网口备份、电源备份、风扇备份、主控模块备份。须提供带CMA或CNAS标识的第三方检测报告证明。</w:t>
            </w:r>
          </w:p>
          <w:p w14:paraId="27F523A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★7、支持以1M带宽实现4K30fps会议效果，以384Kbps带宽实现1080P30fps会议效果；支持55%网络丢包下，语音清晰连续，视频清晰流畅，无卡顿、无马赛克。须提供带CMA或CNAS标识的第三方检测报告证明。</w:t>
            </w:r>
          </w:p>
          <w:p w14:paraId="5F3F7C57">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504A7BB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3996E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09EE02F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3104F57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DC5D4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00D000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须提供带CMA或CNAS标识的第三方检测报告证明。</w:t>
            </w:r>
          </w:p>
          <w:p w14:paraId="01D1057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★15、在全编全解模式下，单台最少支持54路4K或108路1080P60或216路1080P30并发端口。须提供产品相关证明不限于网页截图、产品彩页等材料。</w:t>
            </w:r>
          </w:p>
          <w:p w14:paraId="7640828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★16、支持SM2、SM3、SM4国密加密算法，在全编全解会议模式下启用国密加密，MCU接入端口容量不受影响。须提供带CMA或CNAS标识的第三方检测报告证明。</w:t>
            </w:r>
          </w:p>
          <w:p w14:paraId="6A3460FF">
            <w:pPr>
              <w:widowControl/>
              <w:numPr>
                <w:ilvl w:val="0"/>
                <w:numId w:val="4"/>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基于IPv4和IPv6，针对ARP、ICMP、TCP、UDP、RTP/RTCP等网络攻击时，设备管理协议暂停使用，并产生告警提示；攻击停止后，可自动恢复至被攻击前状态。</w:t>
            </w:r>
          </w:p>
          <w:p w14:paraId="41C559D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★18、本次新建设备须与现网多点控制单元无缝兼容，须支持与现网MCU组成资源池，实现MCU资源统一管理，根据MCU资源使用情况，可动态分配MCU资源，以实现MCU资源负载均衡。须提供产品证明材料。</w:t>
            </w:r>
          </w:p>
          <w:p w14:paraId="348D291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6DD4F1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20、须提供电信设备进网许可证复印件，产品的开具的合法正规渠道供货证明及售后服务承诺函。</w:t>
            </w:r>
          </w:p>
        </w:tc>
        <w:tc>
          <w:tcPr>
            <w:tcW w:w="245" w:type="pct"/>
            <w:tcBorders>
              <w:tl2br w:val="nil"/>
              <w:tr2bl w:val="nil"/>
            </w:tcBorders>
            <w:shd w:val="clear" w:color="auto" w:fill="auto"/>
            <w:noWrap/>
            <w:vAlign w:val="center"/>
          </w:tcPr>
          <w:p w14:paraId="3BB514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19F3B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BF6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299" w:type="pct"/>
            <w:tcBorders>
              <w:tl2br w:val="nil"/>
              <w:tr2bl w:val="nil"/>
            </w:tcBorders>
            <w:shd w:val="clear" w:color="auto" w:fill="auto"/>
            <w:noWrap/>
            <w:vAlign w:val="center"/>
          </w:tcPr>
          <w:p w14:paraId="6BBF3F5E">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4</w:t>
            </w:r>
          </w:p>
        </w:tc>
        <w:tc>
          <w:tcPr>
            <w:tcW w:w="521" w:type="pct"/>
            <w:tcBorders>
              <w:tl2br w:val="nil"/>
              <w:tr2bl w:val="nil"/>
            </w:tcBorders>
            <w:shd w:val="clear" w:color="auto" w:fill="auto"/>
            <w:vAlign w:val="center"/>
          </w:tcPr>
          <w:p w14:paraId="15CC8CA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录播服务系统</w:t>
            </w:r>
          </w:p>
        </w:tc>
        <w:tc>
          <w:tcPr>
            <w:tcW w:w="3685" w:type="pct"/>
            <w:tcBorders>
              <w:tl2br w:val="nil"/>
              <w:tr2bl w:val="nil"/>
            </w:tcBorders>
            <w:shd w:val="clear" w:color="auto" w:fill="auto"/>
            <w:vAlign w:val="center"/>
          </w:tcPr>
          <w:p w14:paraId="1C1FC9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1、录播必须采用国产操作系统、国产CPU、国产内存。</w:t>
            </w:r>
          </w:p>
          <w:p w14:paraId="2932E6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2、主机不少于2个10/100/100Mbps自适应以太网口，1个RS232控制接口。</w:t>
            </w:r>
          </w:p>
          <w:p w14:paraId="79D587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3、通信协议：ITU-T H.323、SIP BFCP、H.239；视频标准：H.264、H.265。</w:t>
            </w:r>
          </w:p>
          <w:p w14:paraId="7FF4DD0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4、图像分辨率：SVGA、XGA、SXGA、720P、1080P等；音频标准：G.711、G.722、G.722.1.C、G.719、AAC-LD。</w:t>
            </w:r>
          </w:p>
          <w:p w14:paraId="053880E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5、网络协议：IPV4、IPv6，设备必须支持IPv6协议。</w:t>
            </w:r>
          </w:p>
          <w:p w14:paraId="29B3FA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6、录制存储空间不小于2T，硬盘可抽取,方便维修时不会违反信息安全管理制度。</w:t>
            </w:r>
          </w:p>
          <w:p w14:paraId="732E69D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7、支持不低于100用户并发直播和点播。</w:t>
            </w:r>
          </w:p>
          <w:p w14:paraId="44223A9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8、支持注册到网守。</w:t>
            </w:r>
          </w:p>
          <w:p w14:paraId="50B7C1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9、支持不低于3组高清视频会议录制。</w:t>
            </w:r>
          </w:p>
          <w:p w14:paraId="12F8FE0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10、兼容主流MCU,支持mcu呼叫视频会议录播入会后自动开始录制，会议结束后立即生成可播放的视频文件。</w:t>
            </w:r>
          </w:p>
          <w:p w14:paraId="616815A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11、支持视频会议终端直接呼叫视频会议录播完成本地会议室的会议录制</w:t>
            </w:r>
          </w:p>
          <w:p w14:paraId="329BE0B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12、支持录制节目打包下载。</w:t>
            </w:r>
          </w:p>
          <w:p w14:paraId="7C568D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13、支持对下载节目加密下载。</w:t>
            </w:r>
          </w:p>
          <w:p w14:paraId="1C13F19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13、采用web方式登录，通过PC机实现会议的录播、控制和管理。</w:t>
            </w:r>
          </w:p>
          <w:p w14:paraId="60B25A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14、支持web方式收看会议直播，无需安装任何插件。</w:t>
            </w:r>
          </w:p>
          <w:p w14:paraId="79871E0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15、支持向第三方直播平台推流，实现第三方平台的直播。</w:t>
            </w:r>
          </w:p>
          <w:p w14:paraId="7048708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16、支持对文件存储加密。</w:t>
            </w:r>
          </w:p>
          <w:p w14:paraId="3C37CB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17、配合avx1000，支持无需安装任何插件，web方式收看H.265协议的视频会议的直播。</w:t>
            </w:r>
          </w:p>
          <w:p w14:paraId="0DB3378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18、支持扩展对接PRS语音转写服务器，必须支持在录播点播页面上直播观看会议摘要和转写文稿（提供相关证明材料）。如果必要，要求该功能支持演示。</w:t>
            </w:r>
          </w:p>
          <w:p w14:paraId="15455A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配合PRS语音转写服务器，支持录制的每个会议节目都可以呈现按照语义自然分段的发言稿；配合PRS语音转写服务器，每个录制的会议节目，都可呈现会议信息（包括会议地点、会议发言人名字、参会人员、会议议程等）</w:t>
            </w:r>
          </w:p>
          <w:p w14:paraId="3938D4B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20、支持权限管理，用户分配，支持指定用户组观看指定会议节目。</w:t>
            </w:r>
          </w:p>
          <w:p w14:paraId="4730EB7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21、支持nas、iscsi等网络存储。</w:t>
            </w:r>
          </w:p>
          <w:p w14:paraId="2849BEB5">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22、本次所投产品须提供三年质保服务。</w:t>
            </w:r>
          </w:p>
        </w:tc>
        <w:tc>
          <w:tcPr>
            <w:tcW w:w="245" w:type="pct"/>
            <w:tcBorders>
              <w:tl2br w:val="nil"/>
              <w:tr2bl w:val="nil"/>
            </w:tcBorders>
            <w:shd w:val="clear" w:color="auto" w:fill="auto"/>
            <w:noWrap/>
            <w:vAlign w:val="center"/>
          </w:tcPr>
          <w:p w14:paraId="582E26F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1331F3B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D94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8" w:hRule="atLeast"/>
        </w:trPr>
        <w:tc>
          <w:tcPr>
            <w:tcW w:w="299" w:type="pct"/>
            <w:tcBorders>
              <w:tl2br w:val="nil"/>
              <w:tr2bl w:val="nil"/>
            </w:tcBorders>
            <w:shd w:val="clear" w:color="auto" w:fill="auto"/>
            <w:noWrap/>
            <w:vAlign w:val="center"/>
          </w:tcPr>
          <w:p w14:paraId="5BB4436B">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5</w:t>
            </w:r>
          </w:p>
        </w:tc>
        <w:tc>
          <w:tcPr>
            <w:tcW w:w="521" w:type="pct"/>
            <w:tcBorders>
              <w:tl2br w:val="nil"/>
              <w:tr2bl w:val="nil"/>
            </w:tcBorders>
            <w:shd w:val="clear" w:color="auto" w:fill="auto"/>
            <w:vAlign w:val="center"/>
          </w:tcPr>
          <w:p w14:paraId="49A187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转码专用编码器</w:t>
            </w:r>
          </w:p>
        </w:tc>
        <w:tc>
          <w:tcPr>
            <w:tcW w:w="3685" w:type="pct"/>
            <w:tcBorders>
              <w:tl2br w:val="nil"/>
              <w:tr2bl w:val="nil"/>
            </w:tcBorders>
            <w:shd w:val="clear" w:color="auto" w:fill="auto"/>
            <w:vAlign w:val="center"/>
          </w:tcPr>
          <w:p w14:paraId="59C50FE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1、1U机架式主机，嵌入式系统。</w:t>
            </w:r>
          </w:p>
          <w:p w14:paraId="4E7DBD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2、模块化设计支持1路DVI-I高清输入，支持音频输入。</w:t>
            </w:r>
          </w:p>
          <w:p w14:paraId="3711231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3、采用H.264、H.265编码，编码帧率1-30帧；音频采用AAC编码；视频分辨率支持720P/1080P。</w:t>
            </w:r>
          </w:p>
          <w:p w14:paraId="06A4C8F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4、接收视频会议录播服务器的码流，支持把视频会议的主码流和双流节目后合成一个画面。</w:t>
            </w:r>
          </w:p>
          <w:p w14:paraId="7A5CD22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5、支持把合成画面回传给视频会议录播服务器。</w:t>
            </w:r>
          </w:p>
          <w:p w14:paraId="091813D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6、支持4k视频会议的主码流和双流合成单个画面。</w:t>
            </w:r>
          </w:p>
          <w:p w14:paraId="6F68F6B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p>
        </w:tc>
        <w:tc>
          <w:tcPr>
            <w:tcW w:w="245" w:type="pct"/>
            <w:tcBorders>
              <w:tl2br w:val="nil"/>
              <w:tr2bl w:val="nil"/>
            </w:tcBorders>
            <w:shd w:val="clear" w:color="auto" w:fill="auto"/>
            <w:noWrap/>
            <w:vAlign w:val="center"/>
          </w:tcPr>
          <w:p w14:paraId="16176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2ED332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6E8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299" w:type="pct"/>
            <w:tcBorders>
              <w:tl2br w:val="nil"/>
              <w:tr2bl w:val="nil"/>
            </w:tcBorders>
            <w:shd w:val="clear" w:color="auto" w:fill="auto"/>
            <w:noWrap/>
            <w:vAlign w:val="center"/>
          </w:tcPr>
          <w:p w14:paraId="6CC7ED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521" w:type="pct"/>
            <w:tcBorders>
              <w:tl2br w:val="nil"/>
              <w:tr2bl w:val="nil"/>
            </w:tcBorders>
            <w:shd w:val="clear" w:color="auto" w:fill="auto"/>
            <w:vAlign w:val="center"/>
          </w:tcPr>
          <w:p w14:paraId="20B9F7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高清视频终端-核心节点</w:t>
            </w:r>
          </w:p>
        </w:tc>
        <w:tc>
          <w:tcPr>
            <w:tcW w:w="3685" w:type="pct"/>
            <w:tcBorders>
              <w:tl2br w:val="nil"/>
              <w:tr2bl w:val="nil"/>
            </w:tcBorders>
            <w:shd w:val="clear" w:color="auto" w:fill="auto"/>
            <w:vAlign w:val="center"/>
          </w:tcPr>
          <w:p w14:paraId="3209C14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★1、与MCU完全兼容，分体式结构，非PC架构、非工控机架构。采用国产自主编解码芯片，国产自主嵌入式操作系统。须提供带CMA或CNAS标识的第三方检测报告证明。</w:t>
            </w:r>
          </w:p>
          <w:p w14:paraId="492DF68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3D345B8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5791A47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6BE7C5F5">
            <w:pPr>
              <w:widowControl/>
              <w:numPr>
                <w:ilvl w:val="0"/>
                <w:numId w:val="5"/>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支持H.239和BFCP双流协议，硬件性能最大支持主流分辨率达到4K30fps同时辅流分辨率达到4K30fps。</w:t>
            </w:r>
          </w:p>
          <w:p w14:paraId="4BBE8FD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5D06C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★7、支持55%网络丢包时，语音清晰连续，视频清晰流畅，无卡顿；支持80%的网络丢包时，声音清晰，不影响会议继续进行，须提供带CMA或CNAS标识的第三方检测报告证明。</w:t>
            </w:r>
          </w:p>
          <w:p w14:paraId="2551C50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号码信息，便于会议维护，须提供带CMA或CNAS标识的第三方检测报告证明。</w:t>
            </w:r>
          </w:p>
          <w:p w14:paraId="26C18861">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4E40088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290C2EF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★11、视频画面经采集、编码、网络传输、解码显示，整体延时≤100毫秒。须提供带CMA或CNAS标识的第三方检测报告证明。</w:t>
            </w:r>
          </w:p>
          <w:p w14:paraId="3D1596D1">
            <w:pPr>
              <w:widowControl/>
              <w:numPr>
                <w:ilvl w:val="0"/>
                <w:numId w:val="6"/>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会议终端配备触摸控制平板，支持 PoE 供电，支持终端休眠和唤醒、静音、音量大/小调节、会议摄像机控制、摄像机预置位调用、双流共享、呼叫/挂断会场、添加/删除会场、观看/广播会场、结束会议功能。</w:t>
            </w:r>
          </w:p>
          <w:p w14:paraId="2BE077C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配套摄像机，有效像素≥850万像素，1/2.5英寸CMOS成像芯片，支持≥12倍光学变焦。分辨率≥4K30fps，预置位数量≥254个。支持水平视角≥80°；水平转动范围：≥+/-110°，垂直转动范围：≥+/- 30°。支持HDMI高清视频输出接口；支持标准VISCA控制协议。</w:t>
            </w:r>
          </w:p>
          <w:p w14:paraId="5E0B4CE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14、本次所投产品须提供三年质保服务。</w:t>
            </w:r>
          </w:p>
          <w:p w14:paraId="0F24E1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582C31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6E78FE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72D8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299" w:type="pct"/>
            <w:tcBorders>
              <w:tl2br w:val="nil"/>
              <w:tr2bl w:val="nil"/>
            </w:tcBorders>
            <w:shd w:val="clear" w:color="auto" w:fill="auto"/>
            <w:noWrap/>
            <w:vAlign w:val="center"/>
          </w:tcPr>
          <w:p w14:paraId="5F789C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521" w:type="pct"/>
            <w:tcBorders>
              <w:tl2br w:val="nil"/>
              <w:tr2bl w:val="nil"/>
            </w:tcBorders>
            <w:shd w:val="clear" w:color="auto" w:fill="auto"/>
            <w:noWrap/>
            <w:vAlign w:val="center"/>
          </w:tcPr>
          <w:p w14:paraId="5E0745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一体化终端屏</w:t>
            </w:r>
          </w:p>
        </w:tc>
        <w:tc>
          <w:tcPr>
            <w:tcW w:w="3685" w:type="pct"/>
            <w:tcBorders>
              <w:tl2br w:val="nil"/>
              <w:tr2bl w:val="nil"/>
            </w:tcBorders>
            <w:shd w:val="clear" w:color="auto" w:fill="auto"/>
            <w:noWrap/>
            <w:vAlign w:val="center"/>
          </w:tcPr>
          <w:p w14:paraId="182BDEA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1、设备须采用一体化设计，集成摄像机、硬件编解码器、触摸显示屏、麦克风、扬声器等部件。</w:t>
            </w:r>
          </w:p>
          <w:p w14:paraId="63CBD66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2、采用国产自主嵌入式操作系统，国产自主的CPU处理单元、音视频编解码单元、可编程逻辑芯片等。</w:t>
            </w:r>
          </w:p>
          <w:p w14:paraId="4CCE1450">
            <w:pPr>
              <w:widowControl/>
              <w:numPr>
                <w:ilvl w:val="0"/>
                <w:numId w:val="7"/>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置智能三摄摄像头，变焦≥6倍；内置麦克风≥12个，拾音距离≥12米，采样率≥48KHz；支持智能音幕，可选择设备麦克风的拾音区域；支持发言人智能跟踪功能，可自动切换发言人特写画面，无需人工干预，声源定位精度≤0.5度。</w:t>
            </w:r>
          </w:p>
          <w:p w14:paraId="3826D3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4、嵌入式操作系统CPU≥8核，RAM≥12GB，ROM≥64GB。</w:t>
            </w:r>
          </w:p>
          <w:p w14:paraId="4757A01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5、整机采用D-LED触控屏，显示尺寸≥86英寸，显示比例16:9；分辨率≥3840*2160。采用红外触控技术，触控点数≥20个，触摸高度≤2mm，触摸精度≤±1mm。</w:t>
            </w:r>
          </w:p>
          <w:p w14:paraId="4EE90DB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6、支持内置电子白板，书写延时≤16ms，支持自定义书写颜色，使用者可进行手写、绘制、擦除、标注、保存、白板缩放等功能。</w:t>
            </w:r>
          </w:p>
          <w:p w14:paraId="069CE04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7、支持ITUT H.323和IETF SIP通信协议，G.711A、G.711U、G.722、G.729A、G.722.1C、OPUS、AAC-LD双声道等音频协议，H.265、H.264 HP、H.264 BP、H.264SVC、H.263、H.263+等视频协议。</w:t>
            </w:r>
          </w:p>
          <w:p w14:paraId="2E0D117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8、支持主流达到4K30fps情况下，辅流同时达到 4K30fps。本次配置1080P30fps对称编解码能力，落地支架。</w:t>
            </w:r>
          </w:p>
          <w:p w14:paraId="459D1D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9、支持1Mbps会议带宽下，实现4K30帧图像格式编解码。支持384Kbps会议带宽下，实现1080P30帧图像格式编解码。</w:t>
            </w:r>
          </w:p>
          <w:p w14:paraId="13E017A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10、支持50%网络丢包时，视频清晰流畅，无卡顿、无马赛克。支持80%网络丢包时，声音清晰流畅、可准确理解，不影响会议继续进行。</w:t>
            </w:r>
          </w:p>
          <w:p w14:paraId="70FDF53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11、支持H.235、TLS、SRTP、AES加密，支持SM2、SM3、SM4国密加密算法。须提供带CMA或CNAS标识的第三方检测报告证明。</w:t>
            </w:r>
          </w:p>
          <w:p w14:paraId="31BB5C5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12、为方便日常投屏使用，设备须支持跨网段投屏，即手机、PC、平板等移动终端无需和大屏设备接入同一网络、在同一网段下就可进行投屏。</w:t>
            </w:r>
          </w:p>
          <w:p w14:paraId="188D3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2DE841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44F3E9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06208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6501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299" w:type="pct"/>
            <w:tcBorders>
              <w:tl2br w:val="nil"/>
              <w:tr2bl w:val="nil"/>
            </w:tcBorders>
            <w:shd w:val="clear" w:color="auto" w:fill="auto"/>
            <w:noWrap/>
            <w:vAlign w:val="center"/>
          </w:tcPr>
          <w:p w14:paraId="62D302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521" w:type="pct"/>
            <w:tcBorders>
              <w:tl2br w:val="nil"/>
              <w:tr2bl w:val="nil"/>
            </w:tcBorders>
            <w:shd w:val="clear" w:color="auto" w:fill="auto"/>
            <w:vAlign w:val="center"/>
          </w:tcPr>
          <w:p w14:paraId="3116D31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高清视频终端-分部节点</w:t>
            </w:r>
          </w:p>
        </w:tc>
        <w:tc>
          <w:tcPr>
            <w:tcW w:w="3685" w:type="pct"/>
            <w:tcBorders>
              <w:tl2br w:val="nil"/>
              <w:tr2bl w:val="nil"/>
            </w:tcBorders>
            <w:shd w:val="clear" w:color="auto" w:fill="auto"/>
            <w:vAlign w:val="center"/>
          </w:tcPr>
          <w:p w14:paraId="7EEFC84F">
            <w:pPr>
              <w:widowControl/>
              <w:numPr>
                <w:ilvl w:val="0"/>
                <w:numId w:val="8"/>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与MCU完全兼容，分体式结构，非PC架构、非工控机架构。采用国产自主编解码芯片，国产自主嵌入式操作系统。</w:t>
            </w:r>
          </w:p>
          <w:p w14:paraId="26F564C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5B9D6D6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6116215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12A2E88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5、支持H.239和BFCP双流协议，硬件性能最大支持主流分辨率达到4K30fps同时辅流分辨率达到4K30fps。</w:t>
            </w:r>
          </w:p>
          <w:p w14:paraId="29FA75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79F8128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w:t>
            </w:r>
          </w:p>
          <w:p w14:paraId="6B1EF4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w:t>
            </w:r>
          </w:p>
          <w:p w14:paraId="33CE71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12DB889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5179A10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w:t>
            </w:r>
          </w:p>
          <w:p w14:paraId="70767C5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12、会议终端配备触摸控制平板，支持 PoE 供电，支持终端休眠和唤醒、静音、音量大/小调节、会议摄像机控制、摄像机预置位调用、双流共享、呼叫/挂断会场、添加/删除会场、观看/广播会场、结束会议功能。</w:t>
            </w:r>
          </w:p>
          <w:p w14:paraId="3A2A3B2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4418FF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14、提供电信设备进网许可证复印件，产品的的合法正规渠道供货证明及售后服务承诺函。</w:t>
            </w:r>
          </w:p>
        </w:tc>
        <w:tc>
          <w:tcPr>
            <w:tcW w:w="245" w:type="pct"/>
            <w:tcBorders>
              <w:tl2br w:val="nil"/>
              <w:tr2bl w:val="nil"/>
            </w:tcBorders>
            <w:shd w:val="clear" w:color="auto" w:fill="auto"/>
            <w:noWrap/>
            <w:vAlign w:val="center"/>
          </w:tcPr>
          <w:p w14:paraId="1B812E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29486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6D90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CE6D02">
            <w:pPr>
              <w:widowControl/>
              <w:jc w:val="left"/>
              <w:rPr>
                <w:rFonts w:ascii="宋体" w:hAnsi="宋体" w:cs="宋体"/>
                <w:b/>
                <w:bCs/>
                <w:color w:val="000000"/>
                <w:sz w:val="22"/>
                <w:szCs w:val="22"/>
              </w:rPr>
            </w:pPr>
            <w:r>
              <w:rPr>
                <w:rFonts w:hint="eastAsia" w:ascii="宋体" w:hAnsi="宋体" w:cs="宋体"/>
                <w:b/>
                <w:bCs/>
                <w:color w:val="000000"/>
                <w:kern w:val="0"/>
                <w:sz w:val="22"/>
                <w:szCs w:val="22"/>
                <w:lang w:bidi="ar"/>
              </w:rPr>
              <w:t>二、视频会议系统扩容系</w:t>
            </w:r>
          </w:p>
        </w:tc>
      </w:tr>
      <w:tr w14:paraId="435D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0" w:type="pct"/>
            <w:gridSpan w:val="5"/>
            <w:tcBorders>
              <w:tl2br w:val="nil"/>
              <w:tr2bl w:val="nil"/>
            </w:tcBorders>
            <w:shd w:val="clear" w:color="auto" w:fill="auto"/>
            <w:noWrap/>
            <w:vAlign w:val="center"/>
          </w:tcPr>
          <w:p w14:paraId="075AAEC8">
            <w:pPr>
              <w:widowControl/>
              <w:jc w:val="left"/>
              <w:rPr>
                <w:rFonts w:ascii="宋体" w:hAnsi="宋体" w:cs="宋体"/>
                <w:color w:val="000000"/>
                <w:sz w:val="22"/>
                <w:szCs w:val="22"/>
                <w:lang w:bidi="ar"/>
              </w:rPr>
            </w:pPr>
            <w:r>
              <w:rPr>
                <w:rFonts w:hint="eastAsia" w:cs="宋体"/>
              </w:rPr>
              <w:t>在市政府主会场增加一套多点控制单元设备且与原有会议系统无缝兼容，实现50路会议接入，同时增配1</w:t>
            </w:r>
            <w:r>
              <w:rPr>
                <w:rFonts w:cs="宋体"/>
              </w:rPr>
              <w:t>00</w:t>
            </w:r>
            <w:r>
              <w:rPr>
                <w:rFonts w:hint="eastAsia" w:cs="宋体"/>
              </w:rPr>
              <w:t>个移动端注册管理，确保增加的移动端正常使用。</w:t>
            </w:r>
          </w:p>
        </w:tc>
      </w:tr>
      <w:tr w14:paraId="44EA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9" w:type="pct"/>
            <w:tcBorders>
              <w:tl2br w:val="nil"/>
              <w:tr2bl w:val="nil"/>
            </w:tcBorders>
            <w:shd w:val="clear" w:color="auto" w:fill="auto"/>
            <w:noWrap/>
            <w:vAlign w:val="center"/>
          </w:tcPr>
          <w:p w14:paraId="22AED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521" w:type="pct"/>
            <w:tcBorders>
              <w:tl2br w:val="nil"/>
              <w:tr2bl w:val="nil"/>
            </w:tcBorders>
            <w:shd w:val="clear" w:color="auto" w:fill="auto"/>
            <w:noWrap/>
            <w:vAlign w:val="center"/>
          </w:tcPr>
          <w:p w14:paraId="6BB2E3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调度资源扩容系统</w:t>
            </w:r>
          </w:p>
        </w:tc>
        <w:tc>
          <w:tcPr>
            <w:tcW w:w="3685" w:type="pct"/>
            <w:tcBorders>
              <w:tl2br w:val="nil"/>
              <w:tr2bl w:val="nil"/>
            </w:tcBorders>
            <w:shd w:val="clear" w:color="auto" w:fill="auto"/>
            <w:vAlign w:val="center"/>
          </w:tcPr>
          <w:p w14:paraId="73EF8A8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w:t>
            </w:r>
          </w:p>
          <w:p w14:paraId="35D2DA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5BBE4A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1C3586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008A6D0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638BD3D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6、支持芯片备份、媒体板备份、网口备份、电源备份、风扇备份、主控模块备份。</w:t>
            </w:r>
          </w:p>
          <w:p w14:paraId="6C8D6CE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w:t>
            </w:r>
          </w:p>
          <w:p w14:paraId="79D58420">
            <w:pPr>
              <w:widowControl/>
              <w:numPr>
                <w:ilvl w:val="0"/>
                <w:numId w:val="9"/>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6FABCF6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B452C3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79639E9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2E9289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2CEC6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486D877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w:t>
            </w:r>
          </w:p>
          <w:p w14:paraId="0F7766C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★15、在全编全解模式下，单台最少支持54路4K或108路1080P60或216路1080P30并发端口。本次配置50路1080P30fps全编全解端口，100路软终端注册许可。</w:t>
            </w:r>
          </w:p>
          <w:p w14:paraId="771EF07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w:t>
            </w:r>
          </w:p>
          <w:p w14:paraId="5C72AE8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17、基于IPv4和IPv6，针对ARP、ICMP、TCP、UDP、RTP/RTCP等网络攻击时，设备管理协议暂停使用，并产生告警提示；攻击停止后，可自动恢复至被攻击前状态。</w:t>
            </w:r>
          </w:p>
          <w:p w14:paraId="187C50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★18、本次新建设备须与现网多点控制单元无缝兼容，须支持与现网MCU组成资源池，实现MCU资源统一管理，根据MCU资源使用情况，可动态分配MCU资源，以实现MCU资源负载均衡。须提供相应证明材料。</w:t>
            </w:r>
          </w:p>
          <w:p w14:paraId="5FFCA88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746C98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1F9A02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F17F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42E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shd w:val="clear" w:color="auto" w:fill="auto"/>
            <w:noWrap/>
            <w:vAlign w:val="center"/>
          </w:tcPr>
          <w:p w14:paraId="6070AF12">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三、网络安全系统</w:t>
            </w:r>
          </w:p>
        </w:tc>
      </w:tr>
      <w:tr w14:paraId="2514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7" w:hRule="atLeast"/>
        </w:trPr>
        <w:tc>
          <w:tcPr>
            <w:tcW w:w="299" w:type="pct"/>
            <w:tcBorders>
              <w:tl2br w:val="nil"/>
              <w:tr2bl w:val="nil"/>
            </w:tcBorders>
            <w:shd w:val="clear" w:color="auto" w:fill="auto"/>
            <w:noWrap/>
            <w:vAlign w:val="center"/>
          </w:tcPr>
          <w:p w14:paraId="295C01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10</w:t>
            </w:r>
          </w:p>
        </w:tc>
        <w:tc>
          <w:tcPr>
            <w:tcW w:w="521" w:type="pct"/>
            <w:tcBorders>
              <w:tl2br w:val="nil"/>
              <w:tr2bl w:val="nil"/>
            </w:tcBorders>
            <w:shd w:val="clear" w:color="auto" w:fill="auto"/>
            <w:noWrap/>
            <w:vAlign w:val="center"/>
          </w:tcPr>
          <w:p w14:paraId="01FB227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出口防火墙</w:t>
            </w:r>
          </w:p>
        </w:tc>
        <w:tc>
          <w:tcPr>
            <w:tcW w:w="3685" w:type="pct"/>
            <w:tcBorders>
              <w:tl2br w:val="nil"/>
              <w:tr2bl w:val="nil"/>
            </w:tcBorders>
            <w:shd w:val="clear" w:color="auto" w:fill="auto"/>
            <w:vAlign w:val="center"/>
          </w:tcPr>
          <w:p w14:paraId="1FC3C1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1、采用国产自主可控的关键芯片，采用国产操作系统；</w:t>
            </w:r>
            <w:r>
              <w:rPr>
                <w:rFonts w:hint="eastAsia" w:ascii="宋体" w:hAnsi="宋体" w:cs="宋体"/>
                <w:color w:val="000000"/>
                <w:kern w:val="0"/>
                <w:sz w:val="22"/>
                <w:szCs w:val="24"/>
              </w:rPr>
              <w:t>要求提供投标产品型号与国产芯片、国产操作系统的产品兼容性证明材料；</w:t>
            </w:r>
          </w:p>
          <w:p w14:paraId="5090CB6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2、本次配置≥8个万兆光口、≥6个千兆电口、≥4个千兆光口；</w:t>
            </w:r>
            <w:r>
              <w:rPr>
                <w:rFonts w:hint="eastAsia" w:ascii="宋体" w:hAnsi="宋体" w:cs="宋体"/>
                <w:color w:val="000000"/>
                <w:kern w:val="0"/>
                <w:sz w:val="22"/>
                <w:szCs w:val="24"/>
              </w:rPr>
              <w:t>console接口≥1个，≥1个独立MGT带外管理口；</w:t>
            </w:r>
            <w:r>
              <w:rPr>
                <w:rFonts w:hint="eastAsia" w:ascii="宋体" w:hAnsi="宋体" w:cs="宋体"/>
                <w:color w:val="000000"/>
                <w:kern w:val="0"/>
                <w:sz w:val="22"/>
                <w:szCs w:val="22"/>
                <w:lang w:bidi="ar"/>
              </w:rPr>
              <w:t>标配硬盘≥1TB；</w:t>
            </w:r>
          </w:p>
          <w:p w14:paraId="18C7779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kern w:val="0"/>
                <w:sz w:val="22"/>
                <w:szCs w:val="24"/>
              </w:rPr>
              <w:t>本次要求提供3年维保服务，含软件维保、版本升级服务，3年入侵防御、防病毒、威胁情报、物联网安全，视频安全；</w:t>
            </w:r>
          </w:p>
          <w:p w14:paraId="10EFF64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要求防火墙吞吐量≥25Gbps，IPS吞吐量≥15Gbps，最大并发连接数≥900万，每秒新建连接数≥50万；IPSec VPN隧道数授权≥20000条，零信任并发授权≥8个，最大SSL VPN并发≥10000；</w:t>
            </w:r>
          </w:p>
          <w:p w14:paraId="606B9D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5、支持基于策略的路由负载，支持根据应用和服务进行智能选路；</w:t>
            </w:r>
          </w:p>
          <w:p w14:paraId="64070A0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6、支持对HTTP、FTP、POP3、SMTP、IMAP、SMB等协议进行病毒查杀；</w:t>
            </w:r>
          </w:p>
          <w:p w14:paraId="2E72875A">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w:t>
            </w:r>
            <w:r>
              <w:rPr>
                <w:rFonts w:hint="eastAsia" w:ascii="宋体" w:hAnsi="宋体" w:cs="宋体"/>
                <w:color w:val="000000"/>
                <w:kern w:val="0"/>
                <w:sz w:val="22"/>
                <w:szCs w:val="24"/>
              </w:rPr>
              <w:t>要求投标产品具备中国信息安全测评中心颁发的《国家信息安全测评信息技术产品安全测评证书》(EAL4+)，要求提供证明材料；</w:t>
            </w:r>
          </w:p>
        </w:tc>
        <w:tc>
          <w:tcPr>
            <w:tcW w:w="245" w:type="pct"/>
            <w:tcBorders>
              <w:tl2br w:val="nil"/>
              <w:tr2bl w:val="nil"/>
            </w:tcBorders>
            <w:shd w:val="clear" w:color="auto" w:fill="auto"/>
            <w:noWrap/>
            <w:vAlign w:val="center"/>
          </w:tcPr>
          <w:p w14:paraId="6F82241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26491BB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w:t>
            </w:r>
          </w:p>
        </w:tc>
      </w:tr>
      <w:tr w14:paraId="321B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299" w:type="pct"/>
            <w:tcBorders>
              <w:tl2br w:val="nil"/>
              <w:tr2bl w:val="nil"/>
            </w:tcBorders>
            <w:shd w:val="clear" w:color="auto" w:fill="auto"/>
            <w:noWrap/>
            <w:vAlign w:val="center"/>
          </w:tcPr>
          <w:p w14:paraId="05212FA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11</w:t>
            </w:r>
          </w:p>
        </w:tc>
        <w:tc>
          <w:tcPr>
            <w:tcW w:w="521" w:type="pct"/>
            <w:tcBorders>
              <w:tl2br w:val="nil"/>
              <w:tr2bl w:val="nil"/>
            </w:tcBorders>
            <w:shd w:val="clear" w:color="auto" w:fill="auto"/>
            <w:noWrap/>
            <w:vAlign w:val="center"/>
          </w:tcPr>
          <w:p w14:paraId="5039AF9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堡垒机</w:t>
            </w:r>
          </w:p>
        </w:tc>
        <w:tc>
          <w:tcPr>
            <w:tcW w:w="3685" w:type="pct"/>
            <w:tcBorders>
              <w:tl2br w:val="nil"/>
              <w:tr2bl w:val="nil"/>
            </w:tcBorders>
            <w:shd w:val="clear" w:color="auto" w:fill="auto"/>
            <w:vAlign w:val="center"/>
          </w:tcPr>
          <w:p w14:paraId="657522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要求投标产品为整机国产化产品，采用国产芯片和国产操作系统，要求提供投标产品型号与国产芯片、国产操作系统的产品兼容性证明材料；</w:t>
            </w:r>
          </w:p>
          <w:p w14:paraId="55A065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要求投标产品为标准机架式设备，千兆电口≥6个，千兆光口≥4个，接口扩展槽≥2个，标配硬盘≥4TB，内置≥1块国密密码卡；</w:t>
            </w:r>
          </w:p>
          <w:p w14:paraId="2F2EAD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3、本次提供100授权许可；提供不少于20套个人CA证书，</w:t>
            </w:r>
            <w:r>
              <w:rPr>
                <w:rFonts w:hint="eastAsia" w:ascii="宋体" w:hAnsi="宋体" w:cs="宋体"/>
                <w:color w:val="000000"/>
                <w:kern w:val="0"/>
                <w:sz w:val="22"/>
                <w:szCs w:val="24"/>
              </w:rPr>
              <w:t>8个</w:t>
            </w:r>
            <w:r>
              <w:rPr>
                <w:rFonts w:ascii="宋体" w:hAnsi="宋体" w:cs="宋体"/>
                <w:color w:val="000000"/>
                <w:kern w:val="0"/>
                <w:sz w:val="22"/>
                <w:szCs w:val="24"/>
              </w:rPr>
              <w:t>vpn</w:t>
            </w:r>
            <w:r>
              <w:rPr>
                <w:rFonts w:hint="eastAsia" w:ascii="宋体" w:hAnsi="宋体" w:cs="宋体"/>
                <w:color w:val="000000"/>
                <w:kern w:val="0"/>
                <w:sz w:val="22"/>
                <w:szCs w:val="24"/>
              </w:rPr>
              <w:t>授权许可；</w:t>
            </w:r>
          </w:p>
          <w:p w14:paraId="78AA2BE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4、图形并发≥50，字符并发≥500，最大支持不低于500授权许可；</w:t>
            </w:r>
          </w:p>
          <w:p w14:paraId="281D6A4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5、支持运维过程中会话协同；会话协同过程中，参与者可以控制会话，创建者强制获取控制权；支持对协同用户的操作审计，所有操作关联到实际的操作人员；</w:t>
            </w:r>
          </w:p>
          <w:p w14:paraId="687BC78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w:t>
            </w:r>
            <w:r>
              <w:rPr>
                <w:rFonts w:hint="eastAsia" w:ascii="宋体" w:hAnsi="宋体" w:cs="宋体"/>
                <w:color w:val="000000"/>
                <w:kern w:val="0"/>
                <w:sz w:val="22"/>
                <w:szCs w:val="24"/>
              </w:rPr>
              <w:t>要求投标产品型号具备公安部颁发的《网络安全专用产品安全检测证书》，要求提供证明材料</w:t>
            </w:r>
            <w:r>
              <w:rPr>
                <w:rFonts w:hint="eastAsia" w:ascii="宋体" w:hAnsi="宋体" w:cs="宋体"/>
                <w:color w:val="000000"/>
                <w:kern w:val="0"/>
                <w:sz w:val="22"/>
                <w:szCs w:val="22"/>
                <w:lang w:bidi="ar"/>
              </w:rPr>
              <w:t>；</w:t>
            </w:r>
          </w:p>
          <w:p w14:paraId="57A0B2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583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B46EC31">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BB5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299" w:type="pct"/>
            <w:tcBorders>
              <w:tl2br w:val="nil"/>
              <w:tr2bl w:val="nil"/>
            </w:tcBorders>
            <w:shd w:val="clear" w:color="auto" w:fill="auto"/>
            <w:noWrap/>
            <w:vAlign w:val="center"/>
          </w:tcPr>
          <w:p w14:paraId="47443B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12</w:t>
            </w:r>
          </w:p>
        </w:tc>
        <w:tc>
          <w:tcPr>
            <w:tcW w:w="521" w:type="pct"/>
            <w:tcBorders>
              <w:tl2br w:val="nil"/>
              <w:tr2bl w:val="nil"/>
            </w:tcBorders>
            <w:shd w:val="clear" w:color="auto" w:fill="auto"/>
            <w:noWrap/>
            <w:vAlign w:val="center"/>
          </w:tcPr>
          <w:p w14:paraId="64EC3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日志审计</w:t>
            </w:r>
          </w:p>
        </w:tc>
        <w:tc>
          <w:tcPr>
            <w:tcW w:w="3685" w:type="pct"/>
            <w:tcBorders>
              <w:tl2br w:val="nil"/>
              <w:tr2bl w:val="nil"/>
            </w:tcBorders>
            <w:shd w:val="clear" w:color="auto" w:fill="auto"/>
            <w:vAlign w:val="center"/>
          </w:tcPr>
          <w:p w14:paraId="16A578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要求投标产品为整机国产化产品，采用国产芯片和国产操作系统，</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themeColor="text1"/>
                <w:kern w:val="0"/>
                <w:sz w:val="22"/>
                <w:szCs w:val="24"/>
                <w14:textFill>
                  <w14:solidFill>
                    <w14:schemeClr w14:val="tx1"/>
                  </w14:solidFill>
                </w14:textFill>
              </w:rPr>
              <w:t>；</w:t>
            </w:r>
          </w:p>
          <w:p w14:paraId="598F95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2、本次配置≥6个千兆电口，≥4个千兆光口，≥2个扩展插槽，硬盘容量≥4T，冗余电源；</w:t>
            </w:r>
          </w:p>
          <w:p w14:paraId="493C01F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3、本次提供不少于130个日志源授权；综合日志处理性能≥8000EPS；</w:t>
            </w:r>
          </w:p>
          <w:p w14:paraId="36C63F7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themeColor="text1"/>
                <w:kern w:val="0"/>
                <w:sz w:val="22"/>
                <w:szCs w:val="24"/>
                <w14:textFill>
                  <w14:solidFill>
                    <w14:schemeClr w14:val="tx1"/>
                  </w14:solidFill>
                </w14:textFill>
              </w:rPr>
              <w:t>要求投标产品型号具备中国网络安全审查技术与认证中心颁发的《网络关键设备和网络安全专用产品安全认证证书》，要求提供证明材料；</w:t>
            </w:r>
          </w:p>
          <w:p w14:paraId="4EC8C2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5、内置大屏展示功能，大屏界面包含设备运行天数、日志源数量、原始日志数、关联事件数、告警总数等界面效果展示；</w:t>
            </w:r>
          </w:p>
          <w:p w14:paraId="44F287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6、系统具备丰富的事件可视化展示能力，具备多种展现手段；</w:t>
            </w:r>
          </w:p>
          <w:p w14:paraId="2E028651">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007D015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75E179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1C89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99" w:type="pct"/>
            <w:tcBorders>
              <w:tl2br w:val="nil"/>
              <w:tr2bl w:val="nil"/>
            </w:tcBorders>
            <w:shd w:val="clear" w:color="auto" w:fill="auto"/>
            <w:noWrap/>
            <w:vAlign w:val="center"/>
          </w:tcPr>
          <w:p w14:paraId="7F25E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w:t>
            </w:r>
          </w:p>
        </w:tc>
        <w:tc>
          <w:tcPr>
            <w:tcW w:w="521" w:type="pct"/>
            <w:tcBorders>
              <w:tl2br w:val="nil"/>
              <w:tr2bl w:val="nil"/>
            </w:tcBorders>
            <w:shd w:val="clear" w:color="auto" w:fill="auto"/>
            <w:noWrap/>
            <w:vAlign w:val="center"/>
          </w:tcPr>
          <w:p w14:paraId="0D04FFE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数据库审计</w:t>
            </w:r>
          </w:p>
        </w:tc>
        <w:tc>
          <w:tcPr>
            <w:tcW w:w="3685" w:type="pct"/>
            <w:tcBorders>
              <w:tl2br w:val="nil"/>
              <w:tr2bl w:val="nil"/>
            </w:tcBorders>
            <w:shd w:val="clear" w:color="auto" w:fill="auto"/>
            <w:vAlign w:val="center"/>
          </w:tcPr>
          <w:p w14:paraId="5CEEC35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要求投标产品为整机国产化产品，采用国产化芯片，要求提供投标产品型号与国产芯片、国产操作系统的产品兼容性证明材料</w:t>
            </w:r>
            <w:r>
              <w:rPr>
                <w:rFonts w:hint="eastAsia" w:ascii="宋体" w:hAnsi="宋体" w:cs="宋体"/>
                <w:color w:val="000000"/>
                <w:kern w:val="0"/>
                <w:sz w:val="22"/>
                <w:szCs w:val="22"/>
                <w:lang w:bidi="ar"/>
              </w:rPr>
              <w:t>；</w:t>
            </w:r>
          </w:p>
          <w:p w14:paraId="269100A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要求投标产品为标准机架式设备，千兆电口≥6个，千兆光口≥4个，空余接口扩展插槽≥2个，标配硬盘≥</w:t>
            </w:r>
            <w:r>
              <w:rPr>
                <w:rFonts w:ascii="宋体" w:hAnsi="宋体" w:cs="宋体"/>
                <w:color w:val="000000"/>
                <w:kern w:val="0"/>
                <w:sz w:val="22"/>
                <w:szCs w:val="24"/>
              </w:rPr>
              <w:t>16</w:t>
            </w:r>
            <w:r>
              <w:rPr>
                <w:rFonts w:hint="eastAsia" w:ascii="宋体" w:hAnsi="宋体" w:cs="宋体"/>
                <w:color w:val="000000"/>
                <w:kern w:val="0"/>
                <w:sz w:val="22"/>
                <w:szCs w:val="24"/>
              </w:rPr>
              <w:t>TB；</w:t>
            </w:r>
            <w:r>
              <w:rPr>
                <w:rFonts w:hint="eastAsia" w:ascii="宋体" w:hAnsi="宋体" w:cs="宋体"/>
                <w:color w:val="000000"/>
                <w:kern w:val="0"/>
                <w:sz w:val="22"/>
                <w:szCs w:val="22"/>
                <w:lang w:bidi="ar"/>
              </w:rPr>
              <w:t>冗余电源；</w:t>
            </w:r>
          </w:p>
          <w:p w14:paraId="639653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3、本次配置不限制数据库审计数量的授权；SQL处理能力≥25000条/秒；</w:t>
            </w:r>
          </w:p>
          <w:p w14:paraId="25CF2F4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要求投标产品型号具备中国网络安全审查技术与认证中心颁发的《网络关键设备和网络安全专用产品安全认证证书》，要求提供证明材料；</w:t>
            </w:r>
          </w:p>
          <w:p w14:paraId="2BF1E43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5、支持达梦、人大金仓、南大通用Gbase、神舟等主流国产化数据库；支持操作语句系列的组合审计规则；</w:t>
            </w:r>
          </w:p>
          <w:p w14:paraId="58EE06A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6、支持重复操作的统计规则，一定时间内重复某项操作达到设定的统计次数，则触发审计告警；</w:t>
            </w:r>
          </w:p>
          <w:p w14:paraId="6971AE23">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4C3688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F30143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26D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trPr>
        <w:tc>
          <w:tcPr>
            <w:tcW w:w="299" w:type="pct"/>
            <w:tcBorders>
              <w:tl2br w:val="nil"/>
              <w:tr2bl w:val="nil"/>
            </w:tcBorders>
            <w:shd w:val="clear" w:color="auto" w:fill="auto"/>
            <w:noWrap/>
            <w:vAlign w:val="center"/>
          </w:tcPr>
          <w:p w14:paraId="4D2AEA0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14</w:t>
            </w:r>
          </w:p>
        </w:tc>
        <w:tc>
          <w:tcPr>
            <w:tcW w:w="521" w:type="pct"/>
            <w:tcBorders>
              <w:tl2br w:val="nil"/>
              <w:tr2bl w:val="nil"/>
            </w:tcBorders>
            <w:shd w:val="clear" w:color="auto" w:fill="auto"/>
            <w:noWrap/>
            <w:vAlign w:val="center"/>
          </w:tcPr>
          <w:p w14:paraId="23FE1D5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上网行为管理</w:t>
            </w:r>
          </w:p>
        </w:tc>
        <w:tc>
          <w:tcPr>
            <w:tcW w:w="3685" w:type="pct"/>
            <w:tcBorders>
              <w:tl2br w:val="nil"/>
              <w:tr2bl w:val="nil"/>
            </w:tcBorders>
            <w:shd w:val="clear" w:color="auto" w:fill="auto"/>
            <w:vAlign w:val="center"/>
          </w:tcPr>
          <w:p w14:paraId="62367D8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477A2B7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w:t>
            </w:r>
            <w:r>
              <w:rPr>
                <w:rFonts w:ascii="宋体" w:hAnsi="宋体" w:cs="宋体"/>
                <w:color w:val="000000" w:themeColor="text1"/>
                <w:kern w:val="0"/>
                <w:sz w:val="22"/>
                <w:szCs w:val="24"/>
                <w14:textFill>
                  <w14:solidFill>
                    <w14:schemeClr w14:val="tx1"/>
                  </w14:solidFill>
                </w14:textFill>
              </w:rPr>
              <w:t>12</w:t>
            </w:r>
            <w:r>
              <w:rPr>
                <w:rFonts w:hint="eastAsia" w:ascii="宋体" w:hAnsi="宋体" w:cs="宋体"/>
                <w:color w:val="000000" w:themeColor="text1"/>
                <w:kern w:val="0"/>
                <w:sz w:val="22"/>
                <w:szCs w:val="24"/>
                <w14:textFill>
                  <w14:solidFill>
                    <w14:schemeClr w14:val="tx1"/>
                  </w14:solidFill>
                </w14:textFill>
              </w:rPr>
              <w:t>个，千兆光口≥</w:t>
            </w:r>
            <w:r>
              <w:rPr>
                <w:rFonts w:ascii="宋体" w:hAnsi="宋体" w:cs="宋体"/>
                <w:color w:val="000000" w:themeColor="text1"/>
                <w:kern w:val="0"/>
                <w:sz w:val="22"/>
                <w:szCs w:val="24"/>
                <w14:textFill>
                  <w14:solidFill>
                    <w14:schemeClr w14:val="tx1"/>
                  </w14:solidFill>
                </w14:textFill>
              </w:rPr>
              <w:t>8</w:t>
            </w:r>
            <w:r>
              <w:rPr>
                <w:rFonts w:hint="eastAsia" w:ascii="宋体" w:hAnsi="宋体" w:cs="宋体"/>
                <w:color w:val="000000" w:themeColor="text1"/>
                <w:kern w:val="0"/>
                <w:sz w:val="22"/>
                <w:szCs w:val="24"/>
                <w14:textFill>
                  <w14:solidFill>
                    <w14:schemeClr w14:val="tx1"/>
                  </w14:solidFill>
                </w14:textFill>
              </w:rPr>
              <w:t>个，万兆光口≥</w:t>
            </w:r>
            <w:r>
              <w:rPr>
                <w:rFonts w:ascii="宋体" w:hAnsi="宋体" w:cs="宋体"/>
                <w:color w:val="000000" w:themeColor="text1"/>
                <w:kern w:val="0"/>
                <w:sz w:val="22"/>
                <w:szCs w:val="24"/>
                <w14:textFill>
                  <w14:solidFill>
                    <w14:schemeClr w14:val="tx1"/>
                  </w14:solidFill>
                </w14:textFill>
              </w:rPr>
              <w:t>6</w:t>
            </w:r>
            <w:r>
              <w:rPr>
                <w:rFonts w:hint="eastAsia" w:ascii="宋体" w:hAnsi="宋体" w:cs="宋体"/>
                <w:color w:val="000000" w:themeColor="text1"/>
                <w:kern w:val="0"/>
                <w:sz w:val="22"/>
                <w:szCs w:val="24"/>
                <w14:textFill>
                  <w14:solidFill>
                    <w14:schemeClr w14:val="tx1"/>
                  </w14:solidFill>
                </w14:textFill>
              </w:rPr>
              <w:t>个，标配硬盘≥</w:t>
            </w:r>
            <w:r>
              <w:rPr>
                <w:rFonts w:ascii="宋体" w:hAnsi="宋体" w:cs="宋体"/>
                <w:color w:val="000000" w:themeColor="text1"/>
                <w:kern w:val="0"/>
                <w:sz w:val="22"/>
                <w:szCs w:val="24"/>
                <w14:textFill>
                  <w14:solidFill>
                    <w14:schemeClr w14:val="tx1"/>
                  </w14:solidFill>
                </w14:textFill>
              </w:rPr>
              <w:t>2</w:t>
            </w:r>
            <w:r>
              <w:rPr>
                <w:rFonts w:hint="eastAsia" w:ascii="宋体" w:hAnsi="宋体" w:cs="宋体"/>
                <w:color w:val="000000" w:themeColor="text1"/>
                <w:kern w:val="0"/>
                <w:sz w:val="22"/>
                <w:szCs w:val="24"/>
                <w14:textFill>
                  <w14:solidFill>
                    <w14:schemeClr w14:val="tx1"/>
                  </w14:solidFill>
                </w14:textFill>
              </w:rPr>
              <w:t>TB；</w:t>
            </w:r>
          </w:p>
          <w:p w14:paraId="4F0D7E0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3、本次提供3年应用协议库、URL特征库和审计特征库的定期更新服务；</w:t>
            </w:r>
          </w:p>
          <w:p w14:paraId="039DC1C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4、网络层</w:t>
            </w:r>
            <w:r>
              <w:rPr>
                <w:rFonts w:hint="eastAsia" w:ascii="宋体" w:hAnsi="宋体" w:cs="宋体"/>
                <w:color w:val="000000"/>
                <w:kern w:val="0"/>
                <w:sz w:val="22"/>
                <w:szCs w:val="24"/>
              </w:rPr>
              <w:t>吞吐量≥25Gbps，应用层吞吐量≥10Gbps</w:t>
            </w:r>
            <w:r>
              <w:rPr>
                <w:rFonts w:hint="eastAsia" w:ascii="宋体" w:hAnsi="宋体" w:cs="宋体"/>
                <w:color w:val="000000"/>
                <w:kern w:val="0"/>
                <w:sz w:val="22"/>
                <w:szCs w:val="22"/>
                <w:lang w:bidi="ar"/>
              </w:rPr>
              <w:t>最大并发连接数≥</w:t>
            </w:r>
            <w:r>
              <w:rPr>
                <w:rFonts w:ascii="宋体" w:hAnsi="宋体" w:cs="宋体"/>
                <w:color w:val="000000"/>
                <w:kern w:val="0"/>
                <w:sz w:val="22"/>
                <w:szCs w:val="22"/>
                <w:lang w:bidi="ar"/>
              </w:rPr>
              <w:t>600</w:t>
            </w:r>
            <w:r>
              <w:rPr>
                <w:rFonts w:hint="eastAsia" w:ascii="宋体" w:hAnsi="宋体" w:cs="宋体"/>
                <w:color w:val="000000"/>
                <w:kern w:val="0"/>
                <w:sz w:val="22"/>
                <w:szCs w:val="22"/>
                <w:lang w:bidi="ar"/>
              </w:rPr>
              <w:t>万，最大新建连接数≥</w:t>
            </w:r>
            <w:r>
              <w:rPr>
                <w:rFonts w:ascii="宋体" w:hAnsi="宋体" w:cs="宋体"/>
                <w:color w:val="000000"/>
                <w:kern w:val="0"/>
                <w:sz w:val="22"/>
                <w:szCs w:val="22"/>
                <w:lang w:bidi="ar"/>
              </w:rPr>
              <w:t>30</w:t>
            </w:r>
            <w:r>
              <w:rPr>
                <w:rFonts w:hint="eastAsia" w:ascii="宋体" w:hAnsi="宋体" w:cs="宋体"/>
                <w:color w:val="000000"/>
                <w:kern w:val="0"/>
                <w:sz w:val="22"/>
                <w:szCs w:val="22"/>
                <w:lang w:bidi="ar"/>
              </w:rPr>
              <w:t>万/秒；</w:t>
            </w:r>
          </w:p>
          <w:p w14:paraId="6013A7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5、支持应用协议库包含的应用数量不低于12000种，应用规则总数不低于73000种;</w:t>
            </w:r>
          </w:p>
          <w:p w14:paraId="196FCD2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6、支持策略路由，支持按源IP、目的IP、域名等创建策略路由，支持自定义地址库；内置国家/地区地址库；</w:t>
            </w:r>
          </w:p>
          <w:p w14:paraId="329EF82F">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5286AF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628BD0A">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9A3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8" w:hRule="atLeast"/>
        </w:trPr>
        <w:tc>
          <w:tcPr>
            <w:tcW w:w="299" w:type="pct"/>
            <w:tcBorders>
              <w:tl2br w:val="nil"/>
              <w:tr2bl w:val="nil"/>
            </w:tcBorders>
            <w:shd w:val="clear" w:color="auto" w:fill="auto"/>
            <w:noWrap/>
            <w:vAlign w:val="center"/>
          </w:tcPr>
          <w:p w14:paraId="1AFF2C3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15</w:t>
            </w:r>
          </w:p>
        </w:tc>
        <w:tc>
          <w:tcPr>
            <w:tcW w:w="521" w:type="pct"/>
            <w:tcBorders>
              <w:tl2br w:val="nil"/>
              <w:tr2bl w:val="nil"/>
            </w:tcBorders>
            <w:shd w:val="clear" w:color="auto" w:fill="auto"/>
            <w:noWrap/>
            <w:vAlign w:val="center"/>
          </w:tcPr>
          <w:p w14:paraId="78C139AD">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漏洞扫描</w:t>
            </w:r>
          </w:p>
        </w:tc>
        <w:tc>
          <w:tcPr>
            <w:tcW w:w="3685" w:type="pct"/>
            <w:tcBorders>
              <w:tl2br w:val="nil"/>
              <w:tr2bl w:val="nil"/>
            </w:tcBorders>
            <w:shd w:val="clear" w:color="auto" w:fill="auto"/>
            <w:vAlign w:val="center"/>
          </w:tcPr>
          <w:p w14:paraId="585D9A2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6263D9A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要求投标产品为标准机架式设备，千兆电口≥6个，千兆光口≥4个，标配硬盘≥4TB</w:t>
            </w:r>
            <w:r>
              <w:rPr>
                <w:rFonts w:hint="eastAsia" w:ascii="宋体" w:hAnsi="宋体" w:cs="宋体"/>
                <w:color w:val="000000"/>
                <w:kern w:val="0"/>
                <w:sz w:val="22"/>
                <w:szCs w:val="22"/>
                <w:lang w:bidi="ar"/>
              </w:rPr>
              <w:t>；</w:t>
            </w:r>
          </w:p>
          <w:p w14:paraId="4B1AB9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themeColor="text1"/>
                <w:kern w:val="0"/>
                <w:sz w:val="22"/>
                <w:szCs w:val="24"/>
                <w14:textFill>
                  <w14:solidFill>
                    <w14:schemeClr w14:val="tx1"/>
                  </w14:solidFill>
                </w14:textFill>
              </w:rPr>
              <w:t>要求任务并发数≥5个，IP并发数≥250个，IP扫描授权数无限制</w:t>
            </w:r>
            <w:r>
              <w:rPr>
                <w:rFonts w:hint="eastAsia" w:ascii="宋体" w:hAnsi="宋体" w:cs="宋体"/>
                <w:color w:val="000000"/>
                <w:kern w:val="0"/>
                <w:sz w:val="22"/>
                <w:szCs w:val="22"/>
                <w:lang w:bidi="ar"/>
              </w:rPr>
              <w:t>；提供三年漏洞特征库升级服务；</w:t>
            </w:r>
          </w:p>
          <w:p w14:paraId="115E515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4、Web扫描域名最大支持不低于3000个，Web扫描任务并发数不低于2个域名，支持扫描A类、B类、C类地址，系统扫描支持不低于100个IP地址并行扫描；</w:t>
            </w:r>
          </w:p>
          <w:p w14:paraId="11F10C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w:t>
            </w:r>
            <w:r>
              <w:rPr>
                <w:rFonts w:hint="eastAsia" w:ascii="宋体" w:hAnsi="宋体" w:cs="宋体"/>
                <w:color w:val="000000" w:themeColor="text1"/>
                <w:kern w:val="0"/>
                <w:sz w:val="22"/>
                <w:szCs w:val="24"/>
                <w14:textFill>
                  <w14:solidFill>
                    <w14:schemeClr w14:val="tx1"/>
                  </w14:solidFill>
                </w14:textFill>
              </w:rPr>
              <w:t>支持≥190000条以上系统漏洞库，并按照漏洞类别及漏洞威胁程度进行分类；支持插件库搜索可标示搜索范围提示；</w:t>
            </w:r>
          </w:p>
          <w:p w14:paraId="600CDDA9">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6、本次所投产品须提供三年质保服务，</w:t>
            </w:r>
            <w:r>
              <w:rPr>
                <w:rFonts w:hint="eastAsia" w:ascii="宋体" w:hAnsi="宋体" w:cs="宋体"/>
                <w:color w:val="000000" w:themeColor="text1"/>
                <w:kern w:val="0"/>
                <w:sz w:val="22"/>
                <w:szCs w:val="24"/>
                <w14:textFill>
                  <w14:solidFill>
                    <w14:schemeClr w14:val="tx1"/>
                  </w14:solidFill>
                </w14:textFill>
              </w:rPr>
              <w:t>含软件维保、版本升级服务，要求提供3年主机扫描、web扫描、弱口令检测、特征库升级扫描</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B11BD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41A243F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FB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000" w:type="pct"/>
            <w:gridSpan w:val="5"/>
            <w:tcBorders>
              <w:tl2br w:val="nil"/>
              <w:tr2bl w:val="nil"/>
            </w:tcBorders>
            <w:shd w:val="clear" w:color="auto" w:fill="auto"/>
            <w:noWrap/>
            <w:vAlign w:val="center"/>
          </w:tcPr>
          <w:p w14:paraId="3DF075FF">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四、密保系统</w:t>
            </w:r>
          </w:p>
        </w:tc>
      </w:tr>
      <w:tr w14:paraId="2863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9" w:type="pct"/>
            <w:tcBorders>
              <w:tl2br w:val="nil"/>
              <w:tr2bl w:val="nil"/>
            </w:tcBorders>
            <w:shd w:val="clear" w:color="auto" w:fill="auto"/>
            <w:noWrap/>
            <w:vAlign w:val="center"/>
          </w:tcPr>
          <w:p w14:paraId="27301B9F">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16</w:t>
            </w:r>
          </w:p>
        </w:tc>
        <w:tc>
          <w:tcPr>
            <w:tcW w:w="521" w:type="pct"/>
            <w:tcBorders>
              <w:tl2br w:val="nil"/>
              <w:tr2bl w:val="nil"/>
            </w:tcBorders>
            <w:shd w:val="clear" w:color="auto" w:fill="auto"/>
            <w:noWrap/>
            <w:vAlign w:val="center"/>
          </w:tcPr>
          <w:p w14:paraId="3F35AB8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核心端视频认证加密安全系统</w:t>
            </w:r>
          </w:p>
        </w:tc>
        <w:tc>
          <w:tcPr>
            <w:tcW w:w="3685" w:type="pct"/>
            <w:tcBorders>
              <w:tl2br w:val="nil"/>
              <w:tr2bl w:val="nil"/>
            </w:tcBorders>
            <w:shd w:val="clear" w:color="auto" w:fill="auto"/>
            <w:vAlign w:val="center"/>
          </w:tcPr>
          <w:p w14:paraId="3CFCF0E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1、产品必须是全国产化设备，标准机架式设备，550W双冗余电源，10G光口≥4个，自适应千兆电口≥4个；</w:t>
            </w:r>
          </w:p>
          <w:p w14:paraId="7A22F79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高性能密码专用硬件设备，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支持IPSec VPN和IP载荷加密机两种工作模式，支持口令和Ukey证书的强身份认证，支持系统监控及告警、日志审计、系统升级、备份和恢复，支持设备集中管理。</w:t>
            </w:r>
          </w:p>
          <w:p w14:paraId="7F075D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 SM2、SM3、SM4 密码算法，密码运算均由内置的国密局核准的安全二级密码卡实现，内置密码卡具备商用密码产品认证证书，网关设备与内置密码卡须完全兼容；</w:t>
            </w:r>
          </w:p>
          <w:p w14:paraId="733A62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4、支持硬件和软件Bypass，当设备断电或故障时,自动将两个网络端口连通(像一根网线直连),确保网络不中断；</w:t>
            </w:r>
          </w:p>
          <w:p w14:paraId="23E2533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符合最新国家标准和要求，有国密局颁发的产品证书，提供IP载荷加密机工作模式，在IP载荷加密机工作模式下，加密安全网关在对IP报文处理时，不会封装新的IP头，增加网络开销小，流量监控时，可以定位到真实主机</w:t>
            </w:r>
          </w:p>
          <w:p w14:paraId="5F9CEEA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4BED67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 NAT 穿越，在密钥交换过程中可动态判断通信路径上是否存在 NAT 设备，动态调整策略。</w:t>
            </w:r>
          </w:p>
          <w:p w14:paraId="2B24F7C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8、支持组播流量和组播协议加密，且加密载荷部分，不改变数据包头原始 IP地址信息。</w:t>
            </w:r>
          </w:p>
          <w:p w14:paraId="2A69D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9、设备采用透明部署模式，不改变用户原有的网络拓扑，同时能对视频等业务数据进行加解密处理；</w:t>
            </w:r>
          </w:p>
          <w:p w14:paraId="3B2EF0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10、性能指标：支持SM2/3/4算法，加解密速率≥18Gbps，加密隧道数≥4000条</w:t>
            </w:r>
          </w:p>
          <w:p w14:paraId="65A9AC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11、遵循国家密码管理局发布的 GM/T 0022《IPSec VPN 技术规范》GM/T 0023《IPSec VPN 网关产品规范》等相关标准规范，能够应用于互联网、专线等网络环境。</w:t>
            </w:r>
          </w:p>
          <w:p w14:paraId="3046BC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12、具备国密局颁发的《商用密码产品认证证书》。</w:t>
            </w:r>
          </w:p>
          <w:p w14:paraId="4A1F33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13、本次所投产品须提供三年质保服务。</w:t>
            </w:r>
          </w:p>
        </w:tc>
        <w:tc>
          <w:tcPr>
            <w:tcW w:w="245" w:type="pct"/>
            <w:tcBorders>
              <w:tl2br w:val="nil"/>
              <w:tr2bl w:val="nil"/>
            </w:tcBorders>
            <w:shd w:val="clear" w:color="auto" w:fill="auto"/>
            <w:noWrap/>
            <w:vAlign w:val="center"/>
          </w:tcPr>
          <w:p w14:paraId="5B8AAD6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B24FCB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20E2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299" w:type="pct"/>
            <w:tcBorders>
              <w:tl2br w:val="nil"/>
              <w:tr2bl w:val="nil"/>
            </w:tcBorders>
            <w:shd w:val="clear" w:color="auto" w:fill="auto"/>
            <w:noWrap/>
            <w:vAlign w:val="center"/>
          </w:tcPr>
          <w:p w14:paraId="738E33AB">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17</w:t>
            </w:r>
          </w:p>
        </w:tc>
        <w:tc>
          <w:tcPr>
            <w:tcW w:w="521" w:type="pct"/>
            <w:tcBorders>
              <w:tl2br w:val="nil"/>
              <w:tr2bl w:val="nil"/>
            </w:tcBorders>
            <w:shd w:val="clear" w:color="auto" w:fill="auto"/>
            <w:noWrap/>
            <w:vAlign w:val="center"/>
          </w:tcPr>
          <w:p w14:paraId="41FFAE65">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区县分会场视频认证加密安全系统</w:t>
            </w:r>
          </w:p>
        </w:tc>
        <w:tc>
          <w:tcPr>
            <w:tcW w:w="3685" w:type="pct"/>
            <w:tcBorders>
              <w:tl2br w:val="nil"/>
              <w:tr2bl w:val="nil"/>
            </w:tcBorders>
            <w:shd w:val="clear" w:color="auto" w:fill="auto"/>
            <w:vAlign w:val="center"/>
          </w:tcPr>
          <w:p w14:paraId="5BED4DF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1、要求产品须是全国产化设备，标准机架式设备，自适应千兆电口≥4个。</w:t>
            </w:r>
          </w:p>
          <w:p w14:paraId="75EAAEE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w:t>
            </w:r>
          </w:p>
          <w:p w14:paraId="5C35A57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3、持IPSec VPN工作模式，支持口令和Ukey证书的强身份认证，支持系统监控及告警、日志审计、系统升级、备份和恢复，支持设备集中管理。</w:t>
            </w:r>
          </w:p>
          <w:p w14:paraId="3F8E3A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5AFD8C2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 SM2、SM3、SM4 密码算法，密码运算均由内置的国密局核准的安全二级密码卡实现，内置密码卡具备商用密码产品认证证书，网关设备与内置密码卡须完全兼容；</w:t>
            </w:r>
          </w:p>
          <w:p w14:paraId="31240D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6、支持硬件和软件Bypass，当设备断电或故障时,自动将两个网络端口连通(像一根网线直连),确保网络不中断；</w:t>
            </w:r>
          </w:p>
          <w:p w14:paraId="7F577B5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7、设备采用透明部署模式，不改变用户原有的网络拓扑，同时能对视频等业务数据进行加解密处理；</w:t>
            </w:r>
          </w:p>
          <w:p w14:paraId="24F8589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8、性能指标：支持SM2/3/4算法，加解密速率≥800Mbps，加密隧道数≥2000条，加解密延时≤1毫秒；</w:t>
            </w:r>
          </w:p>
          <w:p w14:paraId="61888E5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9、本次所投产品须提供三年质保服务。</w:t>
            </w:r>
          </w:p>
        </w:tc>
        <w:tc>
          <w:tcPr>
            <w:tcW w:w="245" w:type="pct"/>
            <w:tcBorders>
              <w:tl2br w:val="nil"/>
              <w:tr2bl w:val="nil"/>
            </w:tcBorders>
            <w:shd w:val="clear" w:color="auto" w:fill="auto"/>
            <w:noWrap/>
            <w:vAlign w:val="center"/>
          </w:tcPr>
          <w:p w14:paraId="6227A7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D1B543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bl>
    <w:p w14:paraId="56C58819">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采购内容及清单合同包2：</w:t>
      </w:r>
    </w:p>
    <w:p w14:paraId="64DCF488">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采购预算：￥25,000.00元</w:t>
      </w:r>
    </w:p>
    <w:p w14:paraId="15D28FB1">
      <w:pPr>
        <w:spacing w:line="500" w:lineRule="exact"/>
        <w:ind w:firstLine="566" w:firstLineChars="200"/>
        <w:rPr>
          <w:rFonts w:hint="eastAsia" w:ascii="仿宋" w:hAnsi="仿宋" w:eastAsia="仿宋" w:cs="Times New Roman"/>
        </w:rPr>
      </w:pPr>
      <w:r>
        <w:rPr>
          <w:rFonts w:hint="eastAsia" w:ascii="仿宋" w:hAnsi="仿宋" w:eastAsia="仿宋" w:cs="Times New Roman"/>
        </w:rPr>
        <w:t>监理机构在项目中应按照国家的法律、法规、标准及规范，根据建设合同相关文件的约定对项目进行严格的监理。本项目的监理工作主要包括以下几个方面:</w:t>
      </w:r>
    </w:p>
    <w:p w14:paraId="33FB4FE9">
      <w:pPr>
        <w:spacing w:line="500" w:lineRule="exact"/>
        <w:ind w:firstLine="566" w:firstLineChars="200"/>
        <w:rPr>
          <w:rFonts w:hint="eastAsia" w:ascii="仿宋" w:hAnsi="仿宋" w:eastAsia="仿宋" w:cs="Times New Roman"/>
        </w:rPr>
      </w:pPr>
      <w:r>
        <w:rPr>
          <w:rFonts w:hint="eastAsia" w:ascii="仿宋" w:hAnsi="仿宋" w:eastAsia="仿宋" w:cs="Times New Roman"/>
        </w:rPr>
        <w:t>1.工程组织及技术总体方案的把关</w:t>
      </w:r>
    </w:p>
    <w:p w14:paraId="1E15D8AC">
      <w:pPr>
        <w:spacing w:line="500" w:lineRule="exact"/>
        <w:ind w:firstLine="566" w:firstLineChars="200"/>
        <w:rPr>
          <w:rFonts w:hint="eastAsia" w:ascii="仿宋" w:hAnsi="仿宋" w:eastAsia="仿宋" w:cs="Times New Roman"/>
        </w:rPr>
      </w:pPr>
      <w:r>
        <w:rPr>
          <w:rFonts w:hint="eastAsia" w:ascii="仿宋" w:hAnsi="仿宋" w:eastAsia="仿宋" w:cs="Times New Roman"/>
        </w:rPr>
        <w:t>（1）审核和确认承建单位提交的总体技术方案；</w:t>
      </w:r>
    </w:p>
    <w:p w14:paraId="3879F945">
      <w:pPr>
        <w:spacing w:line="500" w:lineRule="exact"/>
        <w:ind w:firstLine="566" w:firstLineChars="200"/>
        <w:rPr>
          <w:rFonts w:hint="eastAsia" w:ascii="仿宋" w:hAnsi="仿宋" w:eastAsia="仿宋" w:cs="Times New Roman"/>
        </w:rPr>
      </w:pPr>
      <w:r>
        <w:rPr>
          <w:rFonts w:hint="eastAsia" w:ascii="仿宋" w:hAnsi="仿宋" w:eastAsia="仿宋" w:cs="Times New Roman"/>
        </w:rPr>
        <w:t>（2）审核和确认承建单位提交的工程实施组织方案；</w:t>
      </w:r>
    </w:p>
    <w:p w14:paraId="7A2BDFE8">
      <w:pPr>
        <w:spacing w:line="500" w:lineRule="exact"/>
        <w:ind w:firstLine="566" w:firstLineChars="200"/>
        <w:rPr>
          <w:rFonts w:hint="eastAsia" w:ascii="仿宋" w:hAnsi="仿宋" w:eastAsia="仿宋" w:cs="Times New Roman"/>
        </w:rPr>
      </w:pPr>
      <w:r>
        <w:rPr>
          <w:rFonts w:hint="eastAsia" w:ascii="仿宋" w:hAnsi="仿宋" w:eastAsia="仿宋" w:cs="Times New Roman"/>
        </w:rPr>
        <w:t>（3）审核和确认承建单位提交的工程质量保证计划及质量控制体系;</w:t>
      </w:r>
    </w:p>
    <w:p w14:paraId="7F0D3632">
      <w:pPr>
        <w:spacing w:line="500" w:lineRule="exact"/>
        <w:ind w:firstLine="566" w:firstLineChars="200"/>
        <w:rPr>
          <w:rFonts w:hint="eastAsia" w:ascii="仿宋" w:hAnsi="仿宋" w:eastAsia="仿宋" w:cs="Times New Roman"/>
        </w:rPr>
      </w:pPr>
      <w:r>
        <w:rPr>
          <w:rFonts w:hint="eastAsia" w:ascii="仿宋" w:hAnsi="仿宋" w:eastAsia="仿宋" w:cs="Times New Roman"/>
        </w:rPr>
        <w:t>（4）审核和确认承建单位提交的配置管理方案;</w:t>
      </w:r>
    </w:p>
    <w:p w14:paraId="672D37D9">
      <w:pPr>
        <w:spacing w:line="500" w:lineRule="exact"/>
        <w:ind w:firstLine="566" w:firstLineChars="200"/>
        <w:rPr>
          <w:rFonts w:hint="eastAsia" w:ascii="仿宋" w:hAnsi="仿宋" w:eastAsia="仿宋" w:cs="Times New Roman"/>
        </w:rPr>
      </w:pPr>
      <w:r>
        <w:rPr>
          <w:rFonts w:hint="eastAsia" w:ascii="仿宋" w:hAnsi="仿宋" w:eastAsia="仿宋" w:cs="Times New Roman"/>
        </w:rPr>
        <w:t>（5）审核和确认承建单位提交的测试计划；</w:t>
      </w:r>
    </w:p>
    <w:p w14:paraId="6FCE17F2">
      <w:pPr>
        <w:spacing w:line="500" w:lineRule="exact"/>
        <w:ind w:firstLine="566" w:firstLineChars="200"/>
        <w:rPr>
          <w:rFonts w:hint="eastAsia" w:ascii="仿宋" w:hAnsi="仿宋" w:eastAsia="仿宋" w:cs="Times New Roman"/>
        </w:rPr>
      </w:pPr>
      <w:r>
        <w:rPr>
          <w:rFonts w:hint="eastAsia" w:ascii="仿宋" w:hAnsi="仿宋" w:eastAsia="仿宋" w:cs="Times New Roman"/>
        </w:rPr>
        <w:t>（6）审核和确认承建单位提交的工程进度计划；</w:t>
      </w:r>
    </w:p>
    <w:p w14:paraId="2E2267E4">
      <w:pPr>
        <w:spacing w:line="500" w:lineRule="exact"/>
        <w:ind w:firstLine="566" w:firstLineChars="200"/>
        <w:rPr>
          <w:rFonts w:hint="eastAsia" w:ascii="仿宋" w:hAnsi="仿宋" w:eastAsia="仿宋" w:cs="Times New Roman"/>
        </w:rPr>
      </w:pPr>
      <w:r>
        <w:rPr>
          <w:rFonts w:hint="eastAsia" w:ascii="仿宋" w:hAnsi="仿宋" w:eastAsia="仿宋" w:cs="Times New Roman"/>
        </w:rPr>
        <w:t>（7）明确项目质量控制的关键性环节；</w:t>
      </w:r>
    </w:p>
    <w:p w14:paraId="406A91E8">
      <w:pPr>
        <w:spacing w:line="500" w:lineRule="exact"/>
        <w:ind w:firstLine="566" w:firstLineChars="200"/>
        <w:rPr>
          <w:rFonts w:hint="eastAsia" w:ascii="仿宋" w:hAnsi="仿宋" w:eastAsia="仿宋" w:cs="Times New Roman"/>
        </w:rPr>
      </w:pPr>
      <w:r>
        <w:rPr>
          <w:rFonts w:hint="eastAsia" w:ascii="仿宋" w:hAnsi="仿宋" w:eastAsia="仿宋" w:cs="Times New Roman"/>
        </w:rPr>
        <w:t>（8）根据采购人和承建单位签订的实施合同，确定本次项目实施和验收的技术标准;</w:t>
      </w:r>
    </w:p>
    <w:p w14:paraId="33D27419">
      <w:pPr>
        <w:spacing w:line="500" w:lineRule="exact"/>
        <w:ind w:firstLine="566" w:firstLineChars="200"/>
        <w:rPr>
          <w:rFonts w:hint="eastAsia" w:ascii="仿宋" w:hAnsi="仿宋" w:eastAsia="仿宋" w:cs="Times New Roman"/>
        </w:rPr>
      </w:pPr>
      <w:r>
        <w:rPr>
          <w:rFonts w:hint="eastAsia" w:ascii="仿宋" w:hAnsi="仿宋" w:eastAsia="仿宋" w:cs="Times New Roman"/>
        </w:rPr>
        <w:t>（9）确定验收的设备清单、到货时间等相关问题。</w:t>
      </w:r>
    </w:p>
    <w:p w14:paraId="532AF598">
      <w:pPr>
        <w:spacing w:line="500" w:lineRule="exact"/>
        <w:ind w:firstLine="566" w:firstLineChars="200"/>
        <w:rPr>
          <w:rFonts w:hint="eastAsia" w:ascii="仿宋" w:hAnsi="仿宋" w:eastAsia="仿宋" w:cs="Times New Roman"/>
        </w:rPr>
      </w:pPr>
      <w:r>
        <w:rPr>
          <w:rFonts w:hint="eastAsia" w:ascii="仿宋" w:hAnsi="仿宋" w:eastAsia="仿宋" w:cs="Times New Roman"/>
        </w:rPr>
        <w:t>2.工程质量控制</w:t>
      </w:r>
    </w:p>
    <w:p w14:paraId="1D8C45B9">
      <w:pPr>
        <w:spacing w:line="500" w:lineRule="exact"/>
        <w:ind w:firstLine="566" w:firstLineChars="200"/>
        <w:rPr>
          <w:rFonts w:hint="eastAsia" w:ascii="仿宋" w:hAnsi="仿宋" w:eastAsia="仿宋" w:cs="Times New Roman"/>
        </w:rPr>
      </w:pPr>
      <w:r>
        <w:rPr>
          <w:rFonts w:hint="eastAsia" w:ascii="仿宋" w:hAnsi="仿宋" w:eastAsia="仿宋" w:cs="Times New Roman"/>
        </w:rPr>
        <w:t>（1）系统集成质量的控制</w:t>
      </w:r>
    </w:p>
    <w:p w14:paraId="10E5A6D1">
      <w:pPr>
        <w:spacing w:line="500" w:lineRule="exact"/>
        <w:ind w:firstLine="566" w:firstLineChars="200"/>
        <w:rPr>
          <w:rFonts w:hint="eastAsia" w:ascii="仿宋" w:hAnsi="仿宋" w:eastAsia="仿宋" w:cs="Times New Roman"/>
        </w:rPr>
      </w:pPr>
      <w:r>
        <w:rPr>
          <w:rFonts w:hint="eastAsia" w:ascii="仿宋" w:hAnsi="仿宋" w:eastAsia="仿宋" w:cs="Times New Roman"/>
        </w:rPr>
        <w:t>对系统集成方案的审核和确认，对采购的硬件设备、软件产品的质量进行检验和验收对设备安装调试进行监督、检查和验收，参与对系统集成的总体验收。</w:t>
      </w:r>
    </w:p>
    <w:p w14:paraId="1F12B6C3">
      <w:pPr>
        <w:spacing w:line="500" w:lineRule="exact"/>
        <w:ind w:firstLine="566" w:firstLineChars="200"/>
        <w:rPr>
          <w:rFonts w:hint="eastAsia" w:ascii="仿宋" w:hAnsi="仿宋" w:eastAsia="仿宋" w:cs="Times New Roman"/>
        </w:rPr>
      </w:pPr>
      <w:r>
        <w:rPr>
          <w:rFonts w:hint="eastAsia" w:ascii="仿宋" w:hAnsi="仿宋" w:eastAsia="仿宋" w:cs="Times New Roman"/>
        </w:rPr>
        <w:t>（2）系统质量保证检测</w:t>
      </w:r>
    </w:p>
    <w:p w14:paraId="08C964C5">
      <w:pPr>
        <w:spacing w:line="500" w:lineRule="exact"/>
        <w:ind w:firstLine="566" w:firstLineChars="200"/>
        <w:rPr>
          <w:rFonts w:hint="eastAsia" w:ascii="仿宋" w:hAnsi="仿宋" w:eastAsia="仿宋" w:cs="Times New Roman"/>
        </w:rPr>
      </w:pPr>
      <w:r>
        <w:rPr>
          <w:rFonts w:hint="eastAsia" w:ascii="仿宋" w:hAnsi="仿宋" w:eastAsia="仿宋" w:cs="Times New Roman"/>
        </w:rPr>
        <w:t>本系统根据需要进行测试的，要检验其是否满足系统设计指标及合同规定的要求。</w:t>
      </w:r>
    </w:p>
    <w:p w14:paraId="65F9286A">
      <w:pPr>
        <w:spacing w:line="500" w:lineRule="exact"/>
        <w:ind w:firstLine="566" w:firstLineChars="200"/>
        <w:rPr>
          <w:rFonts w:hint="eastAsia" w:ascii="仿宋" w:hAnsi="仿宋" w:eastAsia="仿宋" w:cs="Times New Roman"/>
        </w:rPr>
      </w:pPr>
      <w:r>
        <w:rPr>
          <w:rFonts w:hint="eastAsia" w:ascii="仿宋" w:hAnsi="仿宋" w:eastAsia="仿宋" w:cs="Times New Roman"/>
        </w:rPr>
        <w:t>（3）系统安全质量控制</w:t>
      </w:r>
    </w:p>
    <w:p w14:paraId="37BA3C83">
      <w:pPr>
        <w:spacing w:line="500" w:lineRule="exact"/>
        <w:ind w:firstLine="566" w:firstLineChars="200"/>
        <w:rPr>
          <w:rFonts w:hint="eastAsia" w:ascii="仿宋" w:hAnsi="仿宋" w:eastAsia="仿宋" w:cs="Times New Roman"/>
        </w:rPr>
      </w:pPr>
      <w:r>
        <w:rPr>
          <w:rFonts w:hint="eastAsia" w:ascii="仿宋" w:hAnsi="仿宋" w:eastAsia="仿宋" w:cs="Times New Roman"/>
        </w:rPr>
        <w:t>负责系统方案的审核和确认，并对系统的采购、安装、调试、配置过程的进行严格监督。</w:t>
      </w:r>
    </w:p>
    <w:p w14:paraId="6192E23E">
      <w:pPr>
        <w:spacing w:line="500" w:lineRule="exact"/>
        <w:ind w:firstLine="566" w:firstLineChars="200"/>
        <w:rPr>
          <w:rFonts w:hint="eastAsia" w:ascii="仿宋" w:hAnsi="仿宋" w:eastAsia="仿宋" w:cs="Times New Roman"/>
        </w:rPr>
      </w:pPr>
      <w:r>
        <w:rPr>
          <w:rFonts w:hint="eastAsia" w:ascii="仿宋" w:hAnsi="仿宋" w:eastAsia="仿宋" w:cs="Times New Roman"/>
        </w:rPr>
        <w:t>（4）培训的质量控制</w:t>
      </w:r>
    </w:p>
    <w:p w14:paraId="326883DA">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审核并确认承建单位提交的培训计划，监督承建单位实施其培训计划，并征求用户的反馈意见，审核并确认承建单位的培训总结报告。</w:t>
      </w:r>
    </w:p>
    <w:p w14:paraId="22C038F4">
      <w:pPr>
        <w:spacing w:line="500" w:lineRule="exact"/>
        <w:ind w:firstLine="566" w:firstLineChars="200"/>
        <w:rPr>
          <w:rFonts w:hint="eastAsia" w:ascii="仿宋" w:hAnsi="仿宋" w:eastAsia="仿宋" w:cs="Times New Roman"/>
        </w:rPr>
      </w:pPr>
      <w:r>
        <w:rPr>
          <w:rFonts w:hint="eastAsia" w:ascii="仿宋" w:hAnsi="仿宋" w:eastAsia="仿宋" w:cs="Times New Roman"/>
        </w:rPr>
        <w:t>3.工程进度控制</w:t>
      </w:r>
    </w:p>
    <w:p w14:paraId="65EDC9DC">
      <w:pPr>
        <w:spacing w:line="500" w:lineRule="exact"/>
        <w:ind w:firstLine="566" w:firstLineChars="200"/>
        <w:rPr>
          <w:rFonts w:hint="eastAsia" w:ascii="仿宋" w:hAnsi="仿宋" w:eastAsia="仿宋" w:cs="Times New Roman"/>
        </w:rPr>
      </w:pPr>
      <w:r>
        <w:rPr>
          <w:rFonts w:hint="eastAsia" w:ascii="仿宋" w:hAnsi="仿宋" w:eastAsia="仿宋" w:cs="Times New Roman"/>
        </w:rPr>
        <w:t>（1）审核承建单位的进度分解计划，确认分解计划可以保证总体计划目标的实现；</w:t>
      </w:r>
    </w:p>
    <w:p w14:paraId="77870508">
      <w:pPr>
        <w:spacing w:line="500" w:lineRule="exact"/>
        <w:ind w:firstLine="566" w:firstLineChars="200"/>
        <w:rPr>
          <w:rFonts w:hint="eastAsia" w:ascii="仿宋" w:hAnsi="仿宋" w:eastAsia="仿宋" w:cs="Times New Roman"/>
        </w:rPr>
      </w:pPr>
      <w:r>
        <w:rPr>
          <w:rFonts w:hint="eastAsia" w:ascii="仿宋" w:hAnsi="仿宋" w:eastAsia="仿宋" w:cs="Times New Roman"/>
        </w:rPr>
        <w:t>（2）对项目实施进度进行实时跟踪，并根据工程进展情况要求承建单位对进度计划进行动态调整，以确保项目的阶段性目标和总体进度目标的实现；</w:t>
      </w:r>
    </w:p>
    <w:p w14:paraId="60E2FEEB">
      <w:pPr>
        <w:spacing w:line="500" w:lineRule="exact"/>
        <w:ind w:firstLine="566" w:firstLineChars="200"/>
        <w:rPr>
          <w:rFonts w:hint="eastAsia" w:ascii="仿宋" w:hAnsi="仿宋" w:eastAsia="仿宋" w:cs="Times New Roman"/>
        </w:rPr>
      </w:pPr>
      <w:r>
        <w:rPr>
          <w:rFonts w:hint="eastAsia" w:ascii="仿宋" w:hAnsi="仿宋" w:eastAsia="仿宋" w:cs="Times New Roman"/>
        </w:rPr>
        <w:t>（3）当阶段性工期目标严重偏离预期进度计划时，监理单位应及时指出，并提出相应的对策建议，同时督促承建单位尽快采取措施。</w:t>
      </w:r>
    </w:p>
    <w:p w14:paraId="2C38C46C">
      <w:pPr>
        <w:spacing w:line="500" w:lineRule="exact"/>
        <w:ind w:firstLine="566" w:firstLineChars="200"/>
        <w:rPr>
          <w:rFonts w:hint="eastAsia" w:ascii="仿宋" w:hAnsi="仿宋" w:eastAsia="仿宋" w:cs="Times New Roman"/>
        </w:rPr>
      </w:pPr>
      <w:r>
        <w:rPr>
          <w:rFonts w:hint="eastAsia" w:ascii="仿宋" w:hAnsi="仿宋" w:eastAsia="仿宋" w:cs="Times New Roman"/>
        </w:rPr>
        <w:t>4.工程投资控制</w:t>
      </w:r>
    </w:p>
    <w:p w14:paraId="58C8E8EC">
      <w:pPr>
        <w:spacing w:line="500" w:lineRule="exact"/>
        <w:ind w:firstLine="566" w:firstLineChars="200"/>
        <w:rPr>
          <w:rFonts w:hint="eastAsia" w:ascii="仿宋" w:hAnsi="仿宋" w:eastAsia="仿宋" w:cs="Times New Roman"/>
        </w:rPr>
      </w:pPr>
      <w:r>
        <w:rPr>
          <w:rFonts w:hint="eastAsia" w:ascii="仿宋" w:hAnsi="仿宋" w:eastAsia="仿宋" w:cs="Times New Roman"/>
        </w:rPr>
        <w:t>通过对系统的总体设计方案、施工设计方案等进行评估和优化，确保本工程项目总投资控制在预算范围内，且力求性价比较高。</w:t>
      </w:r>
    </w:p>
    <w:p w14:paraId="13FFA688">
      <w:pPr>
        <w:spacing w:line="500" w:lineRule="exact"/>
        <w:ind w:firstLine="566" w:firstLineChars="200"/>
        <w:rPr>
          <w:rFonts w:hint="eastAsia" w:ascii="仿宋" w:hAnsi="仿宋" w:eastAsia="仿宋" w:cs="Times New Roman"/>
        </w:rPr>
      </w:pPr>
      <w:r>
        <w:rPr>
          <w:rFonts w:hint="eastAsia" w:ascii="仿宋" w:hAnsi="仿宋" w:eastAsia="仿宋" w:cs="Times New Roman"/>
        </w:rPr>
        <w:t>5.工程合同管理</w:t>
      </w:r>
    </w:p>
    <w:p w14:paraId="720ED380">
      <w:pPr>
        <w:spacing w:line="500" w:lineRule="exact"/>
        <w:ind w:firstLine="566" w:firstLineChars="200"/>
        <w:rPr>
          <w:rFonts w:hint="eastAsia" w:ascii="仿宋" w:hAnsi="仿宋" w:eastAsia="仿宋" w:cs="Times New Roman"/>
        </w:rPr>
      </w:pPr>
      <w:r>
        <w:rPr>
          <w:rFonts w:hint="eastAsia" w:ascii="仿宋" w:hAnsi="仿宋" w:eastAsia="仿宋" w:cs="Times New Roman"/>
        </w:rPr>
        <w:t>（1）跟踪检查合同的执行情况，确保承建单位按约履责；</w:t>
      </w:r>
    </w:p>
    <w:p w14:paraId="33BFB0EA">
      <w:pPr>
        <w:spacing w:line="500" w:lineRule="exact"/>
        <w:ind w:firstLine="566" w:firstLineChars="200"/>
        <w:rPr>
          <w:rFonts w:hint="eastAsia" w:ascii="仿宋" w:hAnsi="仿宋" w:eastAsia="仿宋" w:cs="Times New Roman"/>
        </w:rPr>
      </w:pPr>
      <w:r>
        <w:rPr>
          <w:rFonts w:hint="eastAsia" w:ascii="仿宋" w:hAnsi="仿宋" w:eastAsia="仿宋" w:cs="Times New Roman"/>
        </w:rPr>
        <w:t>（2）对合同工期的延误和延期进行审核确认;</w:t>
      </w:r>
    </w:p>
    <w:p w14:paraId="624C8D93">
      <w:pPr>
        <w:spacing w:line="500" w:lineRule="exact"/>
        <w:ind w:firstLine="566" w:firstLineChars="200"/>
        <w:rPr>
          <w:rFonts w:hint="eastAsia" w:ascii="仿宋" w:hAnsi="仿宋" w:eastAsia="仿宋" w:cs="Times New Roman"/>
        </w:rPr>
      </w:pPr>
      <w:r>
        <w:rPr>
          <w:rFonts w:hint="eastAsia" w:ascii="仿宋" w:hAnsi="仿宋" w:eastAsia="仿宋" w:cs="Times New Roman"/>
        </w:rPr>
        <w:t>（3）对工程暂停，复工等事宜进行审核确认;</w:t>
      </w:r>
    </w:p>
    <w:p w14:paraId="3C60C3F3">
      <w:pPr>
        <w:spacing w:line="500" w:lineRule="exact"/>
        <w:ind w:firstLine="566" w:firstLineChars="200"/>
        <w:rPr>
          <w:rFonts w:hint="eastAsia" w:ascii="仿宋" w:hAnsi="仿宋" w:eastAsia="仿宋" w:cs="Times New Roman"/>
        </w:rPr>
      </w:pPr>
      <w:r>
        <w:rPr>
          <w:rFonts w:hint="eastAsia" w:ascii="仿宋" w:hAnsi="仿宋" w:eastAsia="仿宋" w:cs="Times New Roman"/>
        </w:rPr>
        <w:t>（4）对合同变更、索赔、违约等事宜进行审核确认</w:t>
      </w:r>
    </w:p>
    <w:p w14:paraId="4830EB3E">
      <w:pPr>
        <w:spacing w:line="500" w:lineRule="exact"/>
        <w:ind w:firstLine="566" w:firstLineChars="200"/>
        <w:rPr>
          <w:rFonts w:hint="eastAsia" w:ascii="仿宋" w:hAnsi="仿宋" w:eastAsia="仿宋" w:cs="Times New Roman"/>
        </w:rPr>
      </w:pPr>
      <w:r>
        <w:rPr>
          <w:rFonts w:hint="eastAsia" w:ascii="仿宋" w:hAnsi="仿宋" w:eastAsia="仿宋" w:cs="Times New Roman"/>
        </w:rPr>
        <w:t>（5）根据合同约定，审核承建单位提交的支付申请</w:t>
      </w:r>
    </w:p>
    <w:p w14:paraId="295E9D1C">
      <w:pPr>
        <w:spacing w:line="500" w:lineRule="exact"/>
        <w:ind w:firstLine="566" w:firstLineChars="200"/>
        <w:rPr>
          <w:rFonts w:hint="eastAsia" w:ascii="仿宋" w:hAnsi="仿宋" w:eastAsia="仿宋" w:cs="Times New Roman"/>
        </w:rPr>
      </w:pPr>
      <w:r>
        <w:rPr>
          <w:rFonts w:hint="eastAsia" w:ascii="仿宋" w:hAnsi="仿宋" w:eastAsia="仿宋" w:cs="Times New Roman"/>
        </w:rPr>
        <w:t>（6）建立变更控制体系，对工程变更进行控制，明确界定项目变更的目标，防止变更范围的扩大化，加强变更风险和变更效果的评估。</w:t>
      </w:r>
    </w:p>
    <w:p w14:paraId="050205EE">
      <w:pPr>
        <w:spacing w:line="500" w:lineRule="exact"/>
        <w:ind w:firstLine="566" w:firstLineChars="200"/>
        <w:rPr>
          <w:rFonts w:hint="eastAsia" w:ascii="仿宋" w:hAnsi="仿宋" w:eastAsia="仿宋" w:cs="Times New Roman"/>
        </w:rPr>
      </w:pPr>
      <w:r>
        <w:rPr>
          <w:rFonts w:hint="eastAsia" w:ascii="仿宋" w:hAnsi="仿宋" w:eastAsia="仿宋" w:cs="Times New Roman"/>
        </w:rPr>
        <w:t>（7）任何变更都要得到三方 (采购人、监理单位和承建单位) 的书面确认。</w:t>
      </w:r>
    </w:p>
    <w:p w14:paraId="282847FC">
      <w:pPr>
        <w:spacing w:line="500" w:lineRule="exact"/>
        <w:ind w:firstLine="566" w:firstLineChars="200"/>
        <w:rPr>
          <w:rFonts w:hint="eastAsia" w:ascii="仿宋" w:hAnsi="仿宋" w:eastAsia="仿宋" w:cs="Times New Roman"/>
        </w:rPr>
      </w:pPr>
      <w:r>
        <w:rPr>
          <w:rFonts w:hint="eastAsia" w:ascii="仿宋" w:hAnsi="仿宋" w:eastAsia="仿宋" w:cs="Times New Roman"/>
        </w:rPr>
        <w:t>6.信息管理/工程文档管理</w:t>
      </w:r>
    </w:p>
    <w:p w14:paraId="20E936FA">
      <w:pPr>
        <w:spacing w:line="500" w:lineRule="exact"/>
        <w:ind w:firstLine="566" w:firstLineChars="200"/>
        <w:rPr>
          <w:rFonts w:hint="eastAsia" w:ascii="仿宋" w:hAnsi="仿宋" w:eastAsia="仿宋" w:cs="Times New Roman"/>
        </w:rPr>
      </w:pPr>
      <w:r>
        <w:rPr>
          <w:rFonts w:hint="eastAsia" w:ascii="仿宋" w:hAnsi="仿宋" w:eastAsia="仿宋" w:cs="Times New Roman"/>
        </w:rPr>
        <w:t>（1）根据采购人要求提出相应的项目文档管理规范:</w:t>
      </w:r>
    </w:p>
    <w:p w14:paraId="3ABCA4CC">
      <w:pPr>
        <w:spacing w:line="500" w:lineRule="exact"/>
        <w:ind w:firstLine="566" w:firstLineChars="200"/>
        <w:rPr>
          <w:rFonts w:hint="eastAsia" w:ascii="仿宋" w:hAnsi="仿宋" w:eastAsia="仿宋" w:cs="Times New Roman"/>
        </w:rPr>
      </w:pPr>
      <w:r>
        <w:rPr>
          <w:rFonts w:hint="eastAsia" w:ascii="仿宋" w:hAnsi="仿宋" w:eastAsia="仿宋" w:cs="Times New Roman"/>
        </w:rPr>
        <w:t>（2）做好监理日记及工程大事记；</w:t>
      </w:r>
    </w:p>
    <w:p w14:paraId="7223DE98">
      <w:pPr>
        <w:spacing w:line="500" w:lineRule="exact"/>
        <w:ind w:firstLine="566" w:firstLineChars="200"/>
        <w:rPr>
          <w:rFonts w:hint="eastAsia" w:ascii="仿宋" w:hAnsi="仿宋" w:eastAsia="仿宋" w:cs="Times New Roman"/>
        </w:rPr>
      </w:pPr>
      <w:r>
        <w:rPr>
          <w:rFonts w:hint="eastAsia" w:ascii="仿宋" w:hAnsi="仿宋" w:eastAsia="仿宋" w:cs="Times New Roman"/>
        </w:rPr>
        <w:t>（3）做好合同批复等各类往来文件的批复与存档；</w:t>
      </w:r>
    </w:p>
    <w:p w14:paraId="2AC5FE61">
      <w:pPr>
        <w:spacing w:line="500" w:lineRule="exact"/>
        <w:ind w:firstLine="566" w:firstLineChars="200"/>
        <w:rPr>
          <w:rFonts w:hint="eastAsia" w:ascii="仿宋" w:hAnsi="仿宋" w:eastAsia="仿宋" w:cs="Times New Roman"/>
        </w:rPr>
      </w:pPr>
      <w:r>
        <w:rPr>
          <w:rFonts w:hint="eastAsia" w:ascii="仿宋" w:hAnsi="仿宋" w:eastAsia="仿宋" w:cs="Times New Roman"/>
        </w:rPr>
        <w:t>（4）做好项目协调会、技术专题会的会议纪要；</w:t>
      </w:r>
    </w:p>
    <w:p w14:paraId="4CA5D105">
      <w:pPr>
        <w:spacing w:line="500" w:lineRule="exact"/>
        <w:ind w:firstLine="566" w:firstLineChars="200"/>
        <w:rPr>
          <w:rFonts w:hint="eastAsia" w:ascii="仿宋" w:hAnsi="仿宋" w:eastAsia="仿宋" w:cs="Times New Roman"/>
        </w:rPr>
      </w:pPr>
      <w:r>
        <w:rPr>
          <w:rFonts w:hint="eastAsia" w:ascii="仿宋" w:hAnsi="仿宋" w:eastAsia="仿宋" w:cs="Times New Roman"/>
        </w:rPr>
        <w:t>（5）管理好实施期间的各类技术文档;</w:t>
      </w:r>
    </w:p>
    <w:p w14:paraId="1E580857">
      <w:pPr>
        <w:spacing w:line="500" w:lineRule="exact"/>
        <w:ind w:firstLine="566" w:firstLineChars="200"/>
        <w:rPr>
          <w:rFonts w:hint="eastAsia" w:ascii="仿宋" w:hAnsi="仿宋" w:eastAsia="仿宋" w:cs="Times New Roman"/>
        </w:rPr>
      </w:pPr>
      <w:r>
        <w:rPr>
          <w:rFonts w:hint="eastAsia" w:ascii="仿宋" w:hAnsi="仿宋" w:eastAsia="仿宋" w:cs="Times New Roman"/>
        </w:rPr>
        <w:t>（6）提交验收所需的管理文档汇编;</w:t>
      </w:r>
    </w:p>
    <w:p w14:paraId="7D40457B">
      <w:pPr>
        <w:spacing w:line="500" w:lineRule="exact"/>
        <w:ind w:firstLine="566" w:firstLineChars="200"/>
        <w:rPr>
          <w:rFonts w:hint="eastAsia" w:ascii="仿宋" w:hAnsi="仿宋" w:eastAsia="仿宋" w:cs="Times New Roman"/>
        </w:rPr>
      </w:pPr>
      <w:r>
        <w:rPr>
          <w:rFonts w:hint="eastAsia" w:ascii="仿宋" w:hAnsi="仿宋" w:eastAsia="仿宋" w:cs="Times New Roman"/>
        </w:rPr>
        <w:t>（7）提交项目周报、月报;</w:t>
      </w:r>
    </w:p>
    <w:p w14:paraId="09DDA0F3">
      <w:pPr>
        <w:spacing w:line="500" w:lineRule="exact"/>
        <w:ind w:firstLine="566" w:firstLineChars="200"/>
        <w:rPr>
          <w:rFonts w:hint="eastAsia" w:ascii="仿宋" w:hAnsi="仿宋" w:eastAsia="仿宋" w:cs="Times New Roman"/>
        </w:rPr>
      </w:pPr>
      <w:r>
        <w:rPr>
          <w:rFonts w:hint="eastAsia" w:ascii="仿宋" w:hAnsi="仿宋" w:eastAsia="仿宋" w:cs="Times New Roman"/>
        </w:rPr>
        <w:t>（8）及时发送监理通知单;</w:t>
      </w:r>
    </w:p>
    <w:p w14:paraId="10D7D1F5">
      <w:pPr>
        <w:spacing w:line="500" w:lineRule="exact"/>
        <w:ind w:firstLine="566" w:firstLineChars="200"/>
        <w:rPr>
          <w:rFonts w:hint="eastAsia" w:ascii="仿宋" w:hAnsi="仿宋" w:eastAsia="仿宋" w:cs="Times New Roman"/>
        </w:rPr>
      </w:pPr>
      <w:r>
        <w:rPr>
          <w:rFonts w:hint="eastAsia" w:ascii="仿宋" w:hAnsi="仿宋" w:eastAsia="仿宋" w:cs="Times New Roman"/>
        </w:rPr>
        <w:t>（9）提交阶段性项目总结报告。</w:t>
      </w:r>
    </w:p>
    <w:p w14:paraId="78F051FD">
      <w:pPr>
        <w:spacing w:line="500" w:lineRule="exact"/>
        <w:ind w:firstLine="566" w:firstLineChars="200"/>
        <w:rPr>
          <w:rFonts w:hint="eastAsia" w:ascii="仿宋" w:hAnsi="仿宋" w:eastAsia="仿宋" w:cs="Times New Roman"/>
        </w:rPr>
      </w:pPr>
      <w:r>
        <w:rPr>
          <w:rFonts w:hint="eastAsia" w:ascii="仿宋" w:hAnsi="仿宋" w:eastAsia="仿宋" w:cs="Times New Roman"/>
        </w:rPr>
        <w:t>7.项目安全的管理</w:t>
      </w:r>
    </w:p>
    <w:p w14:paraId="54001B78">
      <w:pPr>
        <w:spacing w:line="500" w:lineRule="exact"/>
        <w:ind w:firstLine="566" w:firstLineChars="200"/>
        <w:rPr>
          <w:rFonts w:hint="eastAsia" w:ascii="仿宋" w:hAnsi="仿宋" w:eastAsia="仿宋" w:cs="Times New Roman"/>
        </w:rPr>
      </w:pPr>
      <w:r>
        <w:rPr>
          <w:rFonts w:hint="eastAsia" w:ascii="仿宋" w:hAnsi="仿宋" w:eastAsia="仿宋" w:cs="Times New Roman"/>
        </w:rPr>
        <w:t>（1）协助采购人审核项目建设的有关安全的技术方案;</w:t>
      </w:r>
    </w:p>
    <w:p w14:paraId="72CC74CC">
      <w:pPr>
        <w:spacing w:line="500" w:lineRule="exact"/>
        <w:ind w:firstLine="566" w:firstLineChars="200"/>
        <w:rPr>
          <w:rFonts w:hint="eastAsia" w:ascii="仿宋" w:hAnsi="仿宋" w:eastAsia="仿宋" w:cs="Times New Roman"/>
        </w:rPr>
      </w:pPr>
      <w:r>
        <w:rPr>
          <w:rFonts w:hint="eastAsia" w:ascii="仿宋" w:hAnsi="仿宋" w:eastAsia="仿宋" w:cs="Times New Roman"/>
        </w:rPr>
        <w:t>（2）负责项目建设施工过程中安全控制，防止出现安全事故。</w:t>
      </w:r>
    </w:p>
    <w:p w14:paraId="576157EC">
      <w:pPr>
        <w:spacing w:line="500" w:lineRule="exact"/>
        <w:ind w:firstLine="566" w:firstLineChars="200"/>
        <w:rPr>
          <w:rFonts w:hint="eastAsia" w:ascii="仿宋" w:hAnsi="仿宋" w:eastAsia="仿宋" w:cs="Times New Roman"/>
        </w:rPr>
      </w:pPr>
      <w:r>
        <w:rPr>
          <w:rFonts w:hint="eastAsia" w:ascii="仿宋" w:hAnsi="仿宋" w:eastAsia="仿宋" w:cs="Times New Roman"/>
        </w:rPr>
        <w:t>8.项目知识产权的管理</w:t>
      </w:r>
    </w:p>
    <w:p w14:paraId="04338BE3">
      <w:pPr>
        <w:spacing w:line="500" w:lineRule="exact"/>
        <w:ind w:firstLine="566" w:firstLineChars="200"/>
        <w:rPr>
          <w:rFonts w:hint="eastAsia" w:ascii="仿宋" w:hAnsi="仿宋" w:eastAsia="仿宋" w:cs="Times New Roman"/>
        </w:rPr>
      </w:pPr>
      <w:r>
        <w:rPr>
          <w:rFonts w:hint="eastAsia" w:ascii="仿宋" w:hAnsi="仿宋" w:eastAsia="仿宋" w:cs="Times New Roman"/>
        </w:rPr>
        <w:t>（1）负责项目建设过程中所产生成果的知识产权保护，防止被非授权使用；</w:t>
      </w:r>
    </w:p>
    <w:p w14:paraId="04434833">
      <w:pPr>
        <w:spacing w:line="500" w:lineRule="exact"/>
        <w:ind w:firstLine="566" w:firstLineChars="200"/>
        <w:rPr>
          <w:rFonts w:hint="eastAsia" w:ascii="仿宋" w:hAnsi="仿宋" w:eastAsia="仿宋" w:cs="Times New Roman"/>
        </w:rPr>
      </w:pPr>
      <w:r>
        <w:rPr>
          <w:rFonts w:hint="eastAsia" w:ascii="仿宋" w:hAnsi="仿宋" w:eastAsia="仿宋" w:cs="Times New Roman"/>
        </w:rPr>
        <w:t>（2）负责项目建设过程中涉及知识产权的产品和系统的使用审核，保证不在本项目建设中发生违反知识产权规定的行为。</w:t>
      </w:r>
    </w:p>
    <w:p w14:paraId="3F57A1A2">
      <w:pPr>
        <w:spacing w:line="500" w:lineRule="exact"/>
        <w:ind w:firstLine="566" w:firstLineChars="200"/>
        <w:rPr>
          <w:rFonts w:hint="eastAsia" w:ascii="仿宋" w:hAnsi="仿宋" w:eastAsia="仿宋" w:cs="Times New Roman"/>
        </w:rPr>
      </w:pPr>
      <w:r>
        <w:rPr>
          <w:rFonts w:hint="eastAsia" w:ascii="仿宋" w:hAnsi="仿宋" w:eastAsia="仿宋" w:cs="Times New Roman"/>
        </w:rPr>
        <w:t>9.项目的协调和组织</w:t>
      </w:r>
    </w:p>
    <w:p w14:paraId="6F4E1CCC">
      <w:pPr>
        <w:spacing w:line="500" w:lineRule="exact"/>
        <w:ind w:firstLine="566" w:firstLineChars="200"/>
        <w:rPr>
          <w:rFonts w:hint="eastAsia" w:ascii="仿宋" w:hAnsi="仿宋" w:eastAsia="仿宋" w:cs="Times New Roman"/>
        </w:rPr>
      </w:pPr>
      <w:r>
        <w:rPr>
          <w:rFonts w:hint="eastAsia" w:ascii="仿宋" w:hAnsi="仿宋" w:eastAsia="仿宋" w:cs="Times New Roman"/>
        </w:rPr>
        <w:t>（1）受采购人的委托、负责协调项目所涉及的各单位之间的工作关系，并协调解决项目建设过程中的各类纠纷；</w:t>
      </w:r>
    </w:p>
    <w:p w14:paraId="40F0E600">
      <w:pPr>
        <w:spacing w:line="500" w:lineRule="exact"/>
        <w:ind w:firstLine="566" w:firstLineChars="200"/>
        <w:rPr>
          <w:rFonts w:hint="eastAsia" w:ascii="仿宋" w:hAnsi="仿宋" w:eastAsia="仿宋" w:cs="Times New Roman"/>
        </w:rPr>
      </w:pPr>
      <w:r>
        <w:rPr>
          <w:rFonts w:hint="eastAsia" w:ascii="仿宋" w:hAnsi="仿宋" w:eastAsia="仿宋" w:cs="Times New Roman"/>
        </w:rPr>
        <w:t>（2）监理单位应通过必要的会议制度来实施协调工作，主要包括项目例会、专题讨论会、专家评审会、问题通报会、监理协调会、技术交底会、阶段工作总结会、阶段以及最终验收会和参与采购人单位组织的有关会议等。</w:t>
      </w:r>
    </w:p>
    <w:p w14:paraId="0EBCB746">
      <w:pPr>
        <w:spacing w:line="500" w:lineRule="exact"/>
        <w:ind w:firstLine="566" w:firstLineChars="200"/>
        <w:rPr>
          <w:rFonts w:hint="eastAsia" w:ascii="仿宋" w:hAnsi="仿宋" w:eastAsia="仿宋" w:cs="Times New Roman"/>
        </w:rPr>
      </w:pPr>
      <w:r>
        <w:rPr>
          <w:rFonts w:hint="eastAsia" w:ascii="仿宋" w:hAnsi="仿宋" w:eastAsia="仿宋" w:cs="Times New Roman"/>
        </w:rPr>
        <w:t>10.监理组织机构</w:t>
      </w:r>
    </w:p>
    <w:p w14:paraId="1A71B4AA">
      <w:pPr>
        <w:spacing w:line="500" w:lineRule="exact"/>
        <w:ind w:firstLine="566" w:firstLineChars="200"/>
        <w:rPr>
          <w:rFonts w:hint="eastAsia" w:ascii="仿宋" w:hAnsi="仿宋" w:eastAsia="仿宋" w:cs="Times New Roman"/>
        </w:rPr>
      </w:pPr>
      <w:r>
        <w:rPr>
          <w:rFonts w:hint="eastAsia" w:ascii="仿宋" w:hAnsi="仿宋" w:eastAsia="仿宋" w:cs="Times New Roman"/>
        </w:rPr>
        <w:t>要求供应商的监理机构设总监理工程师1人，除总监理工程师外应至少配置2名监理工程师负责本项目，除非采购人要求，供应商不得撤换投标文件中确定的总监与主要监理人员。</w:t>
      </w:r>
    </w:p>
    <w:p w14:paraId="3530707D">
      <w:pPr>
        <w:spacing w:line="500" w:lineRule="exact"/>
        <w:ind w:firstLine="566" w:firstLineChars="200"/>
        <w:rPr>
          <w:rFonts w:hint="eastAsia" w:ascii="仿宋" w:hAnsi="仿宋" w:eastAsia="仿宋" w:cs="Times New Roman"/>
        </w:rPr>
      </w:pPr>
    </w:p>
    <w:p w14:paraId="41FB2388">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采购内容及清单合同包3：</w:t>
      </w:r>
    </w:p>
    <w:p w14:paraId="1DEFD569">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采购预算：￥60,000.00元</w:t>
      </w:r>
    </w:p>
    <w:p w14:paraId="7636E6A4">
      <w:pPr>
        <w:spacing w:line="500" w:lineRule="exact"/>
        <w:ind w:firstLine="566" w:firstLineChars="200"/>
        <w:rPr>
          <w:rFonts w:hint="eastAsia" w:ascii="仿宋" w:hAnsi="仿宋" w:eastAsia="仿宋" w:cs="Times New Roman"/>
        </w:rPr>
      </w:pPr>
      <w:r>
        <w:rPr>
          <w:rFonts w:hint="eastAsia" w:ascii="仿宋" w:hAnsi="仿宋" w:eastAsia="仿宋" w:cs="Times New Roman"/>
        </w:rPr>
        <w:t>服务内容</w:t>
      </w:r>
    </w:p>
    <w:p w14:paraId="0A4C29AF">
      <w:pPr>
        <w:spacing w:line="500" w:lineRule="exact"/>
        <w:ind w:firstLine="566" w:firstLineChars="200"/>
        <w:rPr>
          <w:rFonts w:hint="eastAsia" w:ascii="仿宋" w:hAnsi="仿宋" w:eastAsia="仿宋" w:cs="Times New Roman"/>
        </w:rPr>
      </w:pPr>
      <w:r>
        <w:rPr>
          <w:rFonts w:hint="eastAsia" w:ascii="仿宋" w:hAnsi="仿宋" w:eastAsia="仿宋" w:cs="Times New Roman"/>
        </w:rPr>
        <w:t>根据国家《中华人民共和国网络安全法》《信息安全等级保护管理办法》(公通字〔2007〕43号）、《关于推动信息安全等级保护测评体系建设和开展等级测评工作的通知》（公信安〔2010〕303号）、《国家等保办关于深入实施网络安全等级保护制度的指导意见》（公网安〔2022〕1058号）等相关文件要求，此次项目拟对招标人单位视频会议系统开展网络安全等级保护测评工作。</w:t>
      </w:r>
    </w:p>
    <w:p w14:paraId="26A5E5C4">
      <w:pPr>
        <w:spacing w:line="500" w:lineRule="exact"/>
        <w:ind w:firstLine="566" w:firstLineChars="200"/>
        <w:rPr>
          <w:rFonts w:hint="eastAsia" w:ascii="仿宋" w:hAnsi="仿宋" w:eastAsia="仿宋" w:cs="Times New Roman"/>
        </w:rPr>
      </w:pPr>
      <w:r>
        <w:rPr>
          <w:rFonts w:hint="eastAsia" w:ascii="仿宋" w:hAnsi="仿宋" w:eastAsia="仿宋" w:cs="Times New Roman"/>
        </w:rPr>
        <w:t>1.系统调研：在招标单位相关人员的协助下，对本项目等级保护对象进行调研和梳理，了解招标单位当前信息系统资产现状。</w:t>
      </w:r>
    </w:p>
    <w:p w14:paraId="798CEA2A">
      <w:pPr>
        <w:spacing w:line="500" w:lineRule="exact"/>
        <w:ind w:firstLine="566" w:firstLineChars="200"/>
        <w:rPr>
          <w:rFonts w:hint="eastAsia" w:ascii="仿宋" w:hAnsi="仿宋" w:eastAsia="仿宋" w:cs="Times New Roman"/>
        </w:rPr>
      </w:pPr>
      <w:r>
        <w:rPr>
          <w:rFonts w:hint="eastAsia" w:ascii="仿宋" w:hAnsi="仿宋" w:eastAsia="仿宋" w:cs="Times New Roman"/>
        </w:rPr>
        <w:t>2.现场测评：供应商须根据国家等级测评的相关标准及定级对象对应的等级保护要求对本项目中信息系统中的相关资产进行测评项的检查、记录检查结果，完成等级测评工作。</w:t>
      </w:r>
    </w:p>
    <w:p w14:paraId="27D4F943">
      <w:pPr>
        <w:spacing w:line="500" w:lineRule="exact"/>
        <w:ind w:firstLine="566" w:firstLineChars="200"/>
        <w:rPr>
          <w:rFonts w:hint="eastAsia" w:ascii="仿宋" w:hAnsi="仿宋" w:eastAsia="仿宋" w:cs="Times New Roman"/>
        </w:rPr>
      </w:pPr>
      <w:r>
        <w:rPr>
          <w:rFonts w:hint="eastAsia" w:ascii="仿宋" w:hAnsi="仿宋" w:eastAsia="仿宋" w:cs="Times New Roman"/>
        </w:rPr>
        <w:t>3.分析整改：根据前述工作内容，分析信息系统安全情况与等级保护基本要求的差距,出具科学合理的整改建议。</w:t>
      </w:r>
    </w:p>
    <w:p w14:paraId="6174C817">
      <w:pPr>
        <w:spacing w:line="500" w:lineRule="exact"/>
        <w:ind w:firstLine="566" w:firstLineChars="200"/>
        <w:rPr>
          <w:rFonts w:hint="eastAsia" w:ascii="仿宋" w:hAnsi="仿宋" w:eastAsia="仿宋" w:cs="Times New Roman"/>
        </w:rPr>
      </w:pPr>
      <w:r>
        <w:rPr>
          <w:rFonts w:hint="eastAsia" w:ascii="仿宋" w:hAnsi="仿宋" w:eastAsia="仿宋" w:cs="Times New Roman"/>
        </w:rPr>
        <w:t>4.结论报告：根据前述工作内容，分析当前信息系统安全保护能力是否符合相应等级的安全要求，针对整改项进行再次测评,提供安全等级符合性测评服务，出具符合国家标准的信息系统等级测评报告。</w:t>
      </w:r>
    </w:p>
    <w:p w14:paraId="0FFEFD66">
      <w:pPr>
        <w:spacing w:line="500" w:lineRule="exact"/>
        <w:ind w:firstLine="566" w:firstLineChars="200"/>
        <w:rPr>
          <w:rFonts w:hint="eastAsia" w:ascii="仿宋" w:hAnsi="仿宋" w:eastAsia="仿宋" w:cs="Times New Roman"/>
        </w:rPr>
      </w:pPr>
      <w:r>
        <w:rPr>
          <w:rFonts w:hint="eastAsia" w:ascii="仿宋" w:hAnsi="仿宋" w:eastAsia="仿宋" w:cs="Times New Roman"/>
        </w:rPr>
        <w:t>5.配合验收：整理项目过程中所有相关的过程文档，提交至招标单位。</w:t>
      </w:r>
    </w:p>
    <w:p w14:paraId="2EF190E5">
      <w:pPr>
        <w:spacing w:line="500" w:lineRule="exact"/>
        <w:ind w:firstLine="566" w:firstLineChars="200"/>
        <w:rPr>
          <w:rFonts w:hint="eastAsia" w:ascii="仿宋" w:hAnsi="仿宋" w:eastAsia="仿宋" w:cs="Times New Roman"/>
        </w:rPr>
      </w:pPr>
      <w:r>
        <w:rPr>
          <w:rFonts w:hint="eastAsia" w:ascii="仿宋" w:hAnsi="仿宋" w:eastAsia="仿宋" w:cs="Times New Roman"/>
        </w:rPr>
        <w:t>6.系统备案、取证:根据甲方系统测评情况，完成等保备案与取证工作。</w:t>
      </w:r>
    </w:p>
    <w:p w14:paraId="4710B84C">
      <w:pPr>
        <w:spacing w:line="500" w:lineRule="exact"/>
        <w:ind w:firstLine="566" w:firstLineChars="200"/>
        <w:rPr>
          <w:rFonts w:hint="eastAsia" w:ascii="仿宋" w:hAnsi="仿宋" w:eastAsia="仿宋" w:cs="Times New Roman"/>
        </w:rPr>
      </w:pPr>
      <w:r>
        <w:rPr>
          <w:rFonts w:hint="eastAsia" w:ascii="仿宋" w:hAnsi="仿宋" w:eastAsia="仿宋" w:cs="Times New Roman"/>
        </w:rPr>
        <w:t>二、服务范围</w:t>
      </w:r>
    </w:p>
    <w:p w14:paraId="385DD5BF">
      <w:pPr>
        <w:spacing w:line="500" w:lineRule="exact"/>
        <w:ind w:firstLine="566" w:firstLineChars="200"/>
        <w:rPr>
          <w:rFonts w:hint="eastAsia" w:ascii="仿宋" w:hAnsi="仿宋" w:eastAsia="仿宋" w:cs="Times New Roman"/>
        </w:rPr>
      </w:pPr>
      <w:r>
        <w:rPr>
          <w:rFonts w:hint="eastAsia" w:ascii="仿宋" w:hAnsi="仿宋" w:eastAsia="仿宋" w:cs="Times New Roman"/>
        </w:rPr>
        <w:t>需对本单位的视频会议系统提供网络安全等级保护测评服务。</w:t>
      </w:r>
    </w:p>
    <w:p w14:paraId="155BA828">
      <w:pPr>
        <w:spacing w:line="500" w:lineRule="exact"/>
        <w:ind w:firstLine="566" w:firstLineChars="200"/>
        <w:rPr>
          <w:rFonts w:hint="eastAsia" w:ascii="仿宋" w:hAnsi="仿宋" w:eastAsia="仿宋" w:cs="Times New Roman"/>
        </w:rPr>
      </w:pPr>
      <w:r>
        <w:rPr>
          <w:rFonts w:hint="eastAsia" w:ascii="仿宋" w:hAnsi="仿宋" w:eastAsia="仿宋" w:cs="Times New Roman"/>
        </w:rPr>
        <w:t>三、项目组织机构和人员要求</w:t>
      </w:r>
    </w:p>
    <w:p w14:paraId="2DFF5626">
      <w:pPr>
        <w:spacing w:line="500" w:lineRule="exact"/>
        <w:ind w:firstLine="566" w:firstLineChars="200"/>
        <w:rPr>
          <w:rFonts w:hint="eastAsia" w:ascii="仿宋" w:hAnsi="仿宋" w:eastAsia="仿宋" w:cs="Times New Roman"/>
        </w:rPr>
      </w:pPr>
      <w:r>
        <w:rPr>
          <w:rFonts w:hint="eastAsia" w:ascii="仿宋" w:hAnsi="仿宋" w:eastAsia="仿宋" w:cs="Times New Roman"/>
        </w:rPr>
        <w:t>1.实施人员要求:项目经理需具备《网络安全等级测评师-中级测评师》证书，项目实施人员需具备《网络安全等级测评师》证书，提供人员管理及配置方案，确保人员稳定。如需更换测评人员，须由甲方同意</w:t>
      </w:r>
    </w:p>
    <w:p w14:paraId="6758EAD4">
      <w:pPr>
        <w:spacing w:line="500" w:lineRule="exact"/>
        <w:ind w:firstLine="566" w:firstLineChars="200"/>
        <w:rPr>
          <w:rFonts w:hint="eastAsia" w:ascii="仿宋" w:hAnsi="仿宋" w:eastAsia="仿宋" w:cs="Times New Roman"/>
        </w:rPr>
      </w:pPr>
      <w:r>
        <w:rPr>
          <w:rFonts w:hint="eastAsia" w:ascii="仿宋" w:hAnsi="仿宋" w:eastAsia="仿宋" w:cs="Times New Roman"/>
        </w:rPr>
        <w:t>2.实施人员配备:项目需单独配置1名项目经理，同时每个业务系统现场测评至少保证2名网络安全等级测评师。</w:t>
      </w:r>
    </w:p>
    <w:p w14:paraId="5BCBA427">
      <w:pPr>
        <w:spacing w:line="500" w:lineRule="exact"/>
        <w:ind w:firstLine="566" w:firstLineChars="200"/>
        <w:rPr>
          <w:rFonts w:hint="eastAsia" w:ascii="仿宋" w:hAnsi="仿宋" w:eastAsia="仿宋" w:cs="Times New Roman"/>
        </w:rPr>
      </w:pPr>
      <w:r>
        <w:rPr>
          <w:rFonts w:hint="eastAsia" w:ascii="仿宋" w:hAnsi="仿宋" w:eastAsia="仿宋" w:cs="Times New Roman"/>
        </w:rPr>
        <w:t>3.项目实施团队:具备等级测评、渗透测试及相关网络安全技术能力。</w:t>
      </w:r>
    </w:p>
    <w:p w14:paraId="2085F0D7">
      <w:pPr>
        <w:spacing w:line="500" w:lineRule="exact"/>
        <w:ind w:firstLine="566" w:firstLineChars="200"/>
        <w:rPr>
          <w:rFonts w:hint="eastAsia" w:ascii="仿宋" w:hAnsi="仿宋" w:eastAsia="仿宋" w:cs="Times New Roman"/>
        </w:rPr>
      </w:pPr>
      <w:r>
        <w:rPr>
          <w:rFonts w:hint="eastAsia" w:ascii="仿宋" w:hAnsi="仿宋" w:eastAsia="仿宋" w:cs="Times New Roman"/>
        </w:rPr>
        <w:t>四、项目实施要求</w:t>
      </w:r>
    </w:p>
    <w:p w14:paraId="25B31615">
      <w:pPr>
        <w:spacing w:line="500" w:lineRule="exact"/>
        <w:ind w:firstLine="566" w:firstLineChars="200"/>
        <w:rPr>
          <w:rFonts w:hint="eastAsia" w:ascii="仿宋" w:hAnsi="仿宋" w:eastAsia="仿宋" w:cs="Times New Roman"/>
        </w:rPr>
      </w:pPr>
      <w:r>
        <w:rPr>
          <w:rFonts w:hint="eastAsia" w:ascii="仿宋" w:hAnsi="仿宋" w:eastAsia="仿宋" w:cs="Times New Roman"/>
        </w:rPr>
        <w:t>1.总体要求</w:t>
      </w:r>
    </w:p>
    <w:p w14:paraId="185FEFD6">
      <w:pPr>
        <w:spacing w:line="500" w:lineRule="exact"/>
        <w:ind w:firstLine="566" w:firstLineChars="200"/>
        <w:rPr>
          <w:rFonts w:hint="eastAsia" w:ascii="仿宋" w:hAnsi="仿宋" w:eastAsia="仿宋" w:cs="Times New Roman"/>
        </w:rPr>
      </w:pPr>
      <w:r>
        <w:rPr>
          <w:rFonts w:hint="eastAsia" w:ascii="仿宋" w:hAnsi="仿宋" w:eastAsia="仿宋" w:cs="Times New Roman"/>
        </w:rPr>
        <w:t>（1）投标文件对测评准备（现场调研）、方案编制、现场测评、报告编制等内容进行详细描述；</w:t>
      </w:r>
    </w:p>
    <w:p w14:paraId="5E366A9A">
      <w:pPr>
        <w:spacing w:line="500" w:lineRule="exact"/>
        <w:ind w:firstLine="566" w:firstLineChars="200"/>
        <w:rPr>
          <w:rFonts w:hint="eastAsia" w:ascii="仿宋" w:hAnsi="仿宋" w:eastAsia="仿宋" w:cs="Times New Roman"/>
        </w:rPr>
      </w:pPr>
      <w:r>
        <w:rPr>
          <w:rFonts w:hint="eastAsia" w:ascii="仿宋" w:hAnsi="仿宋" w:eastAsia="仿宋" w:cs="Times New Roman"/>
        </w:rPr>
        <w:t>（2）投标文件中明确服务内容及方法；</w:t>
      </w:r>
    </w:p>
    <w:p w14:paraId="15F80FAD">
      <w:pPr>
        <w:spacing w:line="500" w:lineRule="exact"/>
        <w:ind w:firstLine="566" w:firstLineChars="200"/>
        <w:rPr>
          <w:rFonts w:hint="eastAsia" w:ascii="仿宋" w:hAnsi="仿宋" w:eastAsia="仿宋" w:cs="Times New Roman"/>
        </w:rPr>
      </w:pPr>
      <w:r>
        <w:rPr>
          <w:rFonts w:hint="eastAsia" w:ascii="仿宋" w:hAnsi="仿宋" w:eastAsia="仿宋" w:cs="Times New Roman"/>
        </w:rPr>
        <w:t>（3）明确合理的实施周期和进度表；</w:t>
      </w:r>
    </w:p>
    <w:p w14:paraId="471D5279">
      <w:pPr>
        <w:spacing w:line="500" w:lineRule="exact"/>
        <w:ind w:firstLine="566" w:firstLineChars="200"/>
        <w:rPr>
          <w:rFonts w:hint="eastAsia" w:ascii="仿宋" w:hAnsi="仿宋" w:eastAsia="仿宋" w:cs="Times New Roman"/>
        </w:rPr>
      </w:pPr>
      <w:r>
        <w:rPr>
          <w:rFonts w:hint="eastAsia" w:ascii="仿宋" w:hAnsi="仿宋" w:eastAsia="仿宋" w:cs="Times New Roman"/>
        </w:rPr>
        <w:t>（4）其他认为需要补充的合理化建议。</w:t>
      </w:r>
    </w:p>
    <w:p w14:paraId="2D76F220">
      <w:pPr>
        <w:spacing w:line="500" w:lineRule="exact"/>
        <w:ind w:firstLine="566" w:firstLineChars="200"/>
        <w:rPr>
          <w:rFonts w:hint="eastAsia" w:ascii="仿宋" w:hAnsi="仿宋" w:eastAsia="仿宋" w:cs="Times New Roman"/>
        </w:rPr>
      </w:pPr>
      <w:r>
        <w:rPr>
          <w:rFonts w:hint="eastAsia" w:ascii="仿宋" w:hAnsi="仿宋" w:eastAsia="仿宋" w:cs="Times New Roman"/>
        </w:rPr>
        <w:t>2.具体要求</w:t>
      </w:r>
    </w:p>
    <w:p w14:paraId="2A2AEC05">
      <w:pPr>
        <w:spacing w:line="500" w:lineRule="exact"/>
        <w:ind w:firstLine="566" w:firstLineChars="200"/>
        <w:rPr>
          <w:rFonts w:hint="eastAsia" w:ascii="仿宋" w:hAnsi="仿宋" w:eastAsia="仿宋" w:cs="Times New Roman"/>
        </w:rPr>
      </w:pPr>
      <w:r>
        <w:rPr>
          <w:rFonts w:hint="eastAsia" w:ascii="仿宋" w:hAnsi="仿宋" w:eastAsia="仿宋" w:cs="Times New Roman"/>
        </w:rPr>
        <w:t>等级保护测评技术要求（三级）</w:t>
      </w:r>
    </w:p>
    <w:p w14:paraId="1E43743E">
      <w:pPr>
        <w:spacing w:line="500" w:lineRule="exact"/>
        <w:ind w:firstLine="566" w:firstLineChars="200"/>
        <w:rPr>
          <w:rFonts w:hint="eastAsia" w:ascii="仿宋" w:hAnsi="仿宋" w:eastAsia="仿宋" w:cs="Times New Roman"/>
        </w:rPr>
      </w:pPr>
      <w:r>
        <w:rPr>
          <w:rFonts w:hint="eastAsia" w:ascii="仿宋" w:hAnsi="仿宋" w:eastAsia="仿宋" w:cs="Times New Roman"/>
        </w:rPr>
        <w:t>本次测评项目的安全测评指标至少应包括《信息安全技术网络安全等级保护基本要求》(GB/T22239-2019)“第三级安全要求”中的安全通用要求。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4036"/>
        <w:gridCol w:w="3193"/>
      </w:tblGrid>
      <w:tr w14:paraId="647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08" w:type="pct"/>
            <w:shd w:val="clear" w:color="auto" w:fill="BFBFBF"/>
            <w:vAlign w:val="center"/>
          </w:tcPr>
          <w:p w14:paraId="25E5267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2173" w:type="pct"/>
            <w:shd w:val="clear" w:color="auto" w:fill="BFBFBF"/>
            <w:vAlign w:val="center"/>
          </w:tcPr>
          <w:p w14:paraId="109F2E13">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1719" w:type="pct"/>
            <w:shd w:val="clear" w:color="auto" w:fill="BFBFBF"/>
            <w:vAlign w:val="center"/>
          </w:tcPr>
          <w:p w14:paraId="35DE0E51">
            <w:pPr>
              <w:spacing w:line="500" w:lineRule="exact"/>
              <w:ind w:firstLine="566" w:firstLineChars="200"/>
              <w:rPr>
                <w:rFonts w:hint="eastAsia" w:ascii="仿宋" w:hAnsi="仿宋" w:eastAsia="仿宋" w:cs="Times New Roman"/>
              </w:rPr>
            </w:pPr>
            <w:r>
              <w:rPr>
                <w:rFonts w:hint="eastAsia" w:ascii="仿宋" w:hAnsi="仿宋" w:eastAsia="仿宋" w:cs="Times New Roman"/>
              </w:rPr>
              <w:t>测评项数</w:t>
            </w:r>
          </w:p>
        </w:tc>
      </w:tr>
      <w:tr w14:paraId="12B3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461695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c>
        <w:tc>
          <w:tcPr>
            <w:tcW w:w="2173" w:type="pct"/>
            <w:vAlign w:val="center"/>
          </w:tcPr>
          <w:p w14:paraId="143F9375">
            <w:pPr>
              <w:spacing w:line="500" w:lineRule="exact"/>
              <w:ind w:firstLine="566" w:firstLineChars="200"/>
              <w:rPr>
                <w:rFonts w:hint="eastAsia" w:ascii="仿宋" w:hAnsi="仿宋" w:eastAsia="仿宋" w:cs="Times New Roman"/>
              </w:rPr>
            </w:pPr>
            <w:r>
              <w:rPr>
                <w:rFonts w:hint="eastAsia" w:ascii="仿宋" w:hAnsi="仿宋" w:eastAsia="仿宋" w:cs="Times New Roman"/>
              </w:rPr>
              <w:t>物理位置的选择</w:t>
            </w:r>
          </w:p>
        </w:tc>
        <w:tc>
          <w:tcPr>
            <w:tcW w:w="1719" w:type="pct"/>
            <w:vAlign w:val="center"/>
          </w:tcPr>
          <w:p w14:paraId="649A1EA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9E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E7908BD">
            <w:pPr>
              <w:spacing w:line="500" w:lineRule="exact"/>
              <w:ind w:firstLine="566" w:firstLineChars="200"/>
              <w:rPr>
                <w:rFonts w:hint="eastAsia" w:ascii="仿宋" w:hAnsi="仿宋" w:eastAsia="仿宋" w:cs="Times New Roman"/>
              </w:rPr>
            </w:pPr>
          </w:p>
        </w:tc>
        <w:tc>
          <w:tcPr>
            <w:tcW w:w="2173" w:type="pct"/>
            <w:vAlign w:val="center"/>
          </w:tcPr>
          <w:p w14:paraId="6DF86020">
            <w:pPr>
              <w:spacing w:line="500" w:lineRule="exact"/>
              <w:ind w:firstLine="566" w:firstLineChars="200"/>
              <w:rPr>
                <w:rFonts w:hint="eastAsia" w:ascii="仿宋" w:hAnsi="仿宋" w:eastAsia="仿宋" w:cs="Times New Roman"/>
              </w:rPr>
            </w:pPr>
            <w:r>
              <w:rPr>
                <w:rFonts w:hint="eastAsia" w:ascii="仿宋" w:hAnsi="仿宋" w:eastAsia="仿宋" w:cs="Times New Roman"/>
              </w:rPr>
              <w:t>物理访问控制</w:t>
            </w:r>
          </w:p>
        </w:tc>
        <w:tc>
          <w:tcPr>
            <w:tcW w:w="1719" w:type="pct"/>
            <w:vAlign w:val="center"/>
          </w:tcPr>
          <w:p w14:paraId="565A17EB">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920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A28BEA">
            <w:pPr>
              <w:spacing w:line="500" w:lineRule="exact"/>
              <w:ind w:firstLine="566" w:firstLineChars="200"/>
              <w:rPr>
                <w:rFonts w:hint="eastAsia" w:ascii="仿宋" w:hAnsi="仿宋" w:eastAsia="仿宋" w:cs="Times New Roman"/>
              </w:rPr>
            </w:pPr>
          </w:p>
        </w:tc>
        <w:tc>
          <w:tcPr>
            <w:tcW w:w="2173" w:type="pct"/>
            <w:vAlign w:val="center"/>
          </w:tcPr>
          <w:p w14:paraId="07DEA8BD">
            <w:pPr>
              <w:spacing w:line="500" w:lineRule="exact"/>
              <w:ind w:firstLine="566" w:firstLineChars="200"/>
              <w:rPr>
                <w:rFonts w:hint="eastAsia" w:ascii="仿宋" w:hAnsi="仿宋" w:eastAsia="仿宋" w:cs="Times New Roman"/>
              </w:rPr>
            </w:pPr>
            <w:r>
              <w:rPr>
                <w:rFonts w:hint="eastAsia" w:ascii="仿宋" w:hAnsi="仿宋" w:eastAsia="仿宋" w:cs="Times New Roman"/>
              </w:rPr>
              <w:t>防盗窃和防破坏</w:t>
            </w:r>
          </w:p>
        </w:tc>
        <w:tc>
          <w:tcPr>
            <w:tcW w:w="1719" w:type="pct"/>
            <w:vAlign w:val="center"/>
          </w:tcPr>
          <w:p w14:paraId="59ECE45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49A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0E80BB3">
            <w:pPr>
              <w:spacing w:line="500" w:lineRule="exact"/>
              <w:ind w:firstLine="566" w:firstLineChars="200"/>
              <w:rPr>
                <w:rFonts w:hint="eastAsia" w:ascii="仿宋" w:hAnsi="仿宋" w:eastAsia="仿宋" w:cs="Times New Roman"/>
              </w:rPr>
            </w:pPr>
          </w:p>
        </w:tc>
        <w:tc>
          <w:tcPr>
            <w:tcW w:w="2173" w:type="pct"/>
            <w:vAlign w:val="center"/>
          </w:tcPr>
          <w:p w14:paraId="0701411C">
            <w:pPr>
              <w:spacing w:line="500" w:lineRule="exact"/>
              <w:ind w:firstLine="566" w:firstLineChars="200"/>
              <w:rPr>
                <w:rFonts w:hint="eastAsia" w:ascii="仿宋" w:hAnsi="仿宋" w:eastAsia="仿宋" w:cs="Times New Roman"/>
              </w:rPr>
            </w:pPr>
            <w:r>
              <w:rPr>
                <w:rFonts w:hint="eastAsia" w:ascii="仿宋" w:hAnsi="仿宋" w:eastAsia="仿宋" w:cs="Times New Roman"/>
              </w:rPr>
              <w:t>防雷击</w:t>
            </w:r>
          </w:p>
        </w:tc>
        <w:tc>
          <w:tcPr>
            <w:tcW w:w="1719" w:type="pct"/>
            <w:vAlign w:val="center"/>
          </w:tcPr>
          <w:p w14:paraId="01FCB31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17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7EDC9BC">
            <w:pPr>
              <w:spacing w:line="500" w:lineRule="exact"/>
              <w:ind w:firstLine="566" w:firstLineChars="200"/>
              <w:rPr>
                <w:rFonts w:hint="eastAsia" w:ascii="仿宋" w:hAnsi="仿宋" w:eastAsia="仿宋" w:cs="Times New Roman"/>
              </w:rPr>
            </w:pPr>
          </w:p>
        </w:tc>
        <w:tc>
          <w:tcPr>
            <w:tcW w:w="2173" w:type="pct"/>
            <w:vAlign w:val="center"/>
          </w:tcPr>
          <w:p w14:paraId="697EA359">
            <w:pPr>
              <w:spacing w:line="500" w:lineRule="exact"/>
              <w:ind w:firstLine="566" w:firstLineChars="200"/>
              <w:rPr>
                <w:rFonts w:hint="eastAsia" w:ascii="仿宋" w:hAnsi="仿宋" w:eastAsia="仿宋" w:cs="Times New Roman"/>
              </w:rPr>
            </w:pPr>
            <w:r>
              <w:rPr>
                <w:rFonts w:hint="eastAsia" w:ascii="仿宋" w:hAnsi="仿宋" w:eastAsia="仿宋" w:cs="Times New Roman"/>
              </w:rPr>
              <w:t>防火</w:t>
            </w:r>
          </w:p>
        </w:tc>
        <w:tc>
          <w:tcPr>
            <w:tcW w:w="1719" w:type="pct"/>
            <w:vAlign w:val="center"/>
          </w:tcPr>
          <w:p w14:paraId="2C852FC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5C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F4F82A6">
            <w:pPr>
              <w:spacing w:line="500" w:lineRule="exact"/>
              <w:ind w:firstLine="566" w:firstLineChars="200"/>
              <w:rPr>
                <w:rFonts w:hint="eastAsia" w:ascii="仿宋" w:hAnsi="仿宋" w:eastAsia="仿宋" w:cs="Times New Roman"/>
              </w:rPr>
            </w:pPr>
          </w:p>
        </w:tc>
        <w:tc>
          <w:tcPr>
            <w:tcW w:w="2173" w:type="pct"/>
            <w:vAlign w:val="center"/>
          </w:tcPr>
          <w:p w14:paraId="3E6170AE">
            <w:pPr>
              <w:spacing w:line="500" w:lineRule="exact"/>
              <w:ind w:firstLine="566" w:firstLineChars="200"/>
              <w:rPr>
                <w:rFonts w:hint="eastAsia" w:ascii="仿宋" w:hAnsi="仿宋" w:eastAsia="仿宋" w:cs="Times New Roman"/>
              </w:rPr>
            </w:pPr>
            <w:r>
              <w:rPr>
                <w:rFonts w:hint="eastAsia" w:ascii="仿宋" w:hAnsi="仿宋" w:eastAsia="仿宋" w:cs="Times New Roman"/>
              </w:rPr>
              <w:t>防水防潮</w:t>
            </w:r>
          </w:p>
        </w:tc>
        <w:tc>
          <w:tcPr>
            <w:tcW w:w="1719" w:type="pct"/>
            <w:vAlign w:val="center"/>
          </w:tcPr>
          <w:p w14:paraId="6B05D27B">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CFE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931AB8">
            <w:pPr>
              <w:spacing w:line="500" w:lineRule="exact"/>
              <w:ind w:firstLine="566" w:firstLineChars="200"/>
              <w:rPr>
                <w:rFonts w:hint="eastAsia" w:ascii="仿宋" w:hAnsi="仿宋" w:eastAsia="仿宋" w:cs="Times New Roman"/>
              </w:rPr>
            </w:pPr>
          </w:p>
        </w:tc>
        <w:tc>
          <w:tcPr>
            <w:tcW w:w="2173" w:type="pct"/>
            <w:vAlign w:val="center"/>
          </w:tcPr>
          <w:p w14:paraId="4A961DA7">
            <w:pPr>
              <w:spacing w:line="500" w:lineRule="exact"/>
              <w:ind w:firstLine="566" w:firstLineChars="200"/>
              <w:rPr>
                <w:rFonts w:hint="eastAsia" w:ascii="仿宋" w:hAnsi="仿宋" w:eastAsia="仿宋" w:cs="Times New Roman"/>
              </w:rPr>
            </w:pPr>
            <w:r>
              <w:rPr>
                <w:rFonts w:hint="eastAsia" w:ascii="仿宋" w:hAnsi="仿宋" w:eastAsia="仿宋" w:cs="Times New Roman"/>
              </w:rPr>
              <w:t>防静电</w:t>
            </w:r>
          </w:p>
        </w:tc>
        <w:tc>
          <w:tcPr>
            <w:tcW w:w="1719" w:type="pct"/>
            <w:vAlign w:val="center"/>
          </w:tcPr>
          <w:p w14:paraId="75C7FEEB">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AC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0B353E9">
            <w:pPr>
              <w:spacing w:line="500" w:lineRule="exact"/>
              <w:ind w:firstLine="566" w:firstLineChars="200"/>
              <w:rPr>
                <w:rFonts w:hint="eastAsia" w:ascii="仿宋" w:hAnsi="仿宋" w:eastAsia="仿宋" w:cs="Times New Roman"/>
              </w:rPr>
            </w:pPr>
          </w:p>
        </w:tc>
        <w:tc>
          <w:tcPr>
            <w:tcW w:w="2173" w:type="pct"/>
            <w:vAlign w:val="center"/>
          </w:tcPr>
          <w:p w14:paraId="295D6FB1">
            <w:pPr>
              <w:spacing w:line="500" w:lineRule="exact"/>
              <w:ind w:firstLine="566" w:firstLineChars="200"/>
              <w:rPr>
                <w:rFonts w:hint="eastAsia" w:ascii="仿宋" w:hAnsi="仿宋" w:eastAsia="仿宋" w:cs="Times New Roman"/>
              </w:rPr>
            </w:pPr>
            <w:r>
              <w:rPr>
                <w:rFonts w:hint="eastAsia" w:ascii="仿宋" w:hAnsi="仿宋" w:eastAsia="仿宋" w:cs="Times New Roman"/>
              </w:rPr>
              <w:t>温湿度控制</w:t>
            </w:r>
          </w:p>
        </w:tc>
        <w:tc>
          <w:tcPr>
            <w:tcW w:w="1719" w:type="pct"/>
            <w:vAlign w:val="center"/>
          </w:tcPr>
          <w:p w14:paraId="72EA6B62">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B6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446E97">
            <w:pPr>
              <w:spacing w:line="500" w:lineRule="exact"/>
              <w:ind w:firstLine="566" w:firstLineChars="200"/>
              <w:rPr>
                <w:rFonts w:hint="eastAsia" w:ascii="仿宋" w:hAnsi="仿宋" w:eastAsia="仿宋" w:cs="Times New Roman"/>
              </w:rPr>
            </w:pPr>
          </w:p>
        </w:tc>
        <w:tc>
          <w:tcPr>
            <w:tcW w:w="2173" w:type="pct"/>
            <w:vAlign w:val="center"/>
          </w:tcPr>
          <w:p w14:paraId="6C17E432">
            <w:pPr>
              <w:spacing w:line="500" w:lineRule="exact"/>
              <w:ind w:firstLine="566" w:firstLineChars="200"/>
              <w:rPr>
                <w:rFonts w:hint="eastAsia" w:ascii="仿宋" w:hAnsi="仿宋" w:eastAsia="仿宋" w:cs="Times New Roman"/>
              </w:rPr>
            </w:pPr>
            <w:r>
              <w:rPr>
                <w:rFonts w:hint="eastAsia" w:ascii="仿宋" w:hAnsi="仿宋" w:eastAsia="仿宋" w:cs="Times New Roman"/>
              </w:rPr>
              <w:t>电力供应</w:t>
            </w:r>
          </w:p>
        </w:tc>
        <w:tc>
          <w:tcPr>
            <w:tcW w:w="1719" w:type="pct"/>
            <w:vAlign w:val="center"/>
          </w:tcPr>
          <w:p w14:paraId="6FE9F1F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6EF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BB72B9">
            <w:pPr>
              <w:spacing w:line="500" w:lineRule="exact"/>
              <w:ind w:firstLine="566" w:firstLineChars="200"/>
              <w:rPr>
                <w:rFonts w:hint="eastAsia" w:ascii="仿宋" w:hAnsi="仿宋" w:eastAsia="仿宋" w:cs="Times New Roman"/>
              </w:rPr>
            </w:pPr>
          </w:p>
        </w:tc>
        <w:tc>
          <w:tcPr>
            <w:tcW w:w="2173" w:type="pct"/>
            <w:vAlign w:val="center"/>
          </w:tcPr>
          <w:p w14:paraId="7D9FCC7E">
            <w:pPr>
              <w:spacing w:line="500" w:lineRule="exact"/>
              <w:ind w:firstLine="566" w:firstLineChars="200"/>
              <w:rPr>
                <w:rFonts w:hint="eastAsia" w:ascii="仿宋" w:hAnsi="仿宋" w:eastAsia="仿宋" w:cs="Times New Roman"/>
              </w:rPr>
            </w:pPr>
            <w:r>
              <w:rPr>
                <w:rFonts w:hint="eastAsia" w:ascii="仿宋" w:hAnsi="仿宋" w:eastAsia="仿宋" w:cs="Times New Roman"/>
              </w:rPr>
              <w:t>电磁防护</w:t>
            </w:r>
          </w:p>
        </w:tc>
        <w:tc>
          <w:tcPr>
            <w:tcW w:w="1719" w:type="pct"/>
            <w:vAlign w:val="center"/>
          </w:tcPr>
          <w:p w14:paraId="03E5D8DD">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21D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5FDE7A1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c>
        <w:tc>
          <w:tcPr>
            <w:tcW w:w="2173" w:type="pct"/>
            <w:vAlign w:val="center"/>
          </w:tcPr>
          <w:p w14:paraId="3A88C262">
            <w:pPr>
              <w:spacing w:line="500" w:lineRule="exact"/>
              <w:ind w:firstLine="566" w:firstLineChars="200"/>
              <w:rPr>
                <w:rFonts w:hint="eastAsia" w:ascii="仿宋" w:hAnsi="仿宋" w:eastAsia="仿宋" w:cs="Times New Roman"/>
              </w:rPr>
            </w:pPr>
            <w:r>
              <w:rPr>
                <w:rFonts w:hint="eastAsia" w:ascii="仿宋" w:hAnsi="仿宋" w:eastAsia="仿宋" w:cs="Times New Roman"/>
              </w:rPr>
              <w:t>网络架构</w:t>
            </w:r>
          </w:p>
        </w:tc>
        <w:tc>
          <w:tcPr>
            <w:tcW w:w="1719" w:type="pct"/>
            <w:vAlign w:val="center"/>
          </w:tcPr>
          <w:p w14:paraId="0C982EF1">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r>
      <w:tr w14:paraId="107F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C0CC52">
            <w:pPr>
              <w:spacing w:line="500" w:lineRule="exact"/>
              <w:ind w:firstLine="566" w:firstLineChars="200"/>
              <w:rPr>
                <w:rFonts w:hint="eastAsia" w:ascii="仿宋" w:hAnsi="仿宋" w:eastAsia="仿宋" w:cs="Times New Roman"/>
              </w:rPr>
            </w:pPr>
          </w:p>
        </w:tc>
        <w:tc>
          <w:tcPr>
            <w:tcW w:w="2173" w:type="pct"/>
            <w:vAlign w:val="center"/>
          </w:tcPr>
          <w:p w14:paraId="092CD0B4">
            <w:pPr>
              <w:spacing w:line="500" w:lineRule="exact"/>
              <w:ind w:firstLine="566" w:firstLineChars="200"/>
              <w:rPr>
                <w:rFonts w:hint="eastAsia" w:ascii="仿宋" w:hAnsi="仿宋" w:eastAsia="仿宋" w:cs="Times New Roman"/>
              </w:rPr>
            </w:pPr>
            <w:r>
              <w:rPr>
                <w:rFonts w:hint="eastAsia" w:ascii="仿宋" w:hAnsi="仿宋" w:eastAsia="仿宋" w:cs="Times New Roman"/>
              </w:rPr>
              <w:t>通信传输</w:t>
            </w:r>
          </w:p>
        </w:tc>
        <w:tc>
          <w:tcPr>
            <w:tcW w:w="1719" w:type="pct"/>
            <w:vAlign w:val="center"/>
          </w:tcPr>
          <w:p w14:paraId="6BB10164">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875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07FC1C1">
            <w:pPr>
              <w:spacing w:line="500" w:lineRule="exact"/>
              <w:ind w:firstLine="566" w:firstLineChars="200"/>
              <w:rPr>
                <w:rFonts w:hint="eastAsia" w:ascii="仿宋" w:hAnsi="仿宋" w:eastAsia="仿宋" w:cs="Times New Roman"/>
              </w:rPr>
            </w:pPr>
          </w:p>
        </w:tc>
        <w:tc>
          <w:tcPr>
            <w:tcW w:w="2173" w:type="pct"/>
            <w:vAlign w:val="center"/>
          </w:tcPr>
          <w:p w14:paraId="44F3697C">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10069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50FF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A2C3B2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c>
        <w:tc>
          <w:tcPr>
            <w:tcW w:w="2173" w:type="pct"/>
            <w:vAlign w:val="center"/>
          </w:tcPr>
          <w:p w14:paraId="45111526">
            <w:pPr>
              <w:spacing w:line="500" w:lineRule="exact"/>
              <w:ind w:firstLine="566" w:firstLineChars="200"/>
              <w:rPr>
                <w:rFonts w:hint="eastAsia" w:ascii="仿宋" w:hAnsi="仿宋" w:eastAsia="仿宋" w:cs="Times New Roman"/>
              </w:rPr>
            </w:pPr>
            <w:r>
              <w:rPr>
                <w:rFonts w:hint="eastAsia" w:ascii="仿宋" w:hAnsi="仿宋" w:eastAsia="仿宋" w:cs="Times New Roman"/>
              </w:rPr>
              <w:t>边界防护</w:t>
            </w:r>
          </w:p>
        </w:tc>
        <w:tc>
          <w:tcPr>
            <w:tcW w:w="1719" w:type="pct"/>
            <w:vAlign w:val="center"/>
          </w:tcPr>
          <w:p w14:paraId="3F328A0C">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0B36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DE16B89">
            <w:pPr>
              <w:spacing w:line="500" w:lineRule="exact"/>
              <w:ind w:firstLine="566" w:firstLineChars="200"/>
              <w:rPr>
                <w:rFonts w:hint="eastAsia" w:ascii="仿宋" w:hAnsi="仿宋" w:eastAsia="仿宋" w:cs="Times New Roman"/>
              </w:rPr>
            </w:pPr>
          </w:p>
        </w:tc>
        <w:tc>
          <w:tcPr>
            <w:tcW w:w="2173" w:type="pct"/>
            <w:vAlign w:val="center"/>
          </w:tcPr>
          <w:p w14:paraId="627AF0AD">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28F60E60">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r>
      <w:tr w14:paraId="275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EF8077">
            <w:pPr>
              <w:spacing w:line="500" w:lineRule="exact"/>
              <w:ind w:firstLine="566" w:firstLineChars="200"/>
              <w:rPr>
                <w:rFonts w:hint="eastAsia" w:ascii="仿宋" w:hAnsi="仿宋" w:eastAsia="仿宋" w:cs="Times New Roman"/>
              </w:rPr>
            </w:pPr>
          </w:p>
        </w:tc>
        <w:tc>
          <w:tcPr>
            <w:tcW w:w="2173" w:type="pct"/>
            <w:vAlign w:val="center"/>
          </w:tcPr>
          <w:p w14:paraId="68A8E830">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6B0ECC36">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3F6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11749D">
            <w:pPr>
              <w:spacing w:line="500" w:lineRule="exact"/>
              <w:ind w:firstLine="566" w:firstLineChars="200"/>
              <w:rPr>
                <w:rFonts w:hint="eastAsia" w:ascii="仿宋" w:hAnsi="仿宋" w:eastAsia="仿宋" w:cs="Times New Roman"/>
              </w:rPr>
            </w:pPr>
          </w:p>
        </w:tc>
        <w:tc>
          <w:tcPr>
            <w:tcW w:w="2173" w:type="pct"/>
            <w:vAlign w:val="center"/>
          </w:tcPr>
          <w:p w14:paraId="1656871F">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37CF8B55">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16A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9B0AF9E">
            <w:pPr>
              <w:spacing w:line="500" w:lineRule="exact"/>
              <w:ind w:firstLine="566" w:firstLineChars="200"/>
              <w:rPr>
                <w:rFonts w:hint="eastAsia" w:ascii="仿宋" w:hAnsi="仿宋" w:eastAsia="仿宋" w:cs="Times New Roman"/>
              </w:rPr>
            </w:pPr>
          </w:p>
        </w:tc>
        <w:tc>
          <w:tcPr>
            <w:tcW w:w="2173" w:type="pct"/>
            <w:vAlign w:val="center"/>
          </w:tcPr>
          <w:p w14:paraId="7CD6F9F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327D44B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7802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39C5563">
            <w:pPr>
              <w:spacing w:line="500" w:lineRule="exact"/>
              <w:ind w:firstLine="566" w:firstLineChars="200"/>
              <w:rPr>
                <w:rFonts w:hint="eastAsia" w:ascii="仿宋" w:hAnsi="仿宋" w:eastAsia="仿宋" w:cs="Times New Roman"/>
              </w:rPr>
            </w:pPr>
          </w:p>
        </w:tc>
        <w:tc>
          <w:tcPr>
            <w:tcW w:w="2173" w:type="pct"/>
            <w:vAlign w:val="center"/>
          </w:tcPr>
          <w:p w14:paraId="399BE493">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470DD83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E4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7BC3820">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c>
        <w:tc>
          <w:tcPr>
            <w:tcW w:w="2173" w:type="pct"/>
            <w:vAlign w:val="center"/>
          </w:tcPr>
          <w:p w14:paraId="6D4246A2">
            <w:pPr>
              <w:spacing w:line="500" w:lineRule="exact"/>
              <w:ind w:firstLine="566" w:firstLineChars="200"/>
              <w:rPr>
                <w:rFonts w:hint="eastAsia" w:ascii="仿宋" w:hAnsi="仿宋" w:eastAsia="仿宋" w:cs="Times New Roman"/>
              </w:rPr>
            </w:pPr>
            <w:r>
              <w:rPr>
                <w:rFonts w:hint="eastAsia" w:ascii="仿宋" w:hAnsi="仿宋" w:eastAsia="仿宋" w:cs="Times New Roman"/>
              </w:rPr>
              <w:t>身份鉴别</w:t>
            </w:r>
          </w:p>
        </w:tc>
        <w:tc>
          <w:tcPr>
            <w:tcW w:w="1719" w:type="pct"/>
            <w:vAlign w:val="center"/>
          </w:tcPr>
          <w:p w14:paraId="52C7DDAE">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5D6D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039E50D">
            <w:pPr>
              <w:spacing w:line="500" w:lineRule="exact"/>
              <w:ind w:firstLine="566" w:firstLineChars="200"/>
              <w:rPr>
                <w:rFonts w:hint="eastAsia" w:ascii="仿宋" w:hAnsi="仿宋" w:eastAsia="仿宋" w:cs="Times New Roman"/>
              </w:rPr>
            </w:pPr>
          </w:p>
        </w:tc>
        <w:tc>
          <w:tcPr>
            <w:tcW w:w="2173" w:type="pct"/>
            <w:vAlign w:val="center"/>
          </w:tcPr>
          <w:p w14:paraId="47005030">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6D38E19C">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r>
      <w:tr w14:paraId="4BBE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E639BA">
            <w:pPr>
              <w:spacing w:line="500" w:lineRule="exact"/>
              <w:ind w:firstLine="566" w:firstLineChars="200"/>
              <w:rPr>
                <w:rFonts w:hint="eastAsia" w:ascii="仿宋" w:hAnsi="仿宋" w:eastAsia="仿宋" w:cs="Times New Roman"/>
              </w:rPr>
            </w:pPr>
          </w:p>
        </w:tc>
        <w:tc>
          <w:tcPr>
            <w:tcW w:w="2173" w:type="pct"/>
            <w:vAlign w:val="center"/>
          </w:tcPr>
          <w:p w14:paraId="4349E13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454EDB59">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C5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2160A1F">
            <w:pPr>
              <w:spacing w:line="500" w:lineRule="exact"/>
              <w:ind w:firstLine="566" w:firstLineChars="200"/>
              <w:rPr>
                <w:rFonts w:hint="eastAsia" w:ascii="仿宋" w:hAnsi="仿宋" w:eastAsia="仿宋" w:cs="Times New Roman"/>
              </w:rPr>
            </w:pPr>
          </w:p>
        </w:tc>
        <w:tc>
          <w:tcPr>
            <w:tcW w:w="2173" w:type="pct"/>
            <w:vAlign w:val="center"/>
          </w:tcPr>
          <w:p w14:paraId="322A28EF">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4F0CA44F">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r>
      <w:tr w14:paraId="07B8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B04EF7">
            <w:pPr>
              <w:spacing w:line="500" w:lineRule="exact"/>
              <w:ind w:firstLine="566" w:firstLineChars="200"/>
              <w:rPr>
                <w:rFonts w:hint="eastAsia" w:ascii="仿宋" w:hAnsi="仿宋" w:eastAsia="仿宋" w:cs="Times New Roman"/>
              </w:rPr>
            </w:pPr>
          </w:p>
        </w:tc>
        <w:tc>
          <w:tcPr>
            <w:tcW w:w="2173" w:type="pct"/>
            <w:vAlign w:val="center"/>
          </w:tcPr>
          <w:p w14:paraId="41B7BF7A">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0CA8AF4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F00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3C38317">
            <w:pPr>
              <w:spacing w:line="500" w:lineRule="exact"/>
              <w:ind w:firstLine="566" w:firstLineChars="200"/>
              <w:rPr>
                <w:rFonts w:hint="eastAsia" w:ascii="仿宋" w:hAnsi="仿宋" w:eastAsia="仿宋" w:cs="Times New Roman"/>
              </w:rPr>
            </w:pPr>
          </w:p>
        </w:tc>
        <w:tc>
          <w:tcPr>
            <w:tcW w:w="2173" w:type="pct"/>
            <w:vAlign w:val="center"/>
          </w:tcPr>
          <w:p w14:paraId="223F9A00">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035C7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1CE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A0951E">
            <w:pPr>
              <w:spacing w:line="500" w:lineRule="exact"/>
              <w:ind w:firstLine="566" w:firstLineChars="200"/>
              <w:rPr>
                <w:rFonts w:hint="eastAsia" w:ascii="仿宋" w:hAnsi="仿宋" w:eastAsia="仿宋" w:cs="Times New Roman"/>
              </w:rPr>
            </w:pPr>
          </w:p>
        </w:tc>
        <w:tc>
          <w:tcPr>
            <w:tcW w:w="2173" w:type="pct"/>
            <w:vAlign w:val="center"/>
          </w:tcPr>
          <w:p w14:paraId="4C0AAC38">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数据完整性</w:t>
            </w:r>
          </w:p>
        </w:tc>
        <w:tc>
          <w:tcPr>
            <w:tcW w:w="1719" w:type="pct"/>
            <w:vAlign w:val="center"/>
          </w:tcPr>
          <w:p w14:paraId="53BB5D1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BC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E1DBEC">
            <w:pPr>
              <w:spacing w:line="500" w:lineRule="exact"/>
              <w:ind w:firstLine="566" w:firstLineChars="200"/>
              <w:rPr>
                <w:rFonts w:hint="eastAsia" w:ascii="仿宋" w:hAnsi="仿宋" w:eastAsia="仿宋" w:cs="Times New Roman"/>
              </w:rPr>
            </w:pPr>
          </w:p>
        </w:tc>
        <w:tc>
          <w:tcPr>
            <w:tcW w:w="2173" w:type="pct"/>
            <w:vAlign w:val="center"/>
          </w:tcPr>
          <w:p w14:paraId="2A692685">
            <w:pPr>
              <w:spacing w:line="500" w:lineRule="exact"/>
              <w:ind w:firstLine="566" w:firstLineChars="200"/>
              <w:rPr>
                <w:rFonts w:hint="eastAsia" w:ascii="仿宋" w:hAnsi="仿宋" w:eastAsia="仿宋" w:cs="Times New Roman"/>
              </w:rPr>
            </w:pPr>
            <w:r>
              <w:rPr>
                <w:rFonts w:hint="eastAsia" w:ascii="仿宋" w:hAnsi="仿宋" w:eastAsia="仿宋" w:cs="Times New Roman"/>
              </w:rPr>
              <w:t>数据保密性</w:t>
            </w:r>
          </w:p>
        </w:tc>
        <w:tc>
          <w:tcPr>
            <w:tcW w:w="1719" w:type="pct"/>
            <w:vAlign w:val="center"/>
          </w:tcPr>
          <w:p w14:paraId="5FC0434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F8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A05C02">
            <w:pPr>
              <w:spacing w:line="500" w:lineRule="exact"/>
              <w:ind w:firstLine="566" w:firstLineChars="200"/>
              <w:rPr>
                <w:rFonts w:hint="eastAsia" w:ascii="仿宋" w:hAnsi="仿宋" w:eastAsia="仿宋" w:cs="Times New Roman"/>
              </w:rPr>
            </w:pPr>
          </w:p>
        </w:tc>
        <w:tc>
          <w:tcPr>
            <w:tcW w:w="2173" w:type="pct"/>
            <w:vAlign w:val="center"/>
          </w:tcPr>
          <w:p w14:paraId="28B9EE68">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数据备份恢复</w:t>
            </w:r>
          </w:p>
        </w:tc>
        <w:tc>
          <w:tcPr>
            <w:tcW w:w="1719" w:type="pct"/>
            <w:vAlign w:val="center"/>
          </w:tcPr>
          <w:p w14:paraId="0FD3E3DF">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04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2B43620">
            <w:pPr>
              <w:spacing w:line="500" w:lineRule="exact"/>
              <w:ind w:firstLine="566" w:firstLineChars="200"/>
              <w:rPr>
                <w:rFonts w:hint="eastAsia" w:ascii="仿宋" w:hAnsi="仿宋" w:eastAsia="仿宋" w:cs="Times New Roman"/>
              </w:rPr>
            </w:pPr>
          </w:p>
        </w:tc>
        <w:tc>
          <w:tcPr>
            <w:tcW w:w="2173" w:type="pct"/>
            <w:vAlign w:val="center"/>
          </w:tcPr>
          <w:p w14:paraId="6EF690B2">
            <w:pPr>
              <w:spacing w:line="500" w:lineRule="exact"/>
              <w:ind w:firstLine="566" w:firstLineChars="200"/>
              <w:rPr>
                <w:rFonts w:hint="eastAsia" w:ascii="仿宋" w:hAnsi="仿宋" w:eastAsia="仿宋" w:cs="Times New Roman"/>
              </w:rPr>
            </w:pPr>
            <w:r>
              <w:rPr>
                <w:rFonts w:hint="eastAsia" w:ascii="仿宋" w:hAnsi="仿宋" w:eastAsia="仿宋" w:cs="Times New Roman"/>
              </w:rPr>
              <w:t>剩余信息保护</w:t>
            </w:r>
          </w:p>
        </w:tc>
        <w:tc>
          <w:tcPr>
            <w:tcW w:w="1719" w:type="pct"/>
            <w:vAlign w:val="center"/>
          </w:tcPr>
          <w:p w14:paraId="50CAC7F6">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083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DA5160">
            <w:pPr>
              <w:spacing w:line="500" w:lineRule="exact"/>
              <w:ind w:firstLine="566" w:firstLineChars="200"/>
              <w:rPr>
                <w:rFonts w:hint="eastAsia" w:ascii="仿宋" w:hAnsi="仿宋" w:eastAsia="仿宋" w:cs="Times New Roman"/>
              </w:rPr>
            </w:pPr>
          </w:p>
        </w:tc>
        <w:tc>
          <w:tcPr>
            <w:tcW w:w="2173" w:type="pct"/>
            <w:vAlign w:val="center"/>
          </w:tcPr>
          <w:p w14:paraId="1C555DBA">
            <w:pPr>
              <w:spacing w:line="500" w:lineRule="exact"/>
              <w:ind w:firstLine="566" w:firstLineChars="200"/>
              <w:rPr>
                <w:rFonts w:hint="eastAsia" w:ascii="仿宋" w:hAnsi="仿宋" w:eastAsia="仿宋" w:cs="Times New Roman"/>
              </w:rPr>
            </w:pPr>
            <w:r>
              <w:rPr>
                <w:rFonts w:hint="eastAsia" w:ascii="仿宋" w:hAnsi="仿宋" w:eastAsia="仿宋" w:cs="Times New Roman"/>
              </w:rPr>
              <w:t>个人信息保护</w:t>
            </w:r>
          </w:p>
        </w:tc>
        <w:tc>
          <w:tcPr>
            <w:tcW w:w="1719" w:type="pct"/>
            <w:vAlign w:val="center"/>
          </w:tcPr>
          <w:p w14:paraId="2FF85C0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16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C6708B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w:t>
            </w:r>
          </w:p>
        </w:tc>
        <w:tc>
          <w:tcPr>
            <w:tcW w:w="2173" w:type="pct"/>
            <w:vAlign w:val="center"/>
          </w:tcPr>
          <w:p w14:paraId="5F8CDCC5">
            <w:pPr>
              <w:spacing w:line="500" w:lineRule="exact"/>
              <w:ind w:firstLine="566" w:firstLineChars="200"/>
              <w:rPr>
                <w:rFonts w:hint="eastAsia" w:ascii="仿宋" w:hAnsi="仿宋" w:eastAsia="仿宋" w:cs="Times New Roman"/>
              </w:rPr>
            </w:pPr>
            <w:r>
              <w:rPr>
                <w:rFonts w:hint="eastAsia" w:ascii="仿宋" w:hAnsi="仿宋" w:eastAsia="仿宋" w:cs="Times New Roman"/>
              </w:rPr>
              <w:t>系统管理</w:t>
            </w:r>
          </w:p>
        </w:tc>
        <w:tc>
          <w:tcPr>
            <w:tcW w:w="1719" w:type="pct"/>
            <w:vAlign w:val="center"/>
          </w:tcPr>
          <w:p w14:paraId="14F68E6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F87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8E5033F">
            <w:pPr>
              <w:spacing w:line="500" w:lineRule="exact"/>
              <w:ind w:firstLine="566" w:firstLineChars="200"/>
              <w:rPr>
                <w:rFonts w:hint="eastAsia" w:ascii="仿宋" w:hAnsi="仿宋" w:eastAsia="仿宋" w:cs="Times New Roman"/>
              </w:rPr>
            </w:pPr>
          </w:p>
        </w:tc>
        <w:tc>
          <w:tcPr>
            <w:tcW w:w="2173" w:type="pct"/>
            <w:vAlign w:val="center"/>
          </w:tcPr>
          <w:p w14:paraId="0F30E190">
            <w:pPr>
              <w:spacing w:line="500" w:lineRule="exact"/>
              <w:ind w:firstLine="566" w:firstLineChars="200"/>
              <w:rPr>
                <w:rFonts w:hint="eastAsia" w:ascii="仿宋" w:hAnsi="仿宋" w:eastAsia="仿宋" w:cs="Times New Roman"/>
              </w:rPr>
            </w:pPr>
            <w:r>
              <w:rPr>
                <w:rFonts w:hint="eastAsia" w:ascii="仿宋" w:hAnsi="仿宋" w:eastAsia="仿宋" w:cs="Times New Roman"/>
              </w:rPr>
              <w:t>审计管理</w:t>
            </w:r>
          </w:p>
        </w:tc>
        <w:tc>
          <w:tcPr>
            <w:tcW w:w="1719" w:type="pct"/>
            <w:vAlign w:val="center"/>
          </w:tcPr>
          <w:p w14:paraId="3604B9DC">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639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E85A862">
            <w:pPr>
              <w:spacing w:line="500" w:lineRule="exact"/>
              <w:ind w:firstLine="566" w:firstLineChars="200"/>
              <w:rPr>
                <w:rFonts w:hint="eastAsia" w:ascii="仿宋" w:hAnsi="仿宋" w:eastAsia="仿宋" w:cs="Times New Roman"/>
              </w:rPr>
            </w:pPr>
          </w:p>
        </w:tc>
        <w:tc>
          <w:tcPr>
            <w:tcW w:w="2173" w:type="pct"/>
            <w:vAlign w:val="center"/>
          </w:tcPr>
          <w:p w14:paraId="4E41C19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w:t>
            </w:r>
          </w:p>
        </w:tc>
        <w:tc>
          <w:tcPr>
            <w:tcW w:w="1719" w:type="pct"/>
            <w:vAlign w:val="center"/>
          </w:tcPr>
          <w:p w14:paraId="567B9DE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465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D38201A">
            <w:pPr>
              <w:spacing w:line="500" w:lineRule="exact"/>
              <w:ind w:firstLine="566" w:firstLineChars="200"/>
              <w:rPr>
                <w:rFonts w:hint="eastAsia" w:ascii="仿宋" w:hAnsi="仿宋" w:eastAsia="仿宋" w:cs="Times New Roman"/>
              </w:rPr>
            </w:pPr>
          </w:p>
        </w:tc>
        <w:tc>
          <w:tcPr>
            <w:tcW w:w="2173" w:type="pct"/>
            <w:vAlign w:val="center"/>
          </w:tcPr>
          <w:p w14:paraId="1DC6F25A">
            <w:pPr>
              <w:spacing w:line="500" w:lineRule="exact"/>
              <w:ind w:firstLine="566" w:firstLineChars="200"/>
              <w:rPr>
                <w:rFonts w:hint="eastAsia" w:ascii="仿宋" w:hAnsi="仿宋" w:eastAsia="仿宋" w:cs="Times New Roman"/>
              </w:rPr>
            </w:pPr>
            <w:r>
              <w:rPr>
                <w:rFonts w:hint="eastAsia" w:ascii="仿宋" w:hAnsi="仿宋" w:eastAsia="仿宋" w:cs="Times New Roman"/>
              </w:rPr>
              <w:t>集中管控</w:t>
            </w:r>
          </w:p>
        </w:tc>
        <w:tc>
          <w:tcPr>
            <w:tcW w:w="1719" w:type="pct"/>
            <w:vAlign w:val="center"/>
          </w:tcPr>
          <w:p w14:paraId="23F2A074">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r>
      <w:tr w14:paraId="1AA5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6AB7B6">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安全管理制度</w:t>
            </w:r>
          </w:p>
        </w:tc>
        <w:tc>
          <w:tcPr>
            <w:tcW w:w="2173" w:type="pct"/>
            <w:vAlign w:val="center"/>
          </w:tcPr>
          <w:p w14:paraId="318DA4B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安全策略</w:t>
            </w:r>
          </w:p>
        </w:tc>
        <w:tc>
          <w:tcPr>
            <w:tcW w:w="1719" w:type="pct"/>
            <w:vAlign w:val="center"/>
          </w:tcPr>
          <w:p w14:paraId="0CD743FC">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247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B2FBC74">
            <w:pPr>
              <w:spacing w:line="500" w:lineRule="exact"/>
              <w:ind w:firstLine="566" w:firstLineChars="200"/>
              <w:rPr>
                <w:rFonts w:hint="eastAsia" w:ascii="仿宋" w:hAnsi="仿宋" w:eastAsia="仿宋" w:cs="Times New Roman"/>
              </w:rPr>
            </w:pPr>
          </w:p>
        </w:tc>
        <w:tc>
          <w:tcPr>
            <w:tcW w:w="2173" w:type="pct"/>
            <w:vAlign w:val="center"/>
          </w:tcPr>
          <w:p w14:paraId="654C5888">
            <w:pPr>
              <w:spacing w:line="500" w:lineRule="exact"/>
              <w:ind w:firstLine="566" w:firstLineChars="200"/>
              <w:rPr>
                <w:rFonts w:hint="eastAsia" w:ascii="仿宋" w:hAnsi="仿宋" w:eastAsia="仿宋" w:cs="Times New Roman"/>
              </w:rPr>
            </w:pPr>
            <w:r>
              <w:rPr>
                <w:rFonts w:hint="eastAsia" w:ascii="仿宋" w:hAnsi="仿宋" w:eastAsia="仿宋" w:cs="Times New Roman"/>
              </w:rPr>
              <w:t>管理制度</w:t>
            </w:r>
          </w:p>
        </w:tc>
        <w:tc>
          <w:tcPr>
            <w:tcW w:w="1719" w:type="pct"/>
            <w:vAlign w:val="center"/>
          </w:tcPr>
          <w:p w14:paraId="1361014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BEA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455F81A">
            <w:pPr>
              <w:spacing w:line="500" w:lineRule="exact"/>
              <w:ind w:firstLine="566" w:firstLineChars="200"/>
              <w:rPr>
                <w:rFonts w:hint="eastAsia" w:ascii="仿宋" w:hAnsi="仿宋" w:eastAsia="仿宋" w:cs="Times New Roman"/>
              </w:rPr>
            </w:pPr>
          </w:p>
        </w:tc>
        <w:tc>
          <w:tcPr>
            <w:tcW w:w="2173" w:type="pct"/>
            <w:vAlign w:val="center"/>
          </w:tcPr>
          <w:p w14:paraId="68A83998">
            <w:pPr>
              <w:spacing w:line="500" w:lineRule="exact"/>
              <w:ind w:firstLine="566" w:firstLineChars="200"/>
              <w:rPr>
                <w:rFonts w:hint="eastAsia" w:ascii="仿宋" w:hAnsi="仿宋" w:eastAsia="仿宋" w:cs="Times New Roman"/>
              </w:rPr>
            </w:pPr>
            <w:r>
              <w:rPr>
                <w:rFonts w:hint="eastAsia" w:ascii="仿宋" w:hAnsi="仿宋" w:eastAsia="仿宋" w:cs="Times New Roman"/>
              </w:rPr>
              <w:t>制定和发布</w:t>
            </w:r>
          </w:p>
        </w:tc>
        <w:tc>
          <w:tcPr>
            <w:tcW w:w="1719" w:type="pct"/>
            <w:vAlign w:val="center"/>
          </w:tcPr>
          <w:p w14:paraId="1DCF2512">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F59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ADD746">
            <w:pPr>
              <w:spacing w:line="500" w:lineRule="exact"/>
              <w:ind w:firstLine="566" w:firstLineChars="200"/>
              <w:rPr>
                <w:rFonts w:hint="eastAsia" w:ascii="仿宋" w:hAnsi="仿宋" w:eastAsia="仿宋" w:cs="Times New Roman"/>
              </w:rPr>
            </w:pPr>
          </w:p>
        </w:tc>
        <w:tc>
          <w:tcPr>
            <w:tcW w:w="2173" w:type="pct"/>
            <w:vAlign w:val="center"/>
          </w:tcPr>
          <w:p w14:paraId="2F98473F">
            <w:pPr>
              <w:spacing w:line="500" w:lineRule="exact"/>
              <w:ind w:firstLine="566" w:firstLineChars="200"/>
              <w:rPr>
                <w:rFonts w:hint="eastAsia" w:ascii="仿宋" w:hAnsi="仿宋" w:eastAsia="仿宋" w:cs="Times New Roman"/>
              </w:rPr>
            </w:pPr>
            <w:r>
              <w:rPr>
                <w:rFonts w:hint="eastAsia" w:ascii="仿宋" w:hAnsi="仿宋" w:eastAsia="仿宋" w:cs="Times New Roman"/>
              </w:rPr>
              <w:t>评审和修订</w:t>
            </w:r>
          </w:p>
        </w:tc>
        <w:tc>
          <w:tcPr>
            <w:tcW w:w="1719" w:type="pct"/>
            <w:vAlign w:val="center"/>
          </w:tcPr>
          <w:p w14:paraId="68203276">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A6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DC11B8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c>
        <w:tc>
          <w:tcPr>
            <w:tcW w:w="2173" w:type="pct"/>
            <w:vAlign w:val="center"/>
          </w:tcPr>
          <w:p w14:paraId="06885277">
            <w:pPr>
              <w:spacing w:line="500" w:lineRule="exact"/>
              <w:ind w:firstLine="566" w:firstLineChars="200"/>
              <w:rPr>
                <w:rFonts w:hint="eastAsia" w:ascii="仿宋" w:hAnsi="仿宋" w:eastAsia="仿宋" w:cs="Times New Roman"/>
              </w:rPr>
            </w:pPr>
            <w:r>
              <w:rPr>
                <w:rFonts w:hint="eastAsia" w:ascii="仿宋" w:hAnsi="仿宋" w:eastAsia="仿宋" w:cs="Times New Roman"/>
              </w:rPr>
              <w:t>岗位设置</w:t>
            </w:r>
          </w:p>
        </w:tc>
        <w:tc>
          <w:tcPr>
            <w:tcW w:w="1719" w:type="pct"/>
            <w:vAlign w:val="center"/>
          </w:tcPr>
          <w:p w14:paraId="330D363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08E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6DDE6A5">
            <w:pPr>
              <w:spacing w:line="500" w:lineRule="exact"/>
              <w:ind w:firstLine="566" w:firstLineChars="200"/>
              <w:rPr>
                <w:rFonts w:hint="eastAsia" w:ascii="仿宋" w:hAnsi="仿宋" w:eastAsia="仿宋" w:cs="Times New Roman"/>
              </w:rPr>
            </w:pPr>
          </w:p>
        </w:tc>
        <w:tc>
          <w:tcPr>
            <w:tcW w:w="2173" w:type="pct"/>
            <w:vAlign w:val="center"/>
          </w:tcPr>
          <w:p w14:paraId="4FB51740">
            <w:pPr>
              <w:spacing w:line="500" w:lineRule="exact"/>
              <w:ind w:firstLine="566" w:firstLineChars="200"/>
              <w:rPr>
                <w:rFonts w:hint="eastAsia" w:ascii="仿宋" w:hAnsi="仿宋" w:eastAsia="仿宋" w:cs="Times New Roman"/>
              </w:rPr>
            </w:pPr>
            <w:r>
              <w:rPr>
                <w:rFonts w:hint="eastAsia" w:ascii="仿宋" w:hAnsi="仿宋" w:eastAsia="仿宋" w:cs="Times New Roman"/>
              </w:rPr>
              <w:t>人员配备</w:t>
            </w:r>
          </w:p>
        </w:tc>
        <w:tc>
          <w:tcPr>
            <w:tcW w:w="1719" w:type="pct"/>
            <w:vAlign w:val="center"/>
          </w:tcPr>
          <w:p w14:paraId="16A8822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9A4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2B3340">
            <w:pPr>
              <w:spacing w:line="500" w:lineRule="exact"/>
              <w:ind w:firstLine="566" w:firstLineChars="200"/>
              <w:rPr>
                <w:rFonts w:hint="eastAsia" w:ascii="仿宋" w:hAnsi="仿宋" w:eastAsia="仿宋" w:cs="Times New Roman"/>
              </w:rPr>
            </w:pPr>
          </w:p>
        </w:tc>
        <w:tc>
          <w:tcPr>
            <w:tcW w:w="2173" w:type="pct"/>
            <w:vAlign w:val="center"/>
          </w:tcPr>
          <w:p w14:paraId="7DDD13D2">
            <w:pPr>
              <w:spacing w:line="500" w:lineRule="exact"/>
              <w:ind w:firstLine="566" w:firstLineChars="200"/>
              <w:rPr>
                <w:rFonts w:hint="eastAsia" w:ascii="仿宋" w:hAnsi="仿宋" w:eastAsia="仿宋" w:cs="Times New Roman"/>
              </w:rPr>
            </w:pPr>
            <w:r>
              <w:rPr>
                <w:rFonts w:hint="eastAsia" w:ascii="仿宋" w:hAnsi="仿宋" w:eastAsia="仿宋" w:cs="Times New Roman"/>
              </w:rPr>
              <w:t>授权和审批</w:t>
            </w:r>
          </w:p>
        </w:tc>
        <w:tc>
          <w:tcPr>
            <w:tcW w:w="1719" w:type="pct"/>
            <w:vAlign w:val="center"/>
          </w:tcPr>
          <w:p w14:paraId="01CDD25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FD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29D20DB">
            <w:pPr>
              <w:spacing w:line="500" w:lineRule="exact"/>
              <w:ind w:firstLine="566" w:firstLineChars="200"/>
              <w:rPr>
                <w:rFonts w:hint="eastAsia" w:ascii="仿宋" w:hAnsi="仿宋" w:eastAsia="仿宋" w:cs="Times New Roman"/>
              </w:rPr>
            </w:pPr>
          </w:p>
        </w:tc>
        <w:tc>
          <w:tcPr>
            <w:tcW w:w="2173" w:type="pct"/>
            <w:vAlign w:val="center"/>
          </w:tcPr>
          <w:p w14:paraId="2FBF0A58">
            <w:pPr>
              <w:spacing w:line="500" w:lineRule="exact"/>
              <w:ind w:firstLine="566" w:firstLineChars="200"/>
              <w:rPr>
                <w:rFonts w:hint="eastAsia" w:ascii="仿宋" w:hAnsi="仿宋" w:eastAsia="仿宋" w:cs="Times New Roman"/>
              </w:rPr>
            </w:pPr>
            <w:r>
              <w:rPr>
                <w:rFonts w:hint="eastAsia" w:ascii="仿宋" w:hAnsi="仿宋" w:eastAsia="仿宋" w:cs="Times New Roman"/>
              </w:rPr>
              <w:t>沟通和合作</w:t>
            </w:r>
          </w:p>
        </w:tc>
        <w:tc>
          <w:tcPr>
            <w:tcW w:w="1719" w:type="pct"/>
            <w:vAlign w:val="center"/>
          </w:tcPr>
          <w:p w14:paraId="32F5F7FC">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0CB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BC6E61C">
            <w:pPr>
              <w:spacing w:line="500" w:lineRule="exact"/>
              <w:ind w:firstLine="566" w:firstLineChars="200"/>
              <w:rPr>
                <w:rFonts w:hint="eastAsia" w:ascii="仿宋" w:hAnsi="仿宋" w:eastAsia="仿宋" w:cs="Times New Roman"/>
              </w:rPr>
            </w:pPr>
          </w:p>
        </w:tc>
        <w:tc>
          <w:tcPr>
            <w:tcW w:w="2173" w:type="pct"/>
            <w:vAlign w:val="center"/>
          </w:tcPr>
          <w:p w14:paraId="7B950C05">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审核和检查</w:t>
            </w:r>
          </w:p>
        </w:tc>
        <w:tc>
          <w:tcPr>
            <w:tcW w:w="1719" w:type="pct"/>
            <w:vAlign w:val="center"/>
          </w:tcPr>
          <w:p w14:paraId="218FC49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87A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346D32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c>
        <w:tc>
          <w:tcPr>
            <w:tcW w:w="2173" w:type="pct"/>
            <w:vAlign w:val="center"/>
          </w:tcPr>
          <w:p w14:paraId="080FDA44">
            <w:pPr>
              <w:spacing w:line="500" w:lineRule="exact"/>
              <w:ind w:firstLine="566" w:firstLineChars="200"/>
              <w:rPr>
                <w:rFonts w:hint="eastAsia" w:ascii="仿宋" w:hAnsi="仿宋" w:eastAsia="仿宋" w:cs="Times New Roman"/>
              </w:rPr>
            </w:pPr>
            <w:r>
              <w:rPr>
                <w:rFonts w:hint="eastAsia" w:ascii="仿宋" w:hAnsi="仿宋" w:eastAsia="仿宋" w:cs="Times New Roman"/>
              </w:rPr>
              <w:t>人员录用</w:t>
            </w:r>
          </w:p>
        </w:tc>
        <w:tc>
          <w:tcPr>
            <w:tcW w:w="1719" w:type="pct"/>
            <w:vAlign w:val="center"/>
          </w:tcPr>
          <w:p w14:paraId="7C6A1F8A">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4D6A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8A6692">
            <w:pPr>
              <w:spacing w:line="500" w:lineRule="exact"/>
              <w:ind w:firstLine="566" w:firstLineChars="200"/>
              <w:rPr>
                <w:rFonts w:hint="eastAsia" w:ascii="仿宋" w:hAnsi="仿宋" w:eastAsia="仿宋" w:cs="Times New Roman"/>
              </w:rPr>
            </w:pPr>
          </w:p>
        </w:tc>
        <w:tc>
          <w:tcPr>
            <w:tcW w:w="2173" w:type="pct"/>
            <w:vAlign w:val="center"/>
          </w:tcPr>
          <w:p w14:paraId="5C28FDC4">
            <w:pPr>
              <w:spacing w:line="500" w:lineRule="exact"/>
              <w:ind w:firstLine="566" w:firstLineChars="200"/>
              <w:rPr>
                <w:rFonts w:hint="eastAsia" w:ascii="仿宋" w:hAnsi="仿宋" w:eastAsia="仿宋" w:cs="Times New Roman"/>
              </w:rPr>
            </w:pPr>
            <w:r>
              <w:rPr>
                <w:rFonts w:hint="eastAsia" w:ascii="仿宋" w:hAnsi="仿宋" w:eastAsia="仿宋" w:cs="Times New Roman"/>
              </w:rPr>
              <w:t>人员离岗</w:t>
            </w:r>
          </w:p>
        </w:tc>
        <w:tc>
          <w:tcPr>
            <w:tcW w:w="1719" w:type="pct"/>
            <w:vAlign w:val="center"/>
          </w:tcPr>
          <w:p w14:paraId="03199B4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1C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9E2B408">
            <w:pPr>
              <w:spacing w:line="500" w:lineRule="exact"/>
              <w:ind w:firstLine="566" w:firstLineChars="200"/>
              <w:rPr>
                <w:rFonts w:hint="eastAsia" w:ascii="仿宋" w:hAnsi="仿宋" w:eastAsia="仿宋" w:cs="Times New Roman"/>
              </w:rPr>
            </w:pPr>
          </w:p>
        </w:tc>
        <w:tc>
          <w:tcPr>
            <w:tcW w:w="2173" w:type="pct"/>
            <w:vAlign w:val="center"/>
          </w:tcPr>
          <w:p w14:paraId="2878D73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安全意识和教育培训</w:t>
            </w:r>
          </w:p>
        </w:tc>
        <w:tc>
          <w:tcPr>
            <w:tcW w:w="1719" w:type="pct"/>
            <w:vAlign w:val="center"/>
          </w:tcPr>
          <w:p w14:paraId="22257A3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9D4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39E44A2">
            <w:pPr>
              <w:spacing w:line="500" w:lineRule="exact"/>
              <w:ind w:firstLine="566" w:firstLineChars="200"/>
              <w:rPr>
                <w:rFonts w:hint="eastAsia" w:ascii="仿宋" w:hAnsi="仿宋" w:eastAsia="仿宋" w:cs="Times New Roman"/>
              </w:rPr>
            </w:pPr>
          </w:p>
        </w:tc>
        <w:tc>
          <w:tcPr>
            <w:tcW w:w="2173" w:type="pct"/>
            <w:vAlign w:val="center"/>
          </w:tcPr>
          <w:p w14:paraId="735D1B4A">
            <w:pPr>
              <w:spacing w:line="500" w:lineRule="exact"/>
              <w:ind w:firstLine="566" w:firstLineChars="200"/>
              <w:rPr>
                <w:rFonts w:hint="eastAsia" w:ascii="仿宋" w:hAnsi="仿宋" w:eastAsia="仿宋" w:cs="Times New Roman"/>
              </w:rPr>
            </w:pPr>
            <w:r>
              <w:rPr>
                <w:rFonts w:hint="eastAsia" w:ascii="仿宋" w:hAnsi="仿宋" w:eastAsia="仿宋" w:cs="Times New Roman"/>
              </w:rPr>
              <w:t>外部人员访问管理</w:t>
            </w:r>
          </w:p>
        </w:tc>
        <w:tc>
          <w:tcPr>
            <w:tcW w:w="1719" w:type="pct"/>
            <w:vAlign w:val="center"/>
          </w:tcPr>
          <w:p w14:paraId="3C60DF4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7BCD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80696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2173" w:type="pct"/>
            <w:vAlign w:val="center"/>
          </w:tcPr>
          <w:p w14:paraId="1A1B2E7B">
            <w:pPr>
              <w:spacing w:line="500" w:lineRule="exact"/>
              <w:ind w:firstLine="566" w:firstLineChars="200"/>
              <w:rPr>
                <w:rFonts w:hint="eastAsia" w:ascii="仿宋" w:hAnsi="仿宋" w:eastAsia="仿宋" w:cs="Times New Roman"/>
              </w:rPr>
            </w:pPr>
            <w:r>
              <w:rPr>
                <w:rFonts w:hint="eastAsia" w:ascii="仿宋" w:hAnsi="仿宋" w:eastAsia="仿宋" w:cs="Times New Roman"/>
              </w:rPr>
              <w:t>定级和备案</w:t>
            </w:r>
          </w:p>
        </w:tc>
        <w:tc>
          <w:tcPr>
            <w:tcW w:w="1719" w:type="pct"/>
            <w:vAlign w:val="center"/>
          </w:tcPr>
          <w:p w14:paraId="45A169E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232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EA9C2B0">
            <w:pPr>
              <w:spacing w:line="500" w:lineRule="exact"/>
              <w:ind w:firstLine="566" w:firstLineChars="200"/>
              <w:rPr>
                <w:rFonts w:hint="eastAsia" w:ascii="仿宋" w:hAnsi="仿宋" w:eastAsia="仿宋" w:cs="Times New Roman"/>
              </w:rPr>
            </w:pPr>
          </w:p>
        </w:tc>
        <w:tc>
          <w:tcPr>
            <w:tcW w:w="2173" w:type="pct"/>
            <w:vAlign w:val="center"/>
          </w:tcPr>
          <w:p w14:paraId="5984B0B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安全方案设计</w:t>
            </w:r>
          </w:p>
        </w:tc>
        <w:tc>
          <w:tcPr>
            <w:tcW w:w="1719" w:type="pct"/>
            <w:vAlign w:val="center"/>
          </w:tcPr>
          <w:p w14:paraId="795FF52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38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3E1F9D">
            <w:pPr>
              <w:spacing w:line="500" w:lineRule="exact"/>
              <w:ind w:firstLine="566" w:firstLineChars="200"/>
              <w:rPr>
                <w:rFonts w:hint="eastAsia" w:ascii="仿宋" w:hAnsi="仿宋" w:eastAsia="仿宋" w:cs="Times New Roman"/>
              </w:rPr>
            </w:pPr>
          </w:p>
        </w:tc>
        <w:tc>
          <w:tcPr>
            <w:tcW w:w="2173" w:type="pct"/>
            <w:vAlign w:val="center"/>
          </w:tcPr>
          <w:p w14:paraId="0DF3705C">
            <w:pPr>
              <w:spacing w:line="500" w:lineRule="exact"/>
              <w:ind w:firstLine="566" w:firstLineChars="200"/>
              <w:rPr>
                <w:rFonts w:hint="eastAsia" w:ascii="仿宋" w:hAnsi="仿宋" w:eastAsia="仿宋" w:cs="Times New Roman"/>
              </w:rPr>
            </w:pPr>
            <w:r>
              <w:rPr>
                <w:rFonts w:hint="eastAsia" w:ascii="仿宋" w:hAnsi="仿宋" w:eastAsia="仿宋" w:cs="Times New Roman"/>
              </w:rPr>
              <w:t>产品采购和使用</w:t>
            </w:r>
          </w:p>
        </w:tc>
        <w:tc>
          <w:tcPr>
            <w:tcW w:w="1719" w:type="pct"/>
            <w:vAlign w:val="center"/>
          </w:tcPr>
          <w:p w14:paraId="4068F90A">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00C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21C77F7">
            <w:pPr>
              <w:spacing w:line="500" w:lineRule="exact"/>
              <w:ind w:firstLine="566" w:firstLineChars="200"/>
              <w:rPr>
                <w:rFonts w:hint="eastAsia" w:ascii="仿宋" w:hAnsi="仿宋" w:eastAsia="仿宋" w:cs="Times New Roman"/>
              </w:rPr>
            </w:pPr>
          </w:p>
        </w:tc>
        <w:tc>
          <w:tcPr>
            <w:tcW w:w="2173" w:type="pct"/>
            <w:vAlign w:val="center"/>
          </w:tcPr>
          <w:p w14:paraId="167D4C6C">
            <w:pPr>
              <w:spacing w:line="500" w:lineRule="exact"/>
              <w:ind w:firstLine="566" w:firstLineChars="200"/>
              <w:rPr>
                <w:rFonts w:hint="eastAsia" w:ascii="仿宋" w:hAnsi="仿宋" w:eastAsia="仿宋" w:cs="Times New Roman"/>
              </w:rPr>
            </w:pPr>
            <w:r>
              <w:rPr>
                <w:rFonts w:hint="eastAsia" w:ascii="仿宋" w:hAnsi="仿宋" w:eastAsia="仿宋" w:cs="Times New Roman"/>
              </w:rPr>
              <w:t>自行软件开发</w:t>
            </w:r>
          </w:p>
        </w:tc>
        <w:tc>
          <w:tcPr>
            <w:tcW w:w="1719" w:type="pct"/>
            <w:vAlign w:val="center"/>
          </w:tcPr>
          <w:p w14:paraId="28E25531">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r>
      <w:tr w14:paraId="313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DD09F4F">
            <w:pPr>
              <w:spacing w:line="500" w:lineRule="exact"/>
              <w:ind w:firstLine="566" w:firstLineChars="200"/>
              <w:rPr>
                <w:rFonts w:hint="eastAsia" w:ascii="仿宋" w:hAnsi="仿宋" w:eastAsia="仿宋" w:cs="Times New Roman"/>
              </w:rPr>
            </w:pPr>
          </w:p>
        </w:tc>
        <w:tc>
          <w:tcPr>
            <w:tcW w:w="2173" w:type="pct"/>
            <w:vAlign w:val="center"/>
          </w:tcPr>
          <w:p w14:paraId="25E18B75">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外包软件开发</w:t>
            </w:r>
          </w:p>
        </w:tc>
        <w:tc>
          <w:tcPr>
            <w:tcW w:w="1719" w:type="pct"/>
            <w:vAlign w:val="center"/>
          </w:tcPr>
          <w:p w14:paraId="2273DFD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92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B059D44">
            <w:pPr>
              <w:spacing w:line="500" w:lineRule="exact"/>
              <w:ind w:firstLine="566" w:firstLineChars="200"/>
              <w:rPr>
                <w:rFonts w:hint="eastAsia" w:ascii="仿宋" w:hAnsi="仿宋" w:eastAsia="仿宋" w:cs="Times New Roman"/>
              </w:rPr>
            </w:pPr>
          </w:p>
        </w:tc>
        <w:tc>
          <w:tcPr>
            <w:tcW w:w="2173" w:type="pct"/>
            <w:vAlign w:val="center"/>
          </w:tcPr>
          <w:p w14:paraId="7D47FF87">
            <w:pPr>
              <w:spacing w:line="500" w:lineRule="exact"/>
              <w:ind w:firstLine="566" w:firstLineChars="200"/>
              <w:rPr>
                <w:rFonts w:hint="eastAsia" w:ascii="仿宋" w:hAnsi="仿宋" w:eastAsia="仿宋" w:cs="Times New Roman"/>
              </w:rPr>
            </w:pPr>
            <w:r>
              <w:rPr>
                <w:rFonts w:hint="eastAsia" w:ascii="仿宋" w:hAnsi="仿宋" w:eastAsia="仿宋" w:cs="Times New Roman"/>
              </w:rPr>
              <w:t>工程实施</w:t>
            </w:r>
          </w:p>
        </w:tc>
        <w:tc>
          <w:tcPr>
            <w:tcW w:w="1719" w:type="pct"/>
            <w:vAlign w:val="center"/>
          </w:tcPr>
          <w:p w14:paraId="3A8D90C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831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8B214BE">
            <w:pPr>
              <w:spacing w:line="500" w:lineRule="exact"/>
              <w:ind w:firstLine="566" w:firstLineChars="200"/>
              <w:rPr>
                <w:rFonts w:hint="eastAsia" w:ascii="仿宋" w:hAnsi="仿宋" w:eastAsia="仿宋" w:cs="Times New Roman"/>
              </w:rPr>
            </w:pPr>
          </w:p>
        </w:tc>
        <w:tc>
          <w:tcPr>
            <w:tcW w:w="2173" w:type="pct"/>
            <w:vAlign w:val="center"/>
          </w:tcPr>
          <w:p w14:paraId="045457C5">
            <w:pPr>
              <w:spacing w:line="500" w:lineRule="exact"/>
              <w:ind w:firstLine="566" w:firstLineChars="200"/>
              <w:rPr>
                <w:rFonts w:hint="eastAsia" w:ascii="仿宋" w:hAnsi="仿宋" w:eastAsia="仿宋" w:cs="Times New Roman"/>
              </w:rPr>
            </w:pPr>
            <w:r>
              <w:rPr>
                <w:rFonts w:hint="eastAsia" w:ascii="仿宋" w:hAnsi="仿宋" w:eastAsia="仿宋" w:cs="Times New Roman"/>
              </w:rPr>
              <w:t>测试验收</w:t>
            </w:r>
          </w:p>
        </w:tc>
        <w:tc>
          <w:tcPr>
            <w:tcW w:w="1719" w:type="pct"/>
            <w:vAlign w:val="center"/>
          </w:tcPr>
          <w:p w14:paraId="0F52C35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DD2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35E8BB">
            <w:pPr>
              <w:spacing w:line="500" w:lineRule="exact"/>
              <w:ind w:firstLine="566" w:firstLineChars="200"/>
              <w:rPr>
                <w:rFonts w:hint="eastAsia" w:ascii="仿宋" w:hAnsi="仿宋" w:eastAsia="仿宋" w:cs="Times New Roman"/>
              </w:rPr>
            </w:pPr>
          </w:p>
        </w:tc>
        <w:tc>
          <w:tcPr>
            <w:tcW w:w="2173" w:type="pct"/>
            <w:vAlign w:val="center"/>
          </w:tcPr>
          <w:p w14:paraId="051C3B69">
            <w:pPr>
              <w:spacing w:line="500" w:lineRule="exact"/>
              <w:ind w:firstLine="566" w:firstLineChars="200"/>
              <w:rPr>
                <w:rFonts w:hint="eastAsia" w:ascii="仿宋" w:hAnsi="仿宋" w:eastAsia="仿宋" w:cs="Times New Roman"/>
              </w:rPr>
            </w:pPr>
            <w:r>
              <w:rPr>
                <w:rFonts w:hint="eastAsia" w:ascii="仿宋" w:hAnsi="仿宋" w:eastAsia="仿宋" w:cs="Times New Roman"/>
              </w:rPr>
              <w:t>系统交付</w:t>
            </w:r>
          </w:p>
        </w:tc>
        <w:tc>
          <w:tcPr>
            <w:tcW w:w="1719" w:type="pct"/>
            <w:vAlign w:val="center"/>
          </w:tcPr>
          <w:p w14:paraId="7675AFBB">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7D9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AD32A11">
            <w:pPr>
              <w:spacing w:line="500" w:lineRule="exact"/>
              <w:ind w:firstLine="566" w:firstLineChars="200"/>
              <w:rPr>
                <w:rFonts w:hint="eastAsia" w:ascii="仿宋" w:hAnsi="仿宋" w:eastAsia="仿宋" w:cs="Times New Roman"/>
              </w:rPr>
            </w:pPr>
          </w:p>
        </w:tc>
        <w:tc>
          <w:tcPr>
            <w:tcW w:w="2173" w:type="pct"/>
            <w:vAlign w:val="center"/>
          </w:tcPr>
          <w:p w14:paraId="3BD13571">
            <w:pPr>
              <w:spacing w:line="500" w:lineRule="exact"/>
              <w:ind w:firstLine="566" w:firstLineChars="200"/>
              <w:rPr>
                <w:rFonts w:hint="eastAsia" w:ascii="仿宋" w:hAnsi="仿宋" w:eastAsia="仿宋" w:cs="Times New Roman"/>
              </w:rPr>
            </w:pPr>
            <w:r>
              <w:rPr>
                <w:rFonts w:hint="eastAsia" w:ascii="仿宋" w:hAnsi="仿宋" w:eastAsia="仿宋" w:cs="Times New Roman"/>
              </w:rPr>
              <w:t>等级测评</w:t>
            </w:r>
          </w:p>
        </w:tc>
        <w:tc>
          <w:tcPr>
            <w:tcW w:w="1719" w:type="pct"/>
            <w:vAlign w:val="center"/>
          </w:tcPr>
          <w:p w14:paraId="74135D0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F2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1F9F17C">
            <w:pPr>
              <w:spacing w:line="500" w:lineRule="exact"/>
              <w:ind w:firstLine="566" w:firstLineChars="200"/>
              <w:rPr>
                <w:rFonts w:hint="eastAsia" w:ascii="仿宋" w:hAnsi="仿宋" w:eastAsia="仿宋" w:cs="Times New Roman"/>
              </w:rPr>
            </w:pPr>
          </w:p>
        </w:tc>
        <w:tc>
          <w:tcPr>
            <w:tcW w:w="2173" w:type="pct"/>
            <w:vAlign w:val="center"/>
          </w:tcPr>
          <w:p w14:paraId="0A2363F6">
            <w:pPr>
              <w:spacing w:line="500" w:lineRule="exact"/>
              <w:ind w:firstLine="566" w:firstLineChars="200"/>
              <w:rPr>
                <w:rFonts w:hint="eastAsia" w:ascii="仿宋" w:hAnsi="仿宋" w:eastAsia="仿宋" w:cs="Times New Roman"/>
              </w:rPr>
            </w:pPr>
            <w:r>
              <w:rPr>
                <w:rFonts w:hint="eastAsia" w:ascii="仿宋" w:hAnsi="仿宋" w:eastAsia="仿宋" w:cs="Times New Roman"/>
              </w:rPr>
              <w:t>服务供应商管理</w:t>
            </w:r>
          </w:p>
        </w:tc>
        <w:tc>
          <w:tcPr>
            <w:tcW w:w="1719" w:type="pct"/>
            <w:vAlign w:val="center"/>
          </w:tcPr>
          <w:p w14:paraId="6BB16CE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173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C3975F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安全管理运维</w:t>
            </w:r>
          </w:p>
        </w:tc>
        <w:tc>
          <w:tcPr>
            <w:tcW w:w="2173" w:type="pct"/>
            <w:vAlign w:val="center"/>
          </w:tcPr>
          <w:p w14:paraId="7F15AE2E">
            <w:pPr>
              <w:spacing w:line="500" w:lineRule="exact"/>
              <w:ind w:firstLine="566" w:firstLineChars="200"/>
              <w:rPr>
                <w:rFonts w:hint="eastAsia" w:ascii="仿宋" w:hAnsi="仿宋" w:eastAsia="仿宋" w:cs="Times New Roman"/>
              </w:rPr>
            </w:pPr>
            <w:r>
              <w:rPr>
                <w:rFonts w:hint="eastAsia" w:ascii="仿宋" w:hAnsi="仿宋" w:eastAsia="仿宋" w:cs="Times New Roman"/>
              </w:rPr>
              <w:t>环境管理</w:t>
            </w:r>
          </w:p>
        </w:tc>
        <w:tc>
          <w:tcPr>
            <w:tcW w:w="1719" w:type="pct"/>
            <w:vAlign w:val="center"/>
          </w:tcPr>
          <w:p w14:paraId="4E75BD3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F26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6950E83">
            <w:pPr>
              <w:spacing w:line="500" w:lineRule="exact"/>
              <w:ind w:firstLine="566" w:firstLineChars="200"/>
              <w:rPr>
                <w:rFonts w:hint="eastAsia" w:ascii="仿宋" w:hAnsi="仿宋" w:eastAsia="仿宋" w:cs="Times New Roman"/>
              </w:rPr>
            </w:pPr>
          </w:p>
        </w:tc>
        <w:tc>
          <w:tcPr>
            <w:tcW w:w="2173" w:type="pct"/>
            <w:vAlign w:val="center"/>
          </w:tcPr>
          <w:p w14:paraId="4F09A7CC">
            <w:pPr>
              <w:spacing w:line="500" w:lineRule="exact"/>
              <w:ind w:firstLine="566" w:firstLineChars="200"/>
              <w:rPr>
                <w:rFonts w:hint="eastAsia" w:ascii="仿宋" w:hAnsi="仿宋" w:eastAsia="仿宋" w:cs="Times New Roman"/>
              </w:rPr>
            </w:pPr>
            <w:r>
              <w:rPr>
                <w:rFonts w:hint="eastAsia" w:ascii="仿宋" w:hAnsi="仿宋" w:eastAsia="仿宋" w:cs="Times New Roman"/>
              </w:rPr>
              <w:t>资产管理</w:t>
            </w:r>
          </w:p>
        </w:tc>
        <w:tc>
          <w:tcPr>
            <w:tcW w:w="1719" w:type="pct"/>
            <w:vAlign w:val="center"/>
          </w:tcPr>
          <w:p w14:paraId="0240FA6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41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7F16829">
            <w:pPr>
              <w:spacing w:line="500" w:lineRule="exact"/>
              <w:ind w:firstLine="566" w:firstLineChars="200"/>
              <w:rPr>
                <w:rFonts w:hint="eastAsia" w:ascii="仿宋" w:hAnsi="仿宋" w:eastAsia="仿宋" w:cs="Times New Roman"/>
              </w:rPr>
            </w:pPr>
          </w:p>
        </w:tc>
        <w:tc>
          <w:tcPr>
            <w:tcW w:w="2173" w:type="pct"/>
            <w:vAlign w:val="center"/>
          </w:tcPr>
          <w:p w14:paraId="526E324E">
            <w:pPr>
              <w:spacing w:line="500" w:lineRule="exact"/>
              <w:ind w:firstLine="566" w:firstLineChars="200"/>
              <w:rPr>
                <w:rFonts w:hint="eastAsia" w:ascii="仿宋" w:hAnsi="仿宋" w:eastAsia="仿宋" w:cs="Times New Roman"/>
              </w:rPr>
            </w:pPr>
            <w:r>
              <w:rPr>
                <w:rFonts w:hint="eastAsia" w:ascii="仿宋" w:hAnsi="仿宋" w:eastAsia="仿宋" w:cs="Times New Roman"/>
              </w:rPr>
              <w:t>介质管理</w:t>
            </w:r>
          </w:p>
        </w:tc>
        <w:tc>
          <w:tcPr>
            <w:tcW w:w="1719" w:type="pct"/>
            <w:vAlign w:val="center"/>
          </w:tcPr>
          <w:p w14:paraId="41C7B8A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DD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DCB1DF">
            <w:pPr>
              <w:spacing w:line="500" w:lineRule="exact"/>
              <w:ind w:firstLine="566" w:firstLineChars="200"/>
              <w:rPr>
                <w:rFonts w:hint="eastAsia" w:ascii="仿宋" w:hAnsi="仿宋" w:eastAsia="仿宋" w:cs="Times New Roman"/>
              </w:rPr>
            </w:pPr>
          </w:p>
        </w:tc>
        <w:tc>
          <w:tcPr>
            <w:tcW w:w="2173" w:type="pct"/>
            <w:vAlign w:val="center"/>
          </w:tcPr>
          <w:p w14:paraId="11099B55">
            <w:pPr>
              <w:spacing w:line="500" w:lineRule="exact"/>
              <w:ind w:firstLine="566" w:firstLineChars="200"/>
              <w:rPr>
                <w:rFonts w:hint="eastAsia" w:ascii="仿宋" w:hAnsi="仿宋" w:eastAsia="仿宋" w:cs="Times New Roman"/>
              </w:rPr>
            </w:pPr>
            <w:r>
              <w:rPr>
                <w:rFonts w:hint="eastAsia" w:ascii="仿宋" w:hAnsi="仿宋" w:eastAsia="仿宋" w:cs="Times New Roman"/>
              </w:rPr>
              <w:t>设备维护管理</w:t>
            </w:r>
          </w:p>
        </w:tc>
        <w:tc>
          <w:tcPr>
            <w:tcW w:w="1719" w:type="pct"/>
            <w:vAlign w:val="center"/>
          </w:tcPr>
          <w:p w14:paraId="772671A9">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DC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1596BF">
            <w:pPr>
              <w:spacing w:line="500" w:lineRule="exact"/>
              <w:ind w:firstLine="566" w:firstLineChars="200"/>
              <w:rPr>
                <w:rFonts w:hint="eastAsia" w:ascii="仿宋" w:hAnsi="仿宋" w:eastAsia="仿宋" w:cs="Times New Roman"/>
              </w:rPr>
            </w:pPr>
          </w:p>
        </w:tc>
        <w:tc>
          <w:tcPr>
            <w:tcW w:w="2173" w:type="pct"/>
            <w:vAlign w:val="center"/>
          </w:tcPr>
          <w:p w14:paraId="4CD4D9E1">
            <w:pPr>
              <w:spacing w:line="500" w:lineRule="exact"/>
              <w:ind w:firstLine="566" w:firstLineChars="200"/>
              <w:rPr>
                <w:rFonts w:hint="eastAsia" w:ascii="仿宋" w:hAnsi="仿宋" w:eastAsia="仿宋" w:cs="Times New Roman"/>
              </w:rPr>
            </w:pPr>
            <w:r>
              <w:rPr>
                <w:rFonts w:hint="eastAsia" w:ascii="仿宋" w:hAnsi="仿宋" w:eastAsia="仿宋" w:cs="Times New Roman"/>
              </w:rPr>
              <w:t>漏洞和风险管理</w:t>
            </w:r>
          </w:p>
        </w:tc>
        <w:tc>
          <w:tcPr>
            <w:tcW w:w="1719" w:type="pct"/>
            <w:vAlign w:val="center"/>
          </w:tcPr>
          <w:p w14:paraId="1A9DE44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2B90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883933">
            <w:pPr>
              <w:spacing w:line="500" w:lineRule="exact"/>
              <w:ind w:firstLine="566" w:firstLineChars="200"/>
              <w:rPr>
                <w:rFonts w:hint="eastAsia" w:ascii="仿宋" w:hAnsi="仿宋" w:eastAsia="仿宋" w:cs="Times New Roman"/>
              </w:rPr>
            </w:pPr>
          </w:p>
        </w:tc>
        <w:tc>
          <w:tcPr>
            <w:tcW w:w="2173" w:type="pct"/>
            <w:vAlign w:val="center"/>
          </w:tcPr>
          <w:p w14:paraId="4A8106C3">
            <w:pPr>
              <w:spacing w:line="500" w:lineRule="exact"/>
              <w:ind w:firstLine="566" w:firstLineChars="200"/>
              <w:rPr>
                <w:rFonts w:hint="eastAsia" w:ascii="仿宋" w:hAnsi="仿宋" w:eastAsia="仿宋" w:cs="Times New Roman"/>
              </w:rPr>
            </w:pPr>
            <w:r>
              <w:rPr>
                <w:rFonts w:hint="eastAsia" w:ascii="仿宋" w:hAnsi="仿宋" w:eastAsia="仿宋" w:cs="Times New Roman"/>
              </w:rPr>
              <w:t>网络和系统安全管理</w:t>
            </w:r>
          </w:p>
        </w:tc>
        <w:tc>
          <w:tcPr>
            <w:tcW w:w="1719" w:type="pct"/>
            <w:vAlign w:val="center"/>
          </w:tcPr>
          <w:p w14:paraId="39C13FB1">
            <w:pPr>
              <w:spacing w:line="500" w:lineRule="exact"/>
              <w:ind w:firstLine="566" w:firstLineChars="200"/>
              <w:rPr>
                <w:rFonts w:hint="eastAsia" w:ascii="仿宋" w:hAnsi="仿宋" w:eastAsia="仿宋" w:cs="Times New Roman"/>
              </w:rPr>
            </w:pPr>
            <w:r>
              <w:rPr>
                <w:rFonts w:hint="eastAsia" w:ascii="仿宋" w:hAnsi="仿宋" w:eastAsia="仿宋" w:cs="Times New Roman"/>
              </w:rPr>
              <w:t>10</w:t>
            </w:r>
          </w:p>
        </w:tc>
      </w:tr>
      <w:tr w14:paraId="6D2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30355D1">
            <w:pPr>
              <w:spacing w:line="500" w:lineRule="exact"/>
              <w:ind w:firstLine="566" w:firstLineChars="200"/>
              <w:rPr>
                <w:rFonts w:hint="eastAsia" w:ascii="仿宋" w:hAnsi="仿宋" w:eastAsia="仿宋" w:cs="Times New Roman"/>
              </w:rPr>
            </w:pPr>
          </w:p>
        </w:tc>
        <w:tc>
          <w:tcPr>
            <w:tcW w:w="2173" w:type="pct"/>
            <w:vAlign w:val="center"/>
          </w:tcPr>
          <w:p w14:paraId="59D82759">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恶意代码防范管理</w:t>
            </w:r>
          </w:p>
        </w:tc>
        <w:tc>
          <w:tcPr>
            <w:tcW w:w="1719" w:type="pct"/>
            <w:vAlign w:val="center"/>
          </w:tcPr>
          <w:p w14:paraId="6C85BD4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2F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565F1B1">
            <w:pPr>
              <w:spacing w:line="500" w:lineRule="exact"/>
              <w:ind w:firstLine="566" w:firstLineChars="200"/>
              <w:rPr>
                <w:rFonts w:hint="eastAsia" w:ascii="仿宋" w:hAnsi="仿宋" w:eastAsia="仿宋" w:cs="Times New Roman"/>
              </w:rPr>
            </w:pPr>
          </w:p>
        </w:tc>
        <w:tc>
          <w:tcPr>
            <w:tcW w:w="2173" w:type="pct"/>
            <w:vAlign w:val="center"/>
          </w:tcPr>
          <w:p w14:paraId="089888C3">
            <w:pPr>
              <w:spacing w:line="500" w:lineRule="exact"/>
              <w:ind w:firstLine="566" w:firstLineChars="200"/>
              <w:rPr>
                <w:rFonts w:hint="eastAsia" w:ascii="仿宋" w:hAnsi="仿宋" w:eastAsia="仿宋" w:cs="Times New Roman"/>
              </w:rPr>
            </w:pPr>
            <w:r>
              <w:rPr>
                <w:rFonts w:hint="eastAsia" w:ascii="仿宋" w:hAnsi="仿宋" w:eastAsia="仿宋" w:cs="Times New Roman"/>
              </w:rPr>
              <w:t>配置管理</w:t>
            </w:r>
          </w:p>
        </w:tc>
        <w:tc>
          <w:tcPr>
            <w:tcW w:w="1719" w:type="pct"/>
            <w:vAlign w:val="center"/>
          </w:tcPr>
          <w:p w14:paraId="5327005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A03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A6C10D4">
            <w:pPr>
              <w:spacing w:line="500" w:lineRule="exact"/>
              <w:ind w:firstLine="566" w:firstLineChars="200"/>
              <w:rPr>
                <w:rFonts w:hint="eastAsia" w:ascii="仿宋" w:hAnsi="仿宋" w:eastAsia="仿宋" w:cs="Times New Roman"/>
              </w:rPr>
            </w:pPr>
          </w:p>
        </w:tc>
        <w:tc>
          <w:tcPr>
            <w:tcW w:w="2173" w:type="pct"/>
            <w:vAlign w:val="center"/>
          </w:tcPr>
          <w:p w14:paraId="73128350">
            <w:pPr>
              <w:spacing w:line="500" w:lineRule="exact"/>
              <w:ind w:firstLine="566" w:firstLineChars="200"/>
              <w:rPr>
                <w:rFonts w:hint="eastAsia" w:ascii="仿宋" w:hAnsi="仿宋" w:eastAsia="仿宋" w:cs="Times New Roman"/>
              </w:rPr>
            </w:pPr>
            <w:r>
              <w:rPr>
                <w:rFonts w:hint="eastAsia" w:ascii="仿宋" w:hAnsi="仿宋" w:eastAsia="仿宋" w:cs="Times New Roman"/>
              </w:rPr>
              <w:t>密码管理</w:t>
            </w:r>
          </w:p>
        </w:tc>
        <w:tc>
          <w:tcPr>
            <w:tcW w:w="1719" w:type="pct"/>
            <w:vAlign w:val="center"/>
          </w:tcPr>
          <w:p w14:paraId="4DB0BB2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41D7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0CD3F8">
            <w:pPr>
              <w:spacing w:line="500" w:lineRule="exact"/>
              <w:ind w:firstLine="566" w:firstLineChars="200"/>
              <w:rPr>
                <w:rFonts w:hint="eastAsia" w:ascii="仿宋" w:hAnsi="仿宋" w:eastAsia="仿宋" w:cs="Times New Roman"/>
              </w:rPr>
            </w:pPr>
          </w:p>
        </w:tc>
        <w:tc>
          <w:tcPr>
            <w:tcW w:w="2173" w:type="pct"/>
            <w:vAlign w:val="center"/>
          </w:tcPr>
          <w:p w14:paraId="420D6664">
            <w:pPr>
              <w:spacing w:line="500" w:lineRule="exact"/>
              <w:ind w:firstLine="566" w:firstLineChars="200"/>
              <w:rPr>
                <w:rFonts w:hint="eastAsia" w:ascii="仿宋" w:hAnsi="仿宋" w:eastAsia="仿宋" w:cs="Times New Roman"/>
              </w:rPr>
            </w:pPr>
            <w:r>
              <w:rPr>
                <w:rFonts w:hint="eastAsia" w:ascii="仿宋" w:hAnsi="仿宋" w:eastAsia="仿宋" w:cs="Times New Roman"/>
              </w:rPr>
              <w:t>变更管理</w:t>
            </w:r>
          </w:p>
        </w:tc>
        <w:tc>
          <w:tcPr>
            <w:tcW w:w="1719" w:type="pct"/>
            <w:vAlign w:val="center"/>
          </w:tcPr>
          <w:p w14:paraId="28260D6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6E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C965951">
            <w:pPr>
              <w:spacing w:line="500" w:lineRule="exact"/>
              <w:ind w:firstLine="566" w:firstLineChars="200"/>
              <w:rPr>
                <w:rFonts w:hint="eastAsia" w:ascii="仿宋" w:hAnsi="仿宋" w:eastAsia="仿宋" w:cs="Times New Roman"/>
              </w:rPr>
            </w:pPr>
          </w:p>
        </w:tc>
        <w:tc>
          <w:tcPr>
            <w:tcW w:w="2173" w:type="pct"/>
            <w:vAlign w:val="center"/>
          </w:tcPr>
          <w:p w14:paraId="7F44E8F5">
            <w:pPr>
              <w:spacing w:line="500" w:lineRule="exact"/>
              <w:ind w:firstLine="566" w:firstLineChars="200"/>
              <w:rPr>
                <w:rFonts w:hint="eastAsia" w:ascii="仿宋" w:hAnsi="仿宋" w:eastAsia="仿宋" w:cs="Times New Roman"/>
              </w:rPr>
            </w:pPr>
            <w:r>
              <w:rPr>
                <w:rFonts w:hint="eastAsia" w:ascii="仿宋" w:hAnsi="仿宋" w:eastAsia="仿宋" w:cs="Times New Roman"/>
              </w:rPr>
              <w:t>备份与恢复管理</w:t>
            </w:r>
          </w:p>
        </w:tc>
        <w:tc>
          <w:tcPr>
            <w:tcW w:w="1719" w:type="pct"/>
            <w:vAlign w:val="center"/>
          </w:tcPr>
          <w:p w14:paraId="59AC019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F02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F2032B1">
            <w:pPr>
              <w:spacing w:line="500" w:lineRule="exact"/>
              <w:ind w:firstLine="566" w:firstLineChars="200"/>
              <w:rPr>
                <w:rFonts w:hint="eastAsia" w:ascii="仿宋" w:hAnsi="仿宋" w:eastAsia="仿宋" w:cs="Times New Roman"/>
              </w:rPr>
            </w:pPr>
          </w:p>
        </w:tc>
        <w:tc>
          <w:tcPr>
            <w:tcW w:w="2173" w:type="pct"/>
            <w:vAlign w:val="center"/>
          </w:tcPr>
          <w:p w14:paraId="7482F8F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安全事件处置</w:t>
            </w:r>
          </w:p>
        </w:tc>
        <w:tc>
          <w:tcPr>
            <w:tcW w:w="1719" w:type="pct"/>
            <w:vAlign w:val="center"/>
          </w:tcPr>
          <w:p w14:paraId="70AA79A5">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D4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6572EE">
            <w:pPr>
              <w:spacing w:line="500" w:lineRule="exact"/>
              <w:ind w:firstLine="566" w:firstLineChars="200"/>
              <w:rPr>
                <w:rFonts w:hint="eastAsia" w:ascii="仿宋" w:hAnsi="仿宋" w:eastAsia="仿宋" w:cs="Times New Roman"/>
              </w:rPr>
            </w:pPr>
          </w:p>
        </w:tc>
        <w:tc>
          <w:tcPr>
            <w:tcW w:w="2173" w:type="pct"/>
            <w:vAlign w:val="center"/>
          </w:tcPr>
          <w:p w14:paraId="35CA545B">
            <w:pPr>
              <w:spacing w:line="500" w:lineRule="exact"/>
              <w:ind w:firstLine="566" w:firstLineChars="200"/>
              <w:rPr>
                <w:rFonts w:hint="eastAsia" w:ascii="仿宋" w:hAnsi="仿宋" w:eastAsia="仿宋" w:cs="Times New Roman"/>
              </w:rPr>
            </w:pPr>
            <w:r>
              <w:rPr>
                <w:rFonts w:hint="eastAsia" w:ascii="仿宋" w:hAnsi="仿宋" w:eastAsia="仿宋" w:cs="Times New Roman"/>
              </w:rPr>
              <w:t>应急预案管理</w:t>
            </w:r>
          </w:p>
        </w:tc>
        <w:tc>
          <w:tcPr>
            <w:tcW w:w="1719" w:type="pct"/>
            <w:vAlign w:val="center"/>
          </w:tcPr>
          <w:p w14:paraId="2780588B">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55FC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5C3A91">
            <w:pPr>
              <w:spacing w:line="500" w:lineRule="exact"/>
              <w:ind w:firstLine="566" w:firstLineChars="200"/>
              <w:rPr>
                <w:rFonts w:hint="eastAsia" w:ascii="仿宋" w:hAnsi="仿宋" w:eastAsia="仿宋" w:cs="Times New Roman"/>
              </w:rPr>
            </w:pPr>
          </w:p>
        </w:tc>
        <w:tc>
          <w:tcPr>
            <w:tcW w:w="2173" w:type="pct"/>
            <w:vAlign w:val="center"/>
          </w:tcPr>
          <w:p w14:paraId="6A92D19C">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外包运维管理</w:t>
            </w:r>
          </w:p>
        </w:tc>
        <w:tc>
          <w:tcPr>
            <w:tcW w:w="1719" w:type="pct"/>
            <w:vAlign w:val="center"/>
          </w:tcPr>
          <w:p w14:paraId="7428E82C">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3A0A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Align w:val="center"/>
          </w:tcPr>
          <w:p w14:paraId="34F06F3D">
            <w:pPr>
              <w:spacing w:line="500" w:lineRule="exact"/>
              <w:ind w:firstLine="566" w:firstLineChars="200"/>
              <w:rPr>
                <w:rFonts w:hint="eastAsia" w:ascii="仿宋" w:hAnsi="仿宋" w:eastAsia="仿宋" w:cs="Times New Roman"/>
              </w:rPr>
            </w:pPr>
            <w:r>
              <w:rPr>
                <w:rFonts w:hint="eastAsia" w:ascii="仿宋" w:hAnsi="仿宋" w:eastAsia="仿宋" w:cs="Times New Roman"/>
              </w:rPr>
              <w:t>/</w:t>
            </w:r>
          </w:p>
        </w:tc>
        <w:tc>
          <w:tcPr>
            <w:tcW w:w="2173" w:type="pct"/>
            <w:vAlign w:val="center"/>
          </w:tcPr>
          <w:p w14:paraId="3B4BCD2E">
            <w:pPr>
              <w:spacing w:line="500" w:lineRule="exact"/>
              <w:ind w:firstLine="566" w:firstLineChars="200"/>
              <w:rPr>
                <w:rFonts w:hint="eastAsia" w:ascii="仿宋" w:hAnsi="仿宋" w:eastAsia="仿宋" w:cs="Times New Roman"/>
              </w:rPr>
            </w:pPr>
            <w:r>
              <w:rPr>
                <w:rFonts w:hint="eastAsia" w:ascii="仿宋" w:hAnsi="仿宋" w:eastAsia="仿宋" w:cs="Times New Roman"/>
              </w:rPr>
              <w:t>总计</w:t>
            </w:r>
          </w:p>
        </w:tc>
        <w:tc>
          <w:tcPr>
            <w:tcW w:w="1719" w:type="pct"/>
            <w:vAlign w:val="center"/>
          </w:tcPr>
          <w:p w14:paraId="6334CA67">
            <w:pPr>
              <w:spacing w:line="500" w:lineRule="exact"/>
              <w:ind w:firstLine="566" w:firstLineChars="200"/>
              <w:rPr>
                <w:rFonts w:hint="eastAsia" w:ascii="仿宋" w:hAnsi="仿宋" w:eastAsia="仿宋" w:cs="Times New Roman"/>
              </w:rPr>
            </w:pPr>
            <w:r>
              <w:rPr>
                <w:rFonts w:hint="eastAsia" w:ascii="仿宋" w:hAnsi="仿宋" w:eastAsia="仿宋" w:cs="Times New Roman"/>
              </w:rPr>
              <w:t>211</w:t>
            </w:r>
          </w:p>
        </w:tc>
      </w:tr>
    </w:tbl>
    <w:p w14:paraId="35E0367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AFB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255C73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4314A6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13BA5AB">
            <w:pPr>
              <w:spacing w:line="500" w:lineRule="exact"/>
              <w:ind w:firstLine="566" w:firstLineChars="200"/>
              <w:rPr>
                <w:rFonts w:hint="eastAsia" w:ascii="仿宋" w:hAnsi="仿宋" w:eastAsia="仿宋" w:cs="Times New Roman"/>
              </w:rPr>
            </w:pPr>
            <w:r>
              <w:rPr>
                <w:rFonts w:hint="eastAsia" w:ascii="仿宋" w:hAnsi="仿宋" w:eastAsia="仿宋" w:cs="Times New Roman"/>
              </w:rPr>
              <w:t>测评项</w:t>
            </w:r>
          </w:p>
        </w:tc>
      </w:tr>
      <w:tr w14:paraId="292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0E3DDAC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c>
        <w:tc>
          <w:tcPr>
            <w:tcW w:w="1569" w:type="dxa"/>
            <w:vMerge w:val="restart"/>
            <w:vAlign w:val="center"/>
          </w:tcPr>
          <w:p w14:paraId="7BBA02C0">
            <w:pPr>
              <w:spacing w:line="500" w:lineRule="exact"/>
              <w:ind w:firstLine="566" w:firstLineChars="200"/>
              <w:rPr>
                <w:rFonts w:hint="eastAsia" w:ascii="仿宋" w:hAnsi="仿宋" w:eastAsia="仿宋" w:cs="Times New Roman"/>
              </w:rPr>
            </w:pPr>
            <w:r>
              <w:rPr>
                <w:rFonts w:hint="eastAsia" w:ascii="仿宋" w:hAnsi="仿宋" w:eastAsia="仿宋" w:cs="Times New Roman"/>
              </w:rPr>
              <w:t>物理位置选择</w:t>
            </w:r>
          </w:p>
        </w:tc>
        <w:tc>
          <w:tcPr>
            <w:tcW w:w="5158" w:type="dxa"/>
            <w:vAlign w:val="center"/>
          </w:tcPr>
          <w:p w14:paraId="6961EECE">
            <w:pPr>
              <w:spacing w:line="500" w:lineRule="exact"/>
              <w:ind w:firstLine="566" w:firstLineChars="200"/>
              <w:rPr>
                <w:rFonts w:hint="eastAsia" w:ascii="仿宋" w:hAnsi="仿宋" w:eastAsia="仿宋" w:cs="Times New Roman"/>
              </w:rPr>
            </w:pPr>
            <w:r>
              <w:rPr>
                <w:rFonts w:hint="eastAsia" w:ascii="仿宋" w:hAnsi="仿宋" w:eastAsia="仿宋" w:cs="Times New Roman"/>
              </w:rPr>
              <w:t>a）机房场地应选择在具有防震、防风和防雨等能力的建筑内；</w:t>
            </w:r>
          </w:p>
        </w:tc>
      </w:tr>
      <w:tr w14:paraId="46A3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E2A599">
            <w:pPr>
              <w:spacing w:line="500" w:lineRule="exact"/>
              <w:ind w:firstLine="566" w:firstLineChars="200"/>
              <w:rPr>
                <w:rFonts w:hint="eastAsia" w:ascii="仿宋" w:hAnsi="仿宋" w:eastAsia="仿宋" w:cs="Times New Roman"/>
              </w:rPr>
            </w:pPr>
          </w:p>
        </w:tc>
        <w:tc>
          <w:tcPr>
            <w:tcW w:w="1569" w:type="dxa"/>
            <w:vMerge w:val="continue"/>
            <w:vAlign w:val="center"/>
          </w:tcPr>
          <w:p w14:paraId="6C9715E8">
            <w:pPr>
              <w:spacing w:line="500" w:lineRule="exact"/>
              <w:ind w:firstLine="566" w:firstLineChars="200"/>
              <w:rPr>
                <w:rFonts w:hint="eastAsia" w:ascii="仿宋" w:hAnsi="仿宋" w:eastAsia="仿宋" w:cs="Times New Roman"/>
              </w:rPr>
            </w:pPr>
          </w:p>
        </w:tc>
        <w:tc>
          <w:tcPr>
            <w:tcW w:w="5158" w:type="dxa"/>
            <w:vAlign w:val="center"/>
          </w:tcPr>
          <w:p w14:paraId="75F9C5B5">
            <w:pPr>
              <w:spacing w:line="500" w:lineRule="exact"/>
              <w:ind w:firstLine="566" w:firstLineChars="200"/>
              <w:rPr>
                <w:rFonts w:hint="eastAsia" w:ascii="仿宋" w:hAnsi="仿宋" w:eastAsia="仿宋" w:cs="Times New Roman"/>
              </w:rPr>
            </w:pPr>
            <w:r>
              <w:rPr>
                <w:rFonts w:hint="eastAsia" w:ascii="仿宋" w:hAnsi="仿宋" w:eastAsia="仿宋" w:cs="Times New Roman"/>
              </w:rPr>
              <w:t>b）机房场地应避免设在建筑物的顶层或地下室，否则应加强防水和防潮措施。</w:t>
            </w:r>
          </w:p>
        </w:tc>
      </w:tr>
      <w:tr w14:paraId="7FCD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D01F4CE">
            <w:pPr>
              <w:spacing w:line="500" w:lineRule="exact"/>
              <w:ind w:firstLine="566" w:firstLineChars="200"/>
              <w:rPr>
                <w:rFonts w:hint="eastAsia" w:ascii="仿宋" w:hAnsi="仿宋" w:eastAsia="仿宋" w:cs="Times New Roman"/>
              </w:rPr>
            </w:pPr>
          </w:p>
        </w:tc>
        <w:tc>
          <w:tcPr>
            <w:tcW w:w="1569" w:type="dxa"/>
            <w:vAlign w:val="center"/>
          </w:tcPr>
          <w:p w14:paraId="627AFA02">
            <w:pPr>
              <w:spacing w:line="500" w:lineRule="exact"/>
              <w:ind w:firstLine="566" w:firstLineChars="200"/>
              <w:rPr>
                <w:rFonts w:hint="eastAsia" w:ascii="仿宋" w:hAnsi="仿宋" w:eastAsia="仿宋" w:cs="Times New Roman"/>
              </w:rPr>
            </w:pPr>
            <w:r>
              <w:rPr>
                <w:rFonts w:hint="eastAsia" w:ascii="仿宋" w:hAnsi="仿宋" w:eastAsia="仿宋" w:cs="Times New Roman"/>
              </w:rPr>
              <w:t>物理访问控制</w:t>
            </w:r>
          </w:p>
        </w:tc>
        <w:tc>
          <w:tcPr>
            <w:tcW w:w="5158" w:type="dxa"/>
            <w:vAlign w:val="center"/>
          </w:tcPr>
          <w:p w14:paraId="263DCDEC">
            <w:pPr>
              <w:spacing w:line="500" w:lineRule="exact"/>
              <w:ind w:firstLine="566" w:firstLineChars="200"/>
              <w:rPr>
                <w:rFonts w:hint="eastAsia" w:ascii="仿宋" w:hAnsi="仿宋" w:eastAsia="仿宋" w:cs="Times New Roman"/>
              </w:rPr>
            </w:pPr>
            <w:r>
              <w:rPr>
                <w:rFonts w:hint="eastAsia" w:ascii="仿宋" w:hAnsi="仿宋" w:eastAsia="仿宋" w:cs="Times New Roman"/>
              </w:rPr>
              <w:t>机房出入口应配置电子门禁系统，控制、鉴别和记录进入的人员。</w:t>
            </w:r>
          </w:p>
        </w:tc>
      </w:tr>
      <w:tr w14:paraId="23A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F73E98">
            <w:pPr>
              <w:spacing w:line="500" w:lineRule="exact"/>
              <w:ind w:firstLine="566" w:firstLineChars="200"/>
              <w:rPr>
                <w:rFonts w:hint="eastAsia" w:ascii="仿宋" w:hAnsi="仿宋" w:eastAsia="仿宋" w:cs="Times New Roman"/>
              </w:rPr>
            </w:pPr>
          </w:p>
        </w:tc>
        <w:tc>
          <w:tcPr>
            <w:tcW w:w="1569" w:type="dxa"/>
            <w:vMerge w:val="restart"/>
            <w:vAlign w:val="center"/>
          </w:tcPr>
          <w:p w14:paraId="5FAB07B0">
            <w:pPr>
              <w:spacing w:line="500" w:lineRule="exact"/>
              <w:ind w:firstLine="566" w:firstLineChars="200"/>
              <w:rPr>
                <w:rFonts w:hint="eastAsia" w:ascii="仿宋" w:hAnsi="仿宋" w:eastAsia="仿宋" w:cs="Times New Roman"/>
              </w:rPr>
            </w:pPr>
            <w:r>
              <w:rPr>
                <w:rFonts w:hint="eastAsia" w:ascii="仿宋" w:hAnsi="仿宋" w:eastAsia="仿宋" w:cs="Times New Roman"/>
              </w:rPr>
              <w:t>防盗窃和防破坏</w:t>
            </w:r>
          </w:p>
        </w:tc>
        <w:tc>
          <w:tcPr>
            <w:tcW w:w="5158" w:type="dxa"/>
            <w:vAlign w:val="center"/>
          </w:tcPr>
          <w:p w14:paraId="4FE23B5A">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a）应将设备或主要部件进行固定，并设置明显的不易除去的标识；</w:t>
            </w:r>
          </w:p>
        </w:tc>
      </w:tr>
      <w:tr w14:paraId="7F4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A2866EB">
            <w:pPr>
              <w:spacing w:line="500" w:lineRule="exact"/>
              <w:ind w:firstLine="566" w:firstLineChars="200"/>
              <w:rPr>
                <w:rFonts w:hint="eastAsia" w:ascii="仿宋" w:hAnsi="仿宋" w:eastAsia="仿宋" w:cs="Times New Roman"/>
              </w:rPr>
            </w:pPr>
          </w:p>
        </w:tc>
        <w:tc>
          <w:tcPr>
            <w:tcW w:w="1569" w:type="dxa"/>
            <w:vMerge w:val="continue"/>
            <w:vAlign w:val="center"/>
          </w:tcPr>
          <w:p w14:paraId="75CE130B">
            <w:pPr>
              <w:spacing w:line="500" w:lineRule="exact"/>
              <w:ind w:firstLine="566" w:firstLineChars="200"/>
              <w:rPr>
                <w:rFonts w:hint="eastAsia" w:ascii="仿宋" w:hAnsi="仿宋" w:eastAsia="仿宋" w:cs="Times New Roman"/>
              </w:rPr>
            </w:pPr>
          </w:p>
        </w:tc>
        <w:tc>
          <w:tcPr>
            <w:tcW w:w="5158" w:type="dxa"/>
            <w:vAlign w:val="center"/>
          </w:tcPr>
          <w:p w14:paraId="0F44214C">
            <w:pPr>
              <w:spacing w:line="500" w:lineRule="exact"/>
              <w:ind w:firstLine="566" w:firstLineChars="200"/>
              <w:rPr>
                <w:rFonts w:hint="eastAsia" w:ascii="仿宋" w:hAnsi="仿宋" w:eastAsia="仿宋" w:cs="Times New Roman"/>
              </w:rPr>
            </w:pPr>
            <w:r>
              <w:rPr>
                <w:rFonts w:hint="eastAsia" w:ascii="仿宋" w:hAnsi="仿宋" w:eastAsia="仿宋" w:cs="Times New Roman"/>
              </w:rPr>
              <w:t>b）应将通信线缆铺设在隐蔽安全处；</w:t>
            </w:r>
          </w:p>
        </w:tc>
      </w:tr>
      <w:tr w14:paraId="59F4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441320">
            <w:pPr>
              <w:spacing w:line="500" w:lineRule="exact"/>
              <w:ind w:firstLine="566" w:firstLineChars="200"/>
              <w:rPr>
                <w:rFonts w:hint="eastAsia" w:ascii="仿宋" w:hAnsi="仿宋" w:eastAsia="仿宋" w:cs="Times New Roman"/>
              </w:rPr>
            </w:pPr>
          </w:p>
        </w:tc>
        <w:tc>
          <w:tcPr>
            <w:tcW w:w="1569" w:type="dxa"/>
            <w:vMerge w:val="continue"/>
            <w:vAlign w:val="center"/>
          </w:tcPr>
          <w:p w14:paraId="499B693B">
            <w:pPr>
              <w:spacing w:line="500" w:lineRule="exact"/>
              <w:ind w:firstLine="566" w:firstLineChars="200"/>
              <w:rPr>
                <w:rFonts w:hint="eastAsia" w:ascii="仿宋" w:hAnsi="仿宋" w:eastAsia="仿宋" w:cs="Times New Roman"/>
              </w:rPr>
            </w:pPr>
          </w:p>
        </w:tc>
        <w:tc>
          <w:tcPr>
            <w:tcW w:w="5158" w:type="dxa"/>
            <w:vAlign w:val="center"/>
          </w:tcPr>
          <w:p w14:paraId="2481B334">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c）应设置机房防盗报警系统或设置有专人值守的视频监控系统。</w:t>
            </w:r>
          </w:p>
        </w:tc>
      </w:tr>
      <w:tr w14:paraId="5E8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50C9092">
            <w:pPr>
              <w:spacing w:line="500" w:lineRule="exact"/>
              <w:ind w:firstLine="566" w:firstLineChars="200"/>
              <w:rPr>
                <w:rFonts w:hint="eastAsia" w:ascii="仿宋" w:hAnsi="仿宋" w:eastAsia="仿宋" w:cs="Times New Roman"/>
              </w:rPr>
            </w:pPr>
          </w:p>
        </w:tc>
        <w:tc>
          <w:tcPr>
            <w:tcW w:w="1569" w:type="dxa"/>
            <w:vMerge w:val="restart"/>
            <w:vAlign w:val="center"/>
          </w:tcPr>
          <w:p w14:paraId="3594E51E">
            <w:pPr>
              <w:spacing w:line="500" w:lineRule="exact"/>
              <w:ind w:firstLine="566" w:firstLineChars="200"/>
              <w:rPr>
                <w:rFonts w:hint="eastAsia" w:ascii="仿宋" w:hAnsi="仿宋" w:eastAsia="仿宋" w:cs="Times New Roman"/>
              </w:rPr>
            </w:pPr>
            <w:r>
              <w:rPr>
                <w:rFonts w:hint="eastAsia" w:ascii="仿宋" w:hAnsi="仿宋" w:eastAsia="仿宋" w:cs="Times New Roman"/>
              </w:rPr>
              <w:t>防雷击</w:t>
            </w:r>
          </w:p>
        </w:tc>
        <w:tc>
          <w:tcPr>
            <w:tcW w:w="5158" w:type="dxa"/>
            <w:vAlign w:val="center"/>
          </w:tcPr>
          <w:p w14:paraId="5BF10EB2">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a）应将各类机柜、设施和设备等通过接地系统安全接地；</w:t>
            </w:r>
          </w:p>
        </w:tc>
      </w:tr>
      <w:tr w14:paraId="6A3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676C987">
            <w:pPr>
              <w:spacing w:line="500" w:lineRule="exact"/>
              <w:ind w:firstLine="566" w:firstLineChars="200"/>
              <w:rPr>
                <w:rFonts w:hint="eastAsia" w:ascii="仿宋" w:hAnsi="仿宋" w:eastAsia="仿宋" w:cs="Times New Roman"/>
              </w:rPr>
            </w:pPr>
          </w:p>
        </w:tc>
        <w:tc>
          <w:tcPr>
            <w:tcW w:w="1569" w:type="dxa"/>
            <w:vMerge w:val="continue"/>
            <w:vAlign w:val="center"/>
          </w:tcPr>
          <w:p w14:paraId="7B135848">
            <w:pPr>
              <w:spacing w:line="500" w:lineRule="exact"/>
              <w:ind w:firstLine="566" w:firstLineChars="200"/>
              <w:rPr>
                <w:rFonts w:hint="eastAsia" w:ascii="仿宋" w:hAnsi="仿宋" w:eastAsia="仿宋" w:cs="Times New Roman"/>
              </w:rPr>
            </w:pPr>
          </w:p>
        </w:tc>
        <w:tc>
          <w:tcPr>
            <w:tcW w:w="5158" w:type="dxa"/>
            <w:vAlign w:val="center"/>
          </w:tcPr>
          <w:p w14:paraId="492B00E4">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b）应采取措施防止感应雷，例如设置防雷保安器或过压保护装置等。</w:t>
            </w:r>
          </w:p>
        </w:tc>
      </w:tr>
      <w:tr w14:paraId="216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9B8300">
            <w:pPr>
              <w:spacing w:line="500" w:lineRule="exact"/>
              <w:ind w:firstLine="566" w:firstLineChars="200"/>
              <w:rPr>
                <w:rFonts w:hint="eastAsia" w:ascii="仿宋" w:hAnsi="仿宋" w:eastAsia="仿宋" w:cs="Times New Roman"/>
              </w:rPr>
            </w:pPr>
          </w:p>
        </w:tc>
        <w:tc>
          <w:tcPr>
            <w:tcW w:w="1569" w:type="dxa"/>
            <w:vMerge w:val="restart"/>
            <w:vAlign w:val="center"/>
          </w:tcPr>
          <w:p w14:paraId="71A79FE8">
            <w:pPr>
              <w:spacing w:line="500" w:lineRule="exact"/>
              <w:ind w:firstLine="566" w:firstLineChars="200"/>
              <w:rPr>
                <w:rFonts w:hint="eastAsia" w:ascii="仿宋" w:hAnsi="仿宋" w:eastAsia="仿宋" w:cs="Times New Roman"/>
              </w:rPr>
            </w:pPr>
            <w:r>
              <w:rPr>
                <w:rFonts w:hint="eastAsia" w:ascii="仿宋" w:hAnsi="仿宋" w:eastAsia="仿宋" w:cs="Times New Roman"/>
              </w:rPr>
              <w:t>防火</w:t>
            </w:r>
          </w:p>
        </w:tc>
        <w:tc>
          <w:tcPr>
            <w:tcW w:w="5158" w:type="dxa"/>
            <w:vAlign w:val="center"/>
          </w:tcPr>
          <w:p w14:paraId="4FDD44FF">
            <w:pPr>
              <w:spacing w:line="500" w:lineRule="exact"/>
              <w:ind w:firstLine="566" w:firstLineChars="200"/>
              <w:rPr>
                <w:rFonts w:hint="eastAsia" w:ascii="仿宋" w:hAnsi="仿宋" w:eastAsia="仿宋" w:cs="Times New Roman"/>
              </w:rPr>
            </w:pPr>
            <w:r>
              <w:rPr>
                <w:rFonts w:hint="eastAsia" w:ascii="仿宋" w:hAnsi="仿宋" w:eastAsia="仿宋" w:cs="Times New Roman"/>
              </w:rPr>
              <w:t>a）机房应设置火灾自动消防系统，能够自动检测火情、自动报警，并自动灭火；</w:t>
            </w:r>
          </w:p>
        </w:tc>
      </w:tr>
      <w:tr w14:paraId="58F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032DCF">
            <w:pPr>
              <w:spacing w:line="500" w:lineRule="exact"/>
              <w:ind w:firstLine="566" w:firstLineChars="200"/>
              <w:rPr>
                <w:rFonts w:hint="eastAsia" w:ascii="仿宋" w:hAnsi="仿宋" w:eastAsia="仿宋" w:cs="Times New Roman"/>
              </w:rPr>
            </w:pPr>
          </w:p>
        </w:tc>
        <w:tc>
          <w:tcPr>
            <w:tcW w:w="1569" w:type="dxa"/>
            <w:vMerge w:val="continue"/>
            <w:vAlign w:val="center"/>
          </w:tcPr>
          <w:p w14:paraId="75C7DA48">
            <w:pPr>
              <w:spacing w:line="500" w:lineRule="exact"/>
              <w:ind w:firstLine="566" w:firstLineChars="200"/>
              <w:rPr>
                <w:rFonts w:hint="eastAsia" w:ascii="仿宋" w:hAnsi="仿宋" w:eastAsia="仿宋" w:cs="Times New Roman"/>
              </w:rPr>
            </w:pPr>
          </w:p>
        </w:tc>
        <w:tc>
          <w:tcPr>
            <w:tcW w:w="5158" w:type="dxa"/>
            <w:vAlign w:val="center"/>
          </w:tcPr>
          <w:p w14:paraId="301BBF78">
            <w:pPr>
              <w:spacing w:line="500" w:lineRule="exact"/>
              <w:ind w:firstLine="566" w:firstLineChars="200"/>
              <w:rPr>
                <w:rFonts w:hint="eastAsia" w:ascii="仿宋" w:hAnsi="仿宋" w:eastAsia="仿宋" w:cs="Times New Roman"/>
              </w:rPr>
            </w:pPr>
            <w:r>
              <w:rPr>
                <w:rFonts w:hint="eastAsia" w:ascii="仿宋" w:hAnsi="仿宋" w:eastAsia="仿宋" w:cs="Times New Roman"/>
              </w:rPr>
              <w:t>b）机房及相关的工作房间和辅助房应采用具有耐火等级的建筑材料；</w:t>
            </w:r>
          </w:p>
        </w:tc>
      </w:tr>
      <w:tr w14:paraId="240C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75C2B51">
            <w:pPr>
              <w:spacing w:line="500" w:lineRule="exact"/>
              <w:ind w:firstLine="566" w:firstLineChars="200"/>
              <w:rPr>
                <w:rFonts w:hint="eastAsia" w:ascii="仿宋" w:hAnsi="仿宋" w:eastAsia="仿宋" w:cs="Times New Roman"/>
              </w:rPr>
            </w:pPr>
          </w:p>
        </w:tc>
        <w:tc>
          <w:tcPr>
            <w:tcW w:w="1569" w:type="dxa"/>
            <w:vMerge w:val="continue"/>
            <w:vAlign w:val="center"/>
          </w:tcPr>
          <w:p w14:paraId="23FEB339">
            <w:pPr>
              <w:spacing w:line="500" w:lineRule="exact"/>
              <w:ind w:firstLine="566" w:firstLineChars="200"/>
              <w:rPr>
                <w:rFonts w:hint="eastAsia" w:ascii="仿宋" w:hAnsi="仿宋" w:eastAsia="仿宋" w:cs="Times New Roman"/>
              </w:rPr>
            </w:pPr>
          </w:p>
        </w:tc>
        <w:tc>
          <w:tcPr>
            <w:tcW w:w="5158" w:type="dxa"/>
            <w:vAlign w:val="center"/>
          </w:tcPr>
          <w:p w14:paraId="0D86BDBF">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c）应对机房划分区域进行管理，区域和区域之间设置隔离防火措施。</w:t>
            </w:r>
          </w:p>
        </w:tc>
      </w:tr>
      <w:tr w14:paraId="20B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B56E73">
            <w:pPr>
              <w:spacing w:line="500" w:lineRule="exact"/>
              <w:ind w:firstLine="566" w:firstLineChars="200"/>
              <w:rPr>
                <w:rFonts w:hint="eastAsia" w:ascii="仿宋" w:hAnsi="仿宋" w:eastAsia="仿宋" w:cs="Times New Roman"/>
              </w:rPr>
            </w:pPr>
          </w:p>
        </w:tc>
        <w:tc>
          <w:tcPr>
            <w:tcW w:w="1569" w:type="dxa"/>
            <w:vMerge w:val="restart"/>
            <w:vAlign w:val="center"/>
          </w:tcPr>
          <w:p w14:paraId="5ABDD5F4">
            <w:pPr>
              <w:spacing w:line="500" w:lineRule="exact"/>
              <w:ind w:firstLine="566" w:firstLineChars="200"/>
              <w:rPr>
                <w:rFonts w:hint="eastAsia" w:ascii="仿宋" w:hAnsi="仿宋" w:eastAsia="仿宋" w:cs="Times New Roman"/>
              </w:rPr>
            </w:pPr>
            <w:r>
              <w:rPr>
                <w:rFonts w:hint="eastAsia" w:ascii="仿宋" w:hAnsi="仿宋" w:eastAsia="仿宋" w:cs="Times New Roman"/>
              </w:rPr>
              <w:t>防水和防潮</w:t>
            </w:r>
          </w:p>
        </w:tc>
        <w:tc>
          <w:tcPr>
            <w:tcW w:w="5158" w:type="dxa"/>
            <w:vAlign w:val="center"/>
          </w:tcPr>
          <w:p w14:paraId="3466B081">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a）应采取措施防止雨水通过机房窗户、屋顶和墙壁渗透；</w:t>
            </w:r>
          </w:p>
        </w:tc>
      </w:tr>
      <w:tr w14:paraId="612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4A390C">
            <w:pPr>
              <w:spacing w:line="500" w:lineRule="exact"/>
              <w:ind w:firstLine="566" w:firstLineChars="200"/>
              <w:rPr>
                <w:rFonts w:hint="eastAsia" w:ascii="仿宋" w:hAnsi="仿宋" w:eastAsia="仿宋" w:cs="Times New Roman"/>
              </w:rPr>
            </w:pPr>
          </w:p>
        </w:tc>
        <w:tc>
          <w:tcPr>
            <w:tcW w:w="1569" w:type="dxa"/>
            <w:vMerge w:val="continue"/>
            <w:vAlign w:val="center"/>
          </w:tcPr>
          <w:p w14:paraId="36C9E34A">
            <w:pPr>
              <w:spacing w:line="500" w:lineRule="exact"/>
              <w:ind w:firstLine="566" w:firstLineChars="200"/>
              <w:rPr>
                <w:rFonts w:hint="eastAsia" w:ascii="仿宋" w:hAnsi="仿宋" w:eastAsia="仿宋" w:cs="Times New Roman"/>
              </w:rPr>
            </w:pPr>
          </w:p>
        </w:tc>
        <w:tc>
          <w:tcPr>
            <w:tcW w:w="5158" w:type="dxa"/>
            <w:vAlign w:val="center"/>
          </w:tcPr>
          <w:p w14:paraId="4A7FC6A9">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b）应采取措施防止机房内水蒸气结露和地下积水的转移与渗透；</w:t>
            </w:r>
          </w:p>
        </w:tc>
      </w:tr>
      <w:tr w14:paraId="58A7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8992F9">
            <w:pPr>
              <w:spacing w:line="500" w:lineRule="exact"/>
              <w:ind w:firstLine="566" w:firstLineChars="200"/>
              <w:rPr>
                <w:rFonts w:hint="eastAsia" w:ascii="仿宋" w:hAnsi="仿宋" w:eastAsia="仿宋" w:cs="Times New Roman"/>
              </w:rPr>
            </w:pPr>
          </w:p>
        </w:tc>
        <w:tc>
          <w:tcPr>
            <w:tcW w:w="1569" w:type="dxa"/>
            <w:vMerge w:val="continue"/>
            <w:vAlign w:val="center"/>
          </w:tcPr>
          <w:p w14:paraId="61FA4903">
            <w:pPr>
              <w:spacing w:line="500" w:lineRule="exact"/>
              <w:ind w:firstLine="566" w:firstLineChars="200"/>
              <w:rPr>
                <w:rFonts w:hint="eastAsia" w:ascii="仿宋" w:hAnsi="仿宋" w:eastAsia="仿宋" w:cs="Times New Roman"/>
              </w:rPr>
            </w:pPr>
          </w:p>
        </w:tc>
        <w:tc>
          <w:tcPr>
            <w:tcW w:w="5158" w:type="dxa"/>
            <w:vAlign w:val="center"/>
          </w:tcPr>
          <w:p w14:paraId="389ACBE4">
            <w:pPr>
              <w:spacing w:line="500" w:lineRule="exact"/>
              <w:ind w:firstLine="566" w:firstLineChars="200"/>
              <w:rPr>
                <w:rFonts w:hint="eastAsia" w:ascii="仿宋" w:hAnsi="仿宋" w:eastAsia="仿宋" w:cs="Times New Roman"/>
              </w:rPr>
            </w:pPr>
            <w:r>
              <w:rPr>
                <w:rFonts w:hint="eastAsia" w:ascii="仿宋" w:hAnsi="仿宋" w:eastAsia="仿宋" w:cs="Times New Roman"/>
              </w:rPr>
              <w:t>c）应安装对水敏感的检测仪表或元件，对机房进行防水检测和报警。</w:t>
            </w:r>
          </w:p>
        </w:tc>
      </w:tr>
      <w:tr w14:paraId="51FF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86AF1E">
            <w:pPr>
              <w:spacing w:line="500" w:lineRule="exact"/>
              <w:ind w:firstLine="566" w:firstLineChars="200"/>
              <w:rPr>
                <w:rFonts w:hint="eastAsia" w:ascii="仿宋" w:hAnsi="仿宋" w:eastAsia="仿宋" w:cs="Times New Roman"/>
              </w:rPr>
            </w:pPr>
          </w:p>
        </w:tc>
        <w:tc>
          <w:tcPr>
            <w:tcW w:w="1569" w:type="dxa"/>
            <w:vMerge w:val="restart"/>
            <w:vAlign w:val="center"/>
          </w:tcPr>
          <w:p w14:paraId="2B8AE5AC">
            <w:pPr>
              <w:spacing w:line="500" w:lineRule="exact"/>
              <w:ind w:firstLine="566" w:firstLineChars="200"/>
              <w:rPr>
                <w:rFonts w:hint="eastAsia" w:ascii="仿宋" w:hAnsi="仿宋" w:eastAsia="仿宋" w:cs="Times New Roman"/>
              </w:rPr>
            </w:pPr>
            <w:r>
              <w:rPr>
                <w:rFonts w:hint="eastAsia" w:ascii="仿宋" w:hAnsi="仿宋" w:eastAsia="仿宋" w:cs="Times New Roman"/>
              </w:rPr>
              <w:t>防静电</w:t>
            </w:r>
          </w:p>
        </w:tc>
        <w:tc>
          <w:tcPr>
            <w:tcW w:w="5158" w:type="dxa"/>
            <w:vAlign w:val="center"/>
          </w:tcPr>
          <w:p w14:paraId="3ADBA7CB">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a）应采用防静电地板或地面并采用必要的接地防静电措施；</w:t>
            </w:r>
          </w:p>
        </w:tc>
      </w:tr>
      <w:tr w14:paraId="33E9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85D2BA">
            <w:pPr>
              <w:spacing w:line="500" w:lineRule="exact"/>
              <w:ind w:firstLine="566" w:firstLineChars="200"/>
              <w:rPr>
                <w:rFonts w:hint="eastAsia" w:ascii="仿宋" w:hAnsi="仿宋" w:eastAsia="仿宋" w:cs="Times New Roman"/>
              </w:rPr>
            </w:pPr>
          </w:p>
        </w:tc>
        <w:tc>
          <w:tcPr>
            <w:tcW w:w="1569" w:type="dxa"/>
            <w:vMerge w:val="continue"/>
            <w:vAlign w:val="center"/>
          </w:tcPr>
          <w:p w14:paraId="071D6C7B">
            <w:pPr>
              <w:spacing w:line="500" w:lineRule="exact"/>
              <w:ind w:firstLine="566" w:firstLineChars="200"/>
              <w:rPr>
                <w:rFonts w:hint="eastAsia" w:ascii="仿宋" w:hAnsi="仿宋" w:eastAsia="仿宋" w:cs="Times New Roman"/>
              </w:rPr>
            </w:pPr>
          </w:p>
        </w:tc>
        <w:tc>
          <w:tcPr>
            <w:tcW w:w="5158" w:type="dxa"/>
            <w:vAlign w:val="center"/>
          </w:tcPr>
          <w:p w14:paraId="0838AE28">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b）应采取措施防止静电的产生，例如采用静电消除器、佩戴防静电手环等。</w:t>
            </w:r>
          </w:p>
        </w:tc>
      </w:tr>
      <w:tr w14:paraId="1D5C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FD89BF">
            <w:pPr>
              <w:spacing w:line="500" w:lineRule="exact"/>
              <w:ind w:firstLine="566" w:firstLineChars="200"/>
              <w:rPr>
                <w:rFonts w:hint="eastAsia" w:ascii="仿宋" w:hAnsi="仿宋" w:eastAsia="仿宋" w:cs="Times New Roman"/>
              </w:rPr>
            </w:pPr>
          </w:p>
        </w:tc>
        <w:tc>
          <w:tcPr>
            <w:tcW w:w="1569" w:type="dxa"/>
            <w:vAlign w:val="center"/>
          </w:tcPr>
          <w:p w14:paraId="2E8F6053">
            <w:pPr>
              <w:spacing w:line="500" w:lineRule="exact"/>
              <w:ind w:firstLine="566" w:firstLineChars="200"/>
              <w:rPr>
                <w:rFonts w:hint="eastAsia" w:ascii="仿宋" w:hAnsi="仿宋" w:eastAsia="仿宋" w:cs="Times New Roman"/>
              </w:rPr>
            </w:pPr>
            <w:r>
              <w:rPr>
                <w:rFonts w:hint="eastAsia" w:ascii="仿宋" w:hAnsi="仿宋" w:eastAsia="仿宋" w:cs="Times New Roman"/>
              </w:rPr>
              <w:t>温湿度控制</w:t>
            </w:r>
          </w:p>
        </w:tc>
        <w:tc>
          <w:tcPr>
            <w:tcW w:w="5158" w:type="dxa"/>
            <w:vAlign w:val="center"/>
          </w:tcPr>
          <w:p w14:paraId="10D14FDD">
            <w:pPr>
              <w:spacing w:line="500" w:lineRule="exact"/>
              <w:ind w:firstLine="566" w:firstLineChars="200"/>
              <w:rPr>
                <w:rFonts w:hint="eastAsia" w:ascii="仿宋" w:hAnsi="仿宋" w:eastAsia="仿宋" w:cs="Times New Roman"/>
              </w:rPr>
            </w:pPr>
            <w:r>
              <w:rPr>
                <w:rFonts w:hint="eastAsia" w:ascii="仿宋" w:hAnsi="仿宋" w:eastAsia="仿宋" w:cs="Times New Roman"/>
              </w:rPr>
              <w:t>应设置温湿度自动调节设施，使机房温湿度的变化在设备运行所允许的范围之内。</w:t>
            </w:r>
          </w:p>
        </w:tc>
      </w:tr>
      <w:tr w14:paraId="376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0D6549E">
            <w:pPr>
              <w:spacing w:line="500" w:lineRule="exact"/>
              <w:ind w:firstLine="566" w:firstLineChars="200"/>
              <w:rPr>
                <w:rFonts w:hint="eastAsia" w:ascii="仿宋" w:hAnsi="仿宋" w:eastAsia="仿宋" w:cs="Times New Roman"/>
              </w:rPr>
            </w:pPr>
          </w:p>
        </w:tc>
        <w:tc>
          <w:tcPr>
            <w:tcW w:w="1569" w:type="dxa"/>
            <w:vMerge w:val="restart"/>
            <w:vAlign w:val="center"/>
          </w:tcPr>
          <w:p w14:paraId="723B37B0">
            <w:pPr>
              <w:spacing w:line="500" w:lineRule="exact"/>
              <w:ind w:firstLine="566" w:firstLineChars="200"/>
              <w:rPr>
                <w:rFonts w:hint="eastAsia" w:ascii="仿宋" w:hAnsi="仿宋" w:eastAsia="仿宋" w:cs="Times New Roman"/>
              </w:rPr>
            </w:pPr>
            <w:r>
              <w:rPr>
                <w:rFonts w:hint="eastAsia" w:ascii="仿宋" w:hAnsi="仿宋" w:eastAsia="仿宋" w:cs="Times New Roman"/>
              </w:rPr>
              <w:t>电力供应</w:t>
            </w:r>
          </w:p>
        </w:tc>
        <w:tc>
          <w:tcPr>
            <w:tcW w:w="5158" w:type="dxa"/>
            <w:vAlign w:val="center"/>
          </w:tcPr>
          <w:p w14:paraId="68877F69">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a）应在机房供电线路上配置稳压器和过电压防护设备；</w:t>
            </w:r>
          </w:p>
        </w:tc>
      </w:tr>
      <w:tr w14:paraId="1C4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72A3F5">
            <w:pPr>
              <w:spacing w:line="500" w:lineRule="exact"/>
              <w:ind w:firstLine="566" w:firstLineChars="200"/>
              <w:rPr>
                <w:rFonts w:hint="eastAsia" w:ascii="仿宋" w:hAnsi="仿宋" w:eastAsia="仿宋" w:cs="Times New Roman"/>
              </w:rPr>
            </w:pPr>
          </w:p>
        </w:tc>
        <w:tc>
          <w:tcPr>
            <w:tcW w:w="1569" w:type="dxa"/>
            <w:vMerge w:val="continue"/>
            <w:vAlign w:val="center"/>
          </w:tcPr>
          <w:p w14:paraId="7DD7D092">
            <w:pPr>
              <w:spacing w:line="500" w:lineRule="exact"/>
              <w:ind w:firstLine="566" w:firstLineChars="200"/>
              <w:rPr>
                <w:rFonts w:hint="eastAsia" w:ascii="仿宋" w:hAnsi="仿宋" w:eastAsia="仿宋" w:cs="Times New Roman"/>
              </w:rPr>
            </w:pPr>
          </w:p>
        </w:tc>
        <w:tc>
          <w:tcPr>
            <w:tcW w:w="5158" w:type="dxa"/>
            <w:vAlign w:val="center"/>
          </w:tcPr>
          <w:p w14:paraId="64B0F6F5">
            <w:pPr>
              <w:spacing w:line="500" w:lineRule="exact"/>
              <w:ind w:firstLine="566" w:firstLineChars="200"/>
              <w:rPr>
                <w:rFonts w:hint="eastAsia" w:ascii="仿宋" w:hAnsi="仿宋" w:eastAsia="仿宋" w:cs="Times New Roman"/>
              </w:rPr>
            </w:pPr>
            <w:r>
              <w:rPr>
                <w:rFonts w:hint="eastAsia" w:ascii="仿宋" w:hAnsi="仿宋" w:eastAsia="仿宋" w:cs="Times New Roman"/>
              </w:rPr>
              <w:t>b）应提供短期的备用电力供应，至少满足设备在断电情况下的正常运行要求；</w:t>
            </w:r>
          </w:p>
        </w:tc>
      </w:tr>
      <w:tr w14:paraId="6E3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FA6D05">
            <w:pPr>
              <w:spacing w:line="500" w:lineRule="exact"/>
              <w:ind w:firstLine="566" w:firstLineChars="200"/>
              <w:rPr>
                <w:rFonts w:hint="eastAsia" w:ascii="仿宋" w:hAnsi="仿宋" w:eastAsia="仿宋" w:cs="Times New Roman"/>
              </w:rPr>
            </w:pPr>
          </w:p>
        </w:tc>
        <w:tc>
          <w:tcPr>
            <w:tcW w:w="1569" w:type="dxa"/>
            <w:vMerge w:val="continue"/>
            <w:vAlign w:val="center"/>
          </w:tcPr>
          <w:p w14:paraId="5AC47724">
            <w:pPr>
              <w:spacing w:line="500" w:lineRule="exact"/>
              <w:ind w:firstLine="566" w:firstLineChars="200"/>
              <w:rPr>
                <w:rFonts w:hint="eastAsia" w:ascii="仿宋" w:hAnsi="仿宋" w:eastAsia="仿宋" w:cs="Times New Roman"/>
              </w:rPr>
            </w:pPr>
          </w:p>
        </w:tc>
        <w:tc>
          <w:tcPr>
            <w:tcW w:w="5158" w:type="dxa"/>
            <w:vAlign w:val="center"/>
          </w:tcPr>
          <w:p w14:paraId="0D7FFAB3">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c）应设置冗余或并行的电力电缆线路为计算机系统供电。</w:t>
            </w:r>
          </w:p>
        </w:tc>
      </w:tr>
      <w:tr w14:paraId="311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9E9723">
            <w:pPr>
              <w:spacing w:line="500" w:lineRule="exact"/>
              <w:ind w:firstLine="566" w:firstLineChars="200"/>
              <w:rPr>
                <w:rFonts w:hint="eastAsia" w:ascii="仿宋" w:hAnsi="仿宋" w:eastAsia="仿宋" w:cs="Times New Roman"/>
              </w:rPr>
            </w:pPr>
          </w:p>
        </w:tc>
        <w:tc>
          <w:tcPr>
            <w:tcW w:w="1569" w:type="dxa"/>
            <w:vMerge w:val="restart"/>
            <w:vAlign w:val="center"/>
          </w:tcPr>
          <w:p w14:paraId="1F059E7D">
            <w:pPr>
              <w:spacing w:line="500" w:lineRule="exact"/>
              <w:ind w:firstLine="566" w:firstLineChars="200"/>
              <w:rPr>
                <w:rFonts w:hint="eastAsia" w:ascii="仿宋" w:hAnsi="仿宋" w:eastAsia="仿宋" w:cs="Times New Roman"/>
              </w:rPr>
            </w:pPr>
            <w:r>
              <w:rPr>
                <w:rFonts w:hint="eastAsia" w:ascii="仿宋" w:hAnsi="仿宋" w:eastAsia="仿宋" w:cs="Times New Roman"/>
              </w:rPr>
              <w:t>电磁防护</w:t>
            </w:r>
          </w:p>
        </w:tc>
        <w:tc>
          <w:tcPr>
            <w:tcW w:w="5158" w:type="dxa"/>
            <w:vAlign w:val="center"/>
          </w:tcPr>
          <w:p w14:paraId="5CC5756A">
            <w:pPr>
              <w:spacing w:line="500" w:lineRule="exact"/>
              <w:ind w:firstLine="566" w:firstLineChars="200"/>
              <w:rPr>
                <w:rFonts w:hint="eastAsia" w:ascii="仿宋" w:hAnsi="仿宋" w:eastAsia="仿宋" w:cs="Times New Roman"/>
              </w:rPr>
            </w:pPr>
            <w:r>
              <w:rPr>
                <w:rFonts w:hint="eastAsia" w:ascii="仿宋" w:hAnsi="仿宋" w:eastAsia="仿宋" w:cs="Times New Roman"/>
              </w:rPr>
              <w:t>a）电源线和通信线缆应隔离铺设，避免互相干扰；</w:t>
            </w:r>
          </w:p>
        </w:tc>
      </w:tr>
      <w:tr w14:paraId="7422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CD6D153">
            <w:pPr>
              <w:spacing w:line="500" w:lineRule="exact"/>
              <w:ind w:firstLine="566" w:firstLineChars="200"/>
              <w:rPr>
                <w:rFonts w:hint="eastAsia" w:ascii="仿宋" w:hAnsi="仿宋" w:eastAsia="仿宋" w:cs="Times New Roman"/>
              </w:rPr>
            </w:pPr>
          </w:p>
        </w:tc>
        <w:tc>
          <w:tcPr>
            <w:tcW w:w="1569" w:type="dxa"/>
            <w:vMerge w:val="continue"/>
            <w:vAlign w:val="center"/>
          </w:tcPr>
          <w:p w14:paraId="12B5659E">
            <w:pPr>
              <w:spacing w:line="500" w:lineRule="exact"/>
              <w:ind w:firstLine="566" w:firstLineChars="200"/>
              <w:rPr>
                <w:rFonts w:hint="eastAsia" w:ascii="仿宋" w:hAnsi="仿宋" w:eastAsia="仿宋" w:cs="Times New Roman"/>
              </w:rPr>
            </w:pPr>
          </w:p>
        </w:tc>
        <w:tc>
          <w:tcPr>
            <w:tcW w:w="5158" w:type="dxa"/>
            <w:vAlign w:val="center"/>
          </w:tcPr>
          <w:p w14:paraId="3607926B">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b）应对关键设备实施电磁屏蔽。</w:t>
            </w:r>
          </w:p>
        </w:tc>
      </w:tr>
    </w:tbl>
    <w:p w14:paraId="2EC1FD76">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1FC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283B5B2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59A053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08D48A7">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2CF4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69" w:type="dxa"/>
            <w:vMerge w:val="restart"/>
            <w:vAlign w:val="center"/>
          </w:tcPr>
          <w:p w14:paraId="37104A2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c>
        <w:tc>
          <w:tcPr>
            <w:tcW w:w="1569" w:type="dxa"/>
            <w:vMerge w:val="restart"/>
            <w:vAlign w:val="center"/>
          </w:tcPr>
          <w:p w14:paraId="0D090BEE">
            <w:pPr>
              <w:spacing w:line="500" w:lineRule="exact"/>
              <w:ind w:firstLine="566" w:firstLineChars="200"/>
              <w:rPr>
                <w:rFonts w:hint="eastAsia" w:ascii="仿宋" w:hAnsi="仿宋" w:eastAsia="仿宋" w:cs="Times New Roman"/>
              </w:rPr>
            </w:pPr>
            <w:r>
              <w:rPr>
                <w:rFonts w:hint="eastAsia" w:ascii="仿宋" w:hAnsi="仿宋" w:eastAsia="仿宋" w:cs="Times New Roman"/>
              </w:rPr>
              <w:t>网络架构</w:t>
            </w:r>
          </w:p>
        </w:tc>
        <w:tc>
          <w:tcPr>
            <w:tcW w:w="5158" w:type="dxa"/>
            <w:vAlign w:val="center"/>
          </w:tcPr>
          <w:p w14:paraId="0CA08191">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a）应保证网络设备的业务处理能力满足业务高峰期需要；</w:t>
            </w:r>
          </w:p>
        </w:tc>
      </w:tr>
      <w:tr w14:paraId="1374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9" w:type="dxa"/>
            <w:vMerge w:val="continue"/>
            <w:vAlign w:val="center"/>
          </w:tcPr>
          <w:p w14:paraId="7F3DCC0C">
            <w:pPr>
              <w:spacing w:line="500" w:lineRule="exact"/>
              <w:ind w:firstLine="566" w:firstLineChars="200"/>
              <w:rPr>
                <w:rFonts w:hint="eastAsia" w:ascii="仿宋" w:hAnsi="仿宋" w:eastAsia="仿宋" w:cs="Times New Roman"/>
              </w:rPr>
            </w:pPr>
          </w:p>
        </w:tc>
        <w:tc>
          <w:tcPr>
            <w:tcW w:w="1569" w:type="dxa"/>
            <w:vMerge w:val="continue"/>
            <w:vAlign w:val="center"/>
          </w:tcPr>
          <w:p w14:paraId="00031847">
            <w:pPr>
              <w:spacing w:line="500" w:lineRule="exact"/>
              <w:ind w:firstLine="566" w:firstLineChars="200"/>
              <w:rPr>
                <w:rFonts w:hint="eastAsia" w:ascii="仿宋" w:hAnsi="仿宋" w:eastAsia="仿宋" w:cs="Times New Roman"/>
              </w:rPr>
            </w:pPr>
          </w:p>
        </w:tc>
        <w:tc>
          <w:tcPr>
            <w:tcW w:w="5158" w:type="dxa"/>
            <w:vAlign w:val="center"/>
          </w:tcPr>
          <w:p w14:paraId="369B2227">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b）应保证网络各个部分的带宽满足业务高峰期需要；</w:t>
            </w:r>
          </w:p>
        </w:tc>
      </w:tr>
      <w:tr w14:paraId="4D7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BD08C4">
            <w:pPr>
              <w:spacing w:line="500" w:lineRule="exact"/>
              <w:ind w:firstLine="566" w:firstLineChars="200"/>
              <w:rPr>
                <w:rFonts w:hint="eastAsia" w:ascii="仿宋" w:hAnsi="仿宋" w:eastAsia="仿宋" w:cs="Times New Roman"/>
              </w:rPr>
            </w:pPr>
          </w:p>
        </w:tc>
        <w:tc>
          <w:tcPr>
            <w:tcW w:w="1569" w:type="dxa"/>
            <w:vMerge w:val="continue"/>
            <w:vAlign w:val="center"/>
          </w:tcPr>
          <w:p w14:paraId="049B7916">
            <w:pPr>
              <w:spacing w:line="500" w:lineRule="exact"/>
              <w:ind w:firstLine="566" w:firstLineChars="200"/>
              <w:rPr>
                <w:rFonts w:hint="eastAsia" w:ascii="仿宋" w:hAnsi="仿宋" w:eastAsia="仿宋" w:cs="Times New Roman"/>
              </w:rPr>
            </w:pPr>
          </w:p>
        </w:tc>
        <w:tc>
          <w:tcPr>
            <w:tcW w:w="5158" w:type="dxa"/>
            <w:vAlign w:val="center"/>
          </w:tcPr>
          <w:p w14:paraId="61FC5A39">
            <w:pPr>
              <w:spacing w:line="500" w:lineRule="exact"/>
              <w:ind w:firstLine="566" w:firstLineChars="200"/>
              <w:rPr>
                <w:rFonts w:hint="eastAsia" w:ascii="仿宋" w:hAnsi="仿宋" w:eastAsia="仿宋" w:cs="Times New Roman"/>
              </w:rPr>
            </w:pPr>
            <w:r>
              <w:rPr>
                <w:rFonts w:hint="eastAsia" w:ascii="仿宋" w:hAnsi="仿宋" w:eastAsia="仿宋" w:cs="Times New Roman"/>
              </w:rPr>
              <w:t>c）应划分不同的网络区域，并按照方便管理和控制的原则为各网络区域分配地址；</w:t>
            </w:r>
          </w:p>
        </w:tc>
      </w:tr>
      <w:tr w14:paraId="15BA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9920F">
            <w:pPr>
              <w:spacing w:line="500" w:lineRule="exact"/>
              <w:ind w:firstLine="566" w:firstLineChars="200"/>
              <w:rPr>
                <w:rFonts w:hint="eastAsia" w:ascii="仿宋" w:hAnsi="仿宋" w:eastAsia="仿宋" w:cs="Times New Roman"/>
              </w:rPr>
            </w:pPr>
          </w:p>
        </w:tc>
        <w:tc>
          <w:tcPr>
            <w:tcW w:w="1569" w:type="dxa"/>
            <w:vMerge w:val="continue"/>
            <w:vAlign w:val="center"/>
          </w:tcPr>
          <w:p w14:paraId="002827AB">
            <w:pPr>
              <w:spacing w:line="500" w:lineRule="exact"/>
              <w:ind w:firstLine="566" w:firstLineChars="200"/>
              <w:rPr>
                <w:rFonts w:hint="eastAsia" w:ascii="仿宋" w:hAnsi="仿宋" w:eastAsia="仿宋" w:cs="Times New Roman"/>
              </w:rPr>
            </w:pPr>
          </w:p>
        </w:tc>
        <w:tc>
          <w:tcPr>
            <w:tcW w:w="5158" w:type="dxa"/>
            <w:vAlign w:val="center"/>
          </w:tcPr>
          <w:p w14:paraId="64FEBE92">
            <w:pPr>
              <w:spacing w:line="500" w:lineRule="exact"/>
              <w:ind w:firstLine="566" w:firstLineChars="200"/>
              <w:rPr>
                <w:rFonts w:hint="eastAsia" w:ascii="仿宋" w:hAnsi="仿宋" w:eastAsia="仿宋" w:cs="Times New Roman"/>
              </w:rPr>
            </w:pPr>
            <w:r>
              <w:rPr>
                <w:rFonts w:hint="eastAsia" w:ascii="仿宋" w:hAnsi="仿宋" w:eastAsia="仿宋" w:cs="Times New Roman"/>
              </w:rPr>
              <w:t>d）应避免将重要网络区域部署在边界处，重要网络区域与其他网络区域之间应采取可靠的技术隔离手段；</w:t>
            </w:r>
          </w:p>
        </w:tc>
      </w:tr>
      <w:tr w14:paraId="3E8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94396B">
            <w:pPr>
              <w:spacing w:line="500" w:lineRule="exact"/>
              <w:ind w:firstLine="566" w:firstLineChars="200"/>
              <w:rPr>
                <w:rFonts w:hint="eastAsia" w:ascii="仿宋" w:hAnsi="仿宋" w:eastAsia="仿宋" w:cs="Times New Roman"/>
              </w:rPr>
            </w:pPr>
          </w:p>
        </w:tc>
        <w:tc>
          <w:tcPr>
            <w:tcW w:w="1569" w:type="dxa"/>
            <w:vMerge w:val="continue"/>
            <w:vAlign w:val="center"/>
          </w:tcPr>
          <w:p w14:paraId="1E26967E">
            <w:pPr>
              <w:spacing w:line="500" w:lineRule="exact"/>
              <w:ind w:firstLine="566" w:firstLineChars="200"/>
              <w:rPr>
                <w:rFonts w:hint="eastAsia" w:ascii="仿宋" w:hAnsi="仿宋" w:eastAsia="仿宋" w:cs="Times New Roman"/>
              </w:rPr>
            </w:pPr>
          </w:p>
        </w:tc>
        <w:tc>
          <w:tcPr>
            <w:tcW w:w="5158" w:type="dxa"/>
            <w:vAlign w:val="center"/>
          </w:tcPr>
          <w:p w14:paraId="70400CB9">
            <w:pPr>
              <w:spacing w:line="500" w:lineRule="exact"/>
              <w:ind w:firstLine="566" w:firstLineChars="200"/>
              <w:rPr>
                <w:rFonts w:hint="eastAsia" w:ascii="仿宋" w:hAnsi="仿宋" w:eastAsia="仿宋" w:cs="Times New Roman"/>
              </w:rPr>
            </w:pPr>
            <w:r>
              <w:rPr>
                <w:rFonts w:hint="eastAsia" w:ascii="仿宋" w:hAnsi="仿宋" w:eastAsia="仿宋" w:cs="Times New Roman"/>
              </w:rPr>
              <w:t>e）应提供通信线路、关键网络设备和关键计算设备的硬件冗余，保证系统的可用性。</w:t>
            </w:r>
          </w:p>
        </w:tc>
      </w:tr>
      <w:tr w14:paraId="5410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8C39D1">
            <w:pPr>
              <w:spacing w:line="500" w:lineRule="exact"/>
              <w:ind w:firstLine="566" w:firstLineChars="200"/>
              <w:rPr>
                <w:rFonts w:hint="eastAsia" w:ascii="仿宋" w:hAnsi="仿宋" w:eastAsia="仿宋" w:cs="Times New Roman"/>
              </w:rPr>
            </w:pPr>
          </w:p>
        </w:tc>
        <w:tc>
          <w:tcPr>
            <w:tcW w:w="1569" w:type="dxa"/>
            <w:vMerge w:val="restart"/>
            <w:vAlign w:val="center"/>
          </w:tcPr>
          <w:p w14:paraId="1BE8E163">
            <w:pPr>
              <w:spacing w:line="500" w:lineRule="exact"/>
              <w:ind w:firstLine="566" w:firstLineChars="200"/>
              <w:rPr>
                <w:rFonts w:hint="eastAsia" w:ascii="仿宋" w:hAnsi="仿宋" w:eastAsia="仿宋" w:cs="Times New Roman"/>
              </w:rPr>
            </w:pPr>
            <w:r>
              <w:rPr>
                <w:rFonts w:hint="eastAsia" w:ascii="仿宋" w:hAnsi="仿宋" w:eastAsia="仿宋" w:cs="Times New Roman"/>
              </w:rPr>
              <w:t>通信传输</w:t>
            </w:r>
          </w:p>
        </w:tc>
        <w:tc>
          <w:tcPr>
            <w:tcW w:w="5158" w:type="dxa"/>
            <w:vAlign w:val="center"/>
          </w:tcPr>
          <w:p w14:paraId="79288392">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a）应采用校验技术或密码技术保证通信过程中数据的完整性；</w:t>
            </w:r>
          </w:p>
        </w:tc>
      </w:tr>
      <w:tr w14:paraId="01E8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E54F9EA">
            <w:pPr>
              <w:spacing w:line="500" w:lineRule="exact"/>
              <w:ind w:firstLine="566" w:firstLineChars="200"/>
              <w:rPr>
                <w:rFonts w:hint="eastAsia" w:ascii="仿宋" w:hAnsi="仿宋" w:eastAsia="仿宋" w:cs="Times New Roman"/>
              </w:rPr>
            </w:pPr>
          </w:p>
        </w:tc>
        <w:tc>
          <w:tcPr>
            <w:tcW w:w="1569" w:type="dxa"/>
            <w:vMerge w:val="continue"/>
            <w:vAlign w:val="center"/>
          </w:tcPr>
          <w:p w14:paraId="6698CD0B">
            <w:pPr>
              <w:spacing w:line="500" w:lineRule="exact"/>
              <w:ind w:firstLine="566" w:firstLineChars="200"/>
              <w:rPr>
                <w:rFonts w:hint="eastAsia" w:ascii="仿宋" w:hAnsi="仿宋" w:eastAsia="仿宋" w:cs="Times New Roman"/>
              </w:rPr>
            </w:pPr>
          </w:p>
        </w:tc>
        <w:tc>
          <w:tcPr>
            <w:tcW w:w="5158" w:type="dxa"/>
            <w:vAlign w:val="center"/>
          </w:tcPr>
          <w:p w14:paraId="28D6F7D4">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b）应采用密码技术保证通信过程中数据的保密性。</w:t>
            </w:r>
          </w:p>
        </w:tc>
      </w:tr>
      <w:tr w14:paraId="5A5E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35DD1C">
            <w:pPr>
              <w:spacing w:line="500" w:lineRule="exact"/>
              <w:ind w:firstLine="566" w:firstLineChars="200"/>
              <w:rPr>
                <w:rFonts w:hint="eastAsia" w:ascii="仿宋" w:hAnsi="仿宋" w:eastAsia="仿宋" w:cs="Times New Roman"/>
              </w:rPr>
            </w:pPr>
          </w:p>
        </w:tc>
        <w:tc>
          <w:tcPr>
            <w:tcW w:w="1569" w:type="dxa"/>
            <w:vAlign w:val="center"/>
          </w:tcPr>
          <w:p w14:paraId="28DF132A">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66536DD7">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14:paraId="3332022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7B4D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3B4DEE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372547D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56A15EC">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467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3CC4605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c>
        <w:tc>
          <w:tcPr>
            <w:tcW w:w="1569" w:type="dxa"/>
            <w:vMerge w:val="restart"/>
            <w:vAlign w:val="center"/>
          </w:tcPr>
          <w:p w14:paraId="576FBFC7">
            <w:pPr>
              <w:spacing w:line="500" w:lineRule="exact"/>
              <w:ind w:firstLine="566" w:firstLineChars="200"/>
              <w:rPr>
                <w:rFonts w:hint="eastAsia" w:ascii="仿宋" w:hAnsi="仿宋" w:eastAsia="仿宋" w:cs="Times New Roman"/>
              </w:rPr>
            </w:pPr>
            <w:r>
              <w:rPr>
                <w:rFonts w:hint="eastAsia" w:ascii="仿宋" w:hAnsi="仿宋" w:eastAsia="仿宋" w:cs="Times New Roman"/>
              </w:rPr>
              <w:t>边界防护</w:t>
            </w:r>
          </w:p>
        </w:tc>
        <w:tc>
          <w:tcPr>
            <w:tcW w:w="5158" w:type="dxa"/>
            <w:vAlign w:val="center"/>
          </w:tcPr>
          <w:p w14:paraId="56C8D730">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a）应保证跨越边界的访问和数据流通过边界设备提供的受控接口进行通信；</w:t>
            </w:r>
          </w:p>
        </w:tc>
      </w:tr>
      <w:tr w14:paraId="045D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2D154AC">
            <w:pPr>
              <w:spacing w:line="500" w:lineRule="exact"/>
              <w:ind w:firstLine="566" w:firstLineChars="200"/>
              <w:rPr>
                <w:rFonts w:hint="eastAsia" w:ascii="仿宋" w:hAnsi="仿宋" w:eastAsia="仿宋" w:cs="Times New Roman"/>
              </w:rPr>
            </w:pPr>
          </w:p>
        </w:tc>
        <w:tc>
          <w:tcPr>
            <w:tcW w:w="1569" w:type="dxa"/>
            <w:vMerge w:val="continue"/>
            <w:vAlign w:val="center"/>
          </w:tcPr>
          <w:p w14:paraId="1594D2C7">
            <w:pPr>
              <w:spacing w:line="500" w:lineRule="exact"/>
              <w:ind w:firstLine="566" w:firstLineChars="200"/>
              <w:rPr>
                <w:rFonts w:hint="eastAsia" w:ascii="仿宋" w:hAnsi="仿宋" w:eastAsia="仿宋" w:cs="Times New Roman"/>
              </w:rPr>
            </w:pPr>
          </w:p>
        </w:tc>
        <w:tc>
          <w:tcPr>
            <w:tcW w:w="5158" w:type="dxa"/>
            <w:vAlign w:val="center"/>
          </w:tcPr>
          <w:p w14:paraId="6753D3E7">
            <w:pPr>
              <w:spacing w:line="500" w:lineRule="exact"/>
              <w:ind w:firstLine="566" w:firstLineChars="200"/>
              <w:rPr>
                <w:rFonts w:hint="eastAsia" w:ascii="仿宋" w:hAnsi="仿宋" w:eastAsia="仿宋" w:cs="Times New Roman"/>
              </w:rPr>
            </w:pPr>
            <w:r>
              <w:rPr>
                <w:rFonts w:hint="eastAsia" w:ascii="仿宋" w:hAnsi="仿宋" w:eastAsia="仿宋" w:cs="Times New Roman"/>
              </w:rPr>
              <w:t>b）应能够对非授权设备私自联到内部网络的行为进行核查或限制；</w:t>
            </w:r>
          </w:p>
        </w:tc>
      </w:tr>
      <w:tr w14:paraId="747F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40E6CF2">
            <w:pPr>
              <w:spacing w:line="500" w:lineRule="exact"/>
              <w:ind w:firstLine="566" w:firstLineChars="200"/>
              <w:rPr>
                <w:rFonts w:hint="eastAsia" w:ascii="仿宋" w:hAnsi="仿宋" w:eastAsia="仿宋" w:cs="Times New Roman"/>
              </w:rPr>
            </w:pPr>
          </w:p>
        </w:tc>
        <w:tc>
          <w:tcPr>
            <w:tcW w:w="1569" w:type="dxa"/>
            <w:vMerge w:val="continue"/>
            <w:vAlign w:val="center"/>
          </w:tcPr>
          <w:p w14:paraId="01B54E82">
            <w:pPr>
              <w:spacing w:line="500" w:lineRule="exact"/>
              <w:ind w:firstLine="566" w:firstLineChars="200"/>
              <w:rPr>
                <w:rFonts w:hint="eastAsia" w:ascii="仿宋" w:hAnsi="仿宋" w:eastAsia="仿宋" w:cs="Times New Roman"/>
              </w:rPr>
            </w:pPr>
          </w:p>
        </w:tc>
        <w:tc>
          <w:tcPr>
            <w:tcW w:w="5158" w:type="dxa"/>
            <w:vAlign w:val="center"/>
          </w:tcPr>
          <w:p w14:paraId="4A79FEB2">
            <w:pPr>
              <w:spacing w:line="500" w:lineRule="exact"/>
              <w:ind w:firstLine="566" w:firstLineChars="200"/>
              <w:rPr>
                <w:rFonts w:hint="eastAsia" w:ascii="仿宋" w:hAnsi="仿宋" w:eastAsia="仿宋" w:cs="Times New Roman"/>
              </w:rPr>
            </w:pPr>
            <w:r>
              <w:rPr>
                <w:rFonts w:hint="eastAsia" w:ascii="仿宋" w:hAnsi="仿宋" w:eastAsia="仿宋" w:cs="Times New Roman"/>
              </w:rPr>
              <w:t>c）应能够对内部用户非授权联到外部网络的行为进行核查或限制；</w:t>
            </w:r>
          </w:p>
        </w:tc>
      </w:tr>
      <w:tr w14:paraId="3677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A95506">
            <w:pPr>
              <w:spacing w:line="500" w:lineRule="exact"/>
              <w:ind w:firstLine="566" w:firstLineChars="200"/>
              <w:rPr>
                <w:rFonts w:hint="eastAsia" w:ascii="仿宋" w:hAnsi="仿宋" w:eastAsia="仿宋" w:cs="Times New Roman"/>
              </w:rPr>
            </w:pPr>
          </w:p>
        </w:tc>
        <w:tc>
          <w:tcPr>
            <w:tcW w:w="1569" w:type="dxa"/>
            <w:vMerge w:val="continue"/>
            <w:vAlign w:val="center"/>
          </w:tcPr>
          <w:p w14:paraId="3110E618">
            <w:pPr>
              <w:spacing w:line="500" w:lineRule="exact"/>
              <w:ind w:firstLine="566" w:firstLineChars="200"/>
              <w:rPr>
                <w:rFonts w:hint="eastAsia" w:ascii="仿宋" w:hAnsi="仿宋" w:eastAsia="仿宋" w:cs="Times New Roman"/>
              </w:rPr>
            </w:pPr>
          </w:p>
        </w:tc>
        <w:tc>
          <w:tcPr>
            <w:tcW w:w="5158" w:type="dxa"/>
            <w:vAlign w:val="center"/>
          </w:tcPr>
          <w:p w14:paraId="4CBE39D6">
            <w:pPr>
              <w:spacing w:line="500" w:lineRule="exact"/>
              <w:ind w:firstLine="566" w:firstLineChars="200"/>
              <w:rPr>
                <w:rFonts w:hint="eastAsia" w:ascii="仿宋" w:hAnsi="仿宋" w:eastAsia="仿宋" w:cs="Times New Roman"/>
              </w:rPr>
            </w:pPr>
            <w:r>
              <w:rPr>
                <w:rFonts w:hint="eastAsia" w:ascii="仿宋" w:hAnsi="仿宋" w:eastAsia="仿宋" w:cs="Times New Roman"/>
              </w:rPr>
              <w:t>d）应限制无线网络的使用，保证无线网络通过受控的边界设备接入内部网络。</w:t>
            </w:r>
          </w:p>
        </w:tc>
      </w:tr>
      <w:tr w14:paraId="0CAD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80BBEA">
            <w:pPr>
              <w:spacing w:line="500" w:lineRule="exact"/>
              <w:ind w:firstLine="566" w:firstLineChars="200"/>
              <w:rPr>
                <w:rFonts w:hint="eastAsia" w:ascii="仿宋" w:hAnsi="仿宋" w:eastAsia="仿宋" w:cs="Times New Roman"/>
              </w:rPr>
            </w:pPr>
          </w:p>
        </w:tc>
        <w:tc>
          <w:tcPr>
            <w:tcW w:w="1569" w:type="dxa"/>
            <w:vMerge w:val="restart"/>
            <w:vAlign w:val="center"/>
          </w:tcPr>
          <w:p w14:paraId="4EBDFEF1">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50D06F62">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a）应在网络边界或区域之间根据访问控制策略设置访问控制规则，默认情况下除允许通信外受控接口拒绝所有通信；</w:t>
            </w:r>
          </w:p>
        </w:tc>
      </w:tr>
      <w:tr w14:paraId="359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FA2404">
            <w:pPr>
              <w:spacing w:line="500" w:lineRule="exact"/>
              <w:ind w:firstLine="566" w:firstLineChars="200"/>
              <w:rPr>
                <w:rFonts w:hint="eastAsia" w:ascii="仿宋" w:hAnsi="仿宋" w:eastAsia="仿宋" w:cs="Times New Roman"/>
              </w:rPr>
            </w:pPr>
          </w:p>
        </w:tc>
        <w:tc>
          <w:tcPr>
            <w:tcW w:w="1569" w:type="dxa"/>
            <w:vMerge w:val="continue"/>
            <w:vAlign w:val="center"/>
          </w:tcPr>
          <w:p w14:paraId="21D6DB36">
            <w:pPr>
              <w:spacing w:line="500" w:lineRule="exact"/>
              <w:ind w:firstLine="566" w:firstLineChars="200"/>
              <w:rPr>
                <w:rFonts w:hint="eastAsia" w:ascii="仿宋" w:hAnsi="仿宋" w:eastAsia="仿宋" w:cs="Times New Roman"/>
              </w:rPr>
            </w:pPr>
          </w:p>
        </w:tc>
        <w:tc>
          <w:tcPr>
            <w:tcW w:w="5158" w:type="dxa"/>
            <w:vAlign w:val="center"/>
          </w:tcPr>
          <w:p w14:paraId="123105DD">
            <w:pPr>
              <w:spacing w:line="500" w:lineRule="exact"/>
              <w:ind w:firstLine="566" w:firstLineChars="200"/>
              <w:rPr>
                <w:rFonts w:hint="eastAsia" w:ascii="仿宋" w:hAnsi="仿宋" w:eastAsia="仿宋" w:cs="Times New Roman"/>
              </w:rPr>
            </w:pPr>
            <w:r>
              <w:rPr>
                <w:rFonts w:hint="eastAsia" w:ascii="仿宋" w:hAnsi="仿宋" w:eastAsia="仿宋" w:cs="Times New Roman"/>
              </w:rPr>
              <w:t>b）应删除多余或无效的访问控制规则，优化访问控制列表，并保证访问控制规则数量最小化；</w:t>
            </w:r>
          </w:p>
        </w:tc>
      </w:tr>
      <w:tr w14:paraId="172B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85BA8C">
            <w:pPr>
              <w:spacing w:line="500" w:lineRule="exact"/>
              <w:ind w:firstLine="566" w:firstLineChars="200"/>
              <w:rPr>
                <w:rFonts w:hint="eastAsia" w:ascii="仿宋" w:hAnsi="仿宋" w:eastAsia="仿宋" w:cs="Times New Roman"/>
              </w:rPr>
            </w:pPr>
          </w:p>
        </w:tc>
        <w:tc>
          <w:tcPr>
            <w:tcW w:w="1569" w:type="dxa"/>
            <w:vMerge w:val="continue"/>
            <w:vAlign w:val="center"/>
          </w:tcPr>
          <w:p w14:paraId="3B13653F">
            <w:pPr>
              <w:spacing w:line="500" w:lineRule="exact"/>
              <w:ind w:firstLine="566" w:firstLineChars="200"/>
              <w:rPr>
                <w:rFonts w:hint="eastAsia" w:ascii="仿宋" w:hAnsi="仿宋" w:eastAsia="仿宋" w:cs="Times New Roman"/>
              </w:rPr>
            </w:pPr>
          </w:p>
        </w:tc>
        <w:tc>
          <w:tcPr>
            <w:tcW w:w="5158" w:type="dxa"/>
            <w:vAlign w:val="center"/>
          </w:tcPr>
          <w:p w14:paraId="2261565C">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c）应对源地址、目的地址、源端口、目的端口和协议等进行核查，以允许/拒绝数据包进出；</w:t>
            </w:r>
          </w:p>
        </w:tc>
      </w:tr>
      <w:tr w14:paraId="241D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4E5150">
            <w:pPr>
              <w:spacing w:line="500" w:lineRule="exact"/>
              <w:ind w:firstLine="566" w:firstLineChars="200"/>
              <w:rPr>
                <w:rFonts w:hint="eastAsia" w:ascii="仿宋" w:hAnsi="仿宋" w:eastAsia="仿宋" w:cs="Times New Roman"/>
              </w:rPr>
            </w:pPr>
          </w:p>
        </w:tc>
        <w:tc>
          <w:tcPr>
            <w:tcW w:w="1569" w:type="dxa"/>
            <w:vMerge w:val="continue"/>
            <w:vAlign w:val="center"/>
          </w:tcPr>
          <w:p w14:paraId="31EB8AEA">
            <w:pPr>
              <w:spacing w:line="500" w:lineRule="exact"/>
              <w:ind w:firstLine="566" w:firstLineChars="200"/>
              <w:rPr>
                <w:rFonts w:hint="eastAsia" w:ascii="仿宋" w:hAnsi="仿宋" w:eastAsia="仿宋" w:cs="Times New Roman"/>
              </w:rPr>
            </w:pPr>
          </w:p>
        </w:tc>
        <w:tc>
          <w:tcPr>
            <w:tcW w:w="5158" w:type="dxa"/>
            <w:vAlign w:val="center"/>
          </w:tcPr>
          <w:p w14:paraId="1BCA8DD9">
            <w:pPr>
              <w:spacing w:line="500" w:lineRule="exact"/>
              <w:ind w:firstLine="566" w:firstLineChars="200"/>
              <w:rPr>
                <w:rFonts w:hint="eastAsia" w:ascii="仿宋" w:hAnsi="仿宋" w:eastAsia="仿宋" w:cs="Times New Roman"/>
              </w:rPr>
            </w:pPr>
            <w:r>
              <w:rPr>
                <w:rFonts w:hint="eastAsia" w:ascii="仿宋" w:hAnsi="仿宋" w:eastAsia="仿宋" w:cs="Times New Roman"/>
              </w:rPr>
              <w:t>d）应能根据会话状态信息为进出数据流提供明确的允许/拒绝访问的能力；</w:t>
            </w:r>
          </w:p>
        </w:tc>
      </w:tr>
      <w:tr w14:paraId="167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54FB19">
            <w:pPr>
              <w:spacing w:line="500" w:lineRule="exact"/>
              <w:ind w:firstLine="566" w:firstLineChars="200"/>
              <w:rPr>
                <w:rFonts w:hint="eastAsia" w:ascii="仿宋" w:hAnsi="仿宋" w:eastAsia="仿宋" w:cs="Times New Roman"/>
              </w:rPr>
            </w:pPr>
          </w:p>
        </w:tc>
        <w:tc>
          <w:tcPr>
            <w:tcW w:w="1569" w:type="dxa"/>
            <w:vMerge w:val="continue"/>
            <w:vAlign w:val="center"/>
          </w:tcPr>
          <w:p w14:paraId="15C50797">
            <w:pPr>
              <w:spacing w:line="500" w:lineRule="exact"/>
              <w:ind w:firstLine="566" w:firstLineChars="200"/>
              <w:rPr>
                <w:rFonts w:hint="eastAsia" w:ascii="仿宋" w:hAnsi="仿宋" w:eastAsia="仿宋" w:cs="Times New Roman"/>
              </w:rPr>
            </w:pPr>
          </w:p>
        </w:tc>
        <w:tc>
          <w:tcPr>
            <w:tcW w:w="5158" w:type="dxa"/>
            <w:vAlign w:val="center"/>
          </w:tcPr>
          <w:p w14:paraId="7BC5820D">
            <w:pPr>
              <w:spacing w:line="500" w:lineRule="exact"/>
              <w:ind w:firstLine="566" w:firstLineChars="200"/>
              <w:rPr>
                <w:rFonts w:hint="eastAsia" w:ascii="仿宋" w:hAnsi="仿宋" w:eastAsia="仿宋" w:cs="Times New Roman"/>
              </w:rPr>
            </w:pPr>
            <w:r>
              <w:rPr>
                <w:rFonts w:hint="eastAsia" w:ascii="仿宋" w:hAnsi="仿宋" w:eastAsia="仿宋" w:cs="Times New Roman"/>
              </w:rPr>
              <w:t>e）应对进出网络的数据流实现基于应用协议和应用内容的访问控制。</w:t>
            </w:r>
          </w:p>
        </w:tc>
      </w:tr>
      <w:tr w14:paraId="6537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FBDB6E">
            <w:pPr>
              <w:spacing w:line="500" w:lineRule="exact"/>
              <w:ind w:firstLine="566" w:firstLineChars="200"/>
              <w:rPr>
                <w:rFonts w:hint="eastAsia" w:ascii="仿宋" w:hAnsi="仿宋" w:eastAsia="仿宋" w:cs="Times New Roman"/>
              </w:rPr>
            </w:pPr>
          </w:p>
        </w:tc>
        <w:tc>
          <w:tcPr>
            <w:tcW w:w="1569" w:type="dxa"/>
            <w:vMerge w:val="restart"/>
            <w:vAlign w:val="center"/>
          </w:tcPr>
          <w:p w14:paraId="3DEEBAA4">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1EF63080">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a）应在关键网络节点处检测、防止或限制从外部发起的网络攻击行为；</w:t>
            </w:r>
          </w:p>
        </w:tc>
      </w:tr>
      <w:tr w14:paraId="3C01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04E748">
            <w:pPr>
              <w:spacing w:line="500" w:lineRule="exact"/>
              <w:ind w:firstLine="566" w:firstLineChars="200"/>
              <w:rPr>
                <w:rFonts w:hint="eastAsia" w:ascii="仿宋" w:hAnsi="仿宋" w:eastAsia="仿宋" w:cs="Times New Roman"/>
              </w:rPr>
            </w:pPr>
          </w:p>
        </w:tc>
        <w:tc>
          <w:tcPr>
            <w:tcW w:w="1569" w:type="dxa"/>
            <w:vMerge w:val="continue"/>
            <w:vAlign w:val="center"/>
          </w:tcPr>
          <w:p w14:paraId="6A71AEFF">
            <w:pPr>
              <w:spacing w:line="500" w:lineRule="exact"/>
              <w:ind w:firstLine="566" w:firstLineChars="200"/>
              <w:rPr>
                <w:rFonts w:hint="eastAsia" w:ascii="仿宋" w:hAnsi="仿宋" w:eastAsia="仿宋" w:cs="Times New Roman"/>
              </w:rPr>
            </w:pPr>
          </w:p>
        </w:tc>
        <w:tc>
          <w:tcPr>
            <w:tcW w:w="5158" w:type="dxa"/>
            <w:vAlign w:val="center"/>
          </w:tcPr>
          <w:p w14:paraId="61849F49">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b）应在关键网络节点处检测、防止或限制从内部发起的网络攻击行为；</w:t>
            </w:r>
          </w:p>
        </w:tc>
      </w:tr>
      <w:tr w14:paraId="00D9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5BCC692">
            <w:pPr>
              <w:spacing w:line="500" w:lineRule="exact"/>
              <w:ind w:firstLine="566" w:firstLineChars="200"/>
              <w:rPr>
                <w:rFonts w:hint="eastAsia" w:ascii="仿宋" w:hAnsi="仿宋" w:eastAsia="仿宋" w:cs="Times New Roman"/>
              </w:rPr>
            </w:pPr>
          </w:p>
        </w:tc>
        <w:tc>
          <w:tcPr>
            <w:tcW w:w="1569" w:type="dxa"/>
            <w:vMerge w:val="continue"/>
            <w:vAlign w:val="center"/>
          </w:tcPr>
          <w:p w14:paraId="2848741F">
            <w:pPr>
              <w:spacing w:line="500" w:lineRule="exact"/>
              <w:ind w:firstLine="566" w:firstLineChars="200"/>
              <w:rPr>
                <w:rFonts w:hint="eastAsia" w:ascii="仿宋" w:hAnsi="仿宋" w:eastAsia="仿宋" w:cs="Times New Roman"/>
              </w:rPr>
            </w:pPr>
          </w:p>
        </w:tc>
        <w:tc>
          <w:tcPr>
            <w:tcW w:w="5158" w:type="dxa"/>
            <w:vAlign w:val="center"/>
          </w:tcPr>
          <w:p w14:paraId="086C58BD">
            <w:pPr>
              <w:spacing w:line="500" w:lineRule="exact"/>
              <w:ind w:firstLine="566" w:firstLineChars="200"/>
              <w:rPr>
                <w:rFonts w:hint="eastAsia" w:ascii="仿宋" w:hAnsi="仿宋" w:eastAsia="仿宋" w:cs="Times New Roman"/>
              </w:rPr>
            </w:pPr>
            <w:r>
              <w:rPr>
                <w:rFonts w:hint="eastAsia" w:ascii="仿宋" w:hAnsi="仿宋" w:eastAsia="仿宋" w:cs="Times New Roman"/>
              </w:rPr>
              <w:t>c）应采取技术措施对网络行为进行分析，实现对网络攻击特别是新型网络攻击行为的分析；</w:t>
            </w:r>
          </w:p>
        </w:tc>
      </w:tr>
      <w:tr w14:paraId="45B9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B857C95">
            <w:pPr>
              <w:spacing w:line="500" w:lineRule="exact"/>
              <w:ind w:firstLine="566" w:firstLineChars="200"/>
              <w:rPr>
                <w:rFonts w:hint="eastAsia" w:ascii="仿宋" w:hAnsi="仿宋" w:eastAsia="仿宋" w:cs="Times New Roman"/>
              </w:rPr>
            </w:pPr>
          </w:p>
        </w:tc>
        <w:tc>
          <w:tcPr>
            <w:tcW w:w="1569" w:type="dxa"/>
            <w:vMerge w:val="continue"/>
            <w:vAlign w:val="center"/>
          </w:tcPr>
          <w:p w14:paraId="7D667ACF">
            <w:pPr>
              <w:spacing w:line="500" w:lineRule="exact"/>
              <w:ind w:firstLine="566" w:firstLineChars="200"/>
              <w:rPr>
                <w:rFonts w:hint="eastAsia" w:ascii="仿宋" w:hAnsi="仿宋" w:eastAsia="仿宋" w:cs="Times New Roman"/>
              </w:rPr>
            </w:pPr>
          </w:p>
        </w:tc>
        <w:tc>
          <w:tcPr>
            <w:tcW w:w="5158" w:type="dxa"/>
            <w:vAlign w:val="center"/>
          </w:tcPr>
          <w:p w14:paraId="66843C2A">
            <w:pPr>
              <w:spacing w:line="500" w:lineRule="exact"/>
              <w:ind w:firstLine="566" w:firstLineChars="200"/>
              <w:rPr>
                <w:rFonts w:hint="eastAsia" w:ascii="仿宋" w:hAnsi="仿宋" w:eastAsia="仿宋" w:cs="Times New Roman"/>
              </w:rPr>
            </w:pPr>
            <w:r>
              <w:rPr>
                <w:rFonts w:hint="eastAsia" w:ascii="仿宋" w:hAnsi="仿宋" w:eastAsia="仿宋" w:cs="Times New Roman"/>
              </w:rPr>
              <w:t>d）当检测到攻击行为时，记录攻击源IP、攻击类型、攻击目标、攻击时间，在发生严重入侵事件时应提供报警。</w:t>
            </w:r>
          </w:p>
        </w:tc>
      </w:tr>
      <w:tr w14:paraId="609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2F54C46">
            <w:pPr>
              <w:spacing w:line="500" w:lineRule="exact"/>
              <w:ind w:firstLine="566" w:firstLineChars="200"/>
              <w:rPr>
                <w:rFonts w:hint="eastAsia" w:ascii="仿宋" w:hAnsi="仿宋" w:eastAsia="仿宋" w:cs="Times New Roman"/>
              </w:rPr>
            </w:pPr>
          </w:p>
        </w:tc>
        <w:tc>
          <w:tcPr>
            <w:tcW w:w="1569" w:type="dxa"/>
            <w:vMerge w:val="restart"/>
            <w:vAlign w:val="center"/>
          </w:tcPr>
          <w:p w14:paraId="0A23A27D">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恶意代码和垃圾邮件防范</w:t>
            </w:r>
          </w:p>
        </w:tc>
        <w:tc>
          <w:tcPr>
            <w:tcW w:w="5158" w:type="dxa"/>
            <w:vAlign w:val="center"/>
          </w:tcPr>
          <w:p w14:paraId="5F52D684">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a）应在关键网络节点处对恶意代码进行检测和清除，并维护恶意代码防护机制的升级和更新；</w:t>
            </w:r>
          </w:p>
        </w:tc>
      </w:tr>
      <w:tr w14:paraId="7FF7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4009BF">
            <w:pPr>
              <w:spacing w:line="500" w:lineRule="exact"/>
              <w:ind w:firstLine="566" w:firstLineChars="200"/>
              <w:rPr>
                <w:rFonts w:hint="eastAsia" w:ascii="仿宋" w:hAnsi="仿宋" w:eastAsia="仿宋" w:cs="Times New Roman"/>
              </w:rPr>
            </w:pPr>
          </w:p>
        </w:tc>
        <w:tc>
          <w:tcPr>
            <w:tcW w:w="1569" w:type="dxa"/>
            <w:vMerge w:val="continue"/>
            <w:vAlign w:val="center"/>
          </w:tcPr>
          <w:p w14:paraId="4F50095A">
            <w:pPr>
              <w:spacing w:line="500" w:lineRule="exact"/>
              <w:ind w:firstLine="566" w:firstLineChars="200"/>
              <w:rPr>
                <w:rFonts w:hint="eastAsia" w:ascii="仿宋" w:hAnsi="仿宋" w:eastAsia="仿宋" w:cs="Times New Roman"/>
              </w:rPr>
            </w:pPr>
          </w:p>
        </w:tc>
        <w:tc>
          <w:tcPr>
            <w:tcW w:w="5158" w:type="dxa"/>
            <w:vAlign w:val="center"/>
          </w:tcPr>
          <w:p w14:paraId="1077E50B">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b）应在关键网络节点处对垃圾邮件进行检测和防护，并维护垃圾邮件防护机制的升级和更新。</w:t>
            </w:r>
          </w:p>
        </w:tc>
      </w:tr>
      <w:tr w14:paraId="25A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E8BA3B">
            <w:pPr>
              <w:spacing w:line="500" w:lineRule="exact"/>
              <w:ind w:firstLine="566" w:firstLineChars="200"/>
              <w:rPr>
                <w:rFonts w:hint="eastAsia" w:ascii="仿宋" w:hAnsi="仿宋" w:eastAsia="仿宋" w:cs="Times New Roman"/>
              </w:rPr>
            </w:pPr>
          </w:p>
        </w:tc>
        <w:tc>
          <w:tcPr>
            <w:tcW w:w="1569" w:type="dxa"/>
            <w:vMerge w:val="restart"/>
            <w:vAlign w:val="center"/>
          </w:tcPr>
          <w:p w14:paraId="66917C0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6F5CFD7F">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a）应在网络边界、重要网络节点进行安全审计，审计覆盖到每个用户，对重要的用户行为和重要安全事件进行审计；</w:t>
            </w:r>
          </w:p>
        </w:tc>
      </w:tr>
      <w:tr w14:paraId="4FCA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E95E9C">
            <w:pPr>
              <w:spacing w:line="500" w:lineRule="exact"/>
              <w:ind w:firstLine="566" w:firstLineChars="200"/>
              <w:rPr>
                <w:rFonts w:hint="eastAsia" w:ascii="仿宋" w:hAnsi="仿宋" w:eastAsia="仿宋" w:cs="Times New Roman"/>
              </w:rPr>
            </w:pPr>
          </w:p>
        </w:tc>
        <w:tc>
          <w:tcPr>
            <w:tcW w:w="1569" w:type="dxa"/>
            <w:vMerge w:val="continue"/>
            <w:vAlign w:val="center"/>
          </w:tcPr>
          <w:p w14:paraId="051CB9B5">
            <w:pPr>
              <w:spacing w:line="500" w:lineRule="exact"/>
              <w:ind w:firstLine="566" w:firstLineChars="200"/>
              <w:rPr>
                <w:rFonts w:hint="eastAsia" w:ascii="仿宋" w:hAnsi="仿宋" w:eastAsia="仿宋" w:cs="Times New Roman"/>
              </w:rPr>
            </w:pPr>
          </w:p>
        </w:tc>
        <w:tc>
          <w:tcPr>
            <w:tcW w:w="5158" w:type="dxa"/>
            <w:vAlign w:val="center"/>
          </w:tcPr>
          <w:p w14:paraId="0D3CA689">
            <w:pPr>
              <w:spacing w:line="500" w:lineRule="exact"/>
              <w:ind w:firstLine="566"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C7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E5D8F5">
            <w:pPr>
              <w:spacing w:line="500" w:lineRule="exact"/>
              <w:ind w:firstLine="566" w:firstLineChars="200"/>
              <w:rPr>
                <w:rFonts w:hint="eastAsia" w:ascii="仿宋" w:hAnsi="仿宋" w:eastAsia="仿宋" w:cs="Times New Roman"/>
              </w:rPr>
            </w:pPr>
          </w:p>
        </w:tc>
        <w:tc>
          <w:tcPr>
            <w:tcW w:w="1569" w:type="dxa"/>
            <w:vMerge w:val="continue"/>
            <w:vAlign w:val="center"/>
          </w:tcPr>
          <w:p w14:paraId="59B6EDDA">
            <w:pPr>
              <w:spacing w:line="500" w:lineRule="exact"/>
              <w:ind w:firstLine="566" w:firstLineChars="200"/>
              <w:rPr>
                <w:rFonts w:hint="eastAsia" w:ascii="仿宋" w:hAnsi="仿宋" w:eastAsia="仿宋" w:cs="Times New Roman"/>
              </w:rPr>
            </w:pPr>
          </w:p>
        </w:tc>
        <w:tc>
          <w:tcPr>
            <w:tcW w:w="5158" w:type="dxa"/>
            <w:vAlign w:val="center"/>
          </w:tcPr>
          <w:p w14:paraId="0C569362">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0061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203B7">
            <w:pPr>
              <w:spacing w:line="500" w:lineRule="exact"/>
              <w:ind w:firstLine="566" w:firstLineChars="200"/>
              <w:rPr>
                <w:rFonts w:hint="eastAsia" w:ascii="仿宋" w:hAnsi="仿宋" w:eastAsia="仿宋" w:cs="Times New Roman"/>
              </w:rPr>
            </w:pPr>
          </w:p>
        </w:tc>
        <w:tc>
          <w:tcPr>
            <w:tcW w:w="1569" w:type="dxa"/>
            <w:vMerge w:val="continue"/>
            <w:vAlign w:val="center"/>
          </w:tcPr>
          <w:p w14:paraId="7CB5256A">
            <w:pPr>
              <w:spacing w:line="500" w:lineRule="exact"/>
              <w:ind w:firstLine="566" w:firstLineChars="200"/>
              <w:rPr>
                <w:rFonts w:hint="eastAsia" w:ascii="仿宋" w:hAnsi="仿宋" w:eastAsia="仿宋" w:cs="Times New Roman"/>
              </w:rPr>
            </w:pPr>
          </w:p>
        </w:tc>
        <w:tc>
          <w:tcPr>
            <w:tcW w:w="5158" w:type="dxa"/>
            <w:vAlign w:val="center"/>
          </w:tcPr>
          <w:p w14:paraId="4EA72B10">
            <w:pPr>
              <w:spacing w:line="500" w:lineRule="exact"/>
              <w:ind w:firstLine="566" w:firstLineChars="200"/>
              <w:rPr>
                <w:rFonts w:hint="eastAsia" w:ascii="仿宋" w:hAnsi="仿宋" w:eastAsia="仿宋" w:cs="Times New Roman"/>
              </w:rPr>
            </w:pPr>
            <w:r>
              <w:rPr>
                <w:rFonts w:hint="eastAsia" w:ascii="仿宋" w:hAnsi="仿宋" w:eastAsia="仿宋" w:cs="Times New Roman"/>
              </w:rPr>
              <w:t>d）应能对远程访问的用户行为、访问互联网的用户行为等单独进行行为审计和数据分析。</w:t>
            </w:r>
          </w:p>
        </w:tc>
      </w:tr>
      <w:tr w14:paraId="0B4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219CE52">
            <w:pPr>
              <w:spacing w:line="500" w:lineRule="exact"/>
              <w:ind w:firstLine="566" w:firstLineChars="200"/>
              <w:rPr>
                <w:rFonts w:hint="eastAsia" w:ascii="仿宋" w:hAnsi="仿宋" w:eastAsia="仿宋" w:cs="Times New Roman"/>
              </w:rPr>
            </w:pPr>
          </w:p>
        </w:tc>
        <w:tc>
          <w:tcPr>
            <w:tcW w:w="1569" w:type="dxa"/>
            <w:vAlign w:val="center"/>
          </w:tcPr>
          <w:p w14:paraId="6A6D6DEC">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099AA129">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14:paraId="767DAC0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5C94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538DADD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16574B1F">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6E79114">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2EF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1FF1F06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c>
        <w:tc>
          <w:tcPr>
            <w:tcW w:w="1569" w:type="dxa"/>
            <w:vMerge w:val="restart"/>
            <w:vAlign w:val="center"/>
          </w:tcPr>
          <w:p w14:paraId="0010CF1D">
            <w:pPr>
              <w:spacing w:line="500" w:lineRule="exact"/>
              <w:ind w:firstLine="566" w:firstLineChars="200"/>
              <w:rPr>
                <w:rFonts w:hint="eastAsia" w:ascii="仿宋" w:hAnsi="仿宋" w:eastAsia="仿宋" w:cs="Times New Roman"/>
              </w:rPr>
            </w:pPr>
            <w:r>
              <w:rPr>
                <w:rFonts w:hint="eastAsia" w:ascii="仿宋" w:hAnsi="仿宋" w:eastAsia="仿宋" w:cs="Times New Roman"/>
              </w:rPr>
              <w:t>身份</w:t>
            </w:r>
          </w:p>
          <w:p w14:paraId="7F379D16">
            <w:pPr>
              <w:spacing w:line="500" w:lineRule="exact"/>
              <w:ind w:firstLine="566" w:firstLineChars="200"/>
              <w:rPr>
                <w:rFonts w:hint="eastAsia" w:ascii="仿宋" w:hAnsi="仿宋" w:eastAsia="仿宋" w:cs="Times New Roman"/>
              </w:rPr>
            </w:pPr>
            <w:r>
              <w:rPr>
                <w:rFonts w:hint="eastAsia" w:ascii="仿宋" w:hAnsi="仿宋" w:eastAsia="仿宋" w:cs="Times New Roman"/>
              </w:rPr>
              <w:t>鉴别</w:t>
            </w:r>
          </w:p>
        </w:tc>
        <w:tc>
          <w:tcPr>
            <w:tcW w:w="5158" w:type="dxa"/>
            <w:vAlign w:val="center"/>
          </w:tcPr>
          <w:p w14:paraId="6BD8D64F">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a）应对登录的用户进行身份标识和鉴别，身份标识具有唯一性，身份鉴别信息具有复杂度要求并定期更换；</w:t>
            </w:r>
          </w:p>
        </w:tc>
      </w:tr>
      <w:tr w14:paraId="0933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7599514">
            <w:pPr>
              <w:spacing w:line="500" w:lineRule="exact"/>
              <w:ind w:firstLine="566" w:firstLineChars="200"/>
              <w:rPr>
                <w:rFonts w:hint="eastAsia" w:ascii="仿宋" w:hAnsi="仿宋" w:eastAsia="仿宋" w:cs="Times New Roman"/>
              </w:rPr>
            </w:pPr>
          </w:p>
        </w:tc>
        <w:tc>
          <w:tcPr>
            <w:tcW w:w="1569" w:type="dxa"/>
            <w:vMerge w:val="continue"/>
            <w:vAlign w:val="center"/>
          </w:tcPr>
          <w:p w14:paraId="2C4C9F55">
            <w:pPr>
              <w:spacing w:line="500" w:lineRule="exact"/>
              <w:ind w:firstLine="566" w:firstLineChars="200"/>
              <w:rPr>
                <w:rFonts w:hint="eastAsia" w:ascii="仿宋" w:hAnsi="仿宋" w:eastAsia="仿宋" w:cs="Times New Roman"/>
              </w:rPr>
            </w:pPr>
          </w:p>
        </w:tc>
        <w:tc>
          <w:tcPr>
            <w:tcW w:w="5158" w:type="dxa"/>
            <w:vAlign w:val="center"/>
          </w:tcPr>
          <w:p w14:paraId="33B7CDE4">
            <w:pPr>
              <w:spacing w:line="500" w:lineRule="exact"/>
              <w:ind w:firstLine="566" w:firstLineChars="200"/>
              <w:rPr>
                <w:rFonts w:hint="eastAsia" w:ascii="仿宋" w:hAnsi="仿宋" w:eastAsia="仿宋" w:cs="Times New Roman"/>
              </w:rPr>
            </w:pPr>
            <w:r>
              <w:rPr>
                <w:rFonts w:hint="eastAsia" w:ascii="仿宋" w:hAnsi="仿宋" w:eastAsia="仿宋" w:cs="Times New Roman"/>
              </w:rPr>
              <w:t>b）应具有登录失败处理功能，应配置并启用结束会话、限制非法登录次数和当登录连接超时自动退出等相关措施；</w:t>
            </w:r>
          </w:p>
        </w:tc>
      </w:tr>
      <w:tr w14:paraId="4B87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253373D">
            <w:pPr>
              <w:spacing w:line="500" w:lineRule="exact"/>
              <w:ind w:firstLine="566" w:firstLineChars="200"/>
              <w:rPr>
                <w:rFonts w:hint="eastAsia" w:ascii="仿宋" w:hAnsi="仿宋" w:eastAsia="仿宋" w:cs="Times New Roman"/>
              </w:rPr>
            </w:pPr>
          </w:p>
        </w:tc>
        <w:tc>
          <w:tcPr>
            <w:tcW w:w="1569" w:type="dxa"/>
            <w:vMerge w:val="continue"/>
            <w:vAlign w:val="center"/>
          </w:tcPr>
          <w:p w14:paraId="77DBD692">
            <w:pPr>
              <w:spacing w:line="500" w:lineRule="exact"/>
              <w:ind w:firstLine="566" w:firstLineChars="200"/>
              <w:rPr>
                <w:rFonts w:hint="eastAsia" w:ascii="仿宋" w:hAnsi="仿宋" w:eastAsia="仿宋" w:cs="Times New Roman"/>
              </w:rPr>
            </w:pPr>
          </w:p>
        </w:tc>
        <w:tc>
          <w:tcPr>
            <w:tcW w:w="5158" w:type="dxa"/>
            <w:vAlign w:val="center"/>
          </w:tcPr>
          <w:p w14:paraId="689D5C73">
            <w:pPr>
              <w:spacing w:line="500" w:lineRule="exact"/>
              <w:ind w:firstLine="566" w:firstLineChars="200"/>
              <w:rPr>
                <w:rFonts w:hint="eastAsia" w:ascii="仿宋" w:hAnsi="仿宋" w:eastAsia="仿宋" w:cs="Times New Roman"/>
              </w:rPr>
            </w:pPr>
            <w:r>
              <w:rPr>
                <w:rFonts w:hint="eastAsia" w:ascii="仿宋" w:hAnsi="仿宋" w:eastAsia="仿宋" w:cs="Times New Roman"/>
              </w:rPr>
              <w:t>c）当进行远程管理时，应采取必要措施防止鉴别信息在网络传输过程中被窃听；</w:t>
            </w:r>
          </w:p>
        </w:tc>
      </w:tr>
      <w:tr w14:paraId="07D2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E72F00">
            <w:pPr>
              <w:spacing w:line="500" w:lineRule="exact"/>
              <w:ind w:firstLine="566" w:firstLineChars="200"/>
              <w:rPr>
                <w:rFonts w:hint="eastAsia" w:ascii="仿宋" w:hAnsi="仿宋" w:eastAsia="仿宋" w:cs="Times New Roman"/>
              </w:rPr>
            </w:pPr>
          </w:p>
        </w:tc>
        <w:tc>
          <w:tcPr>
            <w:tcW w:w="1569" w:type="dxa"/>
            <w:vMerge w:val="continue"/>
            <w:vAlign w:val="center"/>
          </w:tcPr>
          <w:p w14:paraId="7E802E09">
            <w:pPr>
              <w:spacing w:line="500" w:lineRule="exact"/>
              <w:ind w:firstLine="566" w:firstLineChars="200"/>
              <w:rPr>
                <w:rFonts w:hint="eastAsia" w:ascii="仿宋" w:hAnsi="仿宋" w:eastAsia="仿宋" w:cs="Times New Roman"/>
              </w:rPr>
            </w:pPr>
          </w:p>
        </w:tc>
        <w:tc>
          <w:tcPr>
            <w:tcW w:w="5158" w:type="dxa"/>
            <w:vAlign w:val="center"/>
          </w:tcPr>
          <w:p w14:paraId="1711A5D0">
            <w:pPr>
              <w:spacing w:line="500" w:lineRule="exact"/>
              <w:ind w:firstLine="566" w:firstLineChars="200"/>
              <w:rPr>
                <w:rFonts w:hint="eastAsia" w:ascii="仿宋" w:hAnsi="仿宋" w:eastAsia="仿宋" w:cs="Times New Roman"/>
              </w:rPr>
            </w:pPr>
            <w:r>
              <w:rPr>
                <w:rFonts w:hint="eastAsia" w:ascii="仿宋" w:hAnsi="仿宋" w:eastAsia="仿宋" w:cs="Times New Roman"/>
              </w:rPr>
              <w:t>d）应采用口令、密码技术、生物技术等两种或两种以上组合的鉴别技术对用户进行身份鉴别，且其中一种鉴别技术至少应使用密码技术来实现。</w:t>
            </w:r>
          </w:p>
        </w:tc>
      </w:tr>
      <w:tr w14:paraId="5773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8F72D5">
            <w:pPr>
              <w:spacing w:line="500" w:lineRule="exact"/>
              <w:ind w:firstLine="566" w:firstLineChars="200"/>
              <w:rPr>
                <w:rFonts w:hint="eastAsia" w:ascii="仿宋" w:hAnsi="仿宋" w:eastAsia="仿宋" w:cs="Times New Roman"/>
              </w:rPr>
            </w:pPr>
          </w:p>
        </w:tc>
        <w:tc>
          <w:tcPr>
            <w:tcW w:w="1569" w:type="dxa"/>
            <w:vMerge w:val="restart"/>
            <w:vAlign w:val="center"/>
          </w:tcPr>
          <w:p w14:paraId="03C16F8D">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431DB08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a）应对登录的用户分配账户和权限；</w:t>
            </w:r>
          </w:p>
        </w:tc>
      </w:tr>
      <w:tr w14:paraId="330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145EE4">
            <w:pPr>
              <w:spacing w:line="500" w:lineRule="exact"/>
              <w:ind w:firstLine="566" w:firstLineChars="200"/>
              <w:rPr>
                <w:rFonts w:hint="eastAsia" w:ascii="仿宋" w:hAnsi="仿宋" w:eastAsia="仿宋" w:cs="Times New Roman"/>
              </w:rPr>
            </w:pPr>
          </w:p>
        </w:tc>
        <w:tc>
          <w:tcPr>
            <w:tcW w:w="1569" w:type="dxa"/>
            <w:vMerge w:val="continue"/>
            <w:vAlign w:val="center"/>
          </w:tcPr>
          <w:p w14:paraId="2A2D3ADF">
            <w:pPr>
              <w:spacing w:line="500" w:lineRule="exact"/>
              <w:ind w:firstLine="566" w:firstLineChars="200"/>
              <w:rPr>
                <w:rFonts w:hint="eastAsia" w:ascii="仿宋" w:hAnsi="仿宋" w:eastAsia="仿宋" w:cs="Times New Roman"/>
              </w:rPr>
            </w:pPr>
          </w:p>
        </w:tc>
        <w:tc>
          <w:tcPr>
            <w:tcW w:w="5158" w:type="dxa"/>
            <w:vAlign w:val="center"/>
          </w:tcPr>
          <w:p w14:paraId="4EFEB087">
            <w:pPr>
              <w:spacing w:line="500" w:lineRule="exact"/>
              <w:ind w:firstLine="566" w:firstLineChars="200"/>
              <w:rPr>
                <w:rFonts w:hint="eastAsia" w:ascii="仿宋" w:hAnsi="仿宋" w:eastAsia="仿宋" w:cs="Times New Roman"/>
              </w:rPr>
            </w:pPr>
            <w:r>
              <w:rPr>
                <w:rFonts w:hint="eastAsia" w:ascii="仿宋" w:hAnsi="仿宋" w:eastAsia="仿宋" w:cs="Times New Roman"/>
              </w:rPr>
              <w:t>b）应重命名或删除默认账户，修改默认账户的默认口令；</w:t>
            </w:r>
          </w:p>
        </w:tc>
      </w:tr>
      <w:tr w14:paraId="4879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8F5F24">
            <w:pPr>
              <w:spacing w:line="500" w:lineRule="exact"/>
              <w:ind w:firstLine="566" w:firstLineChars="200"/>
              <w:rPr>
                <w:rFonts w:hint="eastAsia" w:ascii="仿宋" w:hAnsi="仿宋" w:eastAsia="仿宋" w:cs="Times New Roman"/>
              </w:rPr>
            </w:pPr>
          </w:p>
        </w:tc>
        <w:tc>
          <w:tcPr>
            <w:tcW w:w="1569" w:type="dxa"/>
            <w:vMerge w:val="continue"/>
            <w:vAlign w:val="center"/>
          </w:tcPr>
          <w:p w14:paraId="434832C3">
            <w:pPr>
              <w:spacing w:line="500" w:lineRule="exact"/>
              <w:ind w:firstLine="566" w:firstLineChars="200"/>
              <w:rPr>
                <w:rFonts w:hint="eastAsia" w:ascii="仿宋" w:hAnsi="仿宋" w:eastAsia="仿宋" w:cs="Times New Roman"/>
              </w:rPr>
            </w:pPr>
          </w:p>
        </w:tc>
        <w:tc>
          <w:tcPr>
            <w:tcW w:w="5158" w:type="dxa"/>
            <w:vAlign w:val="center"/>
          </w:tcPr>
          <w:p w14:paraId="2590930A">
            <w:pPr>
              <w:spacing w:line="500" w:lineRule="exact"/>
              <w:ind w:firstLine="566" w:firstLineChars="200"/>
              <w:rPr>
                <w:rFonts w:hint="eastAsia" w:ascii="仿宋" w:hAnsi="仿宋" w:eastAsia="仿宋" w:cs="Times New Roman"/>
              </w:rPr>
            </w:pPr>
            <w:r>
              <w:rPr>
                <w:rFonts w:hint="eastAsia" w:ascii="仿宋" w:hAnsi="仿宋" w:eastAsia="仿宋" w:cs="Times New Roman"/>
              </w:rPr>
              <w:t>c）应及时删除或停用多余的、过期的账户，避免共享账户的存在；</w:t>
            </w:r>
          </w:p>
        </w:tc>
      </w:tr>
      <w:tr w14:paraId="66C3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A9D7E3">
            <w:pPr>
              <w:spacing w:line="500" w:lineRule="exact"/>
              <w:ind w:firstLine="566" w:firstLineChars="200"/>
              <w:rPr>
                <w:rFonts w:hint="eastAsia" w:ascii="仿宋" w:hAnsi="仿宋" w:eastAsia="仿宋" w:cs="Times New Roman"/>
              </w:rPr>
            </w:pPr>
          </w:p>
        </w:tc>
        <w:tc>
          <w:tcPr>
            <w:tcW w:w="1569" w:type="dxa"/>
            <w:vMerge w:val="continue"/>
            <w:vAlign w:val="center"/>
          </w:tcPr>
          <w:p w14:paraId="1C78F9BA">
            <w:pPr>
              <w:spacing w:line="500" w:lineRule="exact"/>
              <w:ind w:firstLine="566" w:firstLineChars="200"/>
              <w:rPr>
                <w:rFonts w:hint="eastAsia" w:ascii="仿宋" w:hAnsi="仿宋" w:eastAsia="仿宋" w:cs="Times New Roman"/>
              </w:rPr>
            </w:pPr>
          </w:p>
        </w:tc>
        <w:tc>
          <w:tcPr>
            <w:tcW w:w="5158" w:type="dxa"/>
            <w:vAlign w:val="center"/>
          </w:tcPr>
          <w:p w14:paraId="14AA541B">
            <w:pPr>
              <w:spacing w:line="500" w:lineRule="exact"/>
              <w:ind w:firstLine="566" w:firstLineChars="200"/>
              <w:rPr>
                <w:rFonts w:hint="eastAsia" w:ascii="仿宋" w:hAnsi="仿宋" w:eastAsia="仿宋" w:cs="Times New Roman"/>
              </w:rPr>
            </w:pPr>
            <w:r>
              <w:rPr>
                <w:rFonts w:hint="eastAsia" w:ascii="仿宋" w:hAnsi="仿宋" w:eastAsia="仿宋" w:cs="Times New Roman"/>
              </w:rPr>
              <w:t>d）应授予管理用户所需的最小权限，实现管理用户的权限分离；</w:t>
            </w:r>
          </w:p>
        </w:tc>
      </w:tr>
      <w:tr w14:paraId="479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775D14">
            <w:pPr>
              <w:spacing w:line="500" w:lineRule="exact"/>
              <w:ind w:firstLine="566" w:firstLineChars="200"/>
              <w:rPr>
                <w:rFonts w:hint="eastAsia" w:ascii="仿宋" w:hAnsi="仿宋" w:eastAsia="仿宋" w:cs="Times New Roman"/>
              </w:rPr>
            </w:pPr>
          </w:p>
        </w:tc>
        <w:tc>
          <w:tcPr>
            <w:tcW w:w="1569" w:type="dxa"/>
            <w:vMerge w:val="continue"/>
            <w:vAlign w:val="center"/>
          </w:tcPr>
          <w:p w14:paraId="21073971">
            <w:pPr>
              <w:spacing w:line="500" w:lineRule="exact"/>
              <w:ind w:firstLine="566" w:firstLineChars="200"/>
              <w:rPr>
                <w:rFonts w:hint="eastAsia" w:ascii="仿宋" w:hAnsi="仿宋" w:eastAsia="仿宋" w:cs="Times New Roman"/>
              </w:rPr>
            </w:pPr>
          </w:p>
        </w:tc>
        <w:tc>
          <w:tcPr>
            <w:tcW w:w="5158" w:type="dxa"/>
            <w:vAlign w:val="center"/>
          </w:tcPr>
          <w:p w14:paraId="4D841751">
            <w:pPr>
              <w:spacing w:line="500" w:lineRule="exact"/>
              <w:ind w:firstLine="566" w:firstLineChars="200"/>
              <w:rPr>
                <w:rFonts w:hint="eastAsia" w:ascii="仿宋" w:hAnsi="仿宋" w:eastAsia="仿宋" w:cs="Times New Roman"/>
              </w:rPr>
            </w:pPr>
            <w:r>
              <w:rPr>
                <w:rFonts w:hint="eastAsia" w:ascii="仿宋" w:hAnsi="仿宋" w:eastAsia="仿宋" w:cs="Times New Roman"/>
              </w:rPr>
              <w:t>e）应由授权主体配置访问控制策略，访问控制策略规定主体对客体的访问规则；</w:t>
            </w:r>
          </w:p>
        </w:tc>
      </w:tr>
      <w:tr w14:paraId="7C18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44DB99">
            <w:pPr>
              <w:spacing w:line="500" w:lineRule="exact"/>
              <w:ind w:firstLine="566" w:firstLineChars="200"/>
              <w:rPr>
                <w:rFonts w:hint="eastAsia" w:ascii="仿宋" w:hAnsi="仿宋" w:eastAsia="仿宋" w:cs="Times New Roman"/>
              </w:rPr>
            </w:pPr>
          </w:p>
        </w:tc>
        <w:tc>
          <w:tcPr>
            <w:tcW w:w="1569" w:type="dxa"/>
            <w:vMerge w:val="continue"/>
            <w:vAlign w:val="center"/>
          </w:tcPr>
          <w:p w14:paraId="4515D9E8">
            <w:pPr>
              <w:spacing w:line="500" w:lineRule="exact"/>
              <w:ind w:firstLine="566" w:firstLineChars="200"/>
              <w:rPr>
                <w:rFonts w:hint="eastAsia" w:ascii="仿宋" w:hAnsi="仿宋" w:eastAsia="仿宋" w:cs="Times New Roman"/>
              </w:rPr>
            </w:pPr>
          </w:p>
        </w:tc>
        <w:tc>
          <w:tcPr>
            <w:tcW w:w="5158" w:type="dxa"/>
            <w:vAlign w:val="center"/>
          </w:tcPr>
          <w:p w14:paraId="6275D984">
            <w:pPr>
              <w:spacing w:line="500" w:lineRule="exact"/>
              <w:ind w:firstLine="566" w:firstLineChars="200"/>
              <w:rPr>
                <w:rFonts w:hint="eastAsia" w:ascii="仿宋" w:hAnsi="仿宋" w:eastAsia="仿宋" w:cs="Times New Roman"/>
              </w:rPr>
            </w:pPr>
            <w:r>
              <w:rPr>
                <w:rFonts w:hint="eastAsia" w:ascii="仿宋" w:hAnsi="仿宋" w:eastAsia="仿宋" w:cs="Times New Roman"/>
              </w:rPr>
              <w:t>f）访问控制的粒度应达到主体为用户级或进程级，客体为文件、数据库表级；</w:t>
            </w:r>
          </w:p>
        </w:tc>
      </w:tr>
      <w:tr w14:paraId="4DE7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776B27">
            <w:pPr>
              <w:spacing w:line="500" w:lineRule="exact"/>
              <w:ind w:firstLine="566" w:firstLineChars="200"/>
              <w:rPr>
                <w:rFonts w:hint="eastAsia" w:ascii="仿宋" w:hAnsi="仿宋" w:eastAsia="仿宋" w:cs="Times New Roman"/>
              </w:rPr>
            </w:pPr>
          </w:p>
        </w:tc>
        <w:tc>
          <w:tcPr>
            <w:tcW w:w="1569" w:type="dxa"/>
            <w:vMerge w:val="continue"/>
            <w:vAlign w:val="center"/>
          </w:tcPr>
          <w:p w14:paraId="14E1D7D0">
            <w:pPr>
              <w:spacing w:line="500" w:lineRule="exact"/>
              <w:ind w:firstLine="566" w:firstLineChars="200"/>
              <w:rPr>
                <w:rFonts w:hint="eastAsia" w:ascii="仿宋" w:hAnsi="仿宋" w:eastAsia="仿宋" w:cs="Times New Roman"/>
              </w:rPr>
            </w:pPr>
          </w:p>
        </w:tc>
        <w:tc>
          <w:tcPr>
            <w:tcW w:w="5158" w:type="dxa"/>
            <w:vAlign w:val="center"/>
          </w:tcPr>
          <w:p w14:paraId="41CBAA21">
            <w:pPr>
              <w:spacing w:line="500" w:lineRule="exact"/>
              <w:ind w:firstLine="566" w:firstLineChars="200"/>
              <w:rPr>
                <w:rFonts w:hint="eastAsia" w:ascii="仿宋" w:hAnsi="仿宋" w:eastAsia="仿宋" w:cs="Times New Roman"/>
              </w:rPr>
            </w:pPr>
            <w:r>
              <w:rPr>
                <w:rFonts w:hint="eastAsia" w:ascii="仿宋" w:hAnsi="仿宋" w:eastAsia="仿宋" w:cs="Times New Roman"/>
              </w:rPr>
              <w:t>g）应对重要主体和客体设置安全标记，并控制主体对有安全标记信息资源的访问。</w:t>
            </w:r>
          </w:p>
        </w:tc>
      </w:tr>
      <w:tr w14:paraId="7A6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AF24A7">
            <w:pPr>
              <w:spacing w:line="500" w:lineRule="exact"/>
              <w:ind w:firstLine="566" w:firstLineChars="200"/>
              <w:rPr>
                <w:rFonts w:hint="eastAsia" w:ascii="仿宋" w:hAnsi="仿宋" w:eastAsia="仿宋" w:cs="Times New Roman"/>
              </w:rPr>
            </w:pPr>
          </w:p>
        </w:tc>
        <w:tc>
          <w:tcPr>
            <w:tcW w:w="1569" w:type="dxa"/>
            <w:vMerge w:val="restart"/>
            <w:vAlign w:val="center"/>
          </w:tcPr>
          <w:p w14:paraId="0FD5786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4992D8A6">
            <w:pPr>
              <w:spacing w:line="500" w:lineRule="exact"/>
              <w:ind w:firstLine="566" w:firstLineChars="200"/>
              <w:rPr>
                <w:rFonts w:hint="eastAsia" w:ascii="仿宋" w:hAnsi="仿宋" w:eastAsia="仿宋" w:cs="Times New Roman"/>
              </w:rPr>
            </w:pPr>
            <w:r>
              <w:rPr>
                <w:rFonts w:hint="eastAsia" w:ascii="仿宋" w:hAnsi="仿宋" w:eastAsia="仿宋" w:cs="Times New Roman"/>
              </w:rPr>
              <w:t>a）应启用安全审计功能，审计覆盖到每个用户，对重要的用户行为和重要安全事件进行审计；</w:t>
            </w:r>
          </w:p>
        </w:tc>
      </w:tr>
      <w:tr w14:paraId="502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2E564">
            <w:pPr>
              <w:spacing w:line="500" w:lineRule="exact"/>
              <w:ind w:firstLine="566" w:firstLineChars="200"/>
              <w:rPr>
                <w:rFonts w:hint="eastAsia" w:ascii="仿宋" w:hAnsi="仿宋" w:eastAsia="仿宋" w:cs="Times New Roman"/>
              </w:rPr>
            </w:pPr>
          </w:p>
        </w:tc>
        <w:tc>
          <w:tcPr>
            <w:tcW w:w="1569" w:type="dxa"/>
            <w:vMerge w:val="continue"/>
            <w:vAlign w:val="center"/>
          </w:tcPr>
          <w:p w14:paraId="38A18EE7">
            <w:pPr>
              <w:spacing w:line="500" w:lineRule="exact"/>
              <w:ind w:firstLine="566" w:firstLineChars="200"/>
              <w:rPr>
                <w:rFonts w:hint="eastAsia" w:ascii="仿宋" w:hAnsi="仿宋" w:eastAsia="仿宋" w:cs="Times New Roman"/>
              </w:rPr>
            </w:pPr>
          </w:p>
        </w:tc>
        <w:tc>
          <w:tcPr>
            <w:tcW w:w="5158" w:type="dxa"/>
            <w:vAlign w:val="center"/>
          </w:tcPr>
          <w:p w14:paraId="1B27F0CA">
            <w:pPr>
              <w:spacing w:line="500" w:lineRule="exact"/>
              <w:ind w:firstLine="566"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53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9E7740">
            <w:pPr>
              <w:spacing w:line="500" w:lineRule="exact"/>
              <w:ind w:firstLine="566" w:firstLineChars="200"/>
              <w:rPr>
                <w:rFonts w:hint="eastAsia" w:ascii="仿宋" w:hAnsi="仿宋" w:eastAsia="仿宋" w:cs="Times New Roman"/>
              </w:rPr>
            </w:pPr>
          </w:p>
        </w:tc>
        <w:tc>
          <w:tcPr>
            <w:tcW w:w="1569" w:type="dxa"/>
            <w:vMerge w:val="continue"/>
            <w:vAlign w:val="center"/>
          </w:tcPr>
          <w:p w14:paraId="6ADA983B">
            <w:pPr>
              <w:spacing w:line="500" w:lineRule="exact"/>
              <w:ind w:firstLine="566" w:firstLineChars="200"/>
              <w:rPr>
                <w:rFonts w:hint="eastAsia" w:ascii="仿宋" w:hAnsi="仿宋" w:eastAsia="仿宋" w:cs="Times New Roman"/>
              </w:rPr>
            </w:pPr>
          </w:p>
        </w:tc>
        <w:tc>
          <w:tcPr>
            <w:tcW w:w="5158" w:type="dxa"/>
            <w:vAlign w:val="center"/>
          </w:tcPr>
          <w:p w14:paraId="084230E9">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476E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C4446">
            <w:pPr>
              <w:spacing w:line="500" w:lineRule="exact"/>
              <w:ind w:firstLine="566" w:firstLineChars="200"/>
              <w:rPr>
                <w:rFonts w:hint="eastAsia" w:ascii="仿宋" w:hAnsi="仿宋" w:eastAsia="仿宋" w:cs="Times New Roman"/>
              </w:rPr>
            </w:pPr>
          </w:p>
        </w:tc>
        <w:tc>
          <w:tcPr>
            <w:tcW w:w="1569" w:type="dxa"/>
            <w:vMerge w:val="continue"/>
            <w:vAlign w:val="center"/>
          </w:tcPr>
          <w:p w14:paraId="45761F3E">
            <w:pPr>
              <w:spacing w:line="500" w:lineRule="exact"/>
              <w:ind w:firstLine="566" w:firstLineChars="200"/>
              <w:rPr>
                <w:rFonts w:hint="eastAsia" w:ascii="仿宋" w:hAnsi="仿宋" w:eastAsia="仿宋" w:cs="Times New Roman"/>
              </w:rPr>
            </w:pPr>
          </w:p>
        </w:tc>
        <w:tc>
          <w:tcPr>
            <w:tcW w:w="5158" w:type="dxa"/>
            <w:vAlign w:val="center"/>
          </w:tcPr>
          <w:p w14:paraId="69621112">
            <w:pPr>
              <w:spacing w:line="500" w:lineRule="exact"/>
              <w:ind w:firstLine="566" w:firstLineChars="200"/>
              <w:rPr>
                <w:rFonts w:hint="eastAsia" w:ascii="仿宋" w:hAnsi="仿宋" w:eastAsia="仿宋" w:cs="Times New Roman"/>
              </w:rPr>
            </w:pPr>
            <w:r>
              <w:rPr>
                <w:rFonts w:hint="eastAsia" w:ascii="仿宋" w:hAnsi="仿宋" w:eastAsia="仿宋" w:cs="Times New Roman"/>
              </w:rPr>
              <w:t>d）应对审计进程进行保护，防止未经授权的中断。</w:t>
            </w:r>
          </w:p>
        </w:tc>
      </w:tr>
      <w:tr w14:paraId="2F2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2E8ECF">
            <w:pPr>
              <w:spacing w:line="500" w:lineRule="exact"/>
              <w:ind w:firstLine="566" w:firstLineChars="200"/>
              <w:rPr>
                <w:rFonts w:hint="eastAsia" w:ascii="仿宋" w:hAnsi="仿宋" w:eastAsia="仿宋" w:cs="Times New Roman"/>
              </w:rPr>
            </w:pPr>
          </w:p>
        </w:tc>
        <w:tc>
          <w:tcPr>
            <w:tcW w:w="1569" w:type="dxa"/>
            <w:vMerge w:val="restart"/>
            <w:vAlign w:val="center"/>
          </w:tcPr>
          <w:p w14:paraId="36BABD9C">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7958C214">
            <w:pPr>
              <w:spacing w:line="500" w:lineRule="exact"/>
              <w:ind w:firstLine="566" w:firstLineChars="200"/>
              <w:rPr>
                <w:rFonts w:hint="eastAsia" w:ascii="仿宋" w:hAnsi="仿宋" w:eastAsia="仿宋" w:cs="Times New Roman"/>
              </w:rPr>
            </w:pPr>
            <w:r>
              <w:rPr>
                <w:rFonts w:hint="eastAsia" w:ascii="仿宋" w:hAnsi="仿宋" w:eastAsia="仿宋" w:cs="Times New Roman"/>
              </w:rPr>
              <w:t>a）应遵循最小安装的原则，仅安装需要的组件和应用程序；</w:t>
            </w:r>
          </w:p>
        </w:tc>
      </w:tr>
      <w:tr w14:paraId="68C1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02D185F">
            <w:pPr>
              <w:spacing w:line="500" w:lineRule="exact"/>
              <w:ind w:firstLine="566" w:firstLineChars="200"/>
              <w:rPr>
                <w:rFonts w:hint="eastAsia" w:ascii="仿宋" w:hAnsi="仿宋" w:eastAsia="仿宋" w:cs="Times New Roman"/>
              </w:rPr>
            </w:pPr>
          </w:p>
        </w:tc>
        <w:tc>
          <w:tcPr>
            <w:tcW w:w="1569" w:type="dxa"/>
            <w:vMerge w:val="continue"/>
            <w:vAlign w:val="center"/>
          </w:tcPr>
          <w:p w14:paraId="742C64A4">
            <w:pPr>
              <w:spacing w:line="500" w:lineRule="exact"/>
              <w:ind w:firstLine="566" w:firstLineChars="200"/>
              <w:rPr>
                <w:rFonts w:hint="eastAsia" w:ascii="仿宋" w:hAnsi="仿宋" w:eastAsia="仿宋" w:cs="Times New Roman"/>
              </w:rPr>
            </w:pPr>
          </w:p>
        </w:tc>
        <w:tc>
          <w:tcPr>
            <w:tcW w:w="5158" w:type="dxa"/>
            <w:vAlign w:val="center"/>
          </w:tcPr>
          <w:p w14:paraId="7E067DC8">
            <w:pPr>
              <w:spacing w:line="500" w:lineRule="exact"/>
              <w:ind w:firstLine="566" w:firstLineChars="200"/>
              <w:rPr>
                <w:rFonts w:hint="eastAsia" w:ascii="仿宋" w:hAnsi="仿宋" w:eastAsia="仿宋" w:cs="Times New Roman"/>
              </w:rPr>
            </w:pPr>
            <w:r>
              <w:rPr>
                <w:rFonts w:hint="eastAsia" w:ascii="仿宋" w:hAnsi="仿宋" w:eastAsia="仿宋" w:cs="Times New Roman"/>
              </w:rPr>
              <w:t>b）应关闭不需要的系统服务、默认共享和高危端口；</w:t>
            </w:r>
          </w:p>
        </w:tc>
      </w:tr>
      <w:tr w14:paraId="399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6A0A91">
            <w:pPr>
              <w:spacing w:line="500" w:lineRule="exact"/>
              <w:ind w:firstLine="566" w:firstLineChars="200"/>
              <w:rPr>
                <w:rFonts w:hint="eastAsia" w:ascii="仿宋" w:hAnsi="仿宋" w:eastAsia="仿宋" w:cs="Times New Roman"/>
              </w:rPr>
            </w:pPr>
          </w:p>
        </w:tc>
        <w:tc>
          <w:tcPr>
            <w:tcW w:w="1569" w:type="dxa"/>
            <w:vMerge w:val="continue"/>
            <w:vAlign w:val="center"/>
          </w:tcPr>
          <w:p w14:paraId="24BA7A92">
            <w:pPr>
              <w:spacing w:line="500" w:lineRule="exact"/>
              <w:ind w:firstLine="566" w:firstLineChars="200"/>
              <w:rPr>
                <w:rFonts w:hint="eastAsia" w:ascii="仿宋" w:hAnsi="仿宋" w:eastAsia="仿宋" w:cs="Times New Roman"/>
              </w:rPr>
            </w:pPr>
          </w:p>
        </w:tc>
        <w:tc>
          <w:tcPr>
            <w:tcW w:w="5158" w:type="dxa"/>
            <w:vAlign w:val="center"/>
          </w:tcPr>
          <w:p w14:paraId="08822E7D">
            <w:pPr>
              <w:spacing w:line="500" w:lineRule="exact"/>
              <w:ind w:firstLine="566" w:firstLineChars="200"/>
              <w:rPr>
                <w:rFonts w:hint="eastAsia" w:ascii="仿宋" w:hAnsi="仿宋" w:eastAsia="仿宋" w:cs="Times New Roman"/>
              </w:rPr>
            </w:pPr>
            <w:r>
              <w:rPr>
                <w:rFonts w:hint="eastAsia" w:ascii="仿宋" w:hAnsi="仿宋" w:eastAsia="仿宋" w:cs="Times New Roman"/>
              </w:rPr>
              <w:t>c）应通过设定终端接入方式或网络地址范围对通过网络进行管理的管理终端进行限制；</w:t>
            </w:r>
          </w:p>
        </w:tc>
      </w:tr>
      <w:tr w14:paraId="58CA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7EFC1CC">
            <w:pPr>
              <w:spacing w:line="500" w:lineRule="exact"/>
              <w:ind w:firstLine="566" w:firstLineChars="200"/>
              <w:rPr>
                <w:rFonts w:hint="eastAsia" w:ascii="仿宋" w:hAnsi="仿宋" w:eastAsia="仿宋" w:cs="Times New Roman"/>
              </w:rPr>
            </w:pPr>
          </w:p>
        </w:tc>
        <w:tc>
          <w:tcPr>
            <w:tcW w:w="1569" w:type="dxa"/>
            <w:vMerge w:val="continue"/>
            <w:vAlign w:val="center"/>
          </w:tcPr>
          <w:p w14:paraId="40FAC408">
            <w:pPr>
              <w:spacing w:line="500" w:lineRule="exact"/>
              <w:ind w:firstLine="566" w:firstLineChars="200"/>
              <w:rPr>
                <w:rFonts w:hint="eastAsia" w:ascii="仿宋" w:hAnsi="仿宋" w:eastAsia="仿宋" w:cs="Times New Roman"/>
              </w:rPr>
            </w:pPr>
          </w:p>
        </w:tc>
        <w:tc>
          <w:tcPr>
            <w:tcW w:w="5158" w:type="dxa"/>
            <w:vAlign w:val="center"/>
          </w:tcPr>
          <w:p w14:paraId="7996F9EF">
            <w:pPr>
              <w:spacing w:line="500" w:lineRule="exact"/>
              <w:ind w:firstLine="566" w:firstLineChars="200"/>
              <w:rPr>
                <w:rFonts w:hint="eastAsia" w:ascii="仿宋" w:hAnsi="仿宋" w:eastAsia="仿宋" w:cs="Times New Roman"/>
              </w:rPr>
            </w:pPr>
            <w:r>
              <w:rPr>
                <w:rFonts w:hint="eastAsia" w:ascii="仿宋" w:hAnsi="仿宋" w:eastAsia="仿宋" w:cs="Times New Roman"/>
              </w:rPr>
              <w:t>d）应提供数据有效性检验功能，保证通过人机接口输入或通过通信接口输入的内容符合系统设定要求；</w:t>
            </w:r>
          </w:p>
        </w:tc>
      </w:tr>
      <w:tr w14:paraId="394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131A461">
            <w:pPr>
              <w:spacing w:line="500" w:lineRule="exact"/>
              <w:ind w:firstLine="566" w:firstLineChars="200"/>
              <w:rPr>
                <w:rFonts w:hint="eastAsia" w:ascii="仿宋" w:hAnsi="仿宋" w:eastAsia="仿宋" w:cs="Times New Roman"/>
              </w:rPr>
            </w:pPr>
          </w:p>
        </w:tc>
        <w:tc>
          <w:tcPr>
            <w:tcW w:w="1569" w:type="dxa"/>
            <w:vMerge w:val="continue"/>
            <w:vAlign w:val="center"/>
          </w:tcPr>
          <w:p w14:paraId="44E5913D">
            <w:pPr>
              <w:spacing w:line="500" w:lineRule="exact"/>
              <w:ind w:firstLine="566" w:firstLineChars="200"/>
              <w:rPr>
                <w:rFonts w:hint="eastAsia" w:ascii="仿宋" w:hAnsi="仿宋" w:eastAsia="仿宋" w:cs="Times New Roman"/>
              </w:rPr>
            </w:pPr>
          </w:p>
        </w:tc>
        <w:tc>
          <w:tcPr>
            <w:tcW w:w="5158" w:type="dxa"/>
            <w:vAlign w:val="center"/>
          </w:tcPr>
          <w:p w14:paraId="28BDEFC0">
            <w:pPr>
              <w:spacing w:line="500" w:lineRule="exact"/>
              <w:ind w:firstLine="566" w:firstLineChars="200"/>
              <w:rPr>
                <w:rFonts w:hint="eastAsia" w:ascii="仿宋" w:hAnsi="仿宋" w:eastAsia="仿宋" w:cs="Times New Roman"/>
              </w:rPr>
            </w:pPr>
            <w:r>
              <w:rPr>
                <w:rFonts w:hint="eastAsia" w:ascii="仿宋" w:hAnsi="仿宋" w:eastAsia="仿宋" w:cs="Times New Roman"/>
              </w:rPr>
              <w:t>e）应能发现可能存在的已知漏洞，并在经过充分测试评估后，及时修补漏洞；</w:t>
            </w:r>
          </w:p>
        </w:tc>
      </w:tr>
      <w:tr w14:paraId="1BE9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7F03E1">
            <w:pPr>
              <w:spacing w:line="500" w:lineRule="exact"/>
              <w:ind w:firstLine="566" w:firstLineChars="200"/>
              <w:rPr>
                <w:rFonts w:hint="eastAsia" w:ascii="仿宋" w:hAnsi="仿宋" w:eastAsia="仿宋" w:cs="Times New Roman"/>
              </w:rPr>
            </w:pPr>
          </w:p>
        </w:tc>
        <w:tc>
          <w:tcPr>
            <w:tcW w:w="1569" w:type="dxa"/>
            <w:vMerge w:val="continue"/>
            <w:vAlign w:val="center"/>
          </w:tcPr>
          <w:p w14:paraId="6DF3A3E5">
            <w:pPr>
              <w:spacing w:line="500" w:lineRule="exact"/>
              <w:ind w:firstLine="566" w:firstLineChars="200"/>
              <w:rPr>
                <w:rFonts w:hint="eastAsia" w:ascii="仿宋" w:hAnsi="仿宋" w:eastAsia="仿宋" w:cs="Times New Roman"/>
              </w:rPr>
            </w:pPr>
          </w:p>
        </w:tc>
        <w:tc>
          <w:tcPr>
            <w:tcW w:w="5158" w:type="dxa"/>
            <w:vAlign w:val="center"/>
          </w:tcPr>
          <w:p w14:paraId="03093276">
            <w:pPr>
              <w:spacing w:line="500" w:lineRule="exact"/>
              <w:ind w:firstLine="566" w:firstLineChars="200"/>
              <w:rPr>
                <w:rFonts w:hint="eastAsia" w:ascii="仿宋" w:hAnsi="仿宋" w:eastAsia="仿宋" w:cs="Times New Roman"/>
              </w:rPr>
            </w:pPr>
            <w:r>
              <w:rPr>
                <w:rFonts w:hint="eastAsia" w:ascii="仿宋" w:hAnsi="仿宋" w:eastAsia="仿宋" w:cs="Times New Roman"/>
              </w:rPr>
              <w:t>f）应能够检测到对重要节点进行入侵的行为，并在发生严重入侵事件时提供报警。</w:t>
            </w:r>
          </w:p>
        </w:tc>
      </w:tr>
      <w:tr w14:paraId="704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CC2F269">
            <w:pPr>
              <w:spacing w:line="500" w:lineRule="exact"/>
              <w:ind w:firstLine="566" w:firstLineChars="200"/>
              <w:rPr>
                <w:rFonts w:hint="eastAsia" w:ascii="仿宋" w:hAnsi="仿宋" w:eastAsia="仿宋" w:cs="Times New Roman"/>
              </w:rPr>
            </w:pPr>
          </w:p>
        </w:tc>
        <w:tc>
          <w:tcPr>
            <w:tcW w:w="1569" w:type="dxa"/>
            <w:vAlign w:val="center"/>
          </w:tcPr>
          <w:p w14:paraId="35A32F62">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5158" w:type="dxa"/>
            <w:vAlign w:val="center"/>
          </w:tcPr>
          <w:p w14:paraId="463D0245">
            <w:pPr>
              <w:spacing w:line="500" w:lineRule="exact"/>
              <w:ind w:firstLine="566" w:firstLineChars="200"/>
              <w:rPr>
                <w:rFonts w:hint="eastAsia" w:ascii="仿宋" w:hAnsi="仿宋" w:eastAsia="仿宋" w:cs="Times New Roman"/>
              </w:rPr>
            </w:pPr>
            <w:r>
              <w:rPr>
                <w:rFonts w:hint="eastAsia" w:ascii="仿宋" w:hAnsi="仿宋" w:eastAsia="仿宋" w:cs="Times New Roman"/>
              </w:rPr>
              <w:t>应采用免受恶意代码攻击的技术措施或主动免疫可信验证机制及时识别入侵和病毒行为，并将其有效阻断。</w:t>
            </w:r>
          </w:p>
        </w:tc>
      </w:tr>
      <w:tr w14:paraId="26EC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84CDCA">
            <w:pPr>
              <w:spacing w:line="500" w:lineRule="exact"/>
              <w:ind w:firstLine="566" w:firstLineChars="200"/>
              <w:rPr>
                <w:rFonts w:hint="eastAsia" w:ascii="仿宋" w:hAnsi="仿宋" w:eastAsia="仿宋" w:cs="Times New Roman"/>
              </w:rPr>
            </w:pPr>
          </w:p>
        </w:tc>
        <w:tc>
          <w:tcPr>
            <w:tcW w:w="1569" w:type="dxa"/>
            <w:vAlign w:val="center"/>
          </w:tcPr>
          <w:p w14:paraId="720A8313">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74B261A1">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1C2B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17D7F9B">
            <w:pPr>
              <w:spacing w:line="500" w:lineRule="exact"/>
              <w:ind w:firstLine="566" w:firstLineChars="200"/>
              <w:rPr>
                <w:rFonts w:hint="eastAsia" w:ascii="仿宋" w:hAnsi="仿宋" w:eastAsia="仿宋" w:cs="Times New Roman"/>
              </w:rPr>
            </w:pPr>
          </w:p>
        </w:tc>
        <w:tc>
          <w:tcPr>
            <w:tcW w:w="1569" w:type="dxa"/>
            <w:vMerge w:val="restart"/>
            <w:vAlign w:val="center"/>
          </w:tcPr>
          <w:p w14:paraId="268067FF">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数据完整性</w:t>
            </w:r>
          </w:p>
        </w:tc>
        <w:tc>
          <w:tcPr>
            <w:tcW w:w="5158" w:type="dxa"/>
            <w:vAlign w:val="center"/>
          </w:tcPr>
          <w:p w14:paraId="4A879E97">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a）应采用校验技术或密码技术保证重要数据在传输过程中的完整性，包括但不限于鉴别数据、重要业务数据、重要审计数据、重要配置数据、重要视频数据和重要个人信息等；</w:t>
            </w:r>
          </w:p>
        </w:tc>
      </w:tr>
      <w:tr w14:paraId="3EC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0DE71D">
            <w:pPr>
              <w:spacing w:line="500" w:lineRule="exact"/>
              <w:ind w:firstLine="566" w:firstLineChars="200"/>
              <w:rPr>
                <w:rFonts w:hint="eastAsia" w:ascii="仿宋" w:hAnsi="仿宋" w:eastAsia="仿宋" w:cs="Times New Roman"/>
              </w:rPr>
            </w:pPr>
          </w:p>
        </w:tc>
        <w:tc>
          <w:tcPr>
            <w:tcW w:w="1569" w:type="dxa"/>
            <w:vMerge w:val="continue"/>
            <w:vAlign w:val="center"/>
          </w:tcPr>
          <w:p w14:paraId="39B3DE78">
            <w:pPr>
              <w:spacing w:line="500" w:lineRule="exact"/>
              <w:ind w:firstLine="566" w:firstLineChars="200"/>
              <w:rPr>
                <w:rFonts w:hint="eastAsia" w:ascii="仿宋" w:hAnsi="仿宋" w:eastAsia="仿宋" w:cs="Times New Roman"/>
              </w:rPr>
            </w:pPr>
          </w:p>
        </w:tc>
        <w:tc>
          <w:tcPr>
            <w:tcW w:w="5158" w:type="dxa"/>
            <w:vAlign w:val="center"/>
          </w:tcPr>
          <w:p w14:paraId="26082BA2">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b）应采用校验技术或密码技术保证重要数据在存储过程中的完整性，包括但不限于鉴别数据、重要业务数据、重要审计数据、重要配置数据、重要视频数据和重要个人信息等。</w:t>
            </w:r>
          </w:p>
        </w:tc>
      </w:tr>
      <w:tr w14:paraId="59EB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3D490F7">
            <w:pPr>
              <w:spacing w:line="500" w:lineRule="exact"/>
              <w:ind w:firstLine="566" w:firstLineChars="200"/>
              <w:rPr>
                <w:rFonts w:hint="eastAsia" w:ascii="仿宋" w:hAnsi="仿宋" w:eastAsia="仿宋" w:cs="Times New Roman"/>
              </w:rPr>
            </w:pPr>
          </w:p>
        </w:tc>
        <w:tc>
          <w:tcPr>
            <w:tcW w:w="1569" w:type="dxa"/>
            <w:vMerge w:val="restart"/>
            <w:vAlign w:val="center"/>
          </w:tcPr>
          <w:p w14:paraId="656830ED">
            <w:pPr>
              <w:spacing w:line="500" w:lineRule="exact"/>
              <w:ind w:firstLine="566" w:firstLineChars="200"/>
              <w:rPr>
                <w:rFonts w:hint="eastAsia" w:ascii="仿宋" w:hAnsi="仿宋" w:eastAsia="仿宋" w:cs="Times New Roman"/>
              </w:rPr>
            </w:pPr>
            <w:r>
              <w:rPr>
                <w:rFonts w:hint="eastAsia" w:ascii="仿宋" w:hAnsi="仿宋" w:eastAsia="仿宋" w:cs="Times New Roman"/>
              </w:rPr>
              <w:t>数据保密性</w:t>
            </w:r>
          </w:p>
        </w:tc>
        <w:tc>
          <w:tcPr>
            <w:tcW w:w="5158" w:type="dxa"/>
            <w:vAlign w:val="center"/>
          </w:tcPr>
          <w:p w14:paraId="3B37B04A">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a）应采用密码技术保证重要数据在传输过程中的保密性，包括但不限于鉴别数据、重要业务数据和重要个人信息等；</w:t>
            </w:r>
          </w:p>
        </w:tc>
      </w:tr>
      <w:tr w14:paraId="19C8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37F7844">
            <w:pPr>
              <w:spacing w:line="500" w:lineRule="exact"/>
              <w:ind w:firstLine="566" w:firstLineChars="200"/>
              <w:rPr>
                <w:rFonts w:hint="eastAsia" w:ascii="仿宋" w:hAnsi="仿宋" w:eastAsia="仿宋" w:cs="Times New Roman"/>
              </w:rPr>
            </w:pPr>
          </w:p>
        </w:tc>
        <w:tc>
          <w:tcPr>
            <w:tcW w:w="1569" w:type="dxa"/>
            <w:vMerge w:val="continue"/>
            <w:vAlign w:val="center"/>
          </w:tcPr>
          <w:p w14:paraId="7756D0B1">
            <w:pPr>
              <w:spacing w:line="500" w:lineRule="exact"/>
              <w:ind w:firstLine="566" w:firstLineChars="200"/>
              <w:rPr>
                <w:rFonts w:hint="eastAsia" w:ascii="仿宋" w:hAnsi="仿宋" w:eastAsia="仿宋" w:cs="Times New Roman"/>
              </w:rPr>
            </w:pPr>
          </w:p>
        </w:tc>
        <w:tc>
          <w:tcPr>
            <w:tcW w:w="5158" w:type="dxa"/>
            <w:vAlign w:val="center"/>
          </w:tcPr>
          <w:p w14:paraId="61CBC81D">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b）应采用密码技术保证重要数据在存储过程中的保密性，包括但不限于鉴别数据、重要业务数据和重要个人信息等。</w:t>
            </w:r>
          </w:p>
        </w:tc>
      </w:tr>
      <w:tr w14:paraId="52A6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1F4CC2">
            <w:pPr>
              <w:spacing w:line="500" w:lineRule="exact"/>
              <w:ind w:firstLine="566" w:firstLineChars="200"/>
              <w:rPr>
                <w:rFonts w:hint="eastAsia" w:ascii="仿宋" w:hAnsi="仿宋" w:eastAsia="仿宋" w:cs="Times New Roman"/>
              </w:rPr>
            </w:pPr>
          </w:p>
        </w:tc>
        <w:tc>
          <w:tcPr>
            <w:tcW w:w="1569" w:type="dxa"/>
            <w:vMerge w:val="restart"/>
            <w:vAlign w:val="center"/>
          </w:tcPr>
          <w:p w14:paraId="13B29700">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数据备份恢复</w:t>
            </w:r>
          </w:p>
        </w:tc>
        <w:tc>
          <w:tcPr>
            <w:tcW w:w="5158" w:type="dxa"/>
            <w:vAlign w:val="center"/>
          </w:tcPr>
          <w:p w14:paraId="39FE2C19">
            <w:pPr>
              <w:spacing w:line="500" w:lineRule="exact"/>
              <w:ind w:firstLine="566" w:firstLineChars="200"/>
              <w:rPr>
                <w:rFonts w:hint="eastAsia" w:ascii="仿宋" w:hAnsi="仿宋" w:eastAsia="仿宋" w:cs="Times New Roman"/>
              </w:rPr>
            </w:pPr>
            <w:r>
              <w:rPr>
                <w:rFonts w:hint="eastAsia" w:ascii="仿宋" w:hAnsi="仿宋" w:eastAsia="仿宋" w:cs="Times New Roman"/>
              </w:rPr>
              <w:t>a）应提供重要数据的本地数据备份与恢复功能；</w:t>
            </w:r>
          </w:p>
        </w:tc>
      </w:tr>
      <w:tr w14:paraId="7B6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26A646">
            <w:pPr>
              <w:spacing w:line="500" w:lineRule="exact"/>
              <w:ind w:firstLine="566" w:firstLineChars="200"/>
              <w:rPr>
                <w:rFonts w:hint="eastAsia" w:ascii="仿宋" w:hAnsi="仿宋" w:eastAsia="仿宋" w:cs="Times New Roman"/>
              </w:rPr>
            </w:pPr>
          </w:p>
        </w:tc>
        <w:tc>
          <w:tcPr>
            <w:tcW w:w="1569" w:type="dxa"/>
            <w:vMerge w:val="continue"/>
            <w:vAlign w:val="center"/>
          </w:tcPr>
          <w:p w14:paraId="5BADEDEE">
            <w:pPr>
              <w:spacing w:line="500" w:lineRule="exact"/>
              <w:ind w:firstLine="566" w:firstLineChars="200"/>
              <w:rPr>
                <w:rFonts w:hint="eastAsia" w:ascii="仿宋" w:hAnsi="仿宋" w:eastAsia="仿宋" w:cs="Times New Roman"/>
              </w:rPr>
            </w:pPr>
          </w:p>
        </w:tc>
        <w:tc>
          <w:tcPr>
            <w:tcW w:w="5158" w:type="dxa"/>
            <w:vAlign w:val="center"/>
          </w:tcPr>
          <w:p w14:paraId="72991A22">
            <w:pPr>
              <w:spacing w:line="500" w:lineRule="exact"/>
              <w:ind w:firstLine="566" w:firstLineChars="200"/>
              <w:rPr>
                <w:rFonts w:hint="eastAsia" w:ascii="仿宋" w:hAnsi="仿宋" w:eastAsia="仿宋" w:cs="Times New Roman"/>
              </w:rPr>
            </w:pPr>
            <w:r>
              <w:rPr>
                <w:rFonts w:hint="eastAsia" w:ascii="仿宋" w:hAnsi="仿宋" w:eastAsia="仿宋" w:cs="Times New Roman"/>
              </w:rPr>
              <w:t>b）应提供异地实时备份功能，利用通信网络将重要数据实时备份至备份场地；</w:t>
            </w:r>
          </w:p>
        </w:tc>
      </w:tr>
      <w:tr w14:paraId="6AB3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76CD7">
            <w:pPr>
              <w:spacing w:line="500" w:lineRule="exact"/>
              <w:ind w:firstLine="566" w:firstLineChars="200"/>
              <w:rPr>
                <w:rFonts w:hint="eastAsia" w:ascii="仿宋" w:hAnsi="仿宋" w:eastAsia="仿宋" w:cs="Times New Roman"/>
              </w:rPr>
            </w:pPr>
          </w:p>
        </w:tc>
        <w:tc>
          <w:tcPr>
            <w:tcW w:w="1569" w:type="dxa"/>
            <w:vMerge w:val="continue"/>
            <w:vAlign w:val="center"/>
          </w:tcPr>
          <w:p w14:paraId="60E7E981">
            <w:pPr>
              <w:spacing w:line="500" w:lineRule="exact"/>
              <w:ind w:firstLine="566" w:firstLineChars="200"/>
              <w:rPr>
                <w:rFonts w:hint="eastAsia" w:ascii="仿宋" w:hAnsi="仿宋" w:eastAsia="仿宋" w:cs="Times New Roman"/>
              </w:rPr>
            </w:pPr>
          </w:p>
        </w:tc>
        <w:tc>
          <w:tcPr>
            <w:tcW w:w="5158" w:type="dxa"/>
            <w:vAlign w:val="center"/>
          </w:tcPr>
          <w:p w14:paraId="23E0CAC9">
            <w:pPr>
              <w:spacing w:line="500" w:lineRule="exact"/>
              <w:ind w:firstLine="566" w:firstLineChars="200"/>
              <w:rPr>
                <w:rFonts w:hint="eastAsia" w:ascii="仿宋" w:hAnsi="仿宋" w:eastAsia="仿宋" w:cs="Times New Roman"/>
              </w:rPr>
            </w:pPr>
            <w:r>
              <w:rPr>
                <w:rFonts w:hint="eastAsia" w:ascii="仿宋" w:hAnsi="仿宋" w:eastAsia="仿宋" w:cs="Times New Roman"/>
              </w:rPr>
              <w:t>c）应提供重要数据处理系统的热冗余，保证系统的高可用性。</w:t>
            </w:r>
          </w:p>
        </w:tc>
      </w:tr>
      <w:tr w14:paraId="5C3F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0CDB98B">
            <w:pPr>
              <w:spacing w:line="500" w:lineRule="exact"/>
              <w:ind w:firstLine="566" w:firstLineChars="200"/>
              <w:rPr>
                <w:rFonts w:hint="eastAsia" w:ascii="仿宋" w:hAnsi="仿宋" w:eastAsia="仿宋" w:cs="Times New Roman"/>
              </w:rPr>
            </w:pPr>
          </w:p>
        </w:tc>
        <w:tc>
          <w:tcPr>
            <w:tcW w:w="1569" w:type="dxa"/>
            <w:vMerge w:val="restart"/>
            <w:vAlign w:val="center"/>
          </w:tcPr>
          <w:p w14:paraId="5A6E6DFB">
            <w:pPr>
              <w:spacing w:line="500" w:lineRule="exact"/>
              <w:ind w:firstLine="566" w:firstLineChars="200"/>
              <w:rPr>
                <w:rFonts w:hint="eastAsia" w:ascii="仿宋" w:hAnsi="仿宋" w:eastAsia="仿宋" w:cs="Times New Roman"/>
              </w:rPr>
            </w:pPr>
            <w:r>
              <w:rPr>
                <w:rFonts w:hint="eastAsia" w:ascii="仿宋" w:hAnsi="仿宋" w:eastAsia="仿宋" w:cs="Times New Roman"/>
              </w:rPr>
              <w:t>剩余信息保护</w:t>
            </w:r>
          </w:p>
        </w:tc>
        <w:tc>
          <w:tcPr>
            <w:tcW w:w="5158" w:type="dxa"/>
            <w:vAlign w:val="center"/>
          </w:tcPr>
          <w:p w14:paraId="4D86946B">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a）应保证鉴别信息所在的存储空间被释放或重新分配前得到完全清除；</w:t>
            </w:r>
          </w:p>
        </w:tc>
      </w:tr>
      <w:tr w14:paraId="26C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1763391">
            <w:pPr>
              <w:spacing w:line="500" w:lineRule="exact"/>
              <w:ind w:firstLine="566" w:firstLineChars="200"/>
              <w:rPr>
                <w:rFonts w:hint="eastAsia" w:ascii="仿宋" w:hAnsi="仿宋" w:eastAsia="仿宋" w:cs="Times New Roman"/>
              </w:rPr>
            </w:pPr>
          </w:p>
        </w:tc>
        <w:tc>
          <w:tcPr>
            <w:tcW w:w="1569" w:type="dxa"/>
            <w:vMerge w:val="continue"/>
            <w:vAlign w:val="center"/>
          </w:tcPr>
          <w:p w14:paraId="4DD076BA">
            <w:pPr>
              <w:spacing w:line="500" w:lineRule="exact"/>
              <w:ind w:firstLine="566" w:firstLineChars="200"/>
              <w:rPr>
                <w:rFonts w:hint="eastAsia" w:ascii="仿宋" w:hAnsi="仿宋" w:eastAsia="仿宋" w:cs="Times New Roman"/>
              </w:rPr>
            </w:pPr>
          </w:p>
        </w:tc>
        <w:tc>
          <w:tcPr>
            <w:tcW w:w="5158" w:type="dxa"/>
            <w:vAlign w:val="center"/>
          </w:tcPr>
          <w:p w14:paraId="1C7CD655">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b）应保证存有敏感数据的存储空间被释放或重新分配前得到完全清除。</w:t>
            </w:r>
          </w:p>
        </w:tc>
      </w:tr>
      <w:tr w14:paraId="0FD5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A33DFF4">
            <w:pPr>
              <w:spacing w:line="500" w:lineRule="exact"/>
              <w:ind w:firstLine="566" w:firstLineChars="200"/>
              <w:rPr>
                <w:rFonts w:hint="eastAsia" w:ascii="仿宋" w:hAnsi="仿宋" w:eastAsia="仿宋" w:cs="Times New Roman"/>
              </w:rPr>
            </w:pPr>
          </w:p>
        </w:tc>
        <w:tc>
          <w:tcPr>
            <w:tcW w:w="1569" w:type="dxa"/>
            <w:vMerge w:val="restart"/>
            <w:vAlign w:val="center"/>
          </w:tcPr>
          <w:p w14:paraId="1A4B3B87">
            <w:pPr>
              <w:spacing w:line="500" w:lineRule="exact"/>
              <w:ind w:firstLine="566" w:firstLineChars="200"/>
              <w:rPr>
                <w:rFonts w:hint="eastAsia" w:ascii="仿宋" w:hAnsi="仿宋" w:eastAsia="仿宋" w:cs="Times New Roman"/>
              </w:rPr>
            </w:pPr>
            <w:r>
              <w:rPr>
                <w:rFonts w:hint="eastAsia" w:ascii="仿宋" w:hAnsi="仿宋" w:eastAsia="仿宋" w:cs="Times New Roman"/>
              </w:rPr>
              <w:t>个人信息保护</w:t>
            </w:r>
          </w:p>
        </w:tc>
        <w:tc>
          <w:tcPr>
            <w:tcW w:w="5158" w:type="dxa"/>
            <w:vAlign w:val="center"/>
          </w:tcPr>
          <w:p w14:paraId="7AA28E85">
            <w:pPr>
              <w:spacing w:line="500" w:lineRule="exact"/>
              <w:ind w:firstLine="566" w:firstLineChars="200"/>
              <w:rPr>
                <w:rFonts w:hint="eastAsia" w:ascii="仿宋" w:hAnsi="仿宋" w:eastAsia="仿宋" w:cs="Times New Roman"/>
              </w:rPr>
            </w:pPr>
            <w:r>
              <w:rPr>
                <w:rFonts w:hint="eastAsia" w:ascii="仿宋" w:hAnsi="仿宋" w:eastAsia="仿宋" w:cs="Times New Roman"/>
              </w:rPr>
              <w:t>a）应仅采集和保存业务必需的用户个人信息；</w:t>
            </w:r>
          </w:p>
        </w:tc>
      </w:tr>
      <w:tr w14:paraId="347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456165">
            <w:pPr>
              <w:spacing w:line="500" w:lineRule="exact"/>
              <w:ind w:firstLine="566" w:firstLineChars="200"/>
              <w:rPr>
                <w:rFonts w:hint="eastAsia" w:ascii="仿宋" w:hAnsi="仿宋" w:eastAsia="仿宋" w:cs="Times New Roman"/>
              </w:rPr>
            </w:pPr>
          </w:p>
        </w:tc>
        <w:tc>
          <w:tcPr>
            <w:tcW w:w="1569" w:type="dxa"/>
            <w:vMerge w:val="continue"/>
            <w:vAlign w:val="center"/>
          </w:tcPr>
          <w:p w14:paraId="19670DEB">
            <w:pPr>
              <w:spacing w:line="500" w:lineRule="exact"/>
              <w:ind w:firstLine="566" w:firstLineChars="200"/>
              <w:rPr>
                <w:rFonts w:hint="eastAsia" w:ascii="仿宋" w:hAnsi="仿宋" w:eastAsia="仿宋" w:cs="Times New Roman"/>
              </w:rPr>
            </w:pPr>
          </w:p>
        </w:tc>
        <w:tc>
          <w:tcPr>
            <w:tcW w:w="5158" w:type="dxa"/>
            <w:vAlign w:val="center"/>
          </w:tcPr>
          <w:p w14:paraId="049150EB">
            <w:pPr>
              <w:spacing w:line="500" w:lineRule="exact"/>
              <w:ind w:firstLine="566" w:firstLineChars="200"/>
              <w:rPr>
                <w:rFonts w:hint="eastAsia" w:ascii="仿宋" w:hAnsi="仿宋" w:eastAsia="仿宋" w:cs="Times New Roman"/>
              </w:rPr>
            </w:pPr>
            <w:r>
              <w:rPr>
                <w:rFonts w:hint="eastAsia" w:ascii="仿宋" w:hAnsi="仿宋" w:eastAsia="仿宋" w:cs="Times New Roman"/>
              </w:rPr>
              <w:t>b）应禁止未授权访问和非法使用用户个人信息。</w:t>
            </w:r>
          </w:p>
        </w:tc>
      </w:tr>
    </w:tbl>
    <w:tbl>
      <w:tblPr>
        <w:tblStyle w:val="31"/>
        <w:tblpPr w:leftFromText="180" w:rightFromText="180" w:vertAnchor="text" w:horzAnchor="page" w:tblpX="1415" w:tblpY="5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760"/>
        <w:gridCol w:w="5767"/>
      </w:tblGrid>
      <w:tr w14:paraId="693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6A6A6"/>
            <w:vAlign w:val="center"/>
          </w:tcPr>
          <w:p w14:paraId="3557296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759" w:type="dxa"/>
            <w:shd w:val="clear" w:color="auto" w:fill="A6A6A6"/>
            <w:vAlign w:val="center"/>
          </w:tcPr>
          <w:p w14:paraId="04DA46B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781" w:type="dxa"/>
            <w:shd w:val="clear" w:color="auto" w:fill="A6A6A6"/>
            <w:vAlign w:val="center"/>
          </w:tcPr>
          <w:p w14:paraId="3D3713E9">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138D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vAlign w:val="center"/>
          </w:tcPr>
          <w:p w14:paraId="605CD3E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w:t>
            </w:r>
          </w:p>
        </w:tc>
        <w:tc>
          <w:tcPr>
            <w:tcW w:w="1759" w:type="dxa"/>
            <w:vMerge w:val="restart"/>
            <w:vAlign w:val="center"/>
          </w:tcPr>
          <w:p w14:paraId="471C7AAE">
            <w:pPr>
              <w:spacing w:line="500" w:lineRule="exact"/>
              <w:ind w:firstLine="566" w:firstLineChars="200"/>
              <w:rPr>
                <w:rFonts w:hint="eastAsia" w:ascii="仿宋" w:hAnsi="仿宋" w:eastAsia="仿宋" w:cs="Times New Roman"/>
              </w:rPr>
            </w:pPr>
            <w:r>
              <w:rPr>
                <w:rFonts w:hint="eastAsia" w:ascii="仿宋" w:hAnsi="仿宋" w:eastAsia="仿宋" w:cs="Times New Roman"/>
              </w:rPr>
              <w:t>系统</w:t>
            </w:r>
          </w:p>
          <w:p w14:paraId="30B5862F">
            <w:pPr>
              <w:spacing w:line="500" w:lineRule="exact"/>
              <w:ind w:firstLine="566" w:firstLineChars="200"/>
              <w:rPr>
                <w:rFonts w:hint="eastAsia" w:ascii="仿宋" w:hAnsi="仿宋" w:eastAsia="仿宋" w:cs="Times New Roman"/>
              </w:rPr>
            </w:pPr>
            <w:r>
              <w:rPr>
                <w:rFonts w:hint="eastAsia" w:ascii="仿宋" w:hAnsi="仿宋" w:eastAsia="仿宋" w:cs="Times New Roman"/>
              </w:rPr>
              <w:t>管理</w:t>
            </w:r>
          </w:p>
        </w:tc>
        <w:tc>
          <w:tcPr>
            <w:tcW w:w="5781" w:type="dxa"/>
            <w:vAlign w:val="center"/>
          </w:tcPr>
          <w:p w14:paraId="052BD3BD">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a）应对系统管理员进行身份鉴别，只允许其通过特定的命令或操作界面进行系统管理操作，并对这些操作进行审计；</w:t>
            </w:r>
          </w:p>
        </w:tc>
      </w:tr>
      <w:tr w14:paraId="4E63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CC0A6C">
            <w:pPr>
              <w:spacing w:line="500" w:lineRule="exact"/>
              <w:ind w:firstLine="566" w:firstLineChars="200"/>
              <w:rPr>
                <w:rFonts w:hint="eastAsia" w:ascii="仿宋" w:hAnsi="仿宋" w:eastAsia="仿宋" w:cs="Times New Roman"/>
              </w:rPr>
            </w:pPr>
          </w:p>
        </w:tc>
        <w:tc>
          <w:tcPr>
            <w:tcW w:w="1759" w:type="dxa"/>
            <w:vMerge w:val="continue"/>
            <w:vAlign w:val="center"/>
          </w:tcPr>
          <w:p w14:paraId="4E9CC41C">
            <w:pPr>
              <w:spacing w:line="500" w:lineRule="exact"/>
              <w:ind w:firstLine="566" w:firstLineChars="200"/>
              <w:rPr>
                <w:rFonts w:hint="eastAsia" w:ascii="仿宋" w:hAnsi="仿宋" w:eastAsia="仿宋" w:cs="Times New Roman"/>
              </w:rPr>
            </w:pPr>
          </w:p>
        </w:tc>
        <w:tc>
          <w:tcPr>
            <w:tcW w:w="5781" w:type="dxa"/>
            <w:vAlign w:val="center"/>
          </w:tcPr>
          <w:p w14:paraId="695EC5C4">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b）应通过系统管理员对系统的资源和运行进行配置、控制和管理，包括用户身份、系统资源配置、系统加载和启动、系统运行的异常处理、数据和设备的备份与恢复等。</w:t>
            </w:r>
          </w:p>
        </w:tc>
      </w:tr>
      <w:tr w14:paraId="422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359C23AF">
            <w:pPr>
              <w:spacing w:line="500" w:lineRule="exact"/>
              <w:ind w:firstLine="566" w:firstLineChars="200"/>
              <w:rPr>
                <w:rFonts w:hint="eastAsia" w:ascii="仿宋" w:hAnsi="仿宋" w:eastAsia="仿宋" w:cs="Times New Roman"/>
              </w:rPr>
            </w:pPr>
          </w:p>
        </w:tc>
        <w:tc>
          <w:tcPr>
            <w:tcW w:w="1759" w:type="dxa"/>
            <w:vMerge w:val="restart"/>
            <w:vAlign w:val="center"/>
          </w:tcPr>
          <w:p w14:paraId="761412E7">
            <w:pPr>
              <w:spacing w:line="500" w:lineRule="exact"/>
              <w:ind w:firstLine="566" w:firstLineChars="200"/>
              <w:rPr>
                <w:rFonts w:hint="eastAsia" w:ascii="仿宋" w:hAnsi="仿宋" w:eastAsia="仿宋" w:cs="Times New Roman"/>
              </w:rPr>
            </w:pPr>
            <w:r>
              <w:rPr>
                <w:rFonts w:hint="eastAsia" w:ascii="仿宋" w:hAnsi="仿宋" w:eastAsia="仿宋" w:cs="Times New Roman"/>
              </w:rPr>
              <w:t>审计管理</w:t>
            </w:r>
          </w:p>
        </w:tc>
        <w:tc>
          <w:tcPr>
            <w:tcW w:w="5781" w:type="dxa"/>
            <w:vAlign w:val="center"/>
          </w:tcPr>
          <w:p w14:paraId="71CB445E">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a）应对审计管理员进行身份鉴别，只允许其通过特定的命令或操作界面进行安全审计操作，并对这些操作进行审计；</w:t>
            </w:r>
          </w:p>
        </w:tc>
      </w:tr>
      <w:tr w14:paraId="765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6A4C1020">
            <w:pPr>
              <w:spacing w:line="500" w:lineRule="exact"/>
              <w:ind w:firstLine="566" w:firstLineChars="200"/>
              <w:rPr>
                <w:rFonts w:hint="eastAsia" w:ascii="仿宋" w:hAnsi="仿宋" w:eastAsia="仿宋" w:cs="Times New Roman"/>
              </w:rPr>
            </w:pPr>
          </w:p>
        </w:tc>
        <w:tc>
          <w:tcPr>
            <w:tcW w:w="1759" w:type="dxa"/>
            <w:vMerge w:val="continue"/>
            <w:vAlign w:val="center"/>
          </w:tcPr>
          <w:p w14:paraId="61744D69">
            <w:pPr>
              <w:spacing w:line="500" w:lineRule="exact"/>
              <w:ind w:firstLine="566" w:firstLineChars="200"/>
              <w:rPr>
                <w:rFonts w:hint="eastAsia" w:ascii="仿宋" w:hAnsi="仿宋" w:eastAsia="仿宋" w:cs="Times New Roman"/>
              </w:rPr>
            </w:pPr>
          </w:p>
        </w:tc>
        <w:tc>
          <w:tcPr>
            <w:tcW w:w="5781" w:type="dxa"/>
            <w:vAlign w:val="center"/>
          </w:tcPr>
          <w:p w14:paraId="57BA4DDC">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b）应通过审计管理员对审计记录应进行分析，并根据分析结果进行处理，包括根据安全审计策略对审计记录进行存储、管理和查询等。</w:t>
            </w:r>
          </w:p>
        </w:tc>
      </w:tr>
      <w:tr w14:paraId="6BD1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292A2F31">
            <w:pPr>
              <w:spacing w:line="500" w:lineRule="exact"/>
              <w:ind w:firstLine="566" w:firstLineChars="200"/>
              <w:rPr>
                <w:rFonts w:hint="eastAsia" w:ascii="仿宋" w:hAnsi="仿宋" w:eastAsia="仿宋" w:cs="Times New Roman"/>
              </w:rPr>
            </w:pPr>
          </w:p>
        </w:tc>
        <w:tc>
          <w:tcPr>
            <w:tcW w:w="1759" w:type="dxa"/>
            <w:vMerge w:val="restart"/>
            <w:vAlign w:val="center"/>
          </w:tcPr>
          <w:p w14:paraId="5E4DF8C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w:t>
            </w:r>
          </w:p>
        </w:tc>
        <w:tc>
          <w:tcPr>
            <w:tcW w:w="5781" w:type="dxa"/>
            <w:vAlign w:val="center"/>
          </w:tcPr>
          <w:p w14:paraId="48791F0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a）应对安全管理员进行身份鉴别，只允许其通过特定的命令或操作界面进行安全管理操作，并对这些操作进行审计；</w:t>
            </w:r>
          </w:p>
        </w:tc>
      </w:tr>
      <w:tr w14:paraId="5A6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8BF0797">
            <w:pPr>
              <w:spacing w:line="500" w:lineRule="exact"/>
              <w:ind w:firstLine="566" w:firstLineChars="200"/>
              <w:rPr>
                <w:rFonts w:hint="eastAsia" w:ascii="仿宋" w:hAnsi="仿宋" w:eastAsia="仿宋" w:cs="Times New Roman"/>
              </w:rPr>
            </w:pPr>
          </w:p>
        </w:tc>
        <w:tc>
          <w:tcPr>
            <w:tcW w:w="1759" w:type="dxa"/>
            <w:vMerge w:val="continue"/>
            <w:vAlign w:val="center"/>
          </w:tcPr>
          <w:p w14:paraId="59916E45">
            <w:pPr>
              <w:spacing w:line="500" w:lineRule="exact"/>
              <w:ind w:firstLine="566" w:firstLineChars="200"/>
              <w:rPr>
                <w:rFonts w:hint="eastAsia" w:ascii="仿宋" w:hAnsi="仿宋" w:eastAsia="仿宋" w:cs="Times New Roman"/>
              </w:rPr>
            </w:pPr>
          </w:p>
        </w:tc>
        <w:tc>
          <w:tcPr>
            <w:tcW w:w="5781" w:type="dxa"/>
            <w:vAlign w:val="center"/>
          </w:tcPr>
          <w:p w14:paraId="3500B25B">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b）应通过安全管理员对系统中的安全策略进行配置，包括安全参数的设置，主体、客体进行统一安全标记，对主体进行授权，配置可信验证策略等。</w:t>
            </w:r>
          </w:p>
        </w:tc>
      </w:tr>
      <w:tr w14:paraId="63A5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4B2F144">
            <w:pPr>
              <w:spacing w:line="500" w:lineRule="exact"/>
              <w:ind w:firstLine="566" w:firstLineChars="200"/>
              <w:rPr>
                <w:rFonts w:hint="eastAsia" w:ascii="仿宋" w:hAnsi="仿宋" w:eastAsia="仿宋" w:cs="Times New Roman"/>
              </w:rPr>
            </w:pPr>
          </w:p>
        </w:tc>
        <w:tc>
          <w:tcPr>
            <w:tcW w:w="1759" w:type="dxa"/>
            <w:vMerge w:val="restart"/>
            <w:vAlign w:val="center"/>
          </w:tcPr>
          <w:p w14:paraId="58CC28D3">
            <w:pPr>
              <w:spacing w:line="500" w:lineRule="exact"/>
              <w:ind w:firstLine="566" w:firstLineChars="200"/>
              <w:rPr>
                <w:rFonts w:hint="eastAsia" w:ascii="仿宋" w:hAnsi="仿宋" w:eastAsia="仿宋" w:cs="Times New Roman"/>
              </w:rPr>
            </w:pPr>
            <w:r>
              <w:rPr>
                <w:rFonts w:hint="eastAsia" w:ascii="仿宋" w:hAnsi="仿宋" w:eastAsia="仿宋" w:cs="Times New Roman"/>
              </w:rPr>
              <w:t>集中管控</w:t>
            </w:r>
          </w:p>
        </w:tc>
        <w:tc>
          <w:tcPr>
            <w:tcW w:w="5781" w:type="dxa"/>
            <w:vAlign w:val="center"/>
          </w:tcPr>
          <w:p w14:paraId="33C1A042">
            <w:pPr>
              <w:spacing w:line="500" w:lineRule="exact"/>
              <w:ind w:firstLine="566" w:firstLineChars="200"/>
              <w:rPr>
                <w:rFonts w:hint="eastAsia" w:ascii="仿宋" w:hAnsi="仿宋" w:eastAsia="仿宋" w:cs="Times New Roman"/>
              </w:rPr>
            </w:pPr>
            <w:r>
              <w:rPr>
                <w:rFonts w:hint="eastAsia" w:ascii="仿宋" w:hAnsi="仿宋" w:eastAsia="仿宋" w:cs="Times New Roman"/>
              </w:rPr>
              <w:t>a）应划分出特定的管理区域，对分布在网络中的安全设备或安全组件进行管控；</w:t>
            </w:r>
          </w:p>
        </w:tc>
      </w:tr>
      <w:tr w14:paraId="254C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767CF8B">
            <w:pPr>
              <w:spacing w:line="500" w:lineRule="exact"/>
              <w:ind w:firstLine="566" w:firstLineChars="200"/>
              <w:rPr>
                <w:rFonts w:hint="eastAsia" w:ascii="仿宋" w:hAnsi="仿宋" w:eastAsia="仿宋" w:cs="Times New Roman"/>
              </w:rPr>
            </w:pPr>
          </w:p>
        </w:tc>
        <w:tc>
          <w:tcPr>
            <w:tcW w:w="1759" w:type="dxa"/>
            <w:vMerge w:val="continue"/>
            <w:vAlign w:val="center"/>
          </w:tcPr>
          <w:p w14:paraId="3C0415D8">
            <w:pPr>
              <w:spacing w:line="500" w:lineRule="exact"/>
              <w:ind w:firstLine="566" w:firstLineChars="200"/>
              <w:rPr>
                <w:rFonts w:hint="eastAsia" w:ascii="仿宋" w:hAnsi="仿宋" w:eastAsia="仿宋" w:cs="Times New Roman"/>
              </w:rPr>
            </w:pPr>
          </w:p>
        </w:tc>
        <w:tc>
          <w:tcPr>
            <w:tcW w:w="5781" w:type="dxa"/>
            <w:vAlign w:val="center"/>
          </w:tcPr>
          <w:p w14:paraId="456B986C">
            <w:pPr>
              <w:spacing w:line="500" w:lineRule="exact"/>
              <w:ind w:firstLine="566" w:firstLineChars="200"/>
              <w:rPr>
                <w:rFonts w:hint="eastAsia" w:ascii="仿宋" w:hAnsi="仿宋" w:eastAsia="仿宋" w:cs="Times New Roman"/>
              </w:rPr>
            </w:pPr>
            <w:r>
              <w:rPr>
                <w:rFonts w:hint="eastAsia" w:ascii="仿宋" w:hAnsi="仿宋" w:eastAsia="仿宋" w:cs="Times New Roman"/>
              </w:rPr>
              <w:t>b）应能够建立一条安全的信息传输路径，对网络中的安全设备或安全组件进行管理；</w:t>
            </w:r>
          </w:p>
        </w:tc>
      </w:tr>
      <w:tr w14:paraId="707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71820B11">
            <w:pPr>
              <w:spacing w:line="500" w:lineRule="exact"/>
              <w:ind w:firstLine="566" w:firstLineChars="200"/>
              <w:rPr>
                <w:rFonts w:hint="eastAsia" w:ascii="仿宋" w:hAnsi="仿宋" w:eastAsia="仿宋" w:cs="Times New Roman"/>
              </w:rPr>
            </w:pPr>
          </w:p>
        </w:tc>
        <w:tc>
          <w:tcPr>
            <w:tcW w:w="1759" w:type="dxa"/>
            <w:vMerge w:val="continue"/>
            <w:vAlign w:val="center"/>
          </w:tcPr>
          <w:p w14:paraId="6E38ADCD">
            <w:pPr>
              <w:spacing w:line="500" w:lineRule="exact"/>
              <w:ind w:firstLine="566" w:firstLineChars="200"/>
              <w:rPr>
                <w:rFonts w:hint="eastAsia" w:ascii="仿宋" w:hAnsi="仿宋" w:eastAsia="仿宋" w:cs="Times New Roman"/>
              </w:rPr>
            </w:pPr>
          </w:p>
        </w:tc>
        <w:tc>
          <w:tcPr>
            <w:tcW w:w="5781" w:type="dxa"/>
            <w:vAlign w:val="center"/>
          </w:tcPr>
          <w:p w14:paraId="4E7AC0B3">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c）应对网络链路、安全设备、网络设备和服务器等的运行状况进行集中监测；</w:t>
            </w:r>
          </w:p>
        </w:tc>
      </w:tr>
      <w:tr w14:paraId="29CD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429540">
            <w:pPr>
              <w:spacing w:line="500" w:lineRule="exact"/>
              <w:ind w:firstLine="566" w:firstLineChars="200"/>
              <w:rPr>
                <w:rFonts w:hint="eastAsia" w:ascii="仿宋" w:hAnsi="仿宋" w:eastAsia="仿宋" w:cs="Times New Roman"/>
              </w:rPr>
            </w:pPr>
          </w:p>
        </w:tc>
        <w:tc>
          <w:tcPr>
            <w:tcW w:w="1759" w:type="dxa"/>
            <w:vMerge w:val="continue"/>
            <w:vAlign w:val="center"/>
          </w:tcPr>
          <w:p w14:paraId="64192563">
            <w:pPr>
              <w:spacing w:line="500" w:lineRule="exact"/>
              <w:ind w:firstLine="566" w:firstLineChars="200"/>
              <w:rPr>
                <w:rFonts w:hint="eastAsia" w:ascii="仿宋" w:hAnsi="仿宋" w:eastAsia="仿宋" w:cs="Times New Roman"/>
              </w:rPr>
            </w:pPr>
          </w:p>
        </w:tc>
        <w:tc>
          <w:tcPr>
            <w:tcW w:w="5781" w:type="dxa"/>
            <w:vAlign w:val="center"/>
          </w:tcPr>
          <w:p w14:paraId="4369ECCE">
            <w:pPr>
              <w:spacing w:line="500" w:lineRule="exact"/>
              <w:ind w:firstLine="566" w:firstLineChars="200"/>
              <w:rPr>
                <w:rFonts w:hint="eastAsia" w:ascii="仿宋" w:hAnsi="仿宋" w:eastAsia="仿宋" w:cs="Times New Roman"/>
              </w:rPr>
            </w:pPr>
            <w:r>
              <w:rPr>
                <w:rFonts w:hint="eastAsia" w:ascii="仿宋" w:hAnsi="仿宋" w:eastAsia="仿宋" w:cs="Times New Roman"/>
              </w:rPr>
              <w:t>d）应对分散在各个设备上的审计数据进行收集汇总和集中分析，并保证审计记录的留存时间符合法律法规要求；</w:t>
            </w:r>
          </w:p>
        </w:tc>
      </w:tr>
      <w:tr w14:paraId="795F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25CC904">
            <w:pPr>
              <w:spacing w:line="500" w:lineRule="exact"/>
              <w:ind w:firstLine="566" w:firstLineChars="200"/>
              <w:rPr>
                <w:rFonts w:hint="eastAsia" w:ascii="仿宋" w:hAnsi="仿宋" w:eastAsia="仿宋" w:cs="Times New Roman"/>
              </w:rPr>
            </w:pPr>
          </w:p>
        </w:tc>
        <w:tc>
          <w:tcPr>
            <w:tcW w:w="1759" w:type="dxa"/>
            <w:vMerge w:val="continue"/>
            <w:vAlign w:val="center"/>
          </w:tcPr>
          <w:p w14:paraId="5E68D5BC">
            <w:pPr>
              <w:spacing w:line="500" w:lineRule="exact"/>
              <w:ind w:firstLine="566" w:firstLineChars="200"/>
              <w:rPr>
                <w:rFonts w:hint="eastAsia" w:ascii="仿宋" w:hAnsi="仿宋" w:eastAsia="仿宋" w:cs="Times New Roman"/>
              </w:rPr>
            </w:pPr>
          </w:p>
        </w:tc>
        <w:tc>
          <w:tcPr>
            <w:tcW w:w="5781" w:type="dxa"/>
            <w:vAlign w:val="center"/>
          </w:tcPr>
          <w:p w14:paraId="4773DC91">
            <w:pPr>
              <w:spacing w:line="500" w:lineRule="exact"/>
              <w:ind w:firstLine="566" w:firstLineChars="200"/>
              <w:rPr>
                <w:rFonts w:hint="eastAsia" w:ascii="仿宋" w:hAnsi="仿宋" w:eastAsia="仿宋" w:cs="Times New Roman"/>
              </w:rPr>
            </w:pPr>
            <w:r>
              <w:rPr>
                <w:rFonts w:hint="eastAsia" w:ascii="仿宋" w:hAnsi="仿宋" w:eastAsia="仿宋" w:cs="Times New Roman"/>
              </w:rPr>
              <w:t>e）应对安全策略、恶意代码、补丁升级等安全相关事项进行集中管理；</w:t>
            </w:r>
          </w:p>
        </w:tc>
      </w:tr>
      <w:tr w14:paraId="7D2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0063247D">
            <w:pPr>
              <w:spacing w:line="500" w:lineRule="exact"/>
              <w:ind w:firstLine="566" w:firstLineChars="200"/>
              <w:rPr>
                <w:rFonts w:hint="eastAsia" w:ascii="仿宋" w:hAnsi="仿宋" w:eastAsia="仿宋" w:cs="Times New Roman"/>
              </w:rPr>
            </w:pPr>
          </w:p>
        </w:tc>
        <w:tc>
          <w:tcPr>
            <w:tcW w:w="1759" w:type="dxa"/>
            <w:vMerge w:val="continue"/>
            <w:vAlign w:val="center"/>
          </w:tcPr>
          <w:p w14:paraId="0A864760">
            <w:pPr>
              <w:spacing w:line="500" w:lineRule="exact"/>
              <w:ind w:firstLine="566" w:firstLineChars="200"/>
              <w:rPr>
                <w:rFonts w:hint="eastAsia" w:ascii="仿宋" w:hAnsi="仿宋" w:eastAsia="仿宋" w:cs="Times New Roman"/>
              </w:rPr>
            </w:pPr>
          </w:p>
        </w:tc>
        <w:tc>
          <w:tcPr>
            <w:tcW w:w="5781" w:type="dxa"/>
            <w:vAlign w:val="center"/>
          </w:tcPr>
          <w:p w14:paraId="17F2F8F8">
            <w:pPr>
              <w:spacing w:line="500" w:lineRule="exact"/>
              <w:ind w:firstLine="566" w:firstLineChars="200"/>
              <w:rPr>
                <w:rFonts w:hint="eastAsia" w:ascii="仿宋" w:hAnsi="仿宋" w:eastAsia="仿宋" w:cs="Times New Roman"/>
              </w:rPr>
            </w:pPr>
            <w:r>
              <w:rPr>
                <w:rFonts w:hint="eastAsia" w:ascii="仿宋" w:hAnsi="仿宋" w:eastAsia="仿宋" w:cs="Times New Roman"/>
              </w:rPr>
              <w:t>f）应能对网络中发生的各类安全事件进行识别、报警和分析。</w:t>
            </w:r>
          </w:p>
        </w:tc>
      </w:tr>
    </w:tbl>
    <w:p w14:paraId="6C080A9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安全管理中心及安全管理制度</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7EF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72240A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D4DF9C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8E9EE3D">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373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4C7D83A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安全管理制度</w:t>
            </w:r>
          </w:p>
        </w:tc>
        <w:tc>
          <w:tcPr>
            <w:tcW w:w="1569" w:type="dxa"/>
            <w:vAlign w:val="center"/>
          </w:tcPr>
          <w:p w14:paraId="6C9B9A9F">
            <w:pPr>
              <w:spacing w:line="500" w:lineRule="exact"/>
              <w:ind w:firstLine="566" w:firstLineChars="200"/>
              <w:rPr>
                <w:rFonts w:hint="eastAsia" w:ascii="仿宋" w:hAnsi="仿宋" w:eastAsia="仿宋" w:cs="Times New Roman"/>
              </w:rPr>
            </w:pPr>
            <w:r>
              <w:rPr>
                <w:rFonts w:hint="eastAsia" w:ascii="仿宋" w:hAnsi="仿宋" w:eastAsia="仿宋" w:cs="Times New Roman"/>
              </w:rPr>
              <w:t>安全</w:t>
            </w:r>
          </w:p>
          <w:p w14:paraId="74F789E7">
            <w:pPr>
              <w:spacing w:line="500" w:lineRule="exact"/>
              <w:ind w:firstLine="566" w:firstLineChars="200"/>
              <w:rPr>
                <w:rFonts w:hint="eastAsia" w:ascii="仿宋" w:hAnsi="仿宋" w:eastAsia="仿宋" w:cs="Times New Roman"/>
              </w:rPr>
            </w:pPr>
            <w:r>
              <w:rPr>
                <w:rFonts w:hint="eastAsia" w:ascii="仿宋" w:hAnsi="仿宋" w:eastAsia="仿宋" w:cs="Times New Roman"/>
              </w:rPr>
              <w:t>策略</w:t>
            </w:r>
          </w:p>
        </w:tc>
        <w:tc>
          <w:tcPr>
            <w:tcW w:w="5158" w:type="dxa"/>
            <w:vAlign w:val="center"/>
          </w:tcPr>
          <w:p w14:paraId="748A8F8E">
            <w:pPr>
              <w:spacing w:line="500" w:lineRule="exact"/>
              <w:ind w:firstLine="566" w:firstLineChars="200"/>
              <w:rPr>
                <w:rFonts w:hint="eastAsia" w:ascii="仿宋" w:hAnsi="仿宋" w:eastAsia="仿宋" w:cs="Times New Roman"/>
              </w:rPr>
            </w:pPr>
            <w:r>
              <w:rPr>
                <w:rFonts w:hint="eastAsia" w:ascii="仿宋" w:hAnsi="仿宋" w:eastAsia="仿宋" w:cs="Times New Roman"/>
              </w:rPr>
              <w:t>应制定网络安全工作的总体方针和安全策略，阐明机构安全工作的总体目标、范围、原则和安全框架等。</w:t>
            </w:r>
          </w:p>
        </w:tc>
      </w:tr>
      <w:tr w14:paraId="5A1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D9DCC5">
            <w:pPr>
              <w:spacing w:line="500" w:lineRule="exact"/>
              <w:ind w:firstLine="566" w:firstLineChars="200"/>
              <w:rPr>
                <w:rFonts w:hint="eastAsia" w:ascii="仿宋" w:hAnsi="仿宋" w:eastAsia="仿宋" w:cs="Times New Roman"/>
              </w:rPr>
            </w:pPr>
          </w:p>
        </w:tc>
        <w:tc>
          <w:tcPr>
            <w:tcW w:w="1569" w:type="dxa"/>
            <w:vMerge w:val="restart"/>
            <w:vAlign w:val="center"/>
          </w:tcPr>
          <w:p w14:paraId="54791129">
            <w:pPr>
              <w:spacing w:line="500" w:lineRule="exact"/>
              <w:ind w:firstLine="566" w:firstLineChars="200"/>
              <w:rPr>
                <w:rFonts w:hint="eastAsia" w:ascii="仿宋" w:hAnsi="仿宋" w:eastAsia="仿宋" w:cs="Times New Roman"/>
              </w:rPr>
            </w:pPr>
            <w:r>
              <w:rPr>
                <w:rFonts w:hint="eastAsia" w:ascii="仿宋" w:hAnsi="仿宋" w:eastAsia="仿宋" w:cs="Times New Roman"/>
              </w:rPr>
              <w:t>管理制度</w:t>
            </w:r>
          </w:p>
        </w:tc>
        <w:tc>
          <w:tcPr>
            <w:tcW w:w="5158" w:type="dxa"/>
            <w:vAlign w:val="center"/>
          </w:tcPr>
          <w:p w14:paraId="53CB3DD0">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a）应对安全管理活动中的各类管理内容建立安全管理制度；</w:t>
            </w:r>
          </w:p>
        </w:tc>
      </w:tr>
      <w:tr w14:paraId="7FC9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4923EC">
            <w:pPr>
              <w:spacing w:line="500" w:lineRule="exact"/>
              <w:ind w:firstLine="566" w:firstLineChars="200"/>
              <w:rPr>
                <w:rFonts w:hint="eastAsia" w:ascii="仿宋" w:hAnsi="仿宋" w:eastAsia="仿宋" w:cs="Times New Roman"/>
              </w:rPr>
            </w:pPr>
          </w:p>
        </w:tc>
        <w:tc>
          <w:tcPr>
            <w:tcW w:w="1569" w:type="dxa"/>
            <w:vMerge w:val="continue"/>
            <w:vAlign w:val="center"/>
          </w:tcPr>
          <w:p w14:paraId="53F64BB9">
            <w:pPr>
              <w:spacing w:line="500" w:lineRule="exact"/>
              <w:ind w:firstLine="566" w:firstLineChars="200"/>
              <w:rPr>
                <w:rFonts w:hint="eastAsia" w:ascii="仿宋" w:hAnsi="仿宋" w:eastAsia="仿宋" w:cs="Times New Roman"/>
              </w:rPr>
            </w:pPr>
          </w:p>
        </w:tc>
        <w:tc>
          <w:tcPr>
            <w:tcW w:w="5158" w:type="dxa"/>
            <w:vAlign w:val="center"/>
          </w:tcPr>
          <w:p w14:paraId="5B221272">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b）应对管理人员或操作人员执行的日常管理操作建立操作规程；</w:t>
            </w:r>
          </w:p>
        </w:tc>
      </w:tr>
      <w:tr w14:paraId="365B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DB2C41">
            <w:pPr>
              <w:spacing w:line="500" w:lineRule="exact"/>
              <w:ind w:firstLine="566" w:firstLineChars="200"/>
              <w:rPr>
                <w:rFonts w:hint="eastAsia" w:ascii="仿宋" w:hAnsi="仿宋" w:eastAsia="仿宋" w:cs="Times New Roman"/>
              </w:rPr>
            </w:pPr>
          </w:p>
        </w:tc>
        <w:tc>
          <w:tcPr>
            <w:tcW w:w="1569" w:type="dxa"/>
            <w:vMerge w:val="continue"/>
            <w:vAlign w:val="center"/>
          </w:tcPr>
          <w:p w14:paraId="16BB8FCA">
            <w:pPr>
              <w:spacing w:line="500" w:lineRule="exact"/>
              <w:ind w:firstLine="566" w:firstLineChars="200"/>
              <w:rPr>
                <w:rFonts w:hint="eastAsia" w:ascii="仿宋" w:hAnsi="仿宋" w:eastAsia="仿宋" w:cs="Times New Roman"/>
              </w:rPr>
            </w:pPr>
          </w:p>
        </w:tc>
        <w:tc>
          <w:tcPr>
            <w:tcW w:w="5158" w:type="dxa"/>
            <w:vAlign w:val="center"/>
          </w:tcPr>
          <w:p w14:paraId="18239685">
            <w:pPr>
              <w:spacing w:line="500" w:lineRule="exact"/>
              <w:ind w:firstLine="566" w:firstLineChars="200"/>
              <w:rPr>
                <w:rFonts w:hint="eastAsia" w:ascii="仿宋" w:hAnsi="仿宋" w:eastAsia="仿宋" w:cs="Times New Roman"/>
              </w:rPr>
            </w:pPr>
            <w:r>
              <w:rPr>
                <w:rFonts w:hint="eastAsia" w:ascii="仿宋" w:hAnsi="仿宋" w:eastAsia="仿宋" w:cs="Times New Roman"/>
              </w:rPr>
              <w:t>c）应形成由安全策略、管理制度、操作规程、记录表单等构成的全面的安全管理制度体系。</w:t>
            </w:r>
          </w:p>
        </w:tc>
      </w:tr>
      <w:tr w14:paraId="5196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BE4261">
            <w:pPr>
              <w:spacing w:line="500" w:lineRule="exact"/>
              <w:ind w:firstLine="566" w:firstLineChars="200"/>
              <w:rPr>
                <w:rFonts w:hint="eastAsia" w:ascii="仿宋" w:hAnsi="仿宋" w:eastAsia="仿宋" w:cs="Times New Roman"/>
              </w:rPr>
            </w:pPr>
          </w:p>
        </w:tc>
        <w:tc>
          <w:tcPr>
            <w:tcW w:w="1569" w:type="dxa"/>
            <w:vMerge w:val="restart"/>
            <w:vAlign w:val="center"/>
          </w:tcPr>
          <w:p w14:paraId="1F9E13E7">
            <w:pPr>
              <w:spacing w:line="500" w:lineRule="exact"/>
              <w:ind w:firstLine="566" w:firstLineChars="200"/>
              <w:rPr>
                <w:rFonts w:hint="eastAsia" w:ascii="仿宋" w:hAnsi="仿宋" w:eastAsia="仿宋" w:cs="Times New Roman"/>
              </w:rPr>
            </w:pPr>
            <w:r>
              <w:rPr>
                <w:rFonts w:hint="eastAsia" w:ascii="仿宋" w:hAnsi="仿宋" w:eastAsia="仿宋" w:cs="Times New Roman"/>
              </w:rPr>
              <w:t>制定和发布</w:t>
            </w:r>
          </w:p>
        </w:tc>
        <w:tc>
          <w:tcPr>
            <w:tcW w:w="5158" w:type="dxa"/>
            <w:vAlign w:val="center"/>
          </w:tcPr>
          <w:p w14:paraId="57A9FE16">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a）应指定或授权专门的部门或人员负责安全管理制度的制定；</w:t>
            </w:r>
          </w:p>
        </w:tc>
      </w:tr>
      <w:tr w14:paraId="47AD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AFDA9A8">
            <w:pPr>
              <w:spacing w:line="500" w:lineRule="exact"/>
              <w:ind w:firstLine="566" w:firstLineChars="200"/>
              <w:rPr>
                <w:rFonts w:hint="eastAsia" w:ascii="仿宋" w:hAnsi="仿宋" w:eastAsia="仿宋" w:cs="Times New Roman"/>
              </w:rPr>
            </w:pPr>
          </w:p>
        </w:tc>
        <w:tc>
          <w:tcPr>
            <w:tcW w:w="1569" w:type="dxa"/>
            <w:vMerge w:val="continue"/>
            <w:vAlign w:val="center"/>
          </w:tcPr>
          <w:p w14:paraId="1088F52B">
            <w:pPr>
              <w:spacing w:line="500" w:lineRule="exact"/>
              <w:ind w:firstLine="566" w:firstLineChars="200"/>
              <w:rPr>
                <w:rFonts w:hint="eastAsia" w:ascii="仿宋" w:hAnsi="仿宋" w:eastAsia="仿宋" w:cs="Times New Roman"/>
              </w:rPr>
            </w:pPr>
          </w:p>
        </w:tc>
        <w:tc>
          <w:tcPr>
            <w:tcW w:w="5158" w:type="dxa"/>
            <w:vAlign w:val="center"/>
          </w:tcPr>
          <w:p w14:paraId="2C935C49">
            <w:pPr>
              <w:spacing w:line="500" w:lineRule="exact"/>
              <w:ind w:firstLine="566" w:firstLineChars="200"/>
              <w:rPr>
                <w:rFonts w:hint="eastAsia" w:ascii="仿宋" w:hAnsi="仿宋" w:eastAsia="仿宋" w:cs="Times New Roman"/>
              </w:rPr>
            </w:pPr>
            <w:r>
              <w:rPr>
                <w:rFonts w:hint="eastAsia" w:ascii="仿宋" w:hAnsi="仿宋" w:eastAsia="仿宋" w:cs="Times New Roman"/>
              </w:rPr>
              <w:t>b）安全管理制度应通过正式、有效的方式发布，并进行版本控制。</w:t>
            </w:r>
          </w:p>
        </w:tc>
      </w:tr>
      <w:tr w14:paraId="5C0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015227C">
            <w:pPr>
              <w:spacing w:line="500" w:lineRule="exact"/>
              <w:ind w:firstLine="566" w:firstLineChars="200"/>
              <w:rPr>
                <w:rFonts w:hint="eastAsia" w:ascii="仿宋" w:hAnsi="仿宋" w:eastAsia="仿宋" w:cs="Times New Roman"/>
              </w:rPr>
            </w:pPr>
          </w:p>
        </w:tc>
        <w:tc>
          <w:tcPr>
            <w:tcW w:w="1569" w:type="dxa"/>
            <w:vAlign w:val="center"/>
          </w:tcPr>
          <w:p w14:paraId="59CACAF7">
            <w:pPr>
              <w:spacing w:line="500" w:lineRule="exact"/>
              <w:ind w:firstLine="566" w:firstLineChars="200"/>
              <w:rPr>
                <w:rFonts w:hint="eastAsia" w:ascii="仿宋" w:hAnsi="仿宋" w:eastAsia="仿宋" w:cs="Times New Roman"/>
              </w:rPr>
            </w:pPr>
            <w:r>
              <w:rPr>
                <w:rFonts w:hint="eastAsia" w:ascii="仿宋" w:hAnsi="仿宋" w:eastAsia="仿宋" w:cs="Times New Roman"/>
              </w:rPr>
              <w:t>评审和修订</w:t>
            </w:r>
          </w:p>
        </w:tc>
        <w:tc>
          <w:tcPr>
            <w:tcW w:w="5158" w:type="dxa"/>
            <w:vAlign w:val="center"/>
          </w:tcPr>
          <w:p w14:paraId="3DA1270E">
            <w:pPr>
              <w:spacing w:line="500" w:lineRule="exact"/>
              <w:ind w:firstLine="566" w:firstLineChars="200"/>
              <w:rPr>
                <w:rFonts w:hint="eastAsia" w:ascii="仿宋" w:hAnsi="仿宋" w:eastAsia="仿宋" w:cs="Times New Roman"/>
              </w:rPr>
            </w:pPr>
            <w:r>
              <w:rPr>
                <w:rFonts w:hint="eastAsia" w:ascii="仿宋" w:hAnsi="仿宋" w:eastAsia="仿宋" w:cs="Times New Roman"/>
              </w:rPr>
              <w:t>应定期对安全管理制度的合理性和适用性进行论证和审定，对存在不足或需要改进的安全管理制度进行修订。</w:t>
            </w:r>
          </w:p>
        </w:tc>
      </w:tr>
    </w:tbl>
    <w:p w14:paraId="45C05B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093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FCC6C7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2C5049C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5254A3A2">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6E3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797A6B3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c>
        <w:tc>
          <w:tcPr>
            <w:tcW w:w="1569" w:type="dxa"/>
            <w:vMerge w:val="restart"/>
            <w:vAlign w:val="center"/>
          </w:tcPr>
          <w:p w14:paraId="0F2011F1">
            <w:pPr>
              <w:spacing w:line="500" w:lineRule="exact"/>
              <w:ind w:firstLine="566" w:firstLineChars="200"/>
              <w:rPr>
                <w:rFonts w:hint="eastAsia" w:ascii="仿宋" w:hAnsi="仿宋" w:eastAsia="仿宋" w:cs="Times New Roman"/>
              </w:rPr>
            </w:pPr>
            <w:r>
              <w:rPr>
                <w:rFonts w:hint="eastAsia" w:ascii="仿宋" w:hAnsi="仿宋" w:eastAsia="仿宋" w:cs="Times New Roman"/>
              </w:rPr>
              <w:t>岗位</w:t>
            </w:r>
          </w:p>
          <w:p w14:paraId="65F2654D">
            <w:pPr>
              <w:spacing w:line="500" w:lineRule="exact"/>
              <w:ind w:firstLine="566" w:firstLineChars="200"/>
              <w:rPr>
                <w:rFonts w:hint="eastAsia" w:ascii="仿宋" w:hAnsi="仿宋" w:eastAsia="仿宋" w:cs="Times New Roman"/>
              </w:rPr>
            </w:pPr>
            <w:r>
              <w:rPr>
                <w:rFonts w:hint="eastAsia" w:ascii="仿宋" w:hAnsi="仿宋" w:eastAsia="仿宋" w:cs="Times New Roman"/>
              </w:rPr>
              <w:t>设置</w:t>
            </w:r>
          </w:p>
        </w:tc>
        <w:tc>
          <w:tcPr>
            <w:tcW w:w="5158" w:type="dxa"/>
            <w:vAlign w:val="center"/>
          </w:tcPr>
          <w:p w14:paraId="1C7FE98F">
            <w:pPr>
              <w:spacing w:line="500" w:lineRule="exact"/>
              <w:ind w:firstLine="566" w:firstLineChars="200"/>
              <w:rPr>
                <w:rFonts w:hint="eastAsia" w:ascii="仿宋" w:hAnsi="仿宋" w:eastAsia="仿宋" w:cs="Times New Roman"/>
              </w:rPr>
            </w:pPr>
            <w:r>
              <w:rPr>
                <w:rFonts w:hint="eastAsia" w:ascii="仿宋" w:hAnsi="仿宋" w:eastAsia="仿宋" w:cs="Times New Roman"/>
              </w:rPr>
              <w:t>a）应成立指导和管理网络安全工作的委员会或领导小组，其最高领导由单位主管领导担任或授权；</w:t>
            </w:r>
          </w:p>
        </w:tc>
      </w:tr>
      <w:tr w14:paraId="15BD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F8A7D2">
            <w:pPr>
              <w:spacing w:line="500" w:lineRule="exact"/>
              <w:ind w:firstLine="566" w:firstLineChars="200"/>
              <w:rPr>
                <w:rFonts w:hint="eastAsia" w:ascii="仿宋" w:hAnsi="仿宋" w:eastAsia="仿宋" w:cs="Times New Roman"/>
              </w:rPr>
            </w:pPr>
          </w:p>
        </w:tc>
        <w:tc>
          <w:tcPr>
            <w:tcW w:w="1569" w:type="dxa"/>
            <w:vMerge w:val="continue"/>
            <w:vAlign w:val="center"/>
          </w:tcPr>
          <w:p w14:paraId="44F7824B">
            <w:pPr>
              <w:spacing w:line="500" w:lineRule="exact"/>
              <w:ind w:firstLine="566" w:firstLineChars="200"/>
              <w:rPr>
                <w:rFonts w:hint="eastAsia" w:ascii="仿宋" w:hAnsi="仿宋" w:eastAsia="仿宋" w:cs="Times New Roman"/>
              </w:rPr>
            </w:pPr>
          </w:p>
        </w:tc>
        <w:tc>
          <w:tcPr>
            <w:tcW w:w="5158" w:type="dxa"/>
            <w:vAlign w:val="center"/>
          </w:tcPr>
          <w:p w14:paraId="54C7AE4F">
            <w:pPr>
              <w:spacing w:line="500" w:lineRule="exact"/>
              <w:ind w:firstLine="566" w:firstLineChars="200"/>
              <w:rPr>
                <w:rFonts w:hint="eastAsia" w:ascii="仿宋" w:hAnsi="仿宋" w:eastAsia="仿宋" w:cs="Times New Roman"/>
              </w:rPr>
            </w:pPr>
            <w:r>
              <w:rPr>
                <w:rFonts w:hint="eastAsia" w:ascii="仿宋" w:hAnsi="仿宋" w:eastAsia="仿宋" w:cs="Times New Roman"/>
              </w:rPr>
              <w:t>b）应设立网络安全管理工作的职能部门，设立安全主管、安全管理各个方面的负责人岗位，并定义各负责人的职责；</w:t>
            </w:r>
          </w:p>
        </w:tc>
      </w:tr>
      <w:tr w14:paraId="5A14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83EA48">
            <w:pPr>
              <w:spacing w:line="500" w:lineRule="exact"/>
              <w:ind w:firstLine="566" w:firstLineChars="200"/>
              <w:rPr>
                <w:rFonts w:hint="eastAsia" w:ascii="仿宋" w:hAnsi="仿宋" w:eastAsia="仿宋" w:cs="Times New Roman"/>
              </w:rPr>
            </w:pPr>
          </w:p>
        </w:tc>
        <w:tc>
          <w:tcPr>
            <w:tcW w:w="1569" w:type="dxa"/>
            <w:vMerge w:val="continue"/>
            <w:vAlign w:val="center"/>
          </w:tcPr>
          <w:p w14:paraId="6E1E2C09">
            <w:pPr>
              <w:spacing w:line="500" w:lineRule="exact"/>
              <w:ind w:firstLine="566" w:firstLineChars="200"/>
              <w:rPr>
                <w:rFonts w:hint="eastAsia" w:ascii="仿宋" w:hAnsi="仿宋" w:eastAsia="仿宋" w:cs="Times New Roman"/>
              </w:rPr>
            </w:pPr>
          </w:p>
        </w:tc>
        <w:tc>
          <w:tcPr>
            <w:tcW w:w="5158" w:type="dxa"/>
            <w:vAlign w:val="center"/>
          </w:tcPr>
          <w:p w14:paraId="4C498FAD">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c）应设立系统管理员、审计管理员和安全管理员等岗位，并定义部门及各个工作岗位的职责。</w:t>
            </w:r>
          </w:p>
        </w:tc>
      </w:tr>
      <w:tr w14:paraId="76FC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4502">
            <w:pPr>
              <w:spacing w:line="500" w:lineRule="exact"/>
              <w:ind w:firstLine="566" w:firstLineChars="200"/>
              <w:rPr>
                <w:rFonts w:hint="eastAsia" w:ascii="仿宋" w:hAnsi="仿宋" w:eastAsia="仿宋" w:cs="Times New Roman"/>
              </w:rPr>
            </w:pPr>
          </w:p>
        </w:tc>
        <w:tc>
          <w:tcPr>
            <w:tcW w:w="1569" w:type="dxa"/>
            <w:vMerge w:val="restart"/>
            <w:vAlign w:val="center"/>
          </w:tcPr>
          <w:p w14:paraId="2400F41C">
            <w:pPr>
              <w:spacing w:line="500" w:lineRule="exact"/>
              <w:ind w:firstLine="566" w:firstLineChars="200"/>
              <w:rPr>
                <w:rFonts w:hint="eastAsia" w:ascii="仿宋" w:hAnsi="仿宋" w:eastAsia="仿宋" w:cs="Times New Roman"/>
              </w:rPr>
            </w:pPr>
            <w:r>
              <w:rPr>
                <w:rFonts w:hint="eastAsia" w:ascii="仿宋" w:hAnsi="仿宋" w:eastAsia="仿宋" w:cs="Times New Roman"/>
              </w:rPr>
              <w:t>人员</w:t>
            </w:r>
          </w:p>
          <w:p w14:paraId="0AED9A25">
            <w:pPr>
              <w:spacing w:line="500" w:lineRule="exact"/>
              <w:ind w:firstLine="566" w:firstLineChars="200"/>
              <w:rPr>
                <w:rFonts w:hint="eastAsia" w:ascii="仿宋" w:hAnsi="仿宋" w:eastAsia="仿宋" w:cs="Times New Roman"/>
              </w:rPr>
            </w:pPr>
            <w:r>
              <w:rPr>
                <w:rFonts w:hint="eastAsia" w:ascii="仿宋" w:hAnsi="仿宋" w:eastAsia="仿宋" w:cs="Times New Roman"/>
              </w:rPr>
              <w:t>配备</w:t>
            </w:r>
          </w:p>
        </w:tc>
        <w:tc>
          <w:tcPr>
            <w:tcW w:w="5158" w:type="dxa"/>
            <w:vAlign w:val="center"/>
          </w:tcPr>
          <w:p w14:paraId="7559CE9C">
            <w:pPr>
              <w:spacing w:line="500" w:lineRule="exact"/>
              <w:ind w:firstLine="566" w:firstLineChars="200"/>
              <w:rPr>
                <w:rFonts w:hint="eastAsia" w:ascii="仿宋" w:hAnsi="仿宋" w:eastAsia="仿宋" w:cs="Times New Roman"/>
              </w:rPr>
            </w:pPr>
            <w:r>
              <w:rPr>
                <w:rFonts w:hint="eastAsia" w:ascii="仿宋" w:hAnsi="仿宋" w:eastAsia="仿宋" w:cs="Times New Roman"/>
              </w:rPr>
              <w:t>a）应配备一定数量的系统管理员、审计管理员和安全管理员等；</w:t>
            </w:r>
          </w:p>
        </w:tc>
      </w:tr>
      <w:tr w14:paraId="5137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4E4E4">
            <w:pPr>
              <w:spacing w:line="500" w:lineRule="exact"/>
              <w:ind w:firstLine="566" w:firstLineChars="200"/>
              <w:rPr>
                <w:rFonts w:hint="eastAsia" w:ascii="仿宋" w:hAnsi="仿宋" w:eastAsia="仿宋" w:cs="Times New Roman"/>
              </w:rPr>
            </w:pPr>
          </w:p>
        </w:tc>
        <w:tc>
          <w:tcPr>
            <w:tcW w:w="1569" w:type="dxa"/>
            <w:vMerge w:val="continue"/>
            <w:vAlign w:val="center"/>
          </w:tcPr>
          <w:p w14:paraId="25E2CEE0">
            <w:pPr>
              <w:spacing w:line="500" w:lineRule="exact"/>
              <w:ind w:firstLine="566" w:firstLineChars="200"/>
              <w:rPr>
                <w:rFonts w:hint="eastAsia" w:ascii="仿宋" w:hAnsi="仿宋" w:eastAsia="仿宋" w:cs="Times New Roman"/>
              </w:rPr>
            </w:pPr>
          </w:p>
        </w:tc>
        <w:tc>
          <w:tcPr>
            <w:tcW w:w="5158" w:type="dxa"/>
            <w:vAlign w:val="center"/>
          </w:tcPr>
          <w:p w14:paraId="516A2164">
            <w:pPr>
              <w:spacing w:line="500" w:lineRule="exact"/>
              <w:ind w:firstLine="566" w:firstLineChars="200"/>
              <w:rPr>
                <w:rFonts w:hint="eastAsia" w:ascii="仿宋" w:hAnsi="仿宋" w:eastAsia="仿宋" w:cs="Times New Roman"/>
              </w:rPr>
            </w:pPr>
            <w:r>
              <w:rPr>
                <w:rFonts w:hint="eastAsia" w:ascii="仿宋" w:hAnsi="仿宋" w:eastAsia="仿宋" w:cs="Times New Roman"/>
              </w:rPr>
              <w:t>b）应配备专职安全管理员，不可兼任。</w:t>
            </w:r>
          </w:p>
        </w:tc>
      </w:tr>
      <w:tr w14:paraId="312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B7A166F">
            <w:pPr>
              <w:spacing w:line="500" w:lineRule="exact"/>
              <w:ind w:firstLine="566" w:firstLineChars="200"/>
              <w:rPr>
                <w:rFonts w:hint="eastAsia" w:ascii="仿宋" w:hAnsi="仿宋" w:eastAsia="仿宋" w:cs="Times New Roman"/>
              </w:rPr>
            </w:pPr>
          </w:p>
        </w:tc>
        <w:tc>
          <w:tcPr>
            <w:tcW w:w="1569" w:type="dxa"/>
            <w:vMerge w:val="restart"/>
            <w:vAlign w:val="center"/>
          </w:tcPr>
          <w:p w14:paraId="451196CC">
            <w:pPr>
              <w:spacing w:line="500" w:lineRule="exact"/>
              <w:ind w:firstLine="566" w:firstLineChars="200"/>
              <w:rPr>
                <w:rFonts w:hint="eastAsia" w:ascii="仿宋" w:hAnsi="仿宋" w:eastAsia="仿宋" w:cs="Times New Roman"/>
              </w:rPr>
            </w:pPr>
            <w:r>
              <w:rPr>
                <w:rFonts w:hint="eastAsia" w:ascii="仿宋" w:hAnsi="仿宋" w:eastAsia="仿宋" w:cs="Times New Roman"/>
              </w:rPr>
              <w:t>授权和审批</w:t>
            </w:r>
          </w:p>
        </w:tc>
        <w:tc>
          <w:tcPr>
            <w:tcW w:w="5158" w:type="dxa"/>
            <w:vAlign w:val="center"/>
          </w:tcPr>
          <w:p w14:paraId="073528A9">
            <w:pPr>
              <w:spacing w:line="500" w:lineRule="exact"/>
              <w:ind w:firstLine="566" w:firstLineChars="200"/>
              <w:rPr>
                <w:rFonts w:hint="eastAsia" w:ascii="仿宋" w:hAnsi="仿宋" w:eastAsia="仿宋" w:cs="Times New Roman"/>
              </w:rPr>
            </w:pPr>
            <w:r>
              <w:rPr>
                <w:rFonts w:hint="eastAsia" w:ascii="仿宋" w:hAnsi="仿宋" w:eastAsia="仿宋" w:cs="Times New Roman"/>
              </w:rPr>
              <w:t>a）应根据各个部门和岗位的职责明确授权审批事项、审批部门和批准人等；</w:t>
            </w:r>
          </w:p>
        </w:tc>
      </w:tr>
      <w:tr w14:paraId="6897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2F3912">
            <w:pPr>
              <w:spacing w:line="500" w:lineRule="exact"/>
              <w:ind w:firstLine="566" w:firstLineChars="200"/>
              <w:rPr>
                <w:rFonts w:hint="eastAsia" w:ascii="仿宋" w:hAnsi="仿宋" w:eastAsia="仿宋" w:cs="Times New Roman"/>
              </w:rPr>
            </w:pPr>
          </w:p>
        </w:tc>
        <w:tc>
          <w:tcPr>
            <w:tcW w:w="1569" w:type="dxa"/>
            <w:vMerge w:val="continue"/>
            <w:vAlign w:val="center"/>
          </w:tcPr>
          <w:p w14:paraId="34862396">
            <w:pPr>
              <w:spacing w:line="500" w:lineRule="exact"/>
              <w:ind w:firstLine="566" w:firstLineChars="200"/>
              <w:rPr>
                <w:rFonts w:hint="eastAsia" w:ascii="仿宋" w:hAnsi="仿宋" w:eastAsia="仿宋" w:cs="Times New Roman"/>
              </w:rPr>
            </w:pPr>
          </w:p>
        </w:tc>
        <w:tc>
          <w:tcPr>
            <w:tcW w:w="5158" w:type="dxa"/>
            <w:vAlign w:val="center"/>
          </w:tcPr>
          <w:p w14:paraId="5905D4BF">
            <w:pPr>
              <w:spacing w:line="500" w:lineRule="exact"/>
              <w:ind w:firstLine="566" w:firstLineChars="200"/>
              <w:rPr>
                <w:rFonts w:hint="eastAsia" w:ascii="仿宋" w:hAnsi="仿宋" w:eastAsia="仿宋" w:cs="Times New Roman"/>
              </w:rPr>
            </w:pPr>
            <w:r>
              <w:rPr>
                <w:rFonts w:hint="eastAsia" w:ascii="仿宋" w:hAnsi="仿宋" w:eastAsia="仿宋" w:cs="Times New Roman"/>
              </w:rPr>
              <w:t>b）应针对系统变更、重要操作、物理访问和系统接入等事项建立审批程序，按照审批程序执行审批过程，对重要活动建立逐级审批制度；</w:t>
            </w:r>
          </w:p>
        </w:tc>
      </w:tr>
      <w:tr w14:paraId="7EA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DF7E072">
            <w:pPr>
              <w:spacing w:line="500" w:lineRule="exact"/>
              <w:ind w:firstLine="566" w:firstLineChars="200"/>
              <w:rPr>
                <w:rFonts w:hint="eastAsia" w:ascii="仿宋" w:hAnsi="仿宋" w:eastAsia="仿宋" w:cs="Times New Roman"/>
              </w:rPr>
            </w:pPr>
          </w:p>
        </w:tc>
        <w:tc>
          <w:tcPr>
            <w:tcW w:w="1569" w:type="dxa"/>
            <w:vMerge w:val="continue"/>
            <w:vAlign w:val="center"/>
          </w:tcPr>
          <w:p w14:paraId="49281F64">
            <w:pPr>
              <w:spacing w:line="500" w:lineRule="exact"/>
              <w:ind w:firstLine="566" w:firstLineChars="200"/>
              <w:rPr>
                <w:rFonts w:hint="eastAsia" w:ascii="仿宋" w:hAnsi="仿宋" w:eastAsia="仿宋" w:cs="Times New Roman"/>
              </w:rPr>
            </w:pPr>
          </w:p>
        </w:tc>
        <w:tc>
          <w:tcPr>
            <w:tcW w:w="5158" w:type="dxa"/>
            <w:vAlign w:val="center"/>
          </w:tcPr>
          <w:p w14:paraId="3237B46B">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c）应定期审查审批事项，及时更新需授权和审批的项目、审批部门和审批人等信息。</w:t>
            </w:r>
          </w:p>
        </w:tc>
      </w:tr>
      <w:tr w14:paraId="69C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804C11">
            <w:pPr>
              <w:spacing w:line="500" w:lineRule="exact"/>
              <w:ind w:firstLine="566" w:firstLineChars="200"/>
              <w:rPr>
                <w:rFonts w:hint="eastAsia" w:ascii="仿宋" w:hAnsi="仿宋" w:eastAsia="仿宋" w:cs="Times New Roman"/>
              </w:rPr>
            </w:pPr>
          </w:p>
        </w:tc>
        <w:tc>
          <w:tcPr>
            <w:tcW w:w="1569" w:type="dxa"/>
            <w:vMerge w:val="restart"/>
            <w:vAlign w:val="center"/>
          </w:tcPr>
          <w:p w14:paraId="579F5668">
            <w:pPr>
              <w:spacing w:line="500" w:lineRule="exact"/>
              <w:ind w:firstLine="566" w:firstLineChars="200"/>
              <w:rPr>
                <w:rFonts w:hint="eastAsia" w:ascii="仿宋" w:hAnsi="仿宋" w:eastAsia="仿宋" w:cs="Times New Roman"/>
              </w:rPr>
            </w:pPr>
            <w:r>
              <w:rPr>
                <w:rFonts w:hint="eastAsia" w:ascii="仿宋" w:hAnsi="仿宋" w:eastAsia="仿宋" w:cs="Times New Roman"/>
              </w:rPr>
              <w:t>沟通和合作</w:t>
            </w:r>
          </w:p>
        </w:tc>
        <w:tc>
          <w:tcPr>
            <w:tcW w:w="5158" w:type="dxa"/>
            <w:vAlign w:val="center"/>
          </w:tcPr>
          <w:p w14:paraId="38AC0A55">
            <w:pPr>
              <w:spacing w:line="500" w:lineRule="exact"/>
              <w:ind w:firstLine="566" w:firstLineChars="200"/>
              <w:rPr>
                <w:rFonts w:hint="eastAsia" w:ascii="仿宋" w:hAnsi="仿宋" w:eastAsia="仿宋" w:cs="Times New Roman"/>
              </w:rPr>
            </w:pPr>
            <w:r>
              <w:rPr>
                <w:rFonts w:hint="eastAsia" w:ascii="仿宋" w:hAnsi="仿宋" w:eastAsia="仿宋" w:cs="Times New Roman"/>
              </w:rPr>
              <w:t>a）应加强各类管理人员、组织内部机构和网络安全管理部门之间的合作与沟通，定期召开协调会议，共同协作处理网络安全问题；</w:t>
            </w:r>
          </w:p>
        </w:tc>
      </w:tr>
      <w:tr w14:paraId="486C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BE59">
            <w:pPr>
              <w:spacing w:line="500" w:lineRule="exact"/>
              <w:ind w:firstLine="566" w:firstLineChars="200"/>
              <w:rPr>
                <w:rFonts w:hint="eastAsia" w:ascii="仿宋" w:hAnsi="仿宋" w:eastAsia="仿宋" w:cs="Times New Roman"/>
              </w:rPr>
            </w:pPr>
          </w:p>
        </w:tc>
        <w:tc>
          <w:tcPr>
            <w:tcW w:w="1569" w:type="dxa"/>
            <w:vMerge w:val="continue"/>
            <w:vAlign w:val="center"/>
          </w:tcPr>
          <w:p w14:paraId="2480A99E">
            <w:pPr>
              <w:spacing w:line="500" w:lineRule="exact"/>
              <w:ind w:firstLine="566" w:firstLineChars="200"/>
              <w:rPr>
                <w:rFonts w:hint="eastAsia" w:ascii="仿宋" w:hAnsi="仿宋" w:eastAsia="仿宋" w:cs="Times New Roman"/>
              </w:rPr>
            </w:pPr>
          </w:p>
        </w:tc>
        <w:tc>
          <w:tcPr>
            <w:tcW w:w="5158" w:type="dxa"/>
            <w:vAlign w:val="center"/>
          </w:tcPr>
          <w:p w14:paraId="6A1E3F8F">
            <w:pPr>
              <w:spacing w:line="500" w:lineRule="exact"/>
              <w:ind w:firstLine="566" w:firstLineChars="200"/>
              <w:rPr>
                <w:rFonts w:hint="eastAsia" w:ascii="仿宋" w:hAnsi="仿宋" w:eastAsia="仿宋" w:cs="Times New Roman"/>
              </w:rPr>
            </w:pPr>
            <w:r>
              <w:rPr>
                <w:rFonts w:hint="eastAsia" w:ascii="仿宋" w:hAnsi="仿宋" w:eastAsia="仿宋" w:cs="Times New Roman"/>
              </w:rPr>
              <w:t>b）应加强与网络安全职能部门、各类供应商、业界专家及安全组织的合作与沟通；</w:t>
            </w:r>
          </w:p>
        </w:tc>
      </w:tr>
      <w:tr w14:paraId="3E5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D53299">
            <w:pPr>
              <w:spacing w:line="500" w:lineRule="exact"/>
              <w:ind w:firstLine="566" w:firstLineChars="200"/>
              <w:rPr>
                <w:rFonts w:hint="eastAsia" w:ascii="仿宋" w:hAnsi="仿宋" w:eastAsia="仿宋" w:cs="Times New Roman"/>
              </w:rPr>
            </w:pPr>
          </w:p>
        </w:tc>
        <w:tc>
          <w:tcPr>
            <w:tcW w:w="1569" w:type="dxa"/>
            <w:vMerge w:val="continue"/>
            <w:vAlign w:val="center"/>
          </w:tcPr>
          <w:p w14:paraId="387B6C5D">
            <w:pPr>
              <w:spacing w:line="500" w:lineRule="exact"/>
              <w:ind w:firstLine="566" w:firstLineChars="200"/>
              <w:rPr>
                <w:rFonts w:hint="eastAsia" w:ascii="仿宋" w:hAnsi="仿宋" w:eastAsia="仿宋" w:cs="Times New Roman"/>
              </w:rPr>
            </w:pPr>
          </w:p>
        </w:tc>
        <w:tc>
          <w:tcPr>
            <w:tcW w:w="5158" w:type="dxa"/>
            <w:vAlign w:val="center"/>
          </w:tcPr>
          <w:p w14:paraId="56223767">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c）应建立外联单位联系列表，包括外联单位名称、合作内容、联系人和联系方式等信息。</w:t>
            </w:r>
          </w:p>
        </w:tc>
      </w:tr>
      <w:tr w14:paraId="765B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9AA0334">
            <w:pPr>
              <w:spacing w:line="500" w:lineRule="exact"/>
              <w:ind w:firstLine="566" w:firstLineChars="200"/>
              <w:rPr>
                <w:rFonts w:hint="eastAsia" w:ascii="仿宋" w:hAnsi="仿宋" w:eastAsia="仿宋" w:cs="Times New Roman"/>
              </w:rPr>
            </w:pPr>
          </w:p>
        </w:tc>
        <w:tc>
          <w:tcPr>
            <w:tcW w:w="1569" w:type="dxa"/>
            <w:vMerge w:val="restart"/>
            <w:vAlign w:val="center"/>
          </w:tcPr>
          <w:p w14:paraId="1BA506AA">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审核和核查</w:t>
            </w:r>
          </w:p>
        </w:tc>
        <w:tc>
          <w:tcPr>
            <w:tcW w:w="5158" w:type="dxa"/>
            <w:vAlign w:val="center"/>
          </w:tcPr>
          <w:p w14:paraId="23A43573">
            <w:pPr>
              <w:spacing w:line="500" w:lineRule="exact"/>
              <w:ind w:firstLine="566" w:firstLineChars="200"/>
              <w:rPr>
                <w:rFonts w:hint="eastAsia" w:ascii="仿宋" w:hAnsi="仿宋" w:eastAsia="仿宋" w:cs="Times New Roman"/>
              </w:rPr>
            </w:pPr>
            <w:r>
              <w:rPr>
                <w:rFonts w:hint="eastAsia" w:ascii="仿宋" w:hAnsi="仿宋" w:eastAsia="仿宋" w:cs="Times New Roman"/>
              </w:rPr>
              <w:t>a）应定期进行常规安全核查，核查内容包括系统日常运行、系统漏洞和数据备份等情况；</w:t>
            </w:r>
          </w:p>
        </w:tc>
      </w:tr>
      <w:tr w14:paraId="3F2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26E9C1">
            <w:pPr>
              <w:spacing w:line="500" w:lineRule="exact"/>
              <w:ind w:firstLine="566" w:firstLineChars="200"/>
              <w:rPr>
                <w:rFonts w:hint="eastAsia" w:ascii="仿宋" w:hAnsi="仿宋" w:eastAsia="仿宋" w:cs="Times New Roman"/>
              </w:rPr>
            </w:pPr>
          </w:p>
        </w:tc>
        <w:tc>
          <w:tcPr>
            <w:tcW w:w="1569" w:type="dxa"/>
            <w:vMerge w:val="continue"/>
            <w:vAlign w:val="center"/>
          </w:tcPr>
          <w:p w14:paraId="3B35EC1A">
            <w:pPr>
              <w:spacing w:line="500" w:lineRule="exact"/>
              <w:ind w:firstLine="566" w:firstLineChars="200"/>
              <w:rPr>
                <w:rFonts w:hint="eastAsia" w:ascii="仿宋" w:hAnsi="仿宋" w:eastAsia="仿宋" w:cs="Times New Roman"/>
              </w:rPr>
            </w:pPr>
          </w:p>
        </w:tc>
        <w:tc>
          <w:tcPr>
            <w:tcW w:w="5158" w:type="dxa"/>
            <w:vAlign w:val="center"/>
          </w:tcPr>
          <w:p w14:paraId="75D02F14">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b）应定期进行全面安全核查，核查内容包括现有安全技术措施的有效性、安全配置与安全策略的一致性、安全管理制度的执行情况等；</w:t>
            </w:r>
          </w:p>
        </w:tc>
      </w:tr>
      <w:tr w14:paraId="74F1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47FB31F">
            <w:pPr>
              <w:spacing w:line="500" w:lineRule="exact"/>
              <w:ind w:firstLine="566" w:firstLineChars="200"/>
              <w:rPr>
                <w:rFonts w:hint="eastAsia" w:ascii="仿宋" w:hAnsi="仿宋" w:eastAsia="仿宋" w:cs="Times New Roman"/>
              </w:rPr>
            </w:pPr>
          </w:p>
        </w:tc>
        <w:tc>
          <w:tcPr>
            <w:tcW w:w="1569" w:type="dxa"/>
            <w:vMerge w:val="continue"/>
            <w:vAlign w:val="center"/>
          </w:tcPr>
          <w:p w14:paraId="3611FFF6">
            <w:pPr>
              <w:spacing w:line="500" w:lineRule="exact"/>
              <w:ind w:firstLine="566" w:firstLineChars="200"/>
              <w:rPr>
                <w:rFonts w:hint="eastAsia" w:ascii="仿宋" w:hAnsi="仿宋" w:eastAsia="仿宋" w:cs="Times New Roman"/>
              </w:rPr>
            </w:pPr>
          </w:p>
        </w:tc>
        <w:tc>
          <w:tcPr>
            <w:tcW w:w="5158" w:type="dxa"/>
            <w:vAlign w:val="center"/>
          </w:tcPr>
          <w:p w14:paraId="785F046D">
            <w:pPr>
              <w:spacing w:line="500" w:lineRule="exact"/>
              <w:ind w:firstLine="566" w:firstLineChars="200"/>
              <w:rPr>
                <w:rFonts w:hint="eastAsia" w:ascii="仿宋" w:hAnsi="仿宋" w:eastAsia="仿宋" w:cs="Times New Roman"/>
              </w:rPr>
            </w:pPr>
            <w:r>
              <w:rPr>
                <w:rFonts w:hint="eastAsia" w:ascii="仿宋" w:hAnsi="仿宋" w:eastAsia="仿宋" w:cs="Times New Roman"/>
              </w:rPr>
              <w:t>c）应制定安全核查表格实施安全核查，汇总安全核查数据，形成安全核查报告，并对安全核查结果进行通报。</w:t>
            </w:r>
          </w:p>
        </w:tc>
      </w:tr>
    </w:tbl>
    <w:p w14:paraId="479CA7D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615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1626D29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BEC8333">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76CB4194">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02B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B6762F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c>
        <w:tc>
          <w:tcPr>
            <w:tcW w:w="1569" w:type="dxa"/>
            <w:vMerge w:val="restart"/>
            <w:vAlign w:val="center"/>
          </w:tcPr>
          <w:p w14:paraId="5CBDDE97">
            <w:pPr>
              <w:spacing w:line="500" w:lineRule="exact"/>
              <w:ind w:firstLine="566" w:firstLineChars="200"/>
              <w:rPr>
                <w:rFonts w:hint="eastAsia" w:ascii="仿宋" w:hAnsi="仿宋" w:eastAsia="仿宋" w:cs="Times New Roman"/>
              </w:rPr>
            </w:pPr>
            <w:r>
              <w:rPr>
                <w:rFonts w:hint="eastAsia" w:ascii="仿宋" w:hAnsi="仿宋" w:eastAsia="仿宋" w:cs="Times New Roman"/>
              </w:rPr>
              <w:t>人员</w:t>
            </w:r>
          </w:p>
          <w:p w14:paraId="5DCC59FA">
            <w:pPr>
              <w:spacing w:line="500" w:lineRule="exact"/>
              <w:ind w:firstLine="566" w:firstLineChars="200"/>
              <w:rPr>
                <w:rFonts w:hint="eastAsia" w:ascii="仿宋" w:hAnsi="仿宋" w:eastAsia="仿宋" w:cs="Times New Roman"/>
              </w:rPr>
            </w:pPr>
            <w:r>
              <w:rPr>
                <w:rFonts w:hint="eastAsia" w:ascii="仿宋" w:hAnsi="仿宋" w:eastAsia="仿宋" w:cs="Times New Roman"/>
              </w:rPr>
              <w:t>录用</w:t>
            </w:r>
          </w:p>
        </w:tc>
        <w:tc>
          <w:tcPr>
            <w:tcW w:w="5158" w:type="dxa"/>
            <w:vAlign w:val="center"/>
          </w:tcPr>
          <w:p w14:paraId="0CC2CC5D">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a）应指定或授权专门的部门或人员负责人员录用；</w:t>
            </w:r>
          </w:p>
        </w:tc>
      </w:tr>
      <w:tr w14:paraId="7BF4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CDA625">
            <w:pPr>
              <w:spacing w:line="500" w:lineRule="exact"/>
              <w:ind w:firstLine="566" w:firstLineChars="200"/>
              <w:rPr>
                <w:rFonts w:hint="eastAsia" w:ascii="仿宋" w:hAnsi="仿宋" w:eastAsia="仿宋" w:cs="Times New Roman"/>
              </w:rPr>
            </w:pPr>
          </w:p>
        </w:tc>
        <w:tc>
          <w:tcPr>
            <w:tcW w:w="1569" w:type="dxa"/>
            <w:vMerge w:val="continue"/>
            <w:vAlign w:val="center"/>
          </w:tcPr>
          <w:p w14:paraId="1EB0A2B4">
            <w:pPr>
              <w:spacing w:line="500" w:lineRule="exact"/>
              <w:ind w:firstLine="566" w:firstLineChars="200"/>
              <w:rPr>
                <w:rFonts w:hint="eastAsia" w:ascii="仿宋" w:hAnsi="仿宋" w:eastAsia="仿宋" w:cs="Times New Roman"/>
              </w:rPr>
            </w:pPr>
          </w:p>
        </w:tc>
        <w:tc>
          <w:tcPr>
            <w:tcW w:w="5158" w:type="dxa"/>
            <w:vAlign w:val="center"/>
          </w:tcPr>
          <w:p w14:paraId="4F21B52D">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b）应对被录用人员的身份、安全背景、专业资格或资质等进行审查，对其所具有的技术技能进行考核；</w:t>
            </w:r>
          </w:p>
        </w:tc>
      </w:tr>
      <w:tr w14:paraId="5C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F2C52">
            <w:pPr>
              <w:spacing w:line="500" w:lineRule="exact"/>
              <w:ind w:firstLine="566" w:firstLineChars="200"/>
              <w:rPr>
                <w:rFonts w:hint="eastAsia" w:ascii="仿宋" w:hAnsi="仿宋" w:eastAsia="仿宋" w:cs="Times New Roman"/>
              </w:rPr>
            </w:pPr>
          </w:p>
        </w:tc>
        <w:tc>
          <w:tcPr>
            <w:tcW w:w="1569" w:type="dxa"/>
            <w:vMerge w:val="continue"/>
            <w:vAlign w:val="center"/>
          </w:tcPr>
          <w:p w14:paraId="44BA0856">
            <w:pPr>
              <w:spacing w:line="500" w:lineRule="exact"/>
              <w:ind w:firstLine="566" w:firstLineChars="200"/>
              <w:rPr>
                <w:rFonts w:hint="eastAsia" w:ascii="仿宋" w:hAnsi="仿宋" w:eastAsia="仿宋" w:cs="Times New Roman"/>
              </w:rPr>
            </w:pPr>
          </w:p>
        </w:tc>
        <w:tc>
          <w:tcPr>
            <w:tcW w:w="5158" w:type="dxa"/>
            <w:vAlign w:val="center"/>
          </w:tcPr>
          <w:p w14:paraId="7355204B">
            <w:pPr>
              <w:spacing w:line="500" w:lineRule="exact"/>
              <w:ind w:firstLine="566" w:firstLineChars="200"/>
              <w:rPr>
                <w:rFonts w:hint="eastAsia" w:ascii="仿宋" w:hAnsi="仿宋" w:eastAsia="仿宋" w:cs="Times New Roman"/>
              </w:rPr>
            </w:pPr>
            <w:r>
              <w:rPr>
                <w:rFonts w:hint="eastAsia" w:ascii="仿宋" w:hAnsi="仿宋" w:eastAsia="仿宋" w:cs="Times New Roman"/>
              </w:rPr>
              <w:t>c）应与被录用人员签署保密协议，与关键岗位人员签署岗位责任协议。</w:t>
            </w:r>
          </w:p>
        </w:tc>
      </w:tr>
      <w:tr w14:paraId="7E9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27397D">
            <w:pPr>
              <w:spacing w:line="500" w:lineRule="exact"/>
              <w:ind w:firstLine="566" w:firstLineChars="200"/>
              <w:rPr>
                <w:rFonts w:hint="eastAsia" w:ascii="仿宋" w:hAnsi="仿宋" w:eastAsia="仿宋" w:cs="Times New Roman"/>
              </w:rPr>
            </w:pPr>
          </w:p>
        </w:tc>
        <w:tc>
          <w:tcPr>
            <w:tcW w:w="1569" w:type="dxa"/>
            <w:vMerge w:val="restart"/>
            <w:vAlign w:val="center"/>
          </w:tcPr>
          <w:p w14:paraId="774B5247">
            <w:pPr>
              <w:spacing w:line="500" w:lineRule="exact"/>
              <w:ind w:firstLine="566" w:firstLineChars="200"/>
              <w:rPr>
                <w:rFonts w:hint="eastAsia" w:ascii="仿宋" w:hAnsi="仿宋" w:eastAsia="仿宋" w:cs="Times New Roman"/>
              </w:rPr>
            </w:pPr>
            <w:r>
              <w:rPr>
                <w:rFonts w:hint="eastAsia" w:ascii="仿宋" w:hAnsi="仿宋" w:eastAsia="仿宋" w:cs="Times New Roman"/>
              </w:rPr>
              <w:t>人员离岗</w:t>
            </w:r>
          </w:p>
        </w:tc>
        <w:tc>
          <w:tcPr>
            <w:tcW w:w="5158" w:type="dxa"/>
            <w:vAlign w:val="center"/>
          </w:tcPr>
          <w:p w14:paraId="35B92E8A">
            <w:pPr>
              <w:spacing w:line="500" w:lineRule="exact"/>
              <w:ind w:firstLine="566" w:firstLineChars="200"/>
              <w:rPr>
                <w:rFonts w:hint="eastAsia" w:ascii="仿宋" w:hAnsi="仿宋" w:eastAsia="仿宋" w:cs="Times New Roman"/>
              </w:rPr>
            </w:pPr>
            <w:r>
              <w:rPr>
                <w:rFonts w:hint="eastAsia" w:ascii="仿宋" w:hAnsi="仿宋" w:eastAsia="仿宋" w:cs="Times New Roman"/>
              </w:rPr>
              <w:t>a）应及时终止离岗人员的所有访问权限，取回各种身份证件、钥匙、徽章等以及机构提供的软硬件设备；</w:t>
            </w:r>
          </w:p>
        </w:tc>
      </w:tr>
      <w:tr w14:paraId="0B9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EF41849">
            <w:pPr>
              <w:spacing w:line="500" w:lineRule="exact"/>
              <w:ind w:firstLine="566" w:firstLineChars="200"/>
              <w:rPr>
                <w:rFonts w:hint="eastAsia" w:ascii="仿宋" w:hAnsi="仿宋" w:eastAsia="仿宋" w:cs="Times New Roman"/>
              </w:rPr>
            </w:pPr>
          </w:p>
        </w:tc>
        <w:tc>
          <w:tcPr>
            <w:tcW w:w="1569" w:type="dxa"/>
            <w:vMerge w:val="continue"/>
            <w:vAlign w:val="center"/>
          </w:tcPr>
          <w:p w14:paraId="107BC05C">
            <w:pPr>
              <w:spacing w:line="500" w:lineRule="exact"/>
              <w:ind w:firstLine="566" w:firstLineChars="200"/>
              <w:rPr>
                <w:rFonts w:hint="eastAsia" w:ascii="仿宋" w:hAnsi="仿宋" w:eastAsia="仿宋" w:cs="Times New Roman"/>
              </w:rPr>
            </w:pPr>
          </w:p>
        </w:tc>
        <w:tc>
          <w:tcPr>
            <w:tcW w:w="5158" w:type="dxa"/>
            <w:vAlign w:val="center"/>
          </w:tcPr>
          <w:p w14:paraId="2195AEBB">
            <w:pPr>
              <w:spacing w:line="500" w:lineRule="exact"/>
              <w:ind w:firstLine="566" w:firstLineChars="200"/>
              <w:rPr>
                <w:rFonts w:hint="eastAsia" w:ascii="仿宋" w:hAnsi="仿宋" w:eastAsia="仿宋" w:cs="Times New Roman"/>
              </w:rPr>
            </w:pPr>
            <w:r>
              <w:rPr>
                <w:rFonts w:hint="eastAsia" w:ascii="仿宋" w:hAnsi="仿宋" w:eastAsia="仿宋" w:cs="Times New Roman"/>
              </w:rPr>
              <w:t>b）应办理严格的调离手续，并承诺调离后的保密义务后方可离开。</w:t>
            </w:r>
          </w:p>
        </w:tc>
      </w:tr>
      <w:tr w14:paraId="6C1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855EEA7">
            <w:pPr>
              <w:spacing w:line="500" w:lineRule="exact"/>
              <w:ind w:firstLine="566" w:firstLineChars="200"/>
              <w:rPr>
                <w:rFonts w:hint="eastAsia" w:ascii="仿宋" w:hAnsi="仿宋" w:eastAsia="仿宋" w:cs="Times New Roman"/>
              </w:rPr>
            </w:pPr>
          </w:p>
        </w:tc>
        <w:tc>
          <w:tcPr>
            <w:tcW w:w="1569" w:type="dxa"/>
            <w:vMerge w:val="restart"/>
            <w:vAlign w:val="center"/>
          </w:tcPr>
          <w:p w14:paraId="3B1C44E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安全意识教育和培训</w:t>
            </w:r>
          </w:p>
        </w:tc>
        <w:tc>
          <w:tcPr>
            <w:tcW w:w="5158" w:type="dxa"/>
            <w:vAlign w:val="center"/>
          </w:tcPr>
          <w:p w14:paraId="294E31DF">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a）应对各类人员进行安全意识教育和岗位技能培训，并告知相关的安全责任和惩戒措施；</w:t>
            </w:r>
          </w:p>
        </w:tc>
      </w:tr>
      <w:tr w14:paraId="70B4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162B5B">
            <w:pPr>
              <w:spacing w:line="500" w:lineRule="exact"/>
              <w:ind w:firstLine="566" w:firstLineChars="200"/>
              <w:rPr>
                <w:rFonts w:hint="eastAsia" w:ascii="仿宋" w:hAnsi="仿宋" w:eastAsia="仿宋" w:cs="Times New Roman"/>
              </w:rPr>
            </w:pPr>
          </w:p>
        </w:tc>
        <w:tc>
          <w:tcPr>
            <w:tcW w:w="1569" w:type="dxa"/>
            <w:vMerge w:val="continue"/>
            <w:vAlign w:val="center"/>
          </w:tcPr>
          <w:p w14:paraId="6EDEEEBC">
            <w:pPr>
              <w:spacing w:line="500" w:lineRule="exact"/>
              <w:ind w:firstLine="566" w:firstLineChars="200"/>
              <w:rPr>
                <w:rFonts w:hint="eastAsia" w:ascii="仿宋" w:hAnsi="仿宋" w:eastAsia="仿宋" w:cs="Times New Roman"/>
              </w:rPr>
            </w:pPr>
          </w:p>
        </w:tc>
        <w:tc>
          <w:tcPr>
            <w:tcW w:w="5158" w:type="dxa"/>
            <w:vAlign w:val="center"/>
          </w:tcPr>
          <w:p w14:paraId="6AC95573">
            <w:pPr>
              <w:spacing w:line="500" w:lineRule="exact"/>
              <w:ind w:firstLine="566" w:firstLineChars="200"/>
              <w:rPr>
                <w:rFonts w:hint="eastAsia" w:ascii="仿宋" w:hAnsi="仿宋" w:eastAsia="仿宋" w:cs="Times New Roman"/>
              </w:rPr>
            </w:pPr>
            <w:r>
              <w:rPr>
                <w:rFonts w:hint="eastAsia" w:ascii="仿宋" w:hAnsi="仿宋" w:eastAsia="仿宋" w:cs="Times New Roman"/>
              </w:rPr>
              <w:t>b）应针对不同岗位制定不同的培训计划，对安全基础知识、岗位操作规程等进行培训；</w:t>
            </w:r>
          </w:p>
        </w:tc>
      </w:tr>
      <w:tr w14:paraId="08B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432B5BD">
            <w:pPr>
              <w:spacing w:line="500" w:lineRule="exact"/>
              <w:ind w:firstLine="566" w:firstLineChars="200"/>
              <w:rPr>
                <w:rFonts w:hint="eastAsia" w:ascii="仿宋" w:hAnsi="仿宋" w:eastAsia="仿宋" w:cs="Times New Roman"/>
              </w:rPr>
            </w:pPr>
          </w:p>
        </w:tc>
        <w:tc>
          <w:tcPr>
            <w:tcW w:w="1569" w:type="dxa"/>
            <w:vMerge w:val="continue"/>
            <w:vAlign w:val="center"/>
          </w:tcPr>
          <w:p w14:paraId="61322A85">
            <w:pPr>
              <w:spacing w:line="500" w:lineRule="exact"/>
              <w:ind w:firstLine="566" w:firstLineChars="200"/>
              <w:rPr>
                <w:rFonts w:hint="eastAsia" w:ascii="仿宋" w:hAnsi="仿宋" w:eastAsia="仿宋" w:cs="Times New Roman"/>
              </w:rPr>
            </w:pPr>
          </w:p>
        </w:tc>
        <w:tc>
          <w:tcPr>
            <w:tcW w:w="5158" w:type="dxa"/>
            <w:vAlign w:val="center"/>
          </w:tcPr>
          <w:p w14:paraId="65191913">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c）应定期对不同岗位的人员进行技能考核。</w:t>
            </w:r>
          </w:p>
        </w:tc>
      </w:tr>
      <w:tr w14:paraId="583C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CBE510">
            <w:pPr>
              <w:spacing w:line="500" w:lineRule="exact"/>
              <w:ind w:firstLine="566" w:firstLineChars="200"/>
              <w:rPr>
                <w:rFonts w:hint="eastAsia" w:ascii="仿宋" w:hAnsi="仿宋" w:eastAsia="仿宋" w:cs="Times New Roman"/>
              </w:rPr>
            </w:pPr>
          </w:p>
        </w:tc>
        <w:tc>
          <w:tcPr>
            <w:tcW w:w="1569" w:type="dxa"/>
            <w:vMerge w:val="restart"/>
            <w:vAlign w:val="center"/>
          </w:tcPr>
          <w:p w14:paraId="1DBCB8E8">
            <w:pPr>
              <w:spacing w:line="500" w:lineRule="exact"/>
              <w:ind w:firstLine="566" w:firstLineChars="200"/>
              <w:rPr>
                <w:rFonts w:hint="eastAsia" w:ascii="仿宋" w:hAnsi="仿宋" w:eastAsia="仿宋" w:cs="Times New Roman"/>
              </w:rPr>
            </w:pPr>
            <w:r>
              <w:rPr>
                <w:rFonts w:hint="eastAsia" w:ascii="仿宋" w:hAnsi="仿宋" w:eastAsia="仿宋" w:cs="Times New Roman"/>
              </w:rPr>
              <w:t>外部人员访问管理</w:t>
            </w:r>
          </w:p>
        </w:tc>
        <w:tc>
          <w:tcPr>
            <w:tcW w:w="5158" w:type="dxa"/>
            <w:vAlign w:val="center"/>
          </w:tcPr>
          <w:p w14:paraId="3233B60D">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a）应在外部人员物理访问受控区域前先提出书面申请，批准后由专人全程陪同，并登记备案；</w:t>
            </w:r>
          </w:p>
        </w:tc>
      </w:tr>
      <w:tr w14:paraId="0C6E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2468002">
            <w:pPr>
              <w:spacing w:line="500" w:lineRule="exact"/>
              <w:ind w:firstLine="566" w:firstLineChars="200"/>
              <w:rPr>
                <w:rFonts w:hint="eastAsia" w:ascii="仿宋" w:hAnsi="仿宋" w:eastAsia="仿宋" w:cs="Times New Roman"/>
              </w:rPr>
            </w:pPr>
          </w:p>
        </w:tc>
        <w:tc>
          <w:tcPr>
            <w:tcW w:w="1569" w:type="dxa"/>
            <w:vMerge w:val="continue"/>
            <w:vAlign w:val="center"/>
          </w:tcPr>
          <w:p w14:paraId="34653383">
            <w:pPr>
              <w:spacing w:line="500" w:lineRule="exact"/>
              <w:ind w:firstLine="566" w:firstLineChars="200"/>
              <w:rPr>
                <w:rFonts w:hint="eastAsia" w:ascii="仿宋" w:hAnsi="仿宋" w:eastAsia="仿宋" w:cs="Times New Roman"/>
              </w:rPr>
            </w:pPr>
          </w:p>
        </w:tc>
        <w:tc>
          <w:tcPr>
            <w:tcW w:w="5158" w:type="dxa"/>
            <w:vAlign w:val="center"/>
          </w:tcPr>
          <w:p w14:paraId="5512C8C9">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b）应在外部人员接入受控网络访问系统前先提出书面申请，批准后由专人开设账户、分配权限，并登记备案；</w:t>
            </w:r>
          </w:p>
        </w:tc>
      </w:tr>
      <w:tr w14:paraId="08E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075583">
            <w:pPr>
              <w:spacing w:line="500" w:lineRule="exact"/>
              <w:ind w:firstLine="566" w:firstLineChars="200"/>
              <w:rPr>
                <w:rFonts w:hint="eastAsia" w:ascii="仿宋" w:hAnsi="仿宋" w:eastAsia="仿宋" w:cs="Times New Roman"/>
              </w:rPr>
            </w:pPr>
          </w:p>
        </w:tc>
        <w:tc>
          <w:tcPr>
            <w:tcW w:w="1569" w:type="dxa"/>
            <w:vMerge w:val="continue"/>
            <w:vAlign w:val="center"/>
          </w:tcPr>
          <w:p w14:paraId="241F383E">
            <w:pPr>
              <w:spacing w:line="500" w:lineRule="exact"/>
              <w:ind w:firstLine="566" w:firstLineChars="200"/>
              <w:rPr>
                <w:rFonts w:hint="eastAsia" w:ascii="仿宋" w:hAnsi="仿宋" w:eastAsia="仿宋" w:cs="Times New Roman"/>
              </w:rPr>
            </w:pPr>
          </w:p>
        </w:tc>
        <w:tc>
          <w:tcPr>
            <w:tcW w:w="5158" w:type="dxa"/>
            <w:vAlign w:val="center"/>
          </w:tcPr>
          <w:p w14:paraId="0066EF93">
            <w:pPr>
              <w:spacing w:line="500" w:lineRule="exact"/>
              <w:ind w:firstLine="566" w:firstLineChars="200"/>
              <w:rPr>
                <w:rFonts w:hint="eastAsia" w:ascii="仿宋" w:hAnsi="仿宋" w:eastAsia="仿宋" w:cs="Times New Roman"/>
              </w:rPr>
            </w:pPr>
            <w:r>
              <w:rPr>
                <w:rFonts w:hint="eastAsia" w:ascii="仿宋" w:hAnsi="仿宋" w:eastAsia="仿宋" w:cs="Times New Roman"/>
              </w:rPr>
              <w:t>c）外部人员离场后应及时清除其所有的访问权限；</w:t>
            </w:r>
          </w:p>
        </w:tc>
      </w:tr>
      <w:tr w14:paraId="2458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975DC">
            <w:pPr>
              <w:spacing w:line="500" w:lineRule="exact"/>
              <w:ind w:firstLine="566" w:firstLineChars="200"/>
              <w:rPr>
                <w:rFonts w:hint="eastAsia" w:ascii="仿宋" w:hAnsi="仿宋" w:eastAsia="仿宋" w:cs="Times New Roman"/>
              </w:rPr>
            </w:pPr>
          </w:p>
        </w:tc>
        <w:tc>
          <w:tcPr>
            <w:tcW w:w="1569" w:type="dxa"/>
            <w:vMerge w:val="continue"/>
            <w:vAlign w:val="center"/>
          </w:tcPr>
          <w:p w14:paraId="13C62898">
            <w:pPr>
              <w:spacing w:line="500" w:lineRule="exact"/>
              <w:ind w:firstLine="566" w:firstLineChars="200"/>
              <w:rPr>
                <w:rFonts w:hint="eastAsia" w:ascii="仿宋" w:hAnsi="仿宋" w:eastAsia="仿宋" w:cs="Times New Roman"/>
              </w:rPr>
            </w:pPr>
          </w:p>
        </w:tc>
        <w:tc>
          <w:tcPr>
            <w:tcW w:w="5158" w:type="dxa"/>
            <w:vAlign w:val="center"/>
          </w:tcPr>
          <w:p w14:paraId="6F3B6480">
            <w:pPr>
              <w:spacing w:line="500" w:lineRule="exact"/>
              <w:ind w:firstLine="566" w:firstLineChars="200"/>
              <w:rPr>
                <w:rFonts w:hint="eastAsia" w:ascii="仿宋" w:hAnsi="仿宋" w:eastAsia="仿宋" w:cs="Times New Roman"/>
              </w:rPr>
            </w:pPr>
            <w:r>
              <w:rPr>
                <w:rFonts w:hint="eastAsia" w:ascii="仿宋" w:hAnsi="仿宋" w:eastAsia="仿宋" w:cs="Times New Roman"/>
              </w:rPr>
              <w:t>d）获得系统访问授权的外部人员应签署保密协议，不得进行非授权操作，不得复制和泄露任何敏感信息。</w:t>
            </w:r>
          </w:p>
        </w:tc>
      </w:tr>
    </w:tbl>
    <w:p w14:paraId="2993FF5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8E5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46F70E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92460D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468F2EA0">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49FD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5D7355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1569" w:type="dxa"/>
            <w:vMerge w:val="restart"/>
            <w:vAlign w:val="center"/>
          </w:tcPr>
          <w:p w14:paraId="4B7167B8">
            <w:pPr>
              <w:spacing w:line="500" w:lineRule="exact"/>
              <w:ind w:firstLine="566" w:firstLineChars="200"/>
              <w:rPr>
                <w:rFonts w:hint="eastAsia" w:ascii="仿宋" w:hAnsi="仿宋" w:eastAsia="仿宋" w:cs="Times New Roman"/>
              </w:rPr>
            </w:pPr>
            <w:r>
              <w:rPr>
                <w:rFonts w:hint="eastAsia" w:ascii="仿宋" w:hAnsi="仿宋" w:eastAsia="仿宋" w:cs="Times New Roman"/>
              </w:rPr>
              <w:t>定级和备案</w:t>
            </w:r>
          </w:p>
        </w:tc>
        <w:tc>
          <w:tcPr>
            <w:tcW w:w="5158" w:type="dxa"/>
            <w:vAlign w:val="center"/>
          </w:tcPr>
          <w:p w14:paraId="5C45214A">
            <w:pPr>
              <w:spacing w:line="500" w:lineRule="exact"/>
              <w:ind w:firstLine="566" w:firstLineChars="200"/>
              <w:rPr>
                <w:rFonts w:hint="eastAsia" w:ascii="仿宋" w:hAnsi="仿宋" w:eastAsia="仿宋" w:cs="Times New Roman"/>
              </w:rPr>
            </w:pPr>
            <w:r>
              <w:rPr>
                <w:rFonts w:hint="eastAsia" w:ascii="仿宋" w:hAnsi="仿宋" w:eastAsia="仿宋" w:cs="Times New Roman"/>
              </w:rPr>
              <w:t>a）应以书面的形式说明保护对象的安全保护等级及确定等级的方法和理由；</w:t>
            </w:r>
          </w:p>
        </w:tc>
      </w:tr>
      <w:tr w14:paraId="3F03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A4939C">
            <w:pPr>
              <w:spacing w:line="500" w:lineRule="exact"/>
              <w:ind w:firstLine="566" w:firstLineChars="200"/>
              <w:rPr>
                <w:rFonts w:hint="eastAsia" w:ascii="仿宋" w:hAnsi="仿宋" w:eastAsia="仿宋" w:cs="Times New Roman"/>
              </w:rPr>
            </w:pPr>
          </w:p>
        </w:tc>
        <w:tc>
          <w:tcPr>
            <w:tcW w:w="1569" w:type="dxa"/>
            <w:vMerge w:val="continue"/>
            <w:vAlign w:val="center"/>
          </w:tcPr>
          <w:p w14:paraId="77E8FEF5">
            <w:pPr>
              <w:spacing w:line="500" w:lineRule="exact"/>
              <w:ind w:firstLine="566" w:firstLineChars="200"/>
              <w:rPr>
                <w:rFonts w:hint="eastAsia" w:ascii="仿宋" w:hAnsi="仿宋" w:eastAsia="仿宋" w:cs="Times New Roman"/>
              </w:rPr>
            </w:pPr>
          </w:p>
        </w:tc>
        <w:tc>
          <w:tcPr>
            <w:tcW w:w="5158" w:type="dxa"/>
            <w:vAlign w:val="center"/>
          </w:tcPr>
          <w:p w14:paraId="15C8CC00">
            <w:pPr>
              <w:spacing w:line="500" w:lineRule="exact"/>
              <w:ind w:firstLine="566" w:firstLineChars="200"/>
              <w:rPr>
                <w:rFonts w:hint="eastAsia" w:ascii="仿宋" w:hAnsi="仿宋" w:eastAsia="仿宋" w:cs="Times New Roman"/>
              </w:rPr>
            </w:pPr>
            <w:r>
              <w:rPr>
                <w:rFonts w:hint="eastAsia" w:ascii="仿宋" w:hAnsi="仿宋" w:eastAsia="仿宋" w:cs="Times New Roman"/>
              </w:rPr>
              <w:t>b）应组织相关部门和有关安全技术专家对定级结果的合理性和正确性进行论证和审定；</w:t>
            </w:r>
          </w:p>
        </w:tc>
      </w:tr>
      <w:tr w14:paraId="052B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A397B29">
            <w:pPr>
              <w:spacing w:line="500" w:lineRule="exact"/>
              <w:ind w:firstLine="566" w:firstLineChars="200"/>
              <w:rPr>
                <w:rFonts w:hint="eastAsia" w:ascii="仿宋" w:hAnsi="仿宋" w:eastAsia="仿宋" w:cs="Times New Roman"/>
              </w:rPr>
            </w:pPr>
          </w:p>
        </w:tc>
        <w:tc>
          <w:tcPr>
            <w:tcW w:w="1569" w:type="dxa"/>
            <w:vMerge w:val="continue"/>
            <w:vAlign w:val="center"/>
          </w:tcPr>
          <w:p w14:paraId="362B1870">
            <w:pPr>
              <w:spacing w:line="500" w:lineRule="exact"/>
              <w:ind w:firstLine="566" w:firstLineChars="200"/>
              <w:rPr>
                <w:rFonts w:hint="eastAsia" w:ascii="仿宋" w:hAnsi="仿宋" w:eastAsia="仿宋" w:cs="Times New Roman"/>
              </w:rPr>
            </w:pPr>
          </w:p>
        </w:tc>
        <w:tc>
          <w:tcPr>
            <w:tcW w:w="5158" w:type="dxa"/>
            <w:vAlign w:val="center"/>
          </w:tcPr>
          <w:p w14:paraId="36A73989">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c）应保证定级结果经过相关部门的批准；</w:t>
            </w:r>
          </w:p>
        </w:tc>
      </w:tr>
      <w:tr w14:paraId="32F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BFA7A2">
            <w:pPr>
              <w:spacing w:line="500" w:lineRule="exact"/>
              <w:ind w:firstLine="566" w:firstLineChars="200"/>
              <w:rPr>
                <w:rFonts w:hint="eastAsia" w:ascii="仿宋" w:hAnsi="仿宋" w:eastAsia="仿宋" w:cs="Times New Roman"/>
              </w:rPr>
            </w:pPr>
          </w:p>
        </w:tc>
        <w:tc>
          <w:tcPr>
            <w:tcW w:w="1569" w:type="dxa"/>
            <w:vMerge w:val="continue"/>
            <w:vAlign w:val="center"/>
          </w:tcPr>
          <w:p w14:paraId="68B74269">
            <w:pPr>
              <w:spacing w:line="500" w:lineRule="exact"/>
              <w:ind w:firstLine="566" w:firstLineChars="200"/>
              <w:rPr>
                <w:rFonts w:hint="eastAsia" w:ascii="仿宋" w:hAnsi="仿宋" w:eastAsia="仿宋" w:cs="Times New Roman"/>
              </w:rPr>
            </w:pPr>
          </w:p>
        </w:tc>
        <w:tc>
          <w:tcPr>
            <w:tcW w:w="5158" w:type="dxa"/>
            <w:vAlign w:val="center"/>
          </w:tcPr>
          <w:p w14:paraId="0D0611F1">
            <w:pPr>
              <w:spacing w:line="500" w:lineRule="exact"/>
              <w:ind w:firstLine="566" w:firstLineChars="200"/>
              <w:rPr>
                <w:rFonts w:hint="eastAsia" w:ascii="仿宋" w:hAnsi="仿宋" w:eastAsia="仿宋" w:cs="Times New Roman"/>
              </w:rPr>
            </w:pPr>
            <w:r>
              <w:rPr>
                <w:rFonts w:hint="eastAsia" w:ascii="仿宋" w:hAnsi="仿宋" w:eastAsia="仿宋" w:cs="Times New Roman"/>
              </w:rPr>
              <w:t>d）应将备案材料报主管部门和相应公安机关备案。</w:t>
            </w:r>
          </w:p>
        </w:tc>
      </w:tr>
      <w:tr w14:paraId="1F4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9757B8">
            <w:pPr>
              <w:spacing w:line="500" w:lineRule="exact"/>
              <w:ind w:firstLine="566" w:firstLineChars="200"/>
              <w:rPr>
                <w:rFonts w:hint="eastAsia" w:ascii="仿宋" w:hAnsi="仿宋" w:eastAsia="仿宋" w:cs="Times New Roman"/>
              </w:rPr>
            </w:pPr>
          </w:p>
        </w:tc>
        <w:tc>
          <w:tcPr>
            <w:tcW w:w="1569" w:type="dxa"/>
            <w:vMerge w:val="restart"/>
            <w:vAlign w:val="center"/>
          </w:tcPr>
          <w:p w14:paraId="2AB0A77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安全方案设计</w:t>
            </w:r>
          </w:p>
        </w:tc>
        <w:tc>
          <w:tcPr>
            <w:tcW w:w="5158" w:type="dxa"/>
            <w:vAlign w:val="center"/>
          </w:tcPr>
          <w:p w14:paraId="70C1E343">
            <w:pPr>
              <w:spacing w:line="500" w:lineRule="exact"/>
              <w:ind w:firstLine="566" w:firstLineChars="200"/>
              <w:rPr>
                <w:rFonts w:hint="eastAsia" w:ascii="仿宋" w:hAnsi="仿宋" w:eastAsia="仿宋" w:cs="Times New Roman"/>
              </w:rPr>
            </w:pPr>
            <w:r>
              <w:rPr>
                <w:rFonts w:hint="eastAsia" w:ascii="仿宋" w:hAnsi="仿宋" w:eastAsia="仿宋" w:cs="Times New Roman"/>
              </w:rPr>
              <w:t>a）应根据安全保护等级选择基本安全措施，依据风险分析的结果补充和调整安全措施；</w:t>
            </w:r>
          </w:p>
        </w:tc>
      </w:tr>
      <w:tr w14:paraId="79BF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8C1B901">
            <w:pPr>
              <w:spacing w:line="500" w:lineRule="exact"/>
              <w:ind w:firstLine="566" w:firstLineChars="200"/>
              <w:rPr>
                <w:rFonts w:hint="eastAsia" w:ascii="仿宋" w:hAnsi="仿宋" w:eastAsia="仿宋" w:cs="Times New Roman"/>
              </w:rPr>
            </w:pPr>
          </w:p>
        </w:tc>
        <w:tc>
          <w:tcPr>
            <w:tcW w:w="1569" w:type="dxa"/>
            <w:vMerge w:val="continue"/>
            <w:vAlign w:val="center"/>
          </w:tcPr>
          <w:p w14:paraId="27E6477F">
            <w:pPr>
              <w:spacing w:line="500" w:lineRule="exact"/>
              <w:ind w:firstLine="566" w:firstLineChars="200"/>
              <w:rPr>
                <w:rFonts w:hint="eastAsia" w:ascii="仿宋" w:hAnsi="仿宋" w:eastAsia="仿宋" w:cs="Times New Roman"/>
              </w:rPr>
            </w:pPr>
          </w:p>
        </w:tc>
        <w:tc>
          <w:tcPr>
            <w:tcW w:w="5158" w:type="dxa"/>
            <w:vAlign w:val="center"/>
          </w:tcPr>
          <w:p w14:paraId="3B945939">
            <w:pPr>
              <w:spacing w:line="500" w:lineRule="exact"/>
              <w:ind w:firstLine="566" w:firstLineChars="200"/>
              <w:rPr>
                <w:rFonts w:hint="eastAsia" w:ascii="仿宋" w:hAnsi="仿宋" w:eastAsia="仿宋" w:cs="Times New Roman"/>
              </w:rPr>
            </w:pPr>
            <w:r>
              <w:rPr>
                <w:rFonts w:hint="eastAsia" w:ascii="仿宋" w:hAnsi="仿宋" w:eastAsia="仿宋" w:cs="Times New Roman"/>
              </w:rPr>
              <w:t>b）应根据保护对象的安全保护等级及与其他级别保护对象的关系进行安全整体规划和安全方案设计，设计内容应包含密码技术相关内容，并形成配套文件；</w:t>
            </w:r>
          </w:p>
        </w:tc>
      </w:tr>
      <w:tr w14:paraId="223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73B5EB">
            <w:pPr>
              <w:spacing w:line="500" w:lineRule="exact"/>
              <w:ind w:firstLine="566" w:firstLineChars="200"/>
              <w:rPr>
                <w:rFonts w:hint="eastAsia" w:ascii="仿宋" w:hAnsi="仿宋" w:eastAsia="仿宋" w:cs="Times New Roman"/>
              </w:rPr>
            </w:pPr>
          </w:p>
        </w:tc>
        <w:tc>
          <w:tcPr>
            <w:tcW w:w="1569" w:type="dxa"/>
            <w:vMerge w:val="continue"/>
            <w:vAlign w:val="center"/>
          </w:tcPr>
          <w:p w14:paraId="471C822F">
            <w:pPr>
              <w:spacing w:line="500" w:lineRule="exact"/>
              <w:ind w:firstLine="566" w:firstLineChars="200"/>
              <w:rPr>
                <w:rFonts w:hint="eastAsia" w:ascii="仿宋" w:hAnsi="仿宋" w:eastAsia="仿宋" w:cs="Times New Roman"/>
              </w:rPr>
            </w:pPr>
          </w:p>
        </w:tc>
        <w:tc>
          <w:tcPr>
            <w:tcW w:w="5158" w:type="dxa"/>
            <w:vAlign w:val="center"/>
          </w:tcPr>
          <w:p w14:paraId="3F16F5DF">
            <w:pPr>
              <w:spacing w:line="500" w:lineRule="exact"/>
              <w:ind w:firstLine="566" w:firstLineChars="200"/>
              <w:rPr>
                <w:rFonts w:hint="eastAsia" w:ascii="仿宋" w:hAnsi="仿宋" w:eastAsia="仿宋" w:cs="Times New Roman"/>
              </w:rPr>
            </w:pPr>
            <w:r>
              <w:rPr>
                <w:rFonts w:hint="eastAsia" w:ascii="仿宋" w:hAnsi="仿宋" w:eastAsia="仿宋" w:cs="Times New Roman"/>
              </w:rPr>
              <w:t>c）应组织相关部门和有关安全专家对安全整体规划及其配套文件的合理性和正确性进行论证和审定，经过批准后才能正式实施。</w:t>
            </w:r>
          </w:p>
        </w:tc>
      </w:tr>
      <w:tr w14:paraId="2589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FAB3698">
            <w:pPr>
              <w:spacing w:line="500" w:lineRule="exact"/>
              <w:ind w:firstLine="566" w:firstLineChars="200"/>
              <w:rPr>
                <w:rFonts w:hint="eastAsia" w:ascii="仿宋" w:hAnsi="仿宋" w:eastAsia="仿宋" w:cs="Times New Roman"/>
              </w:rPr>
            </w:pPr>
          </w:p>
        </w:tc>
        <w:tc>
          <w:tcPr>
            <w:tcW w:w="1569" w:type="dxa"/>
            <w:vMerge w:val="restart"/>
            <w:vAlign w:val="center"/>
          </w:tcPr>
          <w:p w14:paraId="08BA2A66">
            <w:pPr>
              <w:spacing w:line="500" w:lineRule="exact"/>
              <w:ind w:firstLine="566" w:firstLineChars="200"/>
              <w:rPr>
                <w:rFonts w:hint="eastAsia" w:ascii="仿宋" w:hAnsi="仿宋" w:eastAsia="仿宋" w:cs="Times New Roman"/>
              </w:rPr>
            </w:pPr>
            <w:r>
              <w:rPr>
                <w:rFonts w:hint="eastAsia" w:ascii="仿宋" w:hAnsi="仿宋" w:eastAsia="仿宋" w:cs="Times New Roman"/>
              </w:rPr>
              <w:t>产品采购和使用</w:t>
            </w:r>
          </w:p>
        </w:tc>
        <w:tc>
          <w:tcPr>
            <w:tcW w:w="5158" w:type="dxa"/>
            <w:vAlign w:val="center"/>
          </w:tcPr>
          <w:p w14:paraId="3705A494">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a）应确保网络安全产品采购和使用符合国家的有关规定；</w:t>
            </w:r>
          </w:p>
        </w:tc>
      </w:tr>
      <w:tr w14:paraId="3728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84ADE97">
            <w:pPr>
              <w:spacing w:line="500" w:lineRule="exact"/>
              <w:ind w:firstLine="566" w:firstLineChars="200"/>
              <w:rPr>
                <w:rFonts w:hint="eastAsia" w:ascii="仿宋" w:hAnsi="仿宋" w:eastAsia="仿宋" w:cs="Times New Roman"/>
              </w:rPr>
            </w:pPr>
          </w:p>
        </w:tc>
        <w:tc>
          <w:tcPr>
            <w:tcW w:w="1569" w:type="dxa"/>
            <w:vMerge w:val="continue"/>
            <w:vAlign w:val="center"/>
          </w:tcPr>
          <w:p w14:paraId="167719DF">
            <w:pPr>
              <w:spacing w:line="500" w:lineRule="exact"/>
              <w:ind w:firstLine="566" w:firstLineChars="200"/>
              <w:rPr>
                <w:rFonts w:hint="eastAsia" w:ascii="仿宋" w:hAnsi="仿宋" w:eastAsia="仿宋" w:cs="Times New Roman"/>
              </w:rPr>
            </w:pPr>
          </w:p>
        </w:tc>
        <w:tc>
          <w:tcPr>
            <w:tcW w:w="5158" w:type="dxa"/>
            <w:vAlign w:val="center"/>
          </w:tcPr>
          <w:p w14:paraId="36971AB7">
            <w:pPr>
              <w:spacing w:line="500" w:lineRule="exact"/>
              <w:ind w:firstLine="566" w:firstLineChars="200"/>
              <w:rPr>
                <w:rFonts w:hint="eastAsia" w:ascii="仿宋" w:hAnsi="仿宋" w:eastAsia="仿宋" w:cs="Times New Roman"/>
              </w:rPr>
            </w:pPr>
            <w:r>
              <w:rPr>
                <w:rFonts w:hint="eastAsia" w:ascii="仿宋" w:hAnsi="仿宋" w:eastAsia="仿宋" w:cs="Times New Roman"/>
              </w:rPr>
              <w:t>b）应确保密码产品与服务的采购和使用符合国家密码管理主管部门的要求；</w:t>
            </w:r>
          </w:p>
        </w:tc>
      </w:tr>
      <w:tr w14:paraId="262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ADF49">
            <w:pPr>
              <w:spacing w:line="500" w:lineRule="exact"/>
              <w:ind w:firstLine="566" w:firstLineChars="200"/>
              <w:rPr>
                <w:rFonts w:hint="eastAsia" w:ascii="仿宋" w:hAnsi="仿宋" w:eastAsia="仿宋" w:cs="Times New Roman"/>
              </w:rPr>
            </w:pPr>
          </w:p>
        </w:tc>
        <w:tc>
          <w:tcPr>
            <w:tcW w:w="1569" w:type="dxa"/>
            <w:vMerge w:val="continue"/>
            <w:vAlign w:val="center"/>
          </w:tcPr>
          <w:p w14:paraId="01B08AE5">
            <w:pPr>
              <w:spacing w:line="500" w:lineRule="exact"/>
              <w:ind w:firstLine="566" w:firstLineChars="200"/>
              <w:rPr>
                <w:rFonts w:hint="eastAsia" w:ascii="仿宋" w:hAnsi="仿宋" w:eastAsia="仿宋" w:cs="Times New Roman"/>
              </w:rPr>
            </w:pPr>
          </w:p>
        </w:tc>
        <w:tc>
          <w:tcPr>
            <w:tcW w:w="5158" w:type="dxa"/>
            <w:vAlign w:val="center"/>
          </w:tcPr>
          <w:p w14:paraId="15279E3E">
            <w:pPr>
              <w:spacing w:line="500" w:lineRule="exact"/>
              <w:ind w:firstLine="566" w:firstLineChars="200"/>
              <w:rPr>
                <w:rFonts w:hint="eastAsia" w:ascii="仿宋" w:hAnsi="仿宋" w:eastAsia="仿宋" w:cs="Times New Roman"/>
              </w:rPr>
            </w:pPr>
            <w:r>
              <w:rPr>
                <w:rFonts w:hint="eastAsia" w:ascii="仿宋" w:hAnsi="仿宋" w:eastAsia="仿宋" w:cs="Times New Roman"/>
              </w:rPr>
              <w:t>c）应预先对产品进行选型测试，确定产品的候选范围，并定期审定和更新候选产品名单。</w:t>
            </w:r>
          </w:p>
        </w:tc>
      </w:tr>
      <w:tr w14:paraId="799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A24976E">
            <w:pPr>
              <w:spacing w:line="500" w:lineRule="exact"/>
              <w:ind w:firstLine="566" w:firstLineChars="200"/>
              <w:rPr>
                <w:rFonts w:hint="eastAsia" w:ascii="仿宋" w:hAnsi="仿宋" w:eastAsia="仿宋" w:cs="Times New Roman"/>
              </w:rPr>
            </w:pPr>
          </w:p>
        </w:tc>
        <w:tc>
          <w:tcPr>
            <w:tcW w:w="1569" w:type="dxa"/>
            <w:vMerge w:val="restart"/>
            <w:vAlign w:val="center"/>
          </w:tcPr>
          <w:p w14:paraId="0075ABD4">
            <w:pPr>
              <w:spacing w:line="500" w:lineRule="exact"/>
              <w:ind w:firstLine="566" w:firstLineChars="200"/>
              <w:rPr>
                <w:rFonts w:hint="eastAsia" w:ascii="仿宋" w:hAnsi="仿宋" w:eastAsia="仿宋" w:cs="Times New Roman"/>
              </w:rPr>
            </w:pPr>
            <w:r>
              <w:rPr>
                <w:rFonts w:hint="eastAsia" w:ascii="仿宋" w:hAnsi="仿宋" w:eastAsia="仿宋" w:cs="Times New Roman"/>
              </w:rPr>
              <w:t>自行软件开发</w:t>
            </w:r>
          </w:p>
        </w:tc>
        <w:tc>
          <w:tcPr>
            <w:tcW w:w="5158" w:type="dxa"/>
            <w:vAlign w:val="center"/>
          </w:tcPr>
          <w:p w14:paraId="763BE307">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a）应将开发环境与实际运行环境物理分开，测试数据和测试结果受到控制；</w:t>
            </w:r>
          </w:p>
        </w:tc>
      </w:tr>
      <w:tr w14:paraId="2CBE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C1C223">
            <w:pPr>
              <w:spacing w:line="500" w:lineRule="exact"/>
              <w:ind w:firstLine="566" w:firstLineChars="200"/>
              <w:rPr>
                <w:rFonts w:hint="eastAsia" w:ascii="仿宋" w:hAnsi="仿宋" w:eastAsia="仿宋" w:cs="Times New Roman"/>
              </w:rPr>
            </w:pPr>
          </w:p>
        </w:tc>
        <w:tc>
          <w:tcPr>
            <w:tcW w:w="1569" w:type="dxa"/>
            <w:vMerge w:val="continue"/>
            <w:vAlign w:val="center"/>
          </w:tcPr>
          <w:p w14:paraId="6A33C0CA">
            <w:pPr>
              <w:spacing w:line="500" w:lineRule="exact"/>
              <w:ind w:firstLine="566" w:firstLineChars="200"/>
              <w:rPr>
                <w:rFonts w:hint="eastAsia" w:ascii="仿宋" w:hAnsi="仿宋" w:eastAsia="仿宋" w:cs="Times New Roman"/>
              </w:rPr>
            </w:pPr>
          </w:p>
        </w:tc>
        <w:tc>
          <w:tcPr>
            <w:tcW w:w="5158" w:type="dxa"/>
            <w:vAlign w:val="center"/>
          </w:tcPr>
          <w:p w14:paraId="4D21C325">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b）应制定软件开发管理制度，明确说明开发过程的控制方法和人员行为准则；</w:t>
            </w:r>
          </w:p>
        </w:tc>
      </w:tr>
      <w:tr w14:paraId="285E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D6D55">
            <w:pPr>
              <w:spacing w:line="500" w:lineRule="exact"/>
              <w:ind w:firstLine="566" w:firstLineChars="200"/>
              <w:rPr>
                <w:rFonts w:hint="eastAsia" w:ascii="仿宋" w:hAnsi="仿宋" w:eastAsia="仿宋" w:cs="Times New Roman"/>
              </w:rPr>
            </w:pPr>
          </w:p>
        </w:tc>
        <w:tc>
          <w:tcPr>
            <w:tcW w:w="1569" w:type="dxa"/>
            <w:vMerge w:val="continue"/>
            <w:vAlign w:val="center"/>
          </w:tcPr>
          <w:p w14:paraId="1069021C">
            <w:pPr>
              <w:spacing w:line="500" w:lineRule="exact"/>
              <w:ind w:firstLine="566" w:firstLineChars="200"/>
              <w:rPr>
                <w:rFonts w:hint="eastAsia" w:ascii="仿宋" w:hAnsi="仿宋" w:eastAsia="仿宋" w:cs="Times New Roman"/>
              </w:rPr>
            </w:pPr>
          </w:p>
        </w:tc>
        <w:tc>
          <w:tcPr>
            <w:tcW w:w="5158" w:type="dxa"/>
            <w:vAlign w:val="center"/>
          </w:tcPr>
          <w:p w14:paraId="53D4802C">
            <w:pPr>
              <w:spacing w:line="500" w:lineRule="exact"/>
              <w:ind w:firstLine="566" w:firstLineChars="200"/>
              <w:rPr>
                <w:rFonts w:hint="eastAsia" w:ascii="仿宋" w:hAnsi="仿宋" w:eastAsia="仿宋" w:cs="Times New Roman"/>
              </w:rPr>
            </w:pPr>
            <w:r>
              <w:rPr>
                <w:rFonts w:hint="eastAsia" w:ascii="仿宋" w:hAnsi="仿宋" w:eastAsia="仿宋" w:cs="Times New Roman"/>
              </w:rPr>
              <w:t>c）应制定代码编写安全规范，要求开发人员参照规范编写代码；</w:t>
            </w:r>
          </w:p>
        </w:tc>
      </w:tr>
      <w:tr w14:paraId="1286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F14CD37">
            <w:pPr>
              <w:spacing w:line="500" w:lineRule="exact"/>
              <w:ind w:firstLine="566" w:firstLineChars="200"/>
              <w:rPr>
                <w:rFonts w:hint="eastAsia" w:ascii="仿宋" w:hAnsi="仿宋" w:eastAsia="仿宋" w:cs="Times New Roman"/>
              </w:rPr>
            </w:pPr>
          </w:p>
        </w:tc>
        <w:tc>
          <w:tcPr>
            <w:tcW w:w="1569" w:type="dxa"/>
            <w:vMerge w:val="continue"/>
            <w:vAlign w:val="center"/>
          </w:tcPr>
          <w:p w14:paraId="2468F06D">
            <w:pPr>
              <w:spacing w:line="500" w:lineRule="exact"/>
              <w:ind w:firstLine="566" w:firstLineChars="200"/>
              <w:rPr>
                <w:rFonts w:hint="eastAsia" w:ascii="仿宋" w:hAnsi="仿宋" w:eastAsia="仿宋" w:cs="Times New Roman"/>
              </w:rPr>
            </w:pPr>
          </w:p>
        </w:tc>
        <w:tc>
          <w:tcPr>
            <w:tcW w:w="5158" w:type="dxa"/>
            <w:vAlign w:val="center"/>
          </w:tcPr>
          <w:p w14:paraId="38FC95C2">
            <w:pPr>
              <w:spacing w:line="500" w:lineRule="exact"/>
              <w:ind w:firstLine="566" w:firstLineChars="200"/>
              <w:rPr>
                <w:rFonts w:hint="eastAsia" w:ascii="仿宋" w:hAnsi="仿宋" w:eastAsia="仿宋" w:cs="Times New Roman"/>
              </w:rPr>
            </w:pPr>
            <w:r>
              <w:rPr>
                <w:rFonts w:hint="eastAsia" w:ascii="仿宋" w:hAnsi="仿宋" w:eastAsia="仿宋" w:cs="Times New Roman"/>
              </w:rPr>
              <w:t>d）应具备软件设计的相关文档和使用指南，并对文档使用进行控制；</w:t>
            </w:r>
          </w:p>
        </w:tc>
      </w:tr>
      <w:tr w14:paraId="433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CB382C4">
            <w:pPr>
              <w:spacing w:line="500" w:lineRule="exact"/>
              <w:ind w:firstLine="566" w:firstLineChars="200"/>
              <w:rPr>
                <w:rFonts w:hint="eastAsia" w:ascii="仿宋" w:hAnsi="仿宋" w:eastAsia="仿宋" w:cs="Times New Roman"/>
              </w:rPr>
            </w:pPr>
          </w:p>
        </w:tc>
        <w:tc>
          <w:tcPr>
            <w:tcW w:w="1569" w:type="dxa"/>
            <w:vMerge w:val="continue"/>
            <w:vAlign w:val="center"/>
          </w:tcPr>
          <w:p w14:paraId="59D3D80D">
            <w:pPr>
              <w:spacing w:line="500" w:lineRule="exact"/>
              <w:ind w:firstLine="566" w:firstLineChars="200"/>
              <w:rPr>
                <w:rFonts w:hint="eastAsia" w:ascii="仿宋" w:hAnsi="仿宋" w:eastAsia="仿宋" w:cs="Times New Roman"/>
              </w:rPr>
            </w:pPr>
          </w:p>
        </w:tc>
        <w:tc>
          <w:tcPr>
            <w:tcW w:w="5158" w:type="dxa"/>
            <w:vAlign w:val="center"/>
          </w:tcPr>
          <w:p w14:paraId="2B450462">
            <w:pPr>
              <w:spacing w:line="500" w:lineRule="exact"/>
              <w:ind w:firstLine="566" w:firstLineChars="200"/>
              <w:rPr>
                <w:rFonts w:hint="eastAsia" w:ascii="仿宋" w:hAnsi="仿宋" w:eastAsia="仿宋" w:cs="Times New Roman"/>
              </w:rPr>
            </w:pPr>
            <w:r>
              <w:rPr>
                <w:rFonts w:hint="eastAsia" w:ascii="仿宋" w:hAnsi="仿宋" w:eastAsia="仿宋" w:cs="Times New Roman"/>
              </w:rPr>
              <w:t>e）应保证在软件开发过程中对安全性进行测试，在软件安装前对可能存在的恶意代码进行检测；</w:t>
            </w:r>
          </w:p>
        </w:tc>
      </w:tr>
      <w:tr w14:paraId="12A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02F7A26">
            <w:pPr>
              <w:spacing w:line="500" w:lineRule="exact"/>
              <w:ind w:firstLine="566" w:firstLineChars="200"/>
              <w:rPr>
                <w:rFonts w:hint="eastAsia" w:ascii="仿宋" w:hAnsi="仿宋" w:eastAsia="仿宋" w:cs="Times New Roman"/>
              </w:rPr>
            </w:pPr>
          </w:p>
        </w:tc>
        <w:tc>
          <w:tcPr>
            <w:tcW w:w="1569" w:type="dxa"/>
            <w:vMerge w:val="continue"/>
            <w:vAlign w:val="center"/>
          </w:tcPr>
          <w:p w14:paraId="0B1463B3">
            <w:pPr>
              <w:spacing w:line="500" w:lineRule="exact"/>
              <w:ind w:firstLine="566" w:firstLineChars="200"/>
              <w:rPr>
                <w:rFonts w:hint="eastAsia" w:ascii="仿宋" w:hAnsi="仿宋" w:eastAsia="仿宋" w:cs="Times New Roman"/>
              </w:rPr>
            </w:pPr>
          </w:p>
        </w:tc>
        <w:tc>
          <w:tcPr>
            <w:tcW w:w="5158" w:type="dxa"/>
            <w:vAlign w:val="center"/>
          </w:tcPr>
          <w:p w14:paraId="3B6ADC0F">
            <w:pPr>
              <w:spacing w:line="500" w:lineRule="exact"/>
              <w:ind w:firstLine="566" w:firstLineChars="200"/>
              <w:rPr>
                <w:rFonts w:hint="eastAsia" w:ascii="仿宋" w:hAnsi="仿宋" w:eastAsia="仿宋" w:cs="Times New Roman"/>
              </w:rPr>
            </w:pPr>
            <w:r>
              <w:rPr>
                <w:rFonts w:hint="eastAsia" w:ascii="仿宋" w:hAnsi="仿宋" w:eastAsia="仿宋" w:cs="Times New Roman"/>
              </w:rPr>
              <w:t>f）应对程序资源库的修改、更新、发布进行授权和批准，并严格进行版本控制；</w:t>
            </w:r>
          </w:p>
        </w:tc>
      </w:tr>
      <w:tr w14:paraId="0829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B6C130">
            <w:pPr>
              <w:spacing w:line="500" w:lineRule="exact"/>
              <w:ind w:firstLine="566" w:firstLineChars="200"/>
              <w:rPr>
                <w:rFonts w:hint="eastAsia" w:ascii="仿宋" w:hAnsi="仿宋" w:eastAsia="仿宋" w:cs="Times New Roman"/>
              </w:rPr>
            </w:pPr>
          </w:p>
        </w:tc>
        <w:tc>
          <w:tcPr>
            <w:tcW w:w="1569" w:type="dxa"/>
            <w:vMerge w:val="continue"/>
            <w:vAlign w:val="center"/>
          </w:tcPr>
          <w:p w14:paraId="6B3366FA">
            <w:pPr>
              <w:spacing w:line="500" w:lineRule="exact"/>
              <w:ind w:firstLine="566" w:firstLineChars="200"/>
              <w:rPr>
                <w:rFonts w:hint="eastAsia" w:ascii="仿宋" w:hAnsi="仿宋" w:eastAsia="仿宋" w:cs="Times New Roman"/>
              </w:rPr>
            </w:pPr>
          </w:p>
        </w:tc>
        <w:tc>
          <w:tcPr>
            <w:tcW w:w="5158" w:type="dxa"/>
            <w:vAlign w:val="center"/>
          </w:tcPr>
          <w:p w14:paraId="4BA45150">
            <w:pPr>
              <w:spacing w:line="500" w:lineRule="exact"/>
              <w:ind w:firstLine="566" w:firstLineChars="200"/>
              <w:rPr>
                <w:rFonts w:hint="eastAsia" w:ascii="仿宋" w:hAnsi="仿宋" w:eastAsia="仿宋" w:cs="Times New Roman"/>
              </w:rPr>
            </w:pPr>
            <w:r>
              <w:rPr>
                <w:rFonts w:hint="eastAsia" w:ascii="仿宋" w:hAnsi="仿宋" w:eastAsia="仿宋" w:cs="Times New Roman"/>
              </w:rPr>
              <w:t>g）应保证开发人员为专职人员，开发人员的开发活动受到控制、监视和审查。</w:t>
            </w:r>
          </w:p>
        </w:tc>
      </w:tr>
      <w:tr w14:paraId="03B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00891A">
            <w:pPr>
              <w:spacing w:line="500" w:lineRule="exact"/>
              <w:ind w:firstLine="566" w:firstLineChars="200"/>
              <w:rPr>
                <w:rFonts w:hint="eastAsia" w:ascii="仿宋" w:hAnsi="仿宋" w:eastAsia="仿宋" w:cs="Times New Roman"/>
              </w:rPr>
            </w:pPr>
          </w:p>
        </w:tc>
        <w:tc>
          <w:tcPr>
            <w:tcW w:w="1569" w:type="dxa"/>
            <w:vMerge w:val="restart"/>
            <w:vAlign w:val="center"/>
          </w:tcPr>
          <w:p w14:paraId="273380D3">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外包软件开发</w:t>
            </w:r>
          </w:p>
        </w:tc>
        <w:tc>
          <w:tcPr>
            <w:tcW w:w="5158" w:type="dxa"/>
            <w:vAlign w:val="center"/>
          </w:tcPr>
          <w:p w14:paraId="4FF99AD1">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a）应在软件交付前检测其中可能存在的恶意代码；</w:t>
            </w:r>
          </w:p>
        </w:tc>
      </w:tr>
      <w:tr w14:paraId="3D8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432F50">
            <w:pPr>
              <w:spacing w:line="500" w:lineRule="exact"/>
              <w:ind w:firstLine="566" w:firstLineChars="200"/>
              <w:rPr>
                <w:rFonts w:hint="eastAsia" w:ascii="仿宋" w:hAnsi="仿宋" w:eastAsia="仿宋" w:cs="Times New Roman"/>
              </w:rPr>
            </w:pPr>
          </w:p>
        </w:tc>
        <w:tc>
          <w:tcPr>
            <w:tcW w:w="1569" w:type="dxa"/>
            <w:vMerge w:val="continue"/>
            <w:vAlign w:val="center"/>
          </w:tcPr>
          <w:p w14:paraId="4D4A3570">
            <w:pPr>
              <w:spacing w:line="500" w:lineRule="exact"/>
              <w:ind w:firstLine="566" w:firstLineChars="200"/>
              <w:rPr>
                <w:rFonts w:hint="eastAsia" w:ascii="仿宋" w:hAnsi="仿宋" w:eastAsia="仿宋" w:cs="Times New Roman"/>
              </w:rPr>
            </w:pPr>
          </w:p>
        </w:tc>
        <w:tc>
          <w:tcPr>
            <w:tcW w:w="5158" w:type="dxa"/>
            <w:vAlign w:val="center"/>
          </w:tcPr>
          <w:p w14:paraId="58041B8C">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b）应保证开发单位提供软件设计文档和使用指南；</w:t>
            </w:r>
          </w:p>
        </w:tc>
      </w:tr>
      <w:tr w14:paraId="39DB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0DC324">
            <w:pPr>
              <w:spacing w:line="500" w:lineRule="exact"/>
              <w:ind w:firstLine="566" w:firstLineChars="200"/>
              <w:rPr>
                <w:rFonts w:hint="eastAsia" w:ascii="仿宋" w:hAnsi="仿宋" w:eastAsia="仿宋" w:cs="Times New Roman"/>
              </w:rPr>
            </w:pPr>
          </w:p>
        </w:tc>
        <w:tc>
          <w:tcPr>
            <w:tcW w:w="1569" w:type="dxa"/>
            <w:vMerge w:val="continue"/>
            <w:vAlign w:val="center"/>
          </w:tcPr>
          <w:p w14:paraId="23DFCF00">
            <w:pPr>
              <w:spacing w:line="500" w:lineRule="exact"/>
              <w:ind w:firstLine="566" w:firstLineChars="200"/>
              <w:rPr>
                <w:rFonts w:hint="eastAsia" w:ascii="仿宋" w:hAnsi="仿宋" w:eastAsia="仿宋" w:cs="Times New Roman"/>
              </w:rPr>
            </w:pPr>
          </w:p>
        </w:tc>
        <w:tc>
          <w:tcPr>
            <w:tcW w:w="5158" w:type="dxa"/>
            <w:vAlign w:val="center"/>
          </w:tcPr>
          <w:p w14:paraId="6612B0BC">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c）应保证开发单位提供软件源代码，并审查软件中可能存在的后门和隐蔽信道。</w:t>
            </w:r>
          </w:p>
        </w:tc>
      </w:tr>
      <w:tr w14:paraId="1F53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AA7539">
            <w:pPr>
              <w:spacing w:line="500" w:lineRule="exact"/>
              <w:ind w:firstLine="566" w:firstLineChars="200"/>
              <w:rPr>
                <w:rFonts w:hint="eastAsia" w:ascii="仿宋" w:hAnsi="仿宋" w:eastAsia="仿宋" w:cs="Times New Roman"/>
              </w:rPr>
            </w:pPr>
          </w:p>
        </w:tc>
        <w:tc>
          <w:tcPr>
            <w:tcW w:w="1569" w:type="dxa"/>
            <w:vMerge w:val="restart"/>
            <w:vAlign w:val="center"/>
          </w:tcPr>
          <w:p w14:paraId="2648D331">
            <w:pPr>
              <w:spacing w:line="500" w:lineRule="exact"/>
              <w:ind w:firstLine="566" w:firstLineChars="200"/>
              <w:rPr>
                <w:rFonts w:hint="eastAsia" w:ascii="仿宋" w:hAnsi="仿宋" w:eastAsia="仿宋" w:cs="Times New Roman"/>
              </w:rPr>
            </w:pPr>
            <w:r>
              <w:rPr>
                <w:rFonts w:hint="eastAsia" w:ascii="仿宋" w:hAnsi="仿宋" w:eastAsia="仿宋" w:cs="Times New Roman"/>
              </w:rPr>
              <w:t>工程实施</w:t>
            </w:r>
          </w:p>
        </w:tc>
        <w:tc>
          <w:tcPr>
            <w:tcW w:w="5158" w:type="dxa"/>
            <w:vAlign w:val="center"/>
          </w:tcPr>
          <w:p w14:paraId="3CBF2D53">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a）应指定或授权专门的部门或人员负责工程实施过程的管理；</w:t>
            </w:r>
          </w:p>
        </w:tc>
      </w:tr>
      <w:tr w14:paraId="73E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4885A4">
            <w:pPr>
              <w:spacing w:line="500" w:lineRule="exact"/>
              <w:ind w:firstLine="566" w:firstLineChars="200"/>
              <w:rPr>
                <w:rFonts w:hint="eastAsia" w:ascii="仿宋" w:hAnsi="仿宋" w:eastAsia="仿宋" w:cs="Times New Roman"/>
              </w:rPr>
            </w:pPr>
          </w:p>
        </w:tc>
        <w:tc>
          <w:tcPr>
            <w:tcW w:w="1569" w:type="dxa"/>
            <w:vMerge w:val="continue"/>
            <w:vAlign w:val="center"/>
          </w:tcPr>
          <w:p w14:paraId="5AE6154D">
            <w:pPr>
              <w:spacing w:line="500" w:lineRule="exact"/>
              <w:ind w:firstLine="566" w:firstLineChars="200"/>
              <w:rPr>
                <w:rFonts w:hint="eastAsia" w:ascii="仿宋" w:hAnsi="仿宋" w:eastAsia="仿宋" w:cs="Times New Roman"/>
              </w:rPr>
            </w:pPr>
          </w:p>
        </w:tc>
        <w:tc>
          <w:tcPr>
            <w:tcW w:w="5158" w:type="dxa"/>
            <w:vAlign w:val="center"/>
          </w:tcPr>
          <w:p w14:paraId="30B16D98">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b）应制定安全工程实施方案控制工程实施过程；</w:t>
            </w:r>
          </w:p>
        </w:tc>
      </w:tr>
      <w:tr w14:paraId="46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39F296">
            <w:pPr>
              <w:spacing w:line="500" w:lineRule="exact"/>
              <w:ind w:firstLine="566" w:firstLineChars="200"/>
              <w:rPr>
                <w:rFonts w:hint="eastAsia" w:ascii="仿宋" w:hAnsi="仿宋" w:eastAsia="仿宋" w:cs="Times New Roman"/>
              </w:rPr>
            </w:pPr>
          </w:p>
        </w:tc>
        <w:tc>
          <w:tcPr>
            <w:tcW w:w="1569" w:type="dxa"/>
            <w:vMerge w:val="continue"/>
            <w:vAlign w:val="center"/>
          </w:tcPr>
          <w:p w14:paraId="46143748">
            <w:pPr>
              <w:spacing w:line="500" w:lineRule="exact"/>
              <w:ind w:firstLine="566" w:firstLineChars="200"/>
              <w:rPr>
                <w:rFonts w:hint="eastAsia" w:ascii="仿宋" w:hAnsi="仿宋" w:eastAsia="仿宋" w:cs="Times New Roman"/>
              </w:rPr>
            </w:pPr>
          </w:p>
        </w:tc>
        <w:tc>
          <w:tcPr>
            <w:tcW w:w="5158" w:type="dxa"/>
            <w:vAlign w:val="center"/>
          </w:tcPr>
          <w:p w14:paraId="095CE31A">
            <w:pPr>
              <w:spacing w:line="500" w:lineRule="exact"/>
              <w:ind w:firstLine="566" w:firstLineChars="200"/>
              <w:rPr>
                <w:rFonts w:hint="eastAsia" w:ascii="仿宋" w:hAnsi="仿宋" w:eastAsia="仿宋" w:cs="Times New Roman"/>
              </w:rPr>
            </w:pPr>
            <w:r>
              <w:rPr>
                <w:rFonts w:hint="eastAsia" w:ascii="仿宋" w:hAnsi="仿宋" w:eastAsia="仿宋" w:cs="Times New Roman"/>
              </w:rPr>
              <w:t>c）应通过第三方工程监理控制项目的实施过程。</w:t>
            </w:r>
          </w:p>
        </w:tc>
      </w:tr>
      <w:tr w14:paraId="0B00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4019B4">
            <w:pPr>
              <w:spacing w:line="500" w:lineRule="exact"/>
              <w:ind w:firstLine="566" w:firstLineChars="200"/>
              <w:rPr>
                <w:rFonts w:hint="eastAsia" w:ascii="仿宋" w:hAnsi="仿宋" w:eastAsia="仿宋" w:cs="Times New Roman"/>
              </w:rPr>
            </w:pPr>
          </w:p>
        </w:tc>
        <w:tc>
          <w:tcPr>
            <w:tcW w:w="1569" w:type="dxa"/>
            <w:vMerge w:val="restart"/>
            <w:vAlign w:val="center"/>
          </w:tcPr>
          <w:p w14:paraId="07C4CE4D">
            <w:pPr>
              <w:spacing w:line="500" w:lineRule="exact"/>
              <w:ind w:firstLine="566" w:firstLineChars="200"/>
              <w:rPr>
                <w:rFonts w:hint="eastAsia" w:ascii="仿宋" w:hAnsi="仿宋" w:eastAsia="仿宋" w:cs="Times New Roman"/>
              </w:rPr>
            </w:pPr>
            <w:r>
              <w:rPr>
                <w:rFonts w:hint="eastAsia" w:ascii="仿宋" w:hAnsi="仿宋" w:eastAsia="仿宋" w:cs="Times New Roman"/>
              </w:rPr>
              <w:t>测试验收</w:t>
            </w:r>
          </w:p>
        </w:tc>
        <w:tc>
          <w:tcPr>
            <w:tcW w:w="5158" w:type="dxa"/>
            <w:vAlign w:val="center"/>
          </w:tcPr>
          <w:p w14:paraId="78988364">
            <w:pPr>
              <w:spacing w:line="500" w:lineRule="exact"/>
              <w:ind w:firstLine="566" w:firstLineChars="200"/>
              <w:rPr>
                <w:rFonts w:hint="eastAsia" w:ascii="仿宋" w:hAnsi="仿宋" w:eastAsia="仿宋" w:cs="Times New Roman"/>
              </w:rPr>
            </w:pPr>
            <w:r>
              <w:rPr>
                <w:rFonts w:hint="eastAsia" w:ascii="仿宋" w:hAnsi="仿宋" w:eastAsia="仿宋" w:cs="Times New Roman"/>
              </w:rPr>
              <w:t>a）应制订测试验收方案，并依据测试验收方案实施测试验收，形成测试验收报告；</w:t>
            </w:r>
          </w:p>
        </w:tc>
      </w:tr>
      <w:tr w14:paraId="3A24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1B7FAF3">
            <w:pPr>
              <w:spacing w:line="500" w:lineRule="exact"/>
              <w:ind w:firstLine="566" w:firstLineChars="200"/>
              <w:rPr>
                <w:rFonts w:hint="eastAsia" w:ascii="仿宋" w:hAnsi="仿宋" w:eastAsia="仿宋" w:cs="Times New Roman"/>
              </w:rPr>
            </w:pPr>
          </w:p>
        </w:tc>
        <w:tc>
          <w:tcPr>
            <w:tcW w:w="1569" w:type="dxa"/>
            <w:vMerge w:val="continue"/>
            <w:vAlign w:val="center"/>
          </w:tcPr>
          <w:p w14:paraId="1EFC3B4F">
            <w:pPr>
              <w:spacing w:line="500" w:lineRule="exact"/>
              <w:ind w:firstLine="566" w:firstLineChars="200"/>
              <w:rPr>
                <w:rFonts w:hint="eastAsia" w:ascii="仿宋" w:hAnsi="仿宋" w:eastAsia="仿宋" w:cs="Times New Roman"/>
              </w:rPr>
            </w:pPr>
          </w:p>
        </w:tc>
        <w:tc>
          <w:tcPr>
            <w:tcW w:w="5158" w:type="dxa"/>
            <w:vAlign w:val="center"/>
          </w:tcPr>
          <w:p w14:paraId="636D6C2E">
            <w:pPr>
              <w:spacing w:line="500" w:lineRule="exact"/>
              <w:ind w:firstLine="566" w:firstLineChars="200"/>
              <w:rPr>
                <w:rFonts w:hint="eastAsia" w:ascii="仿宋" w:hAnsi="仿宋" w:eastAsia="仿宋" w:cs="Times New Roman"/>
              </w:rPr>
            </w:pPr>
            <w:r>
              <w:rPr>
                <w:rFonts w:hint="eastAsia" w:ascii="仿宋" w:hAnsi="仿宋" w:eastAsia="仿宋" w:cs="Times New Roman"/>
              </w:rPr>
              <w:t>b）应进行上线前的安全性测试，并出具安全测试报告，安全测试报告应包含密码应用安全性测试相关内容。</w:t>
            </w:r>
          </w:p>
        </w:tc>
      </w:tr>
      <w:tr w14:paraId="1EF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34EDE5">
            <w:pPr>
              <w:spacing w:line="500" w:lineRule="exact"/>
              <w:ind w:firstLine="566" w:firstLineChars="200"/>
              <w:rPr>
                <w:rFonts w:hint="eastAsia" w:ascii="仿宋" w:hAnsi="仿宋" w:eastAsia="仿宋" w:cs="Times New Roman"/>
              </w:rPr>
            </w:pPr>
          </w:p>
        </w:tc>
        <w:tc>
          <w:tcPr>
            <w:tcW w:w="1569" w:type="dxa"/>
            <w:vMerge w:val="restart"/>
            <w:vAlign w:val="center"/>
          </w:tcPr>
          <w:p w14:paraId="3543AA6F">
            <w:pPr>
              <w:spacing w:line="500" w:lineRule="exact"/>
              <w:ind w:firstLine="566" w:firstLineChars="200"/>
              <w:rPr>
                <w:rFonts w:hint="eastAsia" w:ascii="仿宋" w:hAnsi="仿宋" w:eastAsia="仿宋" w:cs="Times New Roman"/>
              </w:rPr>
            </w:pPr>
            <w:r>
              <w:rPr>
                <w:rFonts w:hint="eastAsia" w:ascii="仿宋" w:hAnsi="仿宋" w:eastAsia="仿宋" w:cs="Times New Roman"/>
              </w:rPr>
              <w:t>系统交付</w:t>
            </w:r>
          </w:p>
        </w:tc>
        <w:tc>
          <w:tcPr>
            <w:tcW w:w="5158" w:type="dxa"/>
            <w:vAlign w:val="center"/>
          </w:tcPr>
          <w:p w14:paraId="4A00EE64">
            <w:pPr>
              <w:spacing w:line="500" w:lineRule="exact"/>
              <w:ind w:firstLine="566" w:firstLineChars="200"/>
              <w:rPr>
                <w:rFonts w:hint="eastAsia" w:ascii="仿宋" w:hAnsi="仿宋" w:eastAsia="仿宋" w:cs="Times New Roman"/>
              </w:rPr>
            </w:pPr>
            <w:r>
              <w:rPr>
                <w:rFonts w:hint="eastAsia" w:ascii="仿宋" w:hAnsi="仿宋" w:eastAsia="仿宋" w:cs="Times New Roman"/>
              </w:rPr>
              <w:t>a）应制定交付清单，并根据交付清单对所交接的设备、软件和文档等进行清点；</w:t>
            </w:r>
          </w:p>
        </w:tc>
      </w:tr>
      <w:tr w14:paraId="450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1CF12A">
            <w:pPr>
              <w:spacing w:line="500" w:lineRule="exact"/>
              <w:ind w:firstLine="566" w:firstLineChars="200"/>
              <w:rPr>
                <w:rFonts w:hint="eastAsia" w:ascii="仿宋" w:hAnsi="仿宋" w:eastAsia="仿宋" w:cs="Times New Roman"/>
              </w:rPr>
            </w:pPr>
          </w:p>
        </w:tc>
        <w:tc>
          <w:tcPr>
            <w:tcW w:w="1569" w:type="dxa"/>
            <w:vMerge w:val="continue"/>
            <w:vAlign w:val="center"/>
          </w:tcPr>
          <w:p w14:paraId="7359EE8F">
            <w:pPr>
              <w:spacing w:line="500" w:lineRule="exact"/>
              <w:ind w:firstLine="566" w:firstLineChars="200"/>
              <w:rPr>
                <w:rFonts w:hint="eastAsia" w:ascii="仿宋" w:hAnsi="仿宋" w:eastAsia="仿宋" w:cs="Times New Roman"/>
              </w:rPr>
            </w:pPr>
          </w:p>
        </w:tc>
        <w:tc>
          <w:tcPr>
            <w:tcW w:w="5158" w:type="dxa"/>
            <w:vAlign w:val="center"/>
          </w:tcPr>
          <w:p w14:paraId="4E07404D">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b）应对负责运行维护的技术人员进行相应的技能培训；</w:t>
            </w:r>
          </w:p>
        </w:tc>
      </w:tr>
      <w:tr w14:paraId="7EA0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8A9377">
            <w:pPr>
              <w:spacing w:line="500" w:lineRule="exact"/>
              <w:ind w:firstLine="566" w:firstLineChars="200"/>
              <w:rPr>
                <w:rFonts w:hint="eastAsia" w:ascii="仿宋" w:hAnsi="仿宋" w:eastAsia="仿宋" w:cs="Times New Roman"/>
              </w:rPr>
            </w:pPr>
          </w:p>
        </w:tc>
        <w:tc>
          <w:tcPr>
            <w:tcW w:w="1569" w:type="dxa"/>
            <w:vMerge w:val="continue"/>
            <w:vAlign w:val="center"/>
          </w:tcPr>
          <w:p w14:paraId="52A87F7A">
            <w:pPr>
              <w:spacing w:line="500" w:lineRule="exact"/>
              <w:ind w:firstLine="566" w:firstLineChars="200"/>
              <w:rPr>
                <w:rFonts w:hint="eastAsia" w:ascii="仿宋" w:hAnsi="仿宋" w:eastAsia="仿宋" w:cs="Times New Roman"/>
              </w:rPr>
            </w:pPr>
          </w:p>
        </w:tc>
        <w:tc>
          <w:tcPr>
            <w:tcW w:w="5158" w:type="dxa"/>
            <w:vAlign w:val="center"/>
          </w:tcPr>
          <w:p w14:paraId="3D48D937">
            <w:pPr>
              <w:spacing w:line="500" w:lineRule="exact"/>
              <w:ind w:firstLine="566" w:firstLineChars="200"/>
              <w:rPr>
                <w:rFonts w:hint="eastAsia" w:ascii="仿宋" w:hAnsi="仿宋" w:eastAsia="仿宋" w:cs="Times New Roman"/>
              </w:rPr>
            </w:pPr>
            <w:r>
              <w:rPr>
                <w:rFonts w:hint="eastAsia" w:ascii="仿宋" w:hAnsi="仿宋" w:eastAsia="仿宋" w:cs="Times New Roman"/>
              </w:rPr>
              <w:t>c）应提供建设过程文档和运行维护文档。</w:t>
            </w:r>
          </w:p>
        </w:tc>
      </w:tr>
      <w:tr w14:paraId="05CA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77160E">
            <w:pPr>
              <w:spacing w:line="500" w:lineRule="exact"/>
              <w:ind w:firstLine="566" w:firstLineChars="200"/>
              <w:rPr>
                <w:rFonts w:hint="eastAsia" w:ascii="仿宋" w:hAnsi="仿宋" w:eastAsia="仿宋" w:cs="Times New Roman"/>
              </w:rPr>
            </w:pPr>
          </w:p>
        </w:tc>
        <w:tc>
          <w:tcPr>
            <w:tcW w:w="1569" w:type="dxa"/>
            <w:vMerge w:val="restart"/>
            <w:vAlign w:val="center"/>
          </w:tcPr>
          <w:p w14:paraId="0C4AB192">
            <w:pPr>
              <w:spacing w:line="500" w:lineRule="exact"/>
              <w:ind w:firstLine="566" w:firstLineChars="200"/>
              <w:rPr>
                <w:rFonts w:hint="eastAsia" w:ascii="仿宋" w:hAnsi="仿宋" w:eastAsia="仿宋" w:cs="Times New Roman"/>
              </w:rPr>
            </w:pPr>
            <w:r>
              <w:rPr>
                <w:rFonts w:hint="eastAsia" w:ascii="仿宋" w:hAnsi="仿宋" w:eastAsia="仿宋" w:cs="Times New Roman"/>
              </w:rPr>
              <w:t>等级测评</w:t>
            </w:r>
          </w:p>
        </w:tc>
        <w:tc>
          <w:tcPr>
            <w:tcW w:w="5158" w:type="dxa"/>
            <w:vAlign w:val="center"/>
          </w:tcPr>
          <w:p w14:paraId="07B8DB37">
            <w:pPr>
              <w:spacing w:line="500" w:lineRule="exact"/>
              <w:ind w:firstLine="566" w:firstLineChars="200"/>
              <w:rPr>
                <w:rFonts w:hint="eastAsia" w:ascii="仿宋" w:hAnsi="仿宋" w:eastAsia="仿宋" w:cs="Times New Roman"/>
              </w:rPr>
            </w:pPr>
            <w:r>
              <w:rPr>
                <w:rFonts w:hint="eastAsia" w:ascii="仿宋" w:hAnsi="仿宋" w:eastAsia="仿宋" w:cs="Times New Roman"/>
              </w:rPr>
              <w:t>a）应定期进行等级测评，发现不符合相应等级保护标准要求的及时整改；</w:t>
            </w:r>
          </w:p>
        </w:tc>
      </w:tr>
      <w:tr w14:paraId="7CE1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693B39">
            <w:pPr>
              <w:spacing w:line="500" w:lineRule="exact"/>
              <w:ind w:firstLine="566" w:firstLineChars="200"/>
              <w:rPr>
                <w:rFonts w:hint="eastAsia" w:ascii="仿宋" w:hAnsi="仿宋" w:eastAsia="仿宋" w:cs="Times New Roman"/>
              </w:rPr>
            </w:pPr>
          </w:p>
        </w:tc>
        <w:tc>
          <w:tcPr>
            <w:tcW w:w="1569" w:type="dxa"/>
            <w:vMerge w:val="continue"/>
            <w:vAlign w:val="center"/>
          </w:tcPr>
          <w:p w14:paraId="7715620B">
            <w:pPr>
              <w:spacing w:line="500" w:lineRule="exact"/>
              <w:ind w:firstLine="566" w:firstLineChars="200"/>
              <w:rPr>
                <w:rFonts w:hint="eastAsia" w:ascii="仿宋" w:hAnsi="仿宋" w:eastAsia="仿宋" w:cs="Times New Roman"/>
              </w:rPr>
            </w:pPr>
          </w:p>
        </w:tc>
        <w:tc>
          <w:tcPr>
            <w:tcW w:w="5158" w:type="dxa"/>
            <w:vAlign w:val="center"/>
          </w:tcPr>
          <w:p w14:paraId="47AEED78">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b）应在发生重大变更或级别发生变化时进行等级测评；</w:t>
            </w:r>
          </w:p>
        </w:tc>
      </w:tr>
      <w:tr w14:paraId="0E81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DA8164">
            <w:pPr>
              <w:spacing w:line="500" w:lineRule="exact"/>
              <w:ind w:firstLine="566" w:firstLineChars="200"/>
              <w:rPr>
                <w:rFonts w:hint="eastAsia" w:ascii="仿宋" w:hAnsi="仿宋" w:eastAsia="仿宋" w:cs="Times New Roman"/>
              </w:rPr>
            </w:pPr>
          </w:p>
        </w:tc>
        <w:tc>
          <w:tcPr>
            <w:tcW w:w="1569" w:type="dxa"/>
            <w:vMerge w:val="continue"/>
            <w:vAlign w:val="center"/>
          </w:tcPr>
          <w:p w14:paraId="0C0F8B26">
            <w:pPr>
              <w:spacing w:line="500" w:lineRule="exact"/>
              <w:ind w:firstLine="566" w:firstLineChars="200"/>
              <w:rPr>
                <w:rFonts w:hint="eastAsia" w:ascii="仿宋" w:hAnsi="仿宋" w:eastAsia="仿宋" w:cs="Times New Roman"/>
              </w:rPr>
            </w:pPr>
          </w:p>
        </w:tc>
        <w:tc>
          <w:tcPr>
            <w:tcW w:w="5158" w:type="dxa"/>
            <w:vAlign w:val="center"/>
          </w:tcPr>
          <w:p w14:paraId="37FE898F">
            <w:pPr>
              <w:spacing w:line="500" w:lineRule="exact"/>
              <w:ind w:firstLine="566" w:firstLineChars="200"/>
              <w:rPr>
                <w:rFonts w:hint="eastAsia" w:ascii="仿宋" w:hAnsi="仿宋" w:eastAsia="仿宋" w:cs="Times New Roman"/>
              </w:rPr>
            </w:pPr>
            <w:r>
              <w:rPr>
                <w:rFonts w:hint="eastAsia" w:ascii="仿宋" w:hAnsi="仿宋" w:eastAsia="仿宋" w:cs="Times New Roman"/>
              </w:rPr>
              <w:t>c）应确保测评机构的选择符合国家有关规定。</w:t>
            </w:r>
          </w:p>
        </w:tc>
      </w:tr>
      <w:tr w14:paraId="5F0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D29484">
            <w:pPr>
              <w:spacing w:line="500" w:lineRule="exact"/>
              <w:ind w:firstLine="566" w:firstLineChars="200"/>
              <w:rPr>
                <w:rFonts w:hint="eastAsia" w:ascii="仿宋" w:hAnsi="仿宋" w:eastAsia="仿宋" w:cs="Times New Roman"/>
              </w:rPr>
            </w:pPr>
          </w:p>
        </w:tc>
        <w:tc>
          <w:tcPr>
            <w:tcW w:w="1569" w:type="dxa"/>
            <w:vMerge w:val="restart"/>
            <w:vAlign w:val="center"/>
          </w:tcPr>
          <w:p w14:paraId="4C06A553">
            <w:pPr>
              <w:spacing w:line="500" w:lineRule="exact"/>
              <w:ind w:firstLine="566" w:firstLineChars="200"/>
              <w:rPr>
                <w:rFonts w:hint="eastAsia" w:ascii="仿宋" w:hAnsi="仿宋" w:eastAsia="仿宋" w:cs="Times New Roman"/>
              </w:rPr>
            </w:pPr>
            <w:r>
              <w:rPr>
                <w:rFonts w:hint="eastAsia" w:ascii="仿宋" w:hAnsi="仿宋" w:eastAsia="仿宋" w:cs="Times New Roman"/>
              </w:rPr>
              <w:t>服务供应商选择</w:t>
            </w:r>
          </w:p>
        </w:tc>
        <w:tc>
          <w:tcPr>
            <w:tcW w:w="5158" w:type="dxa"/>
            <w:vAlign w:val="center"/>
          </w:tcPr>
          <w:p w14:paraId="56671057">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a）应确保服务供应商的选择符合国家的有关规定；</w:t>
            </w:r>
          </w:p>
        </w:tc>
      </w:tr>
      <w:tr w14:paraId="33F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86A78">
            <w:pPr>
              <w:spacing w:line="500" w:lineRule="exact"/>
              <w:ind w:firstLine="566" w:firstLineChars="200"/>
              <w:rPr>
                <w:rFonts w:hint="eastAsia" w:ascii="仿宋" w:hAnsi="仿宋" w:eastAsia="仿宋" w:cs="Times New Roman"/>
              </w:rPr>
            </w:pPr>
          </w:p>
        </w:tc>
        <w:tc>
          <w:tcPr>
            <w:tcW w:w="1569" w:type="dxa"/>
            <w:vMerge w:val="continue"/>
            <w:vAlign w:val="center"/>
          </w:tcPr>
          <w:p w14:paraId="58E02C55">
            <w:pPr>
              <w:spacing w:line="500" w:lineRule="exact"/>
              <w:ind w:firstLine="566" w:firstLineChars="200"/>
              <w:rPr>
                <w:rFonts w:hint="eastAsia" w:ascii="仿宋" w:hAnsi="仿宋" w:eastAsia="仿宋" w:cs="Times New Roman"/>
              </w:rPr>
            </w:pPr>
          </w:p>
        </w:tc>
        <w:tc>
          <w:tcPr>
            <w:tcW w:w="5158" w:type="dxa"/>
            <w:vAlign w:val="center"/>
          </w:tcPr>
          <w:p w14:paraId="5C2A2861">
            <w:pPr>
              <w:spacing w:line="500" w:lineRule="exact"/>
              <w:ind w:firstLine="566" w:firstLineChars="200"/>
              <w:rPr>
                <w:rFonts w:hint="eastAsia" w:ascii="仿宋" w:hAnsi="仿宋" w:eastAsia="仿宋" w:cs="Times New Roman"/>
              </w:rPr>
            </w:pPr>
            <w:r>
              <w:rPr>
                <w:rFonts w:hint="eastAsia" w:ascii="仿宋" w:hAnsi="仿宋" w:eastAsia="仿宋" w:cs="Times New Roman"/>
              </w:rPr>
              <w:t>b）应与选定的服务供应商签订相关协议，明确整个服务供应链各方需履行的网络安全相关义务；</w:t>
            </w:r>
          </w:p>
        </w:tc>
      </w:tr>
      <w:tr w14:paraId="68CE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9D90785">
            <w:pPr>
              <w:spacing w:line="500" w:lineRule="exact"/>
              <w:ind w:firstLine="566" w:firstLineChars="200"/>
              <w:rPr>
                <w:rFonts w:hint="eastAsia" w:ascii="仿宋" w:hAnsi="仿宋" w:eastAsia="仿宋" w:cs="Times New Roman"/>
              </w:rPr>
            </w:pPr>
          </w:p>
        </w:tc>
        <w:tc>
          <w:tcPr>
            <w:tcW w:w="1569" w:type="dxa"/>
            <w:vMerge w:val="continue"/>
            <w:vAlign w:val="center"/>
          </w:tcPr>
          <w:p w14:paraId="34DB8DAD">
            <w:pPr>
              <w:spacing w:line="500" w:lineRule="exact"/>
              <w:ind w:firstLine="566" w:firstLineChars="200"/>
              <w:rPr>
                <w:rFonts w:hint="eastAsia" w:ascii="仿宋" w:hAnsi="仿宋" w:eastAsia="仿宋" w:cs="Times New Roman"/>
              </w:rPr>
            </w:pPr>
          </w:p>
        </w:tc>
        <w:tc>
          <w:tcPr>
            <w:tcW w:w="5158" w:type="dxa"/>
            <w:vAlign w:val="center"/>
          </w:tcPr>
          <w:p w14:paraId="748DD69F">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c）应定期监督、评审和审核服务供应商提供的服务，并对其变更服务内容加以控制。</w:t>
            </w:r>
          </w:p>
        </w:tc>
      </w:tr>
    </w:tbl>
    <w:p w14:paraId="40F832E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安全运维管理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5"/>
        <w:gridCol w:w="5777"/>
      </w:tblGrid>
      <w:tr w14:paraId="3B30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shd w:val="clear" w:color="auto" w:fill="A6A6A6"/>
            <w:vAlign w:val="center"/>
          </w:tcPr>
          <w:p w14:paraId="1D25CAA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610" w:type="dxa"/>
            <w:shd w:val="clear" w:color="auto" w:fill="A6A6A6"/>
            <w:vAlign w:val="center"/>
          </w:tcPr>
          <w:p w14:paraId="58FD1A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303" w:type="dxa"/>
            <w:shd w:val="clear" w:color="auto" w:fill="A6A6A6"/>
            <w:vAlign w:val="center"/>
          </w:tcPr>
          <w:p w14:paraId="6C04A156">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336B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restart"/>
            <w:vAlign w:val="center"/>
          </w:tcPr>
          <w:p w14:paraId="6ACEB8B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1610" w:type="dxa"/>
            <w:vMerge w:val="restart"/>
            <w:vAlign w:val="center"/>
          </w:tcPr>
          <w:p w14:paraId="1979DBC7">
            <w:pPr>
              <w:spacing w:line="500" w:lineRule="exact"/>
              <w:ind w:firstLine="566" w:firstLineChars="200"/>
              <w:rPr>
                <w:rFonts w:hint="eastAsia" w:ascii="仿宋" w:hAnsi="仿宋" w:eastAsia="仿宋" w:cs="Times New Roman"/>
              </w:rPr>
            </w:pPr>
            <w:r>
              <w:rPr>
                <w:rFonts w:hint="eastAsia" w:ascii="仿宋" w:hAnsi="仿宋" w:eastAsia="仿宋" w:cs="Times New Roman"/>
              </w:rPr>
              <w:t>环境</w:t>
            </w:r>
          </w:p>
          <w:p w14:paraId="2CA13D98">
            <w:pPr>
              <w:spacing w:line="500" w:lineRule="exact"/>
              <w:ind w:firstLine="566" w:firstLineChars="200"/>
              <w:rPr>
                <w:rFonts w:hint="eastAsia" w:ascii="仿宋" w:hAnsi="仿宋" w:eastAsia="仿宋" w:cs="Times New Roman"/>
              </w:rPr>
            </w:pPr>
            <w:r>
              <w:rPr>
                <w:rFonts w:hint="eastAsia" w:ascii="仿宋" w:hAnsi="仿宋" w:eastAsia="仿宋" w:cs="Times New Roman"/>
              </w:rPr>
              <w:t>管理</w:t>
            </w:r>
          </w:p>
        </w:tc>
        <w:tc>
          <w:tcPr>
            <w:tcW w:w="5303" w:type="dxa"/>
            <w:vAlign w:val="center"/>
          </w:tcPr>
          <w:p w14:paraId="1148862A">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a）应指定专门的部门或人员负责机房安全，对机房出入进行管理，定期对机房供配电、空调、温湿度控制、消防等设施进行维护管理；</w:t>
            </w:r>
          </w:p>
        </w:tc>
      </w:tr>
      <w:tr w14:paraId="1D4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B33FA2">
            <w:pPr>
              <w:spacing w:line="500" w:lineRule="exact"/>
              <w:ind w:firstLine="566" w:firstLineChars="200"/>
              <w:rPr>
                <w:rFonts w:hint="eastAsia" w:ascii="仿宋" w:hAnsi="仿宋" w:eastAsia="仿宋" w:cs="Times New Roman"/>
              </w:rPr>
            </w:pPr>
          </w:p>
        </w:tc>
        <w:tc>
          <w:tcPr>
            <w:tcW w:w="1610" w:type="dxa"/>
            <w:vMerge w:val="continue"/>
            <w:vAlign w:val="center"/>
          </w:tcPr>
          <w:p w14:paraId="7392090C">
            <w:pPr>
              <w:spacing w:line="500" w:lineRule="exact"/>
              <w:ind w:firstLine="566" w:firstLineChars="200"/>
              <w:rPr>
                <w:rFonts w:hint="eastAsia" w:ascii="仿宋" w:hAnsi="仿宋" w:eastAsia="仿宋" w:cs="Times New Roman"/>
              </w:rPr>
            </w:pPr>
          </w:p>
        </w:tc>
        <w:tc>
          <w:tcPr>
            <w:tcW w:w="5303" w:type="dxa"/>
            <w:vAlign w:val="center"/>
          </w:tcPr>
          <w:p w14:paraId="52E5208E">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b）应建立机房安全管理制度，对有关物理访问、物品带进出和环境安全等方面的管理作出规定；</w:t>
            </w:r>
          </w:p>
        </w:tc>
      </w:tr>
      <w:tr w14:paraId="5FA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464587C">
            <w:pPr>
              <w:spacing w:line="500" w:lineRule="exact"/>
              <w:ind w:firstLine="566" w:firstLineChars="200"/>
              <w:rPr>
                <w:rFonts w:hint="eastAsia" w:ascii="仿宋" w:hAnsi="仿宋" w:eastAsia="仿宋" w:cs="Times New Roman"/>
              </w:rPr>
            </w:pPr>
          </w:p>
        </w:tc>
        <w:tc>
          <w:tcPr>
            <w:tcW w:w="1610" w:type="dxa"/>
            <w:vMerge w:val="continue"/>
            <w:vAlign w:val="center"/>
          </w:tcPr>
          <w:p w14:paraId="0EACF56C">
            <w:pPr>
              <w:spacing w:line="500" w:lineRule="exact"/>
              <w:ind w:firstLine="566" w:firstLineChars="200"/>
              <w:rPr>
                <w:rFonts w:hint="eastAsia" w:ascii="仿宋" w:hAnsi="仿宋" w:eastAsia="仿宋" w:cs="Times New Roman"/>
              </w:rPr>
            </w:pPr>
          </w:p>
        </w:tc>
        <w:tc>
          <w:tcPr>
            <w:tcW w:w="5303" w:type="dxa"/>
            <w:vAlign w:val="center"/>
          </w:tcPr>
          <w:p w14:paraId="1A68A1DD">
            <w:pPr>
              <w:spacing w:line="500" w:lineRule="exact"/>
              <w:ind w:firstLine="566" w:firstLineChars="200"/>
              <w:rPr>
                <w:rFonts w:hint="eastAsia" w:ascii="仿宋" w:hAnsi="仿宋" w:eastAsia="仿宋" w:cs="Times New Roman"/>
              </w:rPr>
            </w:pPr>
            <w:r>
              <w:rPr>
                <w:rFonts w:hint="eastAsia" w:ascii="仿宋" w:hAnsi="仿宋" w:eastAsia="仿宋" w:cs="Times New Roman"/>
              </w:rPr>
              <w:t>c）应不在重要区域接待来访人员，不随意放置含有敏感信息的纸档文件和移动介质等。</w:t>
            </w:r>
          </w:p>
        </w:tc>
      </w:tr>
      <w:tr w14:paraId="4961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75C81B2">
            <w:pPr>
              <w:spacing w:line="500" w:lineRule="exact"/>
              <w:ind w:firstLine="566" w:firstLineChars="200"/>
              <w:rPr>
                <w:rFonts w:hint="eastAsia" w:ascii="仿宋" w:hAnsi="仿宋" w:eastAsia="仿宋" w:cs="Times New Roman"/>
              </w:rPr>
            </w:pPr>
          </w:p>
        </w:tc>
        <w:tc>
          <w:tcPr>
            <w:tcW w:w="1610" w:type="dxa"/>
            <w:vMerge w:val="restart"/>
            <w:vAlign w:val="center"/>
          </w:tcPr>
          <w:p w14:paraId="76FA9538">
            <w:pPr>
              <w:spacing w:line="500" w:lineRule="exact"/>
              <w:ind w:firstLine="566" w:firstLineChars="200"/>
              <w:rPr>
                <w:rFonts w:hint="eastAsia" w:ascii="仿宋" w:hAnsi="仿宋" w:eastAsia="仿宋" w:cs="Times New Roman"/>
              </w:rPr>
            </w:pPr>
            <w:r>
              <w:rPr>
                <w:rFonts w:hint="eastAsia" w:ascii="仿宋" w:hAnsi="仿宋" w:eastAsia="仿宋" w:cs="Times New Roman"/>
              </w:rPr>
              <w:t>资产管理</w:t>
            </w:r>
          </w:p>
        </w:tc>
        <w:tc>
          <w:tcPr>
            <w:tcW w:w="5303" w:type="dxa"/>
            <w:vAlign w:val="center"/>
          </w:tcPr>
          <w:p w14:paraId="5BB76C97">
            <w:pPr>
              <w:spacing w:line="500" w:lineRule="exact"/>
              <w:ind w:firstLine="566" w:firstLineChars="200"/>
              <w:rPr>
                <w:rFonts w:hint="eastAsia" w:ascii="仿宋" w:hAnsi="仿宋" w:eastAsia="仿宋" w:cs="Times New Roman"/>
              </w:rPr>
            </w:pPr>
            <w:r>
              <w:rPr>
                <w:rFonts w:hint="eastAsia" w:ascii="仿宋" w:hAnsi="仿宋" w:eastAsia="仿宋" w:cs="Times New Roman"/>
              </w:rPr>
              <w:t>a）应编制并保存与保护对象相关的资产清单，包括资产责任部门、重要程度和所处位置等内容；</w:t>
            </w:r>
          </w:p>
        </w:tc>
      </w:tr>
      <w:tr w14:paraId="0B5B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C283B0">
            <w:pPr>
              <w:spacing w:line="500" w:lineRule="exact"/>
              <w:ind w:firstLine="566" w:firstLineChars="200"/>
              <w:rPr>
                <w:rFonts w:hint="eastAsia" w:ascii="仿宋" w:hAnsi="仿宋" w:eastAsia="仿宋" w:cs="Times New Roman"/>
              </w:rPr>
            </w:pPr>
          </w:p>
        </w:tc>
        <w:tc>
          <w:tcPr>
            <w:tcW w:w="1610" w:type="dxa"/>
            <w:vMerge w:val="continue"/>
            <w:vAlign w:val="center"/>
          </w:tcPr>
          <w:p w14:paraId="220D92BE">
            <w:pPr>
              <w:spacing w:line="500" w:lineRule="exact"/>
              <w:ind w:firstLine="566" w:firstLineChars="200"/>
              <w:rPr>
                <w:rFonts w:hint="eastAsia" w:ascii="仿宋" w:hAnsi="仿宋" w:eastAsia="仿宋" w:cs="Times New Roman"/>
              </w:rPr>
            </w:pPr>
          </w:p>
        </w:tc>
        <w:tc>
          <w:tcPr>
            <w:tcW w:w="5303" w:type="dxa"/>
            <w:vAlign w:val="center"/>
          </w:tcPr>
          <w:p w14:paraId="42288C7C">
            <w:pPr>
              <w:spacing w:line="500" w:lineRule="exact"/>
              <w:ind w:firstLine="566" w:firstLineChars="200"/>
              <w:rPr>
                <w:rFonts w:hint="eastAsia" w:ascii="仿宋" w:hAnsi="仿宋" w:eastAsia="仿宋" w:cs="Times New Roman"/>
              </w:rPr>
            </w:pPr>
            <w:r>
              <w:rPr>
                <w:rFonts w:hint="eastAsia" w:ascii="仿宋" w:hAnsi="仿宋" w:eastAsia="仿宋" w:cs="Times New Roman"/>
              </w:rPr>
              <w:t>b）应根据资产的重要程度对资产进行标识管理，根据资产的价值选择相应的管理措施；</w:t>
            </w:r>
          </w:p>
        </w:tc>
      </w:tr>
      <w:tr w14:paraId="374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97D8CAB">
            <w:pPr>
              <w:spacing w:line="500" w:lineRule="exact"/>
              <w:ind w:firstLine="566" w:firstLineChars="200"/>
              <w:rPr>
                <w:rFonts w:hint="eastAsia" w:ascii="仿宋" w:hAnsi="仿宋" w:eastAsia="仿宋" w:cs="Times New Roman"/>
              </w:rPr>
            </w:pPr>
          </w:p>
        </w:tc>
        <w:tc>
          <w:tcPr>
            <w:tcW w:w="1610" w:type="dxa"/>
            <w:vMerge w:val="continue"/>
            <w:vAlign w:val="center"/>
          </w:tcPr>
          <w:p w14:paraId="5B3239B8">
            <w:pPr>
              <w:spacing w:line="500" w:lineRule="exact"/>
              <w:ind w:firstLine="566" w:firstLineChars="200"/>
              <w:rPr>
                <w:rFonts w:hint="eastAsia" w:ascii="仿宋" w:hAnsi="仿宋" w:eastAsia="仿宋" w:cs="Times New Roman"/>
              </w:rPr>
            </w:pPr>
          </w:p>
        </w:tc>
        <w:tc>
          <w:tcPr>
            <w:tcW w:w="5303" w:type="dxa"/>
            <w:vAlign w:val="center"/>
          </w:tcPr>
          <w:p w14:paraId="3D8E2B32">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c）应对信息分类与标识方法作出规定，并对信息的使用、传输和存储等进行规范化管理。</w:t>
            </w:r>
          </w:p>
        </w:tc>
      </w:tr>
      <w:tr w14:paraId="09B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686C092">
            <w:pPr>
              <w:spacing w:line="500" w:lineRule="exact"/>
              <w:ind w:firstLine="566" w:firstLineChars="200"/>
              <w:rPr>
                <w:rFonts w:hint="eastAsia" w:ascii="仿宋" w:hAnsi="仿宋" w:eastAsia="仿宋" w:cs="Times New Roman"/>
              </w:rPr>
            </w:pPr>
          </w:p>
        </w:tc>
        <w:tc>
          <w:tcPr>
            <w:tcW w:w="1610" w:type="dxa"/>
            <w:vMerge w:val="restart"/>
            <w:vAlign w:val="center"/>
          </w:tcPr>
          <w:p w14:paraId="00E434AD">
            <w:pPr>
              <w:spacing w:line="500" w:lineRule="exact"/>
              <w:ind w:firstLine="566" w:firstLineChars="200"/>
              <w:rPr>
                <w:rFonts w:hint="eastAsia" w:ascii="仿宋" w:hAnsi="仿宋" w:eastAsia="仿宋" w:cs="Times New Roman"/>
              </w:rPr>
            </w:pPr>
            <w:r>
              <w:rPr>
                <w:rFonts w:hint="eastAsia" w:ascii="仿宋" w:hAnsi="仿宋" w:eastAsia="仿宋" w:cs="Times New Roman"/>
              </w:rPr>
              <w:t>介质管理</w:t>
            </w:r>
          </w:p>
        </w:tc>
        <w:tc>
          <w:tcPr>
            <w:tcW w:w="5303" w:type="dxa"/>
            <w:vAlign w:val="center"/>
          </w:tcPr>
          <w:p w14:paraId="2A11E1F9">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a）应将介质存放在安全的环境中，对各类介质进行控制和保护，实行存储环境专人管理，并根据存档介质的目录清单定期盘点；</w:t>
            </w:r>
          </w:p>
        </w:tc>
      </w:tr>
      <w:tr w14:paraId="79BF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1DE9244">
            <w:pPr>
              <w:spacing w:line="500" w:lineRule="exact"/>
              <w:ind w:firstLine="566" w:firstLineChars="200"/>
              <w:rPr>
                <w:rFonts w:hint="eastAsia" w:ascii="仿宋" w:hAnsi="仿宋" w:eastAsia="仿宋" w:cs="Times New Roman"/>
              </w:rPr>
            </w:pPr>
          </w:p>
        </w:tc>
        <w:tc>
          <w:tcPr>
            <w:tcW w:w="1610" w:type="dxa"/>
            <w:vMerge w:val="continue"/>
            <w:vAlign w:val="center"/>
          </w:tcPr>
          <w:p w14:paraId="175122FF">
            <w:pPr>
              <w:spacing w:line="500" w:lineRule="exact"/>
              <w:ind w:firstLine="566" w:firstLineChars="200"/>
              <w:rPr>
                <w:rFonts w:hint="eastAsia" w:ascii="仿宋" w:hAnsi="仿宋" w:eastAsia="仿宋" w:cs="Times New Roman"/>
              </w:rPr>
            </w:pPr>
          </w:p>
        </w:tc>
        <w:tc>
          <w:tcPr>
            <w:tcW w:w="5303" w:type="dxa"/>
            <w:vAlign w:val="center"/>
          </w:tcPr>
          <w:p w14:paraId="1C314EBA">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b）应对介质在物理传输过程中的人员选择、打包、交付等情况进行控制，并对介质的归档和查询等进行登记记录。</w:t>
            </w:r>
          </w:p>
        </w:tc>
      </w:tr>
      <w:tr w14:paraId="40C9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BBF2ADE">
            <w:pPr>
              <w:spacing w:line="500" w:lineRule="exact"/>
              <w:ind w:firstLine="566" w:firstLineChars="200"/>
              <w:rPr>
                <w:rFonts w:hint="eastAsia" w:ascii="仿宋" w:hAnsi="仿宋" w:eastAsia="仿宋" w:cs="Times New Roman"/>
              </w:rPr>
            </w:pPr>
          </w:p>
        </w:tc>
        <w:tc>
          <w:tcPr>
            <w:tcW w:w="1610" w:type="dxa"/>
            <w:vMerge w:val="restart"/>
            <w:vAlign w:val="center"/>
          </w:tcPr>
          <w:p w14:paraId="3667C624">
            <w:pPr>
              <w:spacing w:line="500" w:lineRule="exact"/>
              <w:ind w:firstLine="566" w:firstLineChars="200"/>
              <w:rPr>
                <w:rFonts w:hint="eastAsia" w:ascii="仿宋" w:hAnsi="仿宋" w:eastAsia="仿宋" w:cs="Times New Roman"/>
              </w:rPr>
            </w:pPr>
            <w:r>
              <w:rPr>
                <w:rFonts w:hint="eastAsia" w:ascii="仿宋" w:hAnsi="仿宋" w:eastAsia="仿宋" w:cs="Times New Roman"/>
              </w:rPr>
              <w:t>设备维护管理</w:t>
            </w:r>
          </w:p>
        </w:tc>
        <w:tc>
          <w:tcPr>
            <w:tcW w:w="5303" w:type="dxa"/>
            <w:vAlign w:val="center"/>
          </w:tcPr>
          <w:p w14:paraId="029BE6D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a）应对各种设备（包括备份和冗余设备）、线路等指定专门的部门或人员定期进行维护管理；</w:t>
            </w:r>
          </w:p>
        </w:tc>
      </w:tr>
      <w:tr w14:paraId="55BA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F4F3AB4">
            <w:pPr>
              <w:spacing w:line="500" w:lineRule="exact"/>
              <w:ind w:firstLine="566" w:firstLineChars="200"/>
              <w:rPr>
                <w:rFonts w:hint="eastAsia" w:ascii="仿宋" w:hAnsi="仿宋" w:eastAsia="仿宋" w:cs="Times New Roman"/>
              </w:rPr>
            </w:pPr>
          </w:p>
        </w:tc>
        <w:tc>
          <w:tcPr>
            <w:tcW w:w="1610" w:type="dxa"/>
            <w:vMerge w:val="continue"/>
            <w:vAlign w:val="center"/>
          </w:tcPr>
          <w:p w14:paraId="16201388">
            <w:pPr>
              <w:spacing w:line="500" w:lineRule="exact"/>
              <w:ind w:firstLine="566" w:firstLineChars="200"/>
              <w:rPr>
                <w:rFonts w:hint="eastAsia" w:ascii="仿宋" w:hAnsi="仿宋" w:eastAsia="仿宋" w:cs="Times New Roman"/>
              </w:rPr>
            </w:pPr>
          </w:p>
        </w:tc>
        <w:tc>
          <w:tcPr>
            <w:tcW w:w="5303" w:type="dxa"/>
            <w:vAlign w:val="center"/>
          </w:tcPr>
          <w:p w14:paraId="24233F76">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b）应建立配套设施、软硬件维护方面的管理制度，对其维护进行有效的管理，包括明确维护人员的责任、维修和服务的审批、维修过程的监督控制等；</w:t>
            </w:r>
          </w:p>
        </w:tc>
      </w:tr>
      <w:tr w14:paraId="3F7E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703C12F">
            <w:pPr>
              <w:spacing w:line="500" w:lineRule="exact"/>
              <w:ind w:firstLine="566" w:firstLineChars="200"/>
              <w:rPr>
                <w:rFonts w:hint="eastAsia" w:ascii="仿宋" w:hAnsi="仿宋" w:eastAsia="仿宋" w:cs="Times New Roman"/>
              </w:rPr>
            </w:pPr>
          </w:p>
        </w:tc>
        <w:tc>
          <w:tcPr>
            <w:tcW w:w="1610" w:type="dxa"/>
            <w:vMerge w:val="continue"/>
            <w:vAlign w:val="center"/>
          </w:tcPr>
          <w:p w14:paraId="383450BA">
            <w:pPr>
              <w:spacing w:line="500" w:lineRule="exact"/>
              <w:ind w:firstLine="566" w:firstLineChars="200"/>
              <w:rPr>
                <w:rFonts w:hint="eastAsia" w:ascii="仿宋" w:hAnsi="仿宋" w:eastAsia="仿宋" w:cs="Times New Roman"/>
              </w:rPr>
            </w:pPr>
          </w:p>
        </w:tc>
        <w:tc>
          <w:tcPr>
            <w:tcW w:w="5303" w:type="dxa"/>
            <w:vAlign w:val="center"/>
          </w:tcPr>
          <w:p w14:paraId="24336C78">
            <w:pPr>
              <w:spacing w:line="500" w:lineRule="exact"/>
              <w:ind w:firstLine="566" w:firstLineChars="200"/>
              <w:rPr>
                <w:rFonts w:hint="eastAsia" w:ascii="仿宋" w:hAnsi="仿宋" w:eastAsia="仿宋" w:cs="Times New Roman"/>
              </w:rPr>
            </w:pPr>
            <w:r>
              <w:rPr>
                <w:rFonts w:hint="eastAsia" w:ascii="仿宋" w:hAnsi="仿宋" w:eastAsia="仿宋" w:cs="Times New Roman"/>
              </w:rPr>
              <w:t>c）信息处理设备应经过审批才能带离机房或办公地点，含有存储介质的设备带出工作环境时其中重要数据应加密；</w:t>
            </w:r>
          </w:p>
        </w:tc>
      </w:tr>
      <w:tr w14:paraId="6FB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3D5338D">
            <w:pPr>
              <w:spacing w:line="500" w:lineRule="exact"/>
              <w:ind w:firstLine="566" w:firstLineChars="200"/>
              <w:rPr>
                <w:rFonts w:hint="eastAsia" w:ascii="仿宋" w:hAnsi="仿宋" w:eastAsia="仿宋" w:cs="Times New Roman"/>
              </w:rPr>
            </w:pPr>
          </w:p>
        </w:tc>
        <w:tc>
          <w:tcPr>
            <w:tcW w:w="1610" w:type="dxa"/>
            <w:vMerge w:val="continue"/>
            <w:vAlign w:val="center"/>
          </w:tcPr>
          <w:p w14:paraId="1EF5CF12">
            <w:pPr>
              <w:spacing w:line="500" w:lineRule="exact"/>
              <w:ind w:firstLine="566" w:firstLineChars="200"/>
              <w:rPr>
                <w:rFonts w:hint="eastAsia" w:ascii="仿宋" w:hAnsi="仿宋" w:eastAsia="仿宋" w:cs="Times New Roman"/>
              </w:rPr>
            </w:pPr>
          </w:p>
        </w:tc>
        <w:tc>
          <w:tcPr>
            <w:tcW w:w="5303" w:type="dxa"/>
            <w:vAlign w:val="center"/>
          </w:tcPr>
          <w:p w14:paraId="5AFEFF9F">
            <w:pPr>
              <w:spacing w:line="500" w:lineRule="exact"/>
              <w:ind w:firstLine="566" w:firstLineChars="200"/>
              <w:rPr>
                <w:rFonts w:hint="eastAsia" w:ascii="仿宋" w:hAnsi="仿宋" w:eastAsia="仿宋" w:cs="Times New Roman"/>
              </w:rPr>
            </w:pPr>
            <w:r>
              <w:rPr>
                <w:rFonts w:hint="eastAsia" w:ascii="仿宋" w:hAnsi="仿宋" w:eastAsia="仿宋" w:cs="Times New Roman"/>
              </w:rPr>
              <w:t>d）含有存储介质的设备在报废或重用前，应进行完全清除或被安全覆盖，保证该设备上的敏感数据和授权软件无法被恢复重用。</w:t>
            </w:r>
          </w:p>
        </w:tc>
      </w:tr>
      <w:tr w14:paraId="3C1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F0E41EE">
            <w:pPr>
              <w:spacing w:line="500" w:lineRule="exact"/>
              <w:ind w:firstLine="566" w:firstLineChars="200"/>
              <w:rPr>
                <w:rFonts w:hint="eastAsia" w:ascii="仿宋" w:hAnsi="仿宋" w:eastAsia="仿宋" w:cs="Times New Roman"/>
              </w:rPr>
            </w:pPr>
          </w:p>
        </w:tc>
        <w:tc>
          <w:tcPr>
            <w:tcW w:w="1610" w:type="dxa"/>
            <w:vMerge w:val="restart"/>
            <w:vAlign w:val="center"/>
          </w:tcPr>
          <w:p w14:paraId="669A9E5A">
            <w:pPr>
              <w:spacing w:line="500" w:lineRule="exact"/>
              <w:ind w:firstLine="566" w:firstLineChars="200"/>
              <w:rPr>
                <w:rFonts w:hint="eastAsia" w:ascii="仿宋" w:hAnsi="仿宋" w:eastAsia="仿宋" w:cs="Times New Roman"/>
              </w:rPr>
            </w:pPr>
            <w:r>
              <w:rPr>
                <w:rFonts w:hint="eastAsia" w:ascii="仿宋" w:hAnsi="仿宋" w:eastAsia="仿宋" w:cs="Times New Roman"/>
              </w:rPr>
              <w:t>漏洞和风险管理</w:t>
            </w:r>
          </w:p>
        </w:tc>
        <w:tc>
          <w:tcPr>
            <w:tcW w:w="5303" w:type="dxa"/>
            <w:vAlign w:val="center"/>
          </w:tcPr>
          <w:p w14:paraId="38237957">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a）应采取必要的措施识别安全漏洞和隐患，对发现的安全漏洞和隐患及时进行修补或评估可能的影响后进行修补；</w:t>
            </w:r>
          </w:p>
        </w:tc>
      </w:tr>
      <w:tr w14:paraId="2DCE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D1B503B">
            <w:pPr>
              <w:spacing w:line="500" w:lineRule="exact"/>
              <w:ind w:firstLine="566" w:firstLineChars="200"/>
              <w:rPr>
                <w:rFonts w:hint="eastAsia" w:ascii="仿宋" w:hAnsi="仿宋" w:eastAsia="仿宋" w:cs="Times New Roman"/>
              </w:rPr>
            </w:pPr>
          </w:p>
        </w:tc>
        <w:tc>
          <w:tcPr>
            <w:tcW w:w="1610" w:type="dxa"/>
            <w:vMerge w:val="continue"/>
            <w:vAlign w:val="center"/>
          </w:tcPr>
          <w:p w14:paraId="4986B58A">
            <w:pPr>
              <w:spacing w:line="500" w:lineRule="exact"/>
              <w:ind w:firstLine="566" w:firstLineChars="200"/>
              <w:rPr>
                <w:rFonts w:hint="eastAsia" w:ascii="仿宋" w:hAnsi="仿宋" w:eastAsia="仿宋" w:cs="Times New Roman"/>
              </w:rPr>
            </w:pPr>
          </w:p>
        </w:tc>
        <w:tc>
          <w:tcPr>
            <w:tcW w:w="5303" w:type="dxa"/>
            <w:vAlign w:val="center"/>
          </w:tcPr>
          <w:p w14:paraId="7C426961">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b）应定期开展安全测评，形成安全测评报告，采取措施应对发现的安全问题。</w:t>
            </w:r>
          </w:p>
        </w:tc>
      </w:tr>
      <w:tr w14:paraId="102D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42FFF2E">
            <w:pPr>
              <w:spacing w:line="500" w:lineRule="exact"/>
              <w:ind w:firstLine="566" w:firstLineChars="200"/>
              <w:rPr>
                <w:rFonts w:hint="eastAsia" w:ascii="仿宋" w:hAnsi="仿宋" w:eastAsia="仿宋" w:cs="Times New Roman"/>
              </w:rPr>
            </w:pPr>
          </w:p>
        </w:tc>
        <w:tc>
          <w:tcPr>
            <w:tcW w:w="1610" w:type="dxa"/>
            <w:vMerge w:val="restart"/>
            <w:vAlign w:val="center"/>
          </w:tcPr>
          <w:p w14:paraId="735D7CF9">
            <w:pPr>
              <w:spacing w:line="500" w:lineRule="exact"/>
              <w:ind w:firstLine="566" w:firstLineChars="200"/>
              <w:rPr>
                <w:rFonts w:hint="eastAsia" w:ascii="仿宋" w:hAnsi="仿宋" w:eastAsia="仿宋" w:cs="Times New Roman"/>
              </w:rPr>
            </w:pPr>
            <w:r>
              <w:rPr>
                <w:rFonts w:hint="eastAsia" w:ascii="仿宋" w:hAnsi="仿宋" w:eastAsia="仿宋" w:cs="Times New Roman"/>
              </w:rPr>
              <w:t>网络和系统安全管理</w:t>
            </w:r>
          </w:p>
        </w:tc>
        <w:tc>
          <w:tcPr>
            <w:tcW w:w="5303" w:type="dxa"/>
            <w:vAlign w:val="center"/>
          </w:tcPr>
          <w:p w14:paraId="7C6F1FEC">
            <w:pPr>
              <w:spacing w:line="500" w:lineRule="exact"/>
              <w:ind w:firstLine="566" w:firstLineChars="200"/>
              <w:rPr>
                <w:rFonts w:hint="eastAsia" w:ascii="仿宋" w:hAnsi="仿宋" w:eastAsia="仿宋" w:cs="Times New Roman"/>
              </w:rPr>
            </w:pPr>
            <w:r>
              <w:rPr>
                <w:rFonts w:hint="eastAsia" w:ascii="仿宋" w:hAnsi="仿宋" w:eastAsia="仿宋" w:cs="Times New Roman"/>
              </w:rPr>
              <w:t>a）应划分不同的管理员角色进行网络和系统的运维管理，明确各个角色的责任和权限；</w:t>
            </w:r>
          </w:p>
        </w:tc>
      </w:tr>
      <w:tr w14:paraId="5D7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D3981F">
            <w:pPr>
              <w:spacing w:line="500" w:lineRule="exact"/>
              <w:ind w:firstLine="566" w:firstLineChars="200"/>
              <w:rPr>
                <w:rFonts w:hint="eastAsia" w:ascii="仿宋" w:hAnsi="仿宋" w:eastAsia="仿宋" w:cs="Times New Roman"/>
              </w:rPr>
            </w:pPr>
          </w:p>
        </w:tc>
        <w:tc>
          <w:tcPr>
            <w:tcW w:w="1610" w:type="dxa"/>
            <w:vMerge w:val="continue"/>
            <w:vAlign w:val="center"/>
          </w:tcPr>
          <w:p w14:paraId="262CB7D6">
            <w:pPr>
              <w:spacing w:line="500" w:lineRule="exact"/>
              <w:ind w:firstLine="566" w:firstLineChars="200"/>
              <w:rPr>
                <w:rFonts w:hint="eastAsia" w:ascii="仿宋" w:hAnsi="仿宋" w:eastAsia="仿宋" w:cs="Times New Roman"/>
              </w:rPr>
            </w:pPr>
          </w:p>
        </w:tc>
        <w:tc>
          <w:tcPr>
            <w:tcW w:w="5303" w:type="dxa"/>
            <w:vAlign w:val="center"/>
          </w:tcPr>
          <w:p w14:paraId="6B91EF5E">
            <w:pPr>
              <w:spacing w:line="500" w:lineRule="exact"/>
              <w:ind w:firstLine="566" w:firstLineChars="200"/>
              <w:rPr>
                <w:rFonts w:hint="eastAsia" w:ascii="仿宋" w:hAnsi="仿宋" w:eastAsia="仿宋" w:cs="Times New Roman"/>
              </w:rPr>
            </w:pPr>
            <w:r>
              <w:rPr>
                <w:rFonts w:hint="eastAsia" w:ascii="仿宋" w:hAnsi="仿宋" w:eastAsia="仿宋" w:cs="Times New Roman"/>
              </w:rPr>
              <w:t>b）应指定专门的部门或人员进行账户管理，对申请账户、建立账户、删除账户等进行控制；</w:t>
            </w:r>
          </w:p>
        </w:tc>
      </w:tr>
      <w:tr w14:paraId="370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907E5DB">
            <w:pPr>
              <w:spacing w:line="500" w:lineRule="exact"/>
              <w:ind w:firstLine="566" w:firstLineChars="200"/>
              <w:rPr>
                <w:rFonts w:hint="eastAsia" w:ascii="仿宋" w:hAnsi="仿宋" w:eastAsia="仿宋" w:cs="Times New Roman"/>
              </w:rPr>
            </w:pPr>
          </w:p>
        </w:tc>
        <w:tc>
          <w:tcPr>
            <w:tcW w:w="1610" w:type="dxa"/>
            <w:vMerge w:val="continue"/>
            <w:vAlign w:val="center"/>
          </w:tcPr>
          <w:p w14:paraId="09DA62CB">
            <w:pPr>
              <w:spacing w:line="500" w:lineRule="exact"/>
              <w:ind w:firstLine="566" w:firstLineChars="200"/>
              <w:rPr>
                <w:rFonts w:hint="eastAsia" w:ascii="仿宋" w:hAnsi="仿宋" w:eastAsia="仿宋" w:cs="Times New Roman"/>
              </w:rPr>
            </w:pPr>
          </w:p>
        </w:tc>
        <w:tc>
          <w:tcPr>
            <w:tcW w:w="5303" w:type="dxa"/>
            <w:vAlign w:val="center"/>
          </w:tcPr>
          <w:p w14:paraId="6781B7FA">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c）应建立网络和系统安全管理制度，对安全策略、账户管理、配置管理、日志管理、日常操作、升级与打补丁、口令更新周期等方面作出规定；</w:t>
            </w:r>
          </w:p>
        </w:tc>
      </w:tr>
      <w:tr w14:paraId="1588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7C5C27">
            <w:pPr>
              <w:spacing w:line="500" w:lineRule="exact"/>
              <w:ind w:firstLine="566" w:firstLineChars="200"/>
              <w:rPr>
                <w:rFonts w:hint="eastAsia" w:ascii="仿宋" w:hAnsi="仿宋" w:eastAsia="仿宋" w:cs="Times New Roman"/>
              </w:rPr>
            </w:pPr>
          </w:p>
        </w:tc>
        <w:tc>
          <w:tcPr>
            <w:tcW w:w="1610" w:type="dxa"/>
            <w:vMerge w:val="continue"/>
            <w:vAlign w:val="center"/>
          </w:tcPr>
          <w:p w14:paraId="4473B327">
            <w:pPr>
              <w:spacing w:line="500" w:lineRule="exact"/>
              <w:ind w:firstLine="566" w:firstLineChars="200"/>
              <w:rPr>
                <w:rFonts w:hint="eastAsia" w:ascii="仿宋" w:hAnsi="仿宋" w:eastAsia="仿宋" w:cs="Times New Roman"/>
              </w:rPr>
            </w:pPr>
          </w:p>
        </w:tc>
        <w:tc>
          <w:tcPr>
            <w:tcW w:w="5303" w:type="dxa"/>
            <w:vAlign w:val="center"/>
          </w:tcPr>
          <w:p w14:paraId="5E9DFAF0">
            <w:pPr>
              <w:spacing w:line="500" w:lineRule="exact"/>
              <w:ind w:firstLine="566" w:firstLineChars="200"/>
              <w:rPr>
                <w:rFonts w:hint="eastAsia" w:ascii="仿宋" w:hAnsi="仿宋" w:eastAsia="仿宋" w:cs="Times New Roman"/>
              </w:rPr>
            </w:pPr>
            <w:r>
              <w:rPr>
                <w:rFonts w:hint="eastAsia" w:ascii="仿宋" w:hAnsi="仿宋" w:eastAsia="仿宋" w:cs="Times New Roman"/>
              </w:rPr>
              <w:t>d）应制定重要设备的配置和操作手册，依据手册对设备进行安全配置和优化配置等；</w:t>
            </w:r>
          </w:p>
        </w:tc>
      </w:tr>
      <w:tr w14:paraId="355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5FB1154">
            <w:pPr>
              <w:spacing w:line="500" w:lineRule="exact"/>
              <w:ind w:firstLine="566" w:firstLineChars="200"/>
              <w:rPr>
                <w:rFonts w:hint="eastAsia" w:ascii="仿宋" w:hAnsi="仿宋" w:eastAsia="仿宋" w:cs="Times New Roman"/>
              </w:rPr>
            </w:pPr>
          </w:p>
        </w:tc>
        <w:tc>
          <w:tcPr>
            <w:tcW w:w="1610" w:type="dxa"/>
            <w:vMerge w:val="continue"/>
            <w:vAlign w:val="center"/>
          </w:tcPr>
          <w:p w14:paraId="2EE4104E">
            <w:pPr>
              <w:spacing w:line="500" w:lineRule="exact"/>
              <w:ind w:firstLine="566" w:firstLineChars="200"/>
              <w:rPr>
                <w:rFonts w:hint="eastAsia" w:ascii="仿宋" w:hAnsi="仿宋" w:eastAsia="仿宋" w:cs="Times New Roman"/>
              </w:rPr>
            </w:pPr>
          </w:p>
        </w:tc>
        <w:tc>
          <w:tcPr>
            <w:tcW w:w="5303" w:type="dxa"/>
            <w:vAlign w:val="center"/>
          </w:tcPr>
          <w:p w14:paraId="53670CA8">
            <w:pPr>
              <w:spacing w:line="500" w:lineRule="exact"/>
              <w:ind w:firstLine="566" w:firstLineChars="200"/>
              <w:rPr>
                <w:rFonts w:hint="eastAsia" w:ascii="仿宋" w:hAnsi="仿宋" w:eastAsia="仿宋" w:cs="Times New Roman"/>
              </w:rPr>
            </w:pPr>
            <w:r>
              <w:rPr>
                <w:rFonts w:hint="eastAsia" w:ascii="仿宋" w:hAnsi="仿宋" w:eastAsia="仿宋" w:cs="Times New Roman"/>
              </w:rPr>
              <w:t>e）应详细记录运维操作日志，包括日常巡检工作、运行维护记录、参数的设置和修改等内容；</w:t>
            </w:r>
          </w:p>
        </w:tc>
      </w:tr>
      <w:tr w14:paraId="274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5120CC0">
            <w:pPr>
              <w:spacing w:line="500" w:lineRule="exact"/>
              <w:ind w:firstLine="566" w:firstLineChars="200"/>
              <w:rPr>
                <w:rFonts w:hint="eastAsia" w:ascii="仿宋" w:hAnsi="仿宋" w:eastAsia="仿宋" w:cs="Times New Roman"/>
              </w:rPr>
            </w:pPr>
          </w:p>
        </w:tc>
        <w:tc>
          <w:tcPr>
            <w:tcW w:w="1610" w:type="dxa"/>
            <w:vMerge w:val="continue"/>
            <w:vAlign w:val="center"/>
          </w:tcPr>
          <w:p w14:paraId="7B76C2A5">
            <w:pPr>
              <w:spacing w:line="500" w:lineRule="exact"/>
              <w:ind w:firstLine="566" w:firstLineChars="200"/>
              <w:rPr>
                <w:rFonts w:hint="eastAsia" w:ascii="仿宋" w:hAnsi="仿宋" w:eastAsia="仿宋" w:cs="Times New Roman"/>
              </w:rPr>
            </w:pPr>
          </w:p>
        </w:tc>
        <w:tc>
          <w:tcPr>
            <w:tcW w:w="5303" w:type="dxa"/>
            <w:vAlign w:val="center"/>
          </w:tcPr>
          <w:p w14:paraId="50BDDA85">
            <w:pPr>
              <w:spacing w:line="500" w:lineRule="exact"/>
              <w:ind w:firstLine="566" w:firstLineChars="200"/>
              <w:rPr>
                <w:rFonts w:hint="eastAsia" w:ascii="仿宋" w:hAnsi="仿宋" w:eastAsia="仿宋" w:cs="Times New Roman"/>
              </w:rPr>
            </w:pPr>
            <w:r>
              <w:rPr>
                <w:rFonts w:hint="eastAsia" w:ascii="仿宋" w:hAnsi="仿宋" w:eastAsia="仿宋" w:cs="Times New Roman"/>
              </w:rPr>
              <w:t>f）应指定专门的部门或人员对日志、监测和报警数据等进行分析、统计，及时发现可疑行为；</w:t>
            </w:r>
          </w:p>
        </w:tc>
      </w:tr>
      <w:tr w14:paraId="252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2344707">
            <w:pPr>
              <w:spacing w:line="500" w:lineRule="exact"/>
              <w:ind w:firstLine="566" w:firstLineChars="200"/>
              <w:rPr>
                <w:rFonts w:hint="eastAsia" w:ascii="仿宋" w:hAnsi="仿宋" w:eastAsia="仿宋" w:cs="Times New Roman"/>
              </w:rPr>
            </w:pPr>
          </w:p>
        </w:tc>
        <w:tc>
          <w:tcPr>
            <w:tcW w:w="1610" w:type="dxa"/>
            <w:vMerge w:val="continue"/>
            <w:vAlign w:val="center"/>
          </w:tcPr>
          <w:p w14:paraId="6CCF3D9B">
            <w:pPr>
              <w:spacing w:line="500" w:lineRule="exact"/>
              <w:ind w:firstLine="566" w:firstLineChars="200"/>
              <w:rPr>
                <w:rFonts w:hint="eastAsia" w:ascii="仿宋" w:hAnsi="仿宋" w:eastAsia="仿宋" w:cs="Times New Roman"/>
              </w:rPr>
            </w:pPr>
          </w:p>
        </w:tc>
        <w:tc>
          <w:tcPr>
            <w:tcW w:w="5303" w:type="dxa"/>
            <w:vAlign w:val="center"/>
          </w:tcPr>
          <w:p w14:paraId="419C70F0">
            <w:pPr>
              <w:spacing w:line="500" w:lineRule="exact"/>
              <w:ind w:firstLine="566" w:firstLineChars="200"/>
              <w:rPr>
                <w:rFonts w:hint="eastAsia" w:ascii="仿宋" w:hAnsi="仿宋" w:eastAsia="仿宋" w:cs="Times New Roman"/>
              </w:rPr>
            </w:pPr>
            <w:r>
              <w:rPr>
                <w:rFonts w:hint="eastAsia" w:ascii="仿宋" w:hAnsi="仿宋" w:eastAsia="仿宋" w:cs="Times New Roman"/>
              </w:rPr>
              <w:t>g）应严格控制变更性运维，经过审批后才可改变连接、安装系统组件或调整配置参数，操作过程中应保留不可更改的审计日志，操作结束后应同步更新配置信息库；</w:t>
            </w:r>
          </w:p>
        </w:tc>
      </w:tr>
      <w:tr w14:paraId="51D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6B79FF3">
            <w:pPr>
              <w:spacing w:line="500" w:lineRule="exact"/>
              <w:ind w:firstLine="566" w:firstLineChars="200"/>
              <w:rPr>
                <w:rFonts w:hint="eastAsia" w:ascii="仿宋" w:hAnsi="仿宋" w:eastAsia="仿宋" w:cs="Times New Roman"/>
              </w:rPr>
            </w:pPr>
          </w:p>
        </w:tc>
        <w:tc>
          <w:tcPr>
            <w:tcW w:w="1610" w:type="dxa"/>
            <w:vMerge w:val="continue"/>
            <w:vAlign w:val="center"/>
          </w:tcPr>
          <w:p w14:paraId="74B08595">
            <w:pPr>
              <w:spacing w:line="500" w:lineRule="exact"/>
              <w:ind w:firstLine="566" w:firstLineChars="200"/>
              <w:rPr>
                <w:rFonts w:hint="eastAsia" w:ascii="仿宋" w:hAnsi="仿宋" w:eastAsia="仿宋" w:cs="Times New Roman"/>
              </w:rPr>
            </w:pPr>
          </w:p>
        </w:tc>
        <w:tc>
          <w:tcPr>
            <w:tcW w:w="5303" w:type="dxa"/>
            <w:vAlign w:val="center"/>
          </w:tcPr>
          <w:p w14:paraId="75520F0F">
            <w:pPr>
              <w:spacing w:line="500" w:lineRule="exact"/>
              <w:ind w:firstLine="566" w:firstLineChars="200"/>
              <w:rPr>
                <w:rFonts w:hint="eastAsia" w:ascii="仿宋" w:hAnsi="仿宋" w:eastAsia="仿宋" w:cs="Times New Roman"/>
              </w:rPr>
            </w:pPr>
            <w:r>
              <w:rPr>
                <w:rFonts w:hint="eastAsia" w:ascii="仿宋" w:hAnsi="仿宋" w:eastAsia="仿宋" w:cs="Times New Roman"/>
              </w:rPr>
              <w:t>h）应严格控制运维工具的使用，经过审批后才可接入进行操作，操作过程中应保留不可更改的审计日志，操作结束后应删除工具中的敏感数据；</w:t>
            </w:r>
          </w:p>
        </w:tc>
      </w:tr>
      <w:tr w14:paraId="6F6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1BAB8D">
            <w:pPr>
              <w:spacing w:line="500" w:lineRule="exact"/>
              <w:ind w:firstLine="566" w:firstLineChars="200"/>
              <w:rPr>
                <w:rFonts w:hint="eastAsia" w:ascii="仿宋" w:hAnsi="仿宋" w:eastAsia="仿宋" w:cs="Times New Roman"/>
              </w:rPr>
            </w:pPr>
          </w:p>
        </w:tc>
        <w:tc>
          <w:tcPr>
            <w:tcW w:w="1610" w:type="dxa"/>
            <w:vMerge w:val="continue"/>
            <w:vAlign w:val="center"/>
          </w:tcPr>
          <w:p w14:paraId="5B198CD2">
            <w:pPr>
              <w:spacing w:line="500" w:lineRule="exact"/>
              <w:ind w:firstLine="566" w:firstLineChars="200"/>
              <w:rPr>
                <w:rFonts w:hint="eastAsia" w:ascii="仿宋" w:hAnsi="仿宋" w:eastAsia="仿宋" w:cs="Times New Roman"/>
              </w:rPr>
            </w:pPr>
          </w:p>
        </w:tc>
        <w:tc>
          <w:tcPr>
            <w:tcW w:w="5303" w:type="dxa"/>
            <w:vAlign w:val="center"/>
          </w:tcPr>
          <w:p w14:paraId="7B0A8E2D">
            <w:pPr>
              <w:spacing w:line="500" w:lineRule="exact"/>
              <w:ind w:firstLine="566" w:firstLineChars="200"/>
              <w:rPr>
                <w:rFonts w:hint="eastAsia" w:ascii="仿宋" w:hAnsi="仿宋" w:eastAsia="仿宋" w:cs="Times New Roman"/>
              </w:rPr>
            </w:pPr>
            <w:r>
              <w:rPr>
                <w:rFonts w:hint="eastAsia" w:ascii="仿宋" w:hAnsi="仿宋" w:eastAsia="仿宋" w:cs="Times New Roman"/>
              </w:rPr>
              <w:t>i）应严格控制远程运维的开通，经过审批后才可开通远程运维接口或通道，操作过程中应保留不可更改的审计日志，操作结束后立即关闭接口或通道；</w:t>
            </w:r>
          </w:p>
        </w:tc>
      </w:tr>
      <w:tr w14:paraId="604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C3C72AF">
            <w:pPr>
              <w:spacing w:line="500" w:lineRule="exact"/>
              <w:ind w:firstLine="566" w:firstLineChars="200"/>
              <w:rPr>
                <w:rFonts w:hint="eastAsia" w:ascii="仿宋" w:hAnsi="仿宋" w:eastAsia="仿宋" w:cs="Times New Roman"/>
              </w:rPr>
            </w:pPr>
          </w:p>
        </w:tc>
        <w:tc>
          <w:tcPr>
            <w:tcW w:w="1610" w:type="dxa"/>
            <w:vMerge w:val="continue"/>
            <w:vAlign w:val="center"/>
          </w:tcPr>
          <w:p w14:paraId="2DF4D54E">
            <w:pPr>
              <w:spacing w:line="500" w:lineRule="exact"/>
              <w:ind w:firstLine="566" w:firstLineChars="200"/>
              <w:rPr>
                <w:rFonts w:hint="eastAsia" w:ascii="仿宋" w:hAnsi="仿宋" w:eastAsia="仿宋" w:cs="Times New Roman"/>
              </w:rPr>
            </w:pPr>
          </w:p>
        </w:tc>
        <w:tc>
          <w:tcPr>
            <w:tcW w:w="5303" w:type="dxa"/>
            <w:vAlign w:val="center"/>
          </w:tcPr>
          <w:p w14:paraId="0A7E0A29">
            <w:pPr>
              <w:spacing w:line="500" w:lineRule="exact"/>
              <w:ind w:firstLine="566" w:firstLineChars="200"/>
              <w:rPr>
                <w:rFonts w:hint="eastAsia" w:ascii="仿宋" w:hAnsi="仿宋" w:eastAsia="仿宋" w:cs="Times New Roman"/>
              </w:rPr>
            </w:pPr>
            <w:r>
              <w:rPr>
                <w:rFonts w:hint="eastAsia" w:ascii="仿宋" w:hAnsi="仿宋" w:eastAsia="仿宋" w:cs="Times New Roman"/>
              </w:rPr>
              <w:t>j）应保证所有与外部的连接均得到授权和批准，应定期核查违反规定无线上网及其他违反网络安全策略的行为。</w:t>
            </w:r>
          </w:p>
        </w:tc>
      </w:tr>
      <w:tr w14:paraId="254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8D72DC1">
            <w:pPr>
              <w:spacing w:line="500" w:lineRule="exact"/>
              <w:ind w:firstLine="566" w:firstLineChars="200"/>
              <w:rPr>
                <w:rFonts w:hint="eastAsia" w:ascii="仿宋" w:hAnsi="仿宋" w:eastAsia="仿宋" w:cs="Times New Roman"/>
              </w:rPr>
            </w:pPr>
          </w:p>
        </w:tc>
        <w:tc>
          <w:tcPr>
            <w:tcW w:w="1610" w:type="dxa"/>
            <w:vMerge w:val="restart"/>
            <w:vAlign w:val="center"/>
          </w:tcPr>
          <w:p w14:paraId="4C1AD01F">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恶意代码防范管理</w:t>
            </w:r>
          </w:p>
        </w:tc>
        <w:tc>
          <w:tcPr>
            <w:tcW w:w="5303" w:type="dxa"/>
            <w:vAlign w:val="center"/>
          </w:tcPr>
          <w:p w14:paraId="7B83AC6D">
            <w:pPr>
              <w:spacing w:line="500" w:lineRule="exact"/>
              <w:ind w:firstLine="566" w:firstLineChars="200"/>
              <w:rPr>
                <w:rFonts w:hint="eastAsia" w:ascii="仿宋" w:hAnsi="仿宋" w:eastAsia="仿宋" w:cs="Times New Roman"/>
              </w:rPr>
            </w:pPr>
            <w:r>
              <w:rPr>
                <w:rFonts w:hint="eastAsia" w:ascii="仿宋" w:hAnsi="仿宋" w:eastAsia="仿宋" w:cs="Times New Roman"/>
              </w:rPr>
              <w:t>a）应提高所有用户的防恶意代码意识，对外来计算机或存储设备接入系统前进行恶意代码核查等；</w:t>
            </w:r>
          </w:p>
        </w:tc>
      </w:tr>
      <w:tr w14:paraId="5B6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3F95E54">
            <w:pPr>
              <w:spacing w:line="500" w:lineRule="exact"/>
              <w:ind w:firstLine="566" w:firstLineChars="200"/>
              <w:rPr>
                <w:rFonts w:hint="eastAsia" w:ascii="仿宋" w:hAnsi="仿宋" w:eastAsia="仿宋" w:cs="Times New Roman"/>
              </w:rPr>
            </w:pPr>
          </w:p>
        </w:tc>
        <w:tc>
          <w:tcPr>
            <w:tcW w:w="1610" w:type="dxa"/>
            <w:vMerge w:val="continue"/>
            <w:vAlign w:val="center"/>
          </w:tcPr>
          <w:p w14:paraId="16155CC8">
            <w:pPr>
              <w:spacing w:line="500" w:lineRule="exact"/>
              <w:ind w:firstLine="566" w:firstLineChars="200"/>
              <w:rPr>
                <w:rFonts w:hint="eastAsia" w:ascii="仿宋" w:hAnsi="仿宋" w:eastAsia="仿宋" w:cs="Times New Roman"/>
              </w:rPr>
            </w:pPr>
          </w:p>
        </w:tc>
        <w:tc>
          <w:tcPr>
            <w:tcW w:w="5303" w:type="dxa"/>
            <w:vAlign w:val="center"/>
          </w:tcPr>
          <w:p w14:paraId="4432515D">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b）应定期验证防范恶意代码攻击的技术措施的有效性。</w:t>
            </w:r>
          </w:p>
        </w:tc>
      </w:tr>
      <w:tr w14:paraId="13D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ECB7E99">
            <w:pPr>
              <w:spacing w:line="500" w:lineRule="exact"/>
              <w:ind w:firstLine="566" w:firstLineChars="200"/>
              <w:rPr>
                <w:rFonts w:hint="eastAsia" w:ascii="仿宋" w:hAnsi="仿宋" w:eastAsia="仿宋" w:cs="Times New Roman"/>
              </w:rPr>
            </w:pPr>
          </w:p>
        </w:tc>
        <w:tc>
          <w:tcPr>
            <w:tcW w:w="1610" w:type="dxa"/>
            <w:vMerge w:val="restart"/>
            <w:vAlign w:val="center"/>
          </w:tcPr>
          <w:p w14:paraId="354B4A00">
            <w:pPr>
              <w:spacing w:line="500" w:lineRule="exact"/>
              <w:ind w:firstLine="566" w:firstLineChars="200"/>
              <w:rPr>
                <w:rFonts w:hint="eastAsia" w:ascii="仿宋" w:hAnsi="仿宋" w:eastAsia="仿宋" w:cs="Times New Roman"/>
              </w:rPr>
            </w:pPr>
            <w:r>
              <w:rPr>
                <w:rFonts w:hint="eastAsia" w:ascii="仿宋" w:hAnsi="仿宋" w:eastAsia="仿宋" w:cs="Times New Roman"/>
              </w:rPr>
              <w:t>配置管理</w:t>
            </w:r>
          </w:p>
        </w:tc>
        <w:tc>
          <w:tcPr>
            <w:tcW w:w="5303" w:type="dxa"/>
            <w:vAlign w:val="center"/>
          </w:tcPr>
          <w:p w14:paraId="329DAA8E">
            <w:pPr>
              <w:spacing w:line="500" w:lineRule="exact"/>
              <w:ind w:firstLine="566" w:firstLineChars="200"/>
              <w:rPr>
                <w:rFonts w:hint="eastAsia" w:ascii="仿宋" w:hAnsi="仿宋" w:eastAsia="仿宋" w:cs="Times New Roman"/>
              </w:rPr>
            </w:pPr>
            <w:r>
              <w:rPr>
                <w:rFonts w:hint="eastAsia" w:ascii="仿宋" w:hAnsi="仿宋" w:eastAsia="仿宋" w:cs="Times New Roman"/>
              </w:rPr>
              <w:t>a）应记录和保存基本配置信息，包括网络拓扑结构、各个设备安装的软件组件、软件组件的版本和补丁信息、各个设备或软件组件的配置参数等；</w:t>
            </w:r>
          </w:p>
        </w:tc>
      </w:tr>
      <w:tr w14:paraId="7525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01AC162">
            <w:pPr>
              <w:spacing w:line="500" w:lineRule="exact"/>
              <w:ind w:firstLine="566" w:firstLineChars="200"/>
              <w:rPr>
                <w:rFonts w:hint="eastAsia" w:ascii="仿宋" w:hAnsi="仿宋" w:eastAsia="仿宋" w:cs="Times New Roman"/>
              </w:rPr>
            </w:pPr>
          </w:p>
        </w:tc>
        <w:tc>
          <w:tcPr>
            <w:tcW w:w="1610" w:type="dxa"/>
            <w:vMerge w:val="continue"/>
            <w:vAlign w:val="center"/>
          </w:tcPr>
          <w:p w14:paraId="41A665A9">
            <w:pPr>
              <w:spacing w:line="500" w:lineRule="exact"/>
              <w:ind w:firstLine="566" w:firstLineChars="200"/>
              <w:rPr>
                <w:rFonts w:hint="eastAsia" w:ascii="仿宋" w:hAnsi="仿宋" w:eastAsia="仿宋" w:cs="Times New Roman"/>
              </w:rPr>
            </w:pPr>
          </w:p>
        </w:tc>
        <w:tc>
          <w:tcPr>
            <w:tcW w:w="5303" w:type="dxa"/>
            <w:vAlign w:val="center"/>
          </w:tcPr>
          <w:p w14:paraId="613EBBF9">
            <w:pPr>
              <w:spacing w:line="500" w:lineRule="exact"/>
              <w:ind w:firstLine="566" w:firstLineChars="200"/>
              <w:rPr>
                <w:rFonts w:hint="eastAsia" w:ascii="仿宋" w:hAnsi="仿宋" w:eastAsia="仿宋" w:cs="Times New Roman"/>
              </w:rPr>
            </w:pPr>
            <w:r>
              <w:rPr>
                <w:rFonts w:hint="eastAsia" w:ascii="仿宋" w:hAnsi="仿宋" w:eastAsia="仿宋" w:cs="Times New Roman"/>
              </w:rPr>
              <w:t>b）应将基本配置信息改变纳入变更范畴，实施对配置信息改变的控制，并及时更新基本配置信息库。</w:t>
            </w:r>
          </w:p>
        </w:tc>
      </w:tr>
      <w:tr w14:paraId="136C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4954317">
            <w:pPr>
              <w:spacing w:line="500" w:lineRule="exact"/>
              <w:ind w:firstLine="566" w:firstLineChars="200"/>
              <w:rPr>
                <w:rFonts w:hint="eastAsia" w:ascii="仿宋" w:hAnsi="仿宋" w:eastAsia="仿宋" w:cs="Times New Roman"/>
              </w:rPr>
            </w:pPr>
          </w:p>
        </w:tc>
        <w:tc>
          <w:tcPr>
            <w:tcW w:w="1610" w:type="dxa"/>
            <w:vMerge w:val="restart"/>
            <w:vAlign w:val="center"/>
          </w:tcPr>
          <w:p w14:paraId="2F43DAD8">
            <w:pPr>
              <w:spacing w:line="500" w:lineRule="exact"/>
              <w:ind w:firstLine="566" w:firstLineChars="200"/>
              <w:rPr>
                <w:rFonts w:hint="eastAsia" w:ascii="仿宋" w:hAnsi="仿宋" w:eastAsia="仿宋" w:cs="Times New Roman"/>
              </w:rPr>
            </w:pPr>
            <w:r>
              <w:rPr>
                <w:rFonts w:hint="eastAsia" w:ascii="仿宋" w:hAnsi="仿宋" w:eastAsia="仿宋" w:cs="Times New Roman"/>
              </w:rPr>
              <w:t>密码管理</w:t>
            </w:r>
          </w:p>
        </w:tc>
        <w:tc>
          <w:tcPr>
            <w:tcW w:w="5303" w:type="dxa"/>
            <w:vAlign w:val="center"/>
          </w:tcPr>
          <w:p w14:paraId="29D9AA23">
            <w:pPr>
              <w:spacing w:line="500" w:lineRule="exact"/>
              <w:ind w:firstLine="566" w:firstLineChars="200"/>
              <w:rPr>
                <w:rFonts w:hint="eastAsia" w:ascii="仿宋" w:hAnsi="仿宋" w:eastAsia="仿宋" w:cs="Times New Roman"/>
              </w:rPr>
            </w:pPr>
            <w:r>
              <w:rPr>
                <w:rFonts w:hint="eastAsia" w:ascii="仿宋" w:hAnsi="仿宋" w:eastAsia="仿宋" w:cs="Times New Roman"/>
              </w:rPr>
              <w:t>a）应遵循密码相关国家标准和行业标准；</w:t>
            </w:r>
          </w:p>
        </w:tc>
      </w:tr>
      <w:tr w14:paraId="2AC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8213C7">
            <w:pPr>
              <w:spacing w:line="500" w:lineRule="exact"/>
              <w:ind w:firstLine="566" w:firstLineChars="200"/>
              <w:rPr>
                <w:rFonts w:hint="eastAsia" w:ascii="仿宋" w:hAnsi="仿宋" w:eastAsia="仿宋" w:cs="Times New Roman"/>
              </w:rPr>
            </w:pPr>
          </w:p>
        </w:tc>
        <w:tc>
          <w:tcPr>
            <w:tcW w:w="1610" w:type="dxa"/>
            <w:vMerge w:val="continue"/>
            <w:vAlign w:val="center"/>
          </w:tcPr>
          <w:p w14:paraId="7E227BAF">
            <w:pPr>
              <w:spacing w:line="500" w:lineRule="exact"/>
              <w:ind w:firstLine="566" w:firstLineChars="200"/>
              <w:rPr>
                <w:rFonts w:hint="eastAsia" w:ascii="仿宋" w:hAnsi="仿宋" w:eastAsia="仿宋" w:cs="Times New Roman"/>
              </w:rPr>
            </w:pPr>
          </w:p>
        </w:tc>
        <w:tc>
          <w:tcPr>
            <w:tcW w:w="5303" w:type="dxa"/>
            <w:vAlign w:val="center"/>
          </w:tcPr>
          <w:p w14:paraId="3F4823FF">
            <w:pPr>
              <w:spacing w:line="500" w:lineRule="exact"/>
              <w:ind w:firstLine="566" w:firstLineChars="200"/>
              <w:rPr>
                <w:rFonts w:hint="eastAsia" w:ascii="仿宋" w:hAnsi="仿宋" w:eastAsia="仿宋" w:cs="Times New Roman"/>
              </w:rPr>
            </w:pPr>
            <w:r>
              <w:rPr>
                <w:rFonts w:hint="eastAsia" w:ascii="仿宋" w:hAnsi="仿宋" w:eastAsia="仿宋" w:cs="Times New Roman"/>
              </w:rPr>
              <w:t>b）应使用国家密码管理主管部门认证核准的密码技术和产品。</w:t>
            </w:r>
          </w:p>
        </w:tc>
      </w:tr>
      <w:tr w14:paraId="734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9D26DA2">
            <w:pPr>
              <w:spacing w:line="500" w:lineRule="exact"/>
              <w:ind w:firstLine="566" w:firstLineChars="200"/>
              <w:rPr>
                <w:rFonts w:hint="eastAsia" w:ascii="仿宋" w:hAnsi="仿宋" w:eastAsia="仿宋" w:cs="Times New Roman"/>
              </w:rPr>
            </w:pPr>
          </w:p>
        </w:tc>
        <w:tc>
          <w:tcPr>
            <w:tcW w:w="1610" w:type="dxa"/>
            <w:vMerge w:val="restart"/>
            <w:vAlign w:val="center"/>
          </w:tcPr>
          <w:p w14:paraId="68EC69B9">
            <w:pPr>
              <w:spacing w:line="500" w:lineRule="exact"/>
              <w:ind w:firstLine="566" w:firstLineChars="200"/>
              <w:rPr>
                <w:rFonts w:hint="eastAsia" w:ascii="仿宋" w:hAnsi="仿宋" w:eastAsia="仿宋" w:cs="Times New Roman"/>
              </w:rPr>
            </w:pPr>
            <w:r>
              <w:rPr>
                <w:rFonts w:hint="eastAsia" w:ascii="仿宋" w:hAnsi="仿宋" w:eastAsia="仿宋" w:cs="Times New Roman"/>
              </w:rPr>
              <w:t>变更管理</w:t>
            </w:r>
          </w:p>
        </w:tc>
        <w:tc>
          <w:tcPr>
            <w:tcW w:w="5303" w:type="dxa"/>
            <w:vAlign w:val="center"/>
          </w:tcPr>
          <w:p w14:paraId="6A14734D">
            <w:pPr>
              <w:spacing w:line="500" w:lineRule="exact"/>
              <w:ind w:firstLine="566" w:firstLineChars="200"/>
              <w:rPr>
                <w:rFonts w:hint="eastAsia" w:ascii="仿宋" w:hAnsi="仿宋" w:eastAsia="仿宋" w:cs="Times New Roman"/>
              </w:rPr>
            </w:pPr>
            <w:r>
              <w:rPr>
                <w:rFonts w:hint="eastAsia" w:ascii="仿宋" w:hAnsi="仿宋" w:eastAsia="仿宋" w:cs="Times New Roman"/>
              </w:rPr>
              <w:t>a）应明确变更需求，变更前根据变更需求制定变更方案，变更方案经过评审、审批后方可实施；</w:t>
            </w:r>
          </w:p>
        </w:tc>
      </w:tr>
      <w:tr w14:paraId="714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2A7FB3">
            <w:pPr>
              <w:spacing w:line="500" w:lineRule="exact"/>
              <w:ind w:firstLine="566" w:firstLineChars="200"/>
              <w:rPr>
                <w:rFonts w:hint="eastAsia" w:ascii="仿宋" w:hAnsi="仿宋" w:eastAsia="仿宋" w:cs="Times New Roman"/>
              </w:rPr>
            </w:pPr>
          </w:p>
        </w:tc>
        <w:tc>
          <w:tcPr>
            <w:tcW w:w="1610" w:type="dxa"/>
            <w:vMerge w:val="continue"/>
            <w:vAlign w:val="center"/>
          </w:tcPr>
          <w:p w14:paraId="1604245F">
            <w:pPr>
              <w:spacing w:line="500" w:lineRule="exact"/>
              <w:ind w:firstLine="566" w:firstLineChars="200"/>
              <w:rPr>
                <w:rFonts w:hint="eastAsia" w:ascii="仿宋" w:hAnsi="仿宋" w:eastAsia="仿宋" w:cs="Times New Roman"/>
              </w:rPr>
            </w:pPr>
          </w:p>
        </w:tc>
        <w:tc>
          <w:tcPr>
            <w:tcW w:w="5303" w:type="dxa"/>
            <w:vAlign w:val="center"/>
          </w:tcPr>
          <w:p w14:paraId="0C3AF531">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b）应建立变更的申报和审批控制程序，依据程序控制所有的变更，记录变更实施过程；</w:t>
            </w:r>
          </w:p>
        </w:tc>
      </w:tr>
      <w:tr w14:paraId="3DE1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D6A6370">
            <w:pPr>
              <w:spacing w:line="500" w:lineRule="exact"/>
              <w:ind w:firstLine="566" w:firstLineChars="200"/>
              <w:rPr>
                <w:rFonts w:hint="eastAsia" w:ascii="仿宋" w:hAnsi="仿宋" w:eastAsia="仿宋" w:cs="Times New Roman"/>
              </w:rPr>
            </w:pPr>
          </w:p>
        </w:tc>
        <w:tc>
          <w:tcPr>
            <w:tcW w:w="1610" w:type="dxa"/>
            <w:vMerge w:val="continue"/>
            <w:vAlign w:val="center"/>
          </w:tcPr>
          <w:p w14:paraId="4B45D8D8">
            <w:pPr>
              <w:spacing w:line="500" w:lineRule="exact"/>
              <w:ind w:firstLine="566" w:firstLineChars="200"/>
              <w:rPr>
                <w:rFonts w:hint="eastAsia" w:ascii="仿宋" w:hAnsi="仿宋" w:eastAsia="仿宋" w:cs="Times New Roman"/>
              </w:rPr>
            </w:pPr>
          </w:p>
        </w:tc>
        <w:tc>
          <w:tcPr>
            <w:tcW w:w="5303" w:type="dxa"/>
            <w:vAlign w:val="center"/>
          </w:tcPr>
          <w:p w14:paraId="40CB26CF">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c）应建立中止变更并从失败变更中恢复的程序，明确过程控制方法和人员职责，必要时对恢复过程进行演练。</w:t>
            </w:r>
          </w:p>
        </w:tc>
      </w:tr>
      <w:tr w14:paraId="69E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F2EA0DE">
            <w:pPr>
              <w:spacing w:line="500" w:lineRule="exact"/>
              <w:ind w:firstLine="566" w:firstLineChars="200"/>
              <w:rPr>
                <w:rFonts w:hint="eastAsia" w:ascii="仿宋" w:hAnsi="仿宋" w:eastAsia="仿宋" w:cs="Times New Roman"/>
              </w:rPr>
            </w:pPr>
          </w:p>
        </w:tc>
        <w:tc>
          <w:tcPr>
            <w:tcW w:w="1610" w:type="dxa"/>
            <w:vMerge w:val="restart"/>
            <w:vAlign w:val="center"/>
          </w:tcPr>
          <w:p w14:paraId="262D02D4">
            <w:pPr>
              <w:spacing w:line="500" w:lineRule="exact"/>
              <w:ind w:firstLine="566" w:firstLineChars="200"/>
              <w:rPr>
                <w:rFonts w:hint="eastAsia" w:ascii="仿宋" w:hAnsi="仿宋" w:eastAsia="仿宋" w:cs="Times New Roman"/>
              </w:rPr>
            </w:pPr>
            <w:r>
              <w:rPr>
                <w:rFonts w:hint="eastAsia" w:ascii="仿宋" w:hAnsi="仿宋" w:eastAsia="仿宋" w:cs="Times New Roman"/>
              </w:rPr>
              <w:t>备份与恢复管理</w:t>
            </w:r>
          </w:p>
        </w:tc>
        <w:tc>
          <w:tcPr>
            <w:tcW w:w="5303" w:type="dxa"/>
            <w:vAlign w:val="center"/>
          </w:tcPr>
          <w:p w14:paraId="43D2100D">
            <w:pPr>
              <w:spacing w:line="500" w:lineRule="exact"/>
              <w:ind w:firstLine="566" w:firstLineChars="200"/>
              <w:rPr>
                <w:rFonts w:hint="eastAsia" w:ascii="仿宋" w:hAnsi="仿宋" w:eastAsia="仿宋" w:cs="Times New Roman"/>
              </w:rPr>
            </w:pPr>
            <w:r>
              <w:rPr>
                <w:rFonts w:hint="eastAsia" w:ascii="仿宋" w:hAnsi="仿宋" w:eastAsia="仿宋" w:cs="Times New Roman"/>
              </w:rPr>
              <w:t>a）应识别需要定期备份的重要业务信息、系统数据及软件系统等；</w:t>
            </w:r>
          </w:p>
        </w:tc>
      </w:tr>
      <w:tr w14:paraId="0D7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A53A394">
            <w:pPr>
              <w:spacing w:line="500" w:lineRule="exact"/>
              <w:ind w:firstLine="566" w:firstLineChars="200"/>
              <w:rPr>
                <w:rFonts w:hint="eastAsia" w:ascii="仿宋" w:hAnsi="仿宋" w:eastAsia="仿宋" w:cs="Times New Roman"/>
              </w:rPr>
            </w:pPr>
          </w:p>
        </w:tc>
        <w:tc>
          <w:tcPr>
            <w:tcW w:w="1610" w:type="dxa"/>
            <w:vMerge w:val="continue"/>
            <w:vAlign w:val="center"/>
          </w:tcPr>
          <w:p w14:paraId="78974B3C">
            <w:pPr>
              <w:spacing w:line="500" w:lineRule="exact"/>
              <w:ind w:firstLine="566" w:firstLineChars="200"/>
              <w:rPr>
                <w:rFonts w:hint="eastAsia" w:ascii="仿宋" w:hAnsi="仿宋" w:eastAsia="仿宋" w:cs="Times New Roman"/>
              </w:rPr>
            </w:pPr>
          </w:p>
        </w:tc>
        <w:tc>
          <w:tcPr>
            <w:tcW w:w="5303" w:type="dxa"/>
            <w:vAlign w:val="center"/>
          </w:tcPr>
          <w:p w14:paraId="6523785F">
            <w:pPr>
              <w:spacing w:line="500" w:lineRule="exact"/>
              <w:ind w:firstLine="566" w:firstLineChars="200"/>
              <w:rPr>
                <w:rFonts w:hint="eastAsia" w:ascii="仿宋" w:hAnsi="仿宋" w:eastAsia="仿宋" w:cs="Times New Roman"/>
              </w:rPr>
            </w:pPr>
            <w:r>
              <w:rPr>
                <w:rFonts w:hint="eastAsia" w:ascii="仿宋" w:hAnsi="仿宋" w:eastAsia="仿宋" w:cs="Times New Roman"/>
              </w:rPr>
              <w:t>b）应规定备份信息的备份方式、备份频度、存储介质、保存期等；</w:t>
            </w:r>
          </w:p>
        </w:tc>
      </w:tr>
      <w:tr w14:paraId="0439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44DA2F2">
            <w:pPr>
              <w:spacing w:line="500" w:lineRule="exact"/>
              <w:ind w:firstLine="566" w:firstLineChars="200"/>
              <w:rPr>
                <w:rFonts w:hint="eastAsia" w:ascii="仿宋" w:hAnsi="仿宋" w:eastAsia="仿宋" w:cs="Times New Roman"/>
              </w:rPr>
            </w:pPr>
          </w:p>
        </w:tc>
        <w:tc>
          <w:tcPr>
            <w:tcW w:w="1610" w:type="dxa"/>
            <w:vMerge w:val="continue"/>
            <w:vAlign w:val="center"/>
          </w:tcPr>
          <w:p w14:paraId="197F999F">
            <w:pPr>
              <w:spacing w:line="500" w:lineRule="exact"/>
              <w:ind w:firstLine="566" w:firstLineChars="200"/>
              <w:rPr>
                <w:rFonts w:hint="eastAsia" w:ascii="仿宋" w:hAnsi="仿宋" w:eastAsia="仿宋" w:cs="Times New Roman"/>
              </w:rPr>
            </w:pPr>
          </w:p>
        </w:tc>
        <w:tc>
          <w:tcPr>
            <w:tcW w:w="5303" w:type="dxa"/>
            <w:vAlign w:val="center"/>
          </w:tcPr>
          <w:p w14:paraId="773217CB">
            <w:pPr>
              <w:spacing w:line="500" w:lineRule="exact"/>
              <w:ind w:firstLine="566" w:firstLineChars="200"/>
              <w:rPr>
                <w:rFonts w:hint="eastAsia" w:ascii="仿宋" w:hAnsi="仿宋" w:eastAsia="仿宋" w:cs="Times New Roman"/>
              </w:rPr>
            </w:pPr>
            <w:r>
              <w:rPr>
                <w:rFonts w:hint="eastAsia" w:ascii="仿宋" w:hAnsi="仿宋" w:eastAsia="仿宋" w:cs="Times New Roman"/>
              </w:rPr>
              <w:t>c）应根据数据的重要性和数据对系统运行的影响，制定数据的备份策略和恢复策略、备份程序和恢复程序等。</w:t>
            </w:r>
          </w:p>
        </w:tc>
      </w:tr>
      <w:tr w14:paraId="4C8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57F9724">
            <w:pPr>
              <w:spacing w:line="500" w:lineRule="exact"/>
              <w:ind w:firstLine="566" w:firstLineChars="200"/>
              <w:rPr>
                <w:rFonts w:hint="eastAsia" w:ascii="仿宋" w:hAnsi="仿宋" w:eastAsia="仿宋" w:cs="Times New Roman"/>
              </w:rPr>
            </w:pPr>
          </w:p>
        </w:tc>
        <w:tc>
          <w:tcPr>
            <w:tcW w:w="1610" w:type="dxa"/>
            <w:vMerge w:val="restart"/>
            <w:vAlign w:val="center"/>
          </w:tcPr>
          <w:p w14:paraId="272F96C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安全事件处置</w:t>
            </w:r>
          </w:p>
        </w:tc>
        <w:tc>
          <w:tcPr>
            <w:tcW w:w="5303" w:type="dxa"/>
            <w:vAlign w:val="center"/>
          </w:tcPr>
          <w:p w14:paraId="5D1BF184">
            <w:pPr>
              <w:spacing w:line="500" w:lineRule="exact"/>
              <w:ind w:firstLine="566" w:firstLineChars="200"/>
              <w:rPr>
                <w:rFonts w:hint="eastAsia" w:ascii="仿宋" w:hAnsi="仿宋" w:eastAsia="仿宋" w:cs="Times New Roman"/>
              </w:rPr>
            </w:pPr>
            <w:r>
              <w:rPr>
                <w:rFonts w:hint="eastAsia" w:ascii="仿宋" w:hAnsi="仿宋" w:eastAsia="仿宋" w:cs="Times New Roman"/>
              </w:rPr>
              <w:t>a）应及时向安全管理部门报告所发现的安全弱点和可疑事件；</w:t>
            </w:r>
          </w:p>
        </w:tc>
      </w:tr>
      <w:tr w14:paraId="26CF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CF1A2B6">
            <w:pPr>
              <w:spacing w:line="500" w:lineRule="exact"/>
              <w:ind w:firstLine="566" w:firstLineChars="200"/>
              <w:rPr>
                <w:rFonts w:hint="eastAsia" w:ascii="仿宋" w:hAnsi="仿宋" w:eastAsia="仿宋" w:cs="Times New Roman"/>
              </w:rPr>
            </w:pPr>
          </w:p>
        </w:tc>
        <w:tc>
          <w:tcPr>
            <w:tcW w:w="1610" w:type="dxa"/>
            <w:vMerge w:val="continue"/>
            <w:vAlign w:val="center"/>
          </w:tcPr>
          <w:p w14:paraId="13837676">
            <w:pPr>
              <w:spacing w:line="500" w:lineRule="exact"/>
              <w:ind w:firstLine="566" w:firstLineChars="200"/>
              <w:rPr>
                <w:rFonts w:hint="eastAsia" w:ascii="仿宋" w:hAnsi="仿宋" w:eastAsia="仿宋" w:cs="Times New Roman"/>
              </w:rPr>
            </w:pPr>
          </w:p>
        </w:tc>
        <w:tc>
          <w:tcPr>
            <w:tcW w:w="5303" w:type="dxa"/>
            <w:vAlign w:val="center"/>
          </w:tcPr>
          <w:p w14:paraId="76A807E8">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b）应制定安全事件报告和处置管理制度，明确不同安全事件的报告、处置和响应流程，规定安全事件的现场处理、事件报告和后期恢复的管理职责等；</w:t>
            </w:r>
          </w:p>
        </w:tc>
      </w:tr>
      <w:tr w14:paraId="6860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C16B39">
            <w:pPr>
              <w:spacing w:line="500" w:lineRule="exact"/>
              <w:ind w:firstLine="566" w:firstLineChars="200"/>
              <w:rPr>
                <w:rFonts w:hint="eastAsia" w:ascii="仿宋" w:hAnsi="仿宋" w:eastAsia="仿宋" w:cs="Times New Roman"/>
              </w:rPr>
            </w:pPr>
          </w:p>
        </w:tc>
        <w:tc>
          <w:tcPr>
            <w:tcW w:w="1610" w:type="dxa"/>
            <w:vMerge w:val="continue"/>
            <w:vAlign w:val="center"/>
          </w:tcPr>
          <w:p w14:paraId="06119B19">
            <w:pPr>
              <w:spacing w:line="500" w:lineRule="exact"/>
              <w:ind w:firstLine="566" w:firstLineChars="200"/>
              <w:rPr>
                <w:rFonts w:hint="eastAsia" w:ascii="仿宋" w:hAnsi="仿宋" w:eastAsia="仿宋" w:cs="Times New Roman"/>
              </w:rPr>
            </w:pPr>
          </w:p>
        </w:tc>
        <w:tc>
          <w:tcPr>
            <w:tcW w:w="5303" w:type="dxa"/>
            <w:vAlign w:val="center"/>
          </w:tcPr>
          <w:p w14:paraId="5551945F">
            <w:pPr>
              <w:spacing w:line="500" w:lineRule="exact"/>
              <w:ind w:firstLine="566" w:firstLineChars="200"/>
              <w:rPr>
                <w:rFonts w:hint="eastAsia" w:ascii="仿宋" w:hAnsi="仿宋" w:eastAsia="仿宋" w:cs="Times New Roman"/>
              </w:rPr>
            </w:pPr>
            <w:r>
              <w:rPr>
                <w:rFonts w:hint="eastAsia" w:ascii="仿宋" w:hAnsi="仿宋" w:eastAsia="仿宋" w:cs="Times New Roman"/>
              </w:rPr>
              <w:t>c）应在安全事件报告和响应处理过程中，分析和鉴定事件产生的原因，收集证据，记录处理过程，总结经验教训；</w:t>
            </w:r>
          </w:p>
        </w:tc>
      </w:tr>
      <w:tr w14:paraId="15C6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3D12C11">
            <w:pPr>
              <w:spacing w:line="500" w:lineRule="exact"/>
              <w:ind w:firstLine="566" w:firstLineChars="200"/>
              <w:rPr>
                <w:rFonts w:hint="eastAsia" w:ascii="仿宋" w:hAnsi="仿宋" w:eastAsia="仿宋" w:cs="Times New Roman"/>
              </w:rPr>
            </w:pPr>
          </w:p>
        </w:tc>
        <w:tc>
          <w:tcPr>
            <w:tcW w:w="1610" w:type="dxa"/>
            <w:vMerge w:val="continue"/>
            <w:vAlign w:val="center"/>
          </w:tcPr>
          <w:p w14:paraId="72F80D5A">
            <w:pPr>
              <w:spacing w:line="500" w:lineRule="exact"/>
              <w:ind w:firstLine="566" w:firstLineChars="200"/>
              <w:rPr>
                <w:rFonts w:hint="eastAsia" w:ascii="仿宋" w:hAnsi="仿宋" w:eastAsia="仿宋" w:cs="Times New Roman"/>
              </w:rPr>
            </w:pPr>
          </w:p>
        </w:tc>
        <w:tc>
          <w:tcPr>
            <w:tcW w:w="5303" w:type="dxa"/>
            <w:vAlign w:val="center"/>
          </w:tcPr>
          <w:p w14:paraId="0F54012B">
            <w:pPr>
              <w:spacing w:line="500" w:lineRule="exact"/>
              <w:ind w:firstLine="566" w:firstLineChars="200"/>
              <w:rPr>
                <w:rFonts w:hint="eastAsia" w:ascii="仿宋" w:hAnsi="仿宋" w:eastAsia="仿宋" w:cs="Times New Roman"/>
              </w:rPr>
            </w:pPr>
            <w:r>
              <w:rPr>
                <w:rFonts w:hint="eastAsia" w:ascii="仿宋" w:hAnsi="仿宋" w:eastAsia="仿宋" w:cs="Times New Roman"/>
              </w:rPr>
              <w:t>d）对造成系统中断和造成信息泄漏的重大安全事件应采用不同的处理程序和报告程序。</w:t>
            </w:r>
          </w:p>
        </w:tc>
      </w:tr>
      <w:tr w14:paraId="2E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1E3678B">
            <w:pPr>
              <w:spacing w:line="500" w:lineRule="exact"/>
              <w:ind w:firstLine="566" w:firstLineChars="200"/>
              <w:rPr>
                <w:rFonts w:hint="eastAsia" w:ascii="仿宋" w:hAnsi="仿宋" w:eastAsia="仿宋" w:cs="Times New Roman"/>
              </w:rPr>
            </w:pPr>
          </w:p>
        </w:tc>
        <w:tc>
          <w:tcPr>
            <w:tcW w:w="1610" w:type="dxa"/>
            <w:vMerge w:val="restart"/>
            <w:vAlign w:val="center"/>
          </w:tcPr>
          <w:p w14:paraId="501AF386">
            <w:pPr>
              <w:spacing w:line="500" w:lineRule="exact"/>
              <w:ind w:firstLine="566" w:firstLineChars="200"/>
              <w:rPr>
                <w:rFonts w:hint="eastAsia" w:ascii="仿宋" w:hAnsi="仿宋" w:eastAsia="仿宋" w:cs="Times New Roman"/>
              </w:rPr>
            </w:pPr>
            <w:r>
              <w:rPr>
                <w:rFonts w:hint="eastAsia" w:ascii="仿宋" w:hAnsi="仿宋" w:eastAsia="仿宋" w:cs="Times New Roman"/>
              </w:rPr>
              <w:t>应急预案管理</w:t>
            </w:r>
          </w:p>
        </w:tc>
        <w:tc>
          <w:tcPr>
            <w:tcW w:w="5303" w:type="dxa"/>
            <w:vAlign w:val="center"/>
          </w:tcPr>
          <w:p w14:paraId="11D7EDC1">
            <w:pPr>
              <w:spacing w:line="500" w:lineRule="exact"/>
              <w:ind w:firstLine="566" w:firstLineChars="200"/>
              <w:rPr>
                <w:rFonts w:hint="eastAsia" w:ascii="仿宋" w:hAnsi="仿宋" w:eastAsia="仿宋" w:cs="Times New Roman"/>
              </w:rPr>
            </w:pPr>
            <w:r>
              <w:rPr>
                <w:rFonts w:hint="eastAsia" w:ascii="仿宋" w:hAnsi="仿宋" w:eastAsia="仿宋" w:cs="Times New Roman"/>
              </w:rPr>
              <w:t>a）应规定统一的应急预案框架，包括启动预案的条件、应急组织构成、应急资源保障、事后教育和培训等内容；</w:t>
            </w:r>
          </w:p>
        </w:tc>
      </w:tr>
      <w:tr w14:paraId="0E5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C3D64D">
            <w:pPr>
              <w:spacing w:line="500" w:lineRule="exact"/>
              <w:ind w:firstLine="566" w:firstLineChars="200"/>
              <w:rPr>
                <w:rFonts w:hint="eastAsia" w:ascii="仿宋" w:hAnsi="仿宋" w:eastAsia="仿宋" w:cs="Times New Roman"/>
              </w:rPr>
            </w:pPr>
          </w:p>
        </w:tc>
        <w:tc>
          <w:tcPr>
            <w:tcW w:w="1610" w:type="dxa"/>
            <w:vMerge w:val="continue"/>
            <w:vAlign w:val="center"/>
          </w:tcPr>
          <w:p w14:paraId="38D9BC0F">
            <w:pPr>
              <w:spacing w:line="500" w:lineRule="exact"/>
              <w:ind w:firstLine="566" w:firstLineChars="200"/>
              <w:rPr>
                <w:rFonts w:hint="eastAsia" w:ascii="仿宋" w:hAnsi="仿宋" w:eastAsia="仿宋" w:cs="Times New Roman"/>
              </w:rPr>
            </w:pPr>
          </w:p>
        </w:tc>
        <w:tc>
          <w:tcPr>
            <w:tcW w:w="5303" w:type="dxa"/>
            <w:vAlign w:val="center"/>
          </w:tcPr>
          <w:p w14:paraId="1CB4F800">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b）应制定重要事件的应急预案，包括应急处理流程、系统恢复流程等内容；</w:t>
            </w:r>
          </w:p>
        </w:tc>
      </w:tr>
      <w:tr w14:paraId="5D1E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FAF64F">
            <w:pPr>
              <w:spacing w:line="500" w:lineRule="exact"/>
              <w:ind w:firstLine="566" w:firstLineChars="200"/>
              <w:rPr>
                <w:rFonts w:hint="eastAsia" w:ascii="仿宋" w:hAnsi="仿宋" w:eastAsia="仿宋" w:cs="Times New Roman"/>
              </w:rPr>
            </w:pPr>
          </w:p>
        </w:tc>
        <w:tc>
          <w:tcPr>
            <w:tcW w:w="1610" w:type="dxa"/>
            <w:vMerge w:val="continue"/>
            <w:vAlign w:val="center"/>
          </w:tcPr>
          <w:p w14:paraId="071A5A2F">
            <w:pPr>
              <w:spacing w:line="500" w:lineRule="exact"/>
              <w:ind w:firstLine="566" w:firstLineChars="200"/>
              <w:rPr>
                <w:rFonts w:hint="eastAsia" w:ascii="仿宋" w:hAnsi="仿宋" w:eastAsia="仿宋" w:cs="Times New Roman"/>
              </w:rPr>
            </w:pPr>
          </w:p>
        </w:tc>
        <w:tc>
          <w:tcPr>
            <w:tcW w:w="5303" w:type="dxa"/>
            <w:vAlign w:val="center"/>
          </w:tcPr>
          <w:p w14:paraId="32B44BE0">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c）应定期对系统相关的人员进行应急预案培训，并进行应急预案的演练；</w:t>
            </w:r>
          </w:p>
        </w:tc>
      </w:tr>
      <w:tr w14:paraId="4C3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773B56">
            <w:pPr>
              <w:spacing w:line="500" w:lineRule="exact"/>
              <w:ind w:firstLine="566" w:firstLineChars="200"/>
              <w:rPr>
                <w:rFonts w:hint="eastAsia" w:ascii="仿宋" w:hAnsi="仿宋" w:eastAsia="仿宋" w:cs="Times New Roman"/>
              </w:rPr>
            </w:pPr>
          </w:p>
        </w:tc>
        <w:tc>
          <w:tcPr>
            <w:tcW w:w="1610" w:type="dxa"/>
            <w:vMerge w:val="continue"/>
            <w:vAlign w:val="center"/>
          </w:tcPr>
          <w:p w14:paraId="6B98F539">
            <w:pPr>
              <w:spacing w:line="500" w:lineRule="exact"/>
              <w:ind w:firstLine="566" w:firstLineChars="200"/>
              <w:rPr>
                <w:rFonts w:hint="eastAsia" w:ascii="仿宋" w:hAnsi="仿宋" w:eastAsia="仿宋" w:cs="Times New Roman"/>
              </w:rPr>
            </w:pPr>
          </w:p>
        </w:tc>
        <w:tc>
          <w:tcPr>
            <w:tcW w:w="5303" w:type="dxa"/>
            <w:vAlign w:val="center"/>
          </w:tcPr>
          <w:p w14:paraId="25D869CD">
            <w:pPr>
              <w:spacing w:line="500" w:lineRule="exact"/>
              <w:ind w:firstLine="566" w:firstLineChars="200"/>
              <w:rPr>
                <w:rFonts w:hint="eastAsia" w:ascii="仿宋" w:hAnsi="仿宋" w:eastAsia="仿宋" w:cs="Times New Roman"/>
              </w:rPr>
            </w:pPr>
            <w:r>
              <w:rPr>
                <w:rFonts w:hint="eastAsia" w:ascii="仿宋" w:hAnsi="仿宋" w:eastAsia="仿宋" w:cs="Times New Roman"/>
              </w:rPr>
              <w:t>d）应定期对原有的应急预案重新评估，修订完善。</w:t>
            </w:r>
          </w:p>
        </w:tc>
      </w:tr>
      <w:tr w14:paraId="1113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2E9482D">
            <w:pPr>
              <w:spacing w:line="500" w:lineRule="exact"/>
              <w:ind w:firstLine="566" w:firstLineChars="200"/>
              <w:rPr>
                <w:rFonts w:hint="eastAsia" w:ascii="仿宋" w:hAnsi="仿宋" w:eastAsia="仿宋" w:cs="Times New Roman"/>
              </w:rPr>
            </w:pPr>
          </w:p>
        </w:tc>
        <w:tc>
          <w:tcPr>
            <w:tcW w:w="1610" w:type="dxa"/>
            <w:vMerge w:val="restart"/>
            <w:vAlign w:val="center"/>
          </w:tcPr>
          <w:p w14:paraId="16A32243">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外包运维管理</w:t>
            </w:r>
          </w:p>
        </w:tc>
        <w:tc>
          <w:tcPr>
            <w:tcW w:w="5303" w:type="dxa"/>
            <w:vAlign w:val="center"/>
          </w:tcPr>
          <w:p w14:paraId="177EDBE8">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a）应确保外包运维服务商的选择符合国家的有关规定；</w:t>
            </w:r>
          </w:p>
        </w:tc>
      </w:tr>
      <w:tr w14:paraId="2D85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D95DD5">
            <w:pPr>
              <w:spacing w:line="500" w:lineRule="exact"/>
              <w:ind w:firstLine="566" w:firstLineChars="200"/>
              <w:rPr>
                <w:rFonts w:hint="eastAsia" w:ascii="仿宋" w:hAnsi="仿宋" w:eastAsia="仿宋" w:cs="Times New Roman"/>
              </w:rPr>
            </w:pPr>
          </w:p>
        </w:tc>
        <w:tc>
          <w:tcPr>
            <w:tcW w:w="1610" w:type="dxa"/>
            <w:vMerge w:val="continue"/>
            <w:vAlign w:val="center"/>
          </w:tcPr>
          <w:p w14:paraId="6D32485A">
            <w:pPr>
              <w:spacing w:line="500" w:lineRule="exact"/>
              <w:ind w:firstLine="566" w:firstLineChars="200"/>
              <w:rPr>
                <w:rFonts w:hint="eastAsia" w:ascii="仿宋" w:hAnsi="仿宋" w:eastAsia="仿宋" w:cs="Times New Roman"/>
              </w:rPr>
            </w:pPr>
          </w:p>
        </w:tc>
        <w:tc>
          <w:tcPr>
            <w:tcW w:w="5303" w:type="dxa"/>
            <w:vAlign w:val="center"/>
          </w:tcPr>
          <w:p w14:paraId="4D746459">
            <w:pPr>
              <w:spacing w:line="500" w:lineRule="exact"/>
              <w:ind w:firstLine="566" w:firstLineChars="200"/>
              <w:rPr>
                <w:rFonts w:hint="eastAsia" w:ascii="仿宋" w:hAnsi="仿宋" w:eastAsia="仿宋" w:cs="Times New Roman"/>
              </w:rPr>
            </w:pPr>
            <w:r>
              <w:rPr>
                <w:rFonts w:hint="eastAsia" w:ascii="仿宋" w:hAnsi="仿宋" w:eastAsia="仿宋" w:cs="Times New Roman"/>
              </w:rPr>
              <w:t>b）应与选定的外包运维服务商签订相关的协议，明确约定外包运维的范围、工作内容；</w:t>
            </w:r>
          </w:p>
        </w:tc>
      </w:tr>
      <w:tr w14:paraId="73D8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DBFFD7A">
            <w:pPr>
              <w:spacing w:line="500" w:lineRule="exact"/>
              <w:ind w:firstLine="566" w:firstLineChars="200"/>
              <w:rPr>
                <w:rFonts w:hint="eastAsia" w:ascii="仿宋" w:hAnsi="仿宋" w:eastAsia="仿宋" w:cs="Times New Roman"/>
              </w:rPr>
            </w:pPr>
          </w:p>
        </w:tc>
        <w:tc>
          <w:tcPr>
            <w:tcW w:w="1610" w:type="dxa"/>
            <w:vMerge w:val="continue"/>
            <w:vAlign w:val="center"/>
          </w:tcPr>
          <w:p w14:paraId="51D34E98">
            <w:pPr>
              <w:spacing w:line="500" w:lineRule="exact"/>
              <w:ind w:firstLine="566" w:firstLineChars="200"/>
              <w:rPr>
                <w:rFonts w:hint="eastAsia" w:ascii="仿宋" w:hAnsi="仿宋" w:eastAsia="仿宋" w:cs="Times New Roman"/>
              </w:rPr>
            </w:pPr>
          </w:p>
        </w:tc>
        <w:tc>
          <w:tcPr>
            <w:tcW w:w="5303" w:type="dxa"/>
            <w:vAlign w:val="center"/>
          </w:tcPr>
          <w:p w14:paraId="44C76DBD">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c）应保证选择的外包运维服务商在技术和管理方面均应具有按照等级保护要求开展安全运维工作的能力，并将能力要求在签订的协议中明确；</w:t>
            </w:r>
          </w:p>
        </w:tc>
      </w:tr>
      <w:tr w14:paraId="51A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E9E015F">
            <w:pPr>
              <w:spacing w:line="500" w:lineRule="exact"/>
              <w:ind w:firstLine="566" w:firstLineChars="200"/>
              <w:rPr>
                <w:rFonts w:hint="eastAsia" w:ascii="仿宋" w:hAnsi="仿宋" w:eastAsia="仿宋" w:cs="Times New Roman"/>
              </w:rPr>
            </w:pPr>
          </w:p>
        </w:tc>
        <w:tc>
          <w:tcPr>
            <w:tcW w:w="1610" w:type="dxa"/>
            <w:vMerge w:val="continue"/>
            <w:vAlign w:val="center"/>
          </w:tcPr>
          <w:p w14:paraId="287E246B">
            <w:pPr>
              <w:spacing w:line="500" w:lineRule="exact"/>
              <w:ind w:firstLine="566" w:firstLineChars="200"/>
              <w:rPr>
                <w:rFonts w:hint="eastAsia" w:ascii="仿宋" w:hAnsi="仿宋" w:eastAsia="仿宋" w:cs="Times New Roman"/>
              </w:rPr>
            </w:pPr>
          </w:p>
        </w:tc>
        <w:tc>
          <w:tcPr>
            <w:tcW w:w="5303" w:type="dxa"/>
            <w:vAlign w:val="center"/>
          </w:tcPr>
          <w:p w14:paraId="0DCD616F">
            <w:pPr>
              <w:spacing w:line="500" w:lineRule="exact"/>
              <w:ind w:firstLine="566" w:firstLineChars="200"/>
              <w:rPr>
                <w:rFonts w:hint="eastAsia" w:ascii="仿宋" w:hAnsi="仿宋" w:eastAsia="仿宋" w:cs="Times New Roman"/>
              </w:rPr>
            </w:pPr>
            <w:r>
              <w:rPr>
                <w:rFonts w:hint="eastAsia" w:ascii="仿宋" w:hAnsi="仿宋" w:eastAsia="仿宋" w:cs="Times New Roman"/>
              </w:rPr>
              <w:t>d）应在与外包运维服务商签订的协议中明确所有相关的安全要求，如可能涉及对敏感信息的访问、处理、存储要求，对IT基础设施中断服务的应急保障要求等。</w:t>
            </w:r>
          </w:p>
        </w:tc>
      </w:tr>
    </w:tbl>
    <w:p w14:paraId="5CF7FE5D">
      <w:pPr>
        <w:spacing w:line="500" w:lineRule="exact"/>
        <w:ind w:firstLine="566" w:firstLineChars="200"/>
        <w:rPr>
          <w:rFonts w:hint="eastAsia" w:ascii="仿宋" w:hAnsi="仿宋" w:eastAsia="仿宋" w:cs="Times New Roman"/>
        </w:rPr>
      </w:pPr>
    </w:p>
    <w:p w14:paraId="5B2D5D2E">
      <w:pPr>
        <w:spacing w:line="500" w:lineRule="exact"/>
        <w:ind w:firstLine="566" w:firstLineChars="200"/>
        <w:rPr>
          <w:rFonts w:hint="eastAsia" w:ascii="仿宋" w:hAnsi="仿宋" w:eastAsia="仿宋" w:cs="Times New Roman"/>
        </w:rPr>
      </w:pPr>
    </w:p>
    <w:p w14:paraId="575D28EF">
      <w:pPr>
        <w:spacing w:line="500" w:lineRule="exact"/>
        <w:ind w:firstLine="566" w:firstLineChars="200"/>
        <w:rPr>
          <w:rFonts w:hint="eastAsia" w:ascii="仿宋" w:hAnsi="仿宋" w:eastAsia="仿宋" w:cs="Times New Roman"/>
        </w:rPr>
      </w:pPr>
    </w:p>
    <w:p w14:paraId="30F8CC50">
      <w:pPr>
        <w:spacing w:line="500" w:lineRule="exact"/>
        <w:ind w:firstLine="566" w:firstLineChars="200"/>
        <w:rPr>
          <w:rFonts w:hint="eastAsia" w:ascii="仿宋" w:hAnsi="仿宋" w:eastAsia="仿宋" w:cs="Times New Roman"/>
        </w:rPr>
      </w:pPr>
    </w:p>
    <w:p w14:paraId="48D14EAA">
      <w:pPr>
        <w:spacing w:line="500" w:lineRule="exact"/>
        <w:ind w:firstLine="566" w:firstLineChars="200"/>
        <w:rPr>
          <w:rFonts w:hint="eastAsia" w:ascii="仿宋" w:hAnsi="仿宋" w:eastAsia="仿宋" w:cs="Times New Roman"/>
        </w:rPr>
      </w:pPr>
      <w:r>
        <w:rPr>
          <w:rFonts w:hint="eastAsia" w:ascii="仿宋" w:hAnsi="仿宋" w:eastAsia="仿宋" w:cs="Times New Roman"/>
        </w:rPr>
        <w:t>五、项目实施结果</w:t>
      </w:r>
    </w:p>
    <w:p w14:paraId="65DAB73E">
      <w:pPr>
        <w:spacing w:line="500" w:lineRule="exact"/>
        <w:ind w:firstLine="566" w:firstLineChars="200"/>
        <w:rPr>
          <w:rFonts w:hint="eastAsia" w:ascii="仿宋" w:hAnsi="仿宋" w:eastAsia="仿宋" w:cs="Times New Roman"/>
        </w:rPr>
      </w:pPr>
      <w:r>
        <w:rPr>
          <w:rFonts w:hint="eastAsia" w:ascii="仿宋" w:hAnsi="仿宋" w:eastAsia="仿宋" w:cs="Times New Roman"/>
        </w:rPr>
        <w:t>1.验收标准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445"/>
        <w:gridCol w:w="2524"/>
        <w:gridCol w:w="1060"/>
        <w:gridCol w:w="1060"/>
      </w:tblGrid>
      <w:tr w14:paraId="6B4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7CEFBEBB">
            <w:pPr>
              <w:spacing w:line="500" w:lineRule="exact"/>
              <w:ind w:firstLine="566" w:firstLineChars="200"/>
              <w:rPr>
                <w:rFonts w:hint="eastAsia" w:ascii="仿宋" w:hAnsi="仿宋" w:eastAsia="仿宋" w:cs="Times New Roman"/>
              </w:rPr>
            </w:pPr>
            <w:r>
              <w:rPr>
                <w:rFonts w:hint="eastAsia" w:ascii="仿宋" w:hAnsi="仿宋" w:eastAsia="仿宋" w:cs="Times New Roman"/>
              </w:rPr>
              <w:t>序号</w:t>
            </w:r>
          </w:p>
        </w:tc>
        <w:tc>
          <w:tcPr>
            <w:tcW w:w="3445" w:type="dxa"/>
            <w:vAlign w:val="center"/>
          </w:tcPr>
          <w:p w14:paraId="7C753D12">
            <w:pPr>
              <w:spacing w:line="500" w:lineRule="exact"/>
              <w:ind w:firstLine="566" w:firstLineChars="200"/>
              <w:rPr>
                <w:rFonts w:hint="eastAsia" w:ascii="仿宋" w:hAnsi="仿宋" w:eastAsia="仿宋" w:cs="Times New Roman"/>
              </w:rPr>
            </w:pPr>
            <w:r>
              <w:rPr>
                <w:rFonts w:hint="eastAsia" w:ascii="仿宋" w:hAnsi="仿宋" w:eastAsia="仿宋" w:cs="Times New Roman"/>
              </w:rPr>
              <w:t>交付成果</w:t>
            </w:r>
          </w:p>
        </w:tc>
        <w:tc>
          <w:tcPr>
            <w:tcW w:w="2524" w:type="dxa"/>
            <w:vAlign w:val="center"/>
          </w:tcPr>
          <w:p w14:paraId="112313B9">
            <w:pPr>
              <w:spacing w:line="500" w:lineRule="exact"/>
              <w:ind w:firstLine="566" w:firstLineChars="200"/>
              <w:rPr>
                <w:rFonts w:hint="eastAsia" w:ascii="仿宋" w:hAnsi="仿宋" w:eastAsia="仿宋" w:cs="Times New Roman"/>
              </w:rPr>
            </w:pPr>
            <w:r>
              <w:rPr>
                <w:rFonts w:hint="eastAsia" w:ascii="仿宋" w:hAnsi="仿宋" w:eastAsia="仿宋" w:cs="Times New Roman"/>
              </w:rPr>
              <w:t>数量</w:t>
            </w:r>
          </w:p>
        </w:tc>
        <w:tc>
          <w:tcPr>
            <w:tcW w:w="825" w:type="dxa"/>
            <w:vAlign w:val="center"/>
          </w:tcPr>
          <w:p w14:paraId="2F702A4E">
            <w:pPr>
              <w:spacing w:line="500" w:lineRule="exact"/>
              <w:ind w:firstLine="566" w:firstLineChars="200"/>
              <w:rPr>
                <w:rFonts w:hint="eastAsia" w:ascii="仿宋" w:hAnsi="仿宋" w:eastAsia="仿宋" w:cs="Times New Roman"/>
              </w:rPr>
            </w:pPr>
            <w:r>
              <w:rPr>
                <w:rFonts w:hint="eastAsia" w:ascii="仿宋" w:hAnsi="仿宋" w:eastAsia="仿宋" w:cs="Times New Roman"/>
              </w:rPr>
              <w:t>阶段</w:t>
            </w:r>
          </w:p>
        </w:tc>
        <w:tc>
          <w:tcPr>
            <w:tcW w:w="926" w:type="dxa"/>
            <w:vAlign w:val="center"/>
          </w:tcPr>
          <w:p w14:paraId="702CC749">
            <w:pPr>
              <w:spacing w:line="500" w:lineRule="exact"/>
              <w:ind w:firstLine="566" w:firstLineChars="200"/>
              <w:rPr>
                <w:rFonts w:hint="eastAsia" w:ascii="仿宋" w:hAnsi="仿宋" w:eastAsia="仿宋" w:cs="Times New Roman"/>
              </w:rPr>
            </w:pPr>
            <w:r>
              <w:rPr>
                <w:rFonts w:hint="eastAsia" w:ascii="仿宋" w:hAnsi="仿宋" w:eastAsia="仿宋" w:cs="Times New Roman"/>
              </w:rPr>
              <w:t>备注</w:t>
            </w:r>
          </w:p>
        </w:tc>
      </w:tr>
      <w:tr w14:paraId="65F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4F64EBE">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3445" w:type="dxa"/>
            <w:vAlign w:val="center"/>
          </w:tcPr>
          <w:p w14:paraId="1DC2F286">
            <w:pPr>
              <w:spacing w:line="500" w:lineRule="exact"/>
              <w:ind w:firstLine="566" w:firstLineChars="200"/>
              <w:rPr>
                <w:rFonts w:hint="eastAsia" w:ascii="仿宋" w:hAnsi="仿宋" w:eastAsia="仿宋" w:cs="Times New Roman"/>
              </w:rPr>
            </w:pPr>
            <w:r>
              <w:rPr>
                <w:rFonts w:hint="eastAsia" w:ascii="仿宋" w:hAnsi="仿宋" w:eastAsia="仿宋" w:cs="Times New Roman"/>
              </w:rPr>
              <w:t>《视频会议系统等级保护测评报告》</w:t>
            </w:r>
          </w:p>
        </w:tc>
        <w:tc>
          <w:tcPr>
            <w:tcW w:w="2524" w:type="dxa"/>
            <w:vAlign w:val="center"/>
          </w:tcPr>
          <w:p w14:paraId="77916BAD">
            <w:pPr>
              <w:spacing w:line="500" w:lineRule="exact"/>
              <w:ind w:firstLine="566" w:firstLineChars="200"/>
              <w:rPr>
                <w:rFonts w:hint="eastAsia" w:ascii="仿宋" w:hAnsi="仿宋" w:eastAsia="仿宋" w:cs="Times New Roman"/>
              </w:rPr>
            </w:pPr>
            <w:r>
              <w:rPr>
                <w:rFonts w:hint="eastAsia" w:ascii="仿宋" w:hAnsi="仿宋" w:eastAsia="仿宋" w:cs="Times New Roman"/>
              </w:rPr>
              <w:t>一份</w:t>
            </w:r>
          </w:p>
        </w:tc>
        <w:tc>
          <w:tcPr>
            <w:tcW w:w="825" w:type="dxa"/>
            <w:vMerge w:val="restart"/>
            <w:vAlign w:val="center"/>
          </w:tcPr>
          <w:p w14:paraId="2ECFDD22">
            <w:pPr>
              <w:spacing w:line="500" w:lineRule="exact"/>
              <w:ind w:firstLine="566" w:firstLineChars="200"/>
              <w:rPr>
                <w:rFonts w:hint="eastAsia" w:ascii="仿宋" w:hAnsi="仿宋" w:eastAsia="仿宋" w:cs="Times New Roman"/>
              </w:rPr>
            </w:pPr>
            <w:r>
              <w:rPr>
                <w:rFonts w:hint="eastAsia" w:ascii="仿宋" w:hAnsi="仿宋" w:eastAsia="仿宋" w:cs="Times New Roman"/>
              </w:rPr>
              <w:t>验收阶段</w:t>
            </w:r>
          </w:p>
        </w:tc>
        <w:tc>
          <w:tcPr>
            <w:tcW w:w="926" w:type="dxa"/>
            <w:vAlign w:val="center"/>
          </w:tcPr>
          <w:p w14:paraId="4981BF46">
            <w:pPr>
              <w:spacing w:line="500" w:lineRule="exact"/>
              <w:ind w:firstLine="566" w:firstLineChars="200"/>
              <w:rPr>
                <w:rFonts w:hint="eastAsia" w:ascii="仿宋" w:hAnsi="仿宋" w:eastAsia="仿宋" w:cs="Times New Roman"/>
              </w:rPr>
            </w:pPr>
          </w:p>
        </w:tc>
      </w:tr>
      <w:tr w14:paraId="741B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A7125DD">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3445" w:type="dxa"/>
            <w:vAlign w:val="center"/>
          </w:tcPr>
          <w:p w14:paraId="4E64C443">
            <w:pPr>
              <w:spacing w:line="500" w:lineRule="exact"/>
              <w:ind w:firstLine="566" w:firstLineChars="200"/>
              <w:rPr>
                <w:rFonts w:hint="eastAsia" w:ascii="仿宋" w:hAnsi="仿宋" w:eastAsia="仿宋" w:cs="Times New Roman"/>
              </w:rPr>
            </w:pPr>
            <w:r>
              <w:rPr>
                <w:rFonts w:hint="eastAsia" w:ascii="仿宋" w:hAnsi="仿宋" w:eastAsia="仿宋" w:cs="Times New Roman"/>
              </w:rPr>
              <w:t>《视频会议系统安全等级保护备案证明》及材料</w:t>
            </w:r>
          </w:p>
        </w:tc>
        <w:tc>
          <w:tcPr>
            <w:tcW w:w="2524" w:type="dxa"/>
            <w:vAlign w:val="center"/>
          </w:tcPr>
          <w:p w14:paraId="24E2AC5D">
            <w:pPr>
              <w:spacing w:line="500" w:lineRule="exact"/>
              <w:ind w:firstLine="566" w:firstLineChars="200"/>
              <w:rPr>
                <w:rFonts w:hint="eastAsia" w:ascii="仿宋" w:hAnsi="仿宋" w:eastAsia="仿宋" w:cs="Times New Roman"/>
              </w:rPr>
            </w:pPr>
            <w:r>
              <w:rPr>
                <w:rFonts w:hint="eastAsia" w:ascii="仿宋" w:hAnsi="仿宋" w:eastAsia="仿宋" w:cs="Times New Roman"/>
              </w:rPr>
              <w:t>一份</w:t>
            </w:r>
          </w:p>
        </w:tc>
        <w:tc>
          <w:tcPr>
            <w:tcW w:w="825" w:type="dxa"/>
            <w:vMerge w:val="continue"/>
            <w:vAlign w:val="center"/>
          </w:tcPr>
          <w:p w14:paraId="2E37338F">
            <w:pPr>
              <w:spacing w:line="500" w:lineRule="exact"/>
              <w:ind w:firstLine="566" w:firstLineChars="200"/>
              <w:rPr>
                <w:rFonts w:hint="eastAsia" w:ascii="仿宋" w:hAnsi="仿宋" w:eastAsia="仿宋" w:cs="Times New Roman"/>
              </w:rPr>
            </w:pPr>
          </w:p>
        </w:tc>
        <w:tc>
          <w:tcPr>
            <w:tcW w:w="926" w:type="dxa"/>
            <w:vAlign w:val="center"/>
          </w:tcPr>
          <w:p w14:paraId="14905C6F">
            <w:pPr>
              <w:spacing w:line="500" w:lineRule="exact"/>
              <w:ind w:firstLine="566" w:firstLineChars="200"/>
              <w:rPr>
                <w:rFonts w:hint="eastAsia" w:ascii="仿宋" w:hAnsi="仿宋" w:eastAsia="仿宋" w:cs="Times New Roman"/>
              </w:rPr>
            </w:pPr>
          </w:p>
        </w:tc>
      </w:tr>
    </w:tbl>
    <w:p w14:paraId="7340364A">
      <w:pPr>
        <w:spacing w:line="500" w:lineRule="exact"/>
        <w:ind w:firstLine="566" w:firstLineChars="200"/>
        <w:rPr>
          <w:rFonts w:hint="eastAsia" w:ascii="仿宋" w:hAnsi="仿宋" w:eastAsia="仿宋" w:cs="Times New Roman"/>
        </w:rPr>
      </w:pPr>
    </w:p>
    <w:p w14:paraId="0DD030A6">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采购内容及清单合同包4：</w:t>
      </w:r>
    </w:p>
    <w:p w14:paraId="03FB7C5A">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采购预算：￥70,000.00元</w:t>
      </w:r>
    </w:p>
    <w:p w14:paraId="413CBF2C">
      <w:pPr>
        <w:spacing w:line="500" w:lineRule="exact"/>
        <w:ind w:firstLine="566" w:firstLineChars="200"/>
        <w:rPr>
          <w:rFonts w:hint="eastAsia" w:ascii="仿宋" w:hAnsi="仿宋" w:eastAsia="仿宋" w:cs="Times New Roman"/>
        </w:rPr>
      </w:pPr>
      <w:r>
        <w:rPr>
          <w:rFonts w:hint="eastAsia" w:ascii="仿宋" w:hAnsi="仿宋" w:eastAsia="仿宋" w:cs="Times New Roman"/>
        </w:rPr>
        <w:t>1.根据密码应用测评过程指南和测评要求,对系统密码应用现状进行技术、管理的标准符合性测评(商用密码应用的合规性、正确性、有效性)。</w:t>
      </w:r>
    </w:p>
    <w:p w14:paraId="300ED889">
      <w:pPr>
        <w:spacing w:line="500" w:lineRule="exact"/>
        <w:ind w:firstLine="566" w:firstLineChars="200"/>
        <w:rPr>
          <w:rFonts w:hint="eastAsia" w:ascii="仿宋" w:hAnsi="仿宋" w:eastAsia="仿宋" w:cs="Times New Roman"/>
        </w:rPr>
      </w:pPr>
      <w:r>
        <w:rPr>
          <w:rFonts w:hint="eastAsia" w:ascii="仿宋" w:hAnsi="仿宋" w:eastAsia="仿宋" w:cs="Times New Roman"/>
        </w:rPr>
        <w:t>（1）总体要求:包括密码算法、密码技术、密码产品、密码服务等四个方面的安全性评估；</w:t>
      </w:r>
    </w:p>
    <w:p w14:paraId="3F9C80FD">
      <w:pPr>
        <w:spacing w:line="500" w:lineRule="exact"/>
        <w:ind w:firstLine="566" w:firstLineChars="200"/>
        <w:rPr>
          <w:rFonts w:hint="eastAsia" w:ascii="仿宋" w:hAnsi="仿宋" w:eastAsia="仿宋" w:cs="Times New Roman"/>
        </w:rPr>
      </w:pPr>
      <w:r>
        <w:rPr>
          <w:rFonts w:hint="eastAsia" w:ascii="仿宋" w:hAnsi="仿宋" w:eastAsia="仿宋" w:cs="Times New Roman"/>
        </w:rPr>
        <w:t>（2）安全管理:包括制度管理、人员管理、实施管理、应急管理等方面的安全性评估；</w:t>
      </w:r>
    </w:p>
    <w:p w14:paraId="61989F6F">
      <w:pPr>
        <w:spacing w:line="500" w:lineRule="exact"/>
        <w:ind w:firstLine="566" w:firstLineChars="200"/>
        <w:rPr>
          <w:rFonts w:hint="eastAsia" w:ascii="仿宋" w:hAnsi="仿宋" w:eastAsia="仿宋" w:cs="Times New Roman"/>
        </w:rPr>
      </w:pPr>
      <w:r>
        <w:rPr>
          <w:rFonts w:hint="eastAsia" w:ascii="仿宋" w:hAnsi="仿宋" w:eastAsia="仿宋" w:cs="Times New Roman"/>
        </w:rPr>
        <w:t>（3）提供全生命周期密钥使用合理化建议及培训；</w:t>
      </w:r>
    </w:p>
    <w:p w14:paraId="75F12D48">
      <w:pPr>
        <w:spacing w:line="500" w:lineRule="exact"/>
        <w:ind w:firstLine="566" w:firstLineChars="200"/>
        <w:rPr>
          <w:rFonts w:hint="eastAsia" w:ascii="仿宋" w:hAnsi="仿宋" w:eastAsia="仿宋" w:cs="Times New Roman"/>
        </w:rPr>
      </w:pPr>
      <w:r>
        <w:rPr>
          <w:rFonts w:hint="eastAsia" w:ascii="仿宋" w:hAnsi="仿宋" w:eastAsia="仿宋" w:cs="Times New Roman"/>
        </w:rPr>
        <w:t>（4）协助完成评估结果备案相关工作。</w:t>
      </w:r>
    </w:p>
    <w:p w14:paraId="29FD0DDE">
      <w:pPr>
        <w:spacing w:line="500" w:lineRule="exact"/>
        <w:ind w:firstLine="566" w:firstLineChars="200"/>
        <w:rPr>
          <w:rFonts w:hint="eastAsia" w:ascii="仿宋" w:hAnsi="仿宋" w:eastAsia="仿宋" w:cs="Times New Roman"/>
        </w:rPr>
      </w:pPr>
    </w:p>
    <w:p w14:paraId="157AD1C9">
      <w:pPr>
        <w:spacing w:line="500" w:lineRule="exact"/>
        <w:ind w:firstLine="606" w:firstLineChars="200"/>
        <w:rPr>
          <w:rFonts w:hint="eastAsia" w:ascii="仿宋" w:hAnsi="仿宋" w:eastAsia="仿宋" w:cs="Times New Roman"/>
          <w:b/>
          <w:sz w:val="30"/>
          <w:szCs w:val="30"/>
        </w:rPr>
      </w:pPr>
    </w:p>
    <w:p w14:paraId="781BBE8E">
      <w:pPr>
        <w:spacing w:line="500" w:lineRule="exact"/>
        <w:ind w:firstLine="606" w:firstLineChars="200"/>
        <w:rPr>
          <w:rFonts w:hint="eastAsia" w:ascii="仿宋" w:hAnsi="仿宋" w:eastAsia="仿宋" w:cs="Times New Roman"/>
          <w:b/>
          <w:sz w:val="30"/>
          <w:szCs w:val="30"/>
        </w:rPr>
      </w:pPr>
    </w:p>
    <w:p w14:paraId="757F85DF">
      <w:pPr>
        <w:spacing w:line="500" w:lineRule="exact"/>
        <w:ind w:firstLine="606" w:firstLineChars="200"/>
        <w:rPr>
          <w:rFonts w:hint="eastAsia" w:ascii="仿宋" w:hAnsi="仿宋" w:eastAsia="仿宋" w:cs="Times New Roman"/>
          <w:b/>
          <w:sz w:val="30"/>
          <w:szCs w:val="30"/>
        </w:rPr>
      </w:pPr>
    </w:p>
    <w:p w14:paraId="5C27729C">
      <w:pPr>
        <w:spacing w:line="500" w:lineRule="exact"/>
        <w:ind w:firstLine="606" w:firstLineChars="200"/>
        <w:rPr>
          <w:rFonts w:hint="eastAsia" w:ascii="仿宋" w:hAnsi="仿宋" w:eastAsia="仿宋" w:cs="Times New Roman"/>
          <w:b/>
          <w:sz w:val="30"/>
          <w:szCs w:val="30"/>
        </w:rPr>
      </w:pPr>
    </w:p>
    <w:p w14:paraId="4000B7C5">
      <w:pPr>
        <w:spacing w:line="500" w:lineRule="exact"/>
        <w:ind w:firstLine="606" w:firstLineChars="200"/>
        <w:rPr>
          <w:rFonts w:hint="eastAsia" w:ascii="仿宋" w:hAnsi="仿宋" w:eastAsia="仿宋" w:cs="Times New Roman"/>
          <w:b/>
          <w:sz w:val="30"/>
          <w:szCs w:val="30"/>
        </w:rPr>
      </w:pPr>
    </w:p>
    <w:p w14:paraId="35D4B35F">
      <w:pPr>
        <w:spacing w:line="500" w:lineRule="exact"/>
        <w:rPr>
          <w:rFonts w:hint="eastAsia" w:ascii="仿宋" w:hAnsi="仿宋" w:eastAsia="仿宋" w:cs="Times New Roman"/>
          <w:b/>
          <w:sz w:val="30"/>
          <w:szCs w:val="30"/>
        </w:rPr>
      </w:pPr>
    </w:p>
    <w:p w14:paraId="4263AF3B">
      <w:pPr>
        <w:pStyle w:val="29"/>
        <w:spacing w:line="500" w:lineRule="exact"/>
        <w:ind w:firstLine="0" w:firstLineChars="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14:paraId="537BBFCA">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93"/>
      <w:bookmarkEnd w:id="194"/>
      <w:bookmarkEnd w:id="195"/>
      <w:bookmarkEnd w:id="196"/>
      <w:bookmarkEnd w:id="197"/>
      <w:bookmarkEnd w:id="198"/>
      <w:bookmarkEnd w:id="199"/>
    </w:p>
    <w:p w14:paraId="1FCC4761">
      <w:pPr>
        <w:spacing w:line="500" w:lineRule="exact"/>
        <w:ind w:firstLine="566"/>
        <w:rPr>
          <w:rFonts w:ascii="仿宋" w:hAnsi="仿宋" w:eastAsia="仿宋" w:cs="Times New Roman"/>
        </w:rPr>
      </w:pPr>
      <w:r>
        <w:rPr>
          <w:rFonts w:ascii="仿宋" w:hAnsi="仿宋" w:eastAsia="仿宋" w:cs="Times New Roman"/>
        </w:rPr>
        <w:t>（一）</w:t>
      </w:r>
      <w:r>
        <w:rPr>
          <w:rFonts w:hint="eastAsia" w:ascii="仿宋" w:hAnsi="仿宋" w:eastAsia="仿宋" w:cs="Times New Roman"/>
        </w:rPr>
        <w:t>服务地点：甲方指定地点</w:t>
      </w:r>
    </w:p>
    <w:p w14:paraId="09E57F46">
      <w:pPr>
        <w:spacing w:line="500" w:lineRule="exact"/>
        <w:ind w:firstLine="566"/>
        <w:rPr>
          <w:rFonts w:ascii="仿宋" w:hAnsi="仿宋" w:eastAsia="仿宋" w:cs="Times New Roman"/>
        </w:rPr>
      </w:pPr>
      <w:r>
        <w:rPr>
          <w:rFonts w:hint="eastAsia" w:ascii="仿宋" w:hAnsi="仿宋" w:eastAsia="仿宋" w:cs="Times New Roman"/>
        </w:rPr>
        <w:t>（二）服务期：</w:t>
      </w:r>
      <w:bookmarkStart w:id="200" w:name="_Toc48834109"/>
      <w:bookmarkStart w:id="201" w:name="_Toc48834468"/>
      <w:bookmarkStart w:id="202" w:name="_Toc48834179"/>
      <w:bookmarkStart w:id="203" w:name="_Toc48834306"/>
      <w:bookmarkStart w:id="204" w:name="_Toc48834547"/>
      <w:bookmarkStart w:id="205" w:name="_Toc12082"/>
      <w:bookmarkStart w:id="206" w:name="_Toc14082140"/>
      <w:r>
        <w:rPr>
          <w:rFonts w:hint="eastAsia" w:ascii="仿宋" w:hAnsi="仿宋" w:eastAsia="仿宋" w:cs="Times New Roman"/>
        </w:rPr>
        <w:t>一年</w:t>
      </w:r>
    </w:p>
    <w:p w14:paraId="298AF108">
      <w:pPr>
        <w:spacing w:line="500" w:lineRule="exact"/>
        <w:rPr>
          <w:rFonts w:ascii="仿宋" w:hAnsi="仿宋" w:eastAsia="仿宋" w:cs="Times New Roman"/>
          <w:b/>
        </w:rPr>
      </w:pPr>
      <w:r>
        <w:rPr>
          <w:rFonts w:ascii="仿宋" w:hAnsi="仿宋" w:eastAsia="仿宋" w:cs="Times New Roman"/>
          <w:b/>
        </w:rPr>
        <w:t>二、合同价款</w:t>
      </w:r>
      <w:bookmarkEnd w:id="200"/>
      <w:bookmarkEnd w:id="201"/>
      <w:bookmarkEnd w:id="202"/>
      <w:bookmarkEnd w:id="203"/>
      <w:bookmarkEnd w:id="204"/>
      <w:bookmarkEnd w:id="205"/>
      <w:bookmarkEnd w:id="206"/>
    </w:p>
    <w:p w14:paraId="552574C3">
      <w:pPr>
        <w:spacing w:line="500" w:lineRule="exact"/>
        <w:ind w:firstLine="566" w:firstLineChars="200"/>
        <w:rPr>
          <w:rFonts w:ascii="仿宋" w:hAnsi="仿宋" w:eastAsia="仿宋" w:cs="Times New Roman"/>
        </w:rPr>
      </w:pPr>
      <w:bookmarkStart w:id="207"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包干价</w:t>
      </w:r>
      <w:r>
        <w:rPr>
          <w:rFonts w:ascii="仿宋" w:hAnsi="仿宋" w:eastAsia="仿宋" w:cs="Times New Roman"/>
        </w:rPr>
        <w:t>，不受市场价格变化因素的影响。</w:t>
      </w:r>
    </w:p>
    <w:p w14:paraId="76F61919">
      <w:pPr>
        <w:pStyle w:val="29"/>
        <w:spacing w:line="500" w:lineRule="exact"/>
        <w:ind w:firstLine="566" w:firstLineChars="200"/>
        <w:outlineLvl w:val="1"/>
        <w:rPr>
          <w:rFonts w:ascii="仿宋" w:hAnsi="仿宋" w:eastAsia="仿宋" w:cs="Times New Roman"/>
          <w:b/>
          <w:sz w:val="28"/>
          <w:szCs w:val="28"/>
        </w:rPr>
      </w:pPr>
      <w:bookmarkStart w:id="208" w:name="_Toc48834548"/>
      <w:bookmarkStart w:id="209" w:name="_Toc7025"/>
      <w:bookmarkStart w:id="210" w:name="_Toc48834110"/>
      <w:bookmarkStart w:id="211" w:name="_Toc48834307"/>
      <w:bookmarkStart w:id="212" w:name="_Toc48834469"/>
      <w:bookmarkStart w:id="213" w:name="_Toc48834180"/>
      <w:r>
        <w:rPr>
          <w:rFonts w:ascii="仿宋" w:hAnsi="仿宋" w:eastAsia="仿宋" w:cs="Times New Roman"/>
          <w:b/>
          <w:sz w:val="28"/>
          <w:szCs w:val="28"/>
        </w:rPr>
        <w:t>三、款项结算</w:t>
      </w:r>
      <w:bookmarkEnd w:id="207"/>
      <w:bookmarkEnd w:id="208"/>
      <w:bookmarkEnd w:id="209"/>
      <w:bookmarkEnd w:id="210"/>
      <w:bookmarkEnd w:id="211"/>
      <w:bookmarkEnd w:id="212"/>
      <w:bookmarkEnd w:id="213"/>
    </w:p>
    <w:p w14:paraId="26240298">
      <w:pPr>
        <w:pStyle w:val="86"/>
        <w:spacing w:line="500" w:lineRule="exact"/>
        <w:ind w:firstLine="567"/>
        <w:rPr>
          <w:rFonts w:ascii="仿宋" w:hAnsi="仿宋" w:eastAsia="仿宋" w:cs="Times New Roman"/>
        </w:rPr>
      </w:pPr>
      <w:r>
        <w:rPr>
          <w:rFonts w:ascii="仿宋" w:hAnsi="仿宋" w:eastAsia="仿宋" w:cs="Times New Roman"/>
        </w:rPr>
        <w:t>（一）支付方式：银行转账</w:t>
      </w:r>
    </w:p>
    <w:p w14:paraId="75398F47">
      <w:pPr>
        <w:pStyle w:val="86"/>
        <w:spacing w:line="500" w:lineRule="exact"/>
        <w:ind w:firstLine="567"/>
        <w:rPr>
          <w:rFonts w:ascii="仿宋" w:hAnsi="仿宋" w:eastAsia="仿宋" w:cs="Times New Roman"/>
        </w:rPr>
      </w:pPr>
      <w:r>
        <w:rPr>
          <w:rFonts w:ascii="仿宋" w:hAnsi="仿宋" w:eastAsia="仿宋" w:cs="Times New Roman"/>
        </w:rPr>
        <w:t>（二）货币单位：人民币</w:t>
      </w:r>
    </w:p>
    <w:p w14:paraId="4631CEF8">
      <w:pPr>
        <w:spacing w:line="360" w:lineRule="auto"/>
        <w:ind w:firstLine="566" w:firstLineChars="200"/>
        <w:rPr>
          <w:rFonts w:hint="eastAsia" w:ascii="仿宋" w:hAnsi="仿宋" w:eastAsia="仿宋" w:cs="Times New Roman"/>
        </w:rPr>
      </w:pPr>
      <w:r>
        <w:rPr>
          <w:rFonts w:hint="eastAsia" w:ascii="仿宋" w:hAnsi="仿宋" w:eastAsia="仿宋" w:cs="Times New Roman"/>
        </w:rPr>
        <w:t>（三）结算方式</w:t>
      </w:r>
      <w:bookmarkStart w:id="214" w:name="_Toc48834470"/>
      <w:bookmarkStart w:id="215" w:name="_Toc48834549"/>
      <w:bookmarkStart w:id="216" w:name="_Toc48834308"/>
      <w:bookmarkStart w:id="217" w:name="_Toc48834111"/>
      <w:bookmarkStart w:id="218" w:name="_Toc48834181"/>
      <w:bookmarkStart w:id="219" w:name="_Toc41402087"/>
      <w:bookmarkStart w:id="220" w:name="_Toc14082147"/>
      <w:bookmarkStart w:id="221" w:name="_Toc14082144"/>
      <w:bookmarkStart w:id="222" w:name="_Toc28437"/>
      <w:r>
        <w:rPr>
          <w:rFonts w:hint="eastAsia" w:ascii="仿宋" w:hAnsi="仿宋" w:eastAsia="仿宋" w:cs="Times New Roman"/>
        </w:rPr>
        <w:t>：1.合同签定后 15 个工作日内，乙方提供付款信息及等额的发票后，由甲方支付合同总价的 40%;</w:t>
      </w:r>
    </w:p>
    <w:p w14:paraId="6CA0411C">
      <w:pPr>
        <w:spacing w:line="360" w:lineRule="auto"/>
        <w:ind w:firstLine="566" w:firstLineChars="200"/>
        <w:rPr>
          <w:rFonts w:hint="eastAsia" w:ascii="仿宋" w:hAnsi="仿宋" w:eastAsia="仿宋" w:cs="Times New Roman"/>
        </w:rPr>
      </w:pPr>
      <w:r>
        <w:rPr>
          <w:rFonts w:hint="eastAsia" w:ascii="仿宋" w:hAnsi="仿宋" w:eastAsia="仿宋" w:cs="Times New Roman"/>
        </w:rPr>
        <w:t>2.系统正常运行后15 个工作日内，乙方提供等额的发票，由甲方向乙方支付合同总金额的40%;</w:t>
      </w:r>
    </w:p>
    <w:p w14:paraId="4DCD13B0">
      <w:pPr>
        <w:spacing w:line="360" w:lineRule="auto"/>
        <w:ind w:firstLine="566" w:firstLineChars="200"/>
        <w:rPr>
          <w:rFonts w:hint="eastAsia" w:ascii="仿宋" w:hAnsi="仿宋" w:eastAsia="仿宋" w:cs="Times New Roman"/>
        </w:rPr>
      </w:pPr>
      <w:r>
        <w:rPr>
          <w:rFonts w:hint="eastAsia" w:ascii="仿宋" w:hAnsi="仿宋" w:eastAsia="仿宋" w:cs="Times New Roman"/>
        </w:rPr>
        <w:t>3.项目整体实施完成且通过甲方竣工验收后十个工作日内，乙方提供足额的发票，甲方向乙方支付合同总金额的 20%。</w:t>
      </w:r>
    </w:p>
    <w:p w14:paraId="05A830A9">
      <w:pPr>
        <w:spacing w:line="360" w:lineRule="auto"/>
        <w:ind w:firstLine="566" w:firstLineChars="200"/>
        <w:rPr>
          <w:rFonts w:ascii="仿宋" w:hAnsi="仿宋" w:eastAsia="仿宋" w:cs="Times New Roman"/>
          <w:b/>
        </w:rPr>
      </w:pPr>
      <w:r>
        <w:rPr>
          <w:rFonts w:ascii="仿宋" w:hAnsi="仿宋" w:eastAsia="仿宋" w:cs="Times New Roman"/>
          <w:b/>
        </w:rPr>
        <w:t>四、服务保证</w:t>
      </w:r>
      <w:bookmarkEnd w:id="214"/>
      <w:bookmarkEnd w:id="215"/>
      <w:bookmarkEnd w:id="216"/>
      <w:bookmarkEnd w:id="217"/>
      <w:bookmarkEnd w:id="218"/>
    </w:p>
    <w:p w14:paraId="463A56D2">
      <w:pPr>
        <w:pStyle w:val="86"/>
        <w:spacing w:line="500" w:lineRule="exact"/>
        <w:ind w:firstLine="567"/>
        <w:rPr>
          <w:rFonts w:ascii="仿宋" w:hAnsi="仿宋" w:eastAsia="仿宋" w:cs="Times New Roman"/>
        </w:rPr>
      </w:pPr>
      <w:r>
        <w:rPr>
          <w:rFonts w:hint="eastAsia" w:ascii="仿宋" w:hAnsi="仿宋" w:eastAsia="仿宋" w:cs="Times New Roman"/>
        </w:rPr>
        <w:t>（一）提供的服务必须满足招标文件要求。</w:t>
      </w:r>
    </w:p>
    <w:p w14:paraId="7366C321">
      <w:pPr>
        <w:pStyle w:val="86"/>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14:paraId="5E060F30">
      <w:pPr>
        <w:pStyle w:val="29"/>
        <w:spacing w:line="500" w:lineRule="exact"/>
        <w:ind w:firstLine="566" w:firstLineChars="200"/>
        <w:outlineLvl w:val="1"/>
        <w:rPr>
          <w:rFonts w:ascii="仿宋" w:hAnsi="仿宋" w:eastAsia="仿宋" w:cs="Times New Roman"/>
          <w:b/>
          <w:sz w:val="28"/>
          <w:szCs w:val="28"/>
        </w:rPr>
      </w:pPr>
      <w:bookmarkStart w:id="223" w:name="_Toc48834550"/>
      <w:bookmarkStart w:id="224" w:name="_Toc48834112"/>
      <w:bookmarkStart w:id="225" w:name="_Toc48834471"/>
      <w:bookmarkStart w:id="226" w:name="_Toc48834309"/>
      <w:bookmarkStart w:id="227" w:name="_Toc48834182"/>
      <w:r>
        <w:rPr>
          <w:rFonts w:ascii="仿宋" w:hAnsi="仿宋" w:eastAsia="仿宋" w:cs="Times New Roman"/>
          <w:b/>
          <w:sz w:val="28"/>
          <w:szCs w:val="28"/>
        </w:rPr>
        <w:t>五、服务承诺</w:t>
      </w:r>
      <w:bookmarkEnd w:id="223"/>
      <w:bookmarkEnd w:id="224"/>
      <w:bookmarkEnd w:id="225"/>
      <w:bookmarkEnd w:id="226"/>
      <w:bookmarkEnd w:id="227"/>
    </w:p>
    <w:p w14:paraId="6389750E">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14:paraId="416EF092">
      <w:pPr>
        <w:pStyle w:val="29"/>
        <w:spacing w:line="500" w:lineRule="exact"/>
        <w:ind w:firstLine="566" w:firstLineChars="200"/>
        <w:outlineLvl w:val="1"/>
        <w:rPr>
          <w:rFonts w:ascii="仿宋" w:hAnsi="仿宋" w:eastAsia="仿宋" w:cs="Times New Roman"/>
          <w:b/>
          <w:sz w:val="28"/>
          <w:szCs w:val="28"/>
        </w:rPr>
      </w:pPr>
      <w:bookmarkStart w:id="228" w:name="_Toc48834310"/>
      <w:bookmarkStart w:id="229" w:name="_Toc48834472"/>
      <w:bookmarkStart w:id="230" w:name="_Toc48834183"/>
      <w:bookmarkStart w:id="231" w:name="_Toc48834113"/>
      <w:bookmarkStart w:id="232" w:name="_Toc48834551"/>
      <w:r>
        <w:rPr>
          <w:rFonts w:ascii="仿宋" w:hAnsi="仿宋" w:eastAsia="仿宋" w:cs="Times New Roman"/>
          <w:b/>
          <w:sz w:val="28"/>
          <w:szCs w:val="28"/>
        </w:rPr>
        <w:t>六、违约责任</w:t>
      </w:r>
      <w:bookmarkEnd w:id="228"/>
      <w:bookmarkEnd w:id="229"/>
      <w:bookmarkEnd w:id="230"/>
      <w:bookmarkEnd w:id="231"/>
      <w:bookmarkEnd w:id="232"/>
    </w:p>
    <w:p w14:paraId="2E7D5CA2">
      <w:pPr>
        <w:spacing w:line="500" w:lineRule="exact"/>
        <w:ind w:firstLine="566" w:firstLineChars="200"/>
        <w:rPr>
          <w:rFonts w:ascii="仿宋" w:hAnsi="仿宋" w:eastAsia="仿宋" w:cs="Times New Roman"/>
        </w:rPr>
      </w:pPr>
      <w:r>
        <w:rPr>
          <w:rFonts w:ascii="仿宋" w:hAnsi="仿宋" w:eastAsia="仿宋" w:cs="Times New Roman"/>
        </w:rPr>
        <w:t>（一）按</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中的相关条款执行。</w:t>
      </w:r>
    </w:p>
    <w:p w14:paraId="55AB2238">
      <w:pPr>
        <w:spacing w:line="500" w:lineRule="exact"/>
        <w:ind w:firstLine="566"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有关条款及合同约定终止合同，并要求</w:t>
      </w:r>
      <w:r>
        <w:rPr>
          <w:rFonts w:hint="eastAsia" w:ascii="仿宋" w:hAnsi="仿宋" w:eastAsia="仿宋" w:cs="Times New Roman"/>
        </w:rPr>
        <w:t>中标人</w:t>
      </w:r>
      <w:r>
        <w:rPr>
          <w:rFonts w:ascii="仿宋" w:hAnsi="仿宋" w:eastAsia="仿宋" w:cs="Times New Roman"/>
        </w:rPr>
        <w:t>承担违约责任。</w:t>
      </w:r>
    </w:p>
    <w:p w14:paraId="7CD621B1">
      <w:pPr>
        <w:pStyle w:val="29"/>
        <w:spacing w:line="500" w:lineRule="exact"/>
        <w:ind w:firstLine="566" w:firstLineChars="200"/>
        <w:outlineLvl w:val="1"/>
        <w:rPr>
          <w:rFonts w:ascii="仿宋" w:hAnsi="仿宋" w:eastAsia="仿宋" w:cs="Times New Roman"/>
          <w:b/>
          <w:sz w:val="28"/>
          <w:szCs w:val="28"/>
        </w:rPr>
      </w:pPr>
      <w:bookmarkStart w:id="233" w:name="_Toc48834552"/>
      <w:bookmarkStart w:id="234" w:name="_Toc48834311"/>
      <w:bookmarkStart w:id="235" w:name="_Toc48834473"/>
      <w:bookmarkStart w:id="236" w:name="_Toc48834114"/>
      <w:bookmarkStart w:id="237" w:name="_Toc48834184"/>
      <w:r>
        <w:rPr>
          <w:rFonts w:ascii="仿宋" w:hAnsi="仿宋" w:eastAsia="仿宋" w:cs="Times New Roman"/>
          <w:b/>
          <w:sz w:val="28"/>
          <w:szCs w:val="28"/>
        </w:rPr>
        <w:t>七、争议解决</w:t>
      </w:r>
      <w:bookmarkEnd w:id="233"/>
      <w:bookmarkEnd w:id="234"/>
      <w:bookmarkEnd w:id="235"/>
      <w:bookmarkEnd w:id="236"/>
      <w:bookmarkEnd w:id="237"/>
    </w:p>
    <w:p w14:paraId="739586B2">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w:t>
      </w:r>
      <w:r>
        <w:rPr>
          <w:rFonts w:hint="eastAsia" w:ascii="仿宋" w:hAnsi="仿宋" w:eastAsia="仿宋" w:cs="Times New Roman"/>
        </w:rPr>
        <w:t>中标人</w:t>
      </w:r>
      <w:r>
        <w:rPr>
          <w:rFonts w:ascii="仿宋" w:hAnsi="仿宋" w:eastAsia="仿宋" w:cs="Times New Roman"/>
        </w:rPr>
        <w:t>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14:paraId="5F689AD8">
      <w:pPr>
        <w:pStyle w:val="29"/>
        <w:spacing w:line="500" w:lineRule="exact"/>
        <w:ind w:firstLine="566" w:firstLineChars="200"/>
        <w:outlineLvl w:val="1"/>
        <w:rPr>
          <w:rFonts w:ascii="仿宋" w:hAnsi="仿宋" w:eastAsia="仿宋" w:cs="Times New Roman"/>
          <w:b/>
          <w:sz w:val="28"/>
          <w:szCs w:val="28"/>
        </w:rPr>
      </w:pPr>
      <w:bookmarkStart w:id="238" w:name="_Toc48834553"/>
      <w:bookmarkStart w:id="239" w:name="_Toc48834115"/>
      <w:bookmarkStart w:id="240" w:name="_Toc48834312"/>
      <w:bookmarkStart w:id="241" w:name="_Toc48834185"/>
      <w:bookmarkStart w:id="242" w:name="_Toc48834474"/>
      <w:r>
        <w:rPr>
          <w:rFonts w:ascii="仿宋" w:hAnsi="仿宋" w:eastAsia="仿宋" w:cs="Times New Roman"/>
          <w:b/>
          <w:sz w:val="28"/>
          <w:szCs w:val="28"/>
        </w:rPr>
        <w:t>八、合同生效及其他</w:t>
      </w:r>
      <w:bookmarkEnd w:id="238"/>
      <w:bookmarkEnd w:id="239"/>
      <w:bookmarkEnd w:id="240"/>
      <w:bookmarkEnd w:id="241"/>
      <w:bookmarkEnd w:id="242"/>
    </w:p>
    <w:p w14:paraId="6883F17D">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14:paraId="459534E4">
      <w:pPr>
        <w:spacing w:line="500" w:lineRule="exact"/>
        <w:ind w:firstLine="566" w:firstLineChars="200"/>
        <w:rPr>
          <w:rFonts w:ascii="仿宋" w:hAnsi="仿宋" w:eastAsia="仿宋" w:cs="Times New Roman"/>
        </w:rPr>
      </w:pPr>
      <w:r>
        <w:rPr>
          <w:rFonts w:ascii="仿宋" w:hAnsi="仿宋" w:eastAsia="仿宋" w:cs="Times New Roman"/>
        </w:rPr>
        <w:t>2、合同一式</w:t>
      </w:r>
      <w:r>
        <w:rPr>
          <w:rFonts w:hint="eastAsia" w:ascii="仿宋" w:hAnsi="仿宋" w:eastAsia="仿宋" w:cs="Times New Roman"/>
        </w:rPr>
        <w:t>七</w:t>
      </w:r>
      <w:r>
        <w:rPr>
          <w:rFonts w:ascii="仿宋" w:hAnsi="仿宋" w:eastAsia="仿宋" w:cs="Times New Roman"/>
        </w:rPr>
        <w:t>份，采购人</w:t>
      </w:r>
      <w:r>
        <w:rPr>
          <w:rFonts w:hint="eastAsia" w:ascii="仿宋" w:hAnsi="仿宋" w:eastAsia="仿宋" w:cs="Times New Roman"/>
        </w:rPr>
        <w:t>两</w:t>
      </w:r>
      <w:r>
        <w:rPr>
          <w:rFonts w:ascii="仿宋" w:hAnsi="仿宋" w:eastAsia="仿宋" w:cs="Times New Roman"/>
        </w:rPr>
        <w:t>份，</w:t>
      </w:r>
      <w:r>
        <w:rPr>
          <w:rFonts w:hint="eastAsia" w:ascii="仿宋" w:hAnsi="仿宋" w:eastAsia="仿宋" w:cs="Times New Roman"/>
        </w:rPr>
        <w:t>中标人</w:t>
      </w:r>
      <w:r>
        <w:rPr>
          <w:rFonts w:ascii="仿宋" w:hAnsi="仿宋" w:eastAsia="仿宋" w:cs="Times New Roman"/>
        </w:rPr>
        <w:t>、市采购中心各执一份；政府采购监管机构备案一份，</w:t>
      </w:r>
      <w:r>
        <w:rPr>
          <w:rFonts w:hint="eastAsia" w:ascii="仿宋" w:hAnsi="仿宋" w:eastAsia="仿宋" w:cs="Times New Roman"/>
        </w:rPr>
        <w:t>中标人</w:t>
      </w:r>
      <w:r>
        <w:rPr>
          <w:rFonts w:ascii="仿宋" w:hAnsi="仿宋" w:eastAsia="仿宋" w:cs="Times New Roman"/>
        </w:rPr>
        <w:t>办理结算两份。</w:t>
      </w:r>
    </w:p>
    <w:p w14:paraId="6DAC85F2">
      <w:pPr>
        <w:spacing w:line="500" w:lineRule="exact"/>
        <w:ind w:firstLine="566" w:firstLineChars="200"/>
        <w:rPr>
          <w:rFonts w:ascii="仿宋" w:hAnsi="仿宋" w:eastAsia="仿宋" w:cs="Times New Roman"/>
        </w:rPr>
        <w:sectPr>
          <w:headerReference r:id="rId10" w:type="default"/>
          <w:footerReference r:id="rId11" w:type="default"/>
          <w:pgSz w:w="11906" w:h="16838"/>
          <w:pgMar w:top="1417" w:right="1418" w:bottom="1417" w:left="1418" w:header="851" w:footer="794" w:gutter="0"/>
          <w:cols w:space="720" w:num="1"/>
          <w:docGrid w:type="linesAndChars" w:linePitch="381" w:charSpace="704"/>
        </w:sectPr>
      </w:pPr>
      <w:r>
        <w:rPr>
          <w:rFonts w:ascii="仿宋" w:hAnsi="仿宋" w:eastAsia="仿宋" w:cs="Times New Roman"/>
        </w:rPr>
        <w:t>3、未尽事宜由双方在签订合同时具体明确。</w:t>
      </w:r>
      <w:bookmarkEnd w:id="219"/>
      <w:bookmarkEnd w:id="220"/>
      <w:bookmarkEnd w:id="221"/>
      <w:bookmarkEnd w:id="222"/>
      <w:bookmarkStart w:id="243" w:name="_Toc495014651"/>
      <w:bookmarkStart w:id="244" w:name="_Toc495014922"/>
      <w:bookmarkStart w:id="245" w:name="_Toc495014956"/>
      <w:bookmarkStart w:id="246" w:name="_Toc48834313"/>
      <w:bookmarkStart w:id="247" w:name="_Toc48834116"/>
      <w:bookmarkStart w:id="248" w:name="_Toc48834475"/>
      <w:bookmarkStart w:id="249" w:name="_Toc9680"/>
      <w:bookmarkStart w:id="250" w:name="_Toc495012773"/>
      <w:bookmarkStart w:id="251" w:name="_Toc48834186"/>
      <w:bookmarkStart w:id="252" w:name="_Toc495012823"/>
      <w:bookmarkStart w:id="253" w:name="_Toc495014587"/>
      <w:bookmarkStart w:id="254" w:name="_Toc4769"/>
      <w:bookmarkStart w:id="255" w:name="_Toc495014613"/>
      <w:bookmarkStart w:id="256" w:name="_Toc445306495"/>
      <w:bookmarkStart w:id="257" w:name="_Toc48834554"/>
      <w:bookmarkStart w:id="258" w:name="_Toc13809"/>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53E8C47A">
      <w:pPr>
        <w:spacing w:line="500" w:lineRule="exact"/>
        <w:ind w:firstLine="646" w:firstLineChars="200"/>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投标文件构成及格式</w:t>
      </w:r>
    </w:p>
    <w:p w14:paraId="0E47E389">
      <w:pPr>
        <w:spacing w:line="500" w:lineRule="exact"/>
        <w:ind w:firstLine="566" w:firstLineChars="200"/>
        <w:rPr>
          <w:rFonts w:ascii="仿宋" w:hAnsi="仿宋" w:eastAsia="仿宋" w:cs="Times New Roman"/>
        </w:rPr>
      </w:pPr>
    </w:p>
    <w:p w14:paraId="5C12E0D1">
      <w:pPr>
        <w:spacing w:line="500" w:lineRule="exact"/>
        <w:ind w:firstLine="566" w:firstLineChars="200"/>
        <w:rPr>
          <w:rFonts w:ascii="仿宋" w:hAnsi="仿宋" w:eastAsia="仿宋" w:cs="Times New Roman"/>
        </w:rPr>
      </w:pPr>
    </w:p>
    <w:p w14:paraId="37D00DAC">
      <w:pPr>
        <w:pStyle w:val="25"/>
        <w:spacing w:line="500" w:lineRule="exact"/>
        <w:ind w:firstLine="486" w:firstLineChars="200"/>
        <w:rPr>
          <w:rFonts w:ascii="仿宋" w:hAnsi="仿宋" w:eastAsia="仿宋" w:cs="Times New Roman"/>
        </w:rPr>
      </w:pPr>
    </w:p>
    <w:tbl>
      <w:tblPr>
        <w:tblStyle w:val="3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96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3117B9E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注释： </w:t>
            </w:r>
          </w:p>
          <w:p w14:paraId="1CFB891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1、本章分为三部分，是为方便投标人制作投标文件设计。第一、二部分应按要求或给定格式填报。</w:t>
            </w:r>
          </w:p>
          <w:p w14:paraId="75485D5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2、第三部分投标方案格式仅供参考，投标人应根据项目特点，结合本次招标要求，对有关表格进行补充或修改，但不得对实质性文件的相关条款做出变动。</w:t>
            </w:r>
          </w:p>
        </w:tc>
      </w:tr>
    </w:tbl>
    <w:p w14:paraId="32F04A40">
      <w:pPr>
        <w:rPr>
          <w:rFonts w:ascii="仿宋" w:hAnsi="仿宋" w:eastAsia="仿宋" w:cs="Times New Roman"/>
          <w:sz w:val="36"/>
          <w:szCs w:val="36"/>
        </w:rPr>
      </w:pPr>
      <w:r>
        <w:rPr>
          <w:rFonts w:ascii="仿宋" w:hAnsi="仿宋" w:eastAsia="仿宋" w:cs="Times New Roman"/>
          <w:sz w:val="36"/>
          <w:szCs w:val="36"/>
        </w:rPr>
        <w:br w:type="page"/>
      </w:r>
    </w:p>
    <w:p w14:paraId="67F641AE">
      <w:pPr>
        <w:pStyle w:val="86"/>
        <w:spacing w:line="240" w:lineRule="auto"/>
        <w:ind w:firstLine="0" w:firstLineChars="0"/>
        <w:rPr>
          <w:rFonts w:ascii="仿宋" w:hAnsi="仿宋" w:eastAsia="仿宋" w:cs="Times New Roman"/>
        </w:rPr>
      </w:pPr>
      <w:r>
        <w:rPr>
          <w:rFonts w:ascii="仿宋" w:hAnsi="仿宋" w:eastAsia="仿宋" w:cs="Times New Roman"/>
        </w:rPr>
        <w:t>封面格式</w:t>
      </w:r>
    </w:p>
    <w:p w14:paraId="22E5AFD8">
      <w:pPr>
        <w:pStyle w:val="86"/>
        <w:spacing w:line="240" w:lineRule="auto"/>
        <w:ind w:firstLine="253" w:firstLineChars="70"/>
        <w:rPr>
          <w:rFonts w:ascii="仿宋" w:hAnsi="仿宋" w:eastAsia="仿宋" w:cs="Times New Roman"/>
          <w:sz w:val="36"/>
          <w:szCs w:val="36"/>
        </w:rPr>
      </w:pPr>
    </w:p>
    <w:p w14:paraId="56AD3B2B">
      <w:pPr>
        <w:spacing w:line="240" w:lineRule="auto"/>
        <w:jc w:val="center"/>
        <w:rPr>
          <w:rFonts w:ascii="仿宋" w:hAnsi="仿宋" w:eastAsia="仿宋" w:cs="Times New Roman"/>
          <w:sz w:val="60"/>
          <w:szCs w:val="60"/>
        </w:rPr>
      </w:pPr>
      <w:r>
        <w:rPr>
          <w:rFonts w:hint="eastAsia" w:ascii="仿宋" w:hAnsi="仿宋" w:eastAsia="仿宋" w:cs="Times New Roman"/>
          <w:sz w:val="60"/>
          <w:szCs w:val="60"/>
        </w:rPr>
        <w:t>榆林市</w:t>
      </w:r>
      <w:r>
        <w:rPr>
          <w:rFonts w:ascii="仿宋" w:hAnsi="仿宋" w:eastAsia="仿宋" w:cs="Times New Roman"/>
          <w:sz w:val="60"/>
          <w:szCs w:val="60"/>
        </w:rPr>
        <w:t>政府采购服务项目</w:t>
      </w:r>
    </w:p>
    <w:p w14:paraId="15C8845A">
      <w:pPr>
        <w:spacing w:line="500" w:lineRule="exact"/>
        <w:ind w:right="11"/>
        <w:rPr>
          <w:rFonts w:ascii="仿宋" w:hAnsi="仿宋" w:eastAsia="仿宋" w:cs="Times New Roman"/>
          <w:u w:val="single"/>
        </w:rPr>
      </w:pPr>
    </w:p>
    <w:p w14:paraId="113DF314">
      <w:pPr>
        <w:pStyle w:val="86"/>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投标文</w:t>
      </w:r>
      <w:r>
        <w:rPr>
          <w:rFonts w:ascii="仿宋" w:hAnsi="仿宋" w:eastAsia="仿宋" w:cs="Times New Roman"/>
          <w:kern w:val="0"/>
          <w:sz w:val="96"/>
          <w:szCs w:val="96"/>
        </w:rPr>
        <w:t>件</w:t>
      </w:r>
    </w:p>
    <w:p w14:paraId="018FB27D">
      <w:pPr>
        <w:pStyle w:val="86"/>
        <w:spacing w:line="240" w:lineRule="auto"/>
        <w:ind w:firstLine="0" w:firstLineChars="0"/>
        <w:rPr>
          <w:rFonts w:ascii="仿宋" w:hAnsi="仿宋" w:eastAsia="仿宋" w:cs="Times New Roman"/>
          <w:sz w:val="36"/>
        </w:rPr>
      </w:pPr>
    </w:p>
    <w:p w14:paraId="349652AB">
      <w:pPr>
        <w:pStyle w:val="86"/>
        <w:spacing w:line="240" w:lineRule="auto"/>
        <w:ind w:firstLine="0" w:firstLineChars="0"/>
        <w:rPr>
          <w:rFonts w:ascii="仿宋" w:hAnsi="仿宋" w:eastAsia="仿宋" w:cs="Times New Roman"/>
          <w:sz w:val="36"/>
        </w:rPr>
      </w:pPr>
    </w:p>
    <w:p w14:paraId="38E16C28">
      <w:pPr>
        <w:pStyle w:val="86"/>
        <w:spacing w:line="240" w:lineRule="auto"/>
        <w:ind w:firstLine="0" w:firstLineChars="0"/>
        <w:rPr>
          <w:rFonts w:ascii="仿宋" w:hAnsi="仿宋" w:eastAsia="仿宋" w:cs="Times New Roman"/>
          <w:sz w:val="36"/>
        </w:rPr>
      </w:pPr>
    </w:p>
    <w:p w14:paraId="611DBB0B">
      <w:pPr>
        <w:pStyle w:val="86"/>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14:paraId="667F45B3">
      <w:pPr>
        <w:pStyle w:val="86"/>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14:paraId="29F916CC">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标段名称：</w:t>
      </w:r>
    </w:p>
    <w:p w14:paraId="053ED703">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标段编号：</w:t>
      </w:r>
    </w:p>
    <w:p w14:paraId="5C362110">
      <w:pPr>
        <w:pStyle w:val="86"/>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14:paraId="584D4EDF">
      <w:pPr>
        <w:pStyle w:val="86"/>
        <w:spacing w:line="500" w:lineRule="exact"/>
        <w:ind w:firstLine="1452" w:firstLineChars="400"/>
        <w:jc w:val="center"/>
        <w:rPr>
          <w:rFonts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黑体"/>
          <w:bCs/>
          <w:sz w:val="40"/>
          <w:szCs w:val="40"/>
        </w:rPr>
        <w:t>目 录</w:t>
      </w:r>
    </w:p>
    <w:p w14:paraId="5F1DCD5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第一部分  资格证明文件</w:t>
      </w:r>
      <w:r>
        <w:rPr>
          <w:rFonts w:ascii="仿宋" w:hAnsi="仿宋" w:eastAsia="仿宋" w:cs="Times New Roman"/>
        </w:rPr>
        <w:tab/>
      </w:r>
      <w:r>
        <w:rPr>
          <w:rFonts w:ascii="仿宋" w:hAnsi="仿宋" w:eastAsia="仿宋" w:cs="Times New Roman"/>
        </w:rPr>
        <w:t>X</w:t>
      </w:r>
    </w:p>
    <w:p w14:paraId="4AC04859">
      <w:pPr>
        <w:tabs>
          <w:tab w:val="right" w:leader="hyphen" w:pos="8504"/>
        </w:tabs>
        <w:spacing w:line="500" w:lineRule="exact"/>
        <w:ind w:firstLine="566" w:firstLineChars="200"/>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14:paraId="42BD056D">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基本资格条件承诺函</w:t>
      </w:r>
      <w:r>
        <w:rPr>
          <w:rFonts w:ascii="仿宋" w:hAnsi="仿宋" w:eastAsia="仿宋" w:cs="Times New Roman"/>
        </w:rPr>
        <w:tab/>
      </w:r>
      <w:r>
        <w:rPr>
          <w:rFonts w:ascii="仿宋" w:hAnsi="仿宋" w:eastAsia="仿宋" w:cs="Times New Roman"/>
        </w:rPr>
        <w:t>X</w:t>
      </w:r>
    </w:p>
    <w:p w14:paraId="1F31A062">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、法定代表人授权委托书</w:t>
      </w:r>
      <w:r>
        <w:rPr>
          <w:rFonts w:ascii="仿宋" w:hAnsi="仿宋" w:eastAsia="仿宋" w:cs="Times New Roman"/>
        </w:rPr>
        <w:tab/>
      </w:r>
      <w:r>
        <w:rPr>
          <w:rFonts w:ascii="仿宋" w:hAnsi="仿宋" w:eastAsia="仿宋" w:cs="Times New Roman"/>
        </w:rPr>
        <w:t>X</w:t>
      </w:r>
    </w:p>
    <w:p w14:paraId="354618D3">
      <w:pPr>
        <w:tabs>
          <w:tab w:val="right" w:leader="hyphen" w:pos="8504"/>
        </w:tabs>
        <w:spacing w:line="500" w:lineRule="exact"/>
        <w:ind w:left="283" w:leftChars="100" w:firstLine="283" w:firstLineChars="100"/>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、榆林市政府采购工程类/货物类/服务类项目供应商</w:t>
      </w:r>
      <w:r>
        <w:rPr>
          <w:rFonts w:hint="eastAsia" w:ascii="仿宋" w:hAnsi="仿宋" w:eastAsia="仿宋" w:cs="Times New Roman"/>
        </w:rPr>
        <w:t xml:space="preserve">            </w:t>
      </w:r>
      <w:r>
        <w:rPr>
          <w:rFonts w:ascii="仿宋" w:hAnsi="仿宋" w:eastAsia="仿宋" w:cs="Times New Roman"/>
        </w:rPr>
        <w:t>信用承诺书</w:t>
      </w:r>
      <w:r>
        <w:rPr>
          <w:rFonts w:ascii="仿宋" w:hAnsi="仿宋" w:eastAsia="仿宋" w:cs="Times New Roman"/>
        </w:rPr>
        <w:tab/>
      </w:r>
      <w:r>
        <w:rPr>
          <w:rFonts w:ascii="仿宋" w:hAnsi="仿宋" w:eastAsia="仿宋" w:cs="Times New Roman"/>
        </w:rPr>
        <w:t>X</w:t>
      </w:r>
    </w:p>
    <w:p w14:paraId="338994B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r>
        <w:rPr>
          <w:rFonts w:ascii="仿宋" w:hAnsi="仿宋" w:eastAsia="仿宋" w:cs="Times New Roman"/>
        </w:rPr>
        <w:tab/>
      </w:r>
      <w:r>
        <w:rPr>
          <w:rFonts w:ascii="仿宋" w:hAnsi="仿宋" w:eastAsia="仿宋" w:cs="Times New Roman"/>
        </w:rPr>
        <w:t>X</w:t>
      </w:r>
    </w:p>
    <w:p w14:paraId="43C8CBE1">
      <w:pPr>
        <w:tabs>
          <w:tab w:val="right" w:leader="hyphen" w:pos="8504"/>
        </w:tabs>
        <w:spacing w:line="500" w:lineRule="exact"/>
        <w:ind w:firstLine="1415" w:firstLineChars="5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r>
        <w:rPr>
          <w:rFonts w:ascii="仿宋" w:hAnsi="仿宋" w:eastAsia="仿宋" w:cs="Times New Roman"/>
        </w:rPr>
        <w:tab/>
      </w:r>
      <w:r>
        <w:rPr>
          <w:rFonts w:ascii="仿宋" w:hAnsi="仿宋" w:eastAsia="仿宋" w:cs="Times New Roman"/>
        </w:rPr>
        <w:t>X</w:t>
      </w:r>
    </w:p>
    <w:p w14:paraId="4A474615">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第二部分  符合性证明文件</w:t>
      </w:r>
      <w:r>
        <w:rPr>
          <w:rFonts w:ascii="仿宋" w:hAnsi="仿宋" w:eastAsia="仿宋" w:cs="Times New Roman"/>
        </w:rPr>
        <w:tab/>
      </w:r>
      <w:r>
        <w:rPr>
          <w:rFonts w:ascii="仿宋" w:hAnsi="仿宋" w:eastAsia="仿宋" w:cs="Times New Roman"/>
        </w:rPr>
        <w:t>X</w:t>
      </w:r>
    </w:p>
    <w:p w14:paraId="710ABF2D">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一、投标函格式</w:t>
      </w:r>
      <w:r>
        <w:rPr>
          <w:rFonts w:ascii="仿宋" w:hAnsi="仿宋" w:eastAsia="仿宋" w:cs="Times New Roman"/>
        </w:rPr>
        <w:tab/>
      </w:r>
      <w:r>
        <w:rPr>
          <w:rFonts w:ascii="仿宋" w:hAnsi="仿宋" w:eastAsia="仿宋" w:cs="Times New Roman"/>
        </w:rPr>
        <w:t>X</w:t>
      </w:r>
    </w:p>
    <w:p w14:paraId="6951400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二、开标一览表</w:t>
      </w:r>
      <w:r>
        <w:rPr>
          <w:rFonts w:ascii="仿宋" w:hAnsi="仿宋" w:eastAsia="仿宋" w:cs="Times New Roman"/>
        </w:rPr>
        <w:tab/>
      </w:r>
      <w:r>
        <w:rPr>
          <w:rFonts w:ascii="仿宋" w:hAnsi="仿宋" w:eastAsia="仿宋" w:cs="Times New Roman"/>
        </w:rPr>
        <w:t>X</w:t>
      </w:r>
    </w:p>
    <w:p w14:paraId="25853870">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分项报价表</w:t>
      </w:r>
      <w:r>
        <w:rPr>
          <w:rFonts w:ascii="仿宋" w:hAnsi="仿宋" w:eastAsia="仿宋" w:cs="Times New Roman"/>
        </w:rPr>
        <w:tab/>
      </w:r>
      <w:r>
        <w:rPr>
          <w:rFonts w:ascii="仿宋" w:hAnsi="仿宋" w:eastAsia="仿宋" w:cs="Times New Roman"/>
        </w:rPr>
        <w:t>X</w:t>
      </w:r>
    </w:p>
    <w:p w14:paraId="3EF12A6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三</w:t>
      </w:r>
      <w:r>
        <w:rPr>
          <w:rFonts w:ascii="仿宋" w:hAnsi="仿宋" w:eastAsia="仿宋" w:cs="Times New Roman"/>
        </w:rPr>
        <w:t>、投标人参加政府采购活动承诺书</w:t>
      </w:r>
      <w:r>
        <w:rPr>
          <w:rFonts w:ascii="仿宋" w:hAnsi="仿宋" w:eastAsia="仿宋" w:cs="Times New Roman"/>
        </w:rPr>
        <w:tab/>
      </w:r>
      <w:r>
        <w:rPr>
          <w:rFonts w:ascii="仿宋" w:hAnsi="仿宋" w:eastAsia="仿宋" w:cs="Times New Roman"/>
        </w:rPr>
        <w:t>X</w:t>
      </w:r>
    </w:p>
    <w:p w14:paraId="1B9C7AA2">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四</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14:paraId="3CDA630F">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五</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14:paraId="5FF3A976">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第三部分  投标方案</w:t>
      </w:r>
      <w:r>
        <w:rPr>
          <w:rFonts w:ascii="仿宋" w:hAnsi="仿宋" w:eastAsia="仿宋" w:cs="Times New Roman"/>
        </w:rPr>
        <w:tab/>
      </w:r>
      <w:r>
        <w:rPr>
          <w:rFonts w:ascii="仿宋" w:hAnsi="仿宋" w:eastAsia="仿宋" w:cs="Times New Roman"/>
        </w:rPr>
        <w:t>X</w:t>
      </w:r>
    </w:p>
    <w:p w14:paraId="0E93F923">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一、投标人性质及其概况</w:t>
      </w:r>
      <w:r>
        <w:rPr>
          <w:rFonts w:ascii="仿宋" w:hAnsi="仿宋" w:eastAsia="仿宋" w:cs="Times New Roman"/>
        </w:rPr>
        <w:tab/>
      </w:r>
      <w:r>
        <w:rPr>
          <w:rFonts w:ascii="仿宋" w:hAnsi="仿宋" w:eastAsia="仿宋" w:cs="Times New Roman"/>
        </w:rPr>
        <w:t>X</w:t>
      </w:r>
    </w:p>
    <w:p w14:paraId="28E35363">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投标人基本信息</w:t>
      </w:r>
      <w:r>
        <w:rPr>
          <w:rFonts w:ascii="仿宋" w:hAnsi="仿宋" w:eastAsia="仿宋" w:cs="Times New Roman"/>
        </w:rPr>
        <w:tab/>
      </w:r>
      <w:r>
        <w:rPr>
          <w:rFonts w:ascii="仿宋" w:hAnsi="仿宋" w:eastAsia="仿宋" w:cs="Times New Roman"/>
        </w:rPr>
        <w:t>X</w:t>
      </w:r>
    </w:p>
    <w:p w14:paraId="08BBF26F">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投标人性质</w:t>
      </w:r>
      <w:r>
        <w:rPr>
          <w:rFonts w:ascii="仿宋" w:hAnsi="仿宋" w:eastAsia="仿宋" w:cs="Times New Roman"/>
        </w:rPr>
        <w:tab/>
      </w:r>
      <w:r>
        <w:rPr>
          <w:rFonts w:ascii="仿宋" w:hAnsi="仿宋" w:eastAsia="仿宋" w:cs="Times New Roman"/>
        </w:rPr>
        <w:t>X</w:t>
      </w:r>
    </w:p>
    <w:p w14:paraId="789744E8">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14:paraId="2BFEBF02">
      <w:pPr>
        <w:numPr>
          <w:ilvl w:val="0"/>
          <w:numId w:val="10"/>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投标方案</w:t>
      </w:r>
      <w:r>
        <w:rPr>
          <w:rFonts w:ascii="仿宋" w:hAnsi="仿宋" w:eastAsia="仿宋" w:cs="Times New Roman"/>
        </w:rPr>
        <w:tab/>
      </w:r>
      <w:r>
        <w:rPr>
          <w:rFonts w:ascii="仿宋" w:hAnsi="仿宋" w:eastAsia="仿宋" w:cs="Times New Roman"/>
        </w:rPr>
        <w:t>X</w:t>
      </w:r>
    </w:p>
    <w:p w14:paraId="4F2C924C">
      <w:pPr>
        <w:numPr>
          <w:ilvl w:val="0"/>
          <w:numId w:val="10"/>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14:paraId="3CADF7E8">
      <w:pPr>
        <w:tabs>
          <w:tab w:val="right" w:leader="hyphen" w:pos="8504"/>
        </w:tabs>
        <w:spacing w:line="500" w:lineRule="exact"/>
        <w:ind w:right="849" w:rightChars="300" w:firstLine="1415" w:firstLineChars="500"/>
        <w:rPr>
          <w:rFonts w:ascii="仿宋" w:hAnsi="仿宋" w:eastAsia="仿宋" w:cs="Times New Roman"/>
          <w:sz w:val="24"/>
          <w:szCs w:val="24"/>
        </w:rPr>
      </w:pPr>
      <w:r>
        <w:rPr>
          <w:rFonts w:ascii="仿宋" w:hAnsi="仿宋" w:eastAsia="仿宋" w:cs="Times New Roman"/>
        </w:rPr>
        <w:t>四、投标人认为有利于中标的其他情况说明</w:t>
      </w:r>
      <w:r>
        <w:rPr>
          <w:rFonts w:ascii="仿宋" w:hAnsi="仿宋" w:eastAsia="仿宋" w:cs="Times New Roman"/>
        </w:rPr>
        <w:tab/>
      </w:r>
      <w:r>
        <w:rPr>
          <w:rFonts w:ascii="仿宋" w:hAnsi="仿宋" w:eastAsia="仿宋" w:cs="Times New Roman"/>
        </w:rPr>
        <w:t>X</w:t>
      </w:r>
    </w:p>
    <w:p w14:paraId="5D3352E2">
      <w:pPr>
        <w:pStyle w:val="92"/>
        <w:spacing w:line="500" w:lineRule="exact"/>
        <w:ind w:firstLine="566" w:firstLineChars="200"/>
        <w:outlineLvl w:val="9"/>
        <w:rPr>
          <w:rFonts w:ascii="仿宋" w:hAnsi="仿宋" w:eastAsia="仿宋"/>
          <w:sz w:val="24"/>
          <w:szCs w:val="24"/>
        </w:rPr>
      </w:pPr>
      <w:r>
        <w:rPr>
          <w:rFonts w:ascii="仿宋" w:hAnsi="仿宋" w:eastAsia="仿宋"/>
          <w:sz w:val="28"/>
          <w:szCs w:val="28"/>
        </w:rPr>
        <w:br w:type="page"/>
      </w:r>
      <w:bookmarkStart w:id="259" w:name="_Toc48834476"/>
      <w:bookmarkStart w:id="260" w:name="_Toc13465"/>
      <w:bookmarkStart w:id="261" w:name="_Toc48834555"/>
      <w:bookmarkStart w:id="262" w:name="_Toc1615"/>
      <w:bookmarkStart w:id="263" w:name="_Toc48834314"/>
      <w:bookmarkStart w:id="264" w:name="_Toc48834117"/>
      <w:bookmarkStart w:id="265" w:name="_Toc48834187"/>
      <w:r>
        <w:rPr>
          <w:rFonts w:ascii="仿宋" w:hAnsi="仿宋" w:eastAsia="仿宋"/>
        </w:rPr>
        <w:t>第一部分  资格证明文件</w:t>
      </w:r>
      <w:bookmarkEnd w:id="259"/>
      <w:bookmarkEnd w:id="260"/>
      <w:bookmarkEnd w:id="261"/>
      <w:bookmarkEnd w:id="262"/>
      <w:bookmarkEnd w:id="263"/>
      <w:bookmarkEnd w:id="264"/>
      <w:bookmarkEnd w:id="265"/>
    </w:p>
    <w:p w14:paraId="0C09BF05">
      <w:pPr>
        <w:spacing w:line="500" w:lineRule="exact"/>
        <w:ind w:firstLine="566" w:firstLineChars="200"/>
        <w:rPr>
          <w:rFonts w:ascii="仿宋" w:hAnsi="仿宋" w:eastAsia="仿宋" w:cs="Times New Roman"/>
          <w:b/>
        </w:rPr>
      </w:pPr>
      <w:r>
        <w:rPr>
          <w:rFonts w:hint="eastAsia" w:ascii="仿宋" w:hAnsi="仿宋" w:eastAsia="仿宋" w:cs="Times New Roman"/>
        </w:rPr>
        <w:t>投标人按以下要求逐一提供全部资料，缺少其中任何一项，其投标文件将被视为</w:t>
      </w:r>
      <w:r>
        <w:rPr>
          <w:rFonts w:hint="eastAsia" w:ascii="仿宋" w:hAnsi="仿宋" w:eastAsia="仿宋" w:cs="Times New Roman"/>
          <w:b/>
        </w:rPr>
        <w:t>无效文件</w:t>
      </w:r>
      <w:r>
        <w:rPr>
          <w:rFonts w:hint="eastAsia" w:ascii="仿宋" w:hAnsi="仿宋" w:eastAsia="仿宋" w:cs="Times New Roman"/>
        </w:rPr>
        <w:t>。其中，《基本资格条件承诺函》、</w:t>
      </w:r>
      <w:r>
        <w:rPr>
          <w:rFonts w:ascii="仿宋" w:hAnsi="仿宋" w:eastAsia="仿宋" w:cs="Times New Roman"/>
        </w:rPr>
        <w:t>《法定代表人授权委托书》</w:t>
      </w:r>
      <w:r>
        <w:rPr>
          <w:rFonts w:hint="eastAsia" w:ascii="仿宋" w:hAnsi="仿宋" w:eastAsia="仿宋" w:cs="Times New Roman"/>
        </w:rPr>
        <w:t>、</w:t>
      </w:r>
      <w:r>
        <w:rPr>
          <w:rFonts w:ascii="仿宋" w:hAnsi="仿宋" w:eastAsia="仿宋" w:cs="Times New Roman"/>
        </w:rPr>
        <w:t>《榆林市政府采购工程类/货物类/服务类项目投标人信用承诺书》</w:t>
      </w:r>
      <w:r>
        <w:rPr>
          <w:rFonts w:hint="eastAsia" w:ascii="仿宋" w:hAnsi="仿宋" w:eastAsia="仿宋" w:cs="Times New Roman"/>
        </w:rPr>
        <w:t>、应</w:t>
      </w:r>
      <w:r>
        <w:rPr>
          <w:rFonts w:ascii="仿宋" w:hAnsi="仿宋" w:eastAsia="仿宋" w:cs="Times New Roman"/>
        </w:rPr>
        <w:t>按下文给定格式填写，</w:t>
      </w:r>
      <w:r>
        <w:rPr>
          <w:rFonts w:hint="eastAsia" w:ascii="仿宋" w:hAnsi="仿宋" w:eastAsia="仿宋" w:cs="Times New Roman"/>
          <w:b/>
          <w:u w:val="single"/>
        </w:rPr>
        <w:t>《中小企业声明函（工程、服务）》按第六章第三部投标方案中给定格式填写</w:t>
      </w:r>
      <w:r>
        <w:rPr>
          <w:rFonts w:ascii="仿宋" w:hAnsi="仿宋" w:eastAsia="仿宋" w:cs="Times New Roman"/>
          <w:b/>
          <w:u w:val="single"/>
        </w:rPr>
        <w:t>，</w:t>
      </w:r>
      <w:r>
        <w:rPr>
          <w:rFonts w:ascii="仿宋" w:hAnsi="仿宋" w:eastAsia="仿宋" w:cs="Times New Roman"/>
        </w:rPr>
        <w:t>否则按</w:t>
      </w:r>
      <w:r>
        <w:rPr>
          <w:rFonts w:ascii="仿宋" w:hAnsi="仿宋" w:eastAsia="仿宋" w:cs="Times New Roman"/>
          <w:b/>
        </w:rPr>
        <w:t>无效处理</w:t>
      </w:r>
      <w:r>
        <w:rPr>
          <w:rFonts w:ascii="仿宋" w:hAnsi="仿宋" w:eastAsia="仿宋" w:cs="Times New Roman"/>
        </w:rPr>
        <w:t>。特别说明，法定代表人亲自参加投标的，可不提供法定代表人授权委托书，但须提供其本人身份证（正反面）复印件。</w:t>
      </w:r>
    </w:p>
    <w:p w14:paraId="07B95E9C">
      <w:pPr>
        <w:spacing w:line="500" w:lineRule="exact"/>
        <w:ind w:firstLine="566" w:firstLineChars="200"/>
        <w:rPr>
          <w:rFonts w:ascii="仿宋" w:hAnsi="仿宋" w:eastAsia="仿宋" w:cs="Times New Roman"/>
        </w:rPr>
      </w:pPr>
      <w:bookmarkStart w:id="266" w:name="_Toc726"/>
      <w:bookmarkStart w:id="267" w:name="_Toc22518"/>
      <w:bookmarkStart w:id="268" w:name="_Toc17411"/>
      <w:bookmarkStart w:id="269" w:name="_Toc9011"/>
      <w:bookmarkStart w:id="270" w:name="_Toc528596084"/>
      <w:bookmarkStart w:id="271" w:name="_Toc17677"/>
      <w:r>
        <w:rPr>
          <w:rFonts w:ascii="仿宋" w:hAnsi="仿宋" w:eastAsia="仿宋" w:cs="Times New Roman"/>
        </w:rPr>
        <w:t>一、营业执照等主体资格证明文件</w:t>
      </w:r>
      <w:r>
        <w:rPr>
          <w:rFonts w:ascii="仿宋" w:hAnsi="仿宋" w:eastAsia="仿宋" w:cs="Times New Roman"/>
        </w:rPr>
        <w:tab/>
      </w:r>
    </w:p>
    <w:p w14:paraId="04E94FD0">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基本资格条件承诺函</w:t>
      </w:r>
    </w:p>
    <w:p w14:paraId="02E0AF86">
      <w:pPr>
        <w:spacing w:line="500" w:lineRule="exact"/>
        <w:ind w:firstLine="566" w:firstLineChars="200"/>
        <w:rPr>
          <w:rFonts w:ascii="仿宋" w:hAnsi="仿宋" w:eastAsia="仿宋" w:cs="Times New Roman"/>
        </w:rPr>
      </w:pPr>
      <w:r>
        <w:rPr>
          <w:rFonts w:hint="eastAsia" w:ascii="仿宋" w:hAnsi="仿宋" w:eastAsia="仿宋" w:cs="Times New Roman"/>
        </w:rPr>
        <w:t>三</w:t>
      </w:r>
      <w:r>
        <w:rPr>
          <w:rFonts w:ascii="仿宋" w:hAnsi="仿宋" w:eastAsia="仿宋" w:cs="Times New Roman"/>
        </w:rPr>
        <w:t>、法定代表人授权委托书</w:t>
      </w:r>
      <w:r>
        <w:rPr>
          <w:rFonts w:ascii="仿宋" w:hAnsi="仿宋" w:eastAsia="仿宋" w:cs="Times New Roman"/>
        </w:rPr>
        <w:tab/>
      </w:r>
    </w:p>
    <w:p w14:paraId="1E8FF0C2">
      <w:pPr>
        <w:spacing w:line="500" w:lineRule="exact"/>
        <w:ind w:firstLine="566" w:firstLineChars="200"/>
        <w:rPr>
          <w:rFonts w:ascii="仿宋" w:hAnsi="仿宋" w:eastAsia="仿宋" w:cs="Times New Roman"/>
        </w:rPr>
      </w:pPr>
      <w:r>
        <w:rPr>
          <w:rFonts w:hint="eastAsia" w:ascii="仿宋" w:hAnsi="仿宋" w:eastAsia="仿宋" w:cs="Times New Roman"/>
        </w:rPr>
        <w:t>四</w:t>
      </w:r>
      <w:r>
        <w:rPr>
          <w:rFonts w:ascii="仿宋" w:hAnsi="仿宋" w:eastAsia="仿宋" w:cs="Times New Roman"/>
        </w:rPr>
        <w:t>、榆林市政府采购工程类/货物类/服务类项目供应商信用承诺书</w:t>
      </w:r>
    </w:p>
    <w:p w14:paraId="6DCA4BA0">
      <w:pPr>
        <w:tabs>
          <w:tab w:val="right" w:leader="hyphen" w:pos="8504"/>
        </w:tabs>
        <w:spacing w:line="500" w:lineRule="exact"/>
        <w:ind w:firstLine="566" w:firstLineChars="200"/>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p>
    <w:p w14:paraId="4DDE2630">
      <w:pPr>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p>
    <w:p w14:paraId="37F108F7">
      <w:pPr>
        <w:spacing w:line="500" w:lineRule="exact"/>
        <w:ind w:firstLine="606" w:firstLineChars="200"/>
        <w:jc w:val="left"/>
        <w:rPr>
          <w:rFonts w:ascii="仿宋" w:hAnsi="仿宋" w:eastAsia="仿宋" w:cs="Times New Roman"/>
          <w:sz w:val="30"/>
          <w:szCs w:val="30"/>
        </w:rPr>
      </w:pPr>
    </w:p>
    <w:p w14:paraId="03332C36">
      <w:pPr>
        <w:spacing w:line="500" w:lineRule="exact"/>
        <w:ind w:firstLine="606" w:firstLineChars="200"/>
        <w:jc w:val="left"/>
        <w:rPr>
          <w:rFonts w:ascii="仿宋" w:hAnsi="仿宋" w:eastAsia="仿宋" w:cs="Times New Roman"/>
          <w:sz w:val="30"/>
          <w:szCs w:val="30"/>
        </w:rPr>
      </w:pPr>
    </w:p>
    <w:p w14:paraId="0F67180D">
      <w:pPr>
        <w:spacing w:line="500" w:lineRule="exact"/>
        <w:ind w:firstLine="606" w:firstLineChars="200"/>
        <w:jc w:val="left"/>
        <w:rPr>
          <w:rFonts w:ascii="仿宋" w:hAnsi="仿宋" w:eastAsia="仿宋" w:cs="Times New Roman"/>
          <w:sz w:val="30"/>
          <w:szCs w:val="30"/>
        </w:rPr>
      </w:pPr>
    </w:p>
    <w:p w14:paraId="35C1EEF2">
      <w:pPr>
        <w:spacing w:line="500" w:lineRule="exact"/>
        <w:ind w:firstLine="606" w:firstLineChars="200"/>
        <w:jc w:val="left"/>
        <w:rPr>
          <w:rFonts w:ascii="仿宋" w:hAnsi="仿宋" w:eastAsia="仿宋" w:cs="Times New Roman"/>
          <w:sz w:val="30"/>
          <w:szCs w:val="30"/>
        </w:rPr>
      </w:pPr>
    </w:p>
    <w:p w14:paraId="58B45F35">
      <w:pPr>
        <w:spacing w:line="500" w:lineRule="exact"/>
        <w:ind w:firstLine="606" w:firstLineChars="200"/>
        <w:jc w:val="left"/>
        <w:rPr>
          <w:rFonts w:ascii="仿宋" w:hAnsi="仿宋" w:eastAsia="仿宋" w:cs="Times New Roman"/>
          <w:sz w:val="30"/>
          <w:szCs w:val="30"/>
        </w:rPr>
      </w:pPr>
    </w:p>
    <w:p w14:paraId="688AE349">
      <w:pPr>
        <w:spacing w:line="500" w:lineRule="exact"/>
        <w:ind w:firstLine="606" w:firstLineChars="200"/>
        <w:jc w:val="left"/>
        <w:rPr>
          <w:rFonts w:ascii="仿宋" w:hAnsi="仿宋" w:eastAsia="仿宋" w:cs="Times New Roman"/>
          <w:sz w:val="30"/>
          <w:szCs w:val="30"/>
        </w:rPr>
      </w:pPr>
    </w:p>
    <w:p w14:paraId="2946E0D0">
      <w:pPr>
        <w:spacing w:line="500" w:lineRule="exact"/>
        <w:ind w:firstLine="606" w:firstLineChars="200"/>
        <w:jc w:val="left"/>
        <w:rPr>
          <w:rFonts w:ascii="仿宋" w:hAnsi="仿宋" w:eastAsia="仿宋" w:cs="Times New Roman"/>
          <w:sz w:val="30"/>
          <w:szCs w:val="30"/>
        </w:rPr>
      </w:pPr>
    </w:p>
    <w:p w14:paraId="416AD04C">
      <w:pPr>
        <w:spacing w:line="500" w:lineRule="exact"/>
        <w:ind w:firstLine="606" w:firstLineChars="200"/>
        <w:jc w:val="left"/>
        <w:rPr>
          <w:rFonts w:ascii="仿宋" w:hAnsi="仿宋" w:eastAsia="仿宋" w:cs="Times New Roman"/>
          <w:sz w:val="30"/>
          <w:szCs w:val="30"/>
        </w:rPr>
      </w:pPr>
    </w:p>
    <w:p w14:paraId="05B4D7B2">
      <w:pPr>
        <w:spacing w:line="500" w:lineRule="exact"/>
        <w:ind w:firstLine="606" w:firstLineChars="200"/>
        <w:jc w:val="left"/>
        <w:rPr>
          <w:rFonts w:ascii="仿宋" w:hAnsi="仿宋" w:eastAsia="仿宋" w:cs="Times New Roman"/>
          <w:sz w:val="30"/>
          <w:szCs w:val="30"/>
        </w:rPr>
      </w:pPr>
    </w:p>
    <w:p w14:paraId="1093DFC4">
      <w:pPr>
        <w:spacing w:line="500" w:lineRule="exact"/>
        <w:ind w:firstLine="606" w:firstLineChars="200"/>
        <w:jc w:val="left"/>
        <w:rPr>
          <w:rFonts w:ascii="仿宋" w:hAnsi="仿宋" w:eastAsia="仿宋" w:cs="Times New Roman"/>
          <w:sz w:val="30"/>
          <w:szCs w:val="30"/>
        </w:rPr>
      </w:pPr>
    </w:p>
    <w:p w14:paraId="5A239FA7">
      <w:pPr>
        <w:spacing w:line="500" w:lineRule="exact"/>
        <w:ind w:firstLine="606" w:firstLineChars="200"/>
        <w:jc w:val="left"/>
        <w:rPr>
          <w:rFonts w:ascii="仿宋" w:hAnsi="仿宋" w:eastAsia="仿宋" w:cs="Times New Roman"/>
          <w:sz w:val="30"/>
          <w:szCs w:val="30"/>
        </w:rPr>
      </w:pPr>
    </w:p>
    <w:p w14:paraId="50354725">
      <w:pPr>
        <w:spacing w:line="500" w:lineRule="exact"/>
        <w:ind w:firstLine="606" w:firstLineChars="200"/>
        <w:jc w:val="left"/>
        <w:rPr>
          <w:rFonts w:ascii="仿宋" w:hAnsi="仿宋" w:eastAsia="仿宋" w:cs="Times New Roman"/>
          <w:sz w:val="30"/>
          <w:szCs w:val="30"/>
        </w:rPr>
      </w:pPr>
    </w:p>
    <w:p w14:paraId="7299FD11">
      <w:pPr>
        <w:spacing w:line="500" w:lineRule="exact"/>
        <w:ind w:firstLine="606" w:firstLineChars="200"/>
        <w:jc w:val="left"/>
        <w:rPr>
          <w:rFonts w:ascii="仿宋" w:hAnsi="仿宋" w:eastAsia="仿宋" w:cs="Times New Roman"/>
          <w:sz w:val="30"/>
          <w:szCs w:val="30"/>
        </w:rPr>
      </w:pPr>
    </w:p>
    <w:p w14:paraId="57EDB6B6">
      <w:pPr>
        <w:spacing w:line="500" w:lineRule="exact"/>
        <w:jc w:val="left"/>
        <w:rPr>
          <w:rFonts w:ascii="仿宋" w:hAnsi="仿宋" w:eastAsia="仿宋" w:cs="Times New Roman"/>
          <w:sz w:val="30"/>
          <w:szCs w:val="30"/>
        </w:rPr>
      </w:pPr>
    </w:p>
    <w:p w14:paraId="1DF59989">
      <w:pPr>
        <w:autoSpaceDE w:val="0"/>
        <w:autoSpaceDN w:val="0"/>
        <w:adjustRightInd w:val="0"/>
        <w:snapToGrid w:val="0"/>
        <w:spacing w:line="500" w:lineRule="exact"/>
        <w:ind w:firstLine="574" w:firstLineChars="200"/>
        <w:jc w:val="center"/>
        <w:rPr>
          <w:rFonts w:ascii="仿宋" w:hAnsi="仿宋" w:eastAsia="仿宋" w:cs="仿宋"/>
          <w:b/>
          <w:bCs/>
          <w:spacing w:val="2"/>
          <w:kern w:val="0"/>
        </w:rPr>
      </w:pPr>
      <w:r>
        <w:rPr>
          <w:rFonts w:hint="eastAsia" w:ascii="仿宋" w:hAnsi="仿宋" w:eastAsia="仿宋" w:cs="仿宋"/>
          <w:b/>
          <w:bCs/>
          <w:spacing w:val="2"/>
          <w:kern w:val="0"/>
        </w:rPr>
        <w:t>基本资格条件承诺函</w:t>
      </w:r>
    </w:p>
    <w:p w14:paraId="74021EF5">
      <w:pPr>
        <w:autoSpaceDE w:val="0"/>
        <w:autoSpaceDN w:val="0"/>
        <w:adjustRightInd w:val="0"/>
        <w:snapToGrid w:val="0"/>
        <w:spacing w:line="500" w:lineRule="exact"/>
        <w:ind w:firstLine="574" w:firstLineChars="200"/>
        <w:rPr>
          <w:rFonts w:ascii="仿宋" w:hAnsi="仿宋" w:eastAsia="仿宋" w:cs="仿宋"/>
          <w:spacing w:val="2"/>
          <w:kern w:val="0"/>
        </w:rPr>
      </w:pPr>
    </w:p>
    <w:p w14:paraId="6296FE64">
      <w:pPr>
        <w:autoSpaceDE w:val="0"/>
        <w:autoSpaceDN w:val="0"/>
        <w:adjustRightInd w:val="0"/>
        <w:snapToGrid w:val="0"/>
        <w:spacing w:line="500" w:lineRule="exact"/>
        <w:rPr>
          <w:rFonts w:ascii="仿宋" w:hAnsi="仿宋" w:eastAsia="仿宋" w:cs="仿宋"/>
          <w:spacing w:val="2"/>
          <w:kern w:val="0"/>
        </w:rPr>
      </w:pPr>
      <w:r>
        <w:rPr>
          <w:rFonts w:hint="eastAsia" w:ascii="仿宋" w:hAnsi="仿宋" w:eastAsia="仿宋" w:cs="仿宋"/>
          <w:spacing w:val="2"/>
          <w:kern w:val="0"/>
        </w:rPr>
        <w:t>榆林市市级政府采购中心：</w:t>
      </w:r>
    </w:p>
    <w:p w14:paraId="04B9DF5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我方作为</w:t>
      </w:r>
      <w:r>
        <w:rPr>
          <w:rFonts w:hint="eastAsia" w:ascii="仿宋" w:hAnsi="仿宋" w:eastAsia="仿宋" w:cs="仿宋"/>
          <w:spacing w:val="2"/>
          <w:kern w:val="0"/>
          <w:u w:val="single"/>
        </w:rPr>
        <w:t>项目名称</w:t>
      </w:r>
      <w:r>
        <w:rPr>
          <w:rFonts w:hint="eastAsia" w:ascii="仿宋" w:hAnsi="仿宋" w:eastAsia="仿宋" w:cs="仿宋"/>
          <w:spacing w:val="2"/>
          <w:kern w:val="0"/>
        </w:rPr>
        <w:t>（项目编号：____）第___标段的供应商，在此郑重承诺：</w:t>
      </w:r>
    </w:p>
    <w:p w14:paraId="5EC167E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1、我方具有良好的商业信誉和健全的财务会计制度，具有履行合同所必需的设备和专业技术能力，具</w:t>
      </w:r>
      <w:r>
        <w:rPr>
          <w:rFonts w:hint="eastAsia" w:ascii="仿宋" w:hAnsi="仿宋" w:eastAsia="仿宋" w:cs="仿宋"/>
          <w:spacing w:val="2"/>
          <w:kern w:val="0"/>
          <w:lang w:val="zh-CN"/>
        </w:rPr>
        <w:t>有依法缴纳税收和社会保障金的良好记录</w:t>
      </w:r>
      <w:r>
        <w:rPr>
          <w:rFonts w:hint="eastAsia" w:ascii="仿宋" w:hAnsi="仿宋" w:eastAsia="仿宋" w:cs="仿宋"/>
          <w:spacing w:val="2"/>
          <w:kern w:val="0"/>
        </w:rPr>
        <w:t>，参加本项目采购活动前三年内无重大违法活动记录。</w:t>
      </w:r>
    </w:p>
    <w:p w14:paraId="08BC454E">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2、我方未列入在信用中国网站（www.creditchina.gov.cn）“失信被执行人”、“税收违法黑名单”中，也未列入中国政府采购网（www.ccgp.gov.cn）“政府采购严重违法失信行为记录名单”中。</w:t>
      </w:r>
    </w:p>
    <w:p w14:paraId="39B839C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14:paraId="3AA2D54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我方对以上承诺负全部法律责任。</w:t>
      </w:r>
    </w:p>
    <w:p w14:paraId="18B3352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特此承诺。</w:t>
      </w:r>
    </w:p>
    <w:p w14:paraId="55757C84">
      <w:pPr>
        <w:pStyle w:val="7"/>
      </w:pPr>
    </w:p>
    <w:p w14:paraId="6ACC240E">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供应商名称：（盖章）</w:t>
      </w:r>
    </w:p>
    <w:p w14:paraId="33B4FFE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法定代表人或授权代表：（签字或盖章）</w:t>
      </w:r>
    </w:p>
    <w:p w14:paraId="2AC4D7D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日期：　　年　月　日</w:t>
      </w:r>
    </w:p>
    <w:p w14:paraId="21468891">
      <w:pPr>
        <w:autoSpaceDE w:val="0"/>
        <w:autoSpaceDN w:val="0"/>
        <w:adjustRightInd w:val="0"/>
        <w:snapToGrid w:val="0"/>
        <w:spacing w:line="500" w:lineRule="exact"/>
        <w:ind w:firstLine="574" w:firstLineChars="200"/>
        <w:rPr>
          <w:rFonts w:ascii="仿宋" w:hAnsi="仿宋" w:eastAsia="仿宋" w:cs="仿宋"/>
          <w:spacing w:val="2"/>
          <w:kern w:val="0"/>
        </w:rPr>
      </w:pPr>
    </w:p>
    <w:p w14:paraId="7B4CAC4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b/>
          <w:bCs/>
          <w:spacing w:val="2"/>
          <w:kern w:val="0"/>
        </w:rPr>
        <w:t>备注：</w:t>
      </w:r>
      <w:r>
        <w:rPr>
          <w:rFonts w:hint="eastAsia" w:ascii="仿宋" w:hAnsi="仿宋" w:eastAsia="仿宋" w:cs="仿宋"/>
          <w:spacing w:val="2"/>
          <w:kern w:val="0"/>
        </w:rPr>
        <w:t>项目不分标段的，“第___标段”空白处填写“/”。</w:t>
      </w:r>
    </w:p>
    <w:p w14:paraId="7CE521AE">
      <w:pPr>
        <w:autoSpaceDE w:val="0"/>
        <w:autoSpaceDN w:val="0"/>
        <w:adjustRightInd w:val="0"/>
        <w:snapToGrid w:val="0"/>
        <w:spacing w:line="500" w:lineRule="exact"/>
        <w:ind w:firstLine="574" w:firstLineChars="200"/>
        <w:rPr>
          <w:rFonts w:ascii="仿宋" w:hAnsi="仿宋" w:eastAsia="仿宋" w:cs="仿宋"/>
          <w:spacing w:val="2"/>
          <w:kern w:val="0"/>
        </w:rPr>
      </w:pPr>
    </w:p>
    <w:p w14:paraId="6C3F20F3">
      <w:pPr>
        <w:adjustRightInd w:val="0"/>
        <w:snapToGrid w:val="0"/>
        <w:spacing w:line="500" w:lineRule="exact"/>
      </w:pPr>
    </w:p>
    <w:p w14:paraId="1DF30D75">
      <w:pPr>
        <w:spacing w:line="500" w:lineRule="exact"/>
        <w:ind w:firstLine="606" w:firstLineChars="200"/>
        <w:jc w:val="left"/>
        <w:rPr>
          <w:rFonts w:ascii="仿宋" w:hAnsi="仿宋" w:eastAsia="仿宋" w:cs="Times New Roman"/>
          <w:sz w:val="30"/>
          <w:szCs w:val="30"/>
        </w:rPr>
      </w:pPr>
    </w:p>
    <w:p w14:paraId="0E816887">
      <w:pPr>
        <w:spacing w:line="500" w:lineRule="exact"/>
        <w:ind w:firstLine="606" w:firstLineChars="200"/>
        <w:jc w:val="left"/>
        <w:rPr>
          <w:rFonts w:ascii="仿宋" w:hAnsi="仿宋" w:eastAsia="仿宋" w:cs="Times New Roman"/>
          <w:b/>
          <w:bCs/>
          <w:sz w:val="32"/>
          <w:szCs w:val="32"/>
        </w:rPr>
      </w:pPr>
      <w:r>
        <w:rPr>
          <w:rFonts w:ascii="仿宋" w:hAnsi="仿宋" w:eastAsia="仿宋" w:cs="Times New Roman"/>
          <w:sz w:val="30"/>
          <w:szCs w:val="30"/>
        </w:rPr>
        <w:br w:type="page"/>
      </w:r>
      <w:bookmarkEnd w:id="266"/>
      <w:bookmarkEnd w:id="267"/>
      <w:bookmarkEnd w:id="268"/>
      <w:bookmarkEnd w:id="269"/>
      <w:bookmarkEnd w:id="270"/>
      <w:bookmarkEnd w:id="271"/>
      <w:bookmarkStart w:id="272" w:name="_Toc528596085"/>
      <w:bookmarkStart w:id="273" w:name="_Toc16287"/>
      <w:bookmarkStart w:id="274" w:name="_Toc9321"/>
      <w:bookmarkStart w:id="275" w:name="_Toc18571"/>
      <w:bookmarkStart w:id="276" w:name="_Toc16358"/>
      <w:bookmarkStart w:id="277" w:name="_Toc18338"/>
      <w:r>
        <w:rPr>
          <w:rFonts w:hint="eastAsia" w:ascii="仿宋" w:hAnsi="仿宋" w:eastAsia="仿宋" w:cs="Times New Roman"/>
          <w:sz w:val="30"/>
          <w:szCs w:val="30"/>
        </w:rPr>
        <w:t xml:space="preserve">                    </w:t>
      </w:r>
      <w:r>
        <w:rPr>
          <w:rFonts w:ascii="仿宋" w:hAnsi="仿宋" w:eastAsia="仿宋" w:cs="Times New Roman"/>
          <w:b/>
        </w:rPr>
        <w:t>法定代表人授权委托书</w:t>
      </w:r>
      <w:bookmarkEnd w:id="272"/>
      <w:bookmarkEnd w:id="273"/>
      <w:bookmarkEnd w:id="274"/>
      <w:bookmarkEnd w:id="275"/>
      <w:bookmarkEnd w:id="276"/>
      <w:bookmarkEnd w:id="277"/>
    </w:p>
    <w:p w14:paraId="05A73DFD">
      <w:pPr>
        <w:snapToGrid w:val="0"/>
        <w:spacing w:line="500" w:lineRule="exact"/>
        <w:ind w:firstLine="566" w:firstLineChars="200"/>
        <w:rPr>
          <w:rFonts w:ascii="仿宋" w:hAnsi="仿宋" w:eastAsia="仿宋" w:cs="Times New Roman"/>
        </w:rPr>
      </w:pPr>
      <w:r>
        <w:rPr>
          <w:rFonts w:ascii="仿宋" w:hAnsi="仿宋" w:eastAsia="仿宋" w:cs="Times New Roman"/>
        </w:rPr>
        <w:t>市采购中心：</w:t>
      </w:r>
    </w:p>
    <w:p w14:paraId="695378F3">
      <w:pPr>
        <w:spacing w:line="500" w:lineRule="exact"/>
        <w:ind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278" w:name="_top"/>
      <w:bookmarkEnd w:id="278"/>
      <w:r>
        <w:rPr>
          <w:rFonts w:ascii="仿宋" w:hAnsi="仿宋" w:eastAsia="仿宋" w:cs="Times New Roman"/>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32E707EE">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14:paraId="32E707EE">
                      <w:pPr>
                        <w:pStyle w:val="2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rPr>
        <w:t>____</w:t>
      </w:r>
      <w:r>
        <w:rPr>
          <w:rFonts w:ascii="仿宋" w:hAnsi="仿宋" w:eastAsia="仿宋" w:cs="Times New Roman"/>
        </w:rPr>
        <w:t>标段政府采购活动，就该项目的投标及合同的执行和完成，以本公司的名义处理一切与之有关的事宜。</w:t>
      </w:r>
    </w:p>
    <w:p w14:paraId="38E72403">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14:paraId="0172FABF">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14:paraId="0B8551C3">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3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F0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2D24BE4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76D9C16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vAlign w:val="center"/>
          </w:tcPr>
          <w:p w14:paraId="6CDF74B0">
            <w:pPr>
              <w:spacing w:line="500" w:lineRule="exact"/>
              <w:ind w:firstLine="566" w:firstLineChars="200"/>
              <w:rPr>
                <w:rFonts w:ascii="仿宋" w:hAnsi="仿宋" w:eastAsia="仿宋" w:cs="Times New Roman"/>
              </w:rPr>
            </w:pPr>
            <w:r>
              <w:rPr>
                <w:rFonts w:ascii="仿宋" w:hAnsi="仿宋" w:eastAsia="仿宋" w:cs="Times New Roman"/>
              </w:rPr>
              <w:t>授权代表</w:t>
            </w:r>
          </w:p>
          <w:p w14:paraId="2A5443FF">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04415116">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14:paraId="7B8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6DF75D3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362C3BD2">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vAlign w:val="center"/>
          </w:tcPr>
          <w:p w14:paraId="2164953A">
            <w:pPr>
              <w:spacing w:line="500" w:lineRule="exact"/>
              <w:ind w:firstLine="566" w:firstLineChars="200"/>
              <w:rPr>
                <w:rFonts w:ascii="仿宋" w:hAnsi="仿宋" w:eastAsia="仿宋" w:cs="Times New Roman"/>
              </w:rPr>
            </w:pPr>
            <w:r>
              <w:rPr>
                <w:rFonts w:ascii="仿宋" w:hAnsi="仿宋" w:eastAsia="仿宋" w:cs="Times New Roman"/>
              </w:rPr>
              <w:t>授权代表</w:t>
            </w:r>
          </w:p>
          <w:p w14:paraId="158AF14D">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4FE60D77">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14:paraId="71C71916">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投标人名称</w:t>
      </w:r>
      <w:r>
        <w:rPr>
          <w:rFonts w:ascii="仿宋" w:hAnsi="仿宋" w:eastAsia="仿宋" w:cs="Times New Roman"/>
        </w:rPr>
        <w:t>（盖章）       法定代表人：（签字或盖章）</w:t>
      </w:r>
    </w:p>
    <w:p w14:paraId="40BE48F3">
      <w:pPr>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日期：　年　月　日</w:t>
      </w:r>
    </w:p>
    <w:p w14:paraId="128C4492">
      <w:pPr>
        <w:spacing w:line="500" w:lineRule="exact"/>
        <w:ind w:firstLine="426" w:firstLineChars="200"/>
        <w:rPr>
          <w:rFonts w:ascii="仿宋" w:hAnsi="仿宋" w:eastAsia="仿宋" w:cs="Times New Roman"/>
          <w:sz w:val="21"/>
          <w:szCs w:val="21"/>
        </w:rPr>
      </w:pPr>
    </w:p>
    <w:p w14:paraId="51350472">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5CC27C58">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 xml:space="preserve">    2、法定代表人亲自参加投标的，无需提供该委托授权书，但须提供法定代表人本人身份证（正反面）复印件。</w:t>
      </w:r>
    </w:p>
    <w:p w14:paraId="35360E14">
      <w:pPr>
        <w:pStyle w:val="86"/>
        <w:spacing w:line="500" w:lineRule="exact"/>
        <w:ind w:firstLine="427"/>
        <w:rPr>
          <w:rFonts w:ascii="仿宋" w:hAnsi="仿宋" w:eastAsia="仿宋" w:cs="Times New Roman"/>
          <w:sz w:val="21"/>
          <w:szCs w:val="21"/>
        </w:rPr>
      </w:pPr>
      <w:r>
        <w:rPr>
          <w:rFonts w:hint="eastAsia" w:ascii="仿宋" w:hAnsi="仿宋" w:eastAsia="仿宋" w:cs="Times New Roman"/>
          <w:sz w:val="21"/>
          <w:szCs w:val="21"/>
        </w:rPr>
        <w:t xml:space="preserve">    3、</w:t>
      </w:r>
      <w:r>
        <w:rPr>
          <w:rFonts w:ascii="仿宋" w:hAnsi="仿宋" w:eastAsia="仿宋" w:cs="Times New Roman"/>
          <w:sz w:val="21"/>
          <w:szCs w:val="21"/>
        </w:rPr>
        <w:t>法定代表人签字或盖章可采用纸质签字或盖章后，上传至电子投标文件，也可使用法定代表人CA锁在电子投标文件制作软件中签章。</w:t>
      </w:r>
    </w:p>
    <w:p w14:paraId="263D42F8">
      <w:pPr>
        <w:spacing w:line="500" w:lineRule="exact"/>
        <w:ind w:firstLine="566" w:firstLineChars="200"/>
        <w:jc w:val="center"/>
        <w:rPr>
          <w:rFonts w:ascii="仿宋" w:hAnsi="仿宋" w:eastAsia="仿宋" w:cs="Times New Roman"/>
          <w:b/>
        </w:rPr>
      </w:pPr>
      <w:bookmarkStart w:id="279" w:name="_Toc48834118"/>
      <w:bookmarkStart w:id="280" w:name="_Toc528596088"/>
      <w:bookmarkStart w:id="281" w:name="_Toc28431"/>
      <w:bookmarkStart w:id="282" w:name="_Toc48834315"/>
      <w:bookmarkStart w:id="283" w:name="_Toc48834477"/>
      <w:bookmarkStart w:id="284" w:name="_Toc19672"/>
      <w:bookmarkStart w:id="285" w:name="_Toc48834188"/>
      <w:bookmarkStart w:id="286" w:name="_Toc2848"/>
      <w:bookmarkStart w:id="287" w:name="_Toc5467"/>
      <w:bookmarkStart w:id="288" w:name="_Toc20547"/>
      <w:bookmarkStart w:id="289" w:name="_Toc48834556"/>
      <w:bookmarkStart w:id="290" w:name="_Toc16759"/>
      <w:bookmarkStart w:id="291" w:name="_Toc19363"/>
      <w:bookmarkStart w:id="292" w:name="_Toc23313"/>
      <w:bookmarkStart w:id="293" w:name="_Toc21850"/>
      <w:bookmarkStart w:id="294" w:name="_Toc26489"/>
      <w:bookmarkStart w:id="295" w:name="_Toc18135"/>
      <w:bookmarkStart w:id="296" w:name="_Toc23615"/>
      <w:r>
        <w:rPr>
          <w:rFonts w:ascii="仿宋" w:hAnsi="仿宋" w:eastAsia="仿宋" w:cs="Times New Roman"/>
          <w:b/>
        </w:rPr>
        <w:t>榆林市政府采购工程类/货物类/服务类项目</w:t>
      </w:r>
      <w:r>
        <w:rPr>
          <w:rFonts w:hint="eastAsia" w:ascii="仿宋" w:hAnsi="仿宋" w:eastAsia="仿宋" w:cs="Times New Roman"/>
          <w:b/>
        </w:rPr>
        <w:t>供应商</w:t>
      </w:r>
      <w:r>
        <w:rPr>
          <w:rFonts w:ascii="仿宋" w:hAnsi="仿宋" w:eastAsia="仿宋" w:cs="Times New Roman"/>
          <w:b/>
        </w:rPr>
        <w:t>信用承诺书</w:t>
      </w:r>
    </w:p>
    <w:p w14:paraId="1C80E1D0">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14:paraId="35F4D446">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14:paraId="19D87E5D">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14:paraId="5C9189D7">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14:paraId="2C985542">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14:paraId="7A2B4525">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14:paraId="6B0F50A9">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14:paraId="633BE99A">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14:paraId="7CB3064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14:paraId="7A80895E">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14:paraId="309B965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四、承诺本单位自觉接受行政管理部门、行业组织、社会公众、新闻舆论的监督；</w:t>
      </w:r>
    </w:p>
    <w:p w14:paraId="3A2C35B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14:paraId="07433B94">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14:paraId="558866A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14:paraId="49FB26B6">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2C3D7C1">
      <w:pPr>
        <w:overflowPunct w:val="0"/>
        <w:topLinePunct/>
        <w:spacing w:line="500" w:lineRule="exact"/>
        <w:ind w:firstLine="566" w:firstLineChars="200"/>
        <w:rPr>
          <w:rFonts w:ascii="仿宋" w:hAnsi="仿宋" w:eastAsia="仿宋" w:cs="Times New Roman"/>
        </w:rPr>
      </w:pPr>
    </w:p>
    <w:p w14:paraId="302FFCE3">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14:paraId="003AAE1E">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14:paraId="78B26133">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14:paraId="00F02D58">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14:paraId="1F596EE9">
      <w:pPr>
        <w:pStyle w:val="29"/>
        <w:spacing w:line="500" w:lineRule="exact"/>
        <w:ind w:firstLine="366" w:firstLineChars="200"/>
      </w:pPr>
      <w:r>
        <w:rPr>
          <w:rFonts w:hint="eastAsia" w:ascii="仿宋" w:hAnsi="仿宋" w:eastAsia="仿宋" w:cs="Times New Roman"/>
        </w:rPr>
        <w:t>备</w:t>
      </w:r>
      <w:r>
        <w:rPr>
          <w:rFonts w:ascii="仿宋" w:hAnsi="仿宋" w:eastAsia="仿宋" w:cs="Times New Roman"/>
        </w:rPr>
        <w:t>注：法定代表人或负责人、主体名称发生变更的应当重新做出承诺</w:t>
      </w:r>
      <w:r>
        <w:rPr>
          <w:rFonts w:hint="eastAsia" w:ascii="仿宋" w:hAnsi="仿宋" w:eastAsia="仿宋" w:cs="Times New Roman"/>
        </w:rPr>
        <w:t>；</w:t>
      </w:r>
    </w:p>
    <w:p w14:paraId="7E21696D">
      <w:pPr>
        <w:spacing w:line="500" w:lineRule="exact"/>
        <w:ind w:firstLine="646" w:firstLineChars="200"/>
        <w:rPr>
          <w:rFonts w:ascii="仿宋" w:hAnsi="仿宋" w:eastAsia="仿宋" w:cs="Times New Roman"/>
          <w:b/>
          <w:sz w:val="32"/>
          <w:szCs w:val="32"/>
        </w:rPr>
      </w:pPr>
    </w:p>
    <w:p w14:paraId="5F8FE3BE">
      <w:pPr>
        <w:spacing w:line="500" w:lineRule="exact"/>
        <w:ind w:firstLine="646" w:firstLineChars="200"/>
        <w:rPr>
          <w:rFonts w:ascii="仿宋" w:hAnsi="仿宋" w:eastAsia="仿宋" w:cs="Times New Roman"/>
          <w:b/>
          <w:sz w:val="32"/>
          <w:szCs w:val="32"/>
        </w:rPr>
      </w:pPr>
    </w:p>
    <w:p w14:paraId="72C54BFA">
      <w:pPr>
        <w:spacing w:line="500" w:lineRule="exact"/>
        <w:ind w:firstLine="646" w:firstLineChars="200"/>
        <w:rPr>
          <w:rFonts w:ascii="仿宋" w:hAnsi="仿宋" w:eastAsia="仿宋" w:cs="Times New Roman"/>
          <w:b/>
          <w:sz w:val="32"/>
          <w:szCs w:val="32"/>
        </w:rPr>
      </w:pPr>
    </w:p>
    <w:p w14:paraId="731D8514">
      <w:pPr>
        <w:spacing w:line="500" w:lineRule="exact"/>
        <w:ind w:firstLine="646" w:firstLineChars="200"/>
        <w:rPr>
          <w:rFonts w:ascii="仿宋" w:hAnsi="仿宋" w:eastAsia="仿宋" w:cs="Times New Roman"/>
          <w:b/>
          <w:sz w:val="32"/>
          <w:szCs w:val="32"/>
        </w:rPr>
      </w:pPr>
    </w:p>
    <w:p w14:paraId="5013DBEF">
      <w:pPr>
        <w:spacing w:line="500" w:lineRule="exact"/>
        <w:ind w:firstLine="646" w:firstLineChars="200"/>
        <w:rPr>
          <w:rFonts w:ascii="仿宋" w:hAnsi="仿宋" w:eastAsia="仿宋" w:cs="Times New Roman"/>
          <w:b/>
          <w:sz w:val="32"/>
          <w:szCs w:val="32"/>
        </w:rPr>
      </w:pPr>
    </w:p>
    <w:p w14:paraId="011C8C24">
      <w:pPr>
        <w:spacing w:line="500" w:lineRule="exact"/>
        <w:ind w:firstLine="646" w:firstLineChars="200"/>
        <w:rPr>
          <w:rFonts w:ascii="仿宋" w:hAnsi="仿宋" w:eastAsia="仿宋" w:cs="Times New Roman"/>
          <w:b/>
          <w:sz w:val="32"/>
          <w:szCs w:val="32"/>
        </w:rPr>
      </w:pPr>
    </w:p>
    <w:p w14:paraId="19BB45D6">
      <w:pPr>
        <w:spacing w:line="500" w:lineRule="exact"/>
        <w:ind w:firstLine="646" w:firstLineChars="200"/>
        <w:rPr>
          <w:rFonts w:ascii="仿宋" w:hAnsi="仿宋" w:eastAsia="仿宋" w:cs="Times New Roman"/>
          <w:b/>
          <w:sz w:val="32"/>
          <w:szCs w:val="32"/>
        </w:rPr>
      </w:pPr>
    </w:p>
    <w:p w14:paraId="14D10EEA">
      <w:pPr>
        <w:spacing w:line="500" w:lineRule="exact"/>
        <w:ind w:firstLine="646" w:firstLineChars="200"/>
        <w:rPr>
          <w:rFonts w:ascii="仿宋" w:hAnsi="仿宋" w:eastAsia="仿宋" w:cs="Times New Roman"/>
          <w:b/>
          <w:sz w:val="32"/>
          <w:szCs w:val="32"/>
        </w:rPr>
      </w:pPr>
    </w:p>
    <w:p w14:paraId="017B7391">
      <w:pPr>
        <w:spacing w:line="500" w:lineRule="exact"/>
        <w:ind w:firstLine="646" w:firstLineChars="200"/>
        <w:rPr>
          <w:rFonts w:ascii="仿宋" w:hAnsi="仿宋" w:eastAsia="仿宋" w:cs="Times New Roman"/>
          <w:b/>
          <w:sz w:val="32"/>
          <w:szCs w:val="32"/>
        </w:rPr>
      </w:pPr>
    </w:p>
    <w:p w14:paraId="538D7F69">
      <w:pPr>
        <w:spacing w:line="500" w:lineRule="exact"/>
        <w:ind w:firstLine="646" w:firstLineChars="200"/>
        <w:rPr>
          <w:rFonts w:ascii="仿宋" w:hAnsi="仿宋" w:eastAsia="仿宋" w:cs="Times New Roman"/>
          <w:b/>
          <w:sz w:val="32"/>
          <w:szCs w:val="32"/>
        </w:rPr>
      </w:pPr>
    </w:p>
    <w:p w14:paraId="67635010">
      <w:pPr>
        <w:spacing w:line="500" w:lineRule="exact"/>
        <w:ind w:firstLine="646" w:firstLineChars="200"/>
        <w:rPr>
          <w:rFonts w:ascii="仿宋" w:hAnsi="仿宋" w:eastAsia="仿宋" w:cs="Times New Roman"/>
          <w:b/>
          <w:sz w:val="32"/>
          <w:szCs w:val="32"/>
        </w:rPr>
      </w:pPr>
    </w:p>
    <w:p w14:paraId="047060A2">
      <w:pPr>
        <w:spacing w:line="500" w:lineRule="exact"/>
        <w:ind w:firstLine="646" w:firstLineChars="200"/>
        <w:rPr>
          <w:rFonts w:ascii="仿宋" w:hAnsi="仿宋" w:eastAsia="仿宋" w:cs="Times New Roman"/>
          <w:b/>
          <w:sz w:val="32"/>
          <w:szCs w:val="32"/>
        </w:rPr>
      </w:pPr>
    </w:p>
    <w:p w14:paraId="03875499">
      <w:pPr>
        <w:spacing w:line="500" w:lineRule="exact"/>
        <w:ind w:firstLine="646" w:firstLineChars="200"/>
        <w:rPr>
          <w:rFonts w:ascii="仿宋" w:hAnsi="仿宋" w:eastAsia="仿宋" w:cs="Times New Roman"/>
          <w:b/>
          <w:sz w:val="32"/>
          <w:szCs w:val="32"/>
        </w:rPr>
      </w:pPr>
    </w:p>
    <w:p w14:paraId="76532CF0">
      <w:pPr>
        <w:spacing w:line="500" w:lineRule="exact"/>
        <w:ind w:firstLine="646" w:firstLineChars="200"/>
        <w:rPr>
          <w:rFonts w:ascii="仿宋" w:hAnsi="仿宋" w:eastAsia="仿宋" w:cs="Times New Roman"/>
          <w:b/>
          <w:sz w:val="32"/>
          <w:szCs w:val="32"/>
        </w:rPr>
      </w:pPr>
    </w:p>
    <w:p w14:paraId="0AD66035">
      <w:pPr>
        <w:spacing w:line="500" w:lineRule="exact"/>
        <w:ind w:firstLine="646" w:firstLineChars="200"/>
        <w:rPr>
          <w:rFonts w:ascii="仿宋" w:hAnsi="仿宋" w:eastAsia="仿宋" w:cs="Times New Roman"/>
          <w:b/>
          <w:sz w:val="32"/>
          <w:szCs w:val="32"/>
        </w:rPr>
      </w:pPr>
    </w:p>
    <w:p w14:paraId="16A588AD">
      <w:pPr>
        <w:spacing w:line="500" w:lineRule="exact"/>
        <w:ind w:firstLine="646" w:firstLineChars="200"/>
        <w:rPr>
          <w:rFonts w:ascii="仿宋" w:hAnsi="仿宋" w:eastAsia="仿宋" w:cs="Times New Roman"/>
          <w:b/>
          <w:sz w:val="32"/>
          <w:szCs w:val="32"/>
        </w:rPr>
      </w:pPr>
    </w:p>
    <w:p w14:paraId="6A040B73">
      <w:pPr>
        <w:spacing w:line="500" w:lineRule="exact"/>
        <w:ind w:firstLine="646" w:firstLineChars="200"/>
        <w:rPr>
          <w:rFonts w:ascii="仿宋" w:hAnsi="仿宋" w:eastAsia="仿宋" w:cs="Times New Roman"/>
          <w:b/>
          <w:sz w:val="32"/>
          <w:szCs w:val="32"/>
        </w:rPr>
      </w:pPr>
    </w:p>
    <w:p w14:paraId="341FC9F7">
      <w:pPr>
        <w:pStyle w:val="29"/>
        <w:spacing w:line="500" w:lineRule="exact"/>
        <w:ind w:firstLine="366" w:firstLineChars="200"/>
        <w:rPr>
          <w:rFonts w:ascii="仿宋" w:hAnsi="仿宋" w:eastAsia="仿宋"/>
        </w:rPr>
      </w:pPr>
    </w:p>
    <w:p w14:paraId="6DB8C725">
      <w:pPr>
        <w:spacing w:line="500" w:lineRule="exact"/>
        <w:ind w:firstLine="646" w:firstLineChars="200"/>
        <w:jc w:val="center"/>
        <w:rPr>
          <w:rFonts w:ascii="仿宋" w:hAnsi="仿宋" w:eastAsia="仿宋" w:cs="Times New Roman"/>
          <w:b/>
          <w:bCs/>
          <w:sz w:val="32"/>
          <w:szCs w:val="32"/>
        </w:rPr>
      </w:pPr>
      <w:r>
        <w:rPr>
          <w:rFonts w:hint="eastAsia" w:ascii="仿宋" w:hAnsi="仿宋" w:eastAsia="仿宋" w:cs="Times New Roman"/>
          <w:b/>
          <w:bCs/>
          <w:sz w:val="32"/>
          <w:szCs w:val="32"/>
        </w:rPr>
        <w:t>第二部分  符合性证明文件</w:t>
      </w:r>
    </w:p>
    <w:p w14:paraId="7305950F">
      <w:pPr>
        <w:pStyle w:val="29"/>
        <w:spacing w:line="500" w:lineRule="exact"/>
        <w:ind w:firstLine="566" w:firstLineChars="200"/>
        <w:rPr>
          <w:rFonts w:ascii="仿宋" w:hAnsi="仿宋" w:eastAsia="仿宋" w:cs="Times New Roman"/>
          <w:b/>
          <w:sz w:val="28"/>
          <w:szCs w:val="28"/>
        </w:rPr>
      </w:pPr>
      <w:r>
        <w:rPr>
          <w:rFonts w:hint="eastAsia" w:ascii="仿宋" w:hAnsi="仿宋" w:eastAsia="仿宋" w:cs="Times New Roman"/>
          <w:b/>
          <w:sz w:val="28"/>
          <w:szCs w:val="28"/>
        </w:rPr>
        <w:t>一、投标函格式</w:t>
      </w:r>
    </w:p>
    <w:p w14:paraId="6B4161F5">
      <w:pPr>
        <w:spacing w:line="500" w:lineRule="exact"/>
        <w:ind w:firstLine="566" w:firstLineChars="200"/>
        <w:jc w:val="center"/>
        <w:rPr>
          <w:rFonts w:ascii="仿宋" w:hAnsi="仿宋" w:eastAsia="仿宋" w:cs="Times New Roman"/>
          <w:b/>
          <w:bCs/>
        </w:rPr>
      </w:pPr>
      <w:r>
        <w:rPr>
          <w:rFonts w:hint="eastAsia" w:ascii="仿宋" w:hAnsi="仿宋" w:eastAsia="仿宋" w:cs="Times New Roman"/>
          <w:b/>
          <w:bCs/>
        </w:rPr>
        <w:t>投标函</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4834"/>
      <w:bookmarkStart w:id="298" w:name="_Toc23035"/>
      <w:bookmarkStart w:id="299" w:name="_Toc1167"/>
      <w:bookmarkStart w:id="300" w:name="_Toc48834119"/>
      <w:bookmarkStart w:id="301" w:name="_Toc20063"/>
      <w:bookmarkStart w:id="302" w:name="_Toc17687"/>
      <w:bookmarkStart w:id="303" w:name="_Toc48834189"/>
      <w:bookmarkStart w:id="304" w:name="_Toc48834316"/>
      <w:bookmarkStart w:id="305" w:name="_Toc4366"/>
    </w:p>
    <w:bookmarkEnd w:id="297"/>
    <w:bookmarkEnd w:id="298"/>
    <w:bookmarkEnd w:id="299"/>
    <w:bookmarkEnd w:id="300"/>
    <w:bookmarkEnd w:id="301"/>
    <w:bookmarkEnd w:id="302"/>
    <w:bookmarkEnd w:id="303"/>
    <w:bookmarkEnd w:id="304"/>
    <w:bookmarkEnd w:id="305"/>
    <w:p w14:paraId="074F3D33">
      <w:pPr>
        <w:pStyle w:val="86"/>
        <w:spacing w:line="500" w:lineRule="exact"/>
        <w:ind w:firstLine="567"/>
        <w:rPr>
          <w:rFonts w:ascii="仿宋" w:hAnsi="仿宋" w:eastAsia="仿宋" w:cs="Times New Roman"/>
          <w:lang w:val="zh-CN"/>
        </w:rPr>
      </w:pPr>
      <w:r>
        <w:rPr>
          <w:rFonts w:ascii="仿宋" w:hAnsi="仿宋" w:eastAsia="仿宋" w:cs="Times New Roman"/>
        </w:rPr>
        <w:t>市采购中心</w:t>
      </w:r>
      <w:r>
        <w:rPr>
          <w:rFonts w:ascii="仿宋" w:hAnsi="仿宋" w:eastAsia="仿宋" w:cs="Times New Roman"/>
          <w:lang w:val="zh-CN"/>
        </w:rPr>
        <w:t>：</w:t>
      </w:r>
    </w:p>
    <w:p w14:paraId="7C6745B0">
      <w:pPr>
        <w:spacing w:line="500" w:lineRule="exact"/>
        <w:ind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》（项目编号：</w:t>
      </w:r>
      <w:r>
        <w:rPr>
          <w:rFonts w:hint="eastAsia" w:ascii="仿宋" w:hAnsi="仿宋" w:eastAsia="仿宋" w:cs="Times New Roman"/>
          <w:u w:val="single"/>
        </w:rPr>
        <w:t xml:space="preserve">    </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标段招标文件，经详细研究，我方决定参加该项目第</w:t>
      </w:r>
      <w:r>
        <w:rPr>
          <w:rFonts w:hint="eastAsia" w:ascii="仿宋" w:hAnsi="仿宋" w:eastAsia="仿宋" w:cs="Times New Roman"/>
          <w:u w:val="single"/>
        </w:rPr>
        <w:t xml:space="preserve">  </w:t>
      </w:r>
      <w:r>
        <w:rPr>
          <w:rFonts w:ascii="仿宋" w:hAnsi="仿宋" w:eastAsia="仿宋" w:cs="Times New Roman"/>
        </w:rPr>
        <w:t>标段招标活动。为此，我方郑重声明以下诸点，并负法律责任。</w:t>
      </w:r>
    </w:p>
    <w:p w14:paraId="7104CCEC">
      <w:pPr>
        <w:pStyle w:val="86"/>
        <w:spacing w:line="500" w:lineRule="exact"/>
        <w:ind w:firstLine="567"/>
        <w:rPr>
          <w:rFonts w:ascii="仿宋" w:hAnsi="仿宋" w:eastAsia="仿宋" w:cs="Times New Roman"/>
        </w:rPr>
      </w:pPr>
      <w:r>
        <w:rPr>
          <w:rFonts w:ascii="仿宋" w:hAnsi="仿宋" w:eastAsia="仿宋" w:cs="Times New Roman"/>
        </w:rPr>
        <w:t>一、我方已详细阅读了招标文件，完全理解并同意招标文件的所有事项及内容。</w:t>
      </w:r>
    </w:p>
    <w:p w14:paraId="0A491FF6">
      <w:pPr>
        <w:pStyle w:val="86"/>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117A79E2">
      <w:pPr>
        <w:pStyle w:val="86"/>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三、我方同意向贵方提供与本投标有关的任何证明材料，保证所提交的证明材料真实、合法、有效。我方理解</w:t>
      </w:r>
      <w:r>
        <w:rPr>
          <w:rFonts w:ascii="仿宋" w:hAnsi="仿宋" w:eastAsia="仿宋" w:cs="Times New Roman"/>
          <w:b/>
          <w:bCs/>
        </w:rPr>
        <w:t>最低价</w:t>
      </w:r>
      <w:r>
        <w:rPr>
          <w:rFonts w:ascii="仿宋" w:hAnsi="仿宋" w:eastAsia="仿宋" w:cs="Times New Roman"/>
        </w:rPr>
        <w:t>不是中标的唯一条件，并尊重评标委员会的评审结果。</w:t>
      </w:r>
    </w:p>
    <w:p w14:paraId="202451D1">
      <w:pPr>
        <w:pStyle w:val="86"/>
        <w:spacing w:line="500" w:lineRule="exact"/>
        <w:ind w:firstLine="567"/>
        <w:rPr>
          <w:rFonts w:ascii="仿宋" w:hAnsi="仿宋" w:eastAsia="仿宋" w:cs="Times New Roman"/>
        </w:rPr>
      </w:pPr>
      <w:r>
        <w:rPr>
          <w:rFonts w:ascii="仿宋" w:hAnsi="仿宋" w:eastAsia="仿宋" w:cs="Times New Roman"/>
        </w:rPr>
        <w:t>四、我方愿意按照招标文件中的一切要求，完成本项目合同责任和义务。</w:t>
      </w:r>
    </w:p>
    <w:p w14:paraId="264738F8">
      <w:pPr>
        <w:pStyle w:val="26"/>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
          <w:bCs/>
          <w:kern w:val="2"/>
          <w:sz w:val="28"/>
        </w:rPr>
        <w:t>电子投标文件一份</w:t>
      </w:r>
      <w:r>
        <w:rPr>
          <w:rFonts w:ascii="仿宋" w:hAnsi="仿宋" w:eastAsia="仿宋"/>
          <w:kern w:val="2"/>
          <w:sz w:val="28"/>
        </w:rPr>
        <w:t>。</w:t>
      </w:r>
    </w:p>
    <w:p w14:paraId="74DF7A72">
      <w:pPr>
        <w:pStyle w:val="86"/>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14:paraId="131B03C3">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七、我方的投标文件在开标之日起</w:t>
      </w:r>
      <w:r>
        <w:rPr>
          <w:rFonts w:ascii="仿宋" w:hAnsi="仿宋" w:eastAsia="仿宋" w:cs="仿宋"/>
          <w:u w:val="single"/>
        </w:rPr>
        <w:t>90</w:t>
      </w:r>
      <w:r>
        <w:rPr>
          <w:rFonts w:ascii="仿宋" w:hAnsi="仿宋" w:eastAsia="仿宋" w:cs="Times New Roman"/>
        </w:rPr>
        <w:t>个日历日内有效，如中标，延长至合同执行完毕时止。</w:t>
      </w:r>
    </w:p>
    <w:p w14:paraId="4B041104">
      <w:pPr>
        <w:pStyle w:val="86"/>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14:paraId="02A79EDF">
      <w:pPr>
        <w:pStyle w:val="86"/>
        <w:spacing w:line="500" w:lineRule="exact"/>
        <w:ind w:firstLine="567"/>
        <w:rPr>
          <w:rFonts w:ascii="仿宋" w:hAnsi="仿宋" w:eastAsia="仿宋" w:cs="Times New Roman"/>
        </w:rPr>
      </w:pPr>
      <w:r>
        <w:rPr>
          <w:rFonts w:ascii="仿宋" w:hAnsi="仿宋" w:eastAsia="仿宋" w:cs="Times New Roman"/>
        </w:rPr>
        <w:t>投标人：</w:t>
      </w:r>
      <w:r>
        <w:rPr>
          <w:rFonts w:ascii="仿宋" w:hAnsi="仿宋" w:eastAsia="仿宋" w:cs="Times New Roman"/>
          <w:u w:val="single"/>
        </w:rPr>
        <w:t>名称</w:t>
      </w:r>
      <w:r>
        <w:rPr>
          <w:rFonts w:ascii="仿宋" w:hAnsi="仿宋" w:eastAsia="仿宋" w:cs="Times New Roman"/>
        </w:rPr>
        <w:t>（盖章）</w:t>
      </w:r>
    </w:p>
    <w:p w14:paraId="340AC242">
      <w:pPr>
        <w:pStyle w:val="86"/>
        <w:spacing w:line="500" w:lineRule="exact"/>
        <w:ind w:firstLine="567"/>
        <w:rPr>
          <w:rFonts w:ascii="仿宋" w:hAnsi="仿宋" w:eastAsia="仿宋" w:cs="Times New Roman"/>
        </w:rPr>
      </w:pPr>
      <w:r>
        <w:rPr>
          <w:rFonts w:ascii="仿宋" w:hAnsi="仿宋" w:eastAsia="仿宋" w:cs="Times New Roman"/>
        </w:rPr>
        <w:t>地址：</w:t>
      </w:r>
    </w:p>
    <w:p w14:paraId="17BAA745">
      <w:pPr>
        <w:pStyle w:val="86"/>
        <w:spacing w:line="500" w:lineRule="exact"/>
        <w:ind w:firstLine="567"/>
        <w:rPr>
          <w:rFonts w:ascii="仿宋" w:hAnsi="仿宋" w:eastAsia="仿宋" w:cs="Times New Roman"/>
        </w:rPr>
      </w:pPr>
      <w:r>
        <w:rPr>
          <w:rFonts w:ascii="仿宋" w:hAnsi="仿宋" w:eastAsia="仿宋" w:cs="Times New Roman"/>
        </w:rPr>
        <w:t>开户银行：</w:t>
      </w:r>
    </w:p>
    <w:p w14:paraId="3EFB6EFF">
      <w:pPr>
        <w:pStyle w:val="86"/>
        <w:spacing w:line="500" w:lineRule="exact"/>
        <w:ind w:firstLine="567"/>
        <w:rPr>
          <w:rFonts w:ascii="仿宋" w:hAnsi="仿宋" w:eastAsia="仿宋" w:cs="Times New Roman"/>
        </w:rPr>
      </w:pPr>
      <w:r>
        <w:rPr>
          <w:rFonts w:ascii="仿宋" w:hAnsi="仿宋" w:eastAsia="仿宋" w:cs="Times New Roman"/>
        </w:rPr>
        <w:t>账号：</w:t>
      </w:r>
    </w:p>
    <w:p w14:paraId="7D982F08">
      <w:pPr>
        <w:pStyle w:val="86"/>
        <w:spacing w:line="500" w:lineRule="exact"/>
        <w:ind w:firstLine="567"/>
        <w:rPr>
          <w:rFonts w:ascii="仿宋" w:hAnsi="仿宋" w:eastAsia="仿宋" w:cs="Times New Roman"/>
        </w:rPr>
      </w:pPr>
      <w:r>
        <w:rPr>
          <w:rFonts w:ascii="仿宋" w:hAnsi="仿宋" w:eastAsia="仿宋" w:cs="Times New Roman"/>
        </w:rPr>
        <w:t>电话：</w:t>
      </w:r>
    </w:p>
    <w:p w14:paraId="345AED48">
      <w:pPr>
        <w:pStyle w:val="86"/>
        <w:spacing w:line="500" w:lineRule="exact"/>
        <w:ind w:firstLine="567"/>
        <w:rPr>
          <w:rFonts w:ascii="仿宋" w:hAnsi="仿宋" w:eastAsia="仿宋" w:cs="Times New Roman"/>
        </w:rPr>
      </w:pPr>
      <w:r>
        <w:rPr>
          <w:rFonts w:ascii="仿宋" w:hAnsi="仿宋" w:eastAsia="仿宋" w:cs="Times New Roman"/>
        </w:rPr>
        <w:t>传真：</w:t>
      </w:r>
    </w:p>
    <w:p w14:paraId="518C1418">
      <w:pPr>
        <w:pStyle w:val="86"/>
        <w:spacing w:line="500" w:lineRule="exact"/>
        <w:ind w:firstLine="567"/>
        <w:rPr>
          <w:rFonts w:ascii="仿宋" w:hAnsi="仿宋" w:eastAsia="仿宋" w:cs="Times New Roman"/>
        </w:rPr>
      </w:pPr>
      <w:r>
        <w:rPr>
          <w:rFonts w:ascii="仿宋" w:hAnsi="仿宋" w:eastAsia="仿宋" w:cs="Times New Roman"/>
        </w:rPr>
        <w:t>邮编：</w:t>
      </w:r>
    </w:p>
    <w:p w14:paraId="74464651">
      <w:pPr>
        <w:pStyle w:val="86"/>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14:paraId="6E47E4F9">
      <w:pPr>
        <w:pStyle w:val="86"/>
        <w:spacing w:line="500" w:lineRule="exact"/>
        <w:ind w:firstLine="567"/>
        <w:rPr>
          <w:rFonts w:ascii="仿宋" w:hAnsi="仿宋" w:eastAsia="仿宋" w:cs="Times New Roman"/>
        </w:rPr>
      </w:pPr>
      <w:r>
        <w:rPr>
          <w:rFonts w:ascii="仿宋" w:hAnsi="仿宋" w:eastAsia="仿宋" w:cs="Times New Roman"/>
        </w:rPr>
        <w:t>日期：　　年　月　日</w:t>
      </w:r>
    </w:p>
    <w:p w14:paraId="42F14DF4">
      <w:pPr>
        <w:pStyle w:val="86"/>
        <w:spacing w:line="500" w:lineRule="exact"/>
        <w:ind w:firstLine="727"/>
        <w:rPr>
          <w:rFonts w:ascii="仿宋" w:hAnsi="仿宋" w:eastAsia="仿宋" w:cs="Times New Roman"/>
          <w:sz w:val="36"/>
        </w:rPr>
      </w:pPr>
    </w:p>
    <w:p w14:paraId="17E6BBCA">
      <w:pPr>
        <w:pStyle w:val="86"/>
        <w:spacing w:line="500" w:lineRule="exact"/>
        <w:ind w:firstLine="727"/>
        <w:rPr>
          <w:rFonts w:ascii="仿宋" w:hAnsi="仿宋" w:eastAsia="仿宋" w:cs="Times New Roman"/>
          <w:sz w:val="36"/>
        </w:rPr>
      </w:pPr>
    </w:p>
    <w:p w14:paraId="6965DEBE">
      <w:pPr>
        <w:pStyle w:val="86"/>
        <w:spacing w:line="500" w:lineRule="exact"/>
        <w:ind w:firstLine="727"/>
        <w:rPr>
          <w:rFonts w:ascii="仿宋" w:hAnsi="仿宋" w:eastAsia="仿宋" w:cs="Times New Roman"/>
          <w:sz w:val="36"/>
        </w:rPr>
      </w:pPr>
    </w:p>
    <w:p w14:paraId="4FA2AA41">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48B7A4D6">
      <w:pPr>
        <w:pStyle w:val="86"/>
        <w:numPr>
          <w:ilvl w:val="0"/>
          <w:numId w:val="11"/>
        </w:numPr>
        <w:spacing w:line="500" w:lineRule="exact"/>
        <w:ind w:left="0" w:firstLine="427"/>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14:paraId="6F4F24ED">
      <w:pPr>
        <w:pStyle w:val="86"/>
        <w:spacing w:line="500" w:lineRule="exact"/>
        <w:ind w:firstLine="429"/>
        <w:rPr>
          <w:rFonts w:ascii="仿宋" w:hAnsi="仿宋" w:eastAsia="仿宋" w:cs="Times New Roman"/>
          <w:b/>
          <w:bCs/>
          <w:sz w:val="21"/>
          <w:szCs w:val="21"/>
        </w:rPr>
      </w:pPr>
    </w:p>
    <w:p w14:paraId="49155479">
      <w:pPr>
        <w:pStyle w:val="86"/>
        <w:spacing w:line="500" w:lineRule="exact"/>
        <w:ind w:firstLine="647"/>
        <w:rPr>
          <w:rFonts w:ascii="仿宋" w:hAnsi="仿宋" w:eastAsia="仿宋" w:cs="Times New Roman"/>
          <w:bCs/>
          <w:sz w:val="32"/>
          <w:szCs w:val="32"/>
        </w:rPr>
      </w:pPr>
    </w:p>
    <w:p w14:paraId="685DD26F">
      <w:pPr>
        <w:pStyle w:val="86"/>
        <w:spacing w:line="500" w:lineRule="exact"/>
        <w:ind w:firstLine="647"/>
        <w:rPr>
          <w:rFonts w:ascii="仿宋" w:hAnsi="仿宋" w:eastAsia="仿宋" w:cs="Times New Roman"/>
          <w:bCs/>
          <w:sz w:val="32"/>
          <w:szCs w:val="32"/>
        </w:rPr>
      </w:pPr>
    </w:p>
    <w:p w14:paraId="282A43DB">
      <w:pPr>
        <w:pStyle w:val="86"/>
        <w:spacing w:line="500" w:lineRule="exact"/>
        <w:ind w:firstLine="647"/>
        <w:rPr>
          <w:rFonts w:ascii="仿宋" w:hAnsi="仿宋" w:eastAsia="仿宋" w:cs="Times New Roman"/>
          <w:bCs/>
          <w:sz w:val="32"/>
          <w:szCs w:val="32"/>
        </w:rPr>
      </w:pPr>
    </w:p>
    <w:p w14:paraId="499A8466">
      <w:pPr>
        <w:pStyle w:val="86"/>
        <w:spacing w:line="500" w:lineRule="exact"/>
        <w:ind w:firstLine="647"/>
        <w:rPr>
          <w:rFonts w:ascii="仿宋" w:hAnsi="仿宋" w:eastAsia="仿宋" w:cs="Times New Roman"/>
          <w:bCs/>
          <w:sz w:val="32"/>
          <w:szCs w:val="32"/>
        </w:rPr>
      </w:pPr>
    </w:p>
    <w:p w14:paraId="7E4413F7">
      <w:pPr>
        <w:pStyle w:val="86"/>
        <w:spacing w:line="500" w:lineRule="exact"/>
        <w:ind w:firstLine="647"/>
        <w:rPr>
          <w:rFonts w:ascii="仿宋" w:hAnsi="仿宋" w:eastAsia="仿宋" w:cs="Times New Roman"/>
          <w:bCs/>
          <w:sz w:val="32"/>
          <w:szCs w:val="32"/>
        </w:rPr>
      </w:pPr>
    </w:p>
    <w:p w14:paraId="51FC7CB1">
      <w:pPr>
        <w:pStyle w:val="86"/>
        <w:spacing w:line="500" w:lineRule="exact"/>
        <w:ind w:firstLine="647"/>
        <w:rPr>
          <w:rFonts w:ascii="仿宋" w:hAnsi="仿宋" w:eastAsia="仿宋" w:cs="Times New Roman"/>
          <w:bCs/>
          <w:sz w:val="32"/>
          <w:szCs w:val="32"/>
        </w:rPr>
      </w:pPr>
    </w:p>
    <w:p w14:paraId="3254D234">
      <w:pPr>
        <w:pStyle w:val="86"/>
        <w:spacing w:line="500" w:lineRule="exact"/>
        <w:ind w:firstLine="647"/>
        <w:rPr>
          <w:rFonts w:ascii="仿宋" w:hAnsi="仿宋" w:eastAsia="仿宋" w:cs="Times New Roman"/>
          <w:bCs/>
          <w:sz w:val="32"/>
          <w:szCs w:val="32"/>
        </w:rPr>
      </w:pPr>
    </w:p>
    <w:p w14:paraId="6267D492">
      <w:pPr>
        <w:pStyle w:val="86"/>
        <w:spacing w:line="500" w:lineRule="exact"/>
        <w:ind w:firstLine="647"/>
        <w:rPr>
          <w:rFonts w:ascii="仿宋" w:hAnsi="仿宋" w:eastAsia="仿宋" w:cs="Times New Roman"/>
          <w:bCs/>
          <w:sz w:val="32"/>
          <w:szCs w:val="32"/>
        </w:rPr>
      </w:pPr>
    </w:p>
    <w:p w14:paraId="680C658C">
      <w:pPr>
        <w:pStyle w:val="86"/>
        <w:spacing w:line="500" w:lineRule="exact"/>
        <w:ind w:firstLine="647"/>
        <w:rPr>
          <w:rFonts w:ascii="仿宋" w:hAnsi="仿宋" w:eastAsia="仿宋" w:cs="Times New Roman"/>
          <w:bCs/>
          <w:sz w:val="32"/>
          <w:szCs w:val="32"/>
        </w:rPr>
      </w:pPr>
    </w:p>
    <w:p w14:paraId="0B65735A">
      <w:pPr>
        <w:pStyle w:val="86"/>
        <w:spacing w:line="500" w:lineRule="exact"/>
        <w:ind w:firstLine="647"/>
        <w:rPr>
          <w:rFonts w:ascii="仿宋" w:hAnsi="仿宋" w:eastAsia="仿宋" w:cs="Times New Roman"/>
          <w:bCs/>
          <w:sz w:val="32"/>
          <w:szCs w:val="32"/>
        </w:rPr>
      </w:pPr>
    </w:p>
    <w:p w14:paraId="119BCA7A">
      <w:pPr>
        <w:pStyle w:val="86"/>
        <w:spacing w:line="500" w:lineRule="exact"/>
        <w:ind w:firstLine="647"/>
        <w:rPr>
          <w:rFonts w:ascii="仿宋" w:hAnsi="仿宋" w:eastAsia="仿宋" w:cs="Times New Roman"/>
          <w:bCs/>
          <w:sz w:val="32"/>
          <w:szCs w:val="32"/>
        </w:rPr>
      </w:pPr>
    </w:p>
    <w:p w14:paraId="1812618A">
      <w:pPr>
        <w:pStyle w:val="86"/>
        <w:spacing w:line="500" w:lineRule="exact"/>
        <w:ind w:firstLine="647"/>
        <w:rPr>
          <w:rFonts w:ascii="仿宋" w:hAnsi="仿宋" w:eastAsia="仿宋" w:cs="Times New Roman"/>
          <w:bCs/>
          <w:sz w:val="32"/>
          <w:szCs w:val="32"/>
        </w:rPr>
      </w:pPr>
    </w:p>
    <w:p w14:paraId="67E350AD">
      <w:pPr>
        <w:pStyle w:val="86"/>
        <w:spacing w:line="500" w:lineRule="exact"/>
        <w:ind w:firstLine="647"/>
        <w:rPr>
          <w:rFonts w:ascii="仿宋" w:hAnsi="仿宋" w:eastAsia="仿宋" w:cs="Times New Roman"/>
          <w:bCs/>
          <w:sz w:val="32"/>
          <w:szCs w:val="32"/>
        </w:rPr>
      </w:pPr>
    </w:p>
    <w:p w14:paraId="779DABB3">
      <w:pPr>
        <w:pStyle w:val="86"/>
        <w:spacing w:line="500" w:lineRule="exact"/>
        <w:ind w:firstLine="647"/>
        <w:rPr>
          <w:rFonts w:ascii="仿宋" w:hAnsi="仿宋" w:eastAsia="仿宋" w:cs="Times New Roman"/>
          <w:bCs/>
          <w:sz w:val="32"/>
          <w:szCs w:val="32"/>
        </w:rPr>
      </w:pPr>
    </w:p>
    <w:p w14:paraId="43783950">
      <w:pPr>
        <w:pStyle w:val="86"/>
        <w:spacing w:line="500" w:lineRule="exact"/>
        <w:ind w:firstLine="647"/>
        <w:rPr>
          <w:rFonts w:ascii="仿宋" w:hAnsi="仿宋" w:eastAsia="仿宋" w:cs="Times New Roman"/>
          <w:bCs/>
          <w:sz w:val="32"/>
          <w:szCs w:val="32"/>
        </w:rPr>
      </w:pPr>
    </w:p>
    <w:p w14:paraId="48EE3F60">
      <w:pPr>
        <w:spacing w:line="500" w:lineRule="exact"/>
        <w:ind w:firstLine="646" w:firstLineChars="200"/>
        <w:rPr>
          <w:rFonts w:ascii="仿宋" w:hAnsi="仿宋" w:eastAsia="仿宋" w:cs="Times New Roman"/>
          <w:b/>
          <w:sz w:val="32"/>
          <w:szCs w:val="32"/>
        </w:rPr>
      </w:pPr>
    </w:p>
    <w:p w14:paraId="134DACF1">
      <w:pPr>
        <w:spacing w:line="500" w:lineRule="exact"/>
        <w:ind w:firstLine="566" w:firstLineChars="200"/>
        <w:rPr>
          <w:rFonts w:ascii="仿宋" w:hAnsi="仿宋" w:eastAsia="仿宋" w:cs="Times New Roman"/>
          <w:b/>
        </w:rPr>
      </w:pPr>
      <w:r>
        <w:rPr>
          <w:rFonts w:hint="eastAsia" w:ascii="仿宋" w:hAnsi="仿宋" w:eastAsia="仿宋" w:cs="Times New Roman"/>
          <w:b/>
        </w:rPr>
        <w:t>二、</w:t>
      </w:r>
      <w:r>
        <w:rPr>
          <w:rFonts w:ascii="仿宋" w:hAnsi="仿宋" w:eastAsia="仿宋" w:cs="Times New Roman"/>
          <w:b/>
        </w:rPr>
        <w:t>开标一览表</w:t>
      </w:r>
    </w:p>
    <w:p w14:paraId="2D38F773">
      <w:pPr>
        <w:spacing w:line="500" w:lineRule="exact"/>
        <w:ind w:firstLine="566" w:firstLineChars="200"/>
        <w:rPr>
          <w:rFonts w:ascii="仿宋" w:hAnsi="仿宋" w:eastAsia="仿宋" w:cs="Times New Roman"/>
        </w:rPr>
      </w:pPr>
      <w:r>
        <w:rPr>
          <w:rFonts w:ascii="仿宋" w:hAnsi="仿宋" w:eastAsia="仿宋" w:cs="Times New Roman"/>
        </w:rPr>
        <w:t>项目编号：</w:t>
      </w:r>
    </w:p>
    <w:p w14:paraId="48FD58EB">
      <w:pPr>
        <w:spacing w:line="500" w:lineRule="exact"/>
        <w:ind w:firstLine="566" w:firstLineChars="200"/>
        <w:rPr>
          <w:rFonts w:ascii="仿宋" w:hAnsi="仿宋" w:eastAsia="仿宋" w:cs="Times New Roman"/>
        </w:rPr>
      </w:pPr>
      <w:r>
        <w:rPr>
          <w:rFonts w:ascii="仿宋" w:hAnsi="仿宋" w:eastAsia="仿宋" w:cs="Times New Roman"/>
        </w:rPr>
        <w:t>项目名称：</w:t>
      </w:r>
    </w:p>
    <w:p w14:paraId="5F48496E">
      <w:pPr>
        <w:spacing w:line="500" w:lineRule="exact"/>
        <w:ind w:firstLine="486" w:firstLineChars="200"/>
        <w:rPr>
          <w:rFonts w:ascii="仿宋" w:hAnsi="仿宋" w:eastAsia="仿宋" w:cs="Times New Roman"/>
          <w:sz w:val="24"/>
          <w:szCs w:val="24"/>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1"/>
        <w:gridCol w:w="3677"/>
        <w:gridCol w:w="3676"/>
      </w:tblGrid>
      <w:tr w14:paraId="0ABA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997" w:type="pct"/>
            <w:vAlign w:val="center"/>
          </w:tcPr>
          <w:p w14:paraId="5B08146B">
            <w:pPr>
              <w:pStyle w:val="7"/>
              <w:spacing w:line="500" w:lineRule="exact"/>
              <w:ind w:firstLine="566" w:firstLineChars="200"/>
              <w:rPr>
                <w:rFonts w:ascii="仿宋" w:hAnsi="仿宋" w:eastAsia="仿宋" w:cs="Times New Roman"/>
                <w:szCs w:val="24"/>
              </w:rPr>
            </w:pPr>
          </w:p>
        </w:tc>
        <w:tc>
          <w:tcPr>
            <w:tcW w:w="2002" w:type="pct"/>
            <w:vAlign w:val="center"/>
          </w:tcPr>
          <w:p w14:paraId="0D443561">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w:t>
            </w:r>
            <w:r>
              <w:rPr>
                <w:rFonts w:ascii="仿宋" w:hAnsi="仿宋" w:eastAsia="仿宋" w:cs="Times New Roman"/>
                <w:kern w:val="0"/>
                <w:lang w:val="zh-CN"/>
              </w:rPr>
              <w:t>内容</w:t>
            </w:r>
          </w:p>
        </w:tc>
        <w:tc>
          <w:tcPr>
            <w:tcW w:w="2002" w:type="pct"/>
          </w:tcPr>
          <w:p w14:paraId="33DC54CE">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服务期</w:t>
            </w:r>
          </w:p>
        </w:tc>
      </w:tr>
      <w:tr w14:paraId="72AD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Align w:val="center"/>
          </w:tcPr>
          <w:p w14:paraId="501CC1E1">
            <w:pPr>
              <w:pStyle w:val="7"/>
              <w:spacing w:line="500" w:lineRule="exact"/>
              <w:ind w:firstLine="0"/>
              <w:rPr>
                <w:rFonts w:ascii="仿宋" w:hAnsi="仿宋" w:eastAsia="仿宋" w:cs="Times New Roman"/>
                <w:szCs w:val="24"/>
              </w:rPr>
            </w:pPr>
            <w:r>
              <w:rPr>
                <w:rFonts w:hint="eastAsia" w:ascii="仿宋" w:hAnsi="仿宋" w:eastAsia="仿宋" w:cs="Times New Roman"/>
                <w:szCs w:val="24"/>
              </w:rPr>
              <w:t xml:space="preserve">  </w:t>
            </w:r>
            <w:r>
              <w:rPr>
                <w:rFonts w:ascii="仿宋" w:hAnsi="仿宋" w:eastAsia="仿宋" w:cs="Times New Roman"/>
                <w:szCs w:val="24"/>
              </w:rPr>
              <w:t>投标报价</w:t>
            </w:r>
          </w:p>
        </w:tc>
        <w:tc>
          <w:tcPr>
            <w:tcW w:w="2002" w:type="pct"/>
            <w:vAlign w:val="center"/>
          </w:tcPr>
          <w:p w14:paraId="6A46CE3D">
            <w:pPr>
              <w:autoSpaceDE w:val="0"/>
              <w:autoSpaceDN w:val="0"/>
              <w:spacing w:line="500" w:lineRule="exact"/>
              <w:ind w:firstLine="566" w:firstLineChars="200"/>
              <w:rPr>
                <w:rFonts w:ascii="仿宋" w:hAnsi="仿宋" w:eastAsia="仿宋" w:cs="Times New Roman"/>
                <w:kern w:val="0"/>
                <w:szCs w:val="24"/>
                <w:lang w:val="zh-CN"/>
              </w:rPr>
            </w:pPr>
            <w:r>
              <w:rPr>
                <w:rFonts w:ascii="仿宋" w:hAnsi="仿宋" w:eastAsia="仿宋" w:cs="Times New Roman"/>
                <w:kern w:val="0"/>
                <w:szCs w:val="24"/>
                <w:lang w:val="zh-CN"/>
              </w:rPr>
              <w:t>小写：</w:t>
            </w:r>
          </w:p>
          <w:p w14:paraId="36377478">
            <w:pPr>
              <w:autoSpaceDE w:val="0"/>
              <w:autoSpaceDN w:val="0"/>
              <w:spacing w:line="500" w:lineRule="exact"/>
              <w:ind w:firstLine="566" w:firstLineChars="200"/>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14:paraId="79DBE518">
            <w:pPr>
              <w:autoSpaceDE w:val="0"/>
              <w:autoSpaceDN w:val="0"/>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              单位：元</w:t>
            </w:r>
          </w:p>
        </w:tc>
        <w:tc>
          <w:tcPr>
            <w:tcW w:w="2002" w:type="pct"/>
          </w:tcPr>
          <w:p w14:paraId="67C09C6A">
            <w:pPr>
              <w:autoSpaceDE w:val="0"/>
              <w:autoSpaceDN w:val="0"/>
              <w:spacing w:line="500" w:lineRule="exact"/>
              <w:ind w:firstLine="566" w:firstLineChars="200"/>
              <w:rPr>
                <w:rFonts w:ascii="仿宋" w:hAnsi="仿宋" w:eastAsia="仿宋" w:cs="Times New Roman"/>
                <w:kern w:val="0"/>
                <w:lang w:val="zh-CN"/>
              </w:rPr>
            </w:pPr>
          </w:p>
        </w:tc>
      </w:tr>
    </w:tbl>
    <w:p w14:paraId="639E2825">
      <w:pPr>
        <w:autoSpaceDE w:val="0"/>
        <w:autoSpaceDN w:val="0"/>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    </w:t>
      </w:r>
    </w:p>
    <w:p w14:paraId="4D4F2909">
      <w:pPr>
        <w:autoSpaceDE w:val="0"/>
        <w:autoSpaceDN w:val="0"/>
        <w:spacing w:line="500" w:lineRule="exact"/>
        <w:ind w:firstLine="789" w:firstLineChars="3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7BC7B2EB">
      <w:pPr>
        <w:spacing w:line="500" w:lineRule="exact"/>
        <w:ind w:firstLine="566" w:firstLineChars="200"/>
        <w:rPr>
          <w:rFonts w:ascii="仿宋" w:hAnsi="仿宋" w:eastAsia="仿宋" w:cs="Times New Roman"/>
        </w:rPr>
      </w:pPr>
      <w:r>
        <w:rPr>
          <w:rFonts w:ascii="仿宋" w:hAnsi="仿宋" w:eastAsia="仿宋" w:cs="Times New Roman"/>
        </w:rPr>
        <w:t>　 年　月　日</w:t>
      </w:r>
    </w:p>
    <w:p w14:paraId="66AB5997">
      <w:pPr>
        <w:autoSpaceDE w:val="0"/>
        <w:autoSpaceDN w:val="0"/>
        <w:spacing w:line="500" w:lineRule="exact"/>
        <w:ind w:firstLine="426" w:firstLineChars="200"/>
        <w:rPr>
          <w:rFonts w:ascii="仿宋" w:hAnsi="仿宋" w:eastAsia="仿宋" w:cs="Times New Roman"/>
          <w:b/>
          <w:bCs/>
          <w:kern w:val="0"/>
          <w:sz w:val="21"/>
          <w:szCs w:val="21"/>
        </w:rPr>
      </w:pPr>
    </w:p>
    <w:p w14:paraId="53F9D47A">
      <w:pPr>
        <w:autoSpaceDE w:val="0"/>
        <w:autoSpaceDN w:val="0"/>
        <w:spacing w:line="500" w:lineRule="exact"/>
        <w:ind w:firstLine="426" w:firstLineChars="200"/>
        <w:rPr>
          <w:rFonts w:ascii="仿宋" w:hAnsi="仿宋" w:eastAsia="仿宋" w:cs="Times New Roman"/>
          <w:b/>
          <w:bCs/>
          <w:kern w:val="0"/>
          <w:sz w:val="21"/>
          <w:szCs w:val="21"/>
        </w:rPr>
      </w:pPr>
    </w:p>
    <w:p w14:paraId="0117B445">
      <w:pPr>
        <w:autoSpaceDE w:val="0"/>
        <w:autoSpaceDN w:val="0"/>
        <w:spacing w:line="500" w:lineRule="exact"/>
        <w:ind w:firstLine="426" w:firstLineChars="2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306" w:name="_Hlk48720282"/>
      <w:bookmarkStart w:id="307" w:name="_Toc29232"/>
      <w:bookmarkStart w:id="308" w:name="_Toc8006"/>
      <w:bookmarkStart w:id="309" w:name="_Toc24699_WPSOffice_Level2"/>
      <w:bookmarkStart w:id="310" w:name="_Toc25597_WPSOffice_Level2"/>
      <w:bookmarkStart w:id="311" w:name="_Toc29740_WPSOffice_Level2"/>
      <w:bookmarkStart w:id="312" w:name="_Toc26334"/>
      <w:bookmarkStart w:id="313" w:name="_Toc31114"/>
      <w:bookmarkStart w:id="314" w:name="_Toc559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306"/>
      <w:r>
        <w:rPr>
          <w:rFonts w:ascii="仿宋" w:hAnsi="仿宋" w:eastAsia="仿宋" w:cs="Times New Roman"/>
          <w:kern w:val="0"/>
          <w:sz w:val="21"/>
          <w:szCs w:val="21"/>
          <w:lang w:val="zh-CN"/>
        </w:rPr>
        <w:t>。</w:t>
      </w:r>
    </w:p>
    <w:p w14:paraId="545FDB17">
      <w:pPr>
        <w:autoSpaceDE w:val="0"/>
        <w:autoSpaceDN w:val="0"/>
        <w:spacing w:line="500" w:lineRule="exact"/>
        <w:ind w:firstLine="426" w:firstLineChars="200"/>
        <w:rPr>
          <w:rFonts w:ascii="仿宋" w:hAnsi="仿宋" w:eastAsia="仿宋" w:cs="Times New Roman"/>
          <w:kern w:val="0"/>
          <w:sz w:val="21"/>
          <w:szCs w:val="21"/>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r>
        <w:rPr>
          <w:rFonts w:hint="eastAsia" w:ascii="仿宋" w:hAnsi="仿宋" w:eastAsia="仿宋" w:cs="Times New Roman"/>
          <w:kern w:val="0"/>
          <w:sz w:val="21"/>
          <w:szCs w:val="21"/>
        </w:rPr>
        <w:t>.</w:t>
      </w:r>
    </w:p>
    <w:p w14:paraId="01757C75">
      <w:pPr>
        <w:pStyle w:val="92"/>
        <w:spacing w:line="500" w:lineRule="exact"/>
        <w:ind w:firstLine="566" w:firstLineChars="200"/>
        <w:jc w:val="both"/>
        <w:outlineLvl w:val="9"/>
        <w:rPr>
          <w:rFonts w:ascii="仿宋" w:hAnsi="仿宋" w:eastAsia="仿宋"/>
          <w:bCs w:val="0"/>
          <w:sz w:val="28"/>
          <w:szCs w:val="28"/>
        </w:rPr>
      </w:pPr>
      <w:bookmarkStart w:id="315" w:name="_Toc48834318"/>
      <w:r>
        <w:rPr>
          <w:rFonts w:ascii="仿宋" w:hAnsi="仿宋" w:eastAsia="仿宋"/>
          <w:bCs w:val="0"/>
          <w:sz w:val="28"/>
          <w:szCs w:val="28"/>
        </w:rPr>
        <w:t>分项报价表（样表）</w:t>
      </w:r>
      <w:bookmarkEnd w:id="315"/>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634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14:paraId="5A8B79C9">
            <w:pPr>
              <w:pStyle w:val="92"/>
              <w:widowControl w:val="0"/>
              <w:spacing w:line="500" w:lineRule="exact"/>
              <w:jc w:val="both"/>
              <w:rPr>
                <w:rFonts w:ascii="仿宋" w:hAnsi="仿宋" w:eastAsia="仿宋"/>
                <w:bCs w:val="0"/>
                <w:sz w:val="24"/>
                <w:szCs w:val="24"/>
              </w:rPr>
            </w:pPr>
            <w:bookmarkStart w:id="316" w:name="_Toc18433"/>
            <w:bookmarkStart w:id="317" w:name="_Toc48834478"/>
            <w:bookmarkStart w:id="318" w:name="_Toc28408"/>
            <w:bookmarkStart w:id="319" w:name="_Toc16723"/>
            <w:bookmarkStart w:id="320" w:name="_Toc1934"/>
            <w:bookmarkStart w:id="321" w:name="_Toc22090"/>
            <w:bookmarkStart w:id="322" w:name="_Toc48834319"/>
            <w:bookmarkStart w:id="323" w:name="_Toc48834191"/>
            <w:bookmarkStart w:id="324" w:name="_Toc11855"/>
            <w:bookmarkStart w:id="325" w:name="_Toc26257"/>
            <w:bookmarkStart w:id="326" w:name="_Toc13948"/>
            <w:bookmarkStart w:id="327" w:name="_Toc32361"/>
            <w:bookmarkStart w:id="328" w:name="_Toc48834121"/>
            <w:bookmarkStart w:id="329" w:name="_Toc22436"/>
            <w:r>
              <w:rPr>
                <w:rFonts w:ascii="仿宋" w:hAnsi="仿宋" w:eastAsia="仿宋"/>
                <w:bCs w:val="0"/>
                <w:sz w:val="24"/>
                <w:szCs w:val="24"/>
              </w:rPr>
              <w:t>序号</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678" w:type="pct"/>
            <w:vAlign w:val="center"/>
          </w:tcPr>
          <w:p w14:paraId="7C817E8D">
            <w:pPr>
              <w:pStyle w:val="92"/>
              <w:widowControl w:val="0"/>
              <w:spacing w:line="500" w:lineRule="exact"/>
              <w:jc w:val="both"/>
              <w:rPr>
                <w:rFonts w:ascii="仿宋" w:hAnsi="仿宋" w:eastAsia="仿宋"/>
                <w:bCs w:val="0"/>
                <w:sz w:val="24"/>
                <w:szCs w:val="24"/>
              </w:rPr>
            </w:pPr>
            <w:bookmarkStart w:id="330" w:name="_Toc27672"/>
            <w:bookmarkStart w:id="331" w:name="_Toc25508"/>
            <w:bookmarkStart w:id="332" w:name="_Toc18237"/>
            <w:bookmarkStart w:id="333" w:name="_Toc22136"/>
            <w:bookmarkStart w:id="334" w:name="_Toc48834479"/>
            <w:bookmarkStart w:id="335" w:name="_Toc48834320"/>
            <w:bookmarkStart w:id="336" w:name="_Toc2200"/>
            <w:bookmarkStart w:id="337" w:name="_Toc305"/>
            <w:bookmarkStart w:id="338" w:name="_Toc30628"/>
            <w:bookmarkStart w:id="339" w:name="_Toc48834122"/>
            <w:bookmarkStart w:id="340" w:name="_Toc10554"/>
            <w:bookmarkStart w:id="341" w:name="_Toc25988"/>
            <w:bookmarkStart w:id="342" w:name="_Toc26803"/>
            <w:bookmarkStart w:id="343" w:name="_Toc48834192"/>
            <w:r>
              <w:rPr>
                <w:rFonts w:ascii="仿宋" w:hAnsi="仿宋" w:eastAsia="仿宋"/>
                <w:bCs w:val="0"/>
                <w:sz w:val="24"/>
                <w:szCs w:val="24"/>
              </w:rPr>
              <w:t>服务名称</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tc>
        <w:tc>
          <w:tcPr>
            <w:tcW w:w="822" w:type="pct"/>
            <w:vAlign w:val="center"/>
          </w:tcPr>
          <w:p w14:paraId="3DA975FE">
            <w:pPr>
              <w:pStyle w:val="92"/>
              <w:widowControl w:val="0"/>
              <w:spacing w:line="500" w:lineRule="exact"/>
              <w:jc w:val="both"/>
              <w:rPr>
                <w:rFonts w:ascii="仿宋" w:hAnsi="仿宋" w:eastAsia="仿宋"/>
                <w:bCs w:val="0"/>
                <w:sz w:val="24"/>
                <w:szCs w:val="24"/>
              </w:rPr>
            </w:pPr>
            <w:bookmarkStart w:id="344" w:name="_Toc48834193"/>
            <w:bookmarkStart w:id="345" w:name="_Toc19168"/>
            <w:bookmarkStart w:id="346" w:name="_Toc48834123"/>
            <w:bookmarkStart w:id="347" w:name="_Toc2261"/>
            <w:bookmarkStart w:id="348" w:name="_Toc4954"/>
            <w:bookmarkStart w:id="349" w:name="_Toc31990"/>
            <w:bookmarkStart w:id="350" w:name="_Toc20493"/>
            <w:bookmarkStart w:id="351" w:name="_Toc31649"/>
            <w:bookmarkStart w:id="352" w:name="_Toc17303"/>
            <w:bookmarkStart w:id="353" w:name="_Toc1510"/>
            <w:bookmarkStart w:id="354" w:name="_Toc48834480"/>
            <w:bookmarkStart w:id="355" w:name="_Toc27856"/>
            <w:bookmarkStart w:id="356" w:name="_Toc24812"/>
            <w:bookmarkStart w:id="357" w:name="_Toc48834321"/>
            <w:r>
              <w:rPr>
                <w:rFonts w:ascii="仿宋" w:hAnsi="仿宋" w:eastAsia="仿宋"/>
                <w:bCs w:val="0"/>
                <w:sz w:val="24"/>
                <w:szCs w:val="24"/>
              </w:rPr>
              <w:t>计量单位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tc>
        <w:tc>
          <w:tcPr>
            <w:tcW w:w="1159" w:type="pct"/>
            <w:vAlign w:val="center"/>
          </w:tcPr>
          <w:p w14:paraId="5A4602D6">
            <w:pPr>
              <w:pStyle w:val="92"/>
              <w:widowControl w:val="0"/>
              <w:spacing w:line="500" w:lineRule="exact"/>
              <w:jc w:val="both"/>
              <w:rPr>
                <w:rFonts w:ascii="仿宋" w:hAnsi="仿宋" w:eastAsia="仿宋"/>
                <w:bCs w:val="0"/>
                <w:sz w:val="24"/>
                <w:szCs w:val="24"/>
              </w:rPr>
            </w:pPr>
            <w:bookmarkStart w:id="358" w:name="_Toc7958"/>
            <w:bookmarkStart w:id="359" w:name="_Toc13762"/>
            <w:bookmarkStart w:id="360" w:name="_Toc24925"/>
            <w:bookmarkStart w:id="361" w:name="_Toc17587"/>
            <w:bookmarkStart w:id="362" w:name="_Toc10304"/>
            <w:bookmarkStart w:id="363" w:name="_Toc28843"/>
            <w:bookmarkStart w:id="364" w:name="_Toc8643"/>
            <w:bookmarkStart w:id="365" w:name="_Toc26426"/>
            <w:bookmarkStart w:id="366" w:name="_Toc20600"/>
            <w:bookmarkStart w:id="367" w:name="_Toc27981"/>
            <w:bookmarkStart w:id="368" w:name="_Toc48834124"/>
            <w:bookmarkStart w:id="369" w:name="_Toc48834322"/>
            <w:bookmarkStart w:id="370" w:name="_Toc48834481"/>
            <w:bookmarkStart w:id="371" w:name="_Toc48834194"/>
            <w:r>
              <w:rPr>
                <w:rFonts w:ascii="仿宋" w:hAnsi="仿宋" w:eastAsia="仿宋"/>
                <w:bCs w:val="0"/>
                <w:sz w:val="24"/>
                <w:szCs w:val="24"/>
              </w:rPr>
              <w:t>具体</w:t>
            </w:r>
            <w:bookmarkEnd w:id="358"/>
            <w:bookmarkEnd w:id="359"/>
            <w:bookmarkEnd w:id="360"/>
            <w:bookmarkEnd w:id="361"/>
            <w:bookmarkEnd w:id="362"/>
            <w:bookmarkEnd w:id="363"/>
            <w:bookmarkEnd w:id="364"/>
            <w:bookmarkEnd w:id="365"/>
            <w:bookmarkEnd w:id="366"/>
            <w:bookmarkEnd w:id="367"/>
            <w:r>
              <w:rPr>
                <w:rFonts w:ascii="仿宋" w:hAnsi="仿宋" w:eastAsia="仿宋"/>
                <w:bCs w:val="0"/>
                <w:sz w:val="24"/>
                <w:szCs w:val="24"/>
              </w:rPr>
              <w:t>服务内容</w:t>
            </w:r>
            <w:bookmarkEnd w:id="368"/>
            <w:bookmarkEnd w:id="369"/>
            <w:bookmarkEnd w:id="370"/>
            <w:bookmarkEnd w:id="371"/>
          </w:p>
        </w:tc>
        <w:tc>
          <w:tcPr>
            <w:tcW w:w="485" w:type="pct"/>
            <w:vAlign w:val="center"/>
          </w:tcPr>
          <w:p w14:paraId="0384768B">
            <w:pPr>
              <w:pStyle w:val="92"/>
              <w:widowControl w:val="0"/>
              <w:spacing w:line="500" w:lineRule="exact"/>
              <w:jc w:val="both"/>
              <w:rPr>
                <w:rFonts w:ascii="仿宋" w:hAnsi="仿宋" w:eastAsia="仿宋"/>
                <w:bCs w:val="0"/>
                <w:sz w:val="24"/>
                <w:szCs w:val="24"/>
              </w:rPr>
            </w:pPr>
            <w:bookmarkStart w:id="372" w:name="_Toc48834482"/>
            <w:bookmarkStart w:id="373" w:name="_Toc31126"/>
            <w:bookmarkStart w:id="374" w:name="_Toc48834125"/>
            <w:bookmarkStart w:id="375" w:name="_Toc20275"/>
            <w:bookmarkStart w:id="376" w:name="_Toc2815"/>
            <w:bookmarkStart w:id="377" w:name="_Toc48834323"/>
            <w:bookmarkStart w:id="378" w:name="_Toc48834195"/>
            <w:bookmarkStart w:id="379" w:name="_Toc18350"/>
            <w:bookmarkStart w:id="380" w:name="_Toc28269"/>
            <w:bookmarkStart w:id="381" w:name="_Toc405"/>
            <w:bookmarkStart w:id="382" w:name="_Toc22239"/>
            <w:bookmarkStart w:id="383" w:name="_Toc20516"/>
            <w:bookmarkStart w:id="384" w:name="_Toc4902"/>
            <w:bookmarkStart w:id="385" w:name="_Toc1305"/>
            <w:r>
              <w:rPr>
                <w:rFonts w:ascii="仿宋" w:hAnsi="仿宋" w:eastAsia="仿宋"/>
                <w:bCs w:val="0"/>
                <w:sz w:val="24"/>
                <w:szCs w:val="24"/>
              </w:rPr>
              <w:t>单价</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c>
        <w:tc>
          <w:tcPr>
            <w:tcW w:w="485" w:type="pct"/>
            <w:vAlign w:val="center"/>
          </w:tcPr>
          <w:p w14:paraId="799773DE">
            <w:pPr>
              <w:pStyle w:val="92"/>
              <w:widowControl w:val="0"/>
              <w:spacing w:line="500" w:lineRule="exact"/>
              <w:jc w:val="both"/>
              <w:rPr>
                <w:rFonts w:ascii="仿宋" w:hAnsi="仿宋" w:eastAsia="仿宋"/>
                <w:bCs w:val="0"/>
                <w:sz w:val="24"/>
                <w:szCs w:val="24"/>
              </w:rPr>
            </w:pPr>
            <w:bookmarkStart w:id="386" w:name="_Toc48834483"/>
            <w:bookmarkStart w:id="387" w:name="_Toc48834196"/>
            <w:bookmarkStart w:id="388" w:name="_Toc48834126"/>
            <w:bookmarkStart w:id="389" w:name="_Toc21248"/>
            <w:bookmarkStart w:id="390" w:name="_Toc6325"/>
            <w:bookmarkStart w:id="391" w:name="_Toc10807"/>
            <w:bookmarkStart w:id="392" w:name="_Toc5160"/>
            <w:bookmarkStart w:id="393" w:name="_Toc28802"/>
            <w:bookmarkStart w:id="394" w:name="_Toc13000"/>
            <w:bookmarkStart w:id="395" w:name="_Toc48834324"/>
            <w:bookmarkStart w:id="396" w:name="_Toc31777"/>
            <w:bookmarkStart w:id="397" w:name="_Toc14107"/>
            <w:bookmarkStart w:id="398" w:name="_Toc24619"/>
            <w:bookmarkStart w:id="399" w:name="_Toc13619"/>
            <w:r>
              <w:rPr>
                <w:rFonts w:ascii="仿宋" w:hAnsi="仿宋" w:eastAsia="仿宋"/>
                <w:bCs w:val="0"/>
                <w:sz w:val="24"/>
                <w:szCs w:val="24"/>
              </w:rPr>
              <w:t>数量</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tc>
        <w:tc>
          <w:tcPr>
            <w:tcW w:w="485" w:type="pct"/>
            <w:vAlign w:val="center"/>
          </w:tcPr>
          <w:p w14:paraId="1235E07E">
            <w:pPr>
              <w:pStyle w:val="92"/>
              <w:widowControl w:val="0"/>
              <w:spacing w:line="500" w:lineRule="exact"/>
              <w:jc w:val="both"/>
              <w:rPr>
                <w:rFonts w:ascii="仿宋" w:hAnsi="仿宋" w:eastAsia="仿宋"/>
                <w:bCs w:val="0"/>
                <w:sz w:val="24"/>
                <w:szCs w:val="24"/>
              </w:rPr>
            </w:pPr>
            <w:bookmarkStart w:id="400" w:name="_Toc31567"/>
            <w:bookmarkStart w:id="401" w:name="_Toc5319"/>
            <w:bookmarkStart w:id="402" w:name="_Toc20517"/>
            <w:bookmarkStart w:id="403" w:name="_Toc48834484"/>
            <w:bookmarkStart w:id="404" w:name="_Toc48834325"/>
            <w:bookmarkStart w:id="405" w:name="_Toc24719"/>
            <w:bookmarkStart w:id="406" w:name="_Toc28052"/>
            <w:bookmarkStart w:id="407" w:name="_Toc17975"/>
            <w:bookmarkStart w:id="408" w:name="_Toc28095"/>
            <w:bookmarkStart w:id="409" w:name="_Toc5673"/>
            <w:bookmarkStart w:id="410" w:name="_Toc48834197"/>
            <w:bookmarkStart w:id="411" w:name="_Toc12016"/>
            <w:bookmarkStart w:id="412" w:name="_Toc25187"/>
            <w:bookmarkStart w:id="413" w:name="_Toc48834127"/>
            <w:r>
              <w:rPr>
                <w:rFonts w:ascii="仿宋" w:hAnsi="仿宋" w:eastAsia="仿宋"/>
                <w:bCs w:val="0"/>
                <w:sz w:val="24"/>
                <w:szCs w:val="24"/>
              </w:rPr>
              <w:t>合计</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c>
        <w:tc>
          <w:tcPr>
            <w:tcW w:w="485" w:type="pct"/>
            <w:vAlign w:val="center"/>
          </w:tcPr>
          <w:p w14:paraId="59BB3D8C">
            <w:pPr>
              <w:pStyle w:val="92"/>
              <w:widowControl w:val="0"/>
              <w:spacing w:line="500" w:lineRule="exact"/>
              <w:jc w:val="both"/>
              <w:rPr>
                <w:rFonts w:ascii="仿宋" w:hAnsi="仿宋" w:eastAsia="仿宋"/>
                <w:bCs w:val="0"/>
                <w:sz w:val="24"/>
                <w:szCs w:val="24"/>
              </w:rPr>
            </w:pPr>
            <w:bookmarkStart w:id="414" w:name="_Toc30744"/>
            <w:bookmarkStart w:id="415" w:name="_Toc48834326"/>
            <w:bookmarkStart w:id="416" w:name="_Toc13096"/>
            <w:bookmarkStart w:id="417" w:name="_Toc10182"/>
            <w:bookmarkStart w:id="418" w:name="_Toc27866"/>
            <w:bookmarkStart w:id="419" w:name="_Toc48834128"/>
            <w:bookmarkStart w:id="420" w:name="_Toc31556"/>
            <w:bookmarkStart w:id="421" w:name="_Toc3675"/>
            <w:bookmarkStart w:id="422" w:name="_Toc48834198"/>
            <w:bookmarkStart w:id="423" w:name="_Toc16650"/>
            <w:bookmarkStart w:id="424" w:name="_Toc48834485"/>
            <w:bookmarkStart w:id="425" w:name="_Toc3646"/>
            <w:bookmarkStart w:id="426" w:name="_Toc25536"/>
            <w:r>
              <w:rPr>
                <w:rFonts w:ascii="仿宋" w:hAnsi="仿宋" w:eastAsia="仿宋"/>
                <w:bCs w:val="0"/>
                <w:sz w:val="24"/>
                <w:szCs w:val="24"/>
              </w:rPr>
              <w:t>备注</w:t>
            </w:r>
            <w:bookmarkEnd w:id="414"/>
            <w:bookmarkEnd w:id="415"/>
            <w:bookmarkEnd w:id="416"/>
            <w:bookmarkEnd w:id="417"/>
            <w:bookmarkEnd w:id="418"/>
            <w:bookmarkEnd w:id="419"/>
            <w:bookmarkEnd w:id="420"/>
            <w:bookmarkEnd w:id="421"/>
            <w:bookmarkEnd w:id="422"/>
            <w:bookmarkEnd w:id="423"/>
            <w:bookmarkEnd w:id="424"/>
            <w:bookmarkEnd w:id="425"/>
            <w:bookmarkEnd w:id="426"/>
          </w:p>
        </w:tc>
      </w:tr>
      <w:tr w14:paraId="73D7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727F626A">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5968FCD">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14875832">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6F2D9BE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6E6064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60169D">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16D627">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D6C3887">
            <w:pPr>
              <w:pStyle w:val="92"/>
              <w:widowControl w:val="0"/>
              <w:spacing w:line="500" w:lineRule="exact"/>
              <w:ind w:firstLine="486" w:firstLineChars="200"/>
              <w:jc w:val="both"/>
              <w:rPr>
                <w:rFonts w:ascii="仿宋" w:hAnsi="仿宋" w:eastAsia="仿宋"/>
                <w:bCs w:val="0"/>
                <w:sz w:val="24"/>
                <w:szCs w:val="24"/>
              </w:rPr>
            </w:pPr>
          </w:p>
        </w:tc>
      </w:tr>
      <w:tr w14:paraId="266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B177A95">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5F931F54">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676FD417">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5CC3A84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837C205">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7216DD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D4A663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BD61256">
            <w:pPr>
              <w:pStyle w:val="92"/>
              <w:widowControl w:val="0"/>
              <w:spacing w:line="500" w:lineRule="exact"/>
              <w:ind w:firstLine="486" w:firstLineChars="200"/>
              <w:jc w:val="both"/>
              <w:rPr>
                <w:rFonts w:ascii="仿宋" w:hAnsi="仿宋" w:eastAsia="仿宋"/>
                <w:bCs w:val="0"/>
                <w:sz w:val="24"/>
                <w:szCs w:val="24"/>
              </w:rPr>
            </w:pPr>
          </w:p>
        </w:tc>
      </w:tr>
      <w:tr w14:paraId="3AC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6EA922E">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2AABD52B">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40A1EB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0A2C492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14A7B0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C5FC1F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F5D94C3">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62C0FA8">
            <w:pPr>
              <w:pStyle w:val="92"/>
              <w:widowControl w:val="0"/>
              <w:spacing w:line="500" w:lineRule="exact"/>
              <w:ind w:firstLine="486" w:firstLineChars="200"/>
              <w:jc w:val="both"/>
              <w:rPr>
                <w:rFonts w:ascii="仿宋" w:hAnsi="仿宋" w:eastAsia="仿宋"/>
                <w:bCs w:val="0"/>
                <w:sz w:val="24"/>
                <w:szCs w:val="24"/>
              </w:rPr>
            </w:pPr>
          </w:p>
        </w:tc>
      </w:tr>
      <w:tr w14:paraId="073B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8BCDADB">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351649A">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03032473">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12C7777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EBF538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10A553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41F2E63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D7AFEE1">
            <w:pPr>
              <w:pStyle w:val="92"/>
              <w:widowControl w:val="0"/>
              <w:spacing w:line="500" w:lineRule="exact"/>
              <w:ind w:firstLine="486" w:firstLineChars="200"/>
              <w:jc w:val="both"/>
              <w:rPr>
                <w:rFonts w:ascii="仿宋" w:hAnsi="仿宋" w:eastAsia="仿宋"/>
                <w:bCs w:val="0"/>
                <w:sz w:val="24"/>
                <w:szCs w:val="24"/>
              </w:rPr>
            </w:pPr>
          </w:p>
        </w:tc>
      </w:tr>
      <w:tr w14:paraId="01B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05CE82F">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30042947">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A9C0A0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43D1315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37A563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B696872">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701532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242BFE5">
            <w:pPr>
              <w:pStyle w:val="92"/>
              <w:widowControl w:val="0"/>
              <w:spacing w:line="500" w:lineRule="exact"/>
              <w:ind w:firstLine="486" w:firstLineChars="200"/>
              <w:jc w:val="both"/>
              <w:rPr>
                <w:rFonts w:ascii="仿宋" w:hAnsi="仿宋" w:eastAsia="仿宋"/>
                <w:bCs w:val="0"/>
                <w:sz w:val="24"/>
                <w:szCs w:val="24"/>
              </w:rPr>
            </w:pPr>
          </w:p>
        </w:tc>
      </w:tr>
      <w:tr w14:paraId="2FD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vAlign w:val="center"/>
          </w:tcPr>
          <w:p w14:paraId="2289E1AC">
            <w:pPr>
              <w:pStyle w:val="92"/>
              <w:widowControl w:val="0"/>
              <w:spacing w:line="500" w:lineRule="exact"/>
              <w:ind w:firstLine="486" w:firstLineChars="200"/>
              <w:jc w:val="both"/>
              <w:rPr>
                <w:rFonts w:ascii="仿宋" w:hAnsi="仿宋" w:eastAsia="仿宋"/>
                <w:b w:val="0"/>
                <w:bCs w:val="0"/>
                <w:sz w:val="24"/>
                <w:szCs w:val="24"/>
              </w:rPr>
            </w:pPr>
            <w:bookmarkStart w:id="427" w:name="_Toc48834486"/>
            <w:bookmarkStart w:id="428" w:name="_Toc48834199"/>
            <w:bookmarkStart w:id="429" w:name="_Toc48834327"/>
            <w:bookmarkStart w:id="430" w:name="_Toc48834129"/>
            <w:r>
              <w:rPr>
                <w:rFonts w:ascii="仿宋" w:hAnsi="仿宋" w:eastAsia="仿宋"/>
                <w:sz w:val="24"/>
                <w:szCs w:val="24"/>
              </w:rPr>
              <w:t>投标报价</w:t>
            </w:r>
            <w:bookmarkEnd w:id="427"/>
            <w:bookmarkEnd w:id="428"/>
            <w:bookmarkEnd w:id="429"/>
            <w:bookmarkEnd w:id="430"/>
          </w:p>
        </w:tc>
        <w:tc>
          <w:tcPr>
            <w:tcW w:w="3922" w:type="pct"/>
            <w:gridSpan w:val="6"/>
          </w:tcPr>
          <w:p w14:paraId="4F6A38E1">
            <w:pPr>
              <w:widowControl w:val="0"/>
              <w:autoSpaceDE w:val="0"/>
              <w:autoSpaceDN w:val="0"/>
              <w:spacing w:line="500" w:lineRule="exact"/>
              <w:ind w:firstLine="486" w:firstLineChars="200"/>
              <w:rPr>
                <w:rFonts w:ascii="仿宋" w:hAnsi="仿宋" w:eastAsia="仿宋" w:cs="Times New Roman"/>
                <w:sz w:val="24"/>
                <w:szCs w:val="24"/>
                <w:lang w:val="zh-CN"/>
              </w:rPr>
            </w:pPr>
          </w:p>
          <w:p w14:paraId="4919B574">
            <w:pPr>
              <w:pStyle w:val="29"/>
              <w:spacing w:line="500" w:lineRule="exact"/>
              <w:ind w:firstLine="486" w:firstLineChars="200"/>
              <w:rPr>
                <w:rFonts w:ascii="仿宋" w:hAnsi="仿宋" w:eastAsia="仿宋" w:cs="Times New Roman"/>
                <w:sz w:val="24"/>
                <w:szCs w:val="24"/>
                <w:lang w:val="zh-CN"/>
              </w:rPr>
            </w:pPr>
            <w:r>
              <w:rPr>
                <w:rFonts w:ascii="仿宋" w:hAnsi="仿宋" w:eastAsia="仿宋" w:cs="Times New Roman"/>
                <w:sz w:val="24"/>
                <w:szCs w:val="24"/>
                <w:lang w:val="zh-CN"/>
              </w:rPr>
              <w:t>小写：</w:t>
            </w:r>
          </w:p>
          <w:p w14:paraId="1A6051A3">
            <w:pPr>
              <w:pStyle w:val="29"/>
              <w:spacing w:line="500" w:lineRule="exact"/>
              <w:ind w:firstLine="486" w:firstLineChars="200"/>
              <w:rPr>
                <w:rFonts w:ascii="仿宋" w:hAnsi="仿宋" w:eastAsia="仿宋" w:cs="Times New Roman"/>
                <w:lang w:val="zh-CN"/>
              </w:rPr>
            </w:pPr>
            <w:r>
              <w:rPr>
                <w:rFonts w:hint="eastAsia" w:ascii="仿宋" w:hAnsi="仿宋" w:eastAsia="仿宋" w:cs="Times New Roman"/>
                <w:sz w:val="24"/>
                <w:szCs w:val="24"/>
                <w:lang w:val="zh-CN"/>
              </w:rPr>
              <w:t>大写：</w:t>
            </w:r>
          </w:p>
          <w:p w14:paraId="69ECE4D2">
            <w:pPr>
              <w:pStyle w:val="92"/>
              <w:widowControl w:val="0"/>
              <w:spacing w:line="500" w:lineRule="exact"/>
              <w:ind w:firstLine="486" w:firstLineChars="200"/>
              <w:jc w:val="both"/>
              <w:rPr>
                <w:rFonts w:ascii="仿宋" w:hAnsi="仿宋" w:eastAsia="仿宋"/>
                <w:b w:val="0"/>
                <w:bCs w:val="0"/>
                <w:sz w:val="24"/>
                <w:szCs w:val="24"/>
              </w:rPr>
            </w:pPr>
            <w:bookmarkStart w:id="431" w:name="_Toc7253"/>
            <w:bookmarkStart w:id="432" w:name="_Toc22162"/>
            <w:bookmarkStart w:id="433" w:name="_Toc31077"/>
            <w:bookmarkStart w:id="434" w:name="_Toc48834487"/>
            <w:bookmarkStart w:id="435" w:name="_Toc31429"/>
            <w:bookmarkStart w:id="436" w:name="_Toc17991"/>
            <w:bookmarkStart w:id="437" w:name="_Toc48834130"/>
            <w:bookmarkStart w:id="438" w:name="_Toc28010"/>
            <w:bookmarkStart w:id="439" w:name="_Toc8004"/>
            <w:bookmarkStart w:id="440" w:name="_Toc48834200"/>
            <w:bookmarkStart w:id="441" w:name="_Toc2537"/>
            <w:bookmarkStart w:id="442" w:name="_Toc48834328"/>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431"/>
            <w:bookmarkEnd w:id="432"/>
            <w:bookmarkEnd w:id="433"/>
            <w:bookmarkEnd w:id="434"/>
            <w:bookmarkEnd w:id="435"/>
            <w:bookmarkEnd w:id="436"/>
            <w:bookmarkEnd w:id="437"/>
            <w:bookmarkEnd w:id="438"/>
            <w:bookmarkEnd w:id="439"/>
            <w:bookmarkEnd w:id="440"/>
            <w:bookmarkEnd w:id="441"/>
            <w:bookmarkEnd w:id="442"/>
          </w:p>
        </w:tc>
      </w:tr>
    </w:tbl>
    <w:p w14:paraId="681C820E">
      <w:pPr>
        <w:tabs>
          <w:tab w:val="right" w:pos="9072"/>
        </w:tabs>
        <w:spacing w:line="500" w:lineRule="exact"/>
        <w:ind w:firstLine="566" w:firstLineChars="200"/>
        <w:rPr>
          <w:rFonts w:ascii="仿宋" w:hAnsi="仿宋" w:eastAsia="仿宋" w:cs="Times New Roman"/>
          <w:b/>
        </w:rPr>
      </w:pPr>
    </w:p>
    <w:p w14:paraId="53993669">
      <w:pPr>
        <w:tabs>
          <w:tab w:val="right" w:pos="9072"/>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14:paraId="72298527">
      <w:pPr>
        <w:tabs>
          <w:tab w:val="right" w:pos="9072"/>
        </w:tabs>
        <w:spacing w:line="500" w:lineRule="exact"/>
        <w:ind w:firstLine="426" w:firstLineChars="200"/>
        <w:rPr>
          <w:rFonts w:ascii="仿宋" w:hAnsi="仿宋" w:eastAsia="仿宋" w:cs="Times New Roman"/>
          <w:sz w:val="24"/>
          <w:szCs w:val="24"/>
        </w:rPr>
      </w:pPr>
      <w:r>
        <w:rPr>
          <w:rFonts w:ascii="仿宋" w:hAnsi="仿宋" w:eastAsia="仿宋" w:cs="Times New Roman"/>
          <w:sz w:val="21"/>
          <w:szCs w:val="21"/>
        </w:rPr>
        <w:t>2、本表为样表，仅供参考，</w:t>
      </w:r>
      <w:r>
        <w:rPr>
          <w:rFonts w:ascii="仿宋" w:hAnsi="仿宋" w:eastAsia="仿宋" w:cs="Times New Roman"/>
          <w:b/>
          <w:sz w:val="21"/>
          <w:szCs w:val="21"/>
        </w:rPr>
        <w:t>投标人根据项目实际需求进行填写。</w:t>
      </w:r>
    </w:p>
    <w:p w14:paraId="3B9BCE39">
      <w:pPr>
        <w:tabs>
          <w:tab w:val="right" w:pos="9072"/>
        </w:tabs>
        <w:spacing w:line="500" w:lineRule="exact"/>
        <w:ind w:firstLine="486" w:firstLineChars="200"/>
        <w:rPr>
          <w:rFonts w:ascii="仿宋" w:hAnsi="仿宋" w:eastAsia="仿宋" w:cs="Times New Roman"/>
          <w:sz w:val="24"/>
          <w:szCs w:val="24"/>
        </w:rPr>
      </w:pPr>
    </w:p>
    <w:p w14:paraId="199C0AB1">
      <w:pPr>
        <w:tabs>
          <w:tab w:val="right" w:pos="9072"/>
        </w:tabs>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投标人名称</w:t>
      </w:r>
      <w:r>
        <w:rPr>
          <w:rFonts w:ascii="仿宋" w:hAnsi="仿宋" w:eastAsia="仿宋" w:cs="Times New Roman"/>
        </w:rPr>
        <w:t>（盖章）</w:t>
      </w:r>
    </w:p>
    <w:p w14:paraId="3ED19EE5">
      <w:pPr>
        <w:spacing w:line="500" w:lineRule="exact"/>
        <w:ind w:firstLine="566" w:firstLineChars="200"/>
        <w:rPr>
          <w:rFonts w:ascii="仿宋" w:hAnsi="仿宋" w:eastAsia="仿宋" w:cs="Times New Roman"/>
        </w:rPr>
        <w:sectPr>
          <w:pgSz w:w="11906" w:h="16838"/>
          <w:pgMar w:top="1417" w:right="1418" w:bottom="1417" w:left="1418" w:header="851" w:footer="794" w:gutter="0"/>
          <w:cols w:space="720" w:num="1"/>
          <w:docGrid w:type="linesAndChars" w:linePitch="381" w:charSpace="704"/>
        </w:sect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307"/>
      <w:bookmarkEnd w:id="308"/>
      <w:bookmarkEnd w:id="309"/>
      <w:bookmarkEnd w:id="310"/>
      <w:bookmarkEnd w:id="311"/>
      <w:bookmarkEnd w:id="312"/>
      <w:bookmarkEnd w:id="313"/>
      <w:bookmarkEnd w:id="314"/>
      <w:bookmarkStart w:id="443" w:name="_Toc21118"/>
      <w:bookmarkStart w:id="444" w:name="_Toc20205"/>
      <w:bookmarkStart w:id="445" w:name="_Toc24858"/>
      <w:r>
        <w:rPr>
          <w:rFonts w:ascii="仿宋" w:hAnsi="仿宋" w:eastAsia="仿宋" w:cs="Times New Roman"/>
        </w:rPr>
        <w:t>日</w:t>
      </w:r>
    </w:p>
    <w:bookmarkEnd w:id="443"/>
    <w:bookmarkEnd w:id="444"/>
    <w:bookmarkEnd w:id="445"/>
    <w:p w14:paraId="2FC32F22">
      <w:pPr>
        <w:pStyle w:val="92"/>
        <w:spacing w:line="500" w:lineRule="exact"/>
        <w:ind w:firstLine="566" w:firstLineChars="200"/>
        <w:jc w:val="both"/>
        <w:outlineLvl w:val="9"/>
        <w:rPr>
          <w:rFonts w:ascii="仿宋" w:hAnsi="仿宋" w:eastAsia="仿宋"/>
          <w:b w:val="0"/>
          <w:sz w:val="28"/>
          <w:szCs w:val="28"/>
        </w:rPr>
      </w:pPr>
      <w:bookmarkStart w:id="446" w:name="_Toc30708"/>
      <w:bookmarkStart w:id="447" w:name="_Toc48834202"/>
      <w:bookmarkStart w:id="448" w:name="_Toc15439"/>
      <w:bookmarkStart w:id="449" w:name="_Toc48834132"/>
      <w:bookmarkStart w:id="450" w:name="_Toc10991"/>
      <w:bookmarkStart w:id="451" w:name="_Toc48834330"/>
      <w:r>
        <w:rPr>
          <w:rFonts w:hint="eastAsia" w:ascii="仿宋" w:hAnsi="仿宋" w:eastAsia="仿宋"/>
          <w:bCs w:val="0"/>
          <w:sz w:val="28"/>
          <w:szCs w:val="28"/>
        </w:rPr>
        <w:t>三</w:t>
      </w:r>
      <w:r>
        <w:rPr>
          <w:rFonts w:ascii="仿宋" w:hAnsi="仿宋" w:eastAsia="仿宋"/>
          <w:bCs w:val="0"/>
          <w:sz w:val="28"/>
          <w:szCs w:val="28"/>
        </w:rPr>
        <w:t>、投标人参加政府采购活动承诺书</w:t>
      </w:r>
      <w:bookmarkEnd w:id="446"/>
      <w:bookmarkEnd w:id="447"/>
      <w:bookmarkEnd w:id="448"/>
      <w:bookmarkEnd w:id="449"/>
      <w:bookmarkEnd w:id="450"/>
      <w:bookmarkEnd w:id="451"/>
    </w:p>
    <w:p w14:paraId="2EB0A7F5">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未签署下列承诺书的，其责任由投标人自行承担。</w:t>
      </w:r>
    </w:p>
    <w:p w14:paraId="32EA64ED">
      <w:pPr>
        <w:spacing w:line="500" w:lineRule="exact"/>
        <w:ind w:firstLine="566" w:firstLineChars="200"/>
        <w:rPr>
          <w:rFonts w:ascii="仿宋" w:hAnsi="仿宋" w:eastAsia="仿宋" w:cs="Times New Roman"/>
          <w:b/>
        </w:rPr>
      </w:pPr>
      <w:r>
        <w:rPr>
          <w:rFonts w:ascii="仿宋" w:hAnsi="仿宋" w:eastAsia="仿宋" w:cs="Times New Roman"/>
          <w:b/>
        </w:rPr>
        <w:t>（一）质量安全责任承诺书</w:t>
      </w:r>
    </w:p>
    <w:p w14:paraId="469FDE49">
      <w:pPr>
        <w:spacing w:line="500" w:lineRule="exact"/>
        <w:ind w:firstLine="566" w:firstLineChars="200"/>
        <w:rPr>
          <w:rFonts w:ascii="仿宋" w:hAnsi="仿宋" w:eastAsia="仿宋" w:cs="Times New Roman"/>
        </w:rPr>
      </w:pPr>
      <w:r>
        <w:rPr>
          <w:rFonts w:ascii="仿宋" w:hAnsi="仿宋" w:eastAsia="仿宋" w:cs="Times New Roman"/>
        </w:rPr>
        <w:t>为保证本采购项目顺利进行，作为投标人，现郑重承诺：</w:t>
      </w:r>
    </w:p>
    <w:p w14:paraId="10A78848">
      <w:pPr>
        <w:spacing w:line="500" w:lineRule="exact"/>
        <w:ind w:firstLine="566" w:firstLineChars="200"/>
        <w:rPr>
          <w:rFonts w:ascii="仿宋" w:hAnsi="仿宋" w:eastAsia="仿宋" w:cs="Times New Roman"/>
        </w:rPr>
      </w:pPr>
      <w:r>
        <w:rPr>
          <w:rFonts w:ascii="仿宋" w:hAnsi="仿宋" w:eastAsia="仿宋" w:cs="Times New Roman"/>
        </w:rPr>
        <w:t>1、我方投标产品的生产（包括设计、制造、安装、改造、维修等）、投入使用的材料等均完全符合国家现行质量、安全、环保标准和要求。</w:t>
      </w:r>
    </w:p>
    <w:p w14:paraId="0B7EE851">
      <w:pPr>
        <w:spacing w:line="500" w:lineRule="exact"/>
        <w:ind w:firstLine="566" w:firstLineChars="200"/>
        <w:rPr>
          <w:rFonts w:ascii="仿宋" w:hAnsi="仿宋" w:eastAsia="仿宋" w:cs="Times New Roman"/>
        </w:rPr>
      </w:pPr>
      <w:r>
        <w:rPr>
          <w:rFonts w:ascii="仿宋" w:hAnsi="仿宋" w:eastAsia="仿宋" w:cs="Times New Roman"/>
        </w:rPr>
        <w:t>2、我方将严格按照国家现行相关储存、运输、安装调试技术标准及规范、服务标准及规范、施工标准及规范，在规定的时限内，保质、保量完成项目全部内容，并向采购人交付合格产品。</w:t>
      </w:r>
    </w:p>
    <w:p w14:paraId="0A1CC6E6">
      <w:pPr>
        <w:spacing w:line="500" w:lineRule="exact"/>
        <w:ind w:firstLine="566" w:firstLineChars="200"/>
        <w:rPr>
          <w:rFonts w:ascii="仿宋" w:hAnsi="仿宋" w:eastAsia="仿宋" w:cs="Times New Roman"/>
        </w:rPr>
      </w:pPr>
      <w:r>
        <w:rPr>
          <w:rFonts w:ascii="仿宋" w:hAnsi="仿宋" w:eastAsia="仿宋" w:cs="Times New Roman"/>
        </w:rPr>
        <w:t>3、对于因产品生产质量以及储存、运输、安装调试、服务、施工等过程中产生的任何安全事故，我方承担全部责任。</w:t>
      </w:r>
    </w:p>
    <w:p w14:paraId="1AAE3129">
      <w:pPr>
        <w:spacing w:line="500" w:lineRule="exact"/>
        <w:ind w:firstLine="566" w:firstLineChars="200"/>
        <w:rPr>
          <w:rFonts w:ascii="仿宋" w:hAnsi="仿宋" w:eastAsia="仿宋" w:cs="Times New Roman"/>
        </w:rPr>
      </w:pPr>
      <w:r>
        <w:rPr>
          <w:rFonts w:ascii="仿宋" w:hAnsi="仿宋" w:eastAsia="仿宋" w:cs="Times New Roman"/>
        </w:rPr>
        <w:t>4、我方提供的服务符合现行的国家、行业、地区、企业标准及要求，标准不一致的，以更为严格的为准，我方对提供的服务的质量、安全、环保等承担全部责任。</w:t>
      </w:r>
    </w:p>
    <w:p w14:paraId="4FEE13FD">
      <w:pPr>
        <w:spacing w:line="500" w:lineRule="exact"/>
        <w:ind w:firstLine="566" w:firstLineChars="200"/>
        <w:rPr>
          <w:rFonts w:ascii="仿宋" w:hAnsi="仿宋" w:eastAsia="仿宋" w:cs="Times New Roman"/>
        </w:rPr>
      </w:pPr>
    </w:p>
    <w:p w14:paraId="4533BA22">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4731ED78">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年　月　日</w:t>
      </w:r>
    </w:p>
    <w:p w14:paraId="25389358">
      <w:pPr>
        <w:spacing w:line="500" w:lineRule="exact"/>
        <w:ind w:firstLine="566" w:firstLineChars="200"/>
        <w:rPr>
          <w:rFonts w:ascii="仿宋" w:hAnsi="仿宋" w:eastAsia="仿宋" w:cs="Times New Roman"/>
          <w:b/>
        </w:rPr>
      </w:pPr>
      <w:r>
        <w:rPr>
          <w:rFonts w:ascii="仿宋" w:hAnsi="仿宋" w:eastAsia="仿宋" w:cs="Times New Roman"/>
          <w:b/>
        </w:rPr>
        <w:t>（二）拒绝政府采购领域商业贿赂承诺书</w:t>
      </w:r>
    </w:p>
    <w:p w14:paraId="4C791B13">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w:t>
      </w:r>
      <w:r>
        <w:rPr>
          <w:rFonts w:ascii="仿宋" w:hAnsi="仿宋" w:eastAsia="仿宋" w:cs="Times New Roman"/>
        </w:rPr>
        <w:t>200</w:t>
      </w:r>
      <w:r>
        <w:rPr>
          <w:rFonts w:hint="eastAsia" w:ascii="仿宋" w:hAnsi="仿宋" w:eastAsia="仿宋" w:cs="Times New Roman"/>
        </w:rPr>
        <w:t>6﹞</w:t>
      </w:r>
      <w:r>
        <w:rPr>
          <w:rFonts w:ascii="仿宋" w:hAnsi="仿宋" w:eastAsia="仿宋" w:cs="Times New Roman"/>
        </w:rPr>
        <w:t>21号文件）</w:t>
      </w:r>
    </w:p>
    <w:p w14:paraId="13A3B4AB">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14:paraId="2975918F">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14:paraId="040E3D7A">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14:paraId="56BC599F">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14:paraId="7F998B54">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14:paraId="077270CC">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5、不采取不正当手段诋毁、排挤其他投标人。</w:t>
      </w:r>
    </w:p>
    <w:p w14:paraId="75ACD9C1">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14:paraId="6A4353ED">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7、不与采购人、采购代理机构政府采购评审专家或其它投标人恶意串通，进行质疑和投诉，维护政府采购市场秩序。</w:t>
      </w:r>
    </w:p>
    <w:p w14:paraId="21B34278">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14:paraId="23126420">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14:paraId="1F9E5397">
      <w:pPr>
        <w:spacing w:line="500" w:lineRule="exact"/>
        <w:ind w:firstLine="566" w:firstLineChars="200"/>
        <w:rPr>
          <w:rFonts w:ascii="仿宋" w:hAnsi="仿宋" w:eastAsia="仿宋" w:cs="Times New Roman"/>
        </w:rPr>
      </w:pPr>
    </w:p>
    <w:p w14:paraId="22EDA7A3">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666D311C">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 xml:space="preserve"> 年　月　日</w:t>
      </w:r>
    </w:p>
    <w:p w14:paraId="564921B6">
      <w:pPr>
        <w:pStyle w:val="29"/>
        <w:spacing w:line="500" w:lineRule="exact"/>
        <w:ind w:firstLine="626" w:firstLineChars="200"/>
        <w:outlineLvl w:val="2"/>
        <w:rPr>
          <w:rFonts w:ascii="仿宋" w:hAnsi="仿宋" w:eastAsia="仿宋" w:cs="仿宋_GB2312"/>
          <w:sz w:val="31"/>
          <w:szCs w:val="31"/>
          <w:shd w:val="clear" w:color="auto" w:fill="FFFFFF"/>
        </w:rPr>
      </w:pPr>
      <w:bookmarkStart w:id="452" w:name="_Toc48834331"/>
    </w:p>
    <w:p w14:paraId="203C08FB">
      <w:pPr>
        <w:spacing w:line="500" w:lineRule="exact"/>
        <w:ind w:firstLine="646" w:firstLineChars="200"/>
        <w:rPr>
          <w:rFonts w:ascii="仿宋" w:hAnsi="仿宋" w:eastAsia="仿宋" w:cs="Times New Roman"/>
          <w:b/>
          <w:sz w:val="32"/>
          <w:szCs w:val="32"/>
        </w:rPr>
      </w:pPr>
    </w:p>
    <w:p w14:paraId="76B4C8F0">
      <w:pPr>
        <w:spacing w:line="500" w:lineRule="exact"/>
        <w:ind w:firstLine="646" w:firstLineChars="200"/>
        <w:rPr>
          <w:rFonts w:ascii="仿宋" w:hAnsi="仿宋" w:eastAsia="仿宋" w:cs="Times New Roman"/>
          <w:b/>
          <w:sz w:val="32"/>
          <w:szCs w:val="32"/>
        </w:rPr>
      </w:pPr>
    </w:p>
    <w:p w14:paraId="4B24F951">
      <w:pPr>
        <w:pStyle w:val="29"/>
        <w:spacing w:line="500" w:lineRule="exact"/>
        <w:ind w:firstLine="366" w:firstLineChars="200"/>
      </w:pPr>
    </w:p>
    <w:p w14:paraId="00EAA02B">
      <w:pPr>
        <w:pStyle w:val="29"/>
        <w:spacing w:line="500" w:lineRule="exact"/>
        <w:ind w:firstLine="366" w:firstLineChars="200"/>
      </w:pPr>
    </w:p>
    <w:p w14:paraId="18734B4B">
      <w:pPr>
        <w:pStyle w:val="29"/>
        <w:spacing w:line="500" w:lineRule="exact"/>
        <w:ind w:firstLine="366" w:firstLineChars="200"/>
      </w:pPr>
    </w:p>
    <w:p w14:paraId="6969F903">
      <w:pPr>
        <w:pStyle w:val="29"/>
        <w:spacing w:line="500" w:lineRule="exact"/>
        <w:ind w:firstLine="366" w:firstLineChars="200"/>
      </w:pPr>
    </w:p>
    <w:p w14:paraId="1CCE0EDC">
      <w:pPr>
        <w:pStyle w:val="29"/>
        <w:spacing w:line="500" w:lineRule="exact"/>
        <w:ind w:firstLine="366" w:firstLineChars="200"/>
      </w:pPr>
    </w:p>
    <w:p w14:paraId="4DDAACA0">
      <w:pPr>
        <w:pStyle w:val="29"/>
        <w:spacing w:line="500" w:lineRule="exact"/>
        <w:ind w:firstLine="366" w:firstLineChars="200"/>
      </w:pPr>
    </w:p>
    <w:p w14:paraId="640AFE72">
      <w:pPr>
        <w:pStyle w:val="29"/>
        <w:spacing w:line="500" w:lineRule="exact"/>
        <w:ind w:firstLine="366" w:firstLineChars="200"/>
      </w:pPr>
    </w:p>
    <w:p w14:paraId="7B324986">
      <w:pPr>
        <w:pStyle w:val="29"/>
        <w:spacing w:line="500" w:lineRule="exact"/>
        <w:ind w:firstLine="366" w:firstLineChars="200"/>
      </w:pPr>
    </w:p>
    <w:p w14:paraId="5D4CB6D5">
      <w:pPr>
        <w:pStyle w:val="29"/>
        <w:spacing w:line="500" w:lineRule="exact"/>
        <w:ind w:firstLine="366" w:firstLineChars="200"/>
      </w:pPr>
    </w:p>
    <w:p w14:paraId="6352C583">
      <w:pPr>
        <w:pStyle w:val="29"/>
        <w:spacing w:line="500" w:lineRule="exact"/>
        <w:ind w:firstLine="366" w:firstLineChars="200"/>
      </w:pPr>
    </w:p>
    <w:p w14:paraId="2FA07B7C">
      <w:pPr>
        <w:pStyle w:val="29"/>
        <w:spacing w:line="500" w:lineRule="exact"/>
        <w:ind w:firstLine="366" w:firstLineChars="200"/>
      </w:pPr>
    </w:p>
    <w:p w14:paraId="59D07334">
      <w:pPr>
        <w:pStyle w:val="29"/>
        <w:spacing w:line="500" w:lineRule="exact"/>
        <w:ind w:firstLine="366" w:firstLineChars="200"/>
      </w:pPr>
    </w:p>
    <w:p w14:paraId="2D7B6C9A">
      <w:pPr>
        <w:pStyle w:val="29"/>
        <w:spacing w:line="500" w:lineRule="exact"/>
        <w:ind w:firstLine="366" w:firstLineChars="200"/>
      </w:pPr>
    </w:p>
    <w:p w14:paraId="322EBE9C">
      <w:pPr>
        <w:pStyle w:val="29"/>
        <w:spacing w:line="500" w:lineRule="exact"/>
        <w:ind w:firstLine="366" w:firstLineChars="200"/>
      </w:pPr>
    </w:p>
    <w:p w14:paraId="45CCB057">
      <w:pPr>
        <w:pStyle w:val="29"/>
        <w:spacing w:line="500" w:lineRule="exact"/>
        <w:ind w:firstLine="0" w:firstLineChars="0"/>
      </w:pPr>
    </w:p>
    <w:p w14:paraId="557ADB66">
      <w:pPr>
        <w:spacing w:line="500" w:lineRule="exact"/>
        <w:ind w:firstLine="566" w:firstLineChars="200"/>
        <w:rPr>
          <w:rFonts w:ascii="仿宋" w:hAnsi="仿宋" w:eastAsia="仿宋" w:cs="Times New Roman"/>
          <w:b/>
        </w:rPr>
      </w:pPr>
      <w:r>
        <w:rPr>
          <w:rFonts w:hint="eastAsia" w:ascii="仿宋" w:hAnsi="仿宋" w:eastAsia="仿宋" w:cs="Times New Roman"/>
          <w:b/>
        </w:rPr>
        <w:t>四</w:t>
      </w:r>
      <w:r>
        <w:rPr>
          <w:rFonts w:ascii="仿宋" w:hAnsi="仿宋" w:eastAsia="仿宋" w:cs="Times New Roman"/>
          <w:b/>
        </w:rPr>
        <w:t>、技术服务偏差表</w:t>
      </w:r>
      <w:bookmarkEnd w:id="452"/>
    </w:p>
    <w:tbl>
      <w:tblPr>
        <w:tblStyle w:val="3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194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018C54E4">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vAlign w:val="center"/>
          </w:tcPr>
          <w:p w14:paraId="4E380080">
            <w:pPr>
              <w:spacing w:line="500" w:lineRule="exact"/>
              <w:jc w:val="center"/>
              <w:rPr>
                <w:rFonts w:ascii="仿宋" w:hAnsi="仿宋" w:eastAsia="仿宋" w:cs="Times New Roman"/>
                <w:b/>
                <w:sz w:val="24"/>
                <w:szCs w:val="24"/>
              </w:rPr>
            </w:pPr>
            <w:r>
              <w:rPr>
                <w:rFonts w:ascii="仿宋" w:hAnsi="仿宋" w:eastAsia="仿宋" w:cs="Times New Roman"/>
                <w:b/>
                <w:sz w:val="24"/>
                <w:szCs w:val="24"/>
              </w:rPr>
              <w:t>招标文件要求</w:t>
            </w:r>
          </w:p>
        </w:tc>
        <w:tc>
          <w:tcPr>
            <w:tcW w:w="3132" w:type="dxa"/>
            <w:shd w:val="clear" w:color="auto" w:fill="D8D8D8"/>
            <w:vAlign w:val="center"/>
          </w:tcPr>
          <w:p w14:paraId="3D26FC7C">
            <w:pPr>
              <w:spacing w:line="500" w:lineRule="exact"/>
              <w:jc w:val="center"/>
              <w:rPr>
                <w:rFonts w:ascii="仿宋" w:hAnsi="仿宋" w:eastAsia="仿宋" w:cs="Times New Roman"/>
                <w:b/>
                <w:sz w:val="24"/>
                <w:szCs w:val="24"/>
              </w:rPr>
            </w:pPr>
            <w:r>
              <w:rPr>
                <w:rFonts w:ascii="仿宋" w:hAnsi="仿宋" w:eastAsia="仿宋" w:cs="Times New Roman"/>
                <w:b/>
                <w:sz w:val="24"/>
                <w:szCs w:val="24"/>
              </w:rPr>
              <w:t>投标文件响应条款</w:t>
            </w:r>
          </w:p>
        </w:tc>
        <w:tc>
          <w:tcPr>
            <w:tcW w:w="1530" w:type="dxa"/>
            <w:shd w:val="clear" w:color="auto" w:fill="D8D8D8"/>
            <w:vAlign w:val="center"/>
          </w:tcPr>
          <w:p w14:paraId="6DFE7D50">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vAlign w:val="center"/>
          </w:tcPr>
          <w:p w14:paraId="0AA0F8EF">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14:paraId="34B7386A">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14:paraId="117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A9CDB3">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vAlign w:val="center"/>
          </w:tcPr>
          <w:p w14:paraId="346364A0">
            <w:pPr>
              <w:spacing w:line="500" w:lineRule="exact"/>
              <w:jc w:val="center"/>
              <w:rPr>
                <w:rFonts w:ascii="仿宋" w:hAnsi="仿宋" w:eastAsia="仿宋" w:cs="Times New Roman"/>
                <w:sz w:val="24"/>
                <w:szCs w:val="24"/>
              </w:rPr>
            </w:pPr>
          </w:p>
        </w:tc>
        <w:tc>
          <w:tcPr>
            <w:tcW w:w="3132" w:type="dxa"/>
            <w:vAlign w:val="center"/>
          </w:tcPr>
          <w:p w14:paraId="74FC6416">
            <w:pPr>
              <w:spacing w:line="500" w:lineRule="exact"/>
              <w:jc w:val="center"/>
              <w:rPr>
                <w:rFonts w:ascii="仿宋" w:hAnsi="仿宋" w:eastAsia="仿宋" w:cs="Times New Roman"/>
                <w:sz w:val="24"/>
                <w:szCs w:val="24"/>
              </w:rPr>
            </w:pPr>
          </w:p>
        </w:tc>
        <w:tc>
          <w:tcPr>
            <w:tcW w:w="1530" w:type="dxa"/>
            <w:vAlign w:val="center"/>
          </w:tcPr>
          <w:p w14:paraId="3F7F6D79">
            <w:pPr>
              <w:spacing w:line="500" w:lineRule="exact"/>
              <w:jc w:val="center"/>
              <w:rPr>
                <w:rFonts w:ascii="仿宋" w:hAnsi="仿宋" w:eastAsia="仿宋" w:cs="Times New Roman"/>
                <w:sz w:val="24"/>
                <w:szCs w:val="24"/>
              </w:rPr>
            </w:pPr>
          </w:p>
        </w:tc>
        <w:tc>
          <w:tcPr>
            <w:tcW w:w="2066" w:type="dxa"/>
            <w:vAlign w:val="center"/>
          </w:tcPr>
          <w:p w14:paraId="6A78F15F">
            <w:pPr>
              <w:spacing w:line="500" w:lineRule="exact"/>
              <w:jc w:val="center"/>
              <w:rPr>
                <w:rFonts w:ascii="仿宋" w:hAnsi="仿宋" w:eastAsia="仿宋" w:cs="Times New Roman"/>
                <w:sz w:val="24"/>
                <w:szCs w:val="24"/>
              </w:rPr>
            </w:pPr>
          </w:p>
        </w:tc>
      </w:tr>
      <w:tr w14:paraId="4A1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D627556">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vAlign w:val="center"/>
          </w:tcPr>
          <w:p w14:paraId="1261C7DA">
            <w:pPr>
              <w:spacing w:line="500" w:lineRule="exact"/>
              <w:jc w:val="center"/>
              <w:rPr>
                <w:rFonts w:ascii="仿宋" w:hAnsi="仿宋" w:eastAsia="仿宋" w:cs="Times New Roman"/>
                <w:sz w:val="24"/>
                <w:szCs w:val="24"/>
              </w:rPr>
            </w:pPr>
          </w:p>
        </w:tc>
        <w:tc>
          <w:tcPr>
            <w:tcW w:w="3132" w:type="dxa"/>
            <w:vAlign w:val="center"/>
          </w:tcPr>
          <w:p w14:paraId="5D7550F5">
            <w:pPr>
              <w:spacing w:line="500" w:lineRule="exact"/>
              <w:jc w:val="center"/>
              <w:rPr>
                <w:rFonts w:ascii="仿宋" w:hAnsi="仿宋" w:eastAsia="仿宋" w:cs="Times New Roman"/>
                <w:sz w:val="24"/>
                <w:szCs w:val="24"/>
              </w:rPr>
            </w:pPr>
          </w:p>
        </w:tc>
        <w:tc>
          <w:tcPr>
            <w:tcW w:w="1530" w:type="dxa"/>
            <w:vAlign w:val="center"/>
          </w:tcPr>
          <w:p w14:paraId="193C5AE3">
            <w:pPr>
              <w:spacing w:line="500" w:lineRule="exact"/>
              <w:jc w:val="center"/>
              <w:rPr>
                <w:rFonts w:ascii="仿宋" w:hAnsi="仿宋" w:eastAsia="仿宋" w:cs="Times New Roman"/>
                <w:sz w:val="24"/>
                <w:szCs w:val="24"/>
              </w:rPr>
            </w:pPr>
          </w:p>
        </w:tc>
        <w:tc>
          <w:tcPr>
            <w:tcW w:w="2066" w:type="dxa"/>
            <w:vAlign w:val="center"/>
          </w:tcPr>
          <w:p w14:paraId="428481BF">
            <w:pPr>
              <w:spacing w:line="500" w:lineRule="exact"/>
              <w:jc w:val="center"/>
              <w:rPr>
                <w:rFonts w:ascii="仿宋" w:hAnsi="仿宋" w:eastAsia="仿宋" w:cs="Times New Roman"/>
                <w:sz w:val="24"/>
                <w:szCs w:val="24"/>
              </w:rPr>
            </w:pPr>
          </w:p>
        </w:tc>
      </w:tr>
      <w:tr w14:paraId="4D1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B7CBA99">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vAlign w:val="center"/>
          </w:tcPr>
          <w:p w14:paraId="00BBA53E">
            <w:pPr>
              <w:spacing w:line="500" w:lineRule="exact"/>
              <w:jc w:val="center"/>
              <w:rPr>
                <w:rFonts w:ascii="仿宋" w:hAnsi="仿宋" w:eastAsia="仿宋" w:cs="Times New Roman"/>
                <w:sz w:val="24"/>
                <w:szCs w:val="24"/>
              </w:rPr>
            </w:pPr>
          </w:p>
        </w:tc>
        <w:tc>
          <w:tcPr>
            <w:tcW w:w="3132" w:type="dxa"/>
            <w:vAlign w:val="center"/>
          </w:tcPr>
          <w:p w14:paraId="53E6414A">
            <w:pPr>
              <w:spacing w:line="500" w:lineRule="exact"/>
              <w:jc w:val="center"/>
              <w:rPr>
                <w:rFonts w:ascii="仿宋" w:hAnsi="仿宋" w:eastAsia="仿宋" w:cs="Times New Roman"/>
                <w:sz w:val="24"/>
                <w:szCs w:val="24"/>
              </w:rPr>
            </w:pPr>
          </w:p>
        </w:tc>
        <w:tc>
          <w:tcPr>
            <w:tcW w:w="1530" w:type="dxa"/>
            <w:vAlign w:val="center"/>
          </w:tcPr>
          <w:p w14:paraId="38C61B00">
            <w:pPr>
              <w:spacing w:line="500" w:lineRule="exact"/>
              <w:jc w:val="center"/>
              <w:rPr>
                <w:rFonts w:ascii="仿宋" w:hAnsi="仿宋" w:eastAsia="仿宋" w:cs="Times New Roman"/>
                <w:sz w:val="24"/>
                <w:szCs w:val="24"/>
              </w:rPr>
            </w:pPr>
          </w:p>
        </w:tc>
        <w:tc>
          <w:tcPr>
            <w:tcW w:w="2066" w:type="dxa"/>
            <w:vAlign w:val="center"/>
          </w:tcPr>
          <w:p w14:paraId="7EB5D0D7">
            <w:pPr>
              <w:spacing w:line="500" w:lineRule="exact"/>
              <w:jc w:val="center"/>
              <w:rPr>
                <w:rFonts w:ascii="仿宋" w:hAnsi="仿宋" w:eastAsia="仿宋" w:cs="Times New Roman"/>
                <w:sz w:val="24"/>
                <w:szCs w:val="24"/>
              </w:rPr>
            </w:pPr>
          </w:p>
        </w:tc>
      </w:tr>
      <w:tr w14:paraId="3F9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11FBE0E">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vAlign w:val="center"/>
          </w:tcPr>
          <w:p w14:paraId="03705DB8">
            <w:pPr>
              <w:spacing w:line="500" w:lineRule="exact"/>
              <w:jc w:val="center"/>
              <w:rPr>
                <w:rFonts w:ascii="仿宋" w:hAnsi="仿宋" w:eastAsia="仿宋" w:cs="Times New Roman"/>
                <w:sz w:val="24"/>
                <w:szCs w:val="24"/>
              </w:rPr>
            </w:pPr>
          </w:p>
        </w:tc>
        <w:tc>
          <w:tcPr>
            <w:tcW w:w="3132" w:type="dxa"/>
            <w:vAlign w:val="center"/>
          </w:tcPr>
          <w:p w14:paraId="639BBE17">
            <w:pPr>
              <w:spacing w:line="500" w:lineRule="exact"/>
              <w:jc w:val="center"/>
              <w:rPr>
                <w:rFonts w:ascii="仿宋" w:hAnsi="仿宋" w:eastAsia="仿宋" w:cs="Times New Roman"/>
                <w:sz w:val="24"/>
                <w:szCs w:val="24"/>
              </w:rPr>
            </w:pPr>
          </w:p>
        </w:tc>
        <w:tc>
          <w:tcPr>
            <w:tcW w:w="1530" w:type="dxa"/>
            <w:vAlign w:val="center"/>
          </w:tcPr>
          <w:p w14:paraId="5774BCC4">
            <w:pPr>
              <w:spacing w:line="500" w:lineRule="exact"/>
              <w:jc w:val="center"/>
              <w:rPr>
                <w:rFonts w:ascii="仿宋" w:hAnsi="仿宋" w:eastAsia="仿宋" w:cs="Times New Roman"/>
                <w:sz w:val="24"/>
                <w:szCs w:val="24"/>
              </w:rPr>
            </w:pPr>
          </w:p>
        </w:tc>
        <w:tc>
          <w:tcPr>
            <w:tcW w:w="2066" w:type="dxa"/>
            <w:vAlign w:val="center"/>
          </w:tcPr>
          <w:p w14:paraId="18A6838A">
            <w:pPr>
              <w:spacing w:line="500" w:lineRule="exact"/>
              <w:jc w:val="center"/>
              <w:rPr>
                <w:rFonts w:ascii="仿宋" w:hAnsi="仿宋" w:eastAsia="仿宋" w:cs="Times New Roman"/>
                <w:sz w:val="24"/>
                <w:szCs w:val="24"/>
              </w:rPr>
            </w:pPr>
          </w:p>
        </w:tc>
      </w:tr>
      <w:tr w14:paraId="299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8BCC149">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vAlign w:val="center"/>
          </w:tcPr>
          <w:p w14:paraId="7E56428B">
            <w:pPr>
              <w:spacing w:line="500" w:lineRule="exact"/>
              <w:jc w:val="center"/>
              <w:rPr>
                <w:rFonts w:ascii="仿宋" w:hAnsi="仿宋" w:eastAsia="仿宋" w:cs="Times New Roman"/>
                <w:sz w:val="24"/>
                <w:szCs w:val="24"/>
              </w:rPr>
            </w:pPr>
          </w:p>
        </w:tc>
        <w:tc>
          <w:tcPr>
            <w:tcW w:w="3132" w:type="dxa"/>
            <w:vAlign w:val="center"/>
          </w:tcPr>
          <w:p w14:paraId="2A210963">
            <w:pPr>
              <w:spacing w:line="500" w:lineRule="exact"/>
              <w:jc w:val="center"/>
              <w:rPr>
                <w:rFonts w:ascii="仿宋" w:hAnsi="仿宋" w:eastAsia="仿宋" w:cs="Times New Roman"/>
                <w:sz w:val="24"/>
                <w:szCs w:val="24"/>
              </w:rPr>
            </w:pPr>
          </w:p>
        </w:tc>
        <w:tc>
          <w:tcPr>
            <w:tcW w:w="1530" w:type="dxa"/>
            <w:vAlign w:val="center"/>
          </w:tcPr>
          <w:p w14:paraId="6275EED0">
            <w:pPr>
              <w:spacing w:line="500" w:lineRule="exact"/>
              <w:jc w:val="center"/>
              <w:rPr>
                <w:rFonts w:ascii="仿宋" w:hAnsi="仿宋" w:eastAsia="仿宋" w:cs="Times New Roman"/>
                <w:sz w:val="24"/>
                <w:szCs w:val="24"/>
              </w:rPr>
            </w:pPr>
          </w:p>
        </w:tc>
        <w:tc>
          <w:tcPr>
            <w:tcW w:w="2066" w:type="dxa"/>
            <w:vAlign w:val="center"/>
          </w:tcPr>
          <w:p w14:paraId="6A73E54F">
            <w:pPr>
              <w:spacing w:line="500" w:lineRule="exact"/>
              <w:jc w:val="center"/>
              <w:rPr>
                <w:rFonts w:ascii="仿宋" w:hAnsi="仿宋" w:eastAsia="仿宋" w:cs="Times New Roman"/>
                <w:sz w:val="24"/>
                <w:szCs w:val="24"/>
              </w:rPr>
            </w:pPr>
          </w:p>
        </w:tc>
      </w:tr>
      <w:tr w14:paraId="045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C2E495">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vAlign w:val="center"/>
          </w:tcPr>
          <w:p w14:paraId="6763B924">
            <w:pPr>
              <w:spacing w:line="500" w:lineRule="exact"/>
              <w:jc w:val="center"/>
              <w:rPr>
                <w:rFonts w:ascii="仿宋" w:hAnsi="仿宋" w:eastAsia="仿宋" w:cs="Times New Roman"/>
                <w:sz w:val="24"/>
                <w:szCs w:val="24"/>
              </w:rPr>
            </w:pPr>
          </w:p>
        </w:tc>
        <w:tc>
          <w:tcPr>
            <w:tcW w:w="3132" w:type="dxa"/>
            <w:vAlign w:val="center"/>
          </w:tcPr>
          <w:p w14:paraId="18E48D7B">
            <w:pPr>
              <w:spacing w:line="500" w:lineRule="exact"/>
              <w:jc w:val="center"/>
              <w:rPr>
                <w:rFonts w:ascii="仿宋" w:hAnsi="仿宋" w:eastAsia="仿宋" w:cs="Times New Roman"/>
                <w:sz w:val="24"/>
                <w:szCs w:val="24"/>
              </w:rPr>
            </w:pPr>
          </w:p>
        </w:tc>
        <w:tc>
          <w:tcPr>
            <w:tcW w:w="1530" w:type="dxa"/>
            <w:vAlign w:val="center"/>
          </w:tcPr>
          <w:p w14:paraId="53F5B614">
            <w:pPr>
              <w:spacing w:line="500" w:lineRule="exact"/>
              <w:jc w:val="center"/>
              <w:rPr>
                <w:rFonts w:ascii="仿宋" w:hAnsi="仿宋" w:eastAsia="仿宋" w:cs="Times New Roman"/>
                <w:sz w:val="24"/>
                <w:szCs w:val="24"/>
              </w:rPr>
            </w:pPr>
          </w:p>
        </w:tc>
        <w:tc>
          <w:tcPr>
            <w:tcW w:w="2066" w:type="dxa"/>
            <w:vAlign w:val="center"/>
          </w:tcPr>
          <w:p w14:paraId="07BB2540">
            <w:pPr>
              <w:spacing w:line="500" w:lineRule="exact"/>
              <w:jc w:val="center"/>
              <w:rPr>
                <w:rFonts w:ascii="仿宋" w:hAnsi="仿宋" w:eastAsia="仿宋" w:cs="Times New Roman"/>
                <w:sz w:val="24"/>
                <w:szCs w:val="24"/>
              </w:rPr>
            </w:pPr>
          </w:p>
        </w:tc>
      </w:tr>
      <w:tr w14:paraId="2C2F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61564A8">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vAlign w:val="center"/>
          </w:tcPr>
          <w:p w14:paraId="10ABF604">
            <w:pPr>
              <w:spacing w:line="500" w:lineRule="exact"/>
              <w:jc w:val="center"/>
              <w:rPr>
                <w:rFonts w:ascii="仿宋" w:hAnsi="仿宋" w:eastAsia="仿宋" w:cs="Times New Roman"/>
                <w:sz w:val="24"/>
                <w:szCs w:val="24"/>
              </w:rPr>
            </w:pPr>
          </w:p>
        </w:tc>
        <w:tc>
          <w:tcPr>
            <w:tcW w:w="3132" w:type="dxa"/>
            <w:vAlign w:val="center"/>
          </w:tcPr>
          <w:p w14:paraId="77E10638">
            <w:pPr>
              <w:spacing w:line="500" w:lineRule="exact"/>
              <w:jc w:val="center"/>
              <w:rPr>
                <w:rFonts w:ascii="仿宋" w:hAnsi="仿宋" w:eastAsia="仿宋" w:cs="Times New Roman"/>
                <w:sz w:val="24"/>
                <w:szCs w:val="24"/>
              </w:rPr>
            </w:pPr>
          </w:p>
        </w:tc>
        <w:tc>
          <w:tcPr>
            <w:tcW w:w="1530" w:type="dxa"/>
            <w:vAlign w:val="center"/>
          </w:tcPr>
          <w:p w14:paraId="2B6474F1">
            <w:pPr>
              <w:spacing w:line="500" w:lineRule="exact"/>
              <w:jc w:val="center"/>
              <w:rPr>
                <w:rFonts w:ascii="仿宋" w:hAnsi="仿宋" w:eastAsia="仿宋" w:cs="Times New Roman"/>
                <w:sz w:val="24"/>
                <w:szCs w:val="24"/>
              </w:rPr>
            </w:pPr>
          </w:p>
        </w:tc>
        <w:tc>
          <w:tcPr>
            <w:tcW w:w="2066" w:type="dxa"/>
            <w:vAlign w:val="center"/>
          </w:tcPr>
          <w:p w14:paraId="5DBD7614">
            <w:pPr>
              <w:spacing w:line="500" w:lineRule="exact"/>
              <w:jc w:val="center"/>
              <w:rPr>
                <w:rFonts w:ascii="仿宋" w:hAnsi="仿宋" w:eastAsia="仿宋" w:cs="Times New Roman"/>
                <w:sz w:val="24"/>
                <w:szCs w:val="24"/>
              </w:rPr>
            </w:pPr>
          </w:p>
        </w:tc>
      </w:tr>
    </w:tbl>
    <w:p w14:paraId="090983BF">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3547B966">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2、“投标文件响应条款”必须与投标文件中提供的证明材料的实质性响应情况相一致。若在评审环节发现该项与投标文件证明材料的实质性响应情况不一致，按无效响应处理。</w:t>
      </w:r>
    </w:p>
    <w:p w14:paraId="775B6F1B">
      <w:pPr>
        <w:spacing w:line="500" w:lineRule="exact"/>
        <w:ind w:left="1" w:firstLine="426" w:firstLineChars="200"/>
        <w:rPr>
          <w:rFonts w:ascii="仿宋" w:hAnsi="仿宋" w:eastAsia="仿宋" w:cs="Times New Roman"/>
          <w:sz w:val="21"/>
          <w:szCs w:val="21"/>
        </w:rPr>
      </w:pPr>
    </w:p>
    <w:p w14:paraId="1C65DB74">
      <w:pPr>
        <w:pStyle w:val="11"/>
        <w:spacing w:afterLines="0" w:line="500" w:lineRule="exact"/>
        <w:rPr>
          <w:rFonts w:ascii="仿宋" w:hAnsi="仿宋" w:eastAsia="仿宋" w:cs="Times New Roman"/>
          <w:bCs/>
          <w:color w:val="auto"/>
          <w:sz w:val="28"/>
          <w:szCs w:val="32"/>
        </w:rPr>
      </w:pPr>
    </w:p>
    <w:p w14:paraId="185484B1">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211857B9">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14:paraId="1FAA7E70">
      <w:pPr>
        <w:tabs>
          <w:tab w:val="right" w:pos="9070"/>
        </w:tabs>
        <w:spacing w:line="500" w:lineRule="exact"/>
        <w:ind w:firstLine="566" w:firstLineChars="200"/>
        <w:rPr>
          <w:rFonts w:ascii="仿宋" w:hAnsi="仿宋" w:eastAsia="仿宋" w:cs="Times New Roman"/>
          <w:bCs/>
        </w:rPr>
      </w:pPr>
    </w:p>
    <w:p w14:paraId="56670E9B">
      <w:pPr>
        <w:spacing w:line="500" w:lineRule="exact"/>
        <w:jc w:val="left"/>
        <w:rPr>
          <w:rFonts w:ascii="仿宋" w:hAnsi="仿宋" w:eastAsia="仿宋" w:cs="Times New Roman"/>
          <w:b/>
          <w:sz w:val="32"/>
          <w:szCs w:val="32"/>
        </w:rPr>
      </w:pPr>
      <w:r>
        <w:rPr>
          <w:rFonts w:ascii="仿宋" w:hAnsi="仿宋" w:eastAsia="仿宋" w:cs="Times New Roman"/>
          <w:b/>
          <w:sz w:val="32"/>
          <w:szCs w:val="32"/>
        </w:rPr>
        <w:br w:type="page"/>
      </w:r>
      <w:bookmarkStart w:id="453" w:name="_Toc48834332"/>
      <w:r>
        <w:rPr>
          <w:rFonts w:hint="eastAsia" w:ascii="仿宋" w:hAnsi="仿宋" w:eastAsia="仿宋"/>
          <w:b/>
          <w:bCs/>
        </w:rPr>
        <w:t>五</w:t>
      </w:r>
      <w:r>
        <w:rPr>
          <w:rFonts w:ascii="仿宋" w:hAnsi="仿宋" w:eastAsia="仿宋"/>
          <w:b/>
          <w:bCs/>
        </w:rPr>
        <w:t>、合同条款响应</w:t>
      </w:r>
      <w:bookmarkEnd w:id="453"/>
    </w:p>
    <w:p w14:paraId="072A4C3B">
      <w:pPr>
        <w:spacing w:line="500" w:lineRule="exact"/>
        <w:ind w:firstLine="566" w:firstLineChars="200"/>
        <w:rPr>
          <w:rFonts w:ascii="仿宋" w:hAnsi="仿宋" w:eastAsia="仿宋" w:cs="Times New Roman"/>
          <w:bCs/>
        </w:rPr>
      </w:pPr>
      <w:r>
        <w:rPr>
          <w:rFonts w:ascii="仿宋" w:hAnsi="仿宋" w:eastAsia="仿宋" w:cs="Times New Roman"/>
          <w:bCs/>
        </w:rPr>
        <w:t>完全理解并接受招标文件中“合同基本条款”要求。</w:t>
      </w:r>
    </w:p>
    <w:p w14:paraId="1DE5E64C">
      <w:pPr>
        <w:spacing w:line="500" w:lineRule="exact"/>
        <w:ind w:firstLine="4811" w:firstLineChars="1700"/>
        <w:rPr>
          <w:rFonts w:ascii="仿宋" w:hAnsi="仿宋" w:eastAsia="仿宋" w:cs="Times New Roman"/>
          <w:bCs/>
        </w:rPr>
      </w:pPr>
    </w:p>
    <w:p w14:paraId="1A03EE7C">
      <w:pPr>
        <w:pStyle w:val="11"/>
        <w:spacing w:after="190" w:line="500" w:lineRule="exact"/>
        <w:rPr>
          <w:rFonts w:ascii="仿宋" w:hAnsi="仿宋" w:eastAsia="仿宋" w:cs="Times New Roman"/>
          <w:color w:val="auto"/>
        </w:rPr>
      </w:pPr>
    </w:p>
    <w:p w14:paraId="7660A7F8">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577EB6F2">
      <w:pPr>
        <w:pStyle w:val="29"/>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14:paraId="038A1AA5">
      <w:pPr>
        <w:pStyle w:val="29"/>
        <w:spacing w:line="500" w:lineRule="exact"/>
        <w:ind w:firstLine="183"/>
        <w:rPr>
          <w:rFonts w:ascii="仿宋" w:hAnsi="仿宋" w:eastAsia="仿宋" w:cs="Times New Roman"/>
          <w:bCs/>
        </w:rPr>
      </w:pPr>
    </w:p>
    <w:p w14:paraId="3ED8FEE6">
      <w:pPr>
        <w:pStyle w:val="29"/>
        <w:spacing w:line="500" w:lineRule="exact"/>
        <w:ind w:firstLine="183"/>
        <w:rPr>
          <w:rFonts w:ascii="仿宋" w:hAnsi="仿宋" w:eastAsia="仿宋" w:cs="Times New Roman"/>
          <w:bCs/>
        </w:rPr>
      </w:pPr>
    </w:p>
    <w:p w14:paraId="50FFDBC2">
      <w:pPr>
        <w:pStyle w:val="29"/>
        <w:spacing w:line="500" w:lineRule="exact"/>
        <w:ind w:firstLine="183"/>
        <w:rPr>
          <w:rFonts w:ascii="仿宋" w:hAnsi="仿宋" w:eastAsia="仿宋" w:cs="Times New Roman"/>
          <w:bCs/>
        </w:rPr>
      </w:pPr>
    </w:p>
    <w:p w14:paraId="7CDA40AB">
      <w:pPr>
        <w:pStyle w:val="29"/>
        <w:spacing w:line="500" w:lineRule="exact"/>
        <w:ind w:firstLine="183"/>
        <w:rPr>
          <w:rFonts w:ascii="仿宋" w:hAnsi="仿宋" w:eastAsia="仿宋" w:cs="Times New Roman"/>
          <w:bCs/>
        </w:rPr>
      </w:pPr>
    </w:p>
    <w:p w14:paraId="2EBBD8A2">
      <w:pPr>
        <w:pStyle w:val="29"/>
        <w:spacing w:line="500" w:lineRule="exact"/>
        <w:ind w:firstLine="183"/>
        <w:rPr>
          <w:rFonts w:ascii="仿宋" w:hAnsi="仿宋" w:eastAsia="仿宋" w:cs="Times New Roman"/>
          <w:bCs/>
        </w:rPr>
      </w:pPr>
    </w:p>
    <w:p w14:paraId="710ED144">
      <w:pPr>
        <w:pStyle w:val="29"/>
        <w:spacing w:line="500" w:lineRule="exact"/>
        <w:ind w:firstLine="183"/>
        <w:rPr>
          <w:rFonts w:ascii="仿宋" w:hAnsi="仿宋" w:eastAsia="仿宋" w:cs="Times New Roman"/>
          <w:bCs/>
        </w:rPr>
      </w:pPr>
    </w:p>
    <w:p w14:paraId="2D3C60F7">
      <w:pPr>
        <w:pStyle w:val="29"/>
        <w:spacing w:line="500" w:lineRule="exact"/>
        <w:ind w:firstLine="183"/>
        <w:rPr>
          <w:rFonts w:ascii="仿宋" w:hAnsi="仿宋" w:eastAsia="仿宋" w:cs="Times New Roman"/>
          <w:bCs/>
        </w:rPr>
      </w:pPr>
    </w:p>
    <w:p w14:paraId="443E605F">
      <w:pPr>
        <w:pStyle w:val="29"/>
        <w:spacing w:line="500" w:lineRule="exact"/>
        <w:ind w:firstLine="183"/>
        <w:rPr>
          <w:rFonts w:ascii="仿宋" w:hAnsi="仿宋" w:eastAsia="仿宋" w:cs="Times New Roman"/>
          <w:bCs/>
        </w:rPr>
      </w:pPr>
    </w:p>
    <w:p w14:paraId="260E1DEC">
      <w:pPr>
        <w:pStyle w:val="29"/>
        <w:spacing w:line="500" w:lineRule="exact"/>
        <w:ind w:firstLine="183"/>
        <w:rPr>
          <w:rFonts w:ascii="仿宋" w:hAnsi="仿宋" w:eastAsia="仿宋" w:cs="Times New Roman"/>
          <w:bCs/>
        </w:rPr>
      </w:pPr>
    </w:p>
    <w:p w14:paraId="6585E412">
      <w:pPr>
        <w:pStyle w:val="29"/>
        <w:spacing w:line="500" w:lineRule="exact"/>
        <w:ind w:firstLine="183"/>
        <w:rPr>
          <w:rFonts w:ascii="仿宋" w:hAnsi="仿宋" w:eastAsia="仿宋" w:cs="Times New Roman"/>
          <w:bCs/>
        </w:rPr>
      </w:pPr>
    </w:p>
    <w:p w14:paraId="498F93A0">
      <w:pPr>
        <w:pStyle w:val="29"/>
        <w:spacing w:line="500" w:lineRule="exact"/>
        <w:ind w:firstLine="183"/>
        <w:rPr>
          <w:rFonts w:ascii="仿宋" w:hAnsi="仿宋" w:eastAsia="仿宋" w:cs="Times New Roman"/>
          <w:bCs/>
        </w:rPr>
      </w:pPr>
    </w:p>
    <w:p w14:paraId="452ADFA1">
      <w:pPr>
        <w:pStyle w:val="29"/>
        <w:spacing w:line="500" w:lineRule="exact"/>
        <w:ind w:firstLine="183"/>
        <w:rPr>
          <w:rFonts w:ascii="仿宋" w:hAnsi="仿宋" w:eastAsia="仿宋" w:cs="Times New Roman"/>
          <w:bCs/>
        </w:rPr>
      </w:pPr>
    </w:p>
    <w:p w14:paraId="63C02D8C">
      <w:pPr>
        <w:pStyle w:val="29"/>
        <w:spacing w:line="500" w:lineRule="exact"/>
        <w:ind w:firstLine="183"/>
        <w:rPr>
          <w:rFonts w:ascii="仿宋" w:hAnsi="仿宋" w:eastAsia="仿宋" w:cs="Times New Roman"/>
          <w:bCs/>
        </w:rPr>
      </w:pPr>
    </w:p>
    <w:p w14:paraId="314747CA">
      <w:pPr>
        <w:pStyle w:val="29"/>
        <w:spacing w:line="500" w:lineRule="exact"/>
        <w:ind w:firstLine="183"/>
        <w:rPr>
          <w:rFonts w:ascii="仿宋" w:hAnsi="仿宋" w:eastAsia="仿宋" w:cs="Times New Roman"/>
          <w:bCs/>
        </w:rPr>
      </w:pPr>
    </w:p>
    <w:p w14:paraId="11DC5203">
      <w:pPr>
        <w:pStyle w:val="29"/>
        <w:spacing w:line="500" w:lineRule="exact"/>
        <w:ind w:firstLine="183"/>
        <w:rPr>
          <w:rFonts w:ascii="仿宋" w:hAnsi="仿宋" w:eastAsia="仿宋" w:cs="Times New Roman"/>
          <w:bCs/>
        </w:rPr>
      </w:pPr>
    </w:p>
    <w:p w14:paraId="3B52090D">
      <w:pPr>
        <w:pStyle w:val="29"/>
        <w:spacing w:line="500" w:lineRule="exact"/>
        <w:ind w:firstLine="183"/>
        <w:rPr>
          <w:rFonts w:ascii="仿宋" w:hAnsi="仿宋" w:eastAsia="仿宋" w:cs="Times New Roman"/>
          <w:bCs/>
        </w:rPr>
      </w:pPr>
    </w:p>
    <w:p w14:paraId="229DEB59">
      <w:pPr>
        <w:pStyle w:val="29"/>
        <w:spacing w:line="500" w:lineRule="exact"/>
        <w:ind w:firstLine="183"/>
        <w:rPr>
          <w:rFonts w:ascii="仿宋" w:hAnsi="仿宋" w:eastAsia="仿宋" w:cs="Times New Roman"/>
          <w:bCs/>
        </w:rPr>
      </w:pPr>
    </w:p>
    <w:p w14:paraId="1962C738">
      <w:pPr>
        <w:pStyle w:val="29"/>
        <w:spacing w:line="500" w:lineRule="exact"/>
        <w:ind w:firstLine="183"/>
        <w:rPr>
          <w:rFonts w:ascii="仿宋" w:hAnsi="仿宋" w:eastAsia="仿宋" w:cs="Times New Roman"/>
          <w:bCs/>
        </w:rPr>
      </w:pPr>
    </w:p>
    <w:p w14:paraId="2B426F6A">
      <w:pPr>
        <w:pStyle w:val="29"/>
        <w:spacing w:line="500" w:lineRule="exact"/>
        <w:ind w:firstLine="183"/>
        <w:rPr>
          <w:rFonts w:ascii="仿宋" w:hAnsi="仿宋" w:eastAsia="仿宋" w:cs="Times New Roman"/>
          <w:bCs/>
        </w:rPr>
      </w:pPr>
    </w:p>
    <w:p w14:paraId="6BC14940">
      <w:pPr>
        <w:pStyle w:val="29"/>
        <w:spacing w:line="500" w:lineRule="exact"/>
        <w:ind w:firstLine="183"/>
        <w:rPr>
          <w:rFonts w:ascii="仿宋" w:hAnsi="仿宋" w:eastAsia="仿宋" w:cs="Times New Roman"/>
          <w:bCs/>
        </w:rPr>
      </w:pPr>
    </w:p>
    <w:p w14:paraId="25E05099">
      <w:pPr>
        <w:pStyle w:val="29"/>
        <w:spacing w:line="500" w:lineRule="exact"/>
        <w:ind w:firstLine="183"/>
        <w:rPr>
          <w:rFonts w:ascii="仿宋" w:hAnsi="仿宋" w:eastAsia="仿宋" w:cs="Times New Roman"/>
          <w:bCs/>
        </w:rPr>
      </w:pPr>
    </w:p>
    <w:p w14:paraId="6913451C">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 xml:space="preserve">第三部分  </w:t>
      </w:r>
      <w:r>
        <w:rPr>
          <w:rFonts w:ascii="仿宋" w:hAnsi="仿宋" w:eastAsia="仿宋" w:cs="Times New Roman"/>
          <w:b/>
          <w:bCs/>
          <w:sz w:val="32"/>
          <w:szCs w:val="32"/>
        </w:rPr>
        <w:t>投标方案</w:t>
      </w:r>
    </w:p>
    <w:p w14:paraId="559CA311">
      <w:pPr>
        <w:spacing w:beforeLines="50" w:line="500" w:lineRule="exact"/>
        <w:jc w:val="left"/>
        <w:rPr>
          <w:rFonts w:ascii="仿宋" w:hAnsi="仿宋" w:eastAsia="仿宋"/>
          <w:b/>
          <w:bCs/>
        </w:rPr>
      </w:pPr>
      <w:r>
        <w:rPr>
          <w:rFonts w:hint="eastAsia" w:ascii="仿宋" w:hAnsi="仿宋" w:eastAsia="仿宋"/>
          <w:b/>
          <w:bCs/>
        </w:rPr>
        <w:t>一、</w:t>
      </w:r>
      <w:r>
        <w:rPr>
          <w:rFonts w:ascii="仿宋" w:hAnsi="仿宋" w:eastAsia="仿宋"/>
          <w:b/>
          <w:bCs/>
        </w:rPr>
        <w:t>投标人</w:t>
      </w:r>
      <w:r>
        <w:rPr>
          <w:rFonts w:hint="eastAsia" w:ascii="仿宋" w:hAnsi="仿宋" w:eastAsia="仿宋"/>
          <w:b/>
          <w:bCs/>
        </w:rPr>
        <w:t>性质及其</w:t>
      </w:r>
      <w:r>
        <w:rPr>
          <w:rFonts w:ascii="仿宋" w:hAnsi="仿宋" w:eastAsia="仿宋"/>
          <w:b/>
          <w:bCs/>
        </w:rPr>
        <w:t>概况</w:t>
      </w:r>
    </w:p>
    <w:p w14:paraId="348E53F8">
      <w:pPr>
        <w:spacing w:beforeLines="50" w:line="500" w:lineRule="exact"/>
        <w:jc w:val="left"/>
        <w:rPr>
          <w:rFonts w:ascii="仿宋" w:hAnsi="仿宋" w:eastAsia="仿宋" w:cs="Times New Roman"/>
          <w:b/>
        </w:rPr>
      </w:pPr>
      <w:r>
        <w:rPr>
          <w:rFonts w:ascii="仿宋" w:hAnsi="仿宋" w:eastAsia="仿宋" w:cs="Times New Roman"/>
          <w:b/>
        </w:rPr>
        <w:t>（一）投标人基本信息</w:t>
      </w:r>
    </w:p>
    <w:tbl>
      <w:tblPr>
        <w:tblStyle w:val="3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42018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52A4B05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14:paraId="61B35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58515D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投标人全称</w:t>
            </w:r>
          </w:p>
        </w:tc>
        <w:tc>
          <w:tcPr>
            <w:tcW w:w="7494" w:type="dxa"/>
            <w:gridSpan w:val="5"/>
            <w:tcBorders>
              <w:top w:val="single" w:color="auto" w:sz="6" w:space="0"/>
              <w:bottom w:val="single" w:color="auto" w:sz="6" w:space="0"/>
              <w:right w:val="single" w:color="auto" w:sz="12" w:space="0"/>
            </w:tcBorders>
            <w:vAlign w:val="center"/>
          </w:tcPr>
          <w:p w14:paraId="7CDCB132">
            <w:pPr>
              <w:autoSpaceDE w:val="0"/>
              <w:autoSpaceDN w:val="0"/>
              <w:adjustRightInd w:val="0"/>
              <w:spacing w:line="500" w:lineRule="exact"/>
              <w:rPr>
                <w:rFonts w:ascii="仿宋" w:hAnsi="仿宋" w:eastAsia="仿宋" w:cs="Times New Roman"/>
                <w:kern w:val="0"/>
                <w:sz w:val="24"/>
                <w:szCs w:val="24"/>
              </w:rPr>
            </w:pPr>
          </w:p>
        </w:tc>
      </w:tr>
      <w:tr w14:paraId="49EC4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40812E0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vAlign w:val="center"/>
          </w:tcPr>
          <w:p w14:paraId="1CD91879">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vAlign w:val="center"/>
          </w:tcPr>
          <w:p w14:paraId="1F58BAF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vAlign w:val="center"/>
          </w:tcPr>
          <w:p w14:paraId="6FEFC208">
            <w:pPr>
              <w:autoSpaceDE w:val="0"/>
              <w:autoSpaceDN w:val="0"/>
              <w:adjustRightInd w:val="0"/>
              <w:spacing w:line="500" w:lineRule="exact"/>
              <w:rPr>
                <w:rFonts w:ascii="仿宋" w:hAnsi="仿宋" w:eastAsia="仿宋" w:cs="Times New Roman"/>
                <w:kern w:val="0"/>
                <w:sz w:val="24"/>
                <w:szCs w:val="24"/>
              </w:rPr>
            </w:pPr>
          </w:p>
        </w:tc>
      </w:tr>
      <w:tr w14:paraId="61904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7F6D76E7">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vAlign w:val="center"/>
          </w:tcPr>
          <w:p w14:paraId="604A9B9B">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392811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vAlign w:val="center"/>
          </w:tcPr>
          <w:p w14:paraId="79D6EB7A">
            <w:pPr>
              <w:autoSpaceDE w:val="0"/>
              <w:autoSpaceDN w:val="0"/>
              <w:adjustRightInd w:val="0"/>
              <w:spacing w:line="500" w:lineRule="exact"/>
              <w:rPr>
                <w:rFonts w:ascii="仿宋" w:hAnsi="仿宋" w:eastAsia="仿宋" w:cs="Times New Roman"/>
                <w:kern w:val="0"/>
                <w:sz w:val="24"/>
                <w:szCs w:val="24"/>
              </w:rPr>
            </w:pPr>
          </w:p>
        </w:tc>
      </w:tr>
      <w:tr w14:paraId="361E5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3FD551C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14:paraId="69D03B58">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vAlign w:val="center"/>
          </w:tcPr>
          <w:p w14:paraId="59B1B2E9">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0DAED806">
            <w:pPr>
              <w:autoSpaceDE w:val="0"/>
              <w:autoSpaceDN w:val="0"/>
              <w:adjustRightInd w:val="0"/>
              <w:spacing w:line="500" w:lineRule="exact"/>
              <w:rPr>
                <w:rFonts w:ascii="仿宋" w:hAnsi="仿宋" w:eastAsia="仿宋" w:cs="Times New Roman"/>
                <w:kern w:val="0"/>
                <w:sz w:val="24"/>
                <w:szCs w:val="24"/>
              </w:rPr>
            </w:pPr>
          </w:p>
          <w:p w14:paraId="1DE3DCD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vAlign w:val="center"/>
          </w:tcPr>
          <w:p w14:paraId="02A2279B">
            <w:pPr>
              <w:autoSpaceDE w:val="0"/>
              <w:autoSpaceDN w:val="0"/>
              <w:adjustRightInd w:val="0"/>
              <w:spacing w:line="500" w:lineRule="exact"/>
              <w:rPr>
                <w:rFonts w:ascii="仿宋" w:hAnsi="仿宋" w:eastAsia="仿宋" w:cs="Times New Roman"/>
                <w:kern w:val="0"/>
                <w:sz w:val="24"/>
                <w:szCs w:val="24"/>
              </w:rPr>
            </w:pPr>
          </w:p>
        </w:tc>
      </w:tr>
      <w:tr w14:paraId="667B2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21488F5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上年度</w:t>
            </w:r>
          </w:p>
          <w:p w14:paraId="5607F49B">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vAlign w:val="center"/>
          </w:tcPr>
          <w:p w14:paraId="72C519C8">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80DA99A">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vAlign w:val="center"/>
          </w:tcPr>
          <w:p w14:paraId="730399B6">
            <w:pPr>
              <w:autoSpaceDE w:val="0"/>
              <w:autoSpaceDN w:val="0"/>
              <w:adjustRightInd w:val="0"/>
              <w:spacing w:line="500" w:lineRule="exact"/>
              <w:rPr>
                <w:rFonts w:ascii="仿宋" w:hAnsi="仿宋" w:eastAsia="仿宋" w:cs="Times New Roman"/>
                <w:kern w:val="0"/>
                <w:sz w:val="24"/>
                <w:szCs w:val="24"/>
              </w:rPr>
            </w:pPr>
          </w:p>
        </w:tc>
      </w:tr>
      <w:tr w14:paraId="3FD28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EC981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vAlign w:val="center"/>
          </w:tcPr>
          <w:p w14:paraId="260CC7FA">
            <w:pPr>
              <w:autoSpaceDE w:val="0"/>
              <w:autoSpaceDN w:val="0"/>
              <w:adjustRightInd w:val="0"/>
              <w:spacing w:line="500" w:lineRule="exact"/>
              <w:rPr>
                <w:rFonts w:ascii="仿宋" w:hAnsi="仿宋" w:eastAsia="仿宋" w:cs="Times New Roman"/>
                <w:kern w:val="0"/>
                <w:sz w:val="24"/>
                <w:szCs w:val="24"/>
              </w:rPr>
            </w:pPr>
          </w:p>
          <w:p w14:paraId="0113CCC2">
            <w:pPr>
              <w:autoSpaceDE w:val="0"/>
              <w:autoSpaceDN w:val="0"/>
              <w:adjustRightInd w:val="0"/>
              <w:spacing w:line="500" w:lineRule="exact"/>
              <w:rPr>
                <w:rFonts w:ascii="仿宋" w:hAnsi="仿宋" w:eastAsia="仿宋" w:cs="Times New Roman"/>
                <w:kern w:val="0"/>
                <w:sz w:val="24"/>
                <w:szCs w:val="24"/>
              </w:rPr>
            </w:pPr>
          </w:p>
        </w:tc>
      </w:tr>
      <w:tr w14:paraId="4F7B2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D729B6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vAlign w:val="center"/>
          </w:tcPr>
          <w:p w14:paraId="46693EBA">
            <w:pPr>
              <w:autoSpaceDE w:val="0"/>
              <w:autoSpaceDN w:val="0"/>
              <w:adjustRightInd w:val="0"/>
              <w:spacing w:line="500" w:lineRule="exact"/>
              <w:rPr>
                <w:rFonts w:ascii="仿宋" w:hAnsi="仿宋" w:eastAsia="仿宋" w:cs="Times New Roman"/>
                <w:kern w:val="0"/>
                <w:sz w:val="24"/>
                <w:szCs w:val="24"/>
              </w:rPr>
            </w:pPr>
          </w:p>
        </w:tc>
      </w:tr>
      <w:tr w14:paraId="33DDE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64CC152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14:paraId="4D6E4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415CCB4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vAlign w:val="center"/>
          </w:tcPr>
          <w:p w14:paraId="27875B1E">
            <w:pPr>
              <w:autoSpaceDE w:val="0"/>
              <w:autoSpaceDN w:val="0"/>
              <w:adjustRightInd w:val="0"/>
              <w:spacing w:line="500" w:lineRule="exact"/>
              <w:rPr>
                <w:rFonts w:ascii="仿宋" w:hAnsi="仿宋" w:eastAsia="仿宋" w:cs="Times New Roman"/>
                <w:kern w:val="0"/>
                <w:sz w:val="24"/>
                <w:szCs w:val="24"/>
              </w:rPr>
            </w:pPr>
          </w:p>
        </w:tc>
        <w:tc>
          <w:tcPr>
            <w:tcW w:w="1533" w:type="dxa"/>
            <w:vAlign w:val="center"/>
          </w:tcPr>
          <w:p w14:paraId="354E7DD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vAlign w:val="center"/>
          </w:tcPr>
          <w:p w14:paraId="2E02C10C">
            <w:pPr>
              <w:autoSpaceDE w:val="0"/>
              <w:autoSpaceDN w:val="0"/>
              <w:adjustRightInd w:val="0"/>
              <w:spacing w:line="500" w:lineRule="exact"/>
              <w:rPr>
                <w:rFonts w:ascii="仿宋" w:hAnsi="仿宋" w:eastAsia="仿宋" w:cs="Times New Roman"/>
                <w:kern w:val="0"/>
                <w:sz w:val="24"/>
                <w:szCs w:val="24"/>
              </w:rPr>
            </w:pPr>
          </w:p>
        </w:tc>
        <w:tc>
          <w:tcPr>
            <w:tcW w:w="1560" w:type="dxa"/>
            <w:vAlign w:val="center"/>
          </w:tcPr>
          <w:p w14:paraId="5FFAB34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专业技术</w:t>
            </w:r>
          </w:p>
          <w:p w14:paraId="56A1765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vAlign w:val="center"/>
          </w:tcPr>
          <w:p w14:paraId="6AB63EB8">
            <w:pPr>
              <w:autoSpaceDE w:val="0"/>
              <w:autoSpaceDN w:val="0"/>
              <w:adjustRightInd w:val="0"/>
              <w:spacing w:line="500" w:lineRule="exact"/>
              <w:rPr>
                <w:rFonts w:ascii="仿宋" w:hAnsi="仿宋" w:eastAsia="仿宋" w:cs="Times New Roman"/>
                <w:bCs/>
                <w:kern w:val="0"/>
                <w:sz w:val="24"/>
                <w:szCs w:val="24"/>
              </w:rPr>
            </w:pPr>
          </w:p>
        </w:tc>
      </w:tr>
      <w:tr w14:paraId="5CD36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D76DD54">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vAlign w:val="center"/>
          </w:tcPr>
          <w:p w14:paraId="0295F0E7">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vAlign w:val="center"/>
          </w:tcPr>
          <w:p w14:paraId="1DF3F14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vAlign w:val="center"/>
          </w:tcPr>
          <w:p w14:paraId="287E0B39">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vAlign w:val="center"/>
          </w:tcPr>
          <w:p w14:paraId="5B2297A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vAlign w:val="center"/>
          </w:tcPr>
          <w:p w14:paraId="78B0E98D">
            <w:pPr>
              <w:autoSpaceDE w:val="0"/>
              <w:autoSpaceDN w:val="0"/>
              <w:adjustRightInd w:val="0"/>
              <w:spacing w:line="500" w:lineRule="exact"/>
              <w:rPr>
                <w:rFonts w:ascii="仿宋" w:hAnsi="仿宋" w:eastAsia="仿宋" w:cs="Times New Roman"/>
                <w:bCs/>
                <w:kern w:val="0"/>
                <w:sz w:val="24"/>
                <w:szCs w:val="24"/>
              </w:rPr>
            </w:pPr>
          </w:p>
        </w:tc>
      </w:tr>
      <w:tr w14:paraId="7DE96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0FFCEB84">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存在直接控股、管理关系的相关投标人</w:t>
            </w:r>
          </w:p>
        </w:tc>
      </w:tr>
      <w:tr w14:paraId="665C5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710B8F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vAlign w:val="center"/>
          </w:tcPr>
          <w:p w14:paraId="24FA78C7">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投标人名称</w:t>
            </w:r>
          </w:p>
        </w:tc>
      </w:tr>
      <w:tr w14:paraId="7C1E7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A0122CC">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B4C67DC">
            <w:pPr>
              <w:autoSpaceDE w:val="0"/>
              <w:autoSpaceDN w:val="0"/>
              <w:adjustRightInd w:val="0"/>
              <w:spacing w:line="500" w:lineRule="exact"/>
              <w:rPr>
                <w:rFonts w:ascii="仿宋" w:hAnsi="仿宋" w:eastAsia="仿宋" w:cs="Times New Roman"/>
                <w:bCs/>
                <w:kern w:val="0"/>
                <w:sz w:val="24"/>
                <w:szCs w:val="24"/>
              </w:rPr>
            </w:pPr>
          </w:p>
        </w:tc>
      </w:tr>
      <w:tr w14:paraId="1A3EA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ADED0DD">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F480A60">
            <w:pPr>
              <w:autoSpaceDE w:val="0"/>
              <w:autoSpaceDN w:val="0"/>
              <w:adjustRightInd w:val="0"/>
              <w:spacing w:line="500" w:lineRule="exact"/>
              <w:rPr>
                <w:rFonts w:ascii="仿宋" w:hAnsi="仿宋" w:eastAsia="仿宋" w:cs="Times New Roman"/>
                <w:bCs/>
                <w:kern w:val="0"/>
                <w:sz w:val="24"/>
                <w:szCs w:val="24"/>
              </w:rPr>
            </w:pPr>
          </w:p>
        </w:tc>
      </w:tr>
      <w:tr w14:paraId="7A5A3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A4EB91">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AF7D1DE">
            <w:pPr>
              <w:autoSpaceDE w:val="0"/>
              <w:autoSpaceDN w:val="0"/>
              <w:adjustRightInd w:val="0"/>
              <w:spacing w:line="500" w:lineRule="exact"/>
              <w:rPr>
                <w:rFonts w:ascii="仿宋" w:hAnsi="仿宋" w:eastAsia="仿宋" w:cs="Times New Roman"/>
                <w:bCs/>
                <w:kern w:val="0"/>
                <w:sz w:val="24"/>
                <w:szCs w:val="24"/>
              </w:rPr>
            </w:pPr>
          </w:p>
        </w:tc>
      </w:tr>
      <w:tr w14:paraId="56AD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2336DDC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vAlign w:val="center"/>
          </w:tcPr>
          <w:p w14:paraId="7F6406F8">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14:paraId="64C2BAEC">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2、成立时间至提交投标文件截止时间不足一年的可不提供“上年度营业收入”。</w:t>
            </w:r>
          </w:p>
          <w:p w14:paraId="7BB0D7A8">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3、投标人应如实填写上述信息。</w:t>
            </w:r>
            <w:bookmarkStart w:id="454" w:name="■AcceptUnion_CH5_A■"/>
            <w:r>
              <w:rPr>
                <w:rFonts w:ascii="仿宋" w:hAnsi="仿宋" w:eastAsia="仿宋" w:cs="Times New Roman"/>
                <w:sz w:val="24"/>
                <w:szCs w:val="24"/>
              </w:rPr>
              <w:t>招标文件允许联合体投标的，联合体各方均应提供。</w:t>
            </w:r>
            <w:bookmarkEnd w:id="454"/>
          </w:p>
        </w:tc>
      </w:tr>
    </w:tbl>
    <w:p w14:paraId="7DAECE42">
      <w:pPr>
        <w:spacing w:line="500" w:lineRule="exact"/>
        <w:ind w:firstLine="566" w:firstLineChars="200"/>
        <w:rPr>
          <w:rFonts w:ascii="仿宋" w:hAnsi="仿宋" w:eastAsia="仿宋" w:cs="Times New Roman"/>
          <w:b/>
        </w:rPr>
      </w:pPr>
      <w:r>
        <w:rPr>
          <w:rFonts w:ascii="仿宋" w:hAnsi="仿宋" w:eastAsia="仿宋" w:cs="Times New Roman"/>
          <w:b/>
        </w:rPr>
        <w:t>（二）投标人性质</w:t>
      </w:r>
    </w:p>
    <w:p w14:paraId="15C2E6C9">
      <w:pPr>
        <w:spacing w:line="500" w:lineRule="exact"/>
        <w:ind w:firstLine="566" w:firstLineChars="200"/>
        <w:rPr>
          <w:rFonts w:ascii="仿宋" w:hAnsi="仿宋" w:eastAsia="仿宋" w:cs="Times New Roman"/>
        </w:rPr>
      </w:pPr>
      <w:r>
        <w:rPr>
          <w:rFonts w:hint="eastAsia" w:ascii="仿宋" w:hAnsi="仿宋" w:eastAsia="仿宋" w:cs="Times New Roman"/>
        </w:rPr>
        <w:t>中小企业、残疾人福利性单位投标时，应提供声明函（按下文给定格式）。未提供或未按给定格式提供声明函的，其投标产品中的小微企业、残疾人福利性单位生产的产品将不能享受谈判文件规定的价格扣除。</w:t>
      </w:r>
    </w:p>
    <w:p w14:paraId="4647F0C7">
      <w:pPr>
        <w:spacing w:line="500" w:lineRule="exact"/>
        <w:ind w:firstLine="566" w:firstLineChars="200"/>
        <w:rPr>
          <w:rFonts w:ascii="仿宋" w:hAnsi="仿宋" w:eastAsia="仿宋" w:cs="Times New Roman"/>
        </w:rPr>
      </w:pPr>
      <w:r>
        <w:rPr>
          <w:rFonts w:hint="eastAsia" w:ascii="仿宋" w:hAnsi="仿宋" w:eastAsia="仿宋" w:cs="Times New Roman"/>
        </w:rPr>
        <w:t>监狱企业投标时，应当提供由省级以上监狱管理局、戒毒管理局（含新疆生产建设兵团）出具的属于监狱企业的证明文件（格式不做要求）。未提供证明文件的不能享受谈判文件规定的价格扣除，但不影响响应文件的有效性。</w:t>
      </w:r>
    </w:p>
    <w:p w14:paraId="230A939E">
      <w:pPr>
        <w:spacing w:line="500" w:lineRule="exact"/>
        <w:ind w:firstLine="566" w:firstLineChars="200"/>
        <w:rPr>
          <w:rFonts w:ascii="仿宋" w:hAnsi="仿宋" w:eastAsia="仿宋" w:cs="Times New Roman"/>
        </w:rPr>
      </w:pPr>
      <w:r>
        <w:rPr>
          <w:rFonts w:hint="eastAsia" w:ascii="仿宋" w:hAnsi="仿宋" w:eastAsia="仿宋" w:cs="Times New Roman"/>
        </w:rPr>
        <w:t>招标文件允许联合体投标的，联合体成员应分别提供上述声明函或证明文件，此外，还须提供联合体协议书。投标联合体未提供联合体协议书的，其响应文件无效。</w:t>
      </w:r>
    </w:p>
    <w:p w14:paraId="24C612F7">
      <w:pPr>
        <w:spacing w:line="500" w:lineRule="exact"/>
        <w:ind w:firstLine="566" w:firstLineChars="200"/>
        <w:rPr>
          <w:rFonts w:ascii="仿宋" w:hAnsi="仿宋" w:eastAsia="仿宋" w:cs="Times New Roman"/>
          <w:b/>
        </w:rPr>
      </w:pPr>
      <w:r>
        <w:rPr>
          <w:rFonts w:ascii="仿宋" w:hAnsi="仿宋" w:eastAsia="仿宋" w:cs="Times New Roman"/>
          <w:b/>
        </w:rPr>
        <w:t>（三）其他</w:t>
      </w:r>
    </w:p>
    <w:p w14:paraId="2C297B6A">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14:paraId="027D5248">
      <w:pPr>
        <w:spacing w:line="500" w:lineRule="exact"/>
        <w:ind w:firstLine="566" w:firstLineChars="200"/>
        <w:rPr>
          <w:rFonts w:ascii="仿宋" w:hAnsi="仿宋" w:eastAsia="仿宋"/>
          <w:b/>
          <w:bCs/>
        </w:rPr>
      </w:pPr>
      <w:bookmarkStart w:id="455" w:name="_Toc48834336"/>
    </w:p>
    <w:p w14:paraId="42D4ACD0">
      <w:pPr>
        <w:spacing w:line="500" w:lineRule="exact"/>
        <w:ind w:firstLine="566" w:firstLineChars="200"/>
      </w:pPr>
    </w:p>
    <w:p w14:paraId="2293BF30">
      <w:pPr>
        <w:spacing w:line="500" w:lineRule="exact"/>
        <w:ind w:firstLine="566" w:firstLineChars="200"/>
      </w:pPr>
    </w:p>
    <w:p w14:paraId="2EDE63D5">
      <w:pPr>
        <w:pStyle w:val="29"/>
        <w:ind w:firstLine="183"/>
      </w:pPr>
    </w:p>
    <w:p w14:paraId="1395781C">
      <w:pPr>
        <w:pStyle w:val="29"/>
        <w:ind w:firstLine="183"/>
      </w:pPr>
    </w:p>
    <w:p w14:paraId="782FC7AC">
      <w:pPr>
        <w:pStyle w:val="29"/>
        <w:ind w:firstLine="183"/>
      </w:pPr>
    </w:p>
    <w:p w14:paraId="6BFFA4DE">
      <w:pPr>
        <w:pStyle w:val="29"/>
        <w:ind w:firstLine="183"/>
      </w:pPr>
    </w:p>
    <w:p w14:paraId="7903AA7A">
      <w:pPr>
        <w:pStyle w:val="29"/>
        <w:ind w:firstLine="183"/>
      </w:pPr>
    </w:p>
    <w:p w14:paraId="1EE5FEDD">
      <w:pPr>
        <w:pStyle w:val="29"/>
        <w:ind w:firstLine="183"/>
      </w:pPr>
    </w:p>
    <w:p w14:paraId="2E048C87">
      <w:pPr>
        <w:spacing w:line="500" w:lineRule="exact"/>
        <w:ind w:firstLine="566" w:firstLineChars="200"/>
        <w:jc w:val="center"/>
        <w:rPr>
          <w:rFonts w:ascii="仿宋" w:hAnsi="仿宋" w:eastAsia="仿宋" w:cs="Times New Roman"/>
          <w:b/>
          <w:bCs/>
        </w:rPr>
      </w:pPr>
    </w:p>
    <w:p w14:paraId="6FA33F60">
      <w:pPr>
        <w:spacing w:line="500" w:lineRule="exact"/>
        <w:ind w:firstLine="566" w:firstLineChars="200"/>
        <w:jc w:val="center"/>
        <w:rPr>
          <w:rFonts w:ascii="仿宋" w:hAnsi="仿宋" w:eastAsia="仿宋"/>
          <w:b/>
          <w:sz w:val="32"/>
          <w:szCs w:val="32"/>
        </w:rPr>
      </w:pPr>
      <w:r>
        <w:rPr>
          <w:rFonts w:hint="eastAsia" w:ascii="仿宋" w:hAnsi="仿宋" w:eastAsia="仿宋" w:cs="Times New Roman"/>
          <w:b/>
          <w:bCs/>
        </w:rPr>
        <w:t>中小企业声明函（工程、服务）</w:t>
      </w:r>
    </w:p>
    <w:p w14:paraId="54FB0F57">
      <w:pPr>
        <w:spacing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b/>
          <w:bCs/>
          <w:u w:val="single"/>
        </w:rPr>
        <w:t>榆林市市政府机关事务服务中心</w:t>
      </w:r>
      <w:r>
        <w:rPr>
          <w:rFonts w:hint="eastAsia" w:ascii="仿宋" w:hAnsi="仿宋" w:eastAsia="仿宋" w:cs="Times New Roman"/>
        </w:rPr>
        <w:t>）的（</w:t>
      </w:r>
      <w:r>
        <w:rPr>
          <w:rFonts w:hint="eastAsia" w:ascii="仿宋" w:hAnsi="仿宋" w:eastAsia="仿宋" w:cs="Times New Roman"/>
          <w:b/>
          <w:bCs/>
          <w:u w:val="single"/>
        </w:rPr>
        <w:t>党政各级视频会议系统扩容加固建设服务项目</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14:paraId="1571B2AB">
      <w:pPr>
        <w:spacing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w:t>
      </w:r>
      <w:r>
        <w:rPr>
          <w:rFonts w:hint="eastAsia" w:ascii="仿宋" w:hAnsi="仿宋" w:eastAsia="仿宋" w:cs="Times New Roman"/>
          <w:b/>
          <w:bCs/>
          <w:u w:val="single"/>
        </w:rPr>
        <w:t>党政各级视频会议系统扩容加固建设服务项目</w:t>
      </w:r>
      <w:r>
        <w:rPr>
          <w:rFonts w:hint="eastAsia" w:ascii="仿宋" w:hAnsi="仿宋" w:eastAsia="仿宋" w:cs="Times New Roman"/>
        </w:rPr>
        <w:t>），属于（</w:t>
      </w:r>
      <w:r>
        <w:rPr>
          <w:rFonts w:hint="eastAsia" w:ascii="仿宋" w:hAnsi="仿宋" w:eastAsia="仿宋" w:cs="Times New Roman"/>
          <w:b/>
          <w:bCs/>
          <w:u w:val="single"/>
        </w:rPr>
        <w:t>软件和信息技术服务业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51AC44CC">
      <w:pPr>
        <w:spacing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w:t>
      </w:r>
      <w:r>
        <w:rPr>
          <w:rFonts w:hint="eastAsia" w:ascii="仿宋" w:hAnsi="仿宋" w:eastAsia="仿宋" w:cs="Times New Roman"/>
          <w:b/>
          <w:bCs/>
          <w:u w:val="single"/>
        </w:rPr>
        <w:t>标的名称</w:t>
      </w:r>
      <w:r>
        <w:rPr>
          <w:rFonts w:hint="eastAsia" w:ascii="仿宋" w:hAnsi="仿宋" w:eastAsia="仿宋" w:cs="Times New Roman"/>
          <w:u w:val="single"/>
        </w:rPr>
        <w:t>）</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b/>
          <w:bCs/>
          <w:u w:val="single"/>
        </w:rPr>
        <w:t>采购文件中明确的所属行业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1585ECFB">
      <w:pPr>
        <w:spacing w:line="500" w:lineRule="exact"/>
        <w:ind w:firstLine="566" w:firstLineChars="200"/>
        <w:rPr>
          <w:rFonts w:ascii="仿宋" w:hAnsi="仿宋" w:eastAsia="仿宋" w:cs="Times New Roman"/>
        </w:rPr>
      </w:pPr>
      <w:r>
        <w:rPr>
          <w:rFonts w:hint="eastAsia" w:ascii="仿宋" w:hAnsi="仿宋" w:eastAsia="仿宋" w:cs="Times New Roman"/>
        </w:rPr>
        <w:t>……</w:t>
      </w:r>
    </w:p>
    <w:p w14:paraId="6EAACE83">
      <w:pPr>
        <w:spacing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14:paraId="3E3A2ECA">
      <w:pPr>
        <w:spacing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14:paraId="5210D88B">
      <w:pPr>
        <w:spacing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14:paraId="2AAA84D5">
      <w:pPr>
        <w:spacing w:line="500" w:lineRule="exact"/>
        <w:ind w:firstLine="566" w:firstLineChars="200"/>
        <w:rPr>
          <w:rFonts w:ascii="仿宋" w:hAnsi="仿宋" w:eastAsia="仿宋" w:cs="Times New Roman"/>
        </w:rPr>
      </w:pPr>
      <w:r>
        <w:rPr>
          <w:rFonts w:hint="eastAsia" w:ascii="仿宋" w:hAnsi="仿宋" w:eastAsia="仿宋" w:cs="Times New Roman"/>
        </w:rPr>
        <w:t xml:space="preserve">                                      日期：</w:t>
      </w:r>
    </w:p>
    <w:p w14:paraId="7A9FA1FD">
      <w:pPr>
        <w:pStyle w:val="29"/>
        <w:spacing w:line="500" w:lineRule="exact"/>
        <w:ind w:firstLine="366" w:firstLineChars="200"/>
      </w:pPr>
    </w:p>
    <w:p w14:paraId="09DEAAE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rPr>
        <w:t>1.从业人员、营业收入、资产总额填报上一年度数据，无上一年度数据的新成立企业可不填报。</w:t>
      </w:r>
    </w:p>
    <w:p w14:paraId="05FBC3EE">
      <w:pPr>
        <w:tabs>
          <w:tab w:val="left" w:pos="5670"/>
        </w:tabs>
        <w:spacing w:line="500" w:lineRule="exact"/>
        <w:ind w:firstLine="566" w:firstLineChars="200"/>
        <w:rPr>
          <w:rFonts w:ascii="仿宋" w:hAnsi="仿宋" w:eastAsia="仿宋" w:cs="Times New Roman"/>
          <w:sz w:val="21"/>
          <w:szCs w:val="21"/>
        </w:rPr>
      </w:pPr>
      <w:r>
        <w:rPr>
          <w:rFonts w:hint="eastAsia" w:ascii="仿宋" w:hAnsi="仿宋" w:eastAsia="仿宋" w:cs="Times New Roman"/>
        </w:rPr>
        <w:t xml:space="preserve">   </w:t>
      </w:r>
      <w:r>
        <w:rPr>
          <w:rFonts w:hint="eastAsia" w:ascii="仿宋" w:hAnsi="仿宋" w:eastAsia="仿宋" w:cs="Times New Roman"/>
          <w:sz w:val="21"/>
          <w:szCs w:val="21"/>
        </w:rPr>
        <w:t xml:space="preserve">2.标的名称为：党政各级视频会议系统扩容加固建设服务项目      </w:t>
      </w:r>
    </w:p>
    <w:p w14:paraId="1FB681BD">
      <w:pPr>
        <w:spacing w:before="156" w:beforeLines="50" w:line="500" w:lineRule="exact"/>
        <w:ind w:firstLine="426" w:firstLineChars="200"/>
        <w:rPr>
          <w:rFonts w:hint="eastAsia" w:ascii="仿宋" w:hAnsi="仿宋" w:eastAsia="仿宋" w:cs="Times New Roman"/>
          <w:color w:val="000000"/>
          <w:sz w:val="21"/>
          <w:szCs w:val="21"/>
        </w:rPr>
      </w:pPr>
      <w:r>
        <w:rPr>
          <w:rFonts w:hint="eastAsia" w:ascii="仿宋" w:hAnsi="仿宋" w:eastAsia="仿宋" w:cs="Times New Roman"/>
          <w:sz w:val="21"/>
          <w:szCs w:val="21"/>
        </w:rPr>
        <w:t xml:space="preserve">       所属行业：软件和信息技术服务业</w:t>
      </w:r>
    </w:p>
    <w:p w14:paraId="6584727E">
      <w:pPr>
        <w:spacing w:before="156" w:beforeLines="50" w:line="500" w:lineRule="exact"/>
        <w:ind w:firstLine="426" w:firstLineChars="200"/>
        <w:rPr>
          <w:rFonts w:hint="eastAsia" w:ascii="仿宋" w:hAnsi="仿宋" w:eastAsia="仿宋" w:cs="Times New Roman"/>
          <w:color w:val="000000"/>
          <w:sz w:val="21"/>
          <w:szCs w:val="21"/>
        </w:rPr>
      </w:pPr>
    </w:p>
    <w:p w14:paraId="424442B2">
      <w:pPr>
        <w:spacing w:before="156" w:beforeLines="50" w:line="500" w:lineRule="exact"/>
        <w:ind w:firstLine="566" w:firstLineChars="200"/>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附：</w:t>
      </w:r>
      <w:r>
        <w:rPr>
          <w:rFonts w:hint="eastAsia" w:ascii="仿宋" w:hAnsi="仿宋" w:eastAsia="仿宋" w:cs="Times New Roman"/>
          <w:b/>
          <w:bCs/>
          <w:color w:val="auto"/>
          <w:sz w:val="28"/>
          <w:szCs w:val="28"/>
        </w:rPr>
        <w:t>各行业划分标准</w:t>
      </w:r>
    </w:p>
    <w:p w14:paraId="3BA49E5D">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1、农、林、牧、渔业。营业收入20000万元以下的为中小微型企业。其中，营业收入500万元及以上的为中型企业,营业收入50万元及以上的为小型企业，营业收入50万元以下的为微型企业。　　</w:t>
      </w:r>
    </w:p>
    <w:p w14:paraId="2E2A1B1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Times New Roman"/>
          <w:color w:val="auto"/>
          <w:sz w:val="28"/>
          <w:szCs w:val="28"/>
        </w:rPr>
        <w:t>　</w:t>
      </w:r>
    </w:p>
    <w:p w14:paraId="793E36D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80FF1D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61D8AE7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C699B4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34B0AE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6D50B94">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670B8C0">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FA414E3">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FF9DD08">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826F6A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D2E7C42">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4D3051D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r>
        <w:rPr>
          <w:rFonts w:hint="eastAsia" w:ascii="仿宋" w:hAnsi="仿宋" w:eastAsia="仿宋" w:cs="Times New Roman"/>
          <w:color w:val="auto"/>
          <w:sz w:val="28"/>
          <w:szCs w:val="28"/>
        </w:rPr>
        <w:t>　</w:t>
      </w:r>
    </w:p>
    <w:p w14:paraId="769498A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6237D87B">
      <w:pPr>
        <w:spacing w:before="156" w:beforeLines="50" w:line="500" w:lineRule="exact"/>
        <w:ind w:firstLine="566"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16、其他未列明行业.从业人员300人以下的为中小微型企业。其中，从业人员100人及以上的为中型企业;从业人员10人及以上的为小型企业；从业人员10人以下的为微型企业。</w:t>
      </w:r>
    </w:p>
    <w:p w14:paraId="030BB763">
      <w:pPr>
        <w:spacing w:before="156" w:beforeLines="50" w:line="500" w:lineRule="exact"/>
        <w:ind w:firstLine="566" w:firstLineChars="200"/>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说明：大型、中型和</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"https://baike.baidu.com/item/%E5%B0%8F%E5%9E%8B%E4%BC%81%E4%B8%9A/1888417?fromModule=lemma_inlink"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小型企业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须同时满足所列指标的下限，否则下划一档；</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"https://baike.baidu.com/item/%E5%BE%AE%E5%9E%8B%E4%BC%81%E4%B8%9A/4886447?fromModule=lemma_inlink"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微型企业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只须满足所列指标中的一项即可。</w:t>
      </w:r>
    </w:p>
    <w:p w14:paraId="15CDC261">
      <w:pPr>
        <w:tabs>
          <w:tab w:val="left" w:pos="5670"/>
        </w:tabs>
        <w:spacing w:line="500" w:lineRule="exact"/>
        <w:ind w:firstLine="426" w:firstLineChars="200"/>
        <w:rPr>
          <w:rFonts w:ascii="仿宋" w:hAnsi="仿宋" w:eastAsia="仿宋" w:cs="Times New Roman"/>
          <w:b/>
          <w:color w:val="FF0000"/>
          <w:sz w:val="21"/>
          <w:szCs w:val="21"/>
        </w:rPr>
      </w:pPr>
    </w:p>
    <w:p w14:paraId="4B982D86">
      <w:pPr>
        <w:tabs>
          <w:tab w:val="left" w:pos="5670"/>
        </w:tabs>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 xml:space="preserve">  </w:t>
      </w:r>
    </w:p>
    <w:p w14:paraId="4B66DF50">
      <w:pPr>
        <w:tabs>
          <w:tab w:val="left" w:pos="5670"/>
        </w:tabs>
        <w:spacing w:line="500" w:lineRule="exact"/>
        <w:ind w:firstLine="426" w:firstLineChars="200"/>
        <w:rPr>
          <w:rFonts w:ascii="仿宋" w:hAnsi="仿宋" w:eastAsia="仿宋" w:cs="Times New Roman"/>
          <w:sz w:val="21"/>
          <w:szCs w:val="21"/>
        </w:rPr>
      </w:pPr>
    </w:p>
    <w:p w14:paraId="0EC58614">
      <w:pPr>
        <w:spacing w:line="500" w:lineRule="exact"/>
        <w:rPr>
          <w:rFonts w:ascii="仿宋" w:hAnsi="仿宋" w:eastAsia="仿宋"/>
          <w:b/>
          <w:bCs/>
        </w:rPr>
      </w:pPr>
    </w:p>
    <w:p w14:paraId="644295CA">
      <w:pPr>
        <w:pStyle w:val="17"/>
        <w:rPr>
          <w:rFonts w:ascii="仿宋" w:hAnsi="仿宋" w:eastAsia="仿宋"/>
          <w:b/>
          <w:bCs/>
        </w:rPr>
      </w:pPr>
    </w:p>
    <w:p w14:paraId="79A08690">
      <w:pPr>
        <w:pStyle w:val="17"/>
        <w:rPr>
          <w:rFonts w:ascii="仿宋" w:hAnsi="仿宋" w:eastAsia="仿宋"/>
          <w:b/>
          <w:bCs/>
        </w:rPr>
      </w:pPr>
    </w:p>
    <w:p w14:paraId="7AADFD95">
      <w:pPr>
        <w:spacing w:line="500" w:lineRule="exact"/>
        <w:jc w:val="center"/>
        <w:rPr>
          <w:rFonts w:ascii="仿宋" w:hAnsi="仿宋" w:eastAsia="仿宋" w:cs="Times New Roman"/>
          <w:b/>
        </w:rPr>
      </w:pPr>
      <w:r>
        <w:rPr>
          <w:rFonts w:ascii="仿宋" w:hAnsi="仿宋" w:eastAsia="仿宋"/>
          <w:b/>
          <w:bCs/>
        </w:rPr>
        <w:t>残疾人福利性单位声明函</w:t>
      </w:r>
      <w:bookmarkEnd w:id="455"/>
    </w:p>
    <w:p w14:paraId="3BE6C949">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14:paraId="63A42DF8">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14:paraId="545D433C">
      <w:pPr>
        <w:spacing w:line="500" w:lineRule="exact"/>
        <w:ind w:firstLine="566" w:firstLineChars="200"/>
        <w:rPr>
          <w:rFonts w:ascii="仿宋" w:hAnsi="仿宋" w:eastAsia="仿宋" w:cs="Times New Roman"/>
        </w:rPr>
      </w:pPr>
    </w:p>
    <w:p w14:paraId="0F0B8BF5">
      <w:pPr>
        <w:tabs>
          <w:tab w:val="left" w:pos="5670"/>
        </w:tabs>
        <w:spacing w:line="500" w:lineRule="exact"/>
        <w:ind w:firstLine="566" w:firstLineChars="200"/>
        <w:jc w:val="center"/>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u w:val="single"/>
        </w:rPr>
        <w:t>投标人名称</w:t>
      </w:r>
      <w:r>
        <w:rPr>
          <w:rFonts w:ascii="仿宋" w:hAnsi="仿宋" w:eastAsia="仿宋" w:cs="Times New Roman"/>
        </w:rPr>
        <w:t>（盖章）</w:t>
      </w:r>
    </w:p>
    <w:p w14:paraId="77048CD0">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14:paraId="0BE7C262">
      <w:pPr>
        <w:tabs>
          <w:tab w:val="left" w:pos="5670"/>
        </w:tabs>
        <w:spacing w:line="500" w:lineRule="exact"/>
        <w:ind w:firstLine="566" w:firstLineChars="200"/>
        <w:rPr>
          <w:rFonts w:ascii="仿宋" w:hAnsi="仿宋" w:eastAsia="仿宋" w:cs="Times New Roman"/>
        </w:rPr>
      </w:pPr>
    </w:p>
    <w:p w14:paraId="68B83E37">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14:paraId="64B3D5C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14:paraId="4928CF76">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14:paraId="5C7810C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14:paraId="154F0CD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14:paraId="20929742">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14:paraId="56DD4A3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14:paraId="0EA953F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ascii="仿宋" w:hAnsi="仿宋" w:eastAsia="仿宋" w:cs="Times New Roman"/>
          <w:sz w:val="21"/>
          <w:szCs w:val="21"/>
        </w:rPr>
        <w:t>。</w:t>
      </w:r>
    </w:p>
    <w:p w14:paraId="4B901198">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163114">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二、中标、成交投标人为残疾人福利性单位的，采购人或者其委托的采购代理机构应当随中标、成交结果同时公告其《残疾人福利性单位声明函》，接受社会监督。</w:t>
      </w:r>
      <w:bookmarkStart w:id="456" w:name="_Toc48834337"/>
    </w:p>
    <w:p w14:paraId="3229A6E0">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56"/>
    </w:p>
    <w:p w14:paraId="36D22953">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14:paraId="1E127110">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7E6991">
      <w:pPr>
        <w:spacing w:line="500" w:lineRule="exact"/>
        <w:rPr>
          <w:rFonts w:ascii="仿宋" w:hAnsi="仿宋" w:eastAsia="仿宋" w:cs="Times New Roman"/>
          <w:b/>
        </w:rPr>
      </w:pPr>
      <w:r>
        <w:rPr>
          <w:rFonts w:ascii="仿宋" w:hAnsi="仿宋" w:eastAsia="仿宋" w:cs="Times New Roman"/>
          <w:b/>
        </w:rPr>
        <w:br w:type="page"/>
      </w:r>
      <w:bookmarkStart w:id="457" w:name="_Toc3411"/>
      <w:bookmarkStart w:id="458" w:name="_Toc12342"/>
      <w:bookmarkStart w:id="459" w:name="_Toc4295"/>
      <w:bookmarkStart w:id="460" w:name="_Toc14867"/>
      <w:bookmarkStart w:id="461" w:name="_Toc3092"/>
      <w:bookmarkStart w:id="462" w:name="_Toc9336"/>
      <w:bookmarkStart w:id="463" w:name="_Toc48834135"/>
      <w:bookmarkStart w:id="464" w:name="_Toc48834205"/>
      <w:bookmarkStart w:id="465" w:name="_Toc48834338"/>
      <w:r>
        <w:rPr>
          <w:rFonts w:hint="eastAsia" w:ascii="仿宋" w:hAnsi="仿宋" w:eastAsia="仿宋"/>
          <w:b/>
          <w:bCs/>
        </w:rPr>
        <w:t>二、</w:t>
      </w:r>
      <w:r>
        <w:rPr>
          <w:rFonts w:ascii="仿宋" w:hAnsi="仿宋" w:eastAsia="仿宋"/>
          <w:b/>
          <w:bCs/>
        </w:rPr>
        <w:t>投标方案</w:t>
      </w:r>
      <w:bookmarkEnd w:id="457"/>
      <w:bookmarkEnd w:id="458"/>
      <w:bookmarkEnd w:id="459"/>
      <w:bookmarkEnd w:id="460"/>
      <w:bookmarkEnd w:id="461"/>
      <w:bookmarkEnd w:id="462"/>
      <w:bookmarkEnd w:id="463"/>
      <w:bookmarkEnd w:id="464"/>
      <w:bookmarkEnd w:id="465"/>
    </w:p>
    <w:p w14:paraId="7B935F13">
      <w:pPr>
        <w:spacing w:line="500" w:lineRule="exact"/>
        <w:ind w:firstLine="566" w:firstLineChars="200"/>
        <w:rPr>
          <w:rFonts w:ascii="仿宋" w:hAnsi="仿宋" w:eastAsia="仿宋" w:cs="Times New Roman"/>
          <w:b/>
        </w:rPr>
      </w:pPr>
      <w:r>
        <w:rPr>
          <w:rFonts w:ascii="仿宋" w:hAnsi="仿宋" w:eastAsia="仿宋" w:cs="Times New Roman"/>
          <w:bCs/>
        </w:rPr>
        <w:t>参照招标文件第二章第</w:t>
      </w:r>
      <w:r>
        <w:rPr>
          <w:rFonts w:hint="eastAsia" w:ascii="仿宋" w:hAnsi="仿宋" w:eastAsia="仿宋" w:cs="Times New Roman"/>
          <w:bCs/>
        </w:rPr>
        <w:t>八</w:t>
      </w:r>
      <w:r>
        <w:rPr>
          <w:rFonts w:ascii="仿宋" w:hAnsi="仿宋" w:eastAsia="仿宋" w:cs="Times New Roman"/>
          <w:bCs/>
        </w:rPr>
        <w:t>项《组织评标》各条款的要求，结合第四章《招标内容及采购</w:t>
      </w:r>
      <w:r>
        <w:rPr>
          <w:rFonts w:hint="eastAsia" w:ascii="仿宋" w:hAnsi="仿宋" w:eastAsia="仿宋" w:cs="Times New Roman"/>
          <w:bCs/>
        </w:rPr>
        <w:t>需</w:t>
      </w:r>
      <w:r>
        <w:rPr>
          <w:rFonts w:ascii="仿宋" w:hAnsi="仿宋" w:eastAsia="仿宋" w:cs="Times New Roman"/>
          <w:bCs/>
        </w:rPr>
        <w:t>求》编制投标方案。</w:t>
      </w:r>
    </w:p>
    <w:p w14:paraId="16602365">
      <w:pPr>
        <w:spacing w:line="500" w:lineRule="exact"/>
        <w:rPr>
          <w:rFonts w:ascii="仿宋" w:hAnsi="仿宋" w:eastAsia="仿宋"/>
          <w:b/>
        </w:rPr>
      </w:pPr>
      <w:r>
        <w:rPr>
          <w:rFonts w:hint="eastAsia" w:ascii="仿宋" w:hAnsi="仿宋" w:eastAsia="仿宋"/>
          <w:b/>
          <w:bCs/>
        </w:rPr>
        <w:t>三</w:t>
      </w:r>
      <w:r>
        <w:rPr>
          <w:rFonts w:ascii="仿宋" w:hAnsi="仿宋" w:eastAsia="仿宋"/>
          <w:b/>
          <w:bCs/>
        </w:rPr>
        <w:t>、参考样表</w:t>
      </w:r>
    </w:p>
    <w:p w14:paraId="370FB4EF">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74A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033ED85E">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vAlign w:val="center"/>
          </w:tcPr>
          <w:p w14:paraId="53C3E4E9">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vAlign w:val="center"/>
          </w:tcPr>
          <w:p w14:paraId="3BBAC442">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vAlign w:val="center"/>
          </w:tcPr>
          <w:p w14:paraId="27CD7B07">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vAlign w:val="center"/>
          </w:tcPr>
          <w:p w14:paraId="186990D8">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14:paraId="6B1F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59F853">
            <w:pPr>
              <w:widowControl w:val="0"/>
              <w:spacing w:line="500" w:lineRule="exact"/>
              <w:jc w:val="center"/>
              <w:rPr>
                <w:rFonts w:ascii="仿宋" w:hAnsi="仿宋" w:eastAsia="仿宋" w:cs="Times New Roman"/>
                <w:sz w:val="24"/>
                <w:szCs w:val="24"/>
              </w:rPr>
            </w:pPr>
          </w:p>
        </w:tc>
        <w:tc>
          <w:tcPr>
            <w:tcW w:w="1063" w:type="pct"/>
            <w:vAlign w:val="center"/>
          </w:tcPr>
          <w:p w14:paraId="67A6802C">
            <w:pPr>
              <w:widowControl w:val="0"/>
              <w:spacing w:line="500" w:lineRule="exact"/>
              <w:jc w:val="center"/>
              <w:rPr>
                <w:rFonts w:ascii="仿宋" w:hAnsi="仿宋" w:eastAsia="仿宋" w:cs="Times New Roman"/>
                <w:sz w:val="24"/>
                <w:szCs w:val="24"/>
              </w:rPr>
            </w:pPr>
          </w:p>
        </w:tc>
        <w:tc>
          <w:tcPr>
            <w:tcW w:w="733" w:type="pct"/>
            <w:vAlign w:val="center"/>
          </w:tcPr>
          <w:p w14:paraId="6B870ECB">
            <w:pPr>
              <w:widowControl w:val="0"/>
              <w:spacing w:line="500" w:lineRule="exact"/>
              <w:jc w:val="center"/>
              <w:rPr>
                <w:rFonts w:ascii="仿宋" w:hAnsi="仿宋" w:eastAsia="仿宋" w:cs="Times New Roman"/>
                <w:sz w:val="24"/>
                <w:szCs w:val="24"/>
              </w:rPr>
            </w:pPr>
          </w:p>
        </w:tc>
        <w:tc>
          <w:tcPr>
            <w:tcW w:w="1063" w:type="pct"/>
            <w:vAlign w:val="center"/>
          </w:tcPr>
          <w:p w14:paraId="566AFAC7">
            <w:pPr>
              <w:widowControl w:val="0"/>
              <w:spacing w:line="500" w:lineRule="exact"/>
              <w:jc w:val="center"/>
              <w:rPr>
                <w:rFonts w:ascii="仿宋" w:hAnsi="仿宋" w:eastAsia="仿宋" w:cs="Times New Roman"/>
                <w:sz w:val="24"/>
                <w:szCs w:val="24"/>
              </w:rPr>
            </w:pPr>
          </w:p>
        </w:tc>
        <w:tc>
          <w:tcPr>
            <w:tcW w:w="1394" w:type="pct"/>
            <w:vAlign w:val="center"/>
          </w:tcPr>
          <w:p w14:paraId="4389E9C5">
            <w:pPr>
              <w:widowControl w:val="0"/>
              <w:spacing w:line="500" w:lineRule="exact"/>
              <w:jc w:val="center"/>
              <w:rPr>
                <w:rFonts w:ascii="仿宋" w:hAnsi="仿宋" w:eastAsia="仿宋" w:cs="Times New Roman"/>
                <w:sz w:val="24"/>
                <w:szCs w:val="24"/>
              </w:rPr>
            </w:pPr>
          </w:p>
        </w:tc>
      </w:tr>
      <w:tr w14:paraId="07A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600482">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vAlign w:val="center"/>
          </w:tcPr>
          <w:p w14:paraId="142A9BF8">
            <w:pPr>
              <w:widowControl w:val="0"/>
              <w:spacing w:line="500" w:lineRule="exact"/>
              <w:jc w:val="center"/>
              <w:rPr>
                <w:rFonts w:ascii="仿宋" w:hAnsi="仿宋" w:eastAsia="仿宋" w:cs="Times New Roman"/>
                <w:sz w:val="24"/>
                <w:szCs w:val="24"/>
              </w:rPr>
            </w:pPr>
          </w:p>
        </w:tc>
        <w:tc>
          <w:tcPr>
            <w:tcW w:w="733" w:type="pct"/>
            <w:vAlign w:val="center"/>
          </w:tcPr>
          <w:p w14:paraId="07AC48DA">
            <w:pPr>
              <w:widowControl w:val="0"/>
              <w:spacing w:line="500" w:lineRule="exact"/>
              <w:jc w:val="center"/>
              <w:rPr>
                <w:rFonts w:ascii="仿宋" w:hAnsi="仿宋" w:eastAsia="仿宋" w:cs="Times New Roman"/>
                <w:sz w:val="24"/>
                <w:szCs w:val="24"/>
              </w:rPr>
            </w:pPr>
          </w:p>
        </w:tc>
        <w:tc>
          <w:tcPr>
            <w:tcW w:w="1063" w:type="pct"/>
            <w:vAlign w:val="center"/>
          </w:tcPr>
          <w:p w14:paraId="5564EA9B">
            <w:pPr>
              <w:widowControl w:val="0"/>
              <w:spacing w:line="500" w:lineRule="exact"/>
              <w:jc w:val="center"/>
              <w:rPr>
                <w:rFonts w:ascii="仿宋" w:hAnsi="仿宋" w:eastAsia="仿宋" w:cs="Times New Roman"/>
                <w:sz w:val="24"/>
                <w:szCs w:val="24"/>
              </w:rPr>
            </w:pPr>
          </w:p>
        </w:tc>
        <w:tc>
          <w:tcPr>
            <w:tcW w:w="1394" w:type="pct"/>
            <w:vAlign w:val="center"/>
          </w:tcPr>
          <w:p w14:paraId="15B92447">
            <w:pPr>
              <w:widowControl w:val="0"/>
              <w:spacing w:line="500" w:lineRule="exact"/>
              <w:jc w:val="center"/>
              <w:rPr>
                <w:rFonts w:ascii="仿宋" w:hAnsi="仿宋" w:eastAsia="仿宋" w:cs="Times New Roman"/>
                <w:sz w:val="24"/>
                <w:szCs w:val="24"/>
              </w:rPr>
            </w:pPr>
          </w:p>
        </w:tc>
      </w:tr>
      <w:tr w14:paraId="165D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F4F2622">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14:paraId="14D52A2D">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14:paraId="5C4D7E96">
      <w:pPr>
        <w:spacing w:line="500" w:lineRule="exact"/>
        <w:ind w:firstLine="566" w:firstLineChars="200"/>
        <w:rPr>
          <w:rFonts w:ascii="仿宋" w:hAnsi="仿宋" w:eastAsia="仿宋" w:cs="Times New Roman"/>
          <w:bCs/>
        </w:rPr>
      </w:pPr>
      <w:r>
        <w:rPr>
          <w:rFonts w:ascii="仿宋" w:hAnsi="仿宋" w:eastAsia="仿宋" w:cs="Times New Roman"/>
          <w:bCs/>
        </w:rPr>
        <w:t>1、项目团队情况概述</w:t>
      </w:r>
    </w:p>
    <w:p w14:paraId="5C2D4A9C">
      <w:pPr>
        <w:spacing w:line="500" w:lineRule="exact"/>
        <w:ind w:firstLine="566" w:firstLineChars="200"/>
        <w:rPr>
          <w:rFonts w:ascii="仿宋" w:hAnsi="仿宋" w:eastAsia="仿宋" w:cs="Times New Roman"/>
          <w:bCs/>
        </w:rPr>
      </w:pPr>
      <w:r>
        <w:rPr>
          <w:rFonts w:ascii="仿宋" w:hAnsi="仿宋" w:eastAsia="仿宋" w:cs="Times New Roman"/>
          <w:bCs/>
        </w:rPr>
        <w:t>概述内容包括但不限于为本项目提供后勤服务的团队整体情况、团队负责人、联系人基本情况、背景、能力介绍等，具体内容自行编制。</w:t>
      </w:r>
    </w:p>
    <w:p w14:paraId="73BC8262">
      <w:pPr>
        <w:spacing w:line="500" w:lineRule="exact"/>
        <w:ind w:firstLine="566" w:firstLineChars="200"/>
        <w:rPr>
          <w:rFonts w:ascii="仿宋" w:hAnsi="仿宋" w:eastAsia="仿宋" w:cs="Times New Roman"/>
          <w:bCs/>
        </w:rPr>
      </w:pPr>
      <w:r>
        <w:rPr>
          <w:rFonts w:ascii="仿宋" w:hAnsi="仿宋" w:eastAsia="仿宋" w:cs="Times New Roman"/>
          <w:bCs/>
        </w:rPr>
        <w:t>2、项目行政管理团队人员清单</w:t>
      </w:r>
      <w:r>
        <w:rPr>
          <w:rFonts w:hint="eastAsia" w:ascii="仿宋" w:hAnsi="仿宋" w:eastAsia="仿宋" w:cs="Times New Roman"/>
          <w:bCs/>
        </w:rPr>
        <w:t>（仅供参考）</w:t>
      </w:r>
    </w:p>
    <w:tbl>
      <w:tblPr>
        <w:tblStyle w:val="3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9C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7C83C76C">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14:paraId="634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6FA882C">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74F46175">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70641100">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vAlign w:val="center"/>
          </w:tcPr>
          <w:p w14:paraId="2342527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vAlign w:val="center"/>
          </w:tcPr>
          <w:p w14:paraId="05AA58BD">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vAlign w:val="center"/>
          </w:tcPr>
          <w:p w14:paraId="71941387">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6FA9F71B">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vAlign w:val="center"/>
          </w:tcPr>
          <w:p w14:paraId="38ADBEA6">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726A1977">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662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D804A5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51111A99">
            <w:pPr>
              <w:spacing w:line="500" w:lineRule="exact"/>
              <w:jc w:val="center"/>
              <w:rPr>
                <w:rFonts w:ascii="仿宋" w:hAnsi="仿宋" w:eastAsia="仿宋" w:cs="Times New Roman"/>
                <w:sz w:val="24"/>
                <w:szCs w:val="24"/>
              </w:rPr>
            </w:pPr>
          </w:p>
        </w:tc>
        <w:tc>
          <w:tcPr>
            <w:tcW w:w="1260" w:type="dxa"/>
            <w:vAlign w:val="center"/>
          </w:tcPr>
          <w:p w14:paraId="05609008">
            <w:pPr>
              <w:spacing w:line="500" w:lineRule="exact"/>
              <w:jc w:val="center"/>
              <w:rPr>
                <w:rFonts w:ascii="仿宋" w:hAnsi="仿宋" w:eastAsia="仿宋" w:cs="Times New Roman"/>
                <w:sz w:val="24"/>
                <w:szCs w:val="24"/>
              </w:rPr>
            </w:pPr>
          </w:p>
        </w:tc>
        <w:tc>
          <w:tcPr>
            <w:tcW w:w="1387" w:type="dxa"/>
            <w:gridSpan w:val="2"/>
            <w:vAlign w:val="center"/>
          </w:tcPr>
          <w:p w14:paraId="33AE6F30">
            <w:pPr>
              <w:spacing w:line="500" w:lineRule="exact"/>
              <w:jc w:val="center"/>
              <w:rPr>
                <w:rFonts w:ascii="仿宋" w:hAnsi="仿宋" w:eastAsia="仿宋" w:cs="Times New Roman"/>
                <w:sz w:val="24"/>
                <w:szCs w:val="24"/>
              </w:rPr>
            </w:pPr>
          </w:p>
        </w:tc>
        <w:tc>
          <w:tcPr>
            <w:tcW w:w="1604" w:type="dxa"/>
            <w:gridSpan w:val="3"/>
            <w:vAlign w:val="center"/>
          </w:tcPr>
          <w:p w14:paraId="10A05E67">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3BF648F">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B14B64B">
            <w:pPr>
              <w:spacing w:line="500" w:lineRule="exact"/>
              <w:jc w:val="center"/>
              <w:rPr>
                <w:rFonts w:ascii="仿宋" w:hAnsi="仿宋" w:eastAsia="仿宋" w:cs="Times New Roman"/>
                <w:sz w:val="24"/>
                <w:szCs w:val="24"/>
              </w:rPr>
            </w:pPr>
          </w:p>
        </w:tc>
      </w:tr>
      <w:tr w14:paraId="2B35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EF9AAB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F00A5CA">
            <w:pPr>
              <w:spacing w:line="500" w:lineRule="exact"/>
              <w:jc w:val="center"/>
              <w:rPr>
                <w:rFonts w:ascii="仿宋" w:hAnsi="仿宋" w:eastAsia="仿宋" w:cs="Times New Roman"/>
                <w:sz w:val="24"/>
                <w:szCs w:val="24"/>
              </w:rPr>
            </w:pPr>
          </w:p>
        </w:tc>
        <w:tc>
          <w:tcPr>
            <w:tcW w:w="1260" w:type="dxa"/>
            <w:vAlign w:val="center"/>
          </w:tcPr>
          <w:p w14:paraId="52AB13BC">
            <w:pPr>
              <w:spacing w:line="500" w:lineRule="exact"/>
              <w:jc w:val="center"/>
              <w:rPr>
                <w:rFonts w:ascii="仿宋" w:hAnsi="仿宋" w:eastAsia="仿宋" w:cs="Times New Roman"/>
                <w:sz w:val="24"/>
                <w:szCs w:val="24"/>
              </w:rPr>
            </w:pPr>
          </w:p>
        </w:tc>
        <w:tc>
          <w:tcPr>
            <w:tcW w:w="1387" w:type="dxa"/>
            <w:gridSpan w:val="2"/>
            <w:vAlign w:val="center"/>
          </w:tcPr>
          <w:p w14:paraId="0BAB3854">
            <w:pPr>
              <w:spacing w:line="500" w:lineRule="exact"/>
              <w:jc w:val="center"/>
              <w:rPr>
                <w:rFonts w:ascii="仿宋" w:hAnsi="仿宋" w:eastAsia="仿宋" w:cs="Times New Roman"/>
                <w:sz w:val="24"/>
                <w:szCs w:val="24"/>
              </w:rPr>
            </w:pPr>
          </w:p>
        </w:tc>
        <w:tc>
          <w:tcPr>
            <w:tcW w:w="1604" w:type="dxa"/>
            <w:gridSpan w:val="3"/>
            <w:vAlign w:val="center"/>
          </w:tcPr>
          <w:p w14:paraId="2F62ACA0">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0CFB884">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9571560">
            <w:pPr>
              <w:spacing w:line="500" w:lineRule="exact"/>
              <w:jc w:val="center"/>
              <w:rPr>
                <w:rFonts w:ascii="仿宋" w:hAnsi="仿宋" w:eastAsia="仿宋" w:cs="Times New Roman"/>
                <w:sz w:val="24"/>
                <w:szCs w:val="24"/>
              </w:rPr>
            </w:pPr>
          </w:p>
        </w:tc>
      </w:tr>
      <w:tr w14:paraId="59F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972A2B7">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14:paraId="34B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702B33B">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35177982">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48E12E08">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vAlign w:val="center"/>
          </w:tcPr>
          <w:p w14:paraId="1A813F68">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vAlign w:val="center"/>
          </w:tcPr>
          <w:p w14:paraId="75ACDCF8">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vAlign w:val="center"/>
          </w:tcPr>
          <w:p w14:paraId="10245C72">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524C1C5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3E6F8AF5">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1685DD7F">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2B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D71BE1A">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6DE2D1B">
            <w:pPr>
              <w:spacing w:line="500" w:lineRule="exact"/>
              <w:jc w:val="center"/>
              <w:rPr>
                <w:rFonts w:ascii="仿宋" w:hAnsi="仿宋" w:eastAsia="仿宋" w:cs="Times New Roman"/>
                <w:sz w:val="24"/>
                <w:szCs w:val="24"/>
              </w:rPr>
            </w:pPr>
          </w:p>
        </w:tc>
        <w:tc>
          <w:tcPr>
            <w:tcW w:w="1260" w:type="dxa"/>
            <w:vAlign w:val="center"/>
          </w:tcPr>
          <w:p w14:paraId="4489C83A">
            <w:pPr>
              <w:spacing w:line="500" w:lineRule="exact"/>
              <w:jc w:val="center"/>
              <w:rPr>
                <w:rFonts w:ascii="仿宋" w:hAnsi="仿宋" w:eastAsia="仿宋" w:cs="Times New Roman"/>
                <w:sz w:val="24"/>
                <w:szCs w:val="24"/>
              </w:rPr>
            </w:pPr>
          </w:p>
        </w:tc>
        <w:tc>
          <w:tcPr>
            <w:tcW w:w="1404" w:type="dxa"/>
            <w:gridSpan w:val="3"/>
            <w:vAlign w:val="center"/>
          </w:tcPr>
          <w:p w14:paraId="0A820E33">
            <w:pPr>
              <w:spacing w:line="500" w:lineRule="exact"/>
              <w:jc w:val="center"/>
              <w:rPr>
                <w:rFonts w:ascii="仿宋" w:hAnsi="仿宋" w:eastAsia="仿宋" w:cs="Times New Roman"/>
                <w:sz w:val="24"/>
                <w:szCs w:val="24"/>
              </w:rPr>
            </w:pPr>
          </w:p>
        </w:tc>
        <w:tc>
          <w:tcPr>
            <w:tcW w:w="1587" w:type="dxa"/>
            <w:gridSpan w:val="2"/>
            <w:vAlign w:val="center"/>
          </w:tcPr>
          <w:p w14:paraId="369FAAA1">
            <w:pPr>
              <w:spacing w:line="500" w:lineRule="exact"/>
              <w:jc w:val="center"/>
              <w:rPr>
                <w:rFonts w:ascii="仿宋" w:hAnsi="仿宋" w:eastAsia="仿宋" w:cs="Times New Roman"/>
                <w:sz w:val="24"/>
                <w:szCs w:val="24"/>
              </w:rPr>
            </w:pPr>
          </w:p>
        </w:tc>
        <w:tc>
          <w:tcPr>
            <w:tcW w:w="1782" w:type="dxa"/>
            <w:gridSpan w:val="2"/>
            <w:vAlign w:val="center"/>
          </w:tcPr>
          <w:p w14:paraId="04C9051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5D4A8B3B">
            <w:pPr>
              <w:spacing w:line="500" w:lineRule="exact"/>
              <w:jc w:val="center"/>
              <w:rPr>
                <w:rFonts w:ascii="仿宋" w:hAnsi="仿宋" w:eastAsia="仿宋" w:cs="Times New Roman"/>
                <w:sz w:val="24"/>
                <w:szCs w:val="24"/>
              </w:rPr>
            </w:pPr>
          </w:p>
        </w:tc>
      </w:tr>
      <w:tr w14:paraId="538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A866CA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4D598738">
            <w:pPr>
              <w:spacing w:line="500" w:lineRule="exact"/>
              <w:jc w:val="center"/>
              <w:rPr>
                <w:rFonts w:ascii="仿宋" w:hAnsi="仿宋" w:eastAsia="仿宋" w:cs="Times New Roman"/>
                <w:sz w:val="24"/>
                <w:szCs w:val="24"/>
              </w:rPr>
            </w:pPr>
          </w:p>
        </w:tc>
        <w:tc>
          <w:tcPr>
            <w:tcW w:w="1260" w:type="dxa"/>
            <w:vAlign w:val="center"/>
          </w:tcPr>
          <w:p w14:paraId="60FAC693">
            <w:pPr>
              <w:spacing w:line="500" w:lineRule="exact"/>
              <w:jc w:val="center"/>
              <w:rPr>
                <w:rFonts w:ascii="仿宋" w:hAnsi="仿宋" w:eastAsia="仿宋" w:cs="Times New Roman"/>
                <w:sz w:val="24"/>
                <w:szCs w:val="24"/>
              </w:rPr>
            </w:pPr>
          </w:p>
        </w:tc>
        <w:tc>
          <w:tcPr>
            <w:tcW w:w="1404" w:type="dxa"/>
            <w:gridSpan w:val="3"/>
            <w:vAlign w:val="center"/>
          </w:tcPr>
          <w:p w14:paraId="6B2A3E65">
            <w:pPr>
              <w:spacing w:line="500" w:lineRule="exact"/>
              <w:jc w:val="center"/>
              <w:rPr>
                <w:rFonts w:ascii="仿宋" w:hAnsi="仿宋" w:eastAsia="仿宋" w:cs="Times New Roman"/>
                <w:sz w:val="24"/>
                <w:szCs w:val="24"/>
              </w:rPr>
            </w:pPr>
          </w:p>
        </w:tc>
        <w:tc>
          <w:tcPr>
            <w:tcW w:w="1587" w:type="dxa"/>
            <w:gridSpan w:val="2"/>
            <w:vAlign w:val="center"/>
          </w:tcPr>
          <w:p w14:paraId="1057BA92">
            <w:pPr>
              <w:spacing w:line="500" w:lineRule="exact"/>
              <w:jc w:val="center"/>
              <w:rPr>
                <w:rFonts w:ascii="仿宋" w:hAnsi="仿宋" w:eastAsia="仿宋" w:cs="Times New Roman"/>
                <w:sz w:val="24"/>
                <w:szCs w:val="24"/>
              </w:rPr>
            </w:pPr>
          </w:p>
        </w:tc>
        <w:tc>
          <w:tcPr>
            <w:tcW w:w="1782" w:type="dxa"/>
            <w:gridSpan w:val="2"/>
            <w:vAlign w:val="center"/>
          </w:tcPr>
          <w:p w14:paraId="2F903C4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0FE9989">
            <w:pPr>
              <w:spacing w:line="500" w:lineRule="exact"/>
              <w:jc w:val="center"/>
              <w:rPr>
                <w:rFonts w:ascii="仿宋" w:hAnsi="仿宋" w:eastAsia="仿宋" w:cs="Times New Roman"/>
                <w:sz w:val="24"/>
                <w:szCs w:val="24"/>
              </w:rPr>
            </w:pPr>
          </w:p>
        </w:tc>
      </w:tr>
      <w:tr w14:paraId="612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5CAD37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3D63C5B7">
            <w:pPr>
              <w:spacing w:line="500" w:lineRule="exact"/>
              <w:jc w:val="center"/>
              <w:rPr>
                <w:rFonts w:ascii="仿宋" w:hAnsi="仿宋" w:eastAsia="仿宋" w:cs="Times New Roman"/>
                <w:sz w:val="24"/>
                <w:szCs w:val="24"/>
              </w:rPr>
            </w:pPr>
          </w:p>
        </w:tc>
        <w:tc>
          <w:tcPr>
            <w:tcW w:w="1260" w:type="dxa"/>
            <w:vAlign w:val="center"/>
          </w:tcPr>
          <w:p w14:paraId="7A1BC310">
            <w:pPr>
              <w:spacing w:line="500" w:lineRule="exact"/>
              <w:jc w:val="center"/>
              <w:rPr>
                <w:rFonts w:ascii="仿宋" w:hAnsi="仿宋" w:eastAsia="仿宋" w:cs="Times New Roman"/>
                <w:sz w:val="24"/>
                <w:szCs w:val="24"/>
              </w:rPr>
            </w:pPr>
          </w:p>
        </w:tc>
        <w:tc>
          <w:tcPr>
            <w:tcW w:w="1404" w:type="dxa"/>
            <w:gridSpan w:val="3"/>
            <w:vAlign w:val="center"/>
          </w:tcPr>
          <w:p w14:paraId="7F25C63D">
            <w:pPr>
              <w:spacing w:line="500" w:lineRule="exact"/>
              <w:jc w:val="center"/>
              <w:rPr>
                <w:rFonts w:ascii="仿宋" w:hAnsi="仿宋" w:eastAsia="仿宋" w:cs="Times New Roman"/>
                <w:sz w:val="24"/>
                <w:szCs w:val="24"/>
              </w:rPr>
            </w:pPr>
          </w:p>
        </w:tc>
        <w:tc>
          <w:tcPr>
            <w:tcW w:w="1587" w:type="dxa"/>
            <w:gridSpan w:val="2"/>
            <w:vAlign w:val="center"/>
          </w:tcPr>
          <w:p w14:paraId="16050EA0">
            <w:pPr>
              <w:spacing w:line="500" w:lineRule="exact"/>
              <w:jc w:val="center"/>
              <w:rPr>
                <w:rFonts w:ascii="仿宋" w:hAnsi="仿宋" w:eastAsia="仿宋" w:cs="Times New Roman"/>
                <w:sz w:val="24"/>
                <w:szCs w:val="24"/>
              </w:rPr>
            </w:pPr>
          </w:p>
        </w:tc>
        <w:tc>
          <w:tcPr>
            <w:tcW w:w="1782" w:type="dxa"/>
            <w:gridSpan w:val="2"/>
            <w:vAlign w:val="center"/>
          </w:tcPr>
          <w:p w14:paraId="2F78379B">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24904F26">
            <w:pPr>
              <w:spacing w:line="500" w:lineRule="exact"/>
              <w:jc w:val="center"/>
              <w:rPr>
                <w:rFonts w:ascii="仿宋" w:hAnsi="仿宋" w:eastAsia="仿宋" w:cs="Times New Roman"/>
                <w:sz w:val="24"/>
                <w:szCs w:val="24"/>
              </w:rPr>
            </w:pPr>
          </w:p>
        </w:tc>
      </w:tr>
      <w:tr w14:paraId="0D5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4EA6CC37">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14:paraId="3A0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06E0988">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22F8C12F">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vAlign w:val="center"/>
          </w:tcPr>
          <w:p w14:paraId="611EFF50">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vAlign w:val="center"/>
          </w:tcPr>
          <w:p w14:paraId="5AA0791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vAlign w:val="center"/>
          </w:tcPr>
          <w:p w14:paraId="5C52CC88">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vAlign w:val="center"/>
          </w:tcPr>
          <w:p w14:paraId="77D371DB">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71129CD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2C7B7F13">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661D08E8">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5DA4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AE4D61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21564D0">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32CAF5E">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4DC2BEF1">
            <w:pPr>
              <w:spacing w:line="500" w:lineRule="exact"/>
              <w:jc w:val="center"/>
              <w:rPr>
                <w:rFonts w:ascii="仿宋" w:hAnsi="仿宋" w:eastAsia="仿宋" w:cs="Times New Roman"/>
                <w:sz w:val="24"/>
                <w:szCs w:val="24"/>
              </w:rPr>
            </w:pPr>
          </w:p>
        </w:tc>
        <w:tc>
          <w:tcPr>
            <w:tcW w:w="1581" w:type="dxa"/>
            <w:vAlign w:val="center"/>
          </w:tcPr>
          <w:p w14:paraId="59B9A544">
            <w:pPr>
              <w:spacing w:line="500" w:lineRule="exact"/>
              <w:jc w:val="center"/>
              <w:rPr>
                <w:rFonts w:ascii="仿宋" w:hAnsi="仿宋" w:eastAsia="仿宋" w:cs="Times New Roman"/>
                <w:sz w:val="24"/>
                <w:szCs w:val="24"/>
              </w:rPr>
            </w:pPr>
          </w:p>
        </w:tc>
        <w:tc>
          <w:tcPr>
            <w:tcW w:w="1782" w:type="dxa"/>
            <w:gridSpan w:val="2"/>
            <w:vAlign w:val="center"/>
          </w:tcPr>
          <w:p w14:paraId="34B71713">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AC514EB">
            <w:pPr>
              <w:spacing w:line="500" w:lineRule="exact"/>
              <w:jc w:val="center"/>
              <w:rPr>
                <w:rFonts w:ascii="仿宋" w:hAnsi="仿宋" w:eastAsia="仿宋" w:cs="Times New Roman"/>
                <w:sz w:val="24"/>
                <w:szCs w:val="24"/>
              </w:rPr>
            </w:pPr>
          </w:p>
        </w:tc>
      </w:tr>
      <w:tr w14:paraId="4D29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361BA3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1F2176E">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73D4DC2">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6DF2F67A">
            <w:pPr>
              <w:spacing w:line="500" w:lineRule="exact"/>
              <w:jc w:val="center"/>
              <w:rPr>
                <w:rFonts w:ascii="仿宋" w:hAnsi="仿宋" w:eastAsia="仿宋" w:cs="Times New Roman"/>
                <w:sz w:val="24"/>
                <w:szCs w:val="24"/>
              </w:rPr>
            </w:pPr>
          </w:p>
        </w:tc>
        <w:tc>
          <w:tcPr>
            <w:tcW w:w="1581" w:type="dxa"/>
            <w:vAlign w:val="center"/>
          </w:tcPr>
          <w:p w14:paraId="5BD6F115">
            <w:pPr>
              <w:spacing w:line="500" w:lineRule="exact"/>
              <w:jc w:val="center"/>
              <w:rPr>
                <w:rFonts w:ascii="仿宋" w:hAnsi="仿宋" w:eastAsia="仿宋" w:cs="Times New Roman"/>
                <w:sz w:val="24"/>
                <w:szCs w:val="24"/>
              </w:rPr>
            </w:pPr>
          </w:p>
        </w:tc>
        <w:tc>
          <w:tcPr>
            <w:tcW w:w="1782" w:type="dxa"/>
            <w:gridSpan w:val="2"/>
            <w:vAlign w:val="center"/>
          </w:tcPr>
          <w:p w14:paraId="4F246288">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522A65C">
            <w:pPr>
              <w:spacing w:line="500" w:lineRule="exact"/>
              <w:jc w:val="center"/>
              <w:rPr>
                <w:rFonts w:ascii="仿宋" w:hAnsi="仿宋" w:eastAsia="仿宋" w:cs="Times New Roman"/>
                <w:sz w:val="24"/>
                <w:szCs w:val="24"/>
              </w:rPr>
            </w:pPr>
          </w:p>
        </w:tc>
      </w:tr>
      <w:tr w14:paraId="272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19BB06C">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703AFB0B">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575958F8">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1C3B770A">
            <w:pPr>
              <w:spacing w:line="500" w:lineRule="exact"/>
              <w:jc w:val="center"/>
              <w:rPr>
                <w:rFonts w:ascii="仿宋" w:hAnsi="仿宋" w:eastAsia="仿宋" w:cs="Times New Roman"/>
                <w:sz w:val="24"/>
                <w:szCs w:val="24"/>
              </w:rPr>
            </w:pPr>
          </w:p>
        </w:tc>
        <w:tc>
          <w:tcPr>
            <w:tcW w:w="1581" w:type="dxa"/>
            <w:vAlign w:val="center"/>
          </w:tcPr>
          <w:p w14:paraId="54929E19">
            <w:pPr>
              <w:spacing w:line="500" w:lineRule="exact"/>
              <w:jc w:val="center"/>
              <w:rPr>
                <w:rFonts w:ascii="仿宋" w:hAnsi="仿宋" w:eastAsia="仿宋" w:cs="Times New Roman"/>
                <w:sz w:val="24"/>
                <w:szCs w:val="24"/>
              </w:rPr>
            </w:pPr>
          </w:p>
        </w:tc>
        <w:tc>
          <w:tcPr>
            <w:tcW w:w="1782" w:type="dxa"/>
            <w:gridSpan w:val="2"/>
            <w:vAlign w:val="center"/>
          </w:tcPr>
          <w:p w14:paraId="0E127C6F">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1A5596E9">
            <w:pPr>
              <w:spacing w:line="500" w:lineRule="exact"/>
              <w:jc w:val="center"/>
              <w:rPr>
                <w:rFonts w:ascii="仿宋" w:hAnsi="仿宋" w:eastAsia="仿宋" w:cs="Times New Roman"/>
                <w:sz w:val="24"/>
                <w:szCs w:val="24"/>
              </w:rPr>
            </w:pPr>
          </w:p>
        </w:tc>
      </w:tr>
      <w:tr w14:paraId="790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0AF78346">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6061AD3A">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14:paraId="306B0543">
      <w:pPr>
        <w:spacing w:line="500" w:lineRule="exact"/>
        <w:rPr>
          <w:rFonts w:ascii="仿宋" w:hAnsi="仿宋" w:eastAsia="仿宋" w:cs="Times New Roman"/>
        </w:rPr>
      </w:pPr>
    </w:p>
    <w:p w14:paraId="3CF1C0AD">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0A78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vAlign w:val="center"/>
          </w:tcPr>
          <w:p w14:paraId="19CCCD06">
            <w:pPr>
              <w:pStyle w:val="25"/>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vAlign w:val="center"/>
          </w:tcPr>
          <w:p w14:paraId="70C9164B">
            <w:pPr>
              <w:pStyle w:val="25"/>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vAlign w:val="center"/>
          </w:tcPr>
          <w:p w14:paraId="30D4D2FF">
            <w:pPr>
              <w:pStyle w:val="25"/>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vAlign w:val="center"/>
          </w:tcPr>
          <w:p w14:paraId="5720E88A">
            <w:pPr>
              <w:pStyle w:val="25"/>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vAlign w:val="center"/>
          </w:tcPr>
          <w:p w14:paraId="4A5ED5CE">
            <w:pPr>
              <w:pStyle w:val="25"/>
              <w:spacing w:line="500" w:lineRule="exact"/>
              <w:jc w:val="center"/>
              <w:rPr>
                <w:rFonts w:ascii="仿宋" w:hAnsi="仿宋" w:eastAsia="仿宋" w:cs="Times New Roman"/>
                <w:b/>
                <w:bCs/>
              </w:rPr>
            </w:pPr>
            <w:r>
              <w:rPr>
                <w:rFonts w:ascii="仿宋" w:hAnsi="仿宋" w:eastAsia="仿宋" w:cs="Times New Roman"/>
                <w:b/>
                <w:bCs/>
              </w:rPr>
              <w:t>备注</w:t>
            </w:r>
          </w:p>
        </w:tc>
      </w:tr>
      <w:tr w14:paraId="53E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vAlign w:val="center"/>
          </w:tcPr>
          <w:p w14:paraId="6CCAFB61">
            <w:pPr>
              <w:pStyle w:val="25"/>
              <w:spacing w:line="500" w:lineRule="exact"/>
              <w:jc w:val="center"/>
              <w:rPr>
                <w:rFonts w:ascii="仿宋" w:hAnsi="仿宋" w:eastAsia="仿宋" w:cs="Times New Roman"/>
              </w:rPr>
            </w:pPr>
          </w:p>
        </w:tc>
        <w:tc>
          <w:tcPr>
            <w:tcW w:w="924" w:type="pct"/>
            <w:vMerge w:val="continue"/>
            <w:vAlign w:val="center"/>
          </w:tcPr>
          <w:p w14:paraId="6F9F15D8">
            <w:pPr>
              <w:pStyle w:val="25"/>
              <w:spacing w:line="500" w:lineRule="exact"/>
              <w:jc w:val="center"/>
              <w:rPr>
                <w:rFonts w:ascii="仿宋" w:hAnsi="仿宋" w:eastAsia="仿宋" w:cs="Times New Roman"/>
              </w:rPr>
            </w:pPr>
          </w:p>
        </w:tc>
        <w:tc>
          <w:tcPr>
            <w:tcW w:w="1681" w:type="pct"/>
            <w:vMerge w:val="continue"/>
            <w:vAlign w:val="center"/>
          </w:tcPr>
          <w:p w14:paraId="008E8014">
            <w:pPr>
              <w:pStyle w:val="25"/>
              <w:spacing w:line="500" w:lineRule="exact"/>
              <w:jc w:val="center"/>
              <w:rPr>
                <w:rFonts w:ascii="仿宋" w:hAnsi="仿宋" w:eastAsia="仿宋" w:cs="Times New Roman"/>
              </w:rPr>
            </w:pPr>
          </w:p>
        </w:tc>
        <w:tc>
          <w:tcPr>
            <w:tcW w:w="1303" w:type="pct"/>
            <w:vMerge w:val="continue"/>
            <w:vAlign w:val="center"/>
          </w:tcPr>
          <w:p w14:paraId="51B80DFB">
            <w:pPr>
              <w:pStyle w:val="25"/>
              <w:spacing w:line="500" w:lineRule="exact"/>
              <w:jc w:val="center"/>
              <w:rPr>
                <w:rFonts w:ascii="仿宋" w:hAnsi="仿宋" w:eastAsia="仿宋" w:cs="Times New Roman"/>
              </w:rPr>
            </w:pPr>
          </w:p>
        </w:tc>
        <w:tc>
          <w:tcPr>
            <w:tcW w:w="546" w:type="pct"/>
            <w:vMerge w:val="continue"/>
            <w:vAlign w:val="center"/>
          </w:tcPr>
          <w:p w14:paraId="7C48ACB7">
            <w:pPr>
              <w:pStyle w:val="25"/>
              <w:spacing w:line="500" w:lineRule="exact"/>
              <w:jc w:val="center"/>
              <w:rPr>
                <w:rFonts w:ascii="仿宋" w:hAnsi="仿宋" w:eastAsia="仿宋" w:cs="Times New Roman"/>
              </w:rPr>
            </w:pPr>
          </w:p>
        </w:tc>
      </w:tr>
      <w:tr w14:paraId="7A2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9E2608">
            <w:pPr>
              <w:pStyle w:val="25"/>
              <w:spacing w:line="500" w:lineRule="exact"/>
              <w:jc w:val="center"/>
              <w:rPr>
                <w:rFonts w:ascii="仿宋" w:hAnsi="仿宋" w:eastAsia="仿宋" w:cs="Times New Roman"/>
              </w:rPr>
            </w:pPr>
            <w:r>
              <w:rPr>
                <w:rFonts w:ascii="仿宋" w:hAnsi="仿宋" w:eastAsia="仿宋" w:cs="Times New Roman"/>
              </w:rPr>
              <w:t>1</w:t>
            </w:r>
          </w:p>
        </w:tc>
        <w:tc>
          <w:tcPr>
            <w:tcW w:w="924" w:type="pct"/>
            <w:vAlign w:val="center"/>
          </w:tcPr>
          <w:p w14:paraId="064DEB5E">
            <w:pPr>
              <w:pStyle w:val="25"/>
              <w:spacing w:line="500" w:lineRule="exact"/>
              <w:jc w:val="center"/>
              <w:rPr>
                <w:rFonts w:ascii="仿宋" w:hAnsi="仿宋" w:eastAsia="仿宋" w:cs="Times New Roman"/>
              </w:rPr>
            </w:pPr>
          </w:p>
        </w:tc>
        <w:tc>
          <w:tcPr>
            <w:tcW w:w="1681" w:type="pct"/>
            <w:vAlign w:val="center"/>
          </w:tcPr>
          <w:p w14:paraId="48E3A804">
            <w:pPr>
              <w:pStyle w:val="25"/>
              <w:spacing w:line="500" w:lineRule="exact"/>
              <w:jc w:val="center"/>
              <w:rPr>
                <w:rFonts w:ascii="仿宋" w:hAnsi="仿宋" w:eastAsia="仿宋" w:cs="Times New Roman"/>
              </w:rPr>
            </w:pPr>
          </w:p>
        </w:tc>
        <w:tc>
          <w:tcPr>
            <w:tcW w:w="1303" w:type="pct"/>
            <w:vAlign w:val="center"/>
          </w:tcPr>
          <w:p w14:paraId="2FBF4E2B">
            <w:pPr>
              <w:pStyle w:val="25"/>
              <w:spacing w:line="500" w:lineRule="exact"/>
              <w:jc w:val="center"/>
              <w:rPr>
                <w:rFonts w:ascii="仿宋" w:hAnsi="仿宋" w:eastAsia="仿宋" w:cs="Times New Roman"/>
              </w:rPr>
            </w:pPr>
          </w:p>
        </w:tc>
        <w:tc>
          <w:tcPr>
            <w:tcW w:w="546" w:type="pct"/>
            <w:vAlign w:val="center"/>
          </w:tcPr>
          <w:p w14:paraId="18FB0137">
            <w:pPr>
              <w:pStyle w:val="25"/>
              <w:spacing w:line="500" w:lineRule="exact"/>
              <w:jc w:val="center"/>
              <w:rPr>
                <w:rFonts w:ascii="仿宋" w:hAnsi="仿宋" w:eastAsia="仿宋" w:cs="Times New Roman"/>
              </w:rPr>
            </w:pPr>
          </w:p>
        </w:tc>
      </w:tr>
      <w:tr w14:paraId="52BE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10D60292">
            <w:pPr>
              <w:pStyle w:val="25"/>
              <w:spacing w:line="500" w:lineRule="exact"/>
              <w:jc w:val="center"/>
              <w:rPr>
                <w:rFonts w:ascii="仿宋" w:hAnsi="仿宋" w:eastAsia="仿宋" w:cs="Times New Roman"/>
              </w:rPr>
            </w:pPr>
            <w:r>
              <w:rPr>
                <w:rFonts w:ascii="仿宋" w:hAnsi="仿宋" w:eastAsia="仿宋" w:cs="Times New Roman"/>
              </w:rPr>
              <w:t>2</w:t>
            </w:r>
          </w:p>
        </w:tc>
        <w:tc>
          <w:tcPr>
            <w:tcW w:w="924" w:type="pct"/>
            <w:vAlign w:val="center"/>
          </w:tcPr>
          <w:p w14:paraId="72F5C897">
            <w:pPr>
              <w:pStyle w:val="25"/>
              <w:spacing w:line="500" w:lineRule="exact"/>
              <w:jc w:val="center"/>
              <w:rPr>
                <w:rFonts w:ascii="仿宋" w:hAnsi="仿宋" w:eastAsia="仿宋" w:cs="Times New Roman"/>
              </w:rPr>
            </w:pPr>
          </w:p>
        </w:tc>
        <w:tc>
          <w:tcPr>
            <w:tcW w:w="1681" w:type="pct"/>
            <w:vAlign w:val="center"/>
          </w:tcPr>
          <w:p w14:paraId="0BEFA14F">
            <w:pPr>
              <w:pStyle w:val="25"/>
              <w:spacing w:line="500" w:lineRule="exact"/>
              <w:jc w:val="center"/>
              <w:rPr>
                <w:rFonts w:ascii="仿宋" w:hAnsi="仿宋" w:eastAsia="仿宋" w:cs="Times New Roman"/>
              </w:rPr>
            </w:pPr>
          </w:p>
        </w:tc>
        <w:tc>
          <w:tcPr>
            <w:tcW w:w="1303" w:type="pct"/>
            <w:vAlign w:val="center"/>
          </w:tcPr>
          <w:p w14:paraId="6776490B">
            <w:pPr>
              <w:pStyle w:val="25"/>
              <w:spacing w:line="500" w:lineRule="exact"/>
              <w:jc w:val="center"/>
              <w:rPr>
                <w:rFonts w:ascii="仿宋" w:hAnsi="仿宋" w:eastAsia="仿宋" w:cs="Times New Roman"/>
              </w:rPr>
            </w:pPr>
          </w:p>
        </w:tc>
        <w:tc>
          <w:tcPr>
            <w:tcW w:w="546" w:type="pct"/>
            <w:vAlign w:val="center"/>
          </w:tcPr>
          <w:p w14:paraId="1548A178">
            <w:pPr>
              <w:pStyle w:val="25"/>
              <w:spacing w:line="500" w:lineRule="exact"/>
              <w:jc w:val="center"/>
              <w:rPr>
                <w:rFonts w:ascii="仿宋" w:hAnsi="仿宋" w:eastAsia="仿宋" w:cs="Times New Roman"/>
              </w:rPr>
            </w:pPr>
          </w:p>
        </w:tc>
      </w:tr>
      <w:tr w14:paraId="48E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1BD06A0">
            <w:pPr>
              <w:pStyle w:val="25"/>
              <w:spacing w:line="500" w:lineRule="exact"/>
              <w:jc w:val="center"/>
              <w:rPr>
                <w:rFonts w:ascii="仿宋" w:hAnsi="仿宋" w:eastAsia="仿宋" w:cs="Times New Roman"/>
              </w:rPr>
            </w:pPr>
            <w:r>
              <w:rPr>
                <w:rFonts w:ascii="仿宋" w:hAnsi="仿宋" w:eastAsia="仿宋" w:cs="Times New Roman"/>
              </w:rPr>
              <w:t>3</w:t>
            </w:r>
          </w:p>
        </w:tc>
        <w:tc>
          <w:tcPr>
            <w:tcW w:w="924" w:type="pct"/>
            <w:vAlign w:val="center"/>
          </w:tcPr>
          <w:p w14:paraId="12C48616">
            <w:pPr>
              <w:pStyle w:val="25"/>
              <w:spacing w:line="500" w:lineRule="exact"/>
              <w:jc w:val="center"/>
              <w:rPr>
                <w:rFonts w:ascii="仿宋" w:hAnsi="仿宋" w:eastAsia="仿宋" w:cs="Times New Roman"/>
              </w:rPr>
            </w:pPr>
          </w:p>
        </w:tc>
        <w:tc>
          <w:tcPr>
            <w:tcW w:w="1681" w:type="pct"/>
            <w:vAlign w:val="center"/>
          </w:tcPr>
          <w:p w14:paraId="66DA22B6">
            <w:pPr>
              <w:pStyle w:val="25"/>
              <w:spacing w:line="500" w:lineRule="exact"/>
              <w:jc w:val="center"/>
              <w:rPr>
                <w:rFonts w:ascii="仿宋" w:hAnsi="仿宋" w:eastAsia="仿宋" w:cs="Times New Roman"/>
              </w:rPr>
            </w:pPr>
          </w:p>
        </w:tc>
        <w:tc>
          <w:tcPr>
            <w:tcW w:w="1303" w:type="pct"/>
            <w:vAlign w:val="center"/>
          </w:tcPr>
          <w:p w14:paraId="0D7E6F92">
            <w:pPr>
              <w:pStyle w:val="25"/>
              <w:spacing w:line="500" w:lineRule="exact"/>
              <w:jc w:val="center"/>
              <w:rPr>
                <w:rFonts w:ascii="仿宋" w:hAnsi="仿宋" w:eastAsia="仿宋" w:cs="Times New Roman"/>
              </w:rPr>
            </w:pPr>
          </w:p>
        </w:tc>
        <w:tc>
          <w:tcPr>
            <w:tcW w:w="546" w:type="pct"/>
            <w:vAlign w:val="center"/>
          </w:tcPr>
          <w:p w14:paraId="34E03D28">
            <w:pPr>
              <w:pStyle w:val="25"/>
              <w:spacing w:line="500" w:lineRule="exact"/>
              <w:jc w:val="center"/>
              <w:rPr>
                <w:rFonts w:ascii="仿宋" w:hAnsi="仿宋" w:eastAsia="仿宋" w:cs="Times New Roman"/>
              </w:rPr>
            </w:pPr>
          </w:p>
        </w:tc>
      </w:tr>
      <w:tr w14:paraId="4FC7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BD909DC">
            <w:pPr>
              <w:pStyle w:val="25"/>
              <w:spacing w:line="500" w:lineRule="exact"/>
              <w:jc w:val="center"/>
              <w:rPr>
                <w:rFonts w:ascii="仿宋" w:hAnsi="仿宋" w:eastAsia="仿宋" w:cs="Times New Roman"/>
              </w:rPr>
            </w:pPr>
            <w:r>
              <w:rPr>
                <w:rFonts w:ascii="仿宋" w:hAnsi="仿宋" w:eastAsia="仿宋" w:cs="Times New Roman"/>
              </w:rPr>
              <w:t>4</w:t>
            </w:r>
          </w:p>
        </w:tc>
        <w:tc>
          <w:tcPr>
            <w:tcW w:w="924" w:type="pct"/>
            <w:vAlign w:val="center"/>
          </w:tcPr>
          <w:p w14:paraId="1FA0945B">
            <w:pPr>
              <w:pStyle w:val="25"/>
              <w:spacing w:line="500" w:lineRule="exact"/>
              <w:jc w:val="center"/>
              <w:rPr>
                <w:rFonts w:ascii="仿宋" w:hAnsi="仿宋" w:eastAsia="仿宋" w:cs="Times New Roman"/>
              </w:rPr>
            </w:pPr>
          </w:p>
        </w:tc>
        <w:tc>
          <w:tcPr>
            <w:tcW w:w="1681" w:type="pct"/>
            <w:vAlign w:val="center"/>
          </w:tcPr>
          <w:p w14:paraId="062A6551">
            <w:pPr>
              <w:pStyle w:val="25"/>
              <w:spacing w:line="500" w:lineRule="exact"/>
              <w:jc w:val="center"/>
              <w:rPr>
                <w:rFonts w:ascii="仿宋" w:hAnsi="仿宋" w:eastAsia="仿宋" w:cs="Times New Roman"/>
              </w:rPr>
            </w:pPr>
          </w:p>
        </w:tc>
        <w:tc>
          <w:tcPr>
            <w:tcW w:w="1303" w:type="pct"/>
            <w:vAlign w:val="center"/>
          </w:tcPr>
          <w:p w14:paraId="596E6024">
            <w:pPr>
              <w:pStyle w:val="25"/>
              <w:spacing w:line="500" w:lineRule="exact"/>
              <w:jc w:val="center"/>
              <w:rPr>
                <w:rFonts w:ascii="仿宋" w:hAnsi="仿宋" w:eastAsia="仿宋" w:cs="Times New Roman"/>
              </w:rPr>
            </w:pPr>
          </w:p>
        </w:tc>
        <w:tc>
          <w:tcPr>
            <w:tcW w:w="546" w:type="pct"/>
            <w:vAlign w:val="center"/>
          </w:tcPr>
          <w:p w14:paraId="4DDC88B2">
            <w:pPr>
              <w:pStyle w:val="25"/>
              <w:spacing w:line="500" w:lineRule="exact"/>
              <w:jc w:val="center"/>
              <w:rPr>
                <w:rFonts w:ascii="仿宋" w:hAnsi="仿宋" w:eastAsia="仿宋" w:cs="Times New Roman"/>
              </w:rPr>
            </w:pPr>
          </w:p>
        </w:tc>
      </w:tr>
      <w:tr w14:paraId="089C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7A07494">
            <w:pPr>
              <w:pStyle w:val="25"/>
              <w:spacing w:line="500" w:lineRule="exact"/>
              <w:jc w:val="center"/>
              <w:rPr>
                <w:rFonts w:ascii="仿宋" w:hAnsi="仿宋" w:eastAsia="仿宋" w:cs="Times New Roman"/>
              </w:rPr>
            </w:pPr>
            <w:r>
              <w:rPr>
                <w:rFonts w:ascii="仿宋" w:hAnsi="仿宋" w:eastAsia="仿宋" w:cs="Times New Roman"/>
              </w:rPr>
              <w:t>……</w:t>
            </w:r>
          </w:p>
        </w:tc>
        <w:tc>
          <w:tcPr>
            <w:tcW w:w="924" w:type="pct"/>
            <w:vAlign w:val="center"/>
          </w:tcPr>
          <w:p w14:paraId="383AEB28">
            <w:pPr>
              <w:pStyle w:val="25"/>
              <w:spacing w:line="500" w:lineRule="exact"/>
              <w:jc w:val="center"/>
              <w:rPr>
                <w:rFonts w:ascii="仿宋" w:hAnsi="仿宋" w:eastAsia="仿宋" w:cs="Times New Roman"/>
              </w:rPr>
            </w:pPr>
          </w:p>
        </w:tc>
        <w:tc>
          <w:tcPr>
            <w:tcW w:w="1681" w:type="pct"/>
            <w:vAlign w:val="center"/>
          </w:tcPr>
          <w:p w14:paraId="1E19E017">
            <w:pPr>
              <w:pStyle w:val="25"/>
              <w:spacing w:line="500" w:lineRule="exact"/>
              <w:jc w:val="center"/>
              <w:rPr>
                <w:rFonts w:ascii="仿宋" w:hAnsi="仿宋" w:eastAsia="仿宋" w:cs="Times New Roman"/>
              </w:rPr>
            </w:pPr>
          </w:p>
        </w:tc>
        <w:tc>
          <w:tcPr>
            <w:tcW w:w="1303" w:type="pct"/>
            <w:vAlign w:val="center"/>
          </w:tcPr>
          <w:p w14:paraId="4CF78CD4">
            <w:pPr>
              <w:pStyle w:val="25"/>
              <w:spacing w:line="500" w:lineRule="exact"/>
              <w:jc w:val="center"/>
              <w:rPr>
                <w:rFonts w:ascii="仿宋" w:hAnsi="仿宋" w:eastAsia="仿宋" w:cs="Times New Roman"/>
              </w:rPr>
            </w:pPr>
          </w:p>
        </w:tc>
        <w:tc>
          <w:tcPr>
            <w:tcW w:w="546" w:type="pct"/>
            <w:vAlign w:val="center"/>
          </w:tcPr>
          <w:p w14:paraId="7FFE0321">
            <w:pPr>
              <w:pStyle w:val="25"/>
              <w:spacing w:line="500" w:lineRule="exact"/>
              <w:jc w:val="center"/>
              <w:rPr>
                <w:rFonts w:ascii="仿宋" w:hAnsi="仿宋" w:eastAsia="仿宋" w:cs="Times New Roman"/>
              </w:rPr>
            </w:pPr>
          </w:p>
        </w:tc>
      </w:tr>
    </w:tbl>
    <w:p w14:paraId="2A899DA7">
      <w:pPr>
        <w:pStyle w:val="25"/>
        <w:spacing w:line="500" w:lineRule="exact"/>
        <w:rPr>
          <w:rFonts w:ascii="仿宋" w:hAnsi="仿宋" w:eastAsia="仿宋" w:cs="Times New Roman"/>
        </w:rPr>
      </w:pPr>
    </w:p>
    <w:p w14:paraId="058E9FBE">
      <w:pPr>
        <w:spacing w:line="500" w:lineRule="exact"/>
        <w:jc w:val="left"/>
        <w:rPr>
          <w:rFonts w:ascii="仿宋" w:hAnsi="仿宋" w:eastAsia="仿宋" w:cs="Times New Roman"/>
          <w:b/>
        </w:rPr>
      </w:pPr>
      <w:r>
        <w:rPr>
          <w:rFonts w:hint="eastAsia" w:ascii="仿宋" w:hAnsi="仿宋" w:eastAsia="仿宋"/>
          <w:b/>
          <w:bCs/>
        </w:rPr>
        <w:t>四</w:t>
      </w:r>
      <w:r>
        <w:rPr>
          <w:rFonts w:ascii="仿宋" w:hAnsi="仿宋" w:eastAsia="仿宋"/>
          <w:b/>
          <w:bCs/>
        </w:rPr>
        <w:t>、投标人认为有利于中标的其他情况说明</w:t>
      </w:r>
    </w:p>
    <w:p w14:paraId="246BE06D">
      <w:pPr>
        <w:pStyle w:val="25"/>
        <w:spacing w:line="500" w:lineRule="exact"/>
        <w:jc w:val="both"/>
        <w:rPr>
          <w:rFonts w:ascii="仿宋" w:hAnsi="仿宋" w:eastAsia="仿宋" w:cs="Times New Roman"/>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405F">
    <w:pPr>
      <w:pStyle w:val="19"/>
      <w:jc w:val="both"/>
    </w:pPr>
  </w:p>
  <w:p w14:paraId="594B9DD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75B8">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D4138">
                          <w:pPr>
                            <w:pStyle w:val="19"/>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18D4138">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A4FB">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29279">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04C2927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577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E4722">
                          <w:pPr>
                            <w:pStyle w:val="19"/>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4F5E4722">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F63A">
    <w:pPr>
      <w:pStyle w:val="20"/>
      <w:pBdr>
        <w:bottom w:val="none" w:color="auto" w:sz="0" w:space="0"/>
      </w:pBdr>
      <w:jc w:val="both"/>
      <w:rPr>
        <w:i/>
        <w:iCs/>
        <w:sz w:val="24"/>
        <w:szCs w:val="24"/>
        <w:u w:val="single"/>
      </w:rPr>
    </w:pPr>
    <w:r>
      <w:rPr>
        <w:rFonts w:hint="eastAsia"/>
        <w:i/>
        <w:iCs/>
        <w:sz w:val="24"/>
        <w:szCs w:val="24"/>
        <w:u w:val="single"/>
      </w:rPr>
      <w:t xml:space="preserve">                                   党政各级视频会议系统扩容加固建设服务项目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1ED5">
    <w:pPr>
      <w:pStyle w:val="20"/>
      <w:pBdr>
        <w:bottom w:val="none" w:color="auto" w:sz="0" w:space="1"/>
      </w:pBdr>
      <w:tabs>
        <w:tab w:val="left" w:pos="7732"/>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434A">
    <w:pPr>
      <w:pStyle w:val="20"/>
      <w:rPr>
        <w:i/>
        <w:iCs/>
      </w:rPr>
    </w:pPr>
    <w:r>
      <w:rPr>
        <w:rFonts w:hint="eastAsia"/>
        <w:i/>
        <w:iCs/>
        <w:lang w:val="en-US" w:eastAsia="zh-CN"/>
      </w:rPr>
      <w:t xml:space="preserve">                                                            党政各级视频会议系统扩容加固建设服务项目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F548"/>
    <w:multiLevelType w:val="singleLevel"/>
    <w:tmpl w:val="829EF548"/>
    <w:lvl w:ilvl="0" w:tentative="0">
      <w:start w:val="2"/>
      <w:numFmt w:val="decimal"/>
      <w:suff w:val="nothing"/>
      <w:lvlText w:val="%1、"/>
      <w:lvlJc w:val="left"/>
      <w:pPr>
        <w:ind w:left="240"/>
      </w:pPr>
    </w:lvl>
  </w:abstractNum>
  <w:abstractNum w:abstractNumId="1">
    <w:nsid w:val="8DBECAB3"/>
    <w:multiLevelType w:val="singleLevel"/>
    <w:tmpl w:val="8DBECAB3"/>
    <w:lvl w:ilvl="0" w:tentative="0">
      <w:start w:val="5"/>
      <w:numFmt w:val="decimal"/>
      <w:suff w:val="nothing"/>
      <w:lvlText w:val="%1、"/>
      <w:lvlJc w:val="left"/>
    </w:lvl>
  </w:abstractNum>
  <w:abstractNum w:abstractNumId="2">
    <w:nsid w:val="AA81199B"/>
    <w:multiLevelType w:val="singleLevel"/>
    <w:tmpl w:val="AA81199B"/>
    <w:lvl w:ilvl="0" w:tentative="0">
      <w:start w:val="2"/>
      <w:numFmt w:val="decimal"/>
      <w:suff w:val="nothing"/>
      <w:lvlText w:val="%1、"/>
      <w:lvlJc w:val="left"/>
      <w:pPr>
        <w:ind w:left="640" w:firstLine="0"/>
      </w:pPr>
    </w:lvl>
  </w:abstractNum>
  <w:abstractNum w:abstractNumId="3">
    <w:nsid w:val="C25869E3"/>
    <w:multiLevelType w:val="singleLevel"/>
    <w:tmpl w:val="C25869E3"/>
    <w:lvl w:ilvl="0" w:tentative="0">
      <w:start w:val="1"/>
      <w:numFmt w:val="decimal"/>
      <w:suff w:val="nothing"/>
      <w:lvlText w:val="%1、"/>
      <w:lvlJc w:val="left"/>
    </w:lvl>
  </w:abstractNum>
  <w:abstractNum w:abstractNumId="4">
    <w:nsid w:val="D9C25B3E"/>
    <w:multiLevelType w:val="singleLevel"/>
    <w:tmpl w:val="D9C25B3E"/>
    <w:lvl w:ilvl="0" w:tentative="0">
      <w:start w:val="8"/>
      <w:numFmt w:val="decimal"/>
      <w:suff w:val="nothing"/>
      <w:lvlText w:val="%1、"/>
      <w:lvlJc w:val="left"/>
    </w:lvl>
  </w:abstractNum>
  <w:abstractNum w:abstractNumId="5">
    <w:nsid w:val="E1E5AEB2"/>
    <w:multiLevelType w:val="singleLevel"/>
    <w:tmpl w:val="E1E5AEB2"/>
    <w:lvl w:ilvl="0" w:tentative="0">
      <w:start w:val="2"/>
      <w:numFmt w:val="chineseCounting"/>
      <w:suff w:val="nothing"/>
      <w:lvlText w:val="%1、"/>
      <w:lvlJc w:val="left"/>
      <w:rPr>
        <w:rFonts w:hint="eastAsia"/>
      </w:rPr>
    </w:lvl>
  </w:abstractNum>
  <w:abstractNum w:abstractNumId="6">
    <w:nsid w:val="E888B538"/>
    <w:multiLevelType w:val="singleLevel"/>
    <w:tmpl w:val="E888B538"/>
    <w:lvl w:ilvl="0" w:tentative="0">
      <w:start w:val="2"/>
      <w:numFmt w:val="chineseCounting"/>
      <w:suff w:val="nothing"/>
      <w:lvlText w:val="%1、"/>
      <w:lvlJc w:val="left"/>
      <w:rPr>
        <w:rFonts w:hint="eastAsia"/>
      </w:rPr>
    </w:lvl>
  </w:abstractNum>
  <w:abstractNum w:abstractNumId="7">
    <w:nsid w:val="FB114E19"/>
    <w:multiLevelType w:val="singleLevel"/>
    <w:tmpl w:val="FB114E19"/>
    <w:lvl w:ilvl="0" w:tentative="0">
      <w:start w:val="17"/>
      <w:numFmt w:val="decimal"/>
      <w:suff w:val="nothing"/>
      <w:lvlText w:val="%1、"/>
      <w:lvlJc w:val="left"/>
    </w:lvl>
  </w:abstractNum>
  <w:abstractNum w:abstractNumId="8">
    <w:nsid w:val="03140F2D"/>
    <w:multiLevelType w:val="singleLevel"/>
    <w:tmpl w:val="03140F2D"/>
    <w:lvl w:ilvl="0" w:tentative="0">
      <w:start w:val="12"/>
      <w:numFmt w:val="decimal"/>
      <w:suff w:val="nothing"/>
      <w:lvlText w:val="%1、"/>
      <w:lvlJc w:val="left"/>
    </w:lvl>
  </w:abstractNum>
  <w:abstractNum w:abstractNumId="9">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78F51C3"/>
    <w:multiLevelType w:val="singleLevel"/>
    <w:tmpl w:val="378F51C3"/>
    <w:lvl w:ilvl="0" w:tentative="0">
      <w:start w:val="8"/>
      <w:numFmt w:val="decimal"/>
      <w:suff w:val="nothing"/>
      <w:lvlText w:val="%1、"/>
      <w:lvlJc w:val="left"/>
    </w:lvl>
  </w:abstractNum>
  <w:num w:numId="1">
    <w:abstractNumId w:val="9"/>
  </w:num>
  <w:num w:numId="2">
    <w:abstractNumId w:val="6"/>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attachedTemplate r:id="rId1"/>
  <w:documentProtection w:edit="trackedChanges"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WQ4Yjg5NjYzNzdkNGJkNTIwMWJmZmYwOGJhZTMifQ=="/>
  </w:docVars>
  <w:rsids>
    <w:rsidRoot w:val="006853E3"/>
    <w:rsid w:val="00000244"/>
    <w:rsid w:val="0000047B"/>
    <w:rsid w:val="0000106C"/>
    <w:rsid w:val="00001198"/>
    <w:rsid w:val="00003D25"/>
    <w:rsid w:val="00004443"/>
    <w:rsid w:val="00004EC6"/>
    <w:rsid w:val="00005050"/>
    <w:rsid w:val="00005991"/>
    <w:rsid w:val="000059DB"/>
    <w:rsid w:val="00005C23"/>
    <w:rsid w:val="00006CB1"/>
    <w:rsid w:val="00006D93"/>
    <w:rsid w:val="00006F79"/>
    <w:rsid w:val="00007116"/>
    <w:rsid w:val="0001025F"/>
    <w:rsid w:val="00010272"/>
    <w:rsid w:val="0001088D"/>
    <w:rsid w:val="000118E7"/>
    <w:rsid w:val="000134AA"/>
    <w:rsid w:val="00013D05"/>
    <w:rsid w:val="00013E07"/>
    <w:rsid w:val="000153C4"/>
    <w:rsid w:val="0001544C"/>
    <w:rsid w:val="000164B0"/>
    <w:rsid w:val="00016826"/>
    <w:rsid w:val="00016CA4"/>
    <w:rsid w:val="000174F0"/>
    <w:rsid w:val="00017A88"/>
    <w:rsid w:val="00017C69"/>
    <w:rsid w:val="0002046D"/>
    <w:rsid w:val="00021975"/>
    <w:rsid w:val="00021A1F"/>
    <w:rsid w:val="00021AAC"/>
    <w:rsid w:val="00022200"/>
    <w:rsid w:val="0002302E"/>
    <w:rsid w:val="00023384"/>
    <w:rsid w:val="00023622"/>
    <w:rsid w:val="00024D9C"/>
    <w:rsid w:val="00025A17"/>
    <w:rsid w:val="00025BC8"/>
    <w:rsid w:val="00025DC5"/>
    <w:rsid w:val="00026265"/>
    <w:rsid w:val="00026FE0"/>
    <w:rsid w:val="0002793F"/>
    <w:rsid w:val="00027A1F"/>
    <w:rsid w:val="00031209"/>
    <w:rsid w:val="00031CA3"/>
    <w:rsid w:val="00031F60"/>
    <w:rsid w:val="000322BB"/>
    <w:rsid w:val="000327A3"/>
    <w:rsid w:val="0003341B"/>
    <w:rsid w:val="000335D8"/>
    <w:rsid w:val="00034093"/>
    <w:rsid w:val="00035335"/>
    <w:rsid w:val="0003551A"/>
    <w:rsid w:val="0003552B"/>
    <w:rsid w:val="00035B4D"/>
    <w:rsid w:val="00035BC5"/>
    <w:rsid w:val="00035E17"/>
    <w:rsid w:val="00036665"/>
    <w:rsid w:val="0003720C"/>
    <w:rsid w:val="00037DBD"/>
    <w:rsid w:val="000403BC"/>
    <w:rsid w:val="00040EA1"/>
    <w:rsid w:val="00040F12"/>
    <w:rsid w:val="000426F7"/>
    <w:rsid w:val="000449D5"/>
    <w:rsid w:val="0004515A"/>
    <w:rsid w:val="00045447"/>
    <w:rsid w:val="00045CD3"/>
    <w:rsid w:val="00045D0B"/>
    <w:rsid w:val="00046219"/>
    <w:rsid w:val="00046847"/>
    <w:rsid w:val="00046957"/>
    <w:rsid w:val="00046ED5"/>
    <w:rsid w:val="0004797E"/>
    <w:rsid w:val="00050D4B"/>
    <w:rsid w:val="000513DC"/>
    <w:rsid w:val="0005297A"/>
    <w:rsid w:val="0005343E"/>
    <w:rsid w:val="000534C3"/>
    <w:rsid w:val="00053C66"/>
    <w:rsid w:val="000540B1"/>
    <w:rsid w:val="0005476B"/>
    <w:rsid w:val="00055ABF"/>
    <w:rsid w:val="00055B80"/>
    <w:rsid w:val="00055EDC"/>
    <w:rsid w:val="0005754A"/>
    <w:rsid w:val="000575F9"/>
    <w:rsid w:val="0006060C"/>
    <w:rsid w:val="00061261"/>
    <w:rsid w:val="00061BBF"/>
    <w:rsid w:val="00061D46"/>
    <w:rsid w:val="00062574"/>
    <w:rsid w:val="00062637"/>
    <w:rsid w:val="00062FD3"/>
    <w:rsid w:val="0006313A"/>
    <w:rsid w:val="0006369E"/>
    <w:rsid w:val="00063883"/>
    <w:rsid w:val="00064D2C"/>
    <w:rsid w:val="000658F0"/>
    <w:rsid w:val="00065F6A"/>
    <w:rsid w:val="00066895"/>
    <w:rsid w:val="000668A4"/>
    <w:rsid w:val="00067602"/>
    <w:rsid w:val="00067A9B"/>
    <w:rsid w:val="00067D2D"/>
    <w:rsid w:val="0007017E"/>
    <w:rsid w:val="0007079F"/>
    <w:rsid w:val="0007114C"/>
    <w:rsid w:val="000720B4"/>
    <w:rsid w:val="00073169"/>
    <w:rsid w:val="00073314"/>
    <w:rsid w:val="00073681"/>
    <w:rsid w:val="00074173"/>
    <w:rsid w:val="000745D0"/>
    <w:rsid w:val="00074638"/>
    <w:rsid w:val="0007519E"/>
    <w:rsid w:val="000751F3"/>
    <w:rsid w:val="00075E80"/>
    <w:rsid w:val="00076412"/>
    <w:rsid w:val="00080275"/>
    <w:rsid w:val="00080BB7"/>
    <w:rsid w:val="00080FC6"/>
    <w:rsid w:val="0008196E"/>
    <w:rsid w:val="00082004"/>
    <w:rsid w:val="00082056"/>
    <w:rsid w:val="000821A1"/>
    <w:rsid w:val="000841E6"/>
    <w:rsid w:val="000855A9"/>
    <w:rsid w:val="000856ED"/>
    <w:rsid w:val="00085748"/>
    <w:rsid w:val="0008603A"/>
    <w:rsid w:val="000860FE"/>
    <w:rsid w:val="0008657D"/>
    <w:rsid w:val="0008732C"/>
    <w:rsid w:val="00087340"/>
    <w:rsid w:val="000876DB"/>
    <w:rsid w:val="000879A7"/>
    <w:rsid w:val="00087A67"/>
    <w:rsid w:val="00092451"/>
    <w:rsid w:val="00092E7E"/>
    <w:rsid w:val="00092F3D"/>
    <w:rsid w:val="00093129"/>
    <w:rsid w:val="00094B6A"/>
    <w:rsid w:val="00094E84"/>
    <w:rsid w:val="000953A2"/>
    <w:rsid w:val="0009556F"/>
    <w:rsid w:val="000956E8"/>
    <w:rsid w:val="00095F7B"/>
    <w:rsid w:val="0009613B"/>
    <w:rsid w:val="000964D9"/>
    <w:rsid w:val="00097653"/>
    <w:rsid w:val="00097D36"/>
    <w:rsid w:val="000A074A"/>
    <w:rsid w:val="000A1069"/>
    <w:rsid w:val="000A1AD0"/>
    <w:rsid w:val="000A3772"/>
    <w:rsid w:val="000A4390"/>
    <w:rsid w:val="000A5337"/>
    <w:rsid w:val="000A700F"/>
    <w:rsid w:val="000A7119"/>
    <w:rsid w:val="000A79D8"/>
    <w:rsid w:val="000B0125"/>
    <w:rsid w:val="000B017B"/>
    <w:rsid w:val="000B0A35"/>
    <w:rsid w:val="000B13D7"/>
    <w:rsid w:val="000B14EF"/>
    <w:rsid w:val="000B1803"/>
    <w:rsid w:val="000B3053"/>
    <w:rsid w:val="000B3444"/>
    <w:rsid w:val="000B3DD1"/>
    <w:rsid w:val="000B3F29"/>
    <w:rsid w:val="000B443D"/>
    <w:rsid w:val="000B5225"/>
    <w:rsid w:val="000B6558"/>
    <w:rsid w:val="000B6FB9"/>
    <w:rsid w:val="000C0727"/>
    <w:rsid w:val="000C07CF"/>
    <w:rsid w:val="000C0E52"/>
    <w:rsid w:val="000C10D2"/>
    <w:rsid w:val="000C1853"/>
    <w:rsid w:val="000C28F4"/>
    <w:rsid w:val="000C2950"/>
    <w:rsid w:val="000C2D26"/>
    <w:rsid w:val="000C3342"/>
    <w:rsid w:val="000C4E6E"/>
    <w:rsid w:val="000C589F"/>
    <w:rsid w:val="000C5980"/>
    <w:rsid w:val="000C5E21"/>
    <w:rsid w:val="000C5FE0"/>
    <w:rsid w:val="000C73B6"/>
    <w:rsid w:val="000C7932"/>
    <w:rsid w:val="000C7FC4"/>
    <w:rsid w:val="000D0696"/>
    <w:rsid w:val="000D199E"/>
    <w:rsid w:val="000D2481"/>
    <w:rsid w:val="000D3C8A"/>
    <w:rsid w:val="000D417A"/>
    <w:rsid w:val="000D4579"/>
    <w:rsid w:val="000D490F"/>
    <w:rsid w:val="000D539C"/>
    <w:rsid w:val="000D566B"/>
    <w:rsid w:val="000E0B16"/>
    <w:rsid w:val="000E0BB3"/>
    <w:rsid w:val="000E12DA"/>
    <w:rsid w:val="000E141C"/>
    <w:rsid w:val="000E158E"/>
    <w:rsid w:val="000E1A4B"/>
    <w:rsid w:val="000E2525"/>
    <w:rsid w:val="000E26CE"/>
    <w:rsid w:val="000E33CE"/>
    <w:rsid w:val="000E392A"/>
    <w:rsid w:val="000E3C3E"/>
    <w:rsid w:val="000E3C73"/>
    <w:rsid w:val="000E474C"/>
    <w:rsid w:val="000E4A98"/>
    <w:rsid w:val="000E4D9B"/>
    <w:rsid w:val="000E4F6D"/>
    <w:rsid w:val="000E6599"/>
    <w:rsid w:val="000E66F5"/>
    <w:rsid w:val="000E686D"/>
    <w:rsid w:val="000E7452"/>
    <w:rsid w:val="000F04D9"/>
    <w:rsid w:val="000F07D4"/>
    <w:rsid w:val="000F2670"/>
    <w:rsid w:val="000F2B92"/>
    <w:rsid w:val="000F2C4F"/>
    <w:rsid w:val="000F3034"/>
    <w:rsid w:val="000F37C0"/>
    <w:rsid w:val="000F3B06"/>
    <w:rsid w:val="000F4E6E"/>
    <w:rsid w:val="000F6013"/>
    <w:rsid w:val="000F6716"/>
    <w:rsid w:val="000F6A04"/>
    <w:rsid w:val="000F6F1B"/>
    <w:rsid w:val="000F7CEF"/>
    <w:rsid w:val="00100029"/>
    <w:rsid w:val="00100045"/>
    <w:rsid w:val="001008FB"/>
    <w:rsid w:val="001019C2"/>
    <w:rsid w:val="00101D4D"/>
    <w:rsid w:val="00102021"/>
    <w:rsid w:val="001026E5"/>
    <w:rsid w:val="00102A85"/>
    <w:rsid w:val="0010372C"/>
    <w:rsid w:val="001046B3"/>
    <w:rsid w:val="00104800"/>
    <w:rsid w:val="00104A41"/>
    <w:rsid w:val="00104DA6"/>
    <w:rsid w:val="00104DBD"/>
    <w:rsid w:val="00105147"/>
    <w:rsid w:val="00105D42"/>
    <w:rsid w:val="001062C7"/>
    <w:rsid w:val="001068D3"/>
    <w:rsid w:val="00106D28"/>
    <w:rsid w:val="00106DF3"/>
    <w:rsid w:val="00107487"/>
    <w:rsid w:val="0010770B"/>
    <w:rsid w:val="0010771F"/>
    <w:rsid w:val="00107F68"/>
    <w:rsid w:val="0011040A"/>
    <w:rsid w:val="001108BC"/>
    <w:rsid w:val="00110D33"/>
    <w:rsid w:val="00111223"/>
    <w:rsid w:val="0011180B"/>
    <w:rsid w:val="001127DB"/>
    <w:rsid w:val="00112B6F"/>
    <w:rsid w:val="00112F33"/>
    <w:rsid w:val="00113090"/>
    <w:rsid w:val="00113290"/>
    <w:rsid w:val="00113302"/>
    <w:rsid w:val="00113913"/>
    <w:rsid w:val="001141F6"/>
    <w:rsid w:val="001145E4"/>
    <w:rsid w:val="00114ECB"/>
    <w:rsid w:val="00115269"/>
    <w:rsid w:val="001156A7"/>
    <w:rsid w:val="00115E63"/>
    <w:rsid w:val="001162F4"/>
    <w:rsid w:val="00117322"/>
    <w:rsid w:val="00117CE1"/>
    <w:rsid w:val="00120DD6"/>
    <w:rsid w:val="0012102A"/>
    <w:rsid w:val="00122452"/>
    <w:rsid w:val="00122811"/>
    <w:rsid w:val="0012349B"/>
    <w:rsid w:val="00123F8F"/>
    <w:rsid w:val="00124155"/>
    <w:rsid w:val="00124D56"/>
    <w:rsid w:val="00127469"/>
    <w:rsid w:val="001275F9"/>
    <w:rsid w:val="00130186"/>
    <w:rsid w:val="001302E4"/>
    <w:rsid w:val="00130721"/>
    <w:rsid w:val="0013203F"/>
    <w:rsid w:val="0013215C"/>
    <w:rsid w:val="00132A0D"/>
    <w:rsid w:val="00132C89"/>
    <w:rsid w:val="00133200"/>
    <w:rsid w:val="0013368D"/>
    <w:rsid w:val="00134A09"/>
    <w:rsid w:val="0013503F"/>
    <w:rsid w:val="001361C0"/>
    <w:rsid w:val="00136A93"/>
    <w:rsid w:val="00136DE6"/>
    <w:rsid w:val="00137B85"/>
    <w:rsid w:val="001407A0"/>
    <w:rsid w:val="001414EA"/>
    <w:rsid w:val="001425FD"/>
    <w:rsid w:val="0014313C"/>
    <w:rsid w:val="00143162"/>
    <w:rsid w:val="001432DD"/>
    <w:rsid w:val="00143B4C"/>
    <w:rsid w:val="00143B50"/>
    <w:rsid w:val="00143F5B"/>
    <w:rsid w:val="00143F7B"/>
    <w:rsid w:val="001442C3"/>
    <w:rsid w:val="00144535"/>
    <w:rsid w:val="001447F4"/>
    <w:rsid w:val="00144BF8"/>
    <w:rsid w:val="001455C6"/>
    <w:rsid w:val="00145801"/>
    <w:rsid w:val="00145C29"/>
    <w:rsid w:val="00145C9E"/>
    <w:rsid w:val="001468CE"/>
    <w:rsid w:val="001475C3"/>
    <w:rsid w:val="00147D26"/>
    <w:rsid w:val="0015091D"/>
    <w:rsid w:val="00152490"/>
    <w:rsid w:val="00152B6A"/>
    <w:rsid w:val="00152EBF"/>
    <w:rsid w:val="001536BF"/>
    <w:rsid w:val="00153F57"/>
    <w:rsid w:val="001540C8"/>
    <w:rsid w:val="0015454D"/>
    <w:rsid w:val="00155385"/>
    <w:rsid w:val="00156452"/>
    <w:rsid w:val="0015649C"/>
    <w:rsid w:val="00156573"/>
    <w:rsid w:val="00156B20"/>
    <w:rsid w:val="001577F0"/>
    <w:rsid w:val="00157BBE"/>
    <w:rsid w:val="00157EB7"/>
    <w:rsid w:val="001601DD"/>
    <w:rsid w:val="001602C7"/>
    <w:rsid w:val="001609A4"/>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EA4"/>
    <w:rsid w:val="0017209E"/>
    <w:rsid w:val="00172E29"/>
    <w:rsid w:val="00174104"/>
    <w:rsid w:val="00176AFD"/>
    <w:rsid w:val="00176D6B"/>
    <w:rsid w:val="001773DA"/>
    <w:rsid w:val="001807E1"/>
    <w:rsid w:val="001818FB"/>
    <w:rsid w:val="00182B70"/>
    <w:rsid w:val="00182D83"/>
    <w:rsid w:val="00182EB0"/>
    <w:rsid w:val="00183536"/>
    <w:rsid w:val="0018359D"/>
    <w:rsid w:val="00183E89"/>
    <w:rsid w:val="00184633"/>
    <w:rsid w:val="00185826"/>
    <w:rsid w:val="001874D1"/>
    <w:rsid w:val="00187807"/>
    <w:rsid w:val="001900A0"/>
    <w:rsid w:val="0019037C"/>
    <w:rsid w:val="00190C37"/>
    <w:rsid w:val="00191998"/>
    <w:rsid w:val="00192A57"/>
    <w:rsid w:val="00193EF9"/>
    <w:rsid w:val="0019404E"/>
    <w:rsid w:val="00195011"/>
    <w:rsid w:val="00196442"/>
    <w:rsid w:val="001968A6"/>
    <w:rsid w:val="00197667"/>
    <w:rsid w:val="001A1032"/>
    <w:rsid w:val="001A1299"/>
    <w:rsid w:val="001A1577"/>
    <w:rsid w:val="001A1BB6"/>
    <w:rsid w:val="001A2213"/>
    <w:rsid w:val="001A2D5E"/>
    <w:rsid w:val="001A2F93"/>
    <w:rsid w:val="001A319F"/>
    <w:rsid w:val="001A3466"/>
    <w:rsid w:val="001A34BD"/>
    <w:rsid w:val="001A3AC5"/>
    <w:rsid w:val="001A3F96"/>
    <w:rsid w:val="001A45E5"/>
    <w:rsid w:val="001A5857"/>
    <w:rsid w:val="001A5C07"/>
    <w:rsid w:val="001A5DDC"/>
    <w:rsid w:val="001A6008"/>
    <w:rsid w:val="001A66FB"/>
    <w:rsid w:val="001A6B1B"/>
    <w:rsid w:val="001A6E4E"/>
    <w:rsid w:val="001A7396"/>
    <w:rsid w:val="001A7741"/>
    <w:rsid w:val="001A7747"/>
    <w:rsid w:val="001B0488"/>
    <w:rsid w:val="001B04EB"/>
    <w:rsid w:val="001B0B93"/>
    <w:rsid w:val="001B0CFD"/>
    <w:rsid w:val="001B1C91"/>
    <w:rsid w:val="001B2552"/>
    <w:rsid w:val="001B35A7"/>
    <w:rsid w:val="001B3846"/>
    <w:rsid w:val="001B3C53"/>
    <w:rsid w:val="001B4A75"/>
    <w:rsid w:val="001B5661"/>
    <w:rsid w:val="001B603B"/>
    <w:rsid w:val="001B6195"/>
    <w:rsid w:val="001B6654"/>
    <w:rsid w:val="001B6AFD"/>
    <w:rsid w:val="001B6C64"/>
    <w:rsid w:val="001B75AC"/>
    <w:rsid w:val="001B77F4"/>
    <w:rsid w:val="001B7851"/>
    <w:rsid w:val="001B7BD1"/>
    <w:rsid w:val="001C0085"/>
    <w:rsid w:val="001C0BD1"/>
    <w:rsid w:val="001C1086"/>
    <w:rsid w:val="001C197A"/>
    <w:rsid w:val="001C1B86"/>
    <w:rsid w:val="001C1C94"/>
    <w:rsid w:val="001C200E"/>
    <w:rsid w:val="001C23E9"/>
    <w:rsid w:val="001C2741"/>
    <w:rsid w:val="001C3DFE"/>
    <w:rsid w:val="001C457D"/>
    <w:rsid w:val="001C4E86"/>
    <w:rsid w:val="001C4F39"/>
    <w:rsid w:val="001C5361"/>
    <w:rsid w:val="001C5945"/>
    <w:rsid w:val="001C6064"/>
    <w:rsid w:val="001C643D"/>
    <w:rsid w:val="001C6700"/>
    <w:rsid w:val="001C6998"/>
    <w:rsid w:val="001C6AD6"/>
    <w:rsid w:val="001C7F44"/>
    <w:rsid w:val="001D06AC"/>
    <w:rsid w:val="001D1275"/>
    <w:rsid w:val="001D173C"/>
    <w:rsid w:val="001D2014"/>
    <w:rsid w:val="001D22F5"/>
    <w:rsid w:val="001D2561"/>
    <w:rsid w:val="001D292F"/>
    <w:rsid w:val="001D5748"/>
    <w:rsid w:val="001D62B0"/>
    <w:rsid w:val="001D74BE"/>
    <w:rsid w:val="001D779F"/>
    <w:rsid w:val="001D7F8F"/>
    <w:rsid w:val="001E0009"/>
    <w:rsid w:val="001E086B"/>
    <w:rsid w:val="001E0A90"/>
    <w:rsid w:val="001E1A98"/>
    <w:rsid w:val="001E1FB3"/>
    <w:rsid w:val="001E3ABE"/>
    <w:rsid w:val="001E4C56"/>
    <w:rsid w:val="001E4D10"/>
    <w:rsid w:val="001E5155"/>
    <w:rsid w:val="001E7F4E"/>
    <w:rsid w:val="001F0F45"/>
    <w:rsid w:val="001F104D"/>
    <w:rsid w:val="001F14B8"/>
    <w:rsid w:val="001F1903"/>
    <w:rsid w:val="001F21DA"/>
    <w:rsid w:val="001F236C"/>
    <w:rsid w:val="001F331D"/>
    <w:rsid w:val="001F34A1"/>
    <w:rsid w:val="001F3A5F"/>
    <w:rsid w:val="001F42C1"/>
    <w:rsid w:val="001F436F"/>
    <w:rsid w:val="001F4851"/>
    <w:rsid w:val="001F4B9D"/>
    <w:rsid w:val="001F4C48"/>
    <w:rsid w:val="001F4D66"/>
    <w:rsid w:val="001F674A"/>
    <w:rsid w:val="001F6765"/>
    <w:rsid w:val="001F6DC7"/>
    <w:rsid w:val="001F70FC"/>
    <w:rsid w:val="001F7714"/>
    <w:rsid w:val="001F7981"/>
    <w:rsid w:val="002000E9"/>
    <w:rsid w:val="0020227E"/>
    <w:rsid w:val="00202734"/>
    <w:rsid w:val="00204506"/>
    <w:rsid w:val="002047A4"/>
    <w:rsid w:val="00205139"/>
    <w:rsid w:val="002058E6"/>
    <w:rsid w:val="002062C6"/>
    <w:rsid w:val="00206DB5"/>
    <w:rsid w:val="002072E2"/>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17B"/>
    <w:rsid w:val="00215BCE"/>
    <w:rsid w:val="0021650A"/>
    <w:rsid w:val="002169A9"/>
    <w:rsid w:val="00216A4E"/>
    <w:rsid w:val="00217CEA"/>
    <w:rsid w:val="002200A9"/>
    <w:rsid w:val="00220AE8"/>
    <w:rsid w:val="0022130C"/>
    <w:rsid w:val="0022178A"/>
    <w:rsid w:val="00221C92"/>
    <w:rsid w:val="00224145"/>
    <w:rsid w:val="0022454D"/>
    <w:rsid w:val="00224818"/>
    <w:rsid w:val="002248CD"/>
    <w:rsid w:val="00224CBC"/>
    <w:rsid w:val="00225131"/>
    <w:rsid w:val="00225860"/>
    <w:rsid w:val="00226DA4"/>
    <w:rsid w:val="00226DBB"/>
    <w:rsid w:val="0022771A"/>
    <w:rsid w:val="00227EFE"/>
    <w:rsid w:val="00230A38"/>
    <w:rsid w:val="00231517"/>
    <w:rsid w:val="0023159F"/>
    <w:rsid w:val="00231FD7"/>
    <w:rsid w:val="00232116"/>
    <w:rsid w:val="00232FE7"/>
    <w:rsid w:val="00233D77"/>
    <w:rsid w:val="00235647"/>
    <w:rsid w:val="0023654D"/>
    <w:rsid w:val="00236EE3"/>
    <w:rsid w:val="00237339"/>
    <w:rsid w:val="002375B2"/>
    <w:rsid w:val="00240B6F"/>
    <w:rsid w:val="00241DAC"/>
    <w:rsid w:val="00241E83"/>
    <w:rsid w:val="00241ED2"/>
    <w:rsid w:val="00242340"/>
    <w:rsid w:val="0024320E"/>
    <w:rsid w:val="002433A4"/>
    <w:rsid w:val="002435E1"/>
    <w:rsid w:val="00243B44"/>
    <w:rsid w:val="00243F80"/>
    <w:rsid w:val="00244EDA"/>
    <w:rsid w:val="00245106"/>
    <w:rsid w:val="00246493"/>
    <w:rsid w:val="00246B0B"/>
    <w:rsid w:val="002509C8"/>
    <w:rsid w:val="00250F20"/>
    <w:rsid w:val="00251487"/>
    <w:rsid w:val="002515D9"/>
    <w:rsid w:val="00252A5A"/>
    <w:rsid w:val="00253807"/>
    <w:rsid w:val="002543E8"/>
    <w:rsid w:val="0025462A"/>
    <w:rsid w:val="0025722A"/>
    <w:rsid w:val="0025727A"/>
    <w:rsid w:val="0026254A"/>
    <w:rsid w:val="0026306E"/>
    <w:rsid w:val="00264F0C"/>
    <w:rsid w:val="00264F51"/>
    <w:rsid w:val="00265547"/>
    <w:rsid w:val="00265718"/>
    <w:rsid w:val="00265B97"/>
    <w:rsid w:val="00265CBD"/>
    <w:rsid w:val="00265DDD"/>
    <w:rsid w:val="00265F67"/>
    <w:rsid w:val="00266E57"/>
    <w:rsid w:val="002701C1"/>
    <w:rsid w:val="00270C45"/>
    <w:rsid w:val="00270E94"/>
    <w:rsid w:val="002711EF"/>
    <w:rsid w:val="00271252"/>
    <w:rsid w:val="002718A6"/>
    <w:rsid w:val="0027190A"/>
    <w:rsid w:val="0027271A"/>
    <w:rsid w:val="00272EFA"/>
    <w:rsid w:val="0027456F"/>
    <w:rsid w:val="00274A3F"/>
    <w:rsid w:val="002758E9"/>
    <w:rsid w:val="00275CE3"/>
    <w:rsid w:val="002760DE"/>
    <w:rsid w:val="002761AD"/>
    <w:rsid w:val="002766F6"/>
    <w:rsid w:val="00277081"/>
    <w:rsid w:val="00280261"/>
    <w:rsid w:val="00282047"/>
    <w:rsid w:val="002830D7"/>
    <w:rsid w:val="00284763"/>
    <w:rsid w:val="00286DDE"/>
    <w:rsid w:val="00286F15"/>
    <w:rsid w:val="0028708F"/>
    <w:rsid w:val="002901D6"/>
    <w:rsid w:val="00290905"/>
    <w:rsid w:val="00290F80"/>
    <w:rsid w:val="00291303"/>
    <w:rsid w:val="00292DA2"/>
    <w:rsid w:val="00292EB0"/>
    <w:rsid w:val="002941A9"/>
    <w:rsid w:val="0029421B"/>
    <w:rsid w:val="00294A89"/>
    <w:rsid w:val="00295B3D"/>
    <w:rsid w:val="00296049"/>
    <w:rsid w:val="002972D3"/>
    <w:rsid w:val="00297417"/>
    <w:rsid w:val="002A0312"/>
    <w:rsid w:val="002A147A"/>
    <w:rsid w:val="002A1481"/>
    <w:rsid w:val="002A22F0"/>
    <w:rsid w:val="002A27F4"/>
    <w:rsid w:val="002A2A64"/>
    <w:rsid w:val="002A2A6E"/>
    <w:rsid w:val="002A302D"/>
    <w:rsid w:val="002A3FDD"/>
    <w:rsid w:val="002A4156"/>
    <w:rsid w:val="002A44DF"/>
    <w:rsid w:val="002A46D7"/>
    <w:rsid w:val="002A4E5D"/>
    <w:rsid w:val="002A5D66"/>
    <w:rsid w:val="002A5E1C"/>
    <w:rsid w:val="002A63C2"/>
    <w:rsid w:val="002A6AAA"/>
    <w:rsid w:val="002A76AB"/>
    <w:rsid w:val="002A7B58"/>
    <w:rsid w:val="002B0150"/>
    <w:rsid w:val="002B0737"/>
    <w:rsid w:val="002B0AAD"/>
    <w:rsid w:val="002B10B2"/>
    <w:rsid w:val="002B2418"/>
    <w:rsid w:val="002B258A"/>
    <w:rsid w:val="002B2822"/>
    <w:rsid w:val="002B3408"/>
    <w:rsid w:val="002B3470"/>
    <w:rsid w:val="002B4318"/>
    <w:rsid w:val="002B457A"/>
    <w:rsid w:val="002B46CD"/>
    <w:rsid w:val="002B49B9"/>
    <w:rsid w:val="002B4A8B"/>
    <w:rsid w:val="002B4DD0"/>
    <w:rsid w:val="002B5AC8"/>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608D"/>
    <w:rsid w:val="002C67C6"/>
    <w:rsid w:val="002C78F1"/>
    <w:rsid w:val="002D02E8"/>
    <w:rsid w:val="002D11B8"/>
    <w:rsid w:val="002D1283"/>
    <w:rsid w:val="002D1666"/>
    <w:rsid w:val="002D21CB"/>
    <w:rsid w:val="002D29FC"/>
    <w:rsid w:val="002D37C1"/>
    <w:rsid w:val="002D3CC2"/>
    <w:rsid w:val="002D409A"/>
    <w:rsid w:val="002D41E8"/>
    <w:rsid w:val="002D4367"/>
    <w:rsid w:val="002D5515"/>
    <w:rsid w:val="002D641E"/>
    <w:rsid w:val="002D6CB5"/>
    <w:rsid w:val="002D6F44"/>
    <w:rsid w:val="002D72F1"/>
    <w:rsid w:val="002D77D5"/>
    <w:rsid w:val="002E0DC3"/>
    <w:rsid w:val="002E1406"/>
    <w:rsid w:val="002E1BFB"/>
    <w:rsid w:val="002E2417"/>
    <w:rsid w:val="002E253A"/>
    <w:rsid w:val="002E30B1"/>
    <w:rsid w:val="002E3460"/>
    <w:rsid w:val="002E3589"/>
    <w:rsid w:val="002E61F9"/>
    <w:rsid w:val="002E7CFF"/>
    <w:rsid w:val="002F01EB"/>
    <w:rsid w:val="002F1089"/>
    <w:rsid w:val="002F121C"/>
    <w:rsid w:val="002F1578"/>
    <w:rsid w:val="002F1C38"/>
    <w:rsid w:val="002F1FAA"/>
    <w:rsid w:val="002F2227"/>
    <w:rsid w:val="002F2C14"/>
    <w:rsid w:val="002F2CA0"/>
    <w:rsid w:val="002F3BEE"/>
    <w:rsid w:val="002F4169"/>
    <w:rsid w:val="002F4A48"/>
    <w:rsid w:val="002F5009"/>
    <w:rsid w:val="002F53AD"/>
    <w:rsid w:val="002F5556"/>
    <w:rsid w:val="002F57A8"/>
    <w:rsid w:val="002F596D"/>
    <w:rsid w:val="002F64E2"/>
    <w:rsid w:val="002F66CF"/>
    <w:rsid w:val="002F66DB"/>
    <w:rsid w:val="002F6868"/>
    <w:rsid w:val="002F72AF"/>
    <w:rsid w:val="00300140"/>
    <w:rsid w:val="00300B58"/>
    <w:rsid w:val="00300FB5"/>
    <w:rsid w:val="003022BD"/>
    <w:rsid w:val="0030374F"/>
    <w:rsid w:val="0030485C"/>
    <w:rsid w:val="00304A1E"/>
    <w:rsid w:val="00304AF7"/>
    <w:rsid w:val="00305A72"/>
    <w:rsid w:val="00305E41"/>
    <w:rsid w:val="003066F0"/>
    <w:rsid w:val="003075B4"/>
    <w:rsid w:val="0030779D"/>
    <w:rsid w:val="003077C4"/>
    <w:rsid w:val="00307847"/>
    <w:rsid w:val="00307CA8"/>
    <w:rsid w:val="003118B9"/>
    <w:rsid w:val="00311C18"/>
    <w:rsid w:val="00311E53"/>
    <w:rsid w:val="00311E57"/>
    <w:rsid w:val="00312643"/>
    <w:rsid w:val="00312BC3"/>
    <w:rsid w:val="0031392F"/>
    <w:rsid w:val="0031418F"/>
    <w:rsid w:val="003142A2"/>
    <w:rsid w:val="0031498B"/>
    <w:rsid w:val="003153F1"/>
    <w:rsid w:val="003172DB"/>
    <w:rsid w:val="0031735B"/>
    <w:rsid w:val="00317718"/>
    <w:rsid w:val="00320359"/>
    <w:rsid w:val="003215A4"/>
    <w:rsid w:val="00322028"/>
    <w:rsid w:val="0032206F"/>
    <w:rsid w:val="00322C05"/>
    <w:rsid w:val="00322E3F"/>
    <w:rsid w:val="003231F6"/>
    <w:rsid w:val="00323F38"/>
    <w:rsid w:val="00324543"/>
    <w:rsid w:val="00324865"/>
    <w:rsid w:val="00324A4A"/>
    <w:rsid w:val="0032542C"/>
    <w:rsid w:val="003255B1"/>
    <w:rsid w:val="0032569D"/>
    <w:rsid w:val="0032676A"/>
    <w:rsid w:val="003267FB"/>
    <w:rsid w:val="00326A35"/>
    <w:rsid w:val="00326D8C"/>
    <w:rsid w:val="00327C5D"/>
    <w:rsid w:val="0033037E"/>
    <w:rsid w:val="00330D1F"/>
    <w:rsid w:val="00330FD2"/>
    <w:rsid w:val="00331447"/>
    <w:rsid w:val="00331C79"/>
    <w:rsid w:val="00331DE5"/>
    <w:rsid w:val="00331ED3"/>
    <w:rsid w:val="00332103"/>
    <w:rsid w:val="00332412"/>
    <w:rsid w:val="00333345"/>
    <w:rsid w:val="00333EE4"/>
    <w:rsid w:val="00337F16"/>
    <w:rsid w:val="003403ED"/>
    <w:rsid w:val="0034063B"/>
    <w:rsid w:val="0034063C"/>
    <w:rsid w:val="00340A53"/>
    <w:rsid w:val="003415B8"/>
    <w:rsid w:val="00343EDE"/>
    <w:rsid w:val="0034451E"/>
    <w:rsid w:val="00345261"/>
    <w:rsid w:val="0034642E"/>
    <w:rsid w:val="003466C8"/>
    <w:rsid w:val="00346868"/>
    <w:rsid w:val="003474CD"/>
    <w:rsid w:val="003479A9"/>
    <w:rsid w:val="003479E0"/>
    <w:rsid w:val="00350C24"/>
    <w:rsid w:val="00350DCA"/>
    <w:rsid w:val="003510CB"/>
    <w:rsid w:val="003513BE"/>
    <w:rsid w:val="00351A22"/>
    <w:rsid w:val="00352568"/>
    <w:rsid w:val="00352D79"/>
    <w:rsid w:val="00354292"/>
    <w:rsid w:val="00354D0C"/>
    <w:rsid w:val="00355437"/>
    <w:rsid w:val="00355785"/>
    <w:rsid w:val="003557CA"/>
    <w:rsid w:val="0035582A"/>
    <w:rsid w:val="00355927"/>
    <w:rsid w:val="00355D92"/>
    <w:rsid w:val="00355F8A"/>
    <w:rsid w:val="00356299"/>
    <w:rsid w:val="00356611"/>
    <w:rsid w:val="00356A9F"/>
    <w:rsid w:val="00356D30"/>
    <w:rsid w:val="00356F96"/>
    <w:rsid w:val="003571A6"/>
    <w:rsid w:val="003574D5"/>
    <w:rsid w:val="00357797"/>
    <w:rsid w:val="00357F57"/>
    <w:rsid w:val="00361CE6"/>
    <w:rsid w:val="0036333E"/>
    <w:rsid w:val="00364B39"/>
    <w:rsid w:val="00365A2B"/>
    <w:rsid w:val="00365B04"/>
    <w:rsid w:val="003670DA"/>
    <w:rsid w:val="00367980"/>
    <w:rsid w:val="003700A4"/>
    <w:rsid w:val="00370521"/>
    <w:rsid w:val="00370F4C"/>
    <w:rsid w:val="00372352"/>
    <w:rsid w:val="00372364"/>
    <w:rsid w:val="00372DD4"/>
    <w:rsid w:val="0037364D"/>
    <w:rsid w:val="0037372D"/>
    <w:rsid w:val="003738A2"/>
    <w:rsid w:val="00373B14"/>
    <w:rsid w:val="00373F68"/>
    <w:rsid w:val="0037492A"/>
    <w:rsid w:val="003751AA"/>
    <w:rsid w:val="00375338"/>
    <w:rsid w:val="00376B64"/>
    <w:rsid w:val="00377114"/>
    <w:rsid w:val="003803BE"/>
    <w:rsid w:val="0038136B"/>
    <w:rsid w:val="00381769"/>
    <w:rsid w:val="003826A1"/>
    <w:rsid w:val="0038345C"/>
    <w:rsid w:val="0038370B"/>
    <w:rsid w:val="00383E60"/>
    <w:rsid w:val="00385579"/>
    <w:rsid w:val="00385969"/>
    <w:rsid w:val="00386DCB"/>
    <w:rsid w:val="00387838"/>
    <w:rsid w:val="00387B22"/>
    <w:rsid w:val="00390270"/>
    <w:rsid w:val="003905A8"/>
    <w:rsid w:val="0039066F"/>
    <w:rsid w:val="00390F06"/>
    <w:rsid w:val="00391C6E"/>
    <w:rsid w:val="00391E75"/>
    <w:rsid w:val="003922F1"/>
    <w:rsid w:val="003927DD"/>
    <w:rsid w:val="00392B80"/>
    <w:rsid w:val="00393923"/>
    <w:rsid w:val="00393D15"/>
    <w:rsid w:val="00394861"/>
    <w:rsid w:val="00394F02"/>
    <w:rsid w:val="00395F9C"/>
    <w:rsid w:val="003962E7"/>
    <w:rsid w:val="00397E50"/>
    <w:rsid w:val="003A09B2"/>
    <w:rsid w:val="003A1621"/>
    <w:rsid w:val="003A1681"/>
    <w:rsid w:val="003A1787"/>
    <w:rsid w:val="003A183A"/>
    <w:rsid w:val="003A295E"/>
    <w:rsid w:val="003A2B22"/>
    <w:rsid w:val="003A3020"/>
    <w:rsid w:val="003A31BE"/>
    <w:rsid w:val="003A3C3F"/>
    <w:rsid w:val="003A43CC"/>
    <w:rsid w:val="003A61BF"/>
    <w:rsid w:val="003A6BED"/>
    <w:rsid w:val="003B11ED"/>
    <w:rsid w:val="003B1D7B"/>
    <w:rsid w:val="003B2567"/>
    <w:rsid w:val="003B2AEB"/>
    <w:rsid w:val="003B307F"/>
    <w:rsid w:val="003B3B39"/>
    <w:rsid w:val="003B4C12"/>
    <w:rsid w:val="003B6958"/>
    <w:rsid w:val="003B78F7"/>
    <w:rsid w:val="003B7A52"/>
    <w:rsid w:val="003C0E43"/>
    <w:rsid w:val="003C0FB4"/>
    <w:rsid w:val="003C13A6"/>
    <w:rsid w:val="003C16C8"/>
    <w:rsid w:val="003C1843"/>
    <w:rsid w:val="003C248B"/>
    <w:rsid w:val="003C2D2E"/>
    <w:rsid w:val="003C30C5"/>
    <w:rsid w:val="003C3A13"/>
    <w:rsid w:val="003C3ADA"/>
    <w:rsid w:val="003C4DDE"/>
    <w:rsid w:val="003C4F8D"/>
    <w:rsid w:val="003C55CE"/>
    <w:rsid w:val="003C6454"/>
    <w:rsid w:val="003C6E32"/>
    <w:rsid w:val="003C7531"/>
    <w:rsid w:val="003C75E1"/>
    <w:rsid w:val="003C7F44"/>
    <w:rsid w:val="003D0B9A"/>
    <w:rsid w:val="003D1704"/>
    <w:rsid w:val="003D2078"/>
    <w:rsid w:val="003D214B"/>
    <w:rsid w:val="003D22BA"/>
    <w:rsid w:val="003D3396"/>
    <w:rsid w:val="003D3581"/>
    <w:rsid w:val="003D3F2F"/>
    <w:rsid w:val="003D42A8"/>
    <w:rsid w:val="003D42DC"/>
    <w:rsid w:val="003D4D37"/>
    <w:rsid w:val="003D5F1E"/>
    <w:rsid w:val="003D72B1"/>
    <w:rsid w:val="003D734B"/>
    <w:rsid w:val="003D778B"/>
    <w:rsid w:val="003E063C"/>
    <w:rsid w:val="003E0E25"/>
    <w:rsid w:val="003E0F8A"/>
    <w:rsid w:val="003E1CF4"/>
    <w:rsid w:val="003E1E40"/>
    <w:rsid w:val="003E2B0B"/>
    <w:rsid w:val="003E3256"/>
    <w:rsid w:val="003E3707"/>
    <w:rsid w:val="003E3FAD"/>
    <w:rsid w:val="003E4100"/>
    <w:rsid w:val="003E43FE"/>
    <w:rsid w:val="003E4B1C"/>
    <w:rsid w:val="003E5B05"/>
    <w:rsid w:val="003E77A4"/>
    <w:rsid w:val="003F093D"/>
    <w:rsid w:val="003F1668"/>
    <w:rsid w:val="003F2396"/>
    <w:rsid w:val="003F2A37"/>
    <w:rsid w:val="003F2DA3"/>
    <w:rsid w:val="003F3279"/>
    <w:rsid w:val="003F3A2B"/>
    <w:rsid w:val="003F4085"/>
    <w:rsid w:val="003F469E"/>
    <w:rsid w:val="003F56D4"/>
    <w:rsid w:val="003F5E75"/>
    <w:rsid w:val="003F60FA"/>
    <w:rsid w:val="003F7211"/>
    <w:rsid w:val="003F7D3A"/>
    <w:rsid w:val="003F7DCC"/>
    <w:rsid w:val="003F7E69"/>
    <w:rsid w:val="00400E0A"/>
    <w:rsid w:val="00401437"/>
    <w:rsid w:val="00401849"/>
    <w:rsid w:val="00403004"/>
    <w:rsid w:val="0040310B"/>
    <w:rsid w:val="00403957"/>
    <w:rsid w:val="00403C6C"/>
    <w:rsid w:val="0040454B"/>
    <w:rsid w:val="00404749"/>
    <w:rsid w:val="0040563F"/>
    <w:rsid w:val="00405C52"/>
    <w:rsid w:val="004061AD"/>
    <w:rsid w:val="00406380"/>
    <w:rsid w:val="004063E3"/>
    <w:rsid w:val="00406771"/>
    <w:rsid w:val="00407572"/>
    <w:rsid w:val="004075DE"/>
    <w:rsid w:val="00407AD9"/>
    <w:rsid w:val="004104E8"/>
    <w:rsid w:val="00411964"/>
    <w:rsid w:val="00411E68"/>
    <w:rsid w:val="00412080"/>
    <w:rsid w:val="004122B3"/>
    <w:rsid w:val="004135DF"/>
    <w:rsid w:val="00413834"/>
    <w:rsid w:val="004139FE"/>
    <w:rsid w:val="00413F41"/>
    <w:rsid w:val="00414073"/>
    <w:rsid w:val="0041423A"/>
    <w:rsid w:val="004159B5"/>
    <w:rsid w:val="00416376"/>
    <w:rsid w:val="00416938"/>
    <w:rsid w:val="00416A5E"/>
    <w:rsid w:val="004171C1"/>
    <w:rsid w:val="004174A8"/>
    <w:rsid w:val="00420105"/>
    <w:rsid w:val="00420F51"/>
    <w:rsid w:val="004215C1"/>
    <w:rsid w:val="0042214B"/>
    <w:rsid w:val="004222C9"/>
    <w:rsid w:val="004223C9"/>
    <w:rsid w:val="0042284E"/>
    <w:rsid w:val="00422FD8"/>
    <w:rsid w:val="00423512"/>
    <w:rsid w:val="004242E2"/>
    <w:rsid w:val="00424947"/>
    <w:rsid w:val="00424E2E"/>
    <w:rsid w:val="004253C9"/>
    <w:rsid w:val="004254E3"/>
    <w:rsid w:val="0042607E"/>
    <w:rsid w:val="004262B5"/>
    <w:rsid w:val="004267EB"/>
    <w:rsid w:val="0042737C"/>
    <w:rsid w:val="00427B17"/>
    <w:rsid w:val="00427B7C"/>
    <w:rsid w:val="00430B26"/>
    <w:rsid w:val="00430DEF"/>
    <w:rsid w:val="00430F8C"/>
    <w:rsid w:val="0043234E"/>
    <w:rsid w:val="004323AF"/>
    <w:rsid w:val="00432CCA"/>
    <w:rsid w:val="00432E75"/>
    <w:rsid w:val="00432F12"/>
    <w:rsid w:val="004330CE"/>
    <w:rsid w:val="004335B8"/>
    <w:rsid w:val="0043395F"/>
    <w:rsid w:val="00433FBA"/>
    <w:rsid w:val="00435002"/>
    <w:rsid w:val="0043684F"/>
    <w:rsid w:val="00436A83"/>
    <w:rsid w:val="004370B4"/>
    <w:rsid w:val="004377FA"/>
    <w:rsid w:val="00437F51"/>
    <w:rsid w:val="00440DA9"/>
    <w:rsid w:val="0044103D"/>
    <w:rsid w:val="00442187"/>
    <w:rsid w:val="00442991"/>
    <w:rsid w:val="00443EC4"/>
    <w:rsid w:val="00445EB1"/>
    <w:rsid w:val="00446569"/>
    <w:rsid w:val="00446BBA"/>
    <w:rsid w:val="00447286"/>
    <w:rsid w:val="004476BE"/>
    <w:rsid w:val="00447749"/>
    <w:rsid w:val="00447F04"/>
    <w:rsid w:val="004504B0"/>
    <w:rsid w:val="00450B91"/>
    <w:rsid w:val="00451BF3"/>
    <w:rsid w:val="00451C45"/>
    <w:rsid w:val="00451F96"/>
    <w:rsid w:val="0045211C"/>
    <w:rsid w:val="00452996"/>
    <w:rsid w:val="004530F9"/>
    <w:rsid w:val="00453A20"/>
    <w:rsid w:val="004540EE"/>
    <w:rsid w:val="00454C37"/>
    <w:rsid w:val="00454FD1"/>
    <w:rsid w:val="00455149"/>
    <w:rsid w:val="00455B08"/>
    <w:rsid w:val="00455C16"/>
    <w:rsid w:val="00455FC1"/>
    <w:rsid w:val="004572CF"/>
    <w:rsid w:val="004602F9"/>
    <w:rsid w:val="004609A6"/>
    <w:rsid w:val="00460B54"/>
    <w:rsid w:val="00460F47"/>
    <w:rsid w:val="004610F9"/>
    <w:rsid w:val="00462D04"/>
    <w:rsid w:val="00462F0B"/>
    <w:rsid w:val="0046318E"/>
    <w:rsid w:val="00463240"/>
    <w:rsid w:val="004633BD"/>
    <w:rsid w:val="00463530"/>
    <w:rsid w:val="00463FD8"/>
    <w:rsid w:val="00464614"/>
    <w:rsid w:val="0046507B"/>
    <w:rsid w:val="00465451"/>
    <w:rsid w:val="0046598B"/>
    <w:rsid w:val="0046691F"/>
    <w:rsid w:val="00466E14"/>
    <w:rsid w:val="004678EA"/>
    <w:rsid w:val="004713FD"/>
    <w:rsid w:val="00471AAE"/>
    <w:rsid w:val="00471D22"/>
    <w:rsid w:val="00471E1F"/>
    <w:rsid w:val="00471FA7"/>
    <w:rsid w:val="0047206E"/>
    <w:rsid w:val="004726CE"/>
    <w:rsid w:val="00472CC4"/>
    <w:rsid w:val="0047308A"/>
    <w:rsid w:val="00473466"/>
    <w:rsid w:val="004735DB"/>
    <w:rsid w:val="00474AD8"/>
    <w:rsid w:val="00475BF8"/>
    <w:rsid w:val="00476873"/>
    <w:rsid w:val="00477F3D"/>
    <w:rsid w:val="00480719"/>
    <w:rsid w:val="00480CB7"/>
    <w:rsid w:val="00481186"/>
    <w:rsid w:val="00481319"/>
    <w:rsid w:val="00481715"/>
    <w:rsid w:val="0048218F"/>
    <w:rsid w:val="004829AD"/>
    <w:rsid w:val="00482C98"/>
    <w:rsid w:val="00482E63"/>
    <w:rsid w:val="0048324D"/>
    <w:rsid w:val="00483496"/>
    <w:rsid w:val="004836CD"/>
    <w:rsid w:val="004840E3"/>
    <w:rsid w:val="0048434B"/>
    <w:rsid w:val="0048466F"/>
    <w:rsid w:val="0048563D"/>
    <w:rsid w:val="0048565B"/>
    <w:rsid w:val="00486817"/>
    <w:rsid w:val="00486A1F"/>
    <w:rsid w:val="00487146"/>
    <w:rsid w:val="00490A4A"/>
    <w:rsid w:val="00490AF1"/>
    <w:rsid w:val="00490E12"/>
    <w:rsid w:val="0049101A"/>
    <w:rsid w:val="004919AE"/>
    <w:rsid w:val="00491FCC"/>
    <w:rsid w:val="0049200C"/>
    <w:rsid w:val="00493569"/>
    <w:rsid w:val="00493C1C"/>
    <w:rsid w:val="0049465F"/>
    <w:rsid w:val="00494ADE"/>
    <w:rsid w:val="004956A0"/>
    <w:rsid w:val="00497DD3"/>
    <w:rsid w:val="004A046A"/>
    <w:rsid w:val="004A1676"/>
    <w:rsid w:val="004A1E76"/>
    <w:rsid w:val="004A2417"/>
    <w:rsid w:val="004A29CD"/>
    <w:rsid w:val="004A2DF3"/>
    <w:rsid w:val="004A32BF"/>
    <w:rsid w:val="004A3FA2"/>
    <w:rsid w:val="004A4D8B"/>
    <w:rsid w:val="004A5550"/>
    <w:rsid w:val="004A559B"/>
    <w:rsid w:val="004A6063"/>
    <w:rsid w:val="004A6793"/>
    <w:rsid w:val="004A6AB7"/>
    <w:rsid w:val="004A6C03"/>
    <w:rsid w:val="004A6F4B"/>
    <w:rsid w:val="004A7375"/>
    <w:rsid w:val="004A7BF7"/>
    <w:rsid w:val="004A7E3B"/>
    <w:rsid w:val="004B01C0"/>
    <w:rsid w:val="004B09CA"/>
    <w:rsid w:val="004B0B9F"/>
    <w:rsid w:val="004B1964"/>
    <w:rsid w:val="004B31F2"/>
    <w:rsid w:val="004B35D8"/>
    <w:rsid w:val="004B4D1B"/>
    <w:rsid w:val="004B5371"/>
    <w:rsid w:val="004B55AA"/>
    <w:rsid w:val="004B6729"/>
    <w:rsid w:val="004B6D10"/>
    <w:rsid w:val="004B740D"/>
    <w:rsid w:val="004B7923"/>
    <w:rsid w:val="004C12AB"/>
    <w:rsid w:val="004C1855"/>
    <w:rsid w:val="004C39BF"/>
    <w:rsid w:val="004C3FC9"/>
    <w:rsid w:val="004C3FD2"/>
    <w:rsid w:val="004C4226"/>
    <w:rsid w:val="004C4281"/>
    <w:rsid w:val="004C5300"/>
    <w:rsid w:val="004C5337"/>
    <w:rsid w:val="004C5341"/>
    <w:rsid w:val="004C58F2"/>
    <w:rsid w:val="004C5A1C"/>
    <w:rsid w:val="004C6621"/>
    <w:rsid w:val="004C6814"/>
    <w:rsid w:val="004C69C2"/>
    <w:rsid w:val="004C69CA"/>
    <w:rsid w:val="004C6A0A"/>
    <w:rsid w:val="004C6BD3"/>
    <w:rsid w:val="004C7D45"/>
    <w:rsid w:val="004C7ED6"/>
    <w:rsid w:val="004D03F2"/>
    <w:rsid w:val="004D0D2B"/>
    <w:rsid w:val="004D1616"/>
    <w:rsid w:val="004D1C22"/>
    <w:rsid w:val="004D2147"/>
    <w:rsid w:val="004D2689"/>
    <w:rsid w:val="004D324C"/>
    <w:rsid w:val="004D3369"/>
    <w:rsid w:val="004D3A05"/>
    <w:rsid w:val="004D3C2A"/>
    <w:rsid w:val="004D40D3"/>
    <w:rsid w:val="004D431F"/>
    <w:rsid w:val="004D4BC3"/>
    <w:rsid w:val="004D4D4D"/>
    <w:rsid w:val="004D56C9"/>
    <w:rsid w:val="004D657E"/>
    <w:rsid w:val="004D6B73"/>
    <w:rsid w:val="004D6C78"/>
    <w:rsid w:val="004D7826"/>
    <w:rsid w:val="004D7B52"/>
    <w:rsid w:val="004E03C6"/>
    <w:rsid w:val="004E0B2B"/>
    <w:rsid w:val="004E1445"/>
    <w:rsid w:val="004E2A33"/>
    <w:rsid w:val="004E335B"/>
    <w:rsid w:val="004E3412"/>
    <w:rsid w:val="004E3546"/>
    <w:rsid w:val="004E39BD"/>
    <w:rsid w:val="004E3F9F"/>
    <w:rsid w:val="004E5212"/>
    <w:rsid w:val="004E560D"/>
    <w:rsid w:val="004E5EFB"/>
    <w:rsid w:val="004E6E3C"/>
    <w:rsid w:val="004E7663"/>
    <w:rsid w:val="004E7A57"/>
    <w:rsid w:val="004E7D4E"/>
    <w:rsid w:val="004F0D4C"/>
    <w:rsid w:val="004F10B8"/>
    <w:rsid w:val="004F1495"/>
    <w:rsid w:val="004F1826"/>
    <w:rsid w:val="004F18D0"/>
    <w:rsid w:val="004F1F1C"/>
    <w:rsid w:val="004F2A3D"/>
    <w:rsid w:val="004F3435"/>
    <w:rsid w:val="004F4CD1"/>
    <w:rsid w:val="004F4D3B"/>
    <w:rsid w:val="004F732F"/>
    <w:rsid w:val="004F792A"/>
    <w:rsid w:val="00500F6E"/>
    <w:rsid w:val="00501590"/>
    <w:rsid w:val="00501D73"/>
    <w:rsid w:val="005023BE"/>
    <w:rsid w:val="00502C7E"/>
    <w:rsid w:val="0050311E"/>
    <w:rsid w:val="00503533"/>
    <w:rsid w:val="00503D14"/>
    <w:rsid w:val="00504388"/>
    <w:rsid w:val="00504A9E"/>
    <w:rsid w:val="005054FA"/>
    <w:rsid w:val="00505668"/>
    <w:rsid w:val="00505C7B"/>
    <w:rsid w:val="00505EC9"/>
    <w:rsid w:val="0050679B"/>
    <w:rsid w:val="00506FF0"/>
    <w:rsid w:val="0050770A"/>
    <w:rsid w:val="00510A86"/>
    <w:rsid w:val="005112AC"/>
    <w:rsid w:val="0051183D"/>
    <w:rsid w:val="00511BB7"/>
    <w:rsid w:val="00511C56"/>
    <w:rsid w:val="00511D28"/>
    <w:rsid w:val="00511F75"/>
    <w:rsid w:val="005127D9"/>
    <w:rsid w:val="00512B56"/>
    <w:rsid w:val="00512CCF"/>
    <w:rsid w:val="00512FDD"/>
    <w:rsid w:val="005135BB"/>
    <w:rsid w:val="00513BD5"/>
    <w:rsid w:val="00513CCC"/>
    <w:rsid w:val="005142ED"/>
    <w:rsid w:val="00514FEE"/>
    <w:rsid w:val="00515761"/>
    <w:rsid w:val="005163B0"/>
    <w:rsid w:val="00516B4B"/>
    <w:rsid w:val="00516DD2"/>
    <w:rsid w:val="00516DF7"/>
    <w:rsid w:val="00516FAC"/>
    <w:rsid w:val="00517394"/>
    <w:rsid w:val="00517579"/>
    <w:rsid w:val="00517BAA"/>
    <w:rsid w:val="00517DDF"/>
    <w:rsid w:val="0052068F"/>
    <w:rsid w:val="00520927"/>
    <w:rsid w:val="00520E8A"/>
    <w:rsid w:val="00521E25"/>
    <w:rsid w:val="005231C1"/>
    <w:rsid w:val="0052356E"/>
    <w:rsid w:val="00523B98"/>
    <w:rsid w:val="005240D8"/>
    <w:rsid w:val="005241CB"/>
    <w:rsid w:val="005255C6"/>
    <w:rsid w:val="00525760"/>
    <w:rsid w:val="005267B6"/>
    <w:rsid w:val="0052692B"/>
    <w:rsid w:val="00527532"/>
    <w:rsid w:val="00530943"/>
    <w:rsid w:val="00530C72"/>
    <w:rsid w:val="0053127A"/>
    <w:rsid w:val="00531682"/>
    <w:rsid w:val="00531730"/>
    <w:rsid w:val="00532A32"/>
    <w:rsid w:val="0053328D"/>
    <w:rsid w:val="00533C20"/>
    <w:rsid w:val="0053428F"/>
    <w:rsid w:val="005345BD"/>
    <w:rsid w:val="0053611A"/>
    <w:rsid w:val="00536E88"/>
    <w:rsid w:val="00537323"/>
    <w:rsid w:val="00537F7B"/>
    <w:rsid w:val="005406EF"/>
    <w:rsid w:val="00540B22"/>
    <w:rsid w:val="00541498"/>
    <w:rsid w:val="00541771"/>
    <w:rsid w:val="00541951"/>
    <w:rsid w:val="00542104"/>
    <w:rsid w:val="00542CBD"/>
    <w:rsid w:val="00542F4A"/>
    <w:rsid w:val="005438D3"/>
    <w:rsid w:val="00543D57"/>
    <w:rsid w:val="0054404F"/>
    <w:rsid w:val="0054444A"/>
    <w:rsid w:val="00544ABB"/>
    <w:rsid w:val="005451CF"/>
    <w:rsid w:val="00546C90"/>
    <w:rsid w:val="00546E43"/>
    <w:rsid w:val="00547A21"/>
    <w:rsid w:val="0055050E"/>
    <w:rsid w:val="00550539"/>
    <w:rsid w:val="00550A04"/>
    <w:rsid w:val="0055155F"/>
    <w:rsid w:val="005528B2"/>
    <w:rsid w:val="00553611"/>
    <w:rsid w:val="005540C6"/>
    <w:rsid w:val="005541BF"/>
    <w:rsid w:val="005543C9"/>
    <w:rsid w:val="00554A37"/>
    <w:rsid w:val="00554A4C"/>
    <w:rsid w:val="00556926"/>
    <w:rsid w:val="0055699F"/>
    <w:rsid w:val="005571CF"/>
    <w:rsid w:val="00557DC1"/>
    <w:rsid w:val="00560138"/>
    <w:rsid w:val="005612E5"/>
    <w:rsid w:val="00561499"/>
    <w:rsid w:val="00561D6E"/>
    <w:rsid w:val="00561F67"/>
    <w:rsid w:val="00562ADB"/>
    <w:rsid w:val="0056326A"/>
    <w:rsid w:val="00563886"/>
    <w:rsid w:val="00563E58"/>
    <w:rsid w:val="00564EB5"/>
    <w:rsid w:val="00564FA7"/>
    <w:rsid w:val="005654EF"/>
    <w:rsid w:val="005658E9"/>
    <w:rsid w:val="00565A65"/>
    <w:rsid w:val="00567D15"/>
    <w:rsid w:val="00570266"/>
    <w:rsid w:val="005702D0"/>
    <w:rsid w:val="005705A3"/>
    <w:rsid w:val="00570B05"/>
    <w:rsid w:val="00571208"/>
    <w:rsid w:val="005736C2"/>
    <w:rsid w:val="0057473A"/>
    <w:rsid w:val="00576D39"/>
    <w:rsid w:val="00581002"/>
    <w:rsid w:val="00581540"/>
    <w:rsid w:val="00581B53"/>
    <w:rsid w:val="00581B9F"/>
    <w:rsid w:val="0058239B"/>
    <w:rsid w:val="00582554"/>
    <w:rsid w:val="00582BD0"/>
    <w:rsid w:val="00583727"/>
    <w:rsid w:val="00583773"/>
    <w:rsid w:val="00584A03"/>
    <w:rsid w:val="00584D1A"/>
    <w:rsid w:val="00584DB8"/>
    <w:rsid w:val="00584E89"/>
    <w:rsid w:val="00586FBA"/>
    <w:rsid w:val="00591009"/>
    <w:rsid w:val="005912D4"/>
    <w:rsid w:val="005916B7"/>
    <w:rsid w:val="005919B6"/>
    <w:rsid w:val="00592112"/>
    <w:rsid w:val="00592B04"/>
    <w:rsid w:val="00592B52"/>
    <w:rsid w:val="00592ED2"/>
    <w:rsid w:val="005945E0"/>
    <w:rsid w:val="0059460B"/>
    <w:rsid w:val="005950E1"/>
    <w:rsid w:val="00596AD2"/>
    <w:rsid w:val="0059711B"/>
    <w:rsid w:val="00597A63"/>
    <w:rsid w:val="00597E7B"/>
    <w:rsid w:val="005A04EC"/>
    <w:rsid w:val="005A0A08"/>
    <w:rsid w:val="005A0E3A"/>
    <w:rsid w:val="005A0EA1"/>
    <w:rsid w:val="005A1AFB"/>
    <w:rsid w:val="005A2CAB"/>
    <w:rsid w:val="005A3330"/>
    <w:rsid w:val="005A38BB"/>
    <w:rsid w:val="005A38CD"/>
    <w:rsid w:val="005A3AA8"/>
    <w:rsid w:val="005A4246"/>
    <w:rsid w:val="005A495B"/>
    <w:rsid w:val="005A4FEF"/>
    <w:rsid w:val="005A6EA7"/>
    <w:rsid w:val="005A713C"/>
    <w:rsid w:val="005A7720"/>
    <w:rsid w:val="005A7B00"/>
    <w:rsid w:val="005A7B24"/>
    <w:rsid w:val="005B033A"/>
    <w:rsid w:val="005B23F2"/>
    <w:rsid w:val="005B4F39"/>
    <w:rsid w:val="005B4F60"/>
    <w:rsid w:val="005B526D"/>
    <w:rsid w:val="005B56F6"/>
    <w:rsid w:val="005B5F9D"/>
    <w:rsid w:val="005B687F"/>
    <w:rsid w:val="005B78EC"/>
    <w:rsid w:val="005C1339"/>
    <w:rsid w:val="005C2131"/>
    <w:rsid w:val="005C2134"/>
    <w:rsid w:val="005C2C21"/>
    <w:rsid w:val="005C2DFE"/>
    <w:rsid w:val="005C4309"/>
    <w:rsid w:val="005C4B0D"/>
    <w:rsid w:val="005C5894"/>
    <w:rsid w:val="005C6DB5"/>
    <w:rsid w:val="005C7B56"/>
    <w:rsid w:val="005D023C"/>
    <w:rsid w:val="005D0A03"/>
    <w:rsid w:val="005D0D22"/>
    <w:rsid w:val="005D133D"/>
    <w:rsid w:val="005D1CB7"/>
    <w:rsid w:val="005D23C4"/>
    <w:rsid w:val="005D2BFD"/>
    <w:rsid w:val="005D3505"/>
    <w:rsid w:val="005D35DB"/>
    <w:rsid w:val="005D3C40"/>
    <w:rsid w:val="005D3E76"/>
    <w:rsid w:val="005D3ED2"/>
    <w:rsid w:val="005D3FF4"/>
    <w:rsid w:val="005D4548"/>
    <w:rsid w:val="005D45B2"/>
    <w:rsid w:val="005D5205"/>
    <w:rsid w:val="005D5586"/>
    <w:rsid w:val="005D64EE"/>
    <w:rsid w:val="005D6D31"/>
    <w:rsid w:val="005D6E97"/>
    <w:rsid w:val="005D70C7"/>
    <w:rsid w:val="005D72FC"/>
    <w:rsid w:val="005D7B5C"/>
    <w:rsid w:val="005E1269"/>
    <w:rsid w:val="005E1586"/>
    <w:rsid w:val="005E1B3B"/>
    <w:rsid w:val="005E1CF5"/>
    <w:rsid w:val="005E2DD4"/>
    <w:rsid w:val="005E2F0F"/>
    <w:rsid w:val="005E31E9"/>
    <w:rsid w:val="005E34B8"/>
    <w:rsid w:val="005E3FA8"/>
    <w:rsid w:val="005E45BF"/>
    <w:rsid w:val="005F00A8"/>
    <w:rsid w:val="005F04FD"/>
    <w:rsid w:val="005F07AF"/>
    <w:rsid w:val="005F179E"/>
    <w:rsid w:val="005F18B9"/>
    <w:rsid w:val="005F229E"/>
    <w:rsid w:val="005F2746"/>
    <w:rsid w:val="005F2834"/>
    <w:rsid w:val="005F3707"/>
    <w:rsid w:val="005F3F66"/>
    <w:rsid w:val="005F454B"/>
    <w:rsid w:val="005F5F52"/>
    <w:rsid w:val="005F645F"/>
    <w:rsid w:val="005F6486"/>
    <w:rsid w:val="005F69A0"/>
    <w:rsid w:val="005F725C"/>
    <w:rsid w:val="005F7CFC"/>
    <w:rsid w:val="005F7F4F"/>
    <w:rsid w:val="006004E5"/>
    <w:rsid w:val="00600593"/>
    <w:rsid w:val="00600A11"/>
    <w:rsid w:val="00600D89"/>
    <w:rsid w:val="0060285A"/>
    <w:rsid w:val="006038EE"/>
    <w:rsid w:val="00603F2B"/>
    <w:rsid w:val="00605165"/>
    <w:rsid w:val="0060537C"/>
    <w:rsid w:val="006054B6"/>
    <w:rsid w:val="00605B1C"/>
    <w:rsid w:val="006075D7"/>
    <w:rsid w:val="00610099"/>
    <w:rsid w:val="00610837"/>
    <w:rsid w:val="00610AD8"/>
    <w:rsid w:val="0061118B"/>
    <w:rsid w:val="006127FA"/>
    <w:rsid w:val="00612E00"/>
    <w:rsid w:val="006132E7"/>
    <w:rsid w:val="00613C4E"/>
    <w:rsid w:val="00614095"/>
    <w:rsid w:val="0061575B"/>
    <w:rsid w:val="006159CF"/>
    <w:rsid w:val="00616640"/>
    <w:rsid w:val="00616849"/>
    <w:rsid w:val="00616D7C"/>
    <w:rsid w:val="00616DD6"/>
    <w:rsid w:val="00617594"/>
    <w:rsid w:val="00617685"/>
    <w:rsid w:val="00620269"/>
    <w:rsid w:val="00620541"/>
    <w:rsid w:val="00620D06"/>
    <w:rsid w:val="0062234D"/>
    <w:rsid w:val="006228D0"/>
    <w:rsid w:val="00622BBD"/>
    <w:rsid w:val="00622E79"/>
    <w:rsid w:val="006234DD"/>
    <w:rsid w:val="00624310"/>
    <w:rsid w:val="00625001"/>
    <w:rsid w:val="006265EB"/>
    <w:rsid w:val="00627EEB"/>
    <w:rsid w:val="0063099E"/>
    <w:rsid w:val="00631592"/>
    <w:rsid w:val="0063170E"/>
    <w:rsid w:val="0063296F"/>
    <w:rsid w:val="006329CC"/>
    <w:rsid w:val="00634B5A"/>
    <w:rsid w:val="0063516F"/>
    <w:rsid w:val="00635B9F"/>
    <w:rsid w:val="0063701B"/>
    <w:rsid w:val="006370CC"/>
    <w:rsid w:val="006370F1"/>
    <w:rsid w:val="006373F7"/>
    <w:rsid w:val="0063780B"/>
    <w:rsid w:val="0063786D"/>
    <w:rsid w:val="0064117F"/>
    <w:rsid w:val="006411E7"/>
    <w:rsid w:val="00641CF2"/>
    <w:rsid w:val="00641D8C"/>
    <w:rsid w:val="00642A09"/>
    <w:rsid w:val="00642A29"/>
    <w:rsid w:val="00642A84"/>
    <w:rsid w:val="0064456D"/>
    <w:rsid w:val="00644FB2"/>
    <w:rsid w:val="0064598C"/>
    <w:rsid w:val="00645A9C"/>
    <w:rsid w:val="00645F63"/>
    <w:rsid w:val="00646D88"/>
    <w:rsid w:val="006476D2"/>
    <w:rsid w:val="0065111C"/>
    <w:rsid w:val="00651961"/>
    <w:rsid w:val="00651C17"/>
    <w:rsid w:val="00651DDF"/>
    <w:rsid w:val="00653019"/>
    <w:rsid w:val="0065319A"/>
    <w:rsid w:val="00653240"/>
    <w:rsid w:val="00653437"/>
    <w:rsid w:val="006534CB"/>
    <w:rsid w:val="00654826"/>
    <w:rsid w:val="00654D60"/>
    <w:rsid w:val="00654E16"/>
    <w:rsid w:val="0065510B"/>
    <w:rsid w:val="006551AC"/>
    <w:rsid w:val="00655EFF"/>
    <w:rsid w:val="0065606E"/>
    <w:rsid w:val="00656234"/>
    <w:rsid w:val="00656470"/>
    <w:rsid w:val="00657BA4"/>
    <w:rsid w:val="0066002E"/>
    <w:rsid w:val="00660458"/>
    <w:rsid w:val="0066149E"/>
    <w:rsid w:val="00661641"/>
    <w:rsid w:val="00661709"/>
    <w:rsid w:val="00662391"/>
    <w:rsid w:val="00663E0B"/>
    <w:rsid w:val="00664312"/>
    <w:rsid w:val="00664514"/>
    <w:rsid w:val="00665F7B"/>
    <w:rsid w:val="006664EF"/>
    <w:rsid w:val="006669CE"/>
    <w:rsid w:val="00667413"/>
    <w:rsid w:val="00667AC6"/>
    <w:rsid w:val="00670885"/>
    <w:rsid w:val="00670EC2"/>
    <w:rsid w:val="00671518"/>
    <w:rsid w:val="006715FB"/>
    <w:rsid w:val="00671E2C"/>
    <w:rsid w:val="00673D6D"/>
    <w:rsid w:val="00674377"/>
    <w:rsid w:val="00674E4C"/>
    <w:rsid w:val="0067540F"/>
    <w:rsid w:val="0067586D"/>
    <w:rsid w:val="006758AF"/>
    <w:rsid w:val="00675AAF"/>
    <w:rsid w:val="0067625A"/>
    <w:rsid w:val="006764FF"/>
    <w:rsid w:val="0067653F"/>
    <w:rsid w:val="00676C3D"/>
    <w:rsid w:val="00676DF8"/>
    <w:rsid w:val="00676F52"/>
    <w:rsid w:val="0067728A"/>
    <w:rsid w:val="006777CB"/>
    <w:rsid w:val="006778EC"/>
    <w:rsid w:val="00680594"/>
    <w:rsid w:val="00680DC2"/>
    <w:rsid w:val="0068223F"/>
    <w:rsid w:val="00683B76"/>
    <w:rsid w:val="00683F8E"/>
    <w:rsid w:val="0068405F"/>
    <w:rsid w:val="0068426C"/>
    <w:rsid w:val="0068458A"/>
    <w:rsid w:val="006853E3"/>
    <w:rsid w:val="0068573B"/>
    <w:rsid w:val="006863ED"/>
    <w:rsid w:val="0068647A"/>
    <w:rsid w:val="00686A04"/>
    <w:rsid w:val="00686CB4"/>
    <w:rsid w:val="00686ECF"/>
    <w:rsid w:val="0068751B"/>
    <w:rsid w:val="00687E50"/>
    <w:rsid w:val="00687F34"/>
    <w:rsid w:val="0069050E"/>
    <w:rsid w:val="0069070A"/>
    <w:rsid w:val="006907F5"/>
    <w:rsid w:val="00690A02"/>
    <w:rsid w:val="0069209D"/>
    <w:rsid w:val="006927EF"/>
    <w:rsid w:val="00693DF8"/>
    <w:rsid w:val="006943CF"/>
    <w:rsid w:val="0069482F"/>
    <w:rsid w:val="00694A99"/>
    <w:rsid w:val="00695D91"/>
    <w:rsid w:val="00696B4B"/>
    <w:rsid w:val="00696C89"/>
    <w:rsid w:val="00697EA1"/>
    <w:rsid w:val="00697F16"/>
    <w:rsid w:val="006A03C0"/>
    <w:rsid w:val="006A08F1"/>
    <w:rsid w:val="006A1B4A"/>
    <w:rsid w:val="006A1EC1"/>
    <w:rsid w:val="006A2033"/>
    <w:rsid w:val="006A26F7"/>
    <w:rsid w:val="006A2A22"/>
    <w:rsid w:val="006A36FB"/>
    <w:rsid w:val="006A3951"/>
    <w:rsid w:val="006A450D"/>
    <w:rsid w:val="006A49C6"/>
    <w:rsid w:val="006A4D0F"/>
    <w:rsid w:val="006A5C5A"/>
    <w:rsid w:val="006A5DD3"/>
    <w:rsid w:val="006A6570"/>
    <w:rsid w:val="006A7351"/>
    <w:rsid w:val="006A75F4"/>
    <w:rsid w:val="006A7E0B"/>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C07DD"/>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8A0"/>
    <w:rsid w:val="006D2CEF"/>
    <w:rsid w:val="006D35DF"/>
    <w:rsid w:val="006D36D6"/>
    <w:rsid w:val="006D3824"/>
    <w:rsid w:val="006D4211"/>
    <w:rsid w:val="006D427E"/>
    <w:rsid w:val="006D45FD"/>
    <w:rsid w:val="006D48D4"/>
    <w:rsid w:val="006D5C1D"/>
    <w:rsid w:val="006D5DDB"/>
    <w:rsid w:val="006D67F0"/>
    <w:rsid w:val="006D6EF1"/>
    <w:rsid w:val="006D7009"/>
    <w:rsid w:val="006D72F3"/>
    <w:rsid w:val="006D7445"/>
    <w:rsid w:val="006D7680"/>
    <w:rsid w:val="006E003D"/>
    <w:rsid w:val="006E09E3"/>
    <w:rsid w:val="006E10EB"/>
    <w:rsid w:val="006E12C1"/>
    <w:rsid w:val="006E17C0"/>
    <w:rsid w:val="006E1840"/>
    <w:rsid w:val="006E1ED5"/>
    <w:rsid w:val="006E20CD"/>
    <w:rsid w:val="006E260A"/>
    <w:rsid w:val="006E285F"/>
    <w:rsid w:val="006E333D"/>
    <w:rsid w:val="006E380B"/>
    <w:rsid w:val="006E3AE9"/>
    <w:rsid w:val="006E5BC6"/>
    <w:rsid w:val="006E5CA2"/>
    <w:rsid w:val="006E7961"/>
    <w:rsid w:val="006E79F4"/>
    <w:rsid w:val="006F0265"/>
    <w:rsid w:val="006F02DB"/>
    <w:rsid w:val="006F056A"/>
    <w:rsid w:val="006F0B68"/>
    <w:rsid w:val="006F0F4E"/>
    <w:rsid w:val="006F1299"/>
    <w:rsid w:val="006F2E2A"/>
    <w:rsid w:val="006F37F6"/>
    <w:rsid w:val="006F47E4"/>
    <w:rsid w:val="006F49B1"/>
    <w:rsid w:val="006F639B"/>
    <w:rsid w:val="006F7515"/>
    <w:rsid w:val="006F793C"/>
    <w:rsid w:val="006F7A27"/>
    <w:rsid w:val="006F7AA9"/>
    <w:rsid w:val="00700376"/>
    <w:rsid w:val="00700A86"/>
    <w:rsid w:val="0070103F"/>
    <w:rsid w:val="00701403"/>
    <w:rsid w:val="00701ABE"/>
    <w:rsid w:val="00701DDB"/>
    <w:rsid w:val="00701E0F"/>
    <w:rsid w:val="00701E9D"/>
    <w:rsid w:val="007025FD"/>
    <w:rsid w:val="007034BB"/>
    <w:rsid w:val="0070375C"/>
    <w:rsid w:val="00704219"/>
    <w:rsid w:val="0070466F"/>
    <w:rsid w:val="00706374"/>
    <w:rsid w:val="007076FB"/>
    <w:rsid w:val="00710183"/>
    <w:rsid w:val="00710676"/>
    <w:rsid w:val="0071070F"/>
    <w:rsid w:val="0071187E"/>
    <w:rsid w:val="00712073"/>
    <w:rsid w:val="00712113"/>
    <w:rsid w:val="00712969"/>
    <w:rsid w:val="00712C81"/>
    <w:rsid w:val="0071335D"/>
    <w:rsid w:val="007136BE"/>
    <w:rsid w:val="00717CD7"/>
    <w:rsid w:val="007207B3"/>
    <w:rsid w:val="00720A50"/>
    <w:rsid w:val="007210C4"/>
    <w:rsid w:val="00722139"/>
    <w:rsid w:val="00722C13"/>
    <w:rsid w:val="00722FA5"/>
    <w:rsid w:val="007236AC"/>
    <w:rsid w:val="00723AD8"/>
    <w:rsid w:val="00723F19"/>
    <w:rsid w:val="007240F8"/>
    <w:rsid w:val="00724706"/>
    <w:rsid w:val="00725C2A"/>
    <w:rsid w:val="00726F2A"/>
    <w:rsid w:val="007271CA"/>
    <w:rsid w:val="00727204"/>
    <w:rsid w:val="00727297"/>
    <w:rsid w:val="00727745"/>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5C4E"/>
    <w:rsid w:val="00736176"/>
    <w:rsid w:val="00736364"/>
    <w:rsid w:val="007377A6"/>
    <w:rsid w:val="00737A10"/>
    <w:rsid w:val="007400F7"/>
    <w:rsid w:val="007409DF"/>
    <w:rsid w:val="00740BE9"/>
    <w:rsid w:val="00741A4E"/>
    <w:rsid w:val="00741D29"/>
    <w:rsid w:val="00742D29"/>
    <w:rsid w:val="007432DA"/>
    <w:rsid w:val="007439D9"/>
    <w:rsid w:val="00743FDE"/>
    <w:rsid w:val="0074457D"/>
    <w:rsid w:val="00744B38"/>
    <w:rsid w:val="00744C68"/>
    <w:rsid w:val="00744E5D"/>
    <w:rsid w:val="007450EF"/>
    <w:rsid w:val="00745195"/>
    <w:rsid w:val="0074552A"/>
    <w:rsid w:val="0074639C"/>
    <w:rsid w:val="00746914"/>
    <w:rsid w:val="00747058"/>
    <w:rsid w:val="0075075C"/>
    <w:rsid w:val="00750B0E"/>
    <w:rsid w:val="00751075"/>
    <w:rsid w:val="0075157D"/>
    <w:rsid w:val="007517CC"/>
    <w:rsid w:val="0075307C"/>
    <w:rsid w:val="00753870"/>
    <w:rsid w:val="00754291"/>
    <w:rsid w:val="00754B3C"/>
    <w:rsid w:val="00755481"/>
    <w:rsid w:val="00755A5A"/>
    <w:rsid w:val="00755CB2"/>
    <w:rsid w:val="0075626B"/>
    <w:rsid w:val="00756B25"/>
    <w:rsid w:val="007575AD"/>
    <w:rsid w:val="007577CC"/>
    <w:rsid w:val="00757902"/>
    <w:rsid w:val="0075795E"/>
    <w:rsid w:val="00757BAD"/>
    <w:rsid w:val="00757CA8"/>
    <w:rsid w:val="007602C2"/>
    <w:rsid w:val="007609F8"/>
    <w:rsid w:val="00761975"/>
    <w:rsid w:val="0076259C"/>
    <w:rsid w:val="007628EB"/>
    <w:rsid w:val="00763113"/>
    <w:rsid w:val="007632ED"/>
    <w:rsid w:val="00763F43"/>
    <w:rsid w:val="0076405C"/>
    <w:rsid w:val="00764207"/>
    <w:rsid w:val="00764B33"/>
    <w:rsid w:val="007652C1"/>
    <w:rsid w:val="00765415"/>
    <w:rsid w:val="007656A2"/>
    <w:rsid w:val="00766673"/>
    <w:rsid w:val="0076739F"/>
    <w:rsid w:val="007675FD"/>
    <w:rsid w:val="007700CD"/>
    <w:rsid w:val="007703A0"/>
    <w:rsid w:val="0077147D"/>
    <w:rsid w:val="00771A62"/>
    <w:rsid w:val="007723EF"/>
    <w:rsid w:val="00772CCE"/>
    <w:rsid w:val="00773849"/>
    <w:rsid w:val="00773C18"/>
    <w:rsid w:val="007744C8"/>
    <w:rsid w:val="00774A0F"/>
    <w:rsid w:val="0077512C"/>
    <w:rsid w:val="00775334"/>
    <w:rsid w:val="00775B68"/>
    <w:rsid w:val="00775C3D"/>
    <w:rsid w:val="007762D7"/>
    <w:rsid w:val="007764DA"/>
    <w:rsid w:val="007769B2"/>
    <w:rsid w:val="007769BD"/>
    <w:rsid w:val="0077702B"/>
    <w:rsid w:val="007773B5"/>
    <w:rsid w:val="00777644"/>
    <w:rsid w:val="00780507"/>
    <w:rsid w:val="00780B38"/>
    <w:rsid w:val="00781B23"/>
    <w:rsid w:val="007839A3"/>
    <w:rsid w:val="00784234"/>
    <w:rsid w:val="00784BC6"/>
    <w:rsid w:val="0078515F"/>
    <w:rsid w:val="00785378"/>
    <w:rsid w:val="007855C4"/>
    <w:rsid w:val="00786142"/>
    <w:rsid w:val="007917D3"/>
    <w:rsid w:val="00791C47"/>
    <w:rsid w:val="00791C7D"/>
    <w:rsid w:val="00791D74"/>
    <w:rsid w:val="00792222"/>
    <w:rsid w:val="00792CCA"/>
    <w:rsid w:val="007933FD"/>
    <w:rsid w:val="0079399F"/>
    <w:rsid w:val="00793DA9"/>
    <w:rsid w:val="00793FF8"/>
    <w:rsid w:val="00796A5D"/>
    <w:rsid w:val="00797DB9"/>
    <w:rsid w:val="007A0570"/>
    <w:rsid w:val="007A1A04"/>
    <w:rsid w:val="007A2DFB"/>
    <w:rsid w:val="007A42C5"/>
    <w:rsid w:val="007A6169"/>
    <w:rsid w:val="007A7098"/>
    <w:rsid w:val="007A7754"/>
    <w:rsid w:val="007B068D"/>
    <w:rsid w:val="007B0DA3"/>
    <w:rsid w:val="007B0F91"/>
    <w:rsid w:val="007B14F0"/>
    <w:rsid w:val="007B189B"/>
    <w:rsid w:val="007B1F02"/>
    <w:rsid w:val="007B2F4C"/>
    <w:rsid w:val="007B31E0"/>
    <w:rsid w:val="007B3678"/>
    <w:rsid w:val="007B3BCA"/>
    <w:rsid w:val="007B3C29"/>
    <w:rsid w:val="007B50BF"/>
    <w:rsid w:val="007B5914"/>
    <w:rsid w:val="007B59B9"/>
    <w:rsid w:val="007B5C94"/>
    <w:rsid w:val="007B5EA8"/>
    <w:rsid w:val="007B6705"/>
    <w:rsid w:val="007B6995"/>
    <w:rsid w:val="007B7649"/>
    <w:rsid w:val="007B7BD3"/>
    <w:rsid w:val="007C00D3"/>
    <w:rsid w:val="007C00F4"/>
    <w:rsid w:val="007C02A0"/>
    <w:rsid w:val="007C0A2F"/>
    <w:rsid w:val="007C0BD2"/>
    <w:rsid w:val="007C10C9"/>
    <w:rsid w:val="007C1136"/>
    <w:rsid w:val="007C171C"/>
    <w:rsid w:val="007C2978"/>
    <w:rsid w:val="007C3498"/>
    <w:rsid w:val="007C34E8"/>
    <w:rsid w:val="007C3771"/>
    <w:rsid w:val="007C382E"/>
    <w:rsid w:val="007C666C"/>
    <w:rsid w:val="007D1DB0"/>
    <w:rsid w:val="007D2517"/>
    <w:rsid w:val="007D2995"/>
    <w:rsid w:val="007D390C"/>
    <w:rsid w:val="007D3CFD"/>
    <w:rsid w:val="007D5C3A"/>
    <w:rsid w:val="007D60FD"/>
    <w:rsid w:val="007D7D6D"/>
    <w:rsid w:val="007D7DA5"/>
    <w:rsid w:val="007E0172"/>
    <w:rsid w:val="007E03CA"/>
    <w:rsid w:val="007E0B38"/>
    <w:rsid w:val="007E217E"/>
    <w:rsid w:val="007E2A84"/>
    <w:rsid w:val="007E3448"/>
    <w:rsid w:val="007E3E2A"/>
    <w:rsid w:val="007E60DF"/>
    <w:rsid w:val="007E6363"/>
    <w:rsid w:val="007E68F7"/>
    <w:rsid w:val="007E749B"/>
    <w:rsid w:val="007E7C3A"/>
    <w:rsid w:val="007E7D1A"/>
    <w:rsid w:val="007F0108"/>
    <w:rsid w:val="007F0CE6"/>
    <w:rsid w:val="007F11AC"/>
    <w:rsid w:val="007F2690"/>
    <w:rsid w:val="007F2873"/>
    <w:rsid w:val="007F2CAC"/>
    <w:rsid w:val="007F52A3"/>
    <w:rsid w:val="007F5519"/>
    <w:rsid w:val="007F5E30"/>
    <w:rsid w:val="007F681B"/>
    <w:rsid w:val="007F74AA"/>
    <w:rsid w:val="00801CDF"/>
    <w:rsid w:val="00803707"/>
    <w:rsid w:val="00803FFA"/>
    <w:rsid w:val="00804197"/>
    <w:rsid w:val="00805453"/>
    <w:rsid w:val="0080577D"/>
    <w:rsid w:val="00805D1C"/>
    <w:rsid w:val="0080637F"/>
    <w:rsid w:val="008102C5"/>
    <w:rsid w:val="00810459"/>
    <w:rsid w:val="0081053E"/>
    <w:rsid w:val="008107C7"/>
    <w:rsid w:val="008108CE"/>
    <w:rsid w:val="00810B12"/>
    <w:rsid w:val="00810B68"/>
    <w:rsid w:val="00810BFA"/>
    <w:rsid w:val="00810F1A"/>
    <w:rsid w:val="00811205"/>
    <w:rsid w:val="008125B3"/>
    <w:rsid w:val="00812945"/>
    <w:rsid w:val="00812B00"/>
    <w:rsid w:val="00812BD5"/>
    <w:rsid w:val="00813641"/>
    <w:rsid w:val="00814414"/>
    <w:rsid w:val="0081579C"/>
    <w:rsid w:val="00815CEF"/>
    <w:rsid w:val="00815F8C"/>
    <w:rsid w:val="008178B1"/>
    <w:rsid w:val="00817FFE"/>
    <w:rsid w:val="008212E0"/>
    <w:rsid w:val="00821679"/>
    <w:rsid w:val="008223D1"/>
    <w:rsid w:val="008227E6"/>
    <w:rsid w:val="00822C9C"/>
    <w:rsid w:val="00822D62"/>
    <w:rsid w:val="00823AF4"/>
    <w:rsid w:val="0082415A"/>
    <w:rsid w:val="00824992"/>
    <w:rsid w:val="008256AF"/>
    <w:rsid w:val="00825D5D"/>
    <w:rsid w:val="00826A86"/>
    <w:rsid w:val="008271C0"/>
    <w:rsid w:val="0082726C"/>
    <w:rsid w:val="00827D5E"/>
    <w:rsid w:val="00827DBE"/>
    <w:rsid w:val="00830622"/>
    <w:rsid w:val="008311AF"/>
    <w:rsid w:val="00831DD7"/>
    <w:rsid w:val="00831F9E"/>
    <w:rsid w:val="00832315"/>
    <w:rsid w:val="0083306C"/>
    <w:rsid w:val="008346EE"/>
    <w:rsid w:val="00834F68"/>
    <w:rsid w:val="00836B55"/>
    <w:rsid w:val="00836B60"/>
    <w:rsid w:val="0083717B"/>
    <w:rsid w:val="008375CF"/>
    <w:rsid w:val="008379F0"/>
    <w:rsid w:val="008404EC"/>
    <w:rsid w:val="00840DE6"/>
    <w:rsid w:val="0084190B"/>
    <w:rsid w:val="0084270B"/>
    <w:rsid w:val="00842AF8"/>
    <w:rsid w:val="00843F9A"/>
    <w:rsid w:val="008443B8"/>
    <w:rsid w:val="00845494"/>
    <w:rsid w:val="0084584C"/>
    <w:rsid w:val="00845907"/>
    <w:rsid w:val="00847AAD"/>
    <w:rsid w:val="00847D94"/>
    <w:rsid w:val="008506CD"/>
    <w:rsid w:val="00850B8B"/>
    <w:rsid w:val="00850BE9"/>
    <w:rsid w:val="00851884"/>
    <w:rsid w:val="00852773"/>
    <w:rsid w:val="008530C7"/>
    <w:rsid w:val="008539ED"/>
    <w:rsid w:val="00854C93"/>
    <w:rsid w:val="00856A6A"/>
    <w:rsid w:val="00856CF3"/>
    <w:rsid w:val="00857759"/>
    <w:rsid w:val="00857870"/>
    <w:rsid w:val="008601A6"/>
    <w:rsid w:val="008604AA"/>
    <w:rsid w:val="00860535"/>
    <w:rsid w:val="00860F74"/>
    <w:rsid w:val="008615B7"/>
    <w:rsid w:val="00861834"/>
    <w:rsid w:val="0086190C"/>
    <w:rsid w:val="00861956"/>
    <w:rsid w:val="00863CAF"/>
    <w:rsid w:val="00863DEF"/>
    <w:rsid w:val="00864502"/>
    <w:rsid w:val="00865191"/>
    <w:rsid w:val="00865860"/>
    <w:rsid w:val="00865A09"/>
    <w:rsid w:val="00865E8F"/>
    <w:rsid w:val="00866094"/>
    <w:rsid w:val="00866613"/>
    <w:rsid w:val="00870006"/>
    <w:rsid w:val="0087199B"/>
    <w:rsid w:val="00872340"/>
    <w:rsid w:val="008724F1"/>
    <w:rsid w:val="00872EAC"/>
    <w:rsid w:val="008735D0"/>
    <w:rsid w:val="0087389C"/>
    <w:rsid w:val="00874424"/>
    <w:rsid w:val="0087486B"/>
    <w:rsid w:val="008769A0"/>
    <w:rsid w:val="00876A20"/>
    <w:rsid w:val="00876C16"/>
    <w:rsid w:val="00876F68"/>
    <w:rsid w:val="008778A5"/>
    <w:rsid w:val="0088020C"/>
    <w:rsid w:val="00880A66"/>
    <w:rsid w:val="00881B1B"/>
    <w:rsid w:val="00882CD6"/>
    <w:rsid w:val="00884090"/>
    <w:rsid w:val="00884D8A"/>
    <w:rsid w:val="00884E48"/>
    <w:rsid w:val="00885204"/>
    <w:rsid w:val="008858A4"/>
    <w:rsid w:val="00885C35"/>
    <w:rsid w:val="00885CF8"/>
    <w:rsid w:val="008870C8"/>
    <w:rsid w:val="00887313"/>
    <w:rsid w:val="0088783C"/>
    <w:rsid w:val="00887F29"/>
    <w:rsid w:val="0089155C"/>
    <w:rsid w:val="00891965"/>
    <w:rsid w:val="00891F7D"/>
    <w:rsid w:val="00892170"/>
    <w:rsid w:val="008927A5"/>
    <w:rsid w:val="008927B2"/>
    <w:rsid w:val="00892B80"/>
    <w:rsid w:val="00892EB9"/>
    <w:rsid w:val="008930E9"/>
    <w:rsid w:val="0089380F"/>
    <w:rsid w:val="00893B2A"/>
    <w:rsid w:val="008946D5"/>
    <w:rsid w:val="008951A5"/>
    <w:rsid w:val="00895746"/>
    <w:rsid w:val="008960EC"/>
    <w:rsid w:val="00896A7B"/>
    <w:rsid w:val="0089734C"/>
    <w:rsid w:val="00897F59"/>
    <w:rsid w:val="008A021C"/>
    <w:rsid w:val="008A08E6"/>
    <w:rsid w:val="008A0E1F"/>
    <w:rsid w:val="008A223E"/>
    <w:rsid w:val="008A289D"/>
    <w:rsid w:val="008A2B5B"/>
    <w:rsid w:val="008A2C54"/>
    <w:rsid w:val="008A335E"/>
    <w:rsid w:val="008A3366"/>
    <w:rsid w:val="008A4455"/>
    <w:rsid w:val="008A5F44"/>
    <w:rsid w:val="008A68DA"/>
    <w:rsid w:val="008A6C86"/>
    <w:rsid w:val="008A7DB8"/>
    <w:rsid w:val="008B0056"/>
    <w:rsid w:val="008B00F7"/>
    <w:rsid w:val="008B03D1"/>
    <w:rsid w:val="008B06F3"/>
    <w:rsid w:val="008B183D"/>
    <w:rsid w:val="008B190F"/>
    <w:rsid w:val="008B2ADB"/>
    <w:rsid w:val="008B2E71"/>
    <w:rsid w:val="008B3932"/>
    <w:rsid w:val="008B4334"/>
    <w:rsid w:val="008B4975"/>
    <w:rsid w:val="008B4EAF"/>
    <w:rsid w:val="008B533E"/>
    <w:rsid w:val="008B54CA"/>
    <w:rsid w:val="008B58F8"/>
    <w:rsid w:val="008B5FA2"/>
    <w:rsid w:val="008B6647"/>
    <w:rsid w:val="008B6973"/>
    <w:rsid w:val="008B7BF3"/>
    <w:rsid w:val="008B7D31"/>
    <w:rsid w:val="008C128F"/>
    <w:rsid w:val="008C1E33"/>
    <w:rsid w:val="008C203C"/>
    <w:rsid w:val="008C25ED"/>
    <w:rsid w:val="008C2659"/>
    <w:rsid w:val="008C2876"/>
    <w:rsid w:val="008C2893"/>
    <w:rsid w:val="008C4096"/>
    <w:rsid w:val="008C47D8"/>
    <w:rsid w:val="008C498F"/>
    <w:rsid w:val="008C4AC0"/>
    <w:rsid w:val="008C59E9"/>
    <w:rsid w:val="008C63C9"/>
    <w:rsid w:val="008C69FF"/>
    <w:rsid w:val="008C6BC3"/>
    <w:rsid w:val="008C6D14"/>
    <w:rsid w:val="008D09D8"/>
    <w:rsid w:val="008D0E26"/>
    <w:rsid w:val="008D16D6"/>
    <w:rsid w:val="008D240C"/>
    <w:rsid w:val="008D34FB"/>
    <w:rsid w:val="008D41F5"/>
    <w:rsid w:val="008D464A"/>
    <w:rsid w:val="008D4CF4"/>
    <w:rsid w:val="008D5113"/>
    <w:rsid w:val="008D5AF2"/>
    <w:rsid w:val="008D5CDE"/>
    <w:rsid w:val="008D5DEA"/>
    <w:rsid w:val="008E04E6"/>
    <w:rsid w:val="008E0662"/>
    <w:rsid w:val="008E1073"/>
    <w:rsid w:val="008E1F11"/>
    <w:rsid w:val="008E2329"/>
    <w:rsid w:val="008E233F"/>
    <w:rsid w:val="008E2865"/>
    <w:rsid w:val="008E3152"/>
    <w:rsid w:val="008E3161"/>
    <w:rsid w:val="008E3F30"/>
    <w:rsid w:val="008E425F"/>
    <w:rsid w:val="008E6189"/>
    <w:rsid w:val="008E7C7E"/>
    <w:rsid w:val="008F16E4"/>
    <w:rsid w:val="008F1BCD"/>
    <w:rsid w:val="008F26F8"/>
    <w:rsid w:val="008F2CDA"/>
    <w:rsid w:val="008F2D7B"/>
    <w:rsid w:val="008F5316"/>
    <w:rsid w:val="008F6397"/>
    <w:rsid w:val="008F7422"/>
    <w:rsid w:val="008F799D"/>
    <w:rsid w:val="00901379"/>
    <w:rsid w:val="009019DD"/>
    <w:rsid w:val="00902B6D"/>
    <w:rsid w:val="00903210"/>
    <w:rsid w:val="0090343C"/>
    <w:rsid w:val="00903CD6"/>
    <w:rsid w:val="00904475"/>
    <w:rsid w:val="0090489F"/>
    <w:rsid w:val="00905D8F"/>
    <w:rsid w:val="00905EAE"/>
    <w:rsid w:val="00906261"/>
    <w:rsid w:val="00906BC6"/>
    <w:rsid w:val="00910827"/>
    <w:rsid w:val="00911643"/>
    <w:rsid w:val="00911A68"/>
    <w:rsid w:val="00911B05"/>
    <w:rsid w:val="00911C6D"/>
    <w:rsid w:val="0091272C"/>
    <w:rsid w:val="00912E11"/>
    <w:rsid w:val="00913598"/>
    <w:rsid w:val="0091511C"/>
    <w:rsid w:val="009151E4"/>
    <w:rsid w:val="0091532C"/>
    <w:rsid w:val="009168A4"/>
    <w:rsid w:val="00917309"/>
    <w:rsid w:val="00917783"/>
    <w:rsid w:val="00917A0A"/>
    <w:rsid w:val="00920199"/>
    <w:rsid w:val="009201A7"/>
    <w:rsid w:val="00920D44"/>
    <w:rsid w:val="00922177"/>
    <w:rsid w:val="0092275C"/>
    <w:rsid w:val="009228F1"/>
    <w:rsid w:val="00922A46"/>
    <w:rsid w:val="009235FA"/>
    <w:rsid w:val="009239D3"/>
    <w:rsid w:val="00923C7C"/>
    <w:rsid w:val="00923D5D"/>
    <w:rsid w:val="009241CA"/>
    <w:rsid w:val="009248B5"/>
    <w:rsid w:val="00925050"/>
    <w:rsid w:val="009256B7"/>
    <w:rsid w:val="009259E3"/>
    <w:rsid w:val="0092622B"/>
    <w:rsid w:val="00926402"/>
    <w:rsid w:val="00927462"/>
    <w:rsid w:val="00931C78"/>
    <w:rsid w:val="009323FF"/>
    <w:rsid w:val="0093263B"/>
    <w:rsid w:val="009330EE"/>
    <w:rsid w:val="00933577"/>
    <w:rsid w:val="00933A45"/>
    <w:rsid w:val="00933B2C"/>
    <w:rsid w:val="00934E1D"/>
    <w:rsid w:val="009359A0"/>
    <w:rsid w:val="00935AFD"/>
    <w:rsid w:val="00935BA5"/>
    <w:rsid w:val="009369DF"/>
    <w:rsid w:val="00936D00"/>
    <w:rsid w:val="00936FF6"/>
    <w:rsid w:val="00937260"/>
    <w:rsid w:val="00937CFA"/>
    <w:rsid w:val="009402D7"/>
    <w:rsid w:val="00940BD0"/>
    <w:rsid w:val="00941BC7"/>
    <w:rsid w:val="00942A03"/>
    <w:rsid w:val="00943419"/>
    <w:rsid w:val="00943498"/>
    <w:rsid w:val="00943B82"/>
    <w:rsid w:val="00944610"/>
    <w:rsid w:val="00944728"/>
    <w:rsid w:val="0094504E"/>
    <w:rsid w:val="0094675A"/>
    <w:rsid w:val="009468B5"/>
    <w:rsid w:val="00946E82"/>
    <w:rsid w:val="00946E9C"/>
    <w:rsid w:val="00947331"/>
    <w:rsid w:val="00947F9C"/>
    <w:rsid w:val="00947FE5"/>
    <w:rsid w:val="009500AC"/>
    <w:rsid w:val="00950861"/>
    <w:rsid w:val="00950A28"/>
    <w:rsid w:val="009510C1"/>
    <w:rsid w:val="00951162"/>
    <w:rsid w:val="00951199"/>
    <w:rsid w:val="0095128B"/>
    <w:rsid w:val="009524EE"/>
    <w:rsid w:val="00953771"/>
    <w:rsid w:val="00953F51"/>
    <w:rsid w:val="00954050"/>
    <w:rsid w:val="0095438E"/>
    <w:rsid w:val="0095589E"/>
    <w:rsid w:val="00956171"/>
    <w:rsid w:val="009575B4"/>
    <w:rsid w:val="00960413"/>
    <w:rsid w:val="009606DF"/>
    <w:rsid w:val="009608FE"/>
    <w:rsid w:val="0096175D"/>
    <w:rsid w:val="0096177F"/>
    <w:rsid w:val="00961CF6"/>
    <w:rsid w:val="00962708"/>
    <w:rsid w:val="00963260"/>
    <w:rsid w:val="0096326B"/>
    <w:rsid w:val="009635D6"/>
    <w:rsid w:val="00963D1F"/>
    <w:rsid w:val="00963EDE"/>
    <w:rsid w:val="009641A6"/>
    <w:rsid w:val="0096567C"/>
    <w:rsid w:val="009656A4"/>
    <w:rsid w:val="00966E52"/>
    <w:rsid w:val="009704BB"/>
    <w:rsid w:val="009717C8"/>
    <w:rsid w:val="00972845"/>
    <w:rsid w:val="00972D48"/>
    <w:rsid w:val="0097393E"/>
    <w:rsid w:val="00973B91"/>
    <w:rsid w:val="00973F15"/>
    <w:rsid w:val="0097592C"/>
    <w:rsid w:val="00976FE2"/>
    <w:rsid w:val="0097792E"/>
    <w:rsid w:val="0097796F"/>
    <w:rsid w:val="00977C2A"/>
    <w:rsid w:val="00977F1F"/>
    <w:rsid w:val="009803B4"/>
    <w:rsid w:val="00983894"/>
    <w:rsid w:val="00983EAE"/>
    <w:rsid w:val="00984599"/>
    <w:rsid w:val="009845E2"/>
    <w:rsid w:val="0098539A"/>
    <w:rsid w:val="00985479"/>
    <w:rsid w:val="009865B5"/>
    <w:rsid w:val="0098743E"/>
    <w:rsid w:val="00987CF2"/>
    <w:rsid w:val="0099069E"/>
    <w:rsid w:val="00990B8C"/>
    <w:rsid w:val="00991AE4"/>
    <w:rsid w:val="00992886"/>
    <w:rsid w:val="00992BF4"/>
    <w:rsid w:val="00992C50"/>
    <w:rsid w:val="00992EF1"/>
    <w:rsid w:val="009937F6"/>
    <w:rsid w:val="009938D4"/>
    <w:rsid w:val="00993F95"/>
    <w:rsid w:val="00994CFE"/>
    <w:rsid w:val="009950CE"/>
    <w:rsid w:val="0099567D"/>
    <w:rsid w:val="009956A3"/>
    <w:rsid w:val="00995906"/>
    <w:rsid w:val="00996A50"/>
    <w:rsid w:val="00997461"/>
    <w:rsid w:val="009974D5"/>
    <w:rsid w:val="009979BE"/>
    <w:rsid w:val="00997B11"/>
    <w:rsid w:val="00997E55"/>
    <w:rsid w:val="009A03C3"/>
    <w:rsid w:val="009A0669"/>
    <w:rsid w:val="009A0D01"/>
    <w:rsid w:val="009A142E"/>
    <w:rsid w:val="009A1A55"/>
    <w:rsid w:val="009A200C"/>
    <w:rsid w:val="009A275D"/>
    <w:rsid w:val="009A293C"/>
    <w:rsid w:val="009A2980"/>
    <w:rsid w:val="009A29D6"/>
    <w:rsid w:val="009A3003"/>
    <w:rsid w:val="009A3231"/>
    <w:rsid w:val="009A3421"/>
    <w:rsid w:val="009A3B5A"/>
    <w:rsid w:val="009A3DEA"/>
    <w:rsid w:val="009A407E"/>
    <w:rsid w:val="009A4379"/>
    <w:rsid w:val="009A53F5"/>
    <w:rsid w:val="009A550E"/>
    <w:rsid w:val="009A578E"/>
    <w:rsid w:val="009B05F2"/>
    <w:rsid w:val="009B1138"/>
    <w:rsid w:val="009B1201"/>
    <w:rsid w:val="009B1F15"/>
    <w:rsid w:val="009B3231"/>
    <w:rsid w:val="009B384C"/>
    <w:rsid w:val="009B4127"/>
    <w:rsid w:val="009B5122"/>
    <w:rsid w:val="009B5723"/>
    <w:rsid w:val="009B5AA5"/>
    <w:rsid w:val="009B5FF0"/>
    <w:rsid w:val="009B6037"/>
    <w:rsid w:val="009B672B"/>
    <w:rsid w:val="009B7232"/>
    <w:rsid w:val="009B75F1"/>
    <w:rsid w:val="009C03D9"/>
    <w:rsid w:val="009C117D"/>
    <w:rsid w:val="009C1436"/>
    <w:rsid w:val="009C2120"/>
    <w:rsid w:val="009C219A"/>
    <w:rsid w:val="009C21E9"/>
    <w:rsid w:val="009C2F41"/>
    <w:rsid w:val="009C357A"/>
    <w:rsid w:val="009C407E"/>
    <w:rsid w:val="009C4340"/>
    <w:rsid w:val="009C4BE0"/>
    <w:rsid w:val="009C4BF0"/>
    <w:rsid w:val="009C4F06"/>
    <w:rsid w:val="009C5C58"/>
    <w:rsid w:val="009C5E01"/>
    <w:rsid w:val="009C66F9"/>
    <w:rsid w:val="009C6DEA"/>
    <w:rsid w:val="009C7402"/>
    <w:rsid w:val="009C7D59"/>
    <w:rsid w:val="009D053A"/>
    <w:rsid w:val="009D0929"/>
    <w:rsid w:val="009D0ECF"/>
    <w:rsid w:val="009D1085"/>
    <w:rsid w:val="009D2750"/>
    <w:rsid w:val="009D27BD"/>
    <w:rsid w:val="009D30F6"/>
    <w:rsid w:val="009D3A2B"/>
    <w:rsid w:val="009D3D63"/>
    <w:rsid w:val="009D5581"/>
    <w:rsid w:val="009D5ABD"/>
    <w:rsid w:val="009D6425"/>
    <w:rsid w:val="009D70E2"/>
    <w:rsid w:val="009D78BA"/>
    <w:rsid w:val="009D7C48"/>
    <w:rsid w:val="009E19C1"/>
    <w:rsid w:val="009E1A51"/>
    <w:rsid w:val="009E2C13"/>
    <w:rsid w:val="009E3F40"/>
    <w:rsid w:val="009E41B9"/>
    <w:rsid w:val="009E4719"/>
    <w:rsid w:val="009E4BD0"/>
    <w:rsid w:val="009E54E9"/>
    <w:rsid w:val="009E5925"/>
    <w:rsid w:val="009E5A34"/>
    <w:rsid w:val="009E5CD7"/>
    <w:rsid w:val="009E5DDE"/>
    <w:rsid w:val="009E5EB3"/>
    <w:rsid w:val="009E6650"/>
    <w:rsid w:val="009E6CE7"/>
    <w:rsid w:val="009E6D3F"/>
    <w:rsid w:val="009E7116"/>
    <w:rsid w:val="009E7AC6"/>
    <w:rsid w:val="009F060E"/>
    <w:rsid w:val="009F129C"/>
    <w:rsid w:val="009F1C40"/>
    <w:rsid w:val="009F3BF4"/>
    <w:rsid w:val="009F4702"/>
    <w:rsid w:val="009F48AF"/>
    <w:rsid w:val="009F5F34"/>
    <w:rsid w:val="009F6422"/>
    <w:rsid w:val="009F7681"/>
    <w:rsid w:val="009F7C51"/>
    <w:rsid w:val="009F7D47"/>
    <w:rsid w:val="009F7E7D"/>
    <w:rsid w:val="00A01420"/>
    <w:rsid w:val="00A01734"/>
    <w:rsid w:val="00A01A45"/>
    <w:rsid w:val="00A02816"/>
    <w:rsid w:val="00A02AB1"/>
    <w:rsid w:val="00A02B1C"/>
    <w:rsid w:val="00A04022"/>
    <w:rsid w:val="00A04D52"/>
    <w:rsid w:val="00A05CF8"/>
    <w:rsid w:val="00A065CF"/>
    <w:rsid w:val="00A065E4"/>
    <w:rsid w:val="00A07F07"/>
    <w:rsid w:val="00A07FC8"/>
    <w:rsid w:val="00A100F7"/>
    <w:rsid w:val="00A10993"/>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AF5"/>
    <w:rsid w:val="00A16298"/>
    <w:rsid w:val="00A16E43"/>
    <w:rsid w:val="00A1744F"/>
    <w:rsid w:val="00A17EBA"/>
    <w:rsid w:val="00A2002A"/>
    <w:rsid w:val="00A201D6"/>
    <w:rsid w:val="00A20227"/>
    <w:rsid w:val="00A2057F"/>
    <w:rsid w:val="00A20EB0"/>
    <w:rsid w:val="00A219D8"/>
    <w:rsid w:val="00A221F9"/>
    <w:rsid w:val="00A230C4"/>
    <w:rsid w:val="00A23795"/>
    <w:rsid w:val="00A237D8"/>
    <w:rsid w:val="00A23BB9"/>
    <w:rsid w:val="00A23C50"/>
    <w:rsid w:val="00A23CFB"/>
    <w:rsid w:val="00A23F1A"/>
    <w:rsid w:val="00A243FC"/>
    <w:rsid w:val="00A2472E"/>
    <w:rsid w:val="00A24D10"/>
    <w:rsid w:val="00A25371"/>
    <w:rsid w:val="00A254C9"/>
    <w:rsid w:val="00A267A0"/>
    <w:rsid w:val="00A27B61"/>
    <w:rsid w:val="00A27C77"/>
    <w:rsid w:val="00A27D92"/>
    <w:rsid w:val="00A30077"/>
    <w:rsid w:val="00A30112"/>
    <w:rsid w:val="00A3048B"/>
    <w:rsid w:val="00A31D08"/>
    <w:rsid w:val="00A31E2D"/>
    <w:rsid w:val="00A322FF"/>
    <w:rsid w:val="00A32402"/>
    <w:rsid w:val="00A32B0E"/>
    <w:rsid w:val="00A3399F"/>
    <w:rsid w:val="00A33BEC"/>
    <w:rsid w:val="00A34107"/>
    <w:rsid w:val="00A34642"/>
    <w:rsid w:val="00A35FF3"/>
    <w:rsid w:val="00A363EE"/>
    <w:rsid w:val="00A36AA5"/>
    <w:rsid w:val="00A36B24"/>
    <w:rsid w:val="00A403B1"/>
    <w:rsid w:val="00A4054B"/>
    <w:rsid w:val="00A40573"/>
    <w:rsid w:val="00A4078A"/>
    <w:rsid w:val="00A4115E"/>
    <w:rsid w:val="00A4134F"/>
    <w:rsid w:val="00A41E6D"/>
    <w:rsid w:val="00A42020"/>
    <w:rsid w:val="00A420CD"/>
    <w:rsid w:val="00A426B5"/>
    <w:rsid w:val="00A43C19"/>
    <w:rsid w:val="00A43F94"/>
    <w:rsid w:val="00A4472D"/>
    <w:rsid w:val="00A44AB2"/>
    <w:rsid w:val="00A44F62"/>
    <w:rsid w:val="00A45AFC"/>
    <w:rsid w:val="00A464F0"/>
    <w:rsid w:val="00A468F8"/>
    <w:rsid w:val="00A47CFF"/>
    <w:rsid w:val="00A5054A"/>
    <w:rsid w:val="00A5172B"/>
    <w:rsid w:val="00A5298E"/>
    <w:rsid w:val="00A53E04"/>
    <w:rsid w:val="00A54DCB"/>
    <w:rsid w:val="00A5754C"/>
    <w:rsid w:val="00A579CB"/>
    <w:rsid w:val="00A6035B"/>
    <w:rsid w:val="00A6037E"/>
    <w:rsid w:val="00A60FEA"/>
    <w:rsid w:val="00A617D1"/>
    <w:rsid w:val="00A61D59"/>
    <w:rsid w:val="00A61FFB"/>
    <w:rsid w:val="00A63103"/>
    <w:rsid w:val="00A6333B"/>
    <w:rsid w:val="00A64DEB"/>
    <w:rsid w:val="00A6541F"/>
    <w:rsid w:val="00A6594D"/>
    <w:rsid w:val="00A65E15"/>
    <w:rsid w:val="00A6635D"/>
    <w:rsid w:val="00A663AC"/>
    <w:rsid w:val="00A668A9"/>
    <w:rsid w:val="00A673F8"/>
    <w:rsid w:val="00A679DA"/>
    <w:rsid w:val="00A67B99"/>
    <w:rsid w:val="00A701CB"/>
    <w:rsid w:val="00A70FF5"/>
    <w:rsid w:val="00A7139B"/>
    <w:rsid w:val="00A7155A"/>
    <w:rsid w:val="00A721FA"/>
    <w:rsid w:val="00A733C6"/>
    <w:rsid w:val="00A74570"/>
    <w:rsid w:val="00A75684"/>
    <w:rsid w:val="00A757AA"/>
    <w:rsid w:val="00A7588B"/>
    <w:rsid w:val="00A75AFD"/>
    <w:rsid w:val="00A75D35"/>
    <w:rsid w:val="00A75F21"/>
    <w:rsid w:val="00A76267"/>
    <w:rsid w:val="00A7645E"/>
    <w:rsid w:val="00A76FEC"/>
    <w:rsid w:val="00A77BC1"/>
    <w:rsid w:val="00A80B58"/>
    <w:rsid w:val="00A8126B"/>
    <w:rsid w:val="00A8335E"/>
    <w:rsid w:val="00A84A06"/>
    <w:rsid w:val="00A854AA"/>
    <w:rsid w:val="00A854E0"/>
    <w:rsid w:val="00A8580D"/>
    <w:rsid w:val="00A85DCE"/>
    <w:rsid w:val="00A86ADE"/>
    <w:rsid w:val="00A90041"/>
    <w:rsid w:val="00A91F36"/>
    <w:rsid w:val="00A9222A"/>
    <w:rsid w:val="00A92612"/>
    <w:rsid w:val="00A926B7"/>
    <w:rsid w:val="00A92C0F"/>
    <w:rsid w:val="00A93187"/>
    <w:rsid w:val="00A937C8"/>
    <w:rsid w:val="00A93B14"/>
    <w:rsid w:val="00A93FC9"/>
    <w:rsid w:val="00A942E2"/>
    <w:rsid w:val="00A944F2"/>
    <w:rsid w:val="00A954DE"/>
    <w:rsid w:val="00A9551B"/>
    <w:rsid w:val="00A957F4"/>
    <w:rsid w:val="00A9590D"/>
    <w:rsid w:val="00A95C62"/>
    <w:rsid w:val="00A96A4F"/>
    <w:rsid w:val="00A96E7F"/>
    <w:rsid w:val="00A97D35"/>
    <w:rsid w:val="00AA1988"/>
    <w:rsid w:val="00AA2226"/>
    <w:rsid w:val="00AA233A"/>
    <w:rsid w:val="00AA2667"/>
    <w:rsid w:val="00AA29CB"/>
    <w:rsid w:val="00AA2D4D"/>
    <w:rsid w:val="00AA2F0B"/>
    <w:rsid w:val="00AA341F"/>
    <w:rsid w:val="00AA3844"/>
    <w:rsid w:val="00AA42BC"/>
    <w:rsid w:val="00AA4324"/>
    <w:rsid w:val="00AA4C4C"/>
    <w:rsid w:val="00AA5309"/>
    <w:rsid w:val="00AA5CC5"/>
    <w:rsid w:val="00AA622A"/>
    <w:rsid w:val="00AA6663"/>
    <w:rsid w:val="00AA7392"/>
    <w:rsid w:val="00AA7F0C"/>
    <w:rsid w:val="00AB08BB"/>
    <w:rsid w:val="00AB0A6B"/>
    <w:rsid w:val="00AB1744"/>
    <w:rsid w:val="00AB1870"/>
    <w:rsid w:val="00AB21C2"/>
    <w:rsid w:val="00AB2695"/>
    <w:rsid w:val="00AB290A"/>
    <w:rsid w:val="00AB2FB9"/>
    <w:rsid w:val="00AB30E6"/>
    <w:rsid w:val="00AB4A84"/>
    <w:rsid w:val="00AB5CEB"/>
    <w:rsid w:val="00AB5F75"/>
    <w:rsid w:val="00AB6B85"/>
    <w:rsid w:val="00AB71E6"/>
    <w:rsid w:val="00AB7552"/>
    <w:rsid w:val="00AC033B"/>
    <w:rsid w:val="00AC066D"/>
    <w:rsid w:val="00AC0CF3"/>
    <w:rsid w:val="00AC0E56"/>
    <w:rsid w:val="00AC1738"/>
    <w:rsid w:val="00AC1EA0"/>
    <w:rsid w:val="00AC209D"/>
    <w:rsid w:val="00AC46A8"/>
    <w:rsid w:val="00AC4979"/>
    <w:rsid w:val="00AC49DB"/>
    <w:rsid w:val="00AC55A8"/>
    <w:rsid w:val="00AC5C8D"/>
    <w:rsid w:val="00AC62D4"/>
    <w:rsid w:val="00AC79E6"/>
    <w:rsid w:val="00AD0A89"/>
    <w:rsid w:val="00AD142E"/>
    <w:rsid w:val="00AD1C1F"/>
    <w:rsid w:val="00AD1E64"/>
    <w:rsid w:val="00AD2052"/>
    <w:rsid w:val="00AD2C20"/>
    <w:rsid w:val="00AD2D16"/>
    <w:rsid w:val="00AD3868"/>
    <w:rsid w:val="00AD38C1"/>
    <w:rsid w:val="00AD3A41"/>
    <w:rsid w:val="00AD4199"/>
    <w:rsid w:val="00AD47AB"/>
    <w:rsid w:val="00AD512D"/>
    <w:rsid w:val="00AD55D1"/>
    <w:rsid w:val="00AD5E54"/>
    <w:rsid w:val="00AD6602"/>
    <w:rsid w:val="00AD7165"/>
    <w:rsid w:val="00AD78C5"/>
    <w:rsid w:val="00AE0014"/>
    <w:rsid w:val="00AE0667"/>
    <w:rsid w:val="00AE1769"/>
    <w:rsid w:val="00AE1B95"/>
    <w:rsid w:val="00AE1BB6"/>
    <w:rsid w:val="00AE1DAD"/>
    <w:rsid w:val="00AE283B"/>
    <w:rsid w:val="00AE2906"/>
    <w:rsid w:val="00AE4211"/>
    <w:rsid w:val="00AE4547"/>
    <w:rsid w:val="00AE474B"/>
    <w:rsid w:val="00AE50A1"/>
    <w:rsid w:val="00AE623F"/>
    <w:rsid w:val="00AE6DB5"/>
    <w:rsid w:val="00AE703E"/>
    <w:rsid w:val="00AE7D94"/>
    <w:rsid w:val="00AF03FB"/>
    <w:rsid w:val="00AF0F87"/>
    <w:rsid w:val="00AF1BEC"/>
    <w:rsid w:val="00AF237F"/>
    <w:rsid w:val="00AF26D8"/>
    <w:rsid w:val="00AF2958"/>
    <w:rsid w:val="00AF379B"/>
    <w:rsid w:val="00AF3D63"/>
    <w:rsid w:val="00AF3EF2"/>
    <w:rsid w:val="00AF4C66"/>
    <w:rsid w:val="00AF4E70"/>
    <w:rsid w:val="00AF50A3"/>
    <w:rsid w:val="00AF58B7"/>
    <w:rsid w:val="00AF6389"/>
    <w:rsid w:val="00AF6EF7"/>
    <w:rsid w:val="00B004BF"/>
    <w:rsid w:val="00B013EC"/>
    <w:rsid w:val="00B01A58"/>
    <w:rsid w:val="00B029A7"/>
    <w:rsid w:val="00B0337A"/>
    <w:rsid w:val="00B045A5"/>
    <w:rsid w:val="00B05BAE"/>
    <w:rsid w:val="00B062B3"/>
    <w:rsid w:val="00B07E5C"/>
    <w:rsid w:val="00B1042A"/>
    <w:rsid w:val="00B1078E"/>
    <w:rsid w:val="00B11960"/>
    <w:rsid w:val="00B1196A"/>
    <w:rsid w:val="00B11FE4"/>
    <w:rsid w:val="00B121CB"/>
    <w:rsid w:val="00B122BD"/>
    <w:rsid w:val="00B123E2"/>
    <w:rsid w:val="00B12D7F"/>
    <w:rsid w:val="00B13E8F"/>
    <w:rsid w:val="00B14064"/>
    <w:rsid w:val="00B147F2"/>
    <w:rsid w:val="00B149AC"/>
    <w:rsid w:val="00B14B60"/>
    <w:rsid w:val="00B151AA"/>
    <w:rsid w:val="00B153D4"/>
    <w:rsid w:val="00B15FF0"/>
    <w:rsid w:val="00B16E59"/>
    <w:rsid w:val="00B170FC"/>
    <w:rsid w:val="00B177B5"/>
    <w:rsid w:val="00B17A47"/>
    <w:rsid w:val="00B20643"/>
    <w:rsid w:val="00B20C61"/>
    <w:rsid w:val="00B20D21"/>
    <w:rsid w:val="00B215C9"/>
    <w:rsid w:val="00B2188A"/>
    <w:rsid w:val="00B21EBC"/>
    <w:rsid w:val="00B22153"/>
    <w:rsid w:val="00B2349D"/>
    <w:rsid w:val="00B23F61"/>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848"/>
    <w:rsid w:val="00B31945"/>
    <w:rsid w:val="00B31E73"/>
    <w:rsid w:val="00B32960"/>
    <w:rsid w:val="00B341BB"/>
    <w:rsid w:val="00B34370"/>
    <w:rsid w:val="00B35027"/>
    <w:rsid w:val="00B35124"/>
    <w:rsid w:val="00B355AE"/>
    <w:rsid w:val="00B362B4"/>
    <w:rsid w:val="00B364D5"/>
    <w:rsid w:val="00B36FEB"/>
    <w:rsid w:val="00B37599"/>
    <w:rsid w:val="00B379AB"/>
    <w:rsid w:val="00B41238"/>
    <w:rsid w:val="00B41534"/>
    <w:rsid w:val="00B41717"/>
    <w:rsid w:val="00B429B4"/>
    <w:rsid w:val="00B42CDC"/>
    <w:rsid w:val="00B4369D"/>
    <w:rsid w:val="00B437D8"/>
    <w:rsid w:val="00B43D66"/>
    <w:rsid w:val="00B43DB7"/>
    <w:rsid w:val="00B44C00"/>
    <w:rsid w:val="00B46C8A"/>
    <w:rsid w:val="00B475B0"/>
    <w:rsid w:val="00B47644"/>
    <w:rsid w:val="00B47973"/>
    <w:rsid w:val="00B479E1"/>
    <w:rsid w:val="00B51C30"/>
    <w:rsid w:val="00B51E20"/>
    <w:rsid w:val="00B522B9"/>
    <w:rsid w:val="00B524F5"/>
    <w:rsid w:val="00B525C5"/>
    <w:rsid w:val="00B52F13"/>
    <w:rsid w:val="00B53D46"/>
    <w:rsid w:val="00B54331"/>
    <w:rsid w:val="00B55535"/>
    <w:rsid w:val="00B55D31"/>
    <w:rsid w:val="00B56331"/>
    <w:rsid w:val="00B56713"/>
    <w:rsid w:val="00B570E1"/>
    <w:rsid w:val="00B60474"/>
    <w:rsid w:val="00B60647"/>
    <w:rsid w:val="00B608DB"/>
    <w:rsid w:val="00B60E19"/>
    <w:rsid w:val="00B60EFF"/>
    <w:rsid w:val="00B615B5"/>
    <w:rsid w:val="00B617D9"/>
    <w:rsid w:val="00B61FC8"/>
    <w:rsid w:val="00B6207D"/>
    <w:rsid w:val="00B625C8"/>
    <w:rsid w:val="00B627C4"/>
    <w:rsid w:val="00B62FEB"/>
    <w:rsid w:val="00B6316A"/>
    <w:rsid w:val="00B63AD2"/>
    <w:rsid w:val="00B643BE"/>
    <w:rsid w:val="00B644FD"/>
    <w:rsid w:val="00B64637"/>
    <w:rsid w:val="00B64D15"/>
    <w:rsid w:val="00B65B6F"/>
    <w:rsid w:val="00B66BBF"/>
    <w:rsid w:val="00B66C38"/>
    <w:rsid w:val="00B66F6F"/>
    <w:rsid w:val="00B670B5"/>
    <w:rsid w:val="00B67ED0"/>
    <w:rsid w:val="00B70590"/>
    <w:rsid w:val="00B71BDD"/>
    <w:rsid w:val="00B724F8"/>
    <w:rsid w:val="00B7283F"/>
    <w:rsid w:val="00B72CA1"/>
    <w:rsid w:val="00B737D6"/>
    <w:rsid w:val="00B74283"/>
    <w:rsid w:val="00B7498D"/>
    <w:rsid w:val="00B75B61"/>
    <w:rsid w:val="00B75DDC"/>
    <w:rsid w:val="00B774AF"/>
    <w:rsid w:val="00B77594"/>
    <w:rsid w:val="00B779B0"/>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3FA0"/>
    <w:rsid w:val="00B841E1"/>
    <w:rsid w:val="00B8445F"/>
    <w:rsid w:val="00B845CE"/>
    <w:rsid w:val="00B849A9"/>
    <w:rsid w:val="00B84F19"/>
    <w:rsid w:val="00B850D1"/>
    <w:rsid w:val="00B850D6"/>
    <w:rsid w:val="00B8538F"/>
    <w:rsid w:val="00B865FE"/>
    <w:rsid w:val="00B86C29"/>
    <w:rsid w:val="00B8771F"/>
    <w:rsid w:val="00B9074A"/>
    <w:rsid w:val="00B90ECE"/>
    <w:rsid w:val="00B9282C"/>
    <w:rsid w:val="00B92AD3"/>
    <w:rsid w:val="00B93E47"/>
    <w:rsid w:val="00B9416C"/>
    <w:rsid w:val="00B95385"/>
    <w:rsid w:val="00B954EA"/>
    <w:rsid w:val="00B95EE4"/>
    <w:rsid w:val="00BA056F"/>
    <w:rsid w:val="00BA08B8"/>
    <w:rsid w:val="00BA13AF"/>
    <w:rsid w:val="00BA21E8"/>
    <w:rsid w:val="00BA4B5A"/>
    <w:rsid w:val="00BA4F3C"/>
    <w:rsid w:val="00BA5368"/>
    <w:rsid w:val="00BA5F41"/>
    <w:rsid w:val="00BA6DCE"/>
    <w:rsid w:val="00BA7E87"/>
    <w:rsid w:val="00BB0167"/>
    <w:rsid w:val="00BB035A"/>
    <w:rsid w:val="00BB0AC0"/>
    <w:rsid w:val="00BB1111"/>
    <w:rsid w:val="00BB1168"/>
    <w:rsid w:val="00BB134A"/>
    <w:rsid w:val="00BB1A1B"/>
    <w:rsid w:val="00BB2FE1"/>
    <w:rsid w:val="00BB3C51"/>
    <w:rsid w:val="00BB3E99"/>
    <w:rsid w:val="00BB4D66"/>
    <w:rsid w:val="00BB52FF"/>
    <w:rsid w:val="00BB588A"/>
    <w:rsid w:val="00BB6B27"/>
    <w:rsid w:val="00BB74CC"/>
    <w:rsid w:val="00BB7541"/>
    <w:rsid w:val="00BC0489"/>
    <w:rsid w:val="00BC0B05"/>
    <w:rsid w:val="00BC0EE2"/>
    <w:rsid w:val="00BC0F0D"/>
    <w:rsid w:val="00BC35CA"/>
    <w:rsid w:val="00BC40B4"/>
    <w:rsid w:val="00BC4C9B"/>
    <w:rsid w:val="00BC4EA9"/>
    <w:rsid w:val="00BC550D"/>
    <w:rsid w:val="00BC5F19"/>
    <w:rsid w:val="00BC7076"/>
    <w:rsid w:val="00BC7692"/>
    <w:rsid w:val="00BD1311"/>
    <w:rsid w:val="00BD19AE"/>
    <w:rsid w:val="00BD25E5"/>
    <w:rsid w:val="00BD2ED4"/>
    <w:rsid w:val="00BD316C"/>
    <w:rsid w:val="00BD31E3"/>
    <w:rsid w:val="00BD45DE"/>
    <w:rsid w:val="00BD4F81"/>
    <w:rsid w:val="00BD523B"/>
    <w:rsid w:val="00BD543B"/>
    <w:rsid w:val="00BD5E14"/>
    <w:rsid w:val="00BD6277"/>
    <w:rsid w:val="00BD6778"/>
    <w:rsid w:val="00BD7082"/>
    <w:rsid w:val="00BD7CC6"/>
    <w:rsid w:val="00BD7DFA"/>
    <w:rsid w:val="00BE1B84"/>
    <w:rsid w:val="00BE1FFC"/>
    <w:rsid w:val="00BE2852"/>
    <w:rsid w:val="00BE2C87"/>
    <w:rsid w:val="00BE2E6F"/>
    <w:rsid w:val="00BE3143"/>
    <w:rsid w:val="00BE4237"/>
    <w:rsid w:val="00BE478F"/>
    <w:rsid w:val="00BE4F1D"/>
    <w:rsid w:val="00BE64BE"/>
    <w:rsid w:val="00BE7A77"/>
    <w:rsid w:val="00BF1536"/>
    <w:rsid w:val="00BF1671"/>
    <w:rsid w:val="00BF1BF2"/>
    <w:rsid w:val="00BF201E"/>
    <w:rsid w:val="00BF21D9"/>
    <w:rsid w:val="00BF3E80"/>
    <w:rsid w:val="00BF425E"/>
    <w:rsid w:val="00BF4506"/>
    <w:rsid w:val="00BF4792"/>
    <w:rsid w:val="00BF4AF7"/>
    <w:rsid w:val="00BF5CA0"/>
    <w:rsid w:val="00BF5F09"/>
    <w:rsid w:val="00BF7C8B"/>
    <w:rsid w:val="00BF7D1E"/>
    <w:rsid w:val="00C00B08"/>
    <w:rsid w:val="00C00F25"/>
    <w:rsid w:val="00C01227"/>
    <w:rsid w:val="00C01A8C"/>
    <w:rsid w:val="00C01B73"/>
    <w:rsid w:val="00C02069"/>
    <w:rsid w:val="00C0291C"/>
    <w:rsid w:val="00C0314C"/>
    <w:rsid w:val="00C03244"/>
    <w:rsid w:val="00C0401C"/>
    <w:rsid w:val="00C041DB"/>
    <w:rsid w:val="00C04CFB"/>
    <w:rsid w:val="00C05A4B"/>
    <w:rsid w:val="00C0759C"/>
    <w:rsid w:val="00C07746"/>
    <w:rsid w:val="00C0787F"/>
    <w:rsid w:val="00C1133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4F7"/>
    <w:rsid w:val="00C2043C"/>
    <w:rsid w:val="00C22113"/>
    <w:rsid w:val="00C2218C"/>
    <w:rsid w:val="00C221A0"/>
    <w:rsid w:val="00C227C2"/>
    <w:rsid w:val="00C228F3"/>
    <w:rsid w:val="00C22DA4"/>
    <w:rsid w:val="00C233E0"/>
    <w:rsid w:val="00C2382B"/>
    <w:rsid w:val="00C240AC"/>
    <w:rsid w:val="00C2410E"/>
    <w:rsid w:val="00C249D3"/>
    <w:rsid w:val="00C25B00"/>
    <w:rsid w:val="00C26020"/>
    <w:rsid w:val="00C26076"/>
    <w:rsid w:val="00C26935"/>
    <w:rsid w:val="00C2696D"/>
    <w:rsid w:val="00C277D1"/>
    <w:rsid w:val="00C302B8"/>
    <w:rsid w:val="00C30810"/>
    <w:rsid w:val="00C30DC7"/>
    <w:rsid w:val="00C3199F"/>
    <w:rsid w:val="00C31B8B"/>
    <w:rsid w:val="00C31FBC"/>
    <w:rsid w:val="00C3231B"/>
    <w:rsid w:val="00C32714"/>
    <w:rsid w:val="00C3277B"/>
    <w:rsid w:val="00C33383"/>
    <w:rsid w:val="00C334BD"/>
    <w:rsid w:val="00C336C6"/>
    <w:rsid w:val="00C3389C"/>
    <w:rsid w:val="00C36692"/>
    <w:rsid w:val="00C367D6"/>
    <w:rsid w:val="00C3683F"/>
    <w:rsid w:val="00C3690A"/>
    <w:rsid w:val="00C3797E"/>
    <w:rsid w:val="00C400F9"/>
    <w:rsid w:val="00C411B1"/>
    <w:rsid w:val="00C41AC5"/>
    <w:rsid w:val="00C4269B"/>
    <w:rsid w:val="00C42A7E"/>
    <w:rsid w:val="00C42C07"/>
    <w:rsid w:val="00C42E18"/>
    <w:rsid w:val="00C42F09"/>
    <w:rsid w:val="00C4313F"/>
    <w:rsid w:val="00C4364B"/>
    <w:rsid w:val="00C4456A"/>
    <w:rsid w:val="00C44AB1"/>
    <w:rsid w:val="00C44B40"/>
    <w:rsid w:val="00C44C2F"/>
    <w:rsid w:val="00C44EAC"/>
    <w:rsid w:val="00C45055"/>
    <w:rsid w:val="00C450C3"/>
    <w:rsid w:val="00C45DA8"/>
    <w:rsid w:val="00C467D6"/>
    <w:rsid w:val="00C46DDB"/>
    <w:rsid w:val="00C476BE"/>
    <w:rsid w:val="00C47E37"/>
    <w:rsid w:val="00C50CD5"/>
    <w:rsid w:val="00C516DA"/>
    <w:rsid w:val="00C53B0B"/>
    <w:rsid w:val="00C53FAF"/>
    <w:rsid w:val="00C5465E"/>
    <w:rsid w:val="00C554DF"/>
    <w:rsid w:val="00C559AC"/>
    <w:rsid w:val="00C55DDF"/>
    <w:rsid w:val="00C56B01"/>
    <w:rsid w:val="00C57763"/>
    <w:rsid w:val="00C57EE7"/>
    <w:rsid w:val="00C60056"/>
    <w:rsid w:val="00C6024B"/>
    <w:rsid w:val="00C60A10"/>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25A"/>
    <w:rsid w:val="00C74730"/>
    <w:rsid w:val="00C74E9D"/>
    <w:rsid w:val="00C75093"/>
    <w:rsid w:val="00C754F0"/>
    <w:rsid w:val="00C756D2"/>
    <w:rsid w:val="00C762CE"/>
    <w:rsid w:val="00C81C48"/>
    <w:rsid w:val="00C82C6F"/>
    <w:rsid w:val="00C83056"/>
    <w:rsid w:val="00C837D3"/>
    <w:rsid w:val="00C83EE0"/>
    <w:rsid w:val="00C842A5"/>
    <w:rsid w:val="00C846AB"/>
    <w:rsid w:val="00C8494C"/>
    <w:rsid w:val="00C84CB0"/>
    <w:rsid w:val="00C858FF"/>
    <w:rsid w:val="00C85C08"/>
    <w:rsid w:val="00C87CBF"/>
    <w:rsid w:val="00C90046"/>
    <w:rsid w:val="00C909FF"/>
    <w:rsid w:val="00C90A34"/>
    <w:rsid w:val="00C90CE4"/>
    <w:rsid w:val="00C91741"/>
    <w:rsid w:val="00C91BD6"/>
    <w:rsid w:val="00C93619"/>
    <w:rsid w:val="00C94554"/>
    <w:rsid w:val="00C946EF"/>
    <w:rsid w:val="00C9520B"/>
    <w:rsid w:val="00C9603A"/>
    <w:rsid w:val="00C96328"/>
    <w:rsid w:val="00C96CDF"/>
    <w:rsid w:val="00C96E52"/>
    <w:rsid w:val="00C96FC3"/>
    <w:rsid w:val="00C971D9"/>
    <w:rsid w:val="00C9753A"/>
    <w:rsid w:val="00C97A74"/>
    <w:rsid w:val="00CA031F"/>
    <w:rsid w:val="00CA0A21"/>
    <w:rsid w:val="00CA23C1"/>
    <w:rsid w:val="00CA2B12"/>
    <w:rsid w:val="00CA4B18"/>
    <w:rsid w:val="00CA50EC"/>
    <w:rsid w:val="00CA51C3"/>
    <w:rsid w:val="00CA6180"/>
    <w:rsid w:val="00CA61E9"/>
    <w:rsid w:val="00CA74C8"/>
    <w:rsid w:val="00CA75B5"/>
    <w:rsid w:val="00CA7A57"/>
    <w:rsid w:val="00CA7CBB"/>
    <w:rsid w:val="00CB00C6"/>
    <w:rsid w:val="00CB01EC"/>
    <w:rsid w:val="00CB0C25"/>
    <w:rsid w:val="00CB14A9"/>
    <w:rsid w:val="00CB24F9"/>
    <w:rsid w:val="00CB3DE1"/>
    <w:rsid w:val="00CB41B2"/>
    <w:rsid w:val="00CB4605"/>
    <w:rsid w:val="00CB50E6"/>
    <w:rsid w:val="00CB65BD"/>
    <w:rsid w:val="00CB6867"/>
    <w:rsid w:val="00CB71DD"/>
    <w:rsid w:val="00CB7201"/>
    <w:rsid w:val="00CC053C"/>
    <w:rsid w:val="00CC0B8D"/>
    <w:rsid w:val="00CC0C9F"/>
    <w:rsid w:val="00CC0CA6"/>
    <w:rsid w:val="00CC1139"/>
    <w:rsid w:val="00CC1380"/>
    <w:rsid w:val="00CC152E"/>
    <w:rsid w:val="00CC273C"/>
    <w:rsid w:val="00CC3C88"/>
    <w:rsid w:val="00CC3DE4"/>
    <w:rsid w:val="00CC4CA5"/>
    <w:rsid w:val="00CC52D9"/>
    <w:rsid w:val="00CC543D"/>
    <w:rsid w:val="00CC6111"/>
    <w:rsid w:val="00CC67C7"/>
    <w:rsid w:val="00CD196C"/>
    <w:rsid w:val="00CD22F4"/>
    <w:rsid w:val="00CD232D"/>
    <w:rsid w:val="00CD2868"/>
    <w:rsid w:val="00CD3B29"/>
    <w:rsid w:val="00CD455F"/>
    <w:rsid w:val="00CD537D"/>
    <w:rsid w:val="00CD616D"/>
    <w:rsid w:val="00CD6D01"/>
    <w:rsid w:val="00CD7DFB"/>
    <w:rsid w:val="00CE015F"/>
    <w:rsid w:val="00CE022B"/>
    <w:rsid w:val="00CE1189"/>
    <w:rsid w:val="00CE1634"/>
    <w:rsid w:val="00CE218F"/>
    <w:rsid w:val="00CE2E4F"/>
    <w:rsid w:val="00CE3A55"/>
    <w:rsid w:val="00CE5D15"/>
    <w:rsid w:val="00CE6F21"/>
    <w:rsid w:val="00CE7328"/>
    <w:rsid w:val="00CE738B"/>
    <w:rsid w:val="00CE7AA8"/>
    <w:rsid w:val="00CF08A6"/>
    <w:rsid w:val="00CF10BB"/>
    <w:rsid w:val="00CF198E"/>
    <w:rsid w:val="00CF1CF4"/>
    <w:rsid w:val="00CF1E06"/>
    <w:rsid w:val="00CF26FB"/>
    <w:rsid w:val="00CF31D5"/>
    <w:rsid w:val="00CF3320"/>
    <w:rsid w:val="00CF3B6D"/>
    <w:rsid w:val="00CF45EC"/>
    <w:rsid w:val="00CF525D"/>
    <w:rsid w:val="00CF5344"/>
    <w:rsid w:val="00CF536D"/>
    <w:rsid w:val="00CF60C5"/>
    <w:rsid w:val="00CF7C2C"/>
    <w:rsid w:val="00CF7E7C"/>
    <w:rsid w:val="00D00FA8"/>
    <w:rsid w:val="00D0103C"/>
    <w:rsid w:val="00D0131B"/>
    <w:rsid w:val="00D015E0"/>
    <w:rsid w:val="00D01AD1"/>
    <w:rsid w:val="00D01E19"/>
    <w:rsid w:val="00D02356"/>
    <w:rsid w:val="00D03329"/>
    <w:rsid w:val="00D03BAD"/>
    <w:rsid w:val="00D03DC4"/>
    <w:rsid w:val="00D040C5"/>
    <w:rsid w:val="00D045EE"/>
    <w:rsid w:val="00D04EA4"/>
    <w:rsid w:val="00D0527E"/>
    <w:rsid w:val="00D056EF"/>
    <w:rsid w:val="00D05AE6"/>
    <w:rsid w:val="00D06453"/>
    <w:rsid w:val="00D06668"/>
    <w:rsid w:val="00D06868"/>
    <w:rsid w:val="00D0792B"/>
    <w:rsid w:val="00D07C66"/>
    <w:rsid w:val="00D103A6"/>
    <w:rsid w:val="00D107B3"/>
    <w:rsid w:val="00D11285"/>
    <w:rsid w:val="00D11728"/>
    <w:rsid w:val="00D120CE"/>
    <w:rsid w:val="00D12391"/>
    <w:rsid w:val="00D127BD"/>
    <w:rsid w:val="00D12809"/>
    <w:rsid w:val="00D12FC9"/>
    <w:rsid w:val="00D13897"/>
    <w:rsid w:val="00D13A85"/>
    <w:rsid w:val="00D13B0C"/>
    <w:rsid w:val="00D13B30"/>
    <w:rsid w:val="00D1459A"/>
    <w:rsid w:val="00D14BB2"/>
    <w:rsid w:val="00D14CCB"/>
    <w:rsid w:val="00D156A1"/>
    <w:rsid w:val="00D1597C"/>
    <w:rsid w:val="00D15EDB"/>
    <w:rsid w:val="00D200C9"/>
    <w:rsid w:val="00D202F1"/>
    <w:rsid w:val="00D20BFE"/>
    <w:rsid w:val="00D2149E"/>
    <w:rsid w:val="00D2173E"/>
    <w:rsid w:val="00D21FFA"/>
    <w:rsid w:val="00D2265D"/>
    <w:rsid w:val="00D228F4"/>
    <w:rsid w:val="00D22B35"/>
    <w:rsid w:val="00D230EB"/>
    <w:rsid w:val="00D23E07"/>
    <w:rsid w:val="00D23EED"/>
    <w:rsid w:val="00D23EF1"/>
    <w:rsid w:val="00D24702"/>
    <w:rsid w:val="00D24A0D"/>
    <w:rsid w:val="00D25701"/>
    <w:rsid w:val="00D25FD1"/>
    <w:rsid w:val="00D26151"/>
    <w:rsid w:val="00D26AE9"/>
    <w:rsid w:val="00D26B95"/>
    <w:rsid w:val="00D2772E"/>
    <w:rsid w:val="00D27DE5"/>
    <w:rsid w:val="00D27E58"/>
    <w:rsid w:val="00D305BE"/>
    <w:rsid w:val="00D31053"/>
    <w:rsid w:val="00D31837"/>
    <w:rsid w:val="00D31B66"/>
    <w:rsid w:val="00D31BC4"/>
    <w:rsid w:val="00D31DD8"/>
    <w:rsid w:val="00D32005"/>
    <w:rsid w:val="00D32024"/>
    <w:rsid w:val="00D3225C"/>
    <w:rsid w:val="00D3321D"/>
    <w:rsid w:val="00D33755"/>
    <w:rsid w:val="00D33EB4"/>
    <w:rsid w:val="00D34C9F"/>
    <w:rsid w:val="00D34E0B"/>
    <w:rsid w:val="00D35821"/>
    <w:rsid w:val="00D36695"/>
    <w:rsid w:val="00D36E08"/>
    <w:rsid w:val="00D40EED"/>
    <w:rsid w:val="00D40FA0"/>
    <w:rsid w:val="00D41170"/>
    <w:rsid w:val="00D416C8"/>
    <w:rsid w:val="00D41F4D"/>
    <w:rsid w:val="00D42CF6"/>
    <w:rsid w:val="00D432F7"/>
    <w:rsid w:val="00D43E8D"/>
    <w:rsid w:val="00D4409F"/>
    <w:rsid w:val="00D44333"/>
    <w:rsid w:val="00D444FD"/>
    <w:rsid w:val="00D448F6"/>
    <w:rsid w:val="00D4583F"/>
    <w:rsid w:val="00D459AC"/>
    <w:rsid w:val="00D45CF7"/>
    <w:rsid w:val="00D462AC"/>
    <w:rsid w:val="00D46A6D"/>
    <w:rsid w:val="00D46DAC"/>
    <w:rsid w:val="00D46EC6"/>
    <w:rsid w:val="00D470EB"/>
    <w:rsid w:val="00D47D0D"/>
    <w:rsid w:val="00D5040F"/>
    <w:rsid w:val="00D50986"/>
    <w:rsid w:val="00D51354"/>
    <w:rsid w:val="00D52268"/>
    <w:rsid w:val="00D539F8"/>
    <w:rsid w:val="00D53B2F"/>
    <w:rsid w:val="00D54168"/>
    <w:rsid w:val="00D5471B"/>
    <w:rsid w:val="00D5503C"/>
    <w:rsid w:val="00D5587A"/>
    <w:rsid w:val="00D55EE9"/>
    <w:rsid w:val="00D56365"/>
    <w:rsid w:val="00D56A20"/>
    <w:rsid w:val="00D56BA3"/>
    <w:rsid w:val="00D56CBE"/>
    <w:rsid w:val="00D56EF9"/>
    <w:rsid w:val="00D57645"/>
    <w:rsid w:val="00D57B8D"/>
    <w:rsid w:val="00D60119"/>
    <w:rsid w:val="00D60627"/>
    <w:rsid w:val="00D61068"/>
    <w:rsid w:val="00D6174D"/>
    <w:rsid w:val="00D617DA"/>
    <w:rsid w:val="00D62109"/>
    <w:rsid w:val="00D6219D"/>
    <w:rsid w:val="00D6260C"/>
    <w:rsid w:val="00D62E05"/>
    <w:rsid w:val="00D63998"/>
    <w:rsid w:val="00D63F2A"/>
    <w:rsid w:val="00D63FB6"/>
    <w:rsid w:val="00D648DC"/>
    <w:rsid w:val="00D6495A"/>
    <w:rsid w:val="00D653F1"/>
    <w:rsid w:val="00D6561C"/>
    <w:rsid w:val="00D65888"/>
    <w:rsid w:val="00D65E0E"/>
    <w:rsid w:val="00D66BC6"/>
    <w:rsid w:val="00D6786A"/>
    <w:rsid w:val="00D67A09"/>
    <w:rsid w:val="00D67B49"/>
    <w:rsid w:val="00D700DB"/>
    <w:rsid w:val="00D70F84"/>
    <w:rsid w:val="00D7110C"/>
    <w:rsid w:val="00D71A07"/>
    <w:rsid w:val="00D730E7"/>
    <w:rsid w:val="00D7327A"/>
    <w:rsid w:val="00D73586"/>
    <w:rsid w:val="00D73D62"/>
    <w:rsid w:val="00D740FD"/>
    <w:rsid w:val="00D74265"/>
    <w:rsid w:val="00D74BA7"/>
    <w:rsid w:val="00D74D52"/>
    <w:rsid w:val="00D7516C"/>
    <w:rsid w:val="00D7590B"/>
    <w:rsid w:val="00D75A01"/>
    <w:rsid w:val="00D75E30"/>
    <w:rsid w:val="00D762B3"/>
    <w:rsid w:val="00D7663D"/>
    <w:rsid w:val="00D7756F"/>
    <w:rsid w:val="00D805E9"/>
    <w:rsid w:val="00D80B06"/>
    <w:rsid w:val="00D80F80"/>
    <w:rsid w:val="00D8147F"/>
    <w:rsid w:val="00D81592"/>
    <w:rsid w:val="00D81B9B"/>
    <w:rsid w:val="00D820CD"/>
    <w:rsid w:val="00D828B8"/>
    <w:rsid w:val="00D82903"/>
    <w:rsid w:val="00D82E7F"/>
    <w:rsid w:val="00D83507"/>
    <w:rsid w:val="00D83908"/>
    <w:rsid w:val="00D83A01"/>
    <w:rsid w:val="00D84140"/>
    <w:rsid w:val="00D8431E"/>
    <w:rsid w:val="00D84AAC"/>
    <w:rsid w:val="00D85602"/>
    <w:rsid w:val="00D85740"/>
    <w:rsid w:val="00D8619D"/>
    <w:rsid w:val="00D9047D"/>
    <w:rsid w:val="00D90FC0"/>
    <w:rsid w:val="00D91723"/>
    <w:rsid w:val="00D91C5F"/>
    <w:rsid w:val="00D92785"/>
    <w:rsid w:val="00D927D6"/>
    <w:rsid w:val="00D9348E"/>
    <w:rsid w:val="00D9356F"/>
    <w:rsid w:val="00D94668"/>
    <w:rsid w:val="00D94AE5"/>
    <w:rsid w:val="00D94C1C"/>
    <w:rsid w:val="00D957C6"/>
    <w:rsid w:val="00D97006"/>
    <w:rsid w:val="00D97025"/>
    <w:rsid w:val="00D9723B"/>
    <w:rsid w:val="00D9723C"/>
    <w:rsid w:val="00D97314"/>
    <w:rsid w:val="00D97330"/>
    <w:rsid w:val="00D97A58"/>
    <w:rsid w:val="00DA021A"/>
    <w:rsid w:val="00DA050E"/>
    <w:rsid w:val="00DA09E9"/>
    <w:rsid w:val="00DA18FC"/>
    <w:rsid w:val="00DA1930"/>
    <w:rsid w:val="00DA2C00"/>
    <w:rsid w:val="00DA3083"/>
    <w:rsid w:val="00DA3B89"/>
    <w:rsid w:val="00DA3C10"/>
    <w:rsid w:val="00DA3F43"/>
    <w:rsid w:val="00DA4208"/>
    <w:rsid w:val="00DA5D79"/>
    <w:rsid w:val="00DA6539"/>
    <w:rsid w:val="00DB0AE8"/>
    <w:rsid w:val="00DB0B97"/>
    <w:rsid w:val="00DB0DD5"/>
    <w:rsid w:val="00DB2AB7"/>
    <w:rsid w:val="00DB39CC"/>
    <w:rsid w:val="00DB3EA4"/>
    <w:rsid w:val="00DB414B"/>
    <w:rsid w:val="00DB5298"/>
    <w:rsid w:val="00DB52E0"/>
    <w:rsid w:val="00DB5538"/>
    <w:rsid w:val="00DB57B4"/>
    <w:rsid w:val="00DB6376"/>
    <w:rsid w:val="00DB642E"/>
    <w:rsid w:val="00DB6780"/>
    <w:rsid w:val="00DB7950"/>
    <w:rsid w:val="00DC039A"/>
    <w:rsid w:val="00DC0DAB"/>
    <w:rsid w:val="00DC1423"/>
    <w:rsid w:val="00DC1919"/>
    <w:rsid w:val="00DC1B74"/>
    <w:rsid w:val="00DC2795"/>
    <w:rsid w:val="00DC2CE7"/>
    <w:rsid w:val="00DC2FD0"/>
    <w:rsid w:val="00DC3770"/>
    <w:rsid w:val="00DC4029"/>
    <w:rsid w:val="00DC4375"/>
    <w:rsid w:val="00DC4460"/>
    <w:rsid w:val="00DC4490"/>
    <w:rsid w:val="00DC4C10"/>
    <w:rsid w:val="00DC4F91"/>
    <w:rsid w:val="00DC63F6"/>
    <w:rsid w:val="00DC7198"/>
    <w:rsid w:val="00DC7C08"/>
    <w:rsid w:val="00DD0A6F"/>
    <w:rsid w:val="00DD0CA9"/>
    <w:rsid w:val="00DD1246"/>
    <w:rsid w:val="00DD1EBB"/>
    <w:rsid w:val="00DD239E"/>
    <w:rsid w:val="00DD265E"/>
    <w:rsid w:val="00DD2736"/>
    <w:rsid w:val="00DD281A"/>
    <w:rsid w:val="00DD294E"/>
    <w:rsid w:val="00DD2C9D"/>
    <w:rsid w:val="00DD2EB1"/>
    <w:rsid w:val="00DD3F75"/>
    <w:rsid w:val="00DD48A6"/>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312"/>
    <w:rsid w:val="00DE5A2C"/>
    <w:rsid w:val="00DE5B1A"/>
    <w:rsid w:val="00DE5E02"/>
    <w:rsid w:val="00DE7DAE"/>
    <w:rsid w:val="00DF00AC"/>
    <w:rsid w:val="00DF0763"/>
    <w:rsid w:val="00DF0F4E"/>
    <w:rsid w:val="00DF22D9"/>
    <w:rsid w:val="00DF3196"/>
    <w:rsid w:val="00DF37C6"/>
    <w:rsid w:val="00DF3E85"/>
    <w:rsid w:val="00DF6DEA"/>
    <w:rsid w:val="00DF75A5"/>
    <w:rsid w:val="00DF799A"/>
    <w:rsid w:val="00DF7CC6"/>
    <w:rsid w:val="00E0008D"/>
    <w:rsid w:val="00E01057"/>
    <w:rsid w:val="00E0109C"/>
    <w:rsid w:val="00E016F7"/>
    <w:rsid w:val="00E022C6"/>
    <w:rsid w:val="00E028B6"/>
    <w:rsid w:val="00E02961"/>
    <w:rsid w:val="00E02A2C"/>
    <w:rsid w:val="00E02E5B"/>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27E"/>
    <w:rsid w:val="00E22AD8"/>
    <w:rsid w:val="00E23047"/>
    <w:rsid w:val="00E23DF7"/>
    <w:rsid w:val="00E23E5B"/>
    <w:rsid w:val="00E24030"/>
    <w:rsid w:val="00E2495E"/>
    <w:rsid w:val="00E24A18"/>
    <w:rsid w:val="00E24B2D"/>
    <w:rsid w:val="00E24E5E"/>
    <w:rsid w:val="00E25B0C"/>
    <w:rsid w:val="00E25CB0"/>
    <w:rsid w:val="00E265C3"/>
    <w:rsid w:val="00E2730B"/>
    <w:rsid w:val="00E27696"/>
    <w:rsid w:val="00E2790A"/>
    <w:rsid w:val="00E27D54"/>
    <w:rsid w:val="00E30F00"/>
    <w:rsid w:val="00E3139A"/>
    <w:rsid w:val="00E3259F"/>
    <w:rsid w:val="00E33224"/>
    <w:rsid w:val="00E33365"/>
    <w:rsid w:val="00E35B65"/>
    <w:rsid w:val="00E36937"/>
    <w:rsid w:val="00E36C82"/>
    <w:rsid w:val="00E37440"/>
    <w:rsid w:val="00E37A77"/>
    <w:rsid w:val="00E37A98"/>
    <w:rsid w:val="00E41009"/>
    <w:rsid w:val="00E41829"/>
    <w:rsid w:val="00E41B46"/>
    <w:rsid w:val="00E41BDF"/>
    <w:rsid w:val="00E41D06"/>
    <w:rsid w:val="00E41ECA"/>
    <w:rsid w:val="00E42504"/>
    <w:rsid w:val="00E42687"/>
    <w:rsid w:val="00E4310B"/>
    <w:rsid w:val="00E44005"/>
    <w:rsid w:val="00E444AD"/>
    <w:rsid w:val="00E44C4F"/>
    <w:rsid w:val="00E45A9C"/>
    <w:rsid w:val="00E468D7"/>
    <w:rsid w:val="00E47977"/>
    <w:rsid w:val="00E479AF"/>
    <w:rsid w:val="00E525F3"/>
    <w:rsid w:val="00E52E26"/>
    <w:rsid w:val="00E535F8"/>
    <w:rsid w:val="00E53A12"/>
    <w:rsid w:val="00E5409F"/>
    <w:rsid w:val="00E54174"/>
    <w:rsid w:val="00E54940"/>
    <w:rsid w:val="00E54DED"/>
    <w:rsid w:val="00E54F77"/>
    <w:rsid w:val="00E55565"/>
    <w:rsid w:val="00E556F6"/>
    <w:rsid w:val="00E557AD"/>
    <w:rsid w:val="00E5699D"/>
    <w:rsid w:val="00E5744F"/>
    <w:rsid w:val="00E578BB"/>
    <w:rsid w:val="00E6089A"/>
    <w:rsid w:val="00E608D3"/>
    <w:rsid w:val="00E611FD"/>
    <w:rsid w:val="00E6126E"/>
    <w:rsid w:val="00E61755"/>
    <w:rsid w:val="00E61AC5"/>
    <w:rsid w:val="00E61E74"/>
    <w:rsid w:val="00E61ED9"/>
    <w:rsid w:val="00E622CF"/>
    <w:rsid w:val="00E642CC"/>
    <w:rsid w:val="00E647C3"/>
    <w:rsid w:val="00E64851"/>
    <w:rsid w:val="00E64A85"/>
    <w:rsid w:val="00E64EA7"/>
    <w:rsid w:val="00E653E4"/>
    <w:rsid w:val="00E656E8"/>
    <w:rsid w:val="00E65A58"/>
    <w:rsid w:val="00E65ED9"/>
    <w:rsid w:val="00E660CF"/>
    <w:rsid w:val="00E705B2"/>
    <w:rsid w:val="00E711C6"/>
    <w:rsid w:val="00E71923"/>
    <w:rsid w:val="00E72752"/>
    <w:rsid w:val="00E727BA"/>
    <w:rsid w:val="00E72E12"/>
    <w:rsid w:val="00E73510"/>
    <w:rsid w:val="00E7389D"/>
    <w:rsid w:val="00E73C1A"/>
    <w:rsid w:val="00E73DE5"/>
    <w:rsid w:val="00E73E34"/>
    <w:rsid w:val="00E7403B"/>
    <w:rsid w:val="00E7447D"/>
    <w:rsid w:val="00E74860"/>
    <w:rsid w:val="00E752CA"/>
    <w:rsid w:val="00E75F8B"/>
    <w:rsid w:val="00E77244"/>
    <w:rsid w:val="00E77247"/>
    <w:rsid w:val="00E774D7"/>
    <w:rsid w:val="00E77A19"/>
    <w:rsid w:val="00E77DB3"/>
    <w:rsid w:val="00E80F28"/>
    <w:rsid w:val="00E81336"/>
    <w:rsid w:val="00E825AE"/>
    <w:rsid w:val="00E82AEE"/>
    <w:rsid w:val="00E82FDB"/>
    <w:rsid w:val="00E84F3B"/>
    <w:rsid w:val="00E850CD"/>
    <w:rsid w:val="00E86170"/>
    <w:rsid w:val="00E86279"/>
    <w:rsid w:val="00E8637C"/>
    <w:rsid w:val="00E868E0"/>
    <w:rsid w:val="00E86D17"/>
    <w:rsid w:val="00E8711D"/>
    <w:rsid w:val="00E87776"/>
    <w:rsid w:val="00E90495"/>
    <w:rsid w:val="00E912F1"/>
    <w:rsid w:val="00E91340"/>
    <w:rsid w:val="00E91D69"/>
    <w:rsid w:val="00E928DC"/>
    <w:rsid w:val="00E930AF"/>
    <w:rsid w:val="00E93746"/>
    <w:rsid w:val="00E939DD"/>
    <w:rsid w:val="00E93AEB"/>
    <w:rsid w:val="00E949EB"/>
    <w:rsid w:val="00E978AE"/>
    <w:rsid w:val="00E97BB1"/>
    <w:rsid w:val="00E97C50"/>
    <w:rsid w:val="00E97DF1"/>
    <w:rsid w:val="00EA01D4"/>
    <w:rsid w:val="00EA16F9"/>
    <w:rsid w:val="00EA24F3"/>
    <w:rsid w:val="00EA266C"/>
    <w:rsid w:val="00EA32C5"/>
    <w:rsid w:val="00EA3A6E"/>
    <w:rsid w:val="00EA4637"/>
    <w:rsid w:val="00EA46C4"/>
    <w:rsid w:val="00EA4A32"/>
    <w:rsid w:val="00EA4ABF"/>
    <w:rsid w:val="00EA564F"/>
    <w:rsid w:val="00EA5B9B"/>
    <w:rsid w:val="00EA63EE"/>
    <w:rsid w:val="00EA692A"/>
    <w:rsid w:val="00EA6EA3"/>
    <w:rsid w:val="00EA7001"/>
    <w:rsid w:val="00EB021A"/>
    <w:rsid w:val="00EB11F3"/>
    <w:rsid w:val="00EB1202"/>
    <w:rsid w:val="00EB2A8C"/>
    <w:rsid w:val="00EB34ED"/>
    <w:rsid w:val="00EB62AD"/>
    <w:rsid w:val="00EB6D51"/>
    <w:rsid w:val="00EB790A"/>
    <w:rsid w:val="00EB7CA2"/>
    <w:rsid w:val="00EC02D3"/>
    <w:rsid w:val="00EC072C"/>
    <w:rsid w:val="00EC0C28"/>
    <w:rsid w:val="00EC0FB6"/>
    <w:rsid w:val="00EC1D49"/>
    <w:rsid w:val="00EC1E68"/>
    <w:rsid w:val="00EC212B"/>
    <w:rsid w:val="00EC23DD"/>
    <w:rsid w:val="00EC3FE8"/>
    <w:rsid w:val="00EC4293"/>
    <w:rsid w:val="00EC5568"/>
    <w:rsid w:val="00EC5891"/>
    <w:rsid w:val="00EC6F25"/>
    <w:rsid w:val="00EC7326"/>
    <w:rsid w:val="00EC7691"/>
    <w:rsid w:val="00EC7740"/>
    <w:rsid w:val="00EC7770"/>
    <w:rsid w:val="00ED26B6"/>
    <w:rsid w:val="00ED2FDF"/>
    <w:rsid w:val="00ED3044"/>
    <w:rsid w:val="00ED3420"/>
    <w:rsid w:val="00ED3EE2"/>
    <w:rsid w:val="00ED415D"/>
    <w:rsid w:val="00ED4327"/>
    <w:rsid w:val="00ED43FD"/>
    <w:rsid w:val="00ED4BC1"/>
    <w:rsid w:val="00ED611D"/>
    <w:rsid w:val="00ED7927"/>
    <w:rsid w:val="00ED7FEE"/>
    <w:rsid w:val="00EE0346"/>
    <w:rsid w:val="00EE0662"/>
    <w:rsid w:val="00EE0C5D"/>
    <w:rsid w:val="00EE10E2"/>
    <w:rsid w:val="00EE1410"/>
    <w:rsid w:val="00EE197D"/>
    <w:rsid w:val="00EE1C83"/>
    <w:rsid w:val="00EE1D19"/>
    <w:rsid w:val="00EE2826"/>
    <w:rsid w:val="00EE3028"/>
    <w:rsid w:val="00EE364F"/>
    <w:rsid w:val="00EE3CDB"/>
    <w:rsid w:val="00EE47A6"/>
    <w:rsid w:val="00EE48A0"/>
    <w:rsid w:val="00EE4C80"/>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34C9"/>
    <w:rsid w:val="00EF42EE"/>
    <w:rsid w:val="00EF46B1"/>
    <w:rsid w:val="00EF47BE"/>
    <w:rsid w:val="00EF4A82"/>
    <w:rsid w:val="00EF4D3E"/>
    <w:rsid w:val="00EF549C"/>
    <w:rsid w:val="00EF54FB"/>
    <w:rsid w:val="00EF5CC6"/>
    <w:rsid w:val="00EF62A0"/>
    <w:rsid w:val="00EF73DE"/>
    <w:rsid w:val="00F00C54"/>
    <w:rsid w:val="00F012C8"/>
    <w:rsid w:val="00F0262E"/>
    <w:rsid w:val="00F02711"/>
    <w:rsid w:val="00F02E01"/>
    <w:rsid w:val="00F03424"/>
    <w:rsid w:val="00F03854"/>
    <w:rsid w:val="00F04766"/>
    <w:rsid w:val="00F04C3A"/>
    <w:rsid w:val="00F055F2"/>
    <w:rsid w:val="00F05BAB"/>
    <w:rsid w:val="00F05DB9"/>
    <w:rsid w:val="00F05FD2"/>
    <w:rsid w:val="00F06ED4"/>
    <w:rsid w:val="00F07860"/>
    <w:rsid w:val="00F10350"/>
    <w:rsid w:val="00F11559"/>
    <w:rsid w:val="00F11797"/>
    <w:rsid w:val="00F11BE0"/>
    <w:rsid w:val="00F12257"/>
    <w:rsid w:val="00F126C1"/>
    <w:rsid w:val="00F12ED9"/>
    <w:rsid w:val="00F1388C"/>
    <w:rsid w:val="00F13E76"/>
    <w:rsid w:val="00F14AE8"/>
    <w:rsid w:val="00F150E3"/>
    <w:rsid w:val="00F15B4D"/>
    <w:rsid w:val="00F15EF9"/>
    <w:rsid w:val="00F1627B"/>
    <w:rsid w:val="00F16A8F"/>
    <w:rsid w:val="00F16EC4"/>
    <w:rsid w:val="00F20083"/>
    <w:rsid w:val="00F204B9"/>
    <w:rsid w:val="00F2056C"/>
    <w:rsid w:val="00F2104B"/>
    <w:rsid w:val="00F21F55"/>
    <w:rsid w:val="00F22234"/>
    <w:rsid w:val="00F22B90"/>
    <w:rsid w:val="00F23AD2"/>
    <w:rsid w:val="00F2433F"/>
    <w:rsid w:val="00F24636"/>
    <w:rsid w:val="00F25439"/>
    <w:rsid w:val="00F25A09"/>
    <w:rsid w:val="00F25E80"/>
    <w:rsid w:val="00F25F16"/>
    <w:rsid w:val="00F26D2E"/>
    <w:rsid w:val="00F27D97"/>
    <w:rsid w:val="00F302F9"/>
    <w:rsid w:val="00F30A2B"/>
    <w:rsid w:val="00F3211F"/>
    <w:rsid w:val="00F33DFC"/>
    <w:rsid w:val="00F33F39"/>
    <w:rsid w:val="00F35110"/>
    <w:rsid w:val="00F356E5"/>
    <w:rsid w:val="00F364BE"/>
    <w:rsid w:val="00F36BD3"/>
    <w:rsid w:val="00F400BB"/>
    <w:rsid w:val="00F40DC6"/>
    <w:rsid w:val="00F41001"/>
    <w:rsid w:val="00F4104F"/>
    <w:rsid w:val="00F42521"/>
    <w:rsid w:val="00F42A0A"/>
    <w:rsid w:val="00F42C71"/>
    <w:rsid w:val="00F42DF3"/>
    <w:rsid w:val="00F4342D"/>
    <w:rsid w:val="00F43ABF"/>
    <w:rsid w:val="00F43FAF"/>
    <w:rsid w:val="00F442F6"/>
    <w:rsid w:val="00F44453"/>
    <w:rsid w:val="00F44C74"/>
    <w:rsid w:val="00F45A7F"/>
    <w:rsid w:val="00F4684D"/>
    <w:rsid w:val="00F46EA4"/>
    <w:rsid w:val="00F47CA3"/>
    <w:rsid w:val="00F47E32"/>
    <w:rsid w:val="00F50741"/>
    <w:rsid w:val="00F50A9A"/>
    <w:rsid w:val="00F50FC0"/>
    <w:rsid w:val="00F512F0"/>
    <w:rsid w:val="00F5149F"/>
    <w:rsid w:val="00F522CD"/>
    <w:rsid w:val="00F5235D"/>
    <w:rsid w:val="00F5241B"/>
    <w:rsid w:val="00F52478"/>
    <w:rsid w:val="00F52A98"/>
    <w:rsid w:val="00F52C92"/>
    <w:rsid w:val="00F532CF"/>
    <w:rsid w:val="00F53674"/>
    <w:rsid w:val="00F53EBC"/>
    <w:rsid w:val="00F546E6"/>
    <w:rsid w:val="00F54EEA"/>
    <w:rsid w:val="00F565A2"/>
    <w:rsid w:val="00F56D65"/>
    <w:rsid w:val="00F57007"/>
    <w:rsid w:val="00F57142"/>
    <w:rsid w:val="00F57454"/>
    <w:rsid w:val="00F5747E"/>
    <w:rsid w:val="00F57855"/>
    <w:rsid w:val="00F57B24"/>
    <w:rsid w:val="00F57D0C"/>
    <w:rsid w:val="00F60E4B"/>
    <w:rsid w:val="00F610FD"/>
    <w:rsid w:val="00F6266D"/>
    <w:rsid w:val="00F62C54"/>
    <w:rsid w:val="00F62EF6"/>
    <w:rsid w:val="00F635D0"/>
    <w:rsid w:val="00F63AD9"/>
    <w:rsid w:val="00F6468E"/>
    <w:rsid w:val="00F6517B"/>
    <w:rsid w:val="00F6557E"/>
    <w:rsid w:val="00F65614"/>
    <w:rsid w:val="00F65D34"/>
    <w:rsid w:val="00F66867"/>
    <w:rsid w:val="00F66CFA"/>
    <w:rsid w:val="00F705A2"/>
    <w:rsid w:val="00F70C77"/>
    <w:rsid w:val="00F70E3B"/>
    <w:rsid w:val="00F71622"/>
    <w:rsid w:val="00F72337"/>
    <w:rsid w:val="00F729B1"/>
    <w:rsid w:val="00F746CE"/>
    <w:rsid w:val="00F7545F"/>
    <w:rsid w:val="00F756C7"/>
    <w:rsid w:val="00F759E4"/>
    <w:rsid w:val="00F75E0D"/>
    <w:rsid w:val="00F761E2"/>
    <w:rsid w:val="00F7732A"/>
    <w:rsid w:val="00F77E69"/>
    <w:rsid w:val="00F800EE"/>
    <w:rsid w:val="00F80CEC"/>
    <w:rsid w:val="00F81176"/>
    <w:rsid w:val="00F81886"/>
    <w:rsid w:val="00F81913"/>
    <w:rsid w:val="00F8211F"/>
    <w:rsid w:val="00F82420"/>
    <w:rsid w:val="00F83235"/>
    <w:rsid w:val="00F8392F"/>
    <w:rsid w:val="00F843E7"/>
    <w:rsid w:val="00F861CB"/>
    <w:rsid w:val="00F86763"/>
    <w:rsid w:val="00F86A1D"/>
    <w:rsid w:val="00F86F40"/>
    <w:rsid w:val="00F87505"/>
    <w:rsid w:val="00F87819"/>
    <w:rsid w:val="00F90401"/>
    <w:rsid w:val="00F918DB"/>
    <w:rsid w:val="00F92BD7"/>
    <w:rsid w:val="00F92C98"/>
    <w:rsid w:val="00F935E0"/>
    <w:rsid w:val="00F941B3"/>
    <w:rsid w:val="00F9424D"/>
    <w:rsid w:val="00F94673"/>
    <w:rsid w:val="00F95A21"/>
    <w:rsid w:val="00F96234"/>
    <w:rsid w:val="00F96F62"/>
    <w:rsid w:val="00F971DC"/>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BBF"/>
    <w:rsid w:val="00FA7FC3"/>
    <w:rsid w:val="00FB0E47"/>
    <w:rsid w:val="00FB0FE3"/>
    <w:rsid w:val="00FB1D7D"/>
    <w:rsid w:val="00FB2052"/>
    <w:rsid w:val="00FB271A"/>
    <w:rsid w:val="00FB2B34"/>
    <w:rsid w:val="00FB3200"/>
    <w:rsid w:val="00FB4034"/>
    <w:rsid w:val="00FB52DD"/>
    <w:rsid w:val="00FB5A39"/>
    <w:rsid w:val="00FB6575"/>
    <w:rsid w:val="00FB6CF4"/>
    <w:rsid w:val="00FB6D69"/>
    <w:rsid w:val="00FC03FE"/>
    <w:rsid w:val="00FC0B39"/>
    <w:rsid w:val="00FC0DA1"/>
    <w:rsid w:val="00FC151B"/>
    <w:rsid w:val="00FC1926"/>
    <w:rsid w:val="00FC294A"/>
    <w:rsid w:val="00FC2D1D"/>
    <w:rsid w:val="00FC2F9C"/>
    <w:rsid w:val="00FC3628"/>
    <w:rsid w:val="00FC3AE6"/>
    <w:rsid w:val="00FC3B32"/>
    <w:rsid w:val="00FC3C83"/>
    <w:rsid w:val="00FC5881"/>
    <w:rsid w:val="00FC6BAE"/>
    <w:rsid w:val="00FD00F9"/>
    <w:rsid w:val="00FD0365"/>
    <w:rsid w:val="00FD043F"/>
    <w:rsid w:val="00FD0642"/>
    <w:rsid w:val="00FD0FCD"/>
    <w:rsid w:val="00FD125A"/>
    <w:rsid w:val="00FD15D4"/>
    <w:rsid w:val="00FD274D"/>
    <w:rsid w:val="00FD39E9"/>
    <w:rsid w:val="00FD425D"/>
    <w:rsid w:val="00FD4488"/>
    <w:rsid w:val="00FD5352"/>
    <w:rsid w:val="00FD5523"/>
    <w:rsid w:val="00FD63FC"/>
    <w:rsid w:val="00FD64C3"/>
    <w:rsid w:val="00FD68D0"/>
    <w:rsid w:val="00FD6DE8"/>
    <w:rsid w:val="00FD7C2A"/>
    <w:rsid w:val="00FD7D4E"/>
    <w:rsid w:val="00FE044D"/>
    <w:rsid w:val="00FE050D"/>
    <w:rsid w:val="00FE1776"/>
    <w:rsid w:val="00FE18FF"/>
    <w:rsid w:val="00FE1A10"/>
    <w:rsid w:val="00FE24EC"/>
    <w:rsid w:val="00FE2DB5"/>
    <w:rsid w:val="00FE2E02"/>
    <w:rsid w:val="00FE310B"/>
    <w:rsid w:val="00FE3DBC"/>
    <w:rsid w:val="00FE44CA"/>
    <w:rsid w:val="00FE5A88"/>
    <w:rsid w:val="00FE61AA"/>
    <w:rsid w:val="00FE6E73"/>
    <w:rsid w:val="00FE6F37"/>
    <w:rsid w:val="00FE713C"/>
    <w:rsid w:val="00FE7F69"/>
    <w:rsid w:val="00FF0ABE"/>
    <w:rsid w:val="00FF13BD"/>
    <w:rsid w:val="00FF1925"/>
    <w:rsid w:val="00FF29CE"/>
    <w:rsid w:val="00FF2BA4"/>
    <w:rsid w:val="00FF2E7B"/>
    <w:rsid w:val="00FF4763"/>
    <w:rsid w:val="00FF48F7"/>
    <w:rsid w:val="00FF4B6E"/>
    <w:rsid w:val="00FF4D09"/>
    <w:rsid w:val="00FF50E6"/>
    <w:rsid w:val="00FF5EE8"/>
    <w:rsid w:val="00FF6009"/>
    <w:rsid w:val="00FF7351"/>
    <w:rsid w:val="00FF7785"/>
    <w:rsid w:val="00FF7D8C"/>
    <w:rsid w:val="00FF7E2E"/>
    <w:rsid w:val="01036EE4"/>
    <w:rsid w:val="01177143"/>
    <w:rsid w:val="011A5F8A"/>
    <w:rsid w:val="012B6537"/>
    <w:rsid w:val="01320333"/>
    <w:rsid w:val="01467A4D"/>
    <w:rsid w:val="014C36A9"/>
    <w:rsid w:val="016043AA"/>
    <w:rsid w:val="01624EC6"/>
    <w:rsid w:val="01695475"/>
    <w:rsid w:val="0178776D"/>
    <w:rsid w:val="0194717E"/>
    <w:rsid w:val="019C353B"/>
    <w:rsid w:val="01C22980"/>
    <w:rsid w:val="01C24702"/>
    <w:rsid w:val="01CC38AC"/>
    <w:rsid w:val="01E47B91"/>
    <w:rsid w:val="02062CCF"/>
    <w:rsid w:val="02341FFC"/>
    <w:rsid w:val="024261A6"/>
    <w:rsid w:val="024676C6"/>
    <w:rsid w:val="024B4749"/>
    <w:rsid w:val="02585D19"/>
    <w:rsid w:val="02780BB2"/>
    <w:rsid w:val="02816CCE"/>
    <w:rsid w:val="02817131"/>
    <w:rsid w:val="02BD7988"/>
    <w:rsid w:val="02C94543"/>
    <w:rsid w:val="02CF4426"/>
    <w:rsid w:val="02D432A2"/>
    <w:rsid w:val="02D6570C"/>
    <w:rsid w:val="02D7069C"/>
    <w:rsid w:val="02EB46D1"/>
    <w:rsid w:val="02F7206A"/>
    <w:rsid w:val="02FE3E1E"/>
    <w:rsid w:val="030A40B7"/>
    <w:rsid w:val="030B2604"/>
    <w:rsid w:val="031E62CB"/>
    <w:rsid w:val="0324288B"/>
    <w:rsid w:val="034D2DEC"/>
    <w:rsid w:val="03967C79"/>
    <w:rsid w:val="039E740C"/>
    <w:rsid w:val="03AD1939"/>
    <w:rsid w:val="03D4659D"/>
    <w:rsid w:val="03D90AEF"/>
    <w:rsid w:val="03DE3D31"/>
    <w:rsid w:val="03E01972"/>
    <w:rsid w:val="03FF58CB"/>
    <w:rsid w:val="040C2AB1"/>
    <w:rsid w:val="042C658A"/>
    <w:rsid w:val="044304CB"/>
    <w:rsid w:val="04460D88"/>
    <w:rsid w:val="044B31F8"/>
    <w:rsid w:val="04587FC5"/>
    <w:rsid w:val="047A730F"/>
    <w:rsid w:val="04826210"/>
    <w:rsid w:val="04BA6DB8"/>
    <w:rsid w:val="04C50680"/>
    <w:rsid w:val="04C976EE"/>
    <w:rsid w:val="04CC5C7B"/>
    <w:rsid w:val="04DE56CB"/>
    <w:rsid w:val="04E10992"/>
    <w:rsid w:val="05062CC7"/>
    <w:rsid w:val="05143090"/>
    <w:rsid w:val="0521054D"/>
    <w:rsid w:val="05340917"/>
    <w:rsid w:val="053F41E1"/>
    <w:rsid w:val="05435D62"/>
    <w:rsid w:val="05502CAC"/>
    <w:rsid w:val="05763297"/>
    <w:rsid w:val="058C5A65"/>
    <w:rsid w:val="05A87E44"/>
    <w:rsid w:val="05B40D0D"/>
    <w:rsid w:val="05B840B3"/>
    <w:rsid w:val="05C2234E"/>
    <w:rsid w:val="05D15C56"/>
    <w:rsid w:val="05D50874"/>
    <w:rsid w:val="05D64F65"/>
    <w:rsid w:val="05FB1DC3"/>
    <w:rsid w:val="06071006"/>
    <w:rsid w:val="060A5898"/>
    <w:rsid w:val="061A5996"/>
    <w:rsid w:val="06326762"/>
    <w:rsid w:val="06543ADB"/>
    <w:rsid w:val="065974EA"/>
    <w:rsid w:val="065D72C7"/>
    <w:rsid w:val="06643D64"/>
    <w:rsid w:val="06733A58"/>
    <w:rsid w:val="06832B22"/>
    <w:rsid w:val="068B5D75"/>
    <w:rsid w:val="068F3591"/>
    <w:rsid w:val="06965E6A"/>
    <w:rsid w:val="06A00797"/>
    <w:rsid w:val="06B050AF"/>
    <w:rsid w:val="06C1684A"/>
    <w:rsid w:val="06CC07A4"/>
    <w:rsid w:val="06EA41E8"/>
    <w:rsid w:val="06EC4E93"/>
    <w:rsid w:val="06FA5DAC"/>
    <w:rsid w:val="06FD08ED"/>
    <w:rsid w:val="070D2A95"/>
    <w:rsid w:val="071B4EFF"/>
    <w:rsid w:val="072E7C6A"/>
    <w:rsid w:val="07766434"/>
    <w:rsid w:val="07AA535A"/>
    <w:rsid w:val="07CB5CF1"/>
    <w:rsid w:val="07DC141F"/>
    <w:rsid w:val="07E30570"/>
    <w:rsid w:val="080209CC"/>
    <w:rsid w:val="080E086C"/>
    <w:rsid w:val="081B47C0"/>
    <w:rsid w:val="08414F5F"/>
    <w:rsid w:val="0851154A"/>
    <w:rsid w:val="08515F3C"/>
    <w:rsid w:val="08536A17"/>
    <w:rsid w:val="08577A97"/>
    <w:rsid w:val="0869263D"/>
    <w:rsid w:val="086C01E9"/>
    <w:rsid w:val="08773131"/>
    <w:rsid w:val="08867AB3"/>
    <w:rsid w:val="088709A8"/>
    <w:rsid w:val="08935C62"/>
    <w:rsid w:val="08A55CD5"/>
    <w:rsid w:val="08A7716E"/>
    <w:rsid w:val="08CA15D8"/>
    <w:rsid w:val="08D617C1"/>
    <w:rsid w:val="08D95FBE"/>
    <w:rsid w:val="090137FA"/>
    <w:rsid w:val="090D266D"/>
    <w:rsid w:val="091D6E3B"/>
    <w:rsid w:val="091E38B9"/>
    <w:rsid w:val="09415BDA"/>
    <w:rsid w:val="09811C29"/>
    <w:rsid w:val="098C6E5F"/>
    <w:rsid w:val="098D28F2"/>
    <w:rsid w:val="098D3FC3"/>
    <w:rsid w:val="098E6FE6"/>
    <w:rsid w:val="09A73F76"/>
    <w:rsid w:val="09B8460C"/>
    <w:rsid w:val="09CA4991"/>
    <w:rsid w:val="09D1170D"/>
    <w:rsid w:val="09D65EFD"/>
    <w:rsid w:val="09D92F4C"/>
    <w:rsid w:val="09E10418"/>
    <w:rsid w:val="09E5677B"/>
    <w:rsid w:val="09E62A5E"/>
    <w:rsid w:val="0A28645D"/>
    <w:rsid w:val="0A363C75"/>
    <w:rsid w:val="0A3B29BC"/>
    <w:rsid w:val="0A4D1DC2"/>
    <w:rsid w:val="0A5C04B3"/>
    <w:rsid w:val="0A8B3D01"/>
    <w:rsid w:val="0A956FA7"/>
    <w:rsid w:val="0AA42063"/>
    <w:rsid w:val="0AC41565"/>
    <w:rsid w:val="0ADD2F10"/>
    <w:rsid w:val="0AE147AE"/>
    <w:rsid w:val="0B0D3840"/>
    <w:rsid w:val="0B142938"/>
    <w:rsid w:val="0B186678"/>
    <w:rsid w:val="0B1E02DC"/>
    <w:rsid w:val="0B20058A"/>
    <w:rsid w:val="0B2F5041"/>
    <w:rsid w:val="0B400DEF"/>
    <w:rsid w:val="0B463D0B"/>
    <w:rsid w:val="0B4D3BF1"/>
    <w:rsid w:val="0B506E09"/>
    <w:rsid w:val="0B601B16"/>
    <w:rsid w:val="0B6353CA"/>
    <w:rsid w:val="0B6F6149"/>
    <w:rsid w:val="0B71421F"/>
    <w:rsid w:val="0B8758D5"/>
    <w:rsid w:val="0B875DBC"/>
    <w:rsid w:val="0B936E68"/>
    <w:rsid w:val="0BA35569"/>
    <w:rsid w:val="0BAE7DF2"/>
    <w:rsid w:val="0BD30569"/>
    <w:rsid w:val="0BE747D0"/>
    <w:rsid w:val="0BE752F9"/>
    <w:rsid w:val="0BF56037"/>
    <w:rsid w:val="0BF62469"/>
    <w:rsid w:val="0BF845CC"/>
    <w:rsid w:val="0BFC4E62"/>
    <w:rsid w:val="0C0A303D"/>
    <w:rsid w:val="0C2E4A92"/>
    <w:rsid w:val="0C303605"/>
    <w:rsid w:val="0C5A617E"/>
    <w:rsid w:val="0C5B4672"/>
    <w:rsid w:val="0C685B50"/>
    <w:rsid w:val="0C6E371D"/>
    <w:rsid w:val="0C6F4500"/>
    <w:rsid w:val="0C70594D"/>
    <w:rsid w:val="0C7F79AF"/>
    <w:rsid w:val="0C8054A8"/>
    <w:rsid w:val="0CA27F6D"/>
    <w:rsid w:val="0CA56DD9"/>
    <w:rsid w:val="0CAD246E"/>
    <w:rsid w:val="0CAF3658"/>
    <w:rsid w:val="0CBD0903"/>
    <w:rsid w:val="0CBD6838"/>
    <w:rsid w:val="0CC1520D"/>
    <w:rsid w:val="0CC72E5A"/>
    <w:rsid w:val="0CD23167"/>
    <w:rsid w:val="0CD8573D"/>
    <w:rsid w:val="0CDC098F"/>
    <w:rsid w:val="0CE330D8"/>
    <w:rsid w:val="0CF87B9E"/>
    <w:rsid w:val="0D076022"/>
    <w:rsid w:val="0D0E714B"/>
    <w:rsid w:val="0D1200EC"/>
    <w:rsid w:val="0D1947B0"/>
    <w:rsid w:val="0D1E2D16"/>
    <w:rsid w:val="0D1E679D"/>
    <w:rsid w:val="0D2A66D9"/>
    <w:rsid w:val="0D411DE7"/>
    <w:rsid w:val="0D42677B"/>
    <w:rsid w:val="0D496524"/>
    <w:rsid w:val="0D4E6945"/>
    <w:rsid w:val="0D66199D"/>
    <w:rsid w:val="0D68441F"/>
    <w:rsid w:val="0D804A14"/>
    <w:rsid w:val="0D9D54C7"/>
    <w:rsid w:val="0D9E3C4C"/>
    <w:rsid w:val="0DA0681C"/>
    <w:rsid w:val="0DA17BFD"/>
    <w:rsid w:val="0DA46B13"/>
    <w:rsid w:val="0DAE0950"/>
    <w:rsid w:val="0DBF7E72"/>
    <w:rsid w:val="0DCE622D"/>
    <w:rsid w:val="0DDB2E2E"/>
    <w:rsid w:val="0DEA45E2"/>
    <w:rsid w:val="0E260767"/>
    <w:rsid w:val="0E415743"/>
    <w:rsid w:val="0E433EF5"/>
    <w:rsid w:val="0E4676B3"/>
    <w:rsid w:val="0E4F0A69"/>
    <w:rsid w:val="0E5D7050"/>
    <w:rsid w:val="0E5D7CE9"/>
    <w:rsid w:val="0E715E49"/>
    <w:rsid w:val="0E7A62AA"/>
    <w:rsid w:val="0E8D441F"/>
    <w:rsid w:val="0EAD4BAA"/>
    <w:rsid w:val="0EB22127"/>
    <w:rsid w:val="0EBD553A"/>
    <w:rsid w:val="0ED2440E"/>
    <w:rsid w:val="0F08482A"/>
    <w:rsid w:val="0F0C0428"/>
    <w:rsid w:val="0F2049C7"/>
    <w:rsid w:val="0F364D94"/>
    <w:rsid w:val="0F403A6D"/>
    <w:rsid w:val="0F4172E3"/>
    <w:rsid w:val="0F614FCA"/>
    <w:rsid w:val="0F7A6D8E"/>
    <w:rsid w:val="0F7D385B"/>
    <w:rsid w:val="0F834002"/>
    <w:rsid w:val="0F8A7BFB"/>
    <w:rsid w:val="0F8E544E"/>
    <w:rsid w:val="0FA628B3"/>
    <w:rsid w:val="0FA864BF"/>
    <w:rsid w:val="0FAE7E15"/>
    <w:rsid w:val="0FC6419A"/>
    <w:rsid w:val="0FCA392D"/>
    <w:rsid w:val="0FE658A4"/>
    <w:rsid w:val="0FF46693"/>
    <w:rsid w:val="0FFD5A37"/>
    <w:rsid w:val="10057008"/>
    <w:rsid w:val="10144A2D"/>
    <w:rsid w:val="101845E4"/>
    <w:rsid w:val="101E4492"/>
    <w:rsid w:val="102B0326"/>
    <w:rsid w:val="105470BD"/>
    <w:rsid w:val="10613224"/>
    <w:rsid w:val="107366A0"/>
    <w:rsid w:val="108C3C91"/>
    <w:rsid w:val="108F3F4F"/>
    <w:rsid w:val="10B00EB9"/>
    <w:rsid w:val="10CD5181"/>
    <w:rsid w:val="10CE3641"/>
    <w:rsid w:val="10EB7EA9"/>
    <w:rsid w:val="110C255E"/>
    <w:rsid w:val="1145536B"/>
    <w:rsid w:val="117778FE"/>
    <w:rsid w:val="11831FC8"/>
    <w:rsid w:val="118A3F33"/>
    <w:rsid w:val="11963E18"/>
    <w:rsid w:val="119D20DA"/>
    <w:rsid w:val="11B22EFA"/>
    <w:rsid w:val="11B27B1C"/>
    <w:rsid w:val="11B47BEA"/>
    <w:rsid w:val="11C201BC"/>
    <w:rsid w:val="11D257BF"/>
    <w:rsid w:val="11D40041"/>
    <w:rsid w:val="11D8382E"/>
    <w:rsid w:val="11ED7009"/>
    <w:rsid w:val="120D3D08"/>
    <w:rsid w:val="1218015D"/>
    <w:rsid w:val="121A2464"/>
    <w:rsid w:val="125C6F36"/>
    <w:rsid w:val="12771F24"/>
    <w:rsid w:val="12773049"/>
    <w:rsid w:val="127A33E9"/>
    <w:rsid w:val="12822D89"/>
    <w:rsid w:val="12916317"/>
    <w:rsid w:val="129F05E8"/>
    <w:rsid w:val="12A21B79"/>
    <w:rsid w:val="12B778E0"/>
    <w:rsid w:val="12C144F7"/>
    <w:rsid w:val="12CF77DD"/>
    <w:rsid w:val="12D026AB"/>
    <w:rsid w:val="12D76496"/>
    <w:rsid w:val="12E71B18"/>
    <w:rsid w:val="12EF55ED"/>
    <w:rsid w:val="12F348B0"/>
    <w:rsid w:val="12F977BE"/>
    <w:rsid w:val="12FB137D"/>
    <w:rsid w:val="13014965"/>
    <w:rsid w:val="131336BA"/>
    <w:rsid w:val="131E1CC2"/>
    <w:rsid w:val="13217DBD"/>
    <w:rsid w:val="13546C3A"/>
    <w:rsid w:val="135F11CF"/>
    <w:rsid w:val="137324BC"/>
    <w:rsid w:val="137E6B56"/>
    <w:rsid w:val="138B38F9"/>
    <w:rsid w:val="13953FC6"/>
    <w:rsid w:val="139D6804"/>
    <w:rsid w:val="13A611EA"/>
    <w:rsid w:val="13AB68B3"/>
    <w:rsid w:val="13AF5F9C"/>
    <w:rsid w:val="13B54CDA"/>
    <w:rsid w:val="13B761CD"/>
    <w:rsid w:val="13BA0DB6"/>
    <w:rsid w:val="13D05F20"/>
    <w:rsid w:val="13DB5B7F"/>
    <w:rsid w:val="13E81FD6"/>
    <w:rsid w:val="141929B7"/>
    <w:rsid w:val="14572E2F"/>
    <w:rsid w:val="1461220A"/>
    <w:rsid w:val="146D564B"/>
    <w:rsid w:val="146D5E20"/>
    <w:rsid w:val="14B90C71"/>
    <w:rsid w:val="14C23391"/>
    <w:rsid w:val="15010EC5"/>
    <w:rsid w:val="150125E3"/>
    <w:rsid w:val="15106BDE"/>
    <w:rsid w:val="155A2550"/>
    <w:rsid w:val="15702B08"/>
    <w:rsid w:val="158C247F"/>
    <w:rsid w:val="1593148C"/>
    <w:rsid w:val="15A21C83"/>
    <w:rsid w:val="15A7243B"/>
    <w:rsid w:val="15A72BE2"/>
    <w:rsid w:val="15AA2325"/>
    <w:rsid w:val="15D209B9"/>
    <w:rsid w:val="15DB52AF"/>
    <w:rsid w:val="15EB58B7"/>
    <w:rsid w:val="15EC377B"/>
    <w:rsid w:val="15F1161D"/>
    <w:rsid w:val="15F632C7"/>
    <w:rsid w:val="163748F6"/>
    <w:rsid w:val="165779D5"/>
    <w:rsid w:val="165F0C7D"/>
    <w:rsid w:val="166F4616"/>
    <w:rsid w:val="1675224E"/>
    <w:rsid w:val="167E6C74"/>
    <w:rsid w:val="168B516D"/>
    <w:rsid w:val="168D663D"/>
    <w:rsid w:val="16AB27A1"/>
    <w:rsid w:val="16AE5760"/>
    <w:rsid w:val="16B85A1E"/>
    <w:rsid w:val="16C4310C"/>
    <w:rsid w:val="16CC0888"/>
    <w:rsid w:val="16CF02A2"/>
    <w:rsid w:val="16D47ABB"/>
    <w:rsid w:val="16DB743F"/>
    <w:rsid w:val="16DC051F"/>
    <w:rsid w:val="16E535C2"/>
    <w:rsid w:val="16EE7BB1"/>
    <w:rsid w:val="16EF2001"/>
    <w:rsid w:val="170B4961"/>
    <w:rsid w:val="170D08DF"/>
    <w:rsid w:val="17307D2F"/>
    <w:rsid w:val="173A6700"/>
    <w:rsid w:val="174269D7"/>
    <w:rsid w:val="174331BF"/>
    <w:rsid w:val="17536D8B"/>
    <w:rsid w:val="175B43C9"/>
    <w:rsid w:val="17614D82"/>
    <w:rsid w:val="177818FE"/>
    <w:rsid w:val="178D43B7"/>
    <w:rsid w:val="179510D0"/>
    <w:rsid w:val="179B5BCA"/>
    <w:rsid w:val="17A315CA"/>
    <w:rsid w:val="17A65737"/>
    <w:rsid w:val="17B04CBD"/>
    <w:rsid w:val="17DD486E"/>
    <w:rsid w:val="17F91257"/>
    <w:rsid w:val="181A7FEB"/>
    <w:rsid w:val="182C4420"/>
    <w:rsid w:val="18370D84"/>
    <w:rsid w:val="18604F6E"/>
    <w:rsid w:val="18653318"/>
    <w:rsid w:val="186D6541"/>
    <w:rsid w:val="1870427A"/>
    <w:rsid w:val="187A34D0"/>
    <w:rsid w:val="1889120C"/>
    <w:rsid w:val="189920AF"/>
    <w:rsid w:val="189A5CE7"/>
    <w:rsid w:val="18C77095"/>
    <w:rsid w:val="18D926AF"/>
    <w:rsid w:val="1902784D"/>
    <w:rsid w:val="190E0109"/>
    <w:rsid w:val="191A4A06"/>
    <w:rsid w:val="191A5AD0"/>
    <w:rsid w:val="191D0428"/>
    <w:rsid w:val="19210C79"/>
    <w:rsid w:val="1924745C"/>
    <w:rsid w:val="19360DAA"/>
    <w:rsid w:val="19413116"/>
    <w:rsid w:val="1941466A"/>
    <w:rsid w:val="195D3D8F"/>
    <w:rsid w:val="195F4D5F"/>
    <w:rsid w:val="19667B91"/>
    <w:rsid w:val="196B2B3B"/>
    <w:rsid w:val="197771C7"/>
    <w:rsid w:val="19783F77"/>
    <w:rsid w:val="19867CEA"/>
    <w:rsid w:val="19994BCA"/>
    <w:rsid w:val="19AB0BEE"/>
    <w:rsid w:val="19B57C47"/>
    <w:rsid w:val="19B77088"/>
    <w:rsid w:val="19D66824"/>
    <w:rsid w:val="19EE7A0B"/>
    <w:rsid w:val="19FB5D4D"/>
    <w:rsid w:val="1A092FDA"/>
    <w:rsid w:val="1A163794"/>
    <w:rsid w:val="1A1B7CF3"/>
    <w:rsid w:val="1A1E2EEF"/>
    <w:rsid w:val="1A2B77F4"/>
    <w:rsid w:val="1A491A28"/>
    <w:rsid w:val="1A533140"/>
    <w:rsid w:val="1A6C35BB"/>
    <w:rsid w:val="1A7011B0"/>
    <w:rsid w:val="1A7E070A"/>
    <w:rsid w:val="1A9D7751"/>
    <w:rsid w:val="1A9F1913"/>
    <w:rsid w:val="1AE977FC"/>
    <w:rsid w:val="1AEA22D2"/>
    <w:rsid w:val="1AF42D2C"/>
    <w:rsid w:val="1B1D15F2"/>
    <w:rsid w:val="1B281EB2"/>
    <w:rsid w:val="1B2A34E3"/>
    <w:rsid w:val="1B4F6962"/>
    <w:rsid w:val="1B507B0C"/>
    <w:rsid w:val="1B5166A9"/>
    <w:rsid w:val="1B572B75"/>
    <w:rsid w:val="1B8E15A9"/>
    <w:rsid w:val="1B90786C"/>
    <w:rsid w:val="1B9171F9"/>
    <w:rsid w:val="1BBD3221"/>
    <w:rsid w:val="1BC0263E"/>
    <w:rsid w:val="1BDD41F4"/>
    <w:rsid w:val="1BDF73AB"/>
    <w:rsid w:val="1BF24E16"/>
    <w:rsid w:val="1C006D7E"/>
    <w:rsid w:val="1C17742E"/>
    <w:rsid w:val="1C1A2B6A"/>
    <w:rsid w:val="1C275D99"/>
    <w:rsid w:val="1C403EAE"/>
    <w:rsid w:val="1C512E16"/>
    <w:rsid w:val="1C526BF5"/>
    <w:rsid w:val="1C892785"/>
    <w:rsid w:val="1CBF21C1"/>
    <w:rsid w:val="1CC672F5"/>
    <w:rsid w:val="1CD8301E"/>
    <w:rsid w:val="1CEA229F"/>
    <w:rsid w:val="1CFA2151"/>
    <w:rsid w:val="1D0E621C"/>
    <w:rsid w:val="1D277957"/>
    <w:rsid w:val="1D2A7D78"/>
    <w:rsid w:val="1D3369BF"/>
    <w:rsid w:val="1D424940"/>
    <w:rsid w:val="1D663BE8"/>
    <w:rsid w:val="1D8A3838"/>
    <w:rsid w:val="1D962494"/>
    <w:rsid w:val="1D9A7141"/>
    <w:rsid w:val="1DC32BF6"/>
    <w:rsid w:val="1DD24321"/>
    <w:rsid w:val="1DE946A0"/>
    <w:rsid w:val="1DFD519F"/>
    <w:rsid w:val="1E0D47CA"/>
    <w:rsid w:val="1E1F3D97"/>
    <w:rsid w:val="1E2332EC"/>
    <w:rsid w:val="1E37518B"/>
    <w:rsid w:val="1E3777DB"/>
    <w:rsid w:val="1E3B4D21"/>
    <w:rsid w:val="1E5320DB"/>
    <w:rsid w:val="1E5C05A5"/>
    <w:rsid w:val="1E6F6283"/>
    <w:rsid w:val="1E957DB3"/>
    <w:rsid w:val="1EA81E87"/>
    <w:rsid w:val="1EBA74FE"/>
    <w:rsid w:val="1EBE5F29"/>
    <w:rsid w:val="1ECF485A"/>
    <w:rsid w:val="1EE33CE2"/>
    <w:rsid w:val="1EEB68CC"/>
    <w:rsid w:val="1EF656F1"/>
    <w:rsid w:val="1EFD6571"/>
    <w:rsid w:val="1F115CAD"/>
    <w:rsid w:val="1F2470F8"/>
    <w:rsid w:val="1F297981"/>
    <w:rsid w:val="1F3477D5"/>
    <w:rsid w:val="1F4204EA"/>
    <w:rsid w:val="1F564018"/>
    <w:rsid w:val="1F5F2F8B"/>
    <w:rsid w:val="1F6340B1"/>
    <w:rsid w:val="1F7E4B81"/>
    <w:rsid w:val="1F842203"/>
    <w:rsid w:val="1F935489"/>
    <w:rsid w:val="1F967D32"/>
    <w:rsid w:val="1FB85B52"/>
    <w:rsid w:val="1FC443DE"/>
    <w:rsid w:val="1FD2426D"/>
    <w:rsid w:val="1FEB1FA4"/>
    <w:rsid w:val="1FEF447D"/>
    <w:rsid w:val="1FFF72A8"/>
    <w:rsid w:val="200D3635"/>
    <w:rsid w:val="200F36F6"/>
    <w:rsid w:val="201D147D"/>
    <w:rsid w:val="20201A76"/>
    <w:rsid w:val="2039750C"/>
    <w:rsid w:val="20557EE8"/>
    <w:rsid w:val="205A3751"/>
    <w:rsid w:val="205D4317"/>
    <w:rsid w:val="20621A95"/>
    <w:rsid w:val="2063744D"/>
    <w:rsid w:val="20834F52"/>
    <w:rsid w:val="208D71D0"/>
    <w:rsid w:val="20A025BE"/>
    <w:rsid w:val="20AD21D1"/>
    <w:rsid w:val="20B4564D"/>
    <w:rsid w:val="20B7778D"/>
    <w:rsid w:val="20B97591"/>
    <w:rsid w:val="20CE712B"/>
    <w:rsid w:val="20F73422"/>
    <w:rsid w:val="20FB4AE3"/>
    <w:rsid w:val="210F1A6C"/>
    <w:rsid w:val="21192B28"/>
    <w:rsid w:val="211F6EAB"/>
    <w:rsid w:val="21257C47"/>
    <w:rsid w:val="21325F57"/>
    <w:rsid w:val="213A52B0"/>
    <w:rsid w:val="214701AD"/>
    <w:rsid w:val="214C35D1"/>
    <w:rsid w:val="21540EC7"/>
    <w:rsid w:val="215417DB"/>
    <w:rsid w:val="215A03AE"/>
    <w:rsid w:val="21660BF8"/>
    <w:rsid w:val="216F4E0B"/>
    <w:rsid w:val="2174157D"/>
    <w:rsid w:val="218D5C1E"/>
    <w:rsid w:val="218E0E2F"/>
    <w:rsid w:val="21932304"/>
    <w:rsid w:val="21954272"/>
    <w:rsid w:val="219C0BF3"/>
    <w:rsid w:val="219E699D"/>
    <w:rsid w:val="21BF0821"/>
    <w:rsid w:val="21C02171"/>
    <w:rsid w:val="21CB59C4"/>
    <w:rsid w:val="21CF3DA1"/>
    <w:rsid w:val="21FC3D7C"/>
    <w:rsid w:val="21FE134A"/>
    <w:rsid w:val="21FF1768"/>
    <w:rsid w:val="220B170D"/>
    <w:rsid w:val="2224641D"/>
    <w:rsid w:val="22396F0B"/>
    <w:rsid w:val="224E11D9"/>
    <w:rsid w:val="224F7633"/>
    <w:rsid w:val="225D0766"/>
    <w:rsid w:val="22737A8E"/>
    <w:rsid w:val="22903F83"/>
    <w:rsid w:val="22907E26"/>
    <w:rsid w:val="22A47BD9"/>
    <w:rsid w:val="22B12634"/>
    <w:rsid w:val="22E63B6F"/>
    <w:rsid w:val="22E67CD5"/>
    <w:rsid w:val="22ED0743"/>
    <w:rsid w:val="2318468D"/>
    <w:rsid w:val="23283D48"/>
    <w:rsid w:val="23491CD7"/>
    <w:rsid w:val="235B4878"/>
    <w:rsid w:val="236373FC"/>
    <w:rsid w:val="2365034E"/>
    <w:rsid w:val="23656B8D"/>
    <w:rsid w:val="2369501D"/>
    <w:rsid w:val="237A45D9"/>
    <w:rsid w:val="238108A6"/>
    <w:rsid w:val="23871813"/>
    <w:rsid w:val="23883B1B"/>
    <w:rsid w:val="23A244E6"/>
    <w:rsid w:val="23AA3093"/>
    <w:rsid w:val="23E96B56"/>
    <w:rsid w:val="23F01BBB"/>
    <w:rsid w:val="23FB7198"/>
    <w:rsid w:val="23FC5A72"/>
    <w:rsid w:val="240F0006"/>
    <w:rsid w:val="24236F67"/>
    <w:rsid w:val="24480FA2"/>
    <w:rsid w:val="24637B8A"/>
    <w:rsid w:val="24733B4A"/>
    <w:rsid w:val="249A7FA5"/>
    <w:rsid w:val="24B91EA0"/>
    <w:rsid w:val="24C564FF"/>
    <w:rsid w:val="24D15EE2"/>
    <w:rsid w:val="25225723"/>
    <w:rsid w:val="25245067"/>
    <w:rsid w:val="2525539A"/>
    <w:rsid w:val="252661E5"/>
    <w:rsid w:val="25493224"/>
    <w:rsid w:val="255359D7"/>
    <w:rsid w:val="25594A5C"/>
    <w:rsid w:val="2561612C"/>
    <w:rsid w:val="25711E35"/>
    <w:rsid w:val="25893620"/>
    <w:rsid w:val="25A31B2C"/>
    <w:rsid w:val="25BC52C3"/>
    <w:rsid w:val="25BE7813"/>
    <w:rsid w:val="25E036DD"/>
    <w:rsid w:val="25FA36B8"/>
    <w:rsid w:val="260B6E6D"/>
    <w:rsid w:val="26171D1B"/>
    <w:rsid w:val="2627495D"/>
    <w:rsid w:val="262C39AF"/>
    <w:rsid w:val="263B5A72"/>
    <w:rsid w:val="263D7197"/>
    <w:rsid w:val="264039FB"/>
    <w:rsid w:val="264562B9"/>
    <w:rsid w:val="26574081"/>
    <w:rsid w:val="265C1440"/>
    <w:rsid w:val="265F667A"/>
    <w:rsid w:val="26631817"/>
    <w:rsid w:val="266D216E"/>
    <w:rsid w:val="26772ABF"/>
    <w:rsid w:val="2693412F"/>
    <w:rsid w:val="269B269F"/>
    <w:rsid w:val="26A11488"/>
    <w:rsid w:val="26A550E1"/>
    <w:rsid w:val="26BF2145"/>
    <w:rsid w:val="26C012C4"/>
    <w:rsid w:val="26C85D33"/>
    <w:rsid w:val="2715136A"/>
    <w:rsid w:val="2719385C"/>
    <w:rsid w:val="274127CE"/>
    <w:rsid w:val="27536572"/>
    <w:rsid w:val="2754158A"/>
    <w:rsid w:val="2761212E"/>
    <w:rsid w:val="27623359"/>
    <w:rsid w:val="276738CB"/>
    <w:rsid w:val="276A7481"/>
    <w:rsid w:val="276B5AB6"/>
    <w:rsid w:val="27740702"/>
    <w:rsid w:val="2779392B"/>
    <w:rsid w:val="277F461A"/>
    <w:rsid w:val="278863B5"/>
    <w:rsid w:val="27B00D3D"/>
    <w:rsid w:val="27B21313"/>
    <w:rsid w:val="27C37C71"/>
    <w:rsid w:val="27CD72B9"/>
    <w:rsid w:val="27DE6E6D"/>
    <w:rsid w:val="27F527A1"/>
    <w:rsid w:val="280405B6"/>
    <w:rsid w:val="28237D5C"/>
    <w:rsid w:val="28405EC5"/>
    <w:rsid w:val="28430D70"/>
    <w:rsid w:val="286F1EC6"/>
    <w:rsid w:val="286F595B"/>
    <w:rsid w:val="28736344"/>
    <w:rsid w:val="287B3E35"/>
    <w:rsid w:val="287D256F"/>
    <w:rsid w:val="28942A8D"/>
    <w:rsid w:val="28B2759E"/>
    <w:rsid w:val="28D654CB"/>
    <w:rsid w:val="28EC7A64"/>
    <w:rsid w:val="28F1439C"/>
    <w:rsid w:val="28F90937"/>
    <w:rsid w:val="29072B1D"/>
    <w:rsid w:val="2925446B"/>
    <w:rsid w:val="294F46D8"/>
    <w:rsid w:val="294F534B"/>
    <w:rsid w:val="2954616F"/>
    <w:rsid w:val="295523C0"/>
    <w:rsid w:val="295A2EE0"/>
    <w:rsid w:val="2976439D"/>
    <w:rsid w:val="297D4623"/>
    <w:rsid w:val="299A6F1C"/>
    <w:rsid w:val="29A722ED"/>
    <w:rsid w:val="29B90027"/>
    <w:rsid w:val="29BB550F"/>
    <w:rsid w:val="29BE6786"/>
    <w:rsid w:val="29C47FC5"/>
    <w:rsid w:val="2A1A4AE9"/>
    <w:rsid w:val="2A332B3E"/>
    <w:rsid w:val="2A3E4A9D"/>
    <w:rsid w:val="2A464D9E"/>
    <w:rsid w:val="2A4B017F"/>
    <w:rsid w:val="2A6C5EF2"/>
    <w:rsid w:val="2A7376FC"/>
    <w:rsid w:val="2A781EB5"/>
    <w:rsid w:val="2A832955"/>
    <w:rsid w:val="2A870B2E"/>
    <w:rsid w:val="2A942564"/>
    <w:rsid w:val="2A9E3D98"/>
    <w:rsid w:val="2AAC611D"/>
    <w:rsid w:val="2AB750BC"/>
    <w:rsid w:val="2ABC7192"/>
    <w:rsid w:val="2ABD5346"/>
    <w:rsid w:val="2ADE5584"/>
    <w:rsid w:val="2AEE16F1"/>
    <w:rsid w:val="2AF12F8E"/>
    <w:rsid w:val="2B050513"/>
    <w:rsid w:val="2B055305"/>
    <w:rsid w:val="2B0934FB"/>
    <w:rsid w:val="2B125F14"/>
    <w:rsid w:val="2B460F5C"/>
    <w:rsid w:val="2B885711"/>
    <w:rsid w:val="2B8D3BC0"/>
    <w:rsid w:val="2B957FF9"/>
    <w:rsid w:val="2B9A4A8F"/>
    <w:rsid w:val="2B9D16D2"/>
    <w:rsid w:val="2BAF699B"/>
    <w:rsid w:val="2BB7239F"/>
    <w:rsid w:val="2BEE1369"/>
    <w:rsid w:val="2BF41DE3"/>
    <w:rsid w:val="2BFA1EB2"/>
    <w:rsid w:val="2C0B54C5"/>
    <w:rsid w:val="2C2271C8"/>
    <w:rsid w:val="2C244736"/>
    <w:rsid w:val="2C273B93"/>
    <w:rsid w:val="2C2C5886"/>
    <w:rsid w:val="2C3F35BB"/>
    <w:rsid w:val="2C51335E"/>
    <w:rsid w:val="2C7201AC"/>
    <w:rsid w:val="2C873BFD"/>
    <w:rsid w:val="2C94705E"/>
    <w:rsid w:val="2C9B6AA4"/>
    <w:rsid w:val="2CB335FE"/>
    <w:rsid w:val="2CC032E9"/>
    <w:rsid w:val="2CC1344A"/>
    <w:rsid w:val="2CC213A6"/>
    <w:rsid w:val="2CC35E86"/>
    <w:rsid w:val="2CC56078"/>
    <w:rsid w:val="2CCC1759"/>
    <w:rsid w:val="2CCD14E5"/>
    <w:rsid w:val="2CCF33FD"/>
    <w:rsid w:val="2CCF5612"/>
    <w:rsid w:val="2CD13F4A"/>
    <w:rsid w:val="2CEB18D4"/>
    <w:rsid w:val="2CFF01FD"/>
    <w:rsid w:val="2D011059"/>
    <w:rsid w:val="2D2269B1"/>
    <w:rsid w:val="2D4869E7"/>
    <w:rsid w:val="2D49676D"/>
    <w:rsid w:val="2D576EE8"/>
    <w:rsid w:val="2D6B724F"/>
    <w:rsid w:val="2D72248C"/>
    <w:rsid w:val="2D7626DC"/>
    <w:rsid w:val="2D920F11"/>
    <w:rsid w:val="2DA14DEC"/>
    <w:rsid w:val="2DA34AD3"/>
    <w:rsid w:val="2DD82949"/>
    <w:rsid w:val="2DDC5B0B"/>
    <w:rsid w:val="2DEF5A9A"/>
    <w:rsid w:val="2E2B037F"/>
    <w:rsid w:val="2E3E0821"/>
    <w:rsid w:val="2E405916"/>
    <w:rsid w:val="2E750BE6"/>
    <w:rsid w:val="2E873FFA"/>
    <w:rsid w:val="2E89313A"/>
    <w:rsid w:val="2E894E63"/>
    <w:rsid w:val="2E8D56BA"/>
    <w:rsid w:val="2E9559D9"/>
    <w:rsid w:val="2EA055E2"/>
    <w:rsid w:val="2EA77CF0"/>
    <w:rsid w:val="2EB700C2"/>
    <w:rsid w:val="2EFB49CC"/>
    <w:rsid w:val="2F133E80"/>
    <w:rsid w:val="2F16481F"/>
    <w:rsid w:val="2F19007D"/>
    <w:rsid w:val="2F352F38"/>
    <w:rsid w:val="2F371499"/>
    <w:rsid w:val="2F3C7CDD"/>
    <w:rsid w:val="2F42563D"/>
    <w:rsid w:val="2F566C69"/>
    <w:rsid w:val="2F5C7FF7"/>
    <w:rsid w:val="2F7304AD"/>
    <w:rsid w:val="2FA201C0"/>
    <w:rsid w:val="2FD35ACA"/>
    <w:rsid w:val="2FDF3003"/>
    <w:rsid w:val="2FEE1FCC"/>
    <w:rsid w:val="2FF375F9"/>
    <w:rsid w:val="2FF7000C"/>
    <w:rsid w:val="300B7736"/>
    <w:rsid w:val="300D58DF"/>
    <w:rsid w:val="30136C5B"/>
    <w:rsid w:val="30330A42"/>
    <w:rsid w:val="30391699"/>
    <w:rsid w:val="30441FBC"/>
    <w:rsid w:val="304F64ED"/>
    <w:rsid w:val="3076502D"/>
    <w:rsid w:val="307F08EE"/>
    <w:rsid w:val="308B7240"/>
    <w:rsid w:val="308C3690"/>
    <w:rsid w:val="30A95B6A"/>
    <w:rsid w:val="30B62B05"/>
    <w:rsid w:val="30C870DC"/>
    <w:rsid w:val="30C8745A"/>
    <w:rsid w:val="30CF1791"/>
    <w:rsid w:val="30D2258A"/>
    <w:rsid w:val="30EB462F"/>
    <w:rsid w:val="31111D4C"/>
    <w:rsid w:val="312B1738"/>
    <w:rsid w:val="31321F81"/>
    <w:rsid w:val="313A50C2"/>
    <w:rsid w:val="31411253"/>
    <w:rsid w:val="314417D8"/>
    <w:rsid w:val="31455D3E"/>
    <w:rsid w:val="3164275D"/>
    <w:rsid w:val="31680FF2"/>
    <w:rsid w:val="31883AA4"/>
    <w:rsid w:val="31A362B8"/>
    <w:rsid w:val="31BF7F99"/>
    <w:rsid w:val="31C45D65"/>
    <w:rsid w:val="31DB1BB4"/>
    <w:rsid w:val="31E008E4"/>
    <w:rsid w:val="31E935C2"/>
    <w:rsid w:val="321F2F58"/>
    <w:rsid w:val="32287761"/>
    <w:rsid w:val="3234357C"/>
    <w:rsid w:val="32442B00"/>
    <w:rsid w:val="3248523C"/>
    <w:rsid w:val="324D5DA0"/>
    <w:rsid w:val="3257014A"/>
    <w:rsid w:val="32572EFF"/>
    <w:rsid w:val="32581614"/>
    <w:rsid w:val="325D1167"/>
    <w:rsid w:val="3268163E"/>
    <w:rsid w:val="326E4D42"/>
    <w:rsid w:val="32730DC8"/>
    <w:rsid w:val="329F27BD"/>
    <w:rsid w:val="32A30D83"/>
    <w:rsid w:val="32B00C35"/>
    <w:rsid w:val="32B757AC"/>
    <w:rsid w:val="32F07327"/>
    <w:rsid w:val="32F41490"/>
    <w:rsid w:val="32F90DE8"/>
    <w:rsid w:val="33014DA0"/>
    <w:rsid w:val="33092ABD"/>
    <w:rsid w:val="33094A39"/>
    <w:rsid w:val="33354170"/>
    <w:rsid w:val="335C653A"/>
    <w:rsid w:val="336851BD"/>
    <w:rsid w:val="336D6476"/>
    <w:rsid w:val="33780112"/>
    <w:rsid w:val="33911A25"/>
    <w:rsid w:val="33953D95"/>
    <w:rsid w:val="33956A33"/>
    <w:rsid w:val="339A635A"/>
    <w:rsid w:val="339B23CC"/>
    <w:rsid w:val="33B21D09"/>
    <w:rsid w:val="33DE746C"/>
    <w:rsid w:val="33EA38F8"/>
    <w:rsid w:val="33EE4148"/>
    <w:rsid w:val="33F5303F"/>
    <w:rsid w:val="33F96236"/>
    <w:rsid w:val="33FA37AE"/>
    <w:rsid w:val="3408109D"/>
    <w:rsid w:val="34177F46"/>
    <w:rsid w:val="34260C15"/>
    <w:rsid w:val="34335521"/>
    <w:rsid w:val="34482433"/>
    <w:rsid w:val="345740E7"/>
    <w:rsid w:val="345C7D0F"/>
    <w:rsid w:val="34835924"/>
    <w:rsid w:val="34991662"/>
    <w:rsid w:val="34A470A6"/>
    <w:rsid w:val="34AC2E87"/>
    <w:rsid w:val="34B01D27"/>
    <w:rsid w:val="34BB21B8"/>
    <w:rsid w:val="34BD70DF"/>
    <w:rsid w:val="34BE34A4"/>
    <w:rsid w:val="34E2773E"/>
    <w:rsid w:val="34E757BD"/>
    <w:rsid w:val="34FC0D32"/>
    <w:rsid w:val="34FE689C"/>
    <w:rsid w:val="3508282E"/>
    <w:rsid w:val="351A5D63"/>
    <w:rsid w:val="35212B5E"/>
    <w:rsid w:val="355C05F9"/>
    <w:rsid w:val="35650272"/>
    <w:rsid w:val="35A35CEE"/>
    <w:rsid w:val="35A500B5"/>
    <w:rsid w:val="35BE10C4"/>
    <w:rsid w:val="35D27FC9"/>
    <w:rsid w:val="35F86438"/>
    <w:rsid w:val="361142A3"/>
    <w:rsid w:val="36236588"/>
    <w:rsid w:val="36316167"/>
    <w:rsid w:val="36326396"/>
    <w:rsid w:val="363F4072"/>
    <w:rsid w:val="365722C5"/>
    <w:rsid w:val="36594C9E"/>
    <w:rsid w:val="366A2984"/>
    <w:rsid w:val="367117D7"/>
    <w:rsid w:val="36865799"/>
    <w:rsid w:val="369071F5"/>
    <w:rsid w:val="36A05476"/>
    <w:rsid w:val="36A929BB"/>
    <w:rsid w:val="36AE33F6"/>
    <w:rsid w:val="36B64210"/>
    <w:rsid w:val="36B83B0C"/>
    <w:rsid w:val="36BF4643"/>
    <w:rsid w:val="36CC3EC2"/>
    <w:rsid w:val="36D0401C"/>
    <w:rsid w:val="36D72A6E"/>
    <w:rsid w:val="36DD2771"/>
    <w:rsid w:val="36E12F60"/>
    <w:rsid w:val="36E24316"/>
    <w:rsid w:val="36E528B5"/>
    <w:rsid w:val="36EE14F1"/>
    <w:rsid w:val="37044CCB"/>
    <w:rsid w:val="370A4803"/>
    <w:rsid w:val="375A6487"/>
    <w:rsid w:val="375C1BA2"/>
    <w:rsid w:val="376B399F"/>
    <w:rsid w:val="37785D33"/>
    <w:rsid w:val="37792571"/>
    <w:rsid w:val="37814402"/>
    <w:rsid w:val="378258C4"/>
    <w:rsid w:val="378E67B6"/>
    <w:rsid w:val="378F733D"/>
    <w:rsid w:val="37B15A15"/>
    <w:rsid w:val="37C006F4"/>
    <w:rsid w:val="37C8447C"/>
    <w:rsid w:val="380526FA"/>
    <w:rsid w:val="380A2732"/>
    <w:rsid w:val="381068CA"/>
    <w:rsid w:val="38341061"/>
    <w:rsid w:val="38390ED6"/>
    <w:rsid w:val="38407636"/>
    <w:rsid w:val="38417E27"/>
    <w:rsid w:val="38617C6E"/>
    <w:rsid w:val="388E591B"/>
    <w:rsid w:val="38974954"/>
    <w:rsid w:val="38B05554"/>
    <w:rsid w:val="38B10591"/>
    <w:rsid w:val="38B44F76"/>
    <w:rsid w:val="38BF6FA0"/>
    <w:rsid w:val="38C55FC7"/>
    <w:rsid w:val="38C56C0D"/>
    <w:rsid w:val="38DB5049"/>
    <w:rsid w:val="38E057F5"/>
    <w:rsid w:val="390C0ED9"/>
    <w:rsid w:val="390D5E24"/>
    <w:rsid w:val="391349C4"/>
    <w:rsid w:val="391E24CB"/>
    <w:rsid w:val="39224AE5"/>
    <w:rsid w:val="393618B9"/>
    <w:rsid w:val="393931B6"/>
    <w:rsid w:val="395B1411"/>
    <w:rsid w:val="396A62A5"/>
    <w:rsid w:val="396A7FB0"/>
    <w:rsid w:val="39873EC3"/>
    <w:rsid w:val="398A1B14"/>
    <w:rsid w:val="399B3A1A"/>
    <w:rsid w:val="399C6447"/>
    <w:rsid w:val="39BC3693"/>
    <w:rsid w:val="39CD7B42"/>
    <w:rsid w:val="39D90E55"/>
    <w:rsid w:val="39FC3754"/>
    <w:rsid w:val="39FF204B"/>
    <w:rsid w:val="3A1B1E33"/>
    <w:rsid w:val="3A3106A8"/>
    <w:rsid w:val="3A483A27"/>
    <w:rsid w:val="3A527D3C"/>
    <w:rsid w:val="3A636288"/>
    <w:rsid w:val="3A680BFF"/>
    <w:rsid w:val="3A7E3C2D"/>
    <w:rsid w:val="3A883F05"/>
    <w:rsid w:val="3A8D5B8B"/>
    <w:rsid w:val="3A961455"/>
    <w:rsid w:val="3AB57202"/>
    <w:rsid w:val="3ABB1B3C"/>
    <w:rsid w:val="3ABD6790"/>
    <w:rsid w:val="3AC3717D"/>
    <w:rsid w:val="3AE029E9"/>
    <w:rsid w:val="3AFB123B"/>
    <w:rsid w:val="3B004FBB"/>
    <w:rsid w:val="3B185912"/>
    <w:rsid w:val="3B1C2840"/>
    <w:rsid w:val="3B3103C4"/>
    <w:rsid w:val="3B381919"/>
    <w:rsid w:val="3B401368"/>
    <w:rsid w:val="3B5F16B4"/>
    <w:rsid w:val="3B8643E1"/>
    <w:rsid w:val="3B8E6855"/>
    <w:rsid w:val="3BA410AC"/>
    <w:rsid w:val="3BA5079A"/>
    <w:rsid w:val="3BAB7B63"/>
    <w:rsid w:val="3BB177C5"/>
    <w:rsid w:val="3BB17936"/>
    <w:rsid w:val="3BC02265"/>
    <w:rsid w:val="3BD901E6"/>
    <w:rsid w:val="3BDE37FC"/>
    <w:rsid w:val="3BEB40E5"/>
    <w:rsid w:val="3BFA39FC"/>
    <w:rsid w:val="3C1C4D96"/>
    <w:rsid w:val="3C2B26A2"/>
    <w:rsid w:val="3C4B1448"/>
    <w:rsid w:val="3C5F34E0"/>
    <w:rsid w:val="3C762DC6"/>
    <w:rsid w:val="3C864395"/>
    <w:rsid w:val="3CA1783F"/>
    <w:rsid w:val="3CA853B0"/>
    <w:rsid w:val="3CB04849"/>
    <w:rsid w:val="3CB609AC"/>
    <w:rsid w:val="3CCF3077"/>
    <w:rsid w:val="3CD70F79"/>
    <w:rsid w:val="3CD81449"/>
    <w:rsid w:val="3CD83EA5"/>
    <w:rsid w:val="3CF24E34"/>
    <w:rsid w:val="3D002FAB"/>
    <w:rsid w:val="3D163594"/>
    <w:rsid w:val="3D327AA7"/>
    <w:rsid w:val="3D3434D1"/>
    <w:rsid w:val="3D492AC6"/>
    <w:rsid w:val="3D4D4A56"/>
    <w:rsid w:val="3D684516"/>
    <w:rsid w:val="3D772F56"/>
    <w:rsid w:val="3D895F62"/>
    <w:rsid w:val="3D9102C1"/>
    <w:rsid w:val="3D950850"/>
    <w:rsid w:val="3D9A5FDB"/>
    <w:rsid w:val="3DA75DDA"/>
    <w:rsid w:val="3DB701AA"/>
    <w:rsid w:val="3DD2565E"/>
    <w:rsid w:val="3DDD487A"/>
    <w:rsid w:val="3DE844EE"/>
    <w:rsid w:val="3DEE5EB3"/>
    <w:rsid w:val="3E047BB9"/>
    <w:rsid w:val="3E09134A"/>
    <w:rsid w:val="3E196579"/>
    <w:rsid w:val="3E1E25EF"/>
    <w:rsid w:val="3E37628C"/>
    <w:rsid w:val="3E3C34CE"/>
    <w:rsid w:val="3E625336"/>
    <w:rsid w:val="3E633A4C"/>
    <w:rsid w:val="3E65653C"/>
    <w:rsid w:val="3E7D2381"/>
    <w:rsid w:val="3E7E3B17"/>
    <w:rsid w:val="3E815041"/>
    <w:rsid w:val="3EB62B7B"/>
    <w:rsid w:val="3EBA37FF"/>
    <w:rsid w:val="3EBF40F3"/>
    <w:rsid w:val="3EEE090D"/>
    <w:rsid w:val="3EF75647"/>
    <w:rsid w:val="3EFE6781"/>
    <w:rsid w:val="3F040BF7"/>
    <w:rsid w:val="3F1731E8"/>
    <w:rsid w:val="3F1811E5"/>
    <w:rsid w:val="3F224392"/>
    <w:rsid w:val="3F566811"/>
    <w:rsid w:val="3F5B2AA2"/>
    <w:rsid w:val="3F6D103B"/>
    <w:rsid w:val="3F963294"/>
    <w:rsid w:val="3FA4669E"/>
    <w:rsid w:val="3FB8269C"/>
    <w:rsid w:val="3FC51D38"/>
    <w:rsid w:val="3FDC3C41"/>
    <w:rsid w:val="3FE64C7F"/>
    <w:rsid w:val="4002677B"/>
    <w:rsid w:val="40036060"/>
    <w:rsid w:val="403124EB"/>
    <w:rsid w:val="40392262"/>
    <w:rsid w:val="404753DF"/>
    <w:rsid w:val="4054703C"/>
    <w:rsid w:val="40564742"/>
    <w:rsid w:val="406C2793"/>
    <w:rsid w:val="4076795C"/>
    <w:rsid w:val="407A6D80"/>
    <w:rsid w:val="407D561B"/>
    <w:rsid w:val="40805597"/>
    <w:rsid w:val="40816158"/>
    <w:rsid w:val="409573EB"/>
    <w:rsid w:val="40A656F0"/>
    <w:rsid w:val="40A757DF"/>
    <w:rsid w:val="40B82BB4"/>
    <w:rsid w:val="40DF47CB"/>
    <w:rsid w:val="40EC357E"/>
    <w:rsid w:val="40EE65D6"/>
    <w:rsid w:val="40F13048"/>
    <w:rsid w:val="40F32F61"/>
    <w:rsid w:val="40F736DC"/>
    <w:rsid w:val="410076A2"/>
    <w:rsid w:val="4105229D"/>
    <w:rsid w:val="411D0B04"/>
    <w:rsid w:val="412538F9"/>
    <w:rsid w:val="412E46C7"/>
    <w:rsid w:val="413D3B29"/>
    <w:rsid w:val="4145405A"/>
    <w:rsid w:val="414601C0"/>
    <w:rsid w:val="41564164"/>
    <w:rsid w:val="415C6B9A"/>
    <w:rsid w:val="41666131"/>
    <w:rsid w:val="416B2D10"/>
    <w:rsid w:val="41701276"/>
    <w:rsid w:val="417733A2"/>
    <w:rsid w:val="41807A24"/>
    <w:rsid w:val="41847EEA"/>
    <w:rsid w:val="41877B6F"/>
    <w:rsid w:val="41931657"/>
    <w:rsid w:val="419E58AE"/>
    <w:rsid w:val="41A74A53"/>
    <w:rsid w:val="41B50E5B"/>
    <w:rsid w:val="41C90402"/>
    <w:rsid w:val="41CB69EE"/>
    <w:rsid w:val="41D25F62"/>
    <w:rsid w:val="41E81788"/>
    <w:rsid w:val="41E93DC4"/>
    <w:rsid w:val="41F06A77"/>
    <w:rsid w:val="4220144D"/>
    <w:rsid w:val="42206EAE"/>
    <w:rsid w:val="42227A7F"/>
    <w:rsid w:val="422E431D"/>
    <w:rsid w:val="42474069"/>
    <w:rsid w:val="424A6F2D"/>
    <w:rsid w:val="42521950"/>
    <w:rsid w:val="425B0E78"/>
    <w:rsid w:val="42716467"/>
    <w:rsid w:val="429352BD"/>
    <w:rsid w:val="42AD4A4C"/>
    <w:rsid w:val="42BB0153"/>
    <w:rsid w:val="42BB66F1"/>
    <w:rsid w:val="42D53EF1"/>
    <w:rsid w:val="42D7540B"/>
    <w:rsid w:val="42E64210"/>
    <w:rsid w:val="43175A4E"/>
    <w:rsid w:val="431D7E27"/>
    <w:rsid w:val="43292E1E"/>
    <w:rsid w:val="433F75B6"/>
    <w:rsid w:val="434342D2"/>
    <w:rsid w:val="434C7EF9"/>
    <w:rsid w:val="434D79EC"/>
    <w:rsid w:val="435128DD"/>
    <w:rsid w:val="43792E07"/>
    <w:rsid w:val="437E259E"/>
    <w:rsid w:val="438A26A1"/>
    <w:rsid w:val="43A110A0"/>
    <w:rsid w:val="43A820CB"/>
    <w:rsid w:val="43AC4C52"/>
    <w:rsid w:val="43BD19B2"/>
    <w:rsid w:val="43C51B8C"/>
    <w:rsid w:val="43E0539F"/>
    <w:rsid w:val="43EB18F8"/>
    <w:rsid w:val="441B07F3"/>
    <w:rsid w:val="44273C13"/>
    <w:rsid w:val="44281069"/>
    <w:rsid w:val="44304860"/>
    <w:rsid w:val="443F37A1"/>
    <w:rsid w:val="44405732"/>
    <w:rsid w:val="444447F6"/>
    <w:rsid w:val="444F7785"/>
    <w:rsid w:val="44B75EA7"/>
    <w:rsid w:val="44D82CCC"/>
    <w:rsid w:val="44DB3088"/>
    <w:rsid w:val="44DD4B46"/>
    <w:rsid w:val="44EB5865"/>
    <w:rsid w:val="44ED600E"/>
    <w:rsid w:val="44F7075A"/>
    <w:rsid w:val="45016EFC"/>
    <w:rsid w:val="450D49A6"/>
    <w:rsid w:val="45263D3B"/>
    <w:rsid w:val="453127FF"/>
    <w:rsid w:val="45375550"/>
    <w:rsid w:val="453D1233"/>
    <w:rsid w:val="45522718"/>
    <w:rsid w:val="4555640E"/>
    <w:rsid w:val="45600B99"/>
    <w:rsid w:val="457501BA"/>
    <w:rsid w:val="45800206"/>
    <w:rsid w:val="45961716"/>
    <w:rsid w:val="459F02DD"/>
    <w:rsid w:val="45CE25F1"/>
    <w:rsid w:val="45D07B7F"/>
    <w:rsid w:val="45DB3755"/>
    <w:rsid w:val="45DC41A4"/>
    <w:rsid w:val="45EA7197"/>
    <w:rsid w:val="45FA049B"/>
    <w:rsid w:val="460736ED"/>
    <w:rsid w:val="46093F74"/>
    <w:rsid w:val="46094762"/>
    <w:rsid w:val="46164165"/>
    <w:rsid w:val="461E7963"/>
    <w:rsid w:val="46284CFD"/>
    <w:rsid w:val="465515D1"/>
    <w:rsid w:val="46911FB7"/>
    <w:rsid w:val="469408AE"/>
    <w:rsid w:val="46952996"/>
    <w:rsid w:val="46AE5772"/>
    <w:rsid w:val="46B63027"/>
    <w:rsid w:val="46C54F7C"/>
    <w:rsid w:val="46D03D24"/>
    <w:rsid w:val="46D925C1"/>
    <w:rsid w:val="46DA1DDC"/>
    <w:rsid w:val="46E74214"/>
    <w:rsid w:val="46ED719C"/>
    <w:rsid w:val="46F77344"/>
    <w:rsid w:val="46FF153C"/>
    <w:rsid w:val="47012441"/>
    <w:rsid w:val="470C2AF7"/>
    <w:rsid w:val="471569F4"/>
    <w:rsid w:val="47280D7A"/>
    <w:rsid w:val="473D031C"/>
    <w:rsid w:val="47434652"/>
    <w:rsid w:val="47591637"/>
    <w:rsid w:val="475F1BBF"/>
    <w:rsid w:val="476B7CB0"/>
    <w:rsid w:val="476F0B07"/>
    <w:rsid w:val="4779309D"/>
    <w:rsid w:val="477A1123"/>
    <w:rsid w:val="479976FD"/>
    <w:rsid w:val="47BE47FF"/>
    <w:rsid w:val="47C258D6"/>
    <w:rsid w:val="47C87B80"/>
    <w:rsid w:val="47CF3FA9"/>
    <w:rsid w:val="47D630CB"/>
    <w:rsid w:val="47D8575E"/>
    <w:rsid w:val="47E821F4"/>
    <w:rsid w:val="482D138D"/>
    <w:rsid w:val="483C16F4"/>
    <w:rsid w:val="48455A23"/>
    <w:rsid w:val="4846577F"/>
    <w:rsid w:val="48472B4B"/>
    <w:rsid w:val="48624F27"/>
    <w:rsid w:val="48922B6C"/>
    <w:rsid w:val="48B618DF"/>
    <w:rsid w:val="48E159CA"/>
    <w:rsid w:val="48EA3B26"/>
    <w:rsid w:val="49006C94"/>
    <w:rsid w:val="490C17ED"/>
    <w:rsid w:val="491A092D"/>
    <w:rsid w:val="491F7824"/>
    <w:rsid w:val="49237B7D"/>
    <w:rsid w:val="493E48DD"/>
    <w:rsid w:val="494762B5"/>
    <w:rsid w:val="49582691"/>
    <w:rsid w:val="49706721"/>
    <w:rsid w:val="497455A3"/>
    <w:rsid w:val="49973CAE"/>
    <w:rsid w:val="499E6B6C"/>
    <w:rsid w:val="49C061B7"/>
    <w:rsid w:val="49DA7029"/>
    <w:rsid w:val="49E52C6C"/>
    <w:rsid w:val="49FD3978"/>
    <w:rsid w:val="4A080467"/>
    <w:rsid w:val="4A116D48"/>
    <w:rsid w:val="4A2F3B7C"/>
    <w:rsid w:val="4A3500DC"/>
    <w:rsid w:val="4A633B90"/>
    <w:rsid w:val="4A665132"/>
    <w:rsid w:val="4A6E00FD"/>
    <w:rsid w:val="4A724E06"/>
    <w:rsid w:val="4A767978"/>
    <w:rsid w:val="4A7E1A8B"/>
    <w:rsid w:val="4A9A1421"/>
    <w:rsid w:val="4A9D28F5"/>
    <w:rsid w:val="4ACF30DD"/>
    <w:rsid w:val="4AD433A8"/>
    <w:rsid w:val="4ADF5734"/>
    <w:rsid w:val="4AE271AB"/>
    <w:rsid w:val="4B2F6665"/>
    <w:rsid w:val="4B333EA3"/>
    <w:rsid w:val="4B40563B"/>
    <w:rsid w:val="4B4340EE"/>
    <w:rsid w:val="4B4E1A68"/>
    <w:rsid w:val="4B4E3EF8"/>
    <w:rsid w:val="4B4F3C6A"/>
    <w:rsid w:val="4B544029"/>
    <w:rsid w:val="4B6A5B30"/>
    <w:rsid w:val="4B963849"/>
    <w:rsid w:val="4BB3249B"/>
    <w:rsid w:val="4BBB0592"/>
    <w:rsid w:val="4BD04A80"/>
    <w:rsid w:val="4BDD7181"/>
    <w:rsid w:val="4BE977EE"/>
    <w:rsid w:val="4BF51F71"/>
    <w:rsid w:val="4BFC199A"/>
    <w:rsid w:val="4C061929"/>
    <w:rsid w:val="4C2C1927"/>
    <w:rsid w:val="4C365A00"/>
    <w:rsid w:val="4C3E5862"/>
    <w:rsid w:val="4C5073AD"/>
    <w:rsid w:val="4C627D43"/>
    <w:rsid w:val="4C6C2426"/>
    <w:rsid w:val="4C7F4E0A"/>
    <w:rsid w:val="4C88096E"/>
    <w:rsid w:val="4C941A38"/>
    <w:rsid w:val="4C942D0E"/>
    <w:rsid w:val="4C97631D"/>
    <w:rsid w:val="4C997749"/>
    <w:rsid w:val="4CAE6210"/>
    <w:rsid w:val="4CAF0EB6"/>
    <w:rsid w:val="4CB439D5"/>
    <w:rsid w:val="4CB43CED"/>
    <w:rsid w:val="4CDF6F83"/>
    <w:rsid w:val="4CE532B6"/>
    <w:rsid w:val="4CFD26C8"/>
    <w:rsid w:val="4D007B3F"/>
    <w:rsid w:val="4D1A2C2C"/>
    <w:rsid w:val="4D2252AB"/>
    <w:rsid w:val="4D24776A"/>
    <w:rsid w:val="4D3C439F"/>
    <w:rsid w:val="4D4820CE"/>
    <w:rsid w:val="4D4E6D7A"/>
    <w:rsid w:val="4D583754"/>
    <w:rsid w:val="4D695962"/>
    <w:rsid w:val="4D80090C"/>
    <w:rsid w:val="4D891E88"/>
    <w:rsid w:val="4D9631B9"/>
    <w:rsid w:val="4D9C6910"/>
    <w:rsid w:val="4DA126D7"/>
    <w:rsid w:val="4DAA1D1A"/>
    <w:rsid w:val="4DBE6BDC"/>
    <w:rsid w:val="4DBF60AA"/>
    <w:rsid w:val="4DC6743C"/>
    <w:rsid w:val="4DE73B10"/>
    <w:rsid w:val="4DE93DA2"/>
    <w:rsid w:val="4DF30A06"/>
    <w:rsid w:val="4E102AE3"/>
    <w:rsid w:val="4E223C24"/>
    <w:rsid w:val="4E233D89"/>
    <w:rsid w:val="4E27466E"/>
    <w:rsid w:val="4E2F0DB1"/>
    <w:rsid w:val="4E4A7541"/>
    <w:rsid w:val="4E4C4025"/>
    <w:rsid w:val="4E4C423F"/>
    <w:rsid w:val="4E6230C7"/>
    <w:rsid w:val="4E716384"/>
    <w:rsid w:val="4EA13B99"/>
    <w:rsid w:val="4EB70B16"/>
    <w:rsid w:val="4EC33FB6"/>
    <w:rsid w:val="4EC973A0"/>
    <w:rsid w:val="4ECA0539"/>
    <w:rsid w:val="4EE60D50"/>
    <w:rsid w:val="4EF46C5D"/>
    <w:rsid w:val="4EFC63A0"/>
    <w:rsid w:val="4EFFC07A"/>
    <w:rsid w:val="4F195DF7"/>
    <w:rsid w:val="4F2F6BA0"/>
    <w:rsid w:val="4F326E51"/>
    <w:rsid w:val="4F41027F"/>
    <w:rsid w:val="4F521A89"/>
    <w:rsid w:val="4F573AB1"/>
    <w:rsid w:val="4F5B5DE0"/>
    <w:rsid w:val="4F9B725A"/>
    <w:rsid w:val="4FA840F3"/>
    <w:rsid w:val="4FBB05DB"/>
    <w:rsid w:val="4FBC47AB"/>
    <w:rsid w:val="4FC873EC"/>
    <w:rsid w:val="4FCD63B0"/>
    <w:rsid w:val="4FCE5E25"/>
    <w:rsid w:val="4FD22A74"/>
    <w:rsid w:val="4FD63DB7"/>
    <w:rsid w:val="4FDB1EB8"/>
    <w:rsid w:val="4FEB2996"/>
    <w:rsid w:val="4FEC30D0"/>
    <w:rsid w:val="4FEE65F2"/>
    <w:rsid w:val="50074478"/>
    <w:rsid w:val="500A0874"/>
    <w:rsid w:val="50416725"/>
    <w:rsid w:val="504308BF"/>
    <w:rsid w:val="5058323E"/>
    <w:rsid w:val="50596CF5"/>
    <w:rsid w:val="505B154D"/>
    <w:rsid w:val="505F7DF5"/>
    <w:rsid w:val="50605FE1"/>
    <w:rsid w:val="507C4554"/>
    <w:rsid w:val="50A92A8E"/>
    <w:rsid w:val="50AB499C"/>
    <w:rsid w:val="50B10B52"/>
    <w:rsid w:val="50C57EB9"/>
    <w:rsid w:val="50D02FEA"/>
    <w:rsid w:val="50EB3AC0"/>
    <w:rsid w:val="510B5B65"/>
    <w:rsid w:val="51183927"/>
    <w:rsid w:val="511856D5"/>
    <w:rsid w:val="511F1556"/>
    <w:rsid w:val="512A6C0A"/>
    <w:rsid w:val="513E5918"/>
    <w:rsid w:val="51402E7D"/>
    <w:rsid w:val="516B5A3A"/>
    <w:rsid w:val="51716C4C"/>
    <w:rsid w:val="517215E7"/>
    <w:rsid w:val="517C3E6E"/>
    <w:rsid w:val="51840E83"/>
    <w:rsid w:val="518F4928"/>
    <w:rsid w:val="51954F77"/>
    <w:rsid w:val="51B2610E"/>
    <w:rsid w:val="51BA0E35"/>
    <w:rsid w:val="51BF1FF4"/>
    <w:rsid w:val="51E92452"/>
    <w:rsid w:val="51EC6905"/>
    <w:rsid w:val="51FD61E8"/>
    <w:rsid w:val="52043EAB"/>
    <w:rsid w:val="521A025B"/>
    <w:rsid w:val="523A04A8"/>
    <w:rsid w:val="523B16A4"/>
    <w:rsid w:val="5240688D"/>
    <w:rsid w:val="525C4501"/>
    <w:rsid w:val="52697765"/>
    <w:rsid w:val="526E7B45"/>
    <w:rsid w:val="528B192F"/>
    <w:rsid w:val="5292739E"/>
    <w:rsid w:val="52AD786B"/>
    <w:rsid w:val="52B2639C"/>
    <w:rsid w:val="52D674C6"/>
    <w:rsid w:val="52F34409"/>
    <w:rsid w:val="52F92D41"/>
    <w:rsid w:val="530E3233"/>
    <w:rsid w:val="534B4DB9"/>
    <w:rsid w:val="534F280C"/>
    <w:rsid w:val="535554D2"/>
    <w:rsid w:val="535B4061"/>
    <w:rsid w:val="535D0D4F"/>
    <w:rsid w:val="535E6E9B"/>
    <w:rsid w:val="536A2DD8"/>
    <w:rsid w:val="537163EB"/>
    <w:rsid w:val="53777A26"/>
    <w:rsid w:val="53837B15"/>
    <w:rsid w:val="53884B40"/>
    <w:rsid w:val="538B6035"/>
    <w:rsid w:val="538D3F28"/>
    <w:rsid w:val="53933738"/>
    <w:rsid w:val="53AC1419"/>
    <w:rsid w:val="53BB5438"/>
    <w:rsid w:val="53C35B87"/>
    <w:rsid w:val="53C805BC"/>
    <w:rsid w:val="53C94F6E"/>
    <w:rsid w:val="53E4331D"/>
    <w:rsid w:val="53F658ED"/>
    <w:rsid w:val="53FC25E6"/>
    <w:rsid w:val="53FE0E69"/>
    <w:rsid w:val="540B354D"/>
    <w:rsid w:val="540C1A27"/>
    <w:rsid w:val="540E1B34"/>
    <w:rsid w:val="54177022"/>
    <w:rsid w:val="5437512F"/>
    <w:rsid w:val="54616F35"/>
    <w:rsid w:val="546558FE"/>
    <w:rsid w:val="5474482F"/>
    <w:rsid w:val="54763CD4"/>
    <w:rsid w:val="547F1B2F"/>
    <w:rsid w:val="5486329D"/>
    <w:rsid w:val="548C103F"/>
    <w:rsid w:val="54A572F4"/>
    <w:rsid w:val="54BC7146"/>
    <w:rsid w:val="54CC7299"/>
    <w:rsid w:val="54FA4A5B"/>
    <w:rsid w:val="54FD0FAA"/>
    <w:rsid w:val="5508025F"/>
    <w:rsid w:val="5526012A"/>
    <w:rsid w:val="55333F6B"/>
    <w:rsid w:val="5537160E"/>
    <w:rsid w:val="553C2FE9"/>
    <w:rsid w:val="554027C6"/>
    <w:rsid w:val="55500302"/>
    <w:rsid w:val="556F53C7"/>
    <w:rsid w:val="55791063"/>
    <w:rsid w:val="55792E45"/>
    <w:rsid w:val="557E7B01"/>
    <w:rsid w:val="55A503F5"/>
    <w:rsid w:val="55BC3F45"/>
    <w:rsid w:val="55C64E56"/>
    <w:rsid w:val="55CF165D"/>
    <w:rsid w:val="55D15A82"/>
    <w:rsid w:val="55DA3467"/>
    <w:rsid w:val="55DB5F4D"/>
    <w:rsid w:val="55EB4415"/>
    <w:rsid w:val="56026953"/>
    <w:rsid w:val="5615778B"/>
    <w:rsid w:val="562035D8"/>
    <w:rsid w:val="56325307"/>
    <w:rsid w:val="564A6BE8"/>
    <w:rsid w:val="565129A9"/>
    <w:rsid w:val="5652273E"/>
    <w:rsid w:val="565D10E7"/>
    <w:rsid w:val="566467D7"/>
    <w:rsid w:val="569A555A"/>
    <w:rsid w:val="569A5A8D"/>
    <w:rsid w:val="56BC3684"/>
    <w:rsid w:val="56BC4D54"/>
    <w:rsid w:val="56DE01D8"/>
    <w:rsid w:val="56EA49F8"/>
    <w:rsid w:val="56F83EAB"/>
    <w:rsid w:val="56FE2147"/>
    <w:rsid w:val="56FF0AB4"/>
    <w:rsid w:val="573E3E31"/>
    <w:rsid w:val="575659B4"/>
    <w:rsid w:val="578224EB"/>
    <w:rsid w:val="57977E86"/>
    <w:rsid w:val="57A44166"/>
    <w:rsid w:val="57AF2B0B"/>
    <w:rsid w:val="57B40121"/>
    <w:rsid w:val="57C81F9C"/>
    <w:rsid w:val="57CE0F24"/>
    <w:rsid w:val="57E04838"/>
    <w:rsid w:val="57E64C8A"/>
    <w:rsid w:val="57F576FC"/>
    <w:rsid w:val="57F93F22"/>
    <w:rsid w:val="57FE6541"/>
    <w:rsid w:val="58035032"/>
    <w:rsid w:val="58112D25"/>
    <w:rsid w:val="58136BF6"/>
    <w:rsid w:val="581B44AF"/>
    <w:rsid w:val="58207565"/>
    <w:rsid w:val="582272EA"/>
    <w:rsid w:val="5826138A"/>
    <w:rsid w:val="582B42DE"/>
    <w:rsid w:val="583E1B75"/>
    <w:rsid w:val="58453082"/>
    <w:rsid w:val="58493AFF"/>
    <w:rsid w:val="585001BB"/>
    <w:rsid w:val="58541E16"/>
    <w:rsid w:val="586F0550"/>
    <w:rsid w:val="587B0B36"/>
    <w:rsid w:val="588972E0"/>
    <w:rsid w:val="588E013A"/>
    <w:rsid w:val="58B616B1"/>
    <w:rsid w:val="58B65693"/>
    <w:rsid w:val="58CC7AA7"/>
    <w:rsid w:val="58F62B5E"/>
    <w:rsid w:val="59240E3E"/>
    <w:rsid w:val="59255571"/>
    <w:rsid w:val="59566EBF"/>
    <w:rsid w:val="59636466"/>
    <w:rsid w:val="596F2552"/>
    <w:rsid w:val="59B436FB"/>
    <w:rsid w:val="59B82E04"/>
    <w:rsid w:val="59E679C9"/>
    <w:rsid w:val="59EE2FE3"/>
    <w:rsid w:val="59EF7C8D"/>
    <w:rsid w:val="59F10F3C"/>
    <w:rsid w:val="59F7328A"/>
    <w:rsid w:val="5A111C53"/>
    <w:rsid w:val="5A1625DF"/>
    <w:rsid w:val="5A264F65"/>
    <w:rsid w:val="5A3E7BD3"/>
    <w:rsid w:val="5A431E0C"/>
    <w:rsid w:val="5A4C6848"/>
    <w:rsid w:val="5A512AB2"/>
    <w:rsid w:val="5A6C48BD"/>
    <w:rsid w:val="5ABC4081"/>
    <w:rsid w:val="5AC23067"/>
    <w:rsid w:val="5AD04309"/>
    <w:rsid w:val="5AD5158E"/>
    <w:rsid w:val="5AD8580D"/>
    <w:rsid w:val="5B022FE8"/>
    <w:rsid w:val="5B397815"/>
    <w:rsid w:val="5B3B2ED4"/>
    <w:rsid w:val="5B4A54A2"/>
    <w:rsid w:val="5B5104E1"/>
    <w:rsid w:val="5B694C3C"/>
    <w:rsid w:val="5B6C68BE"/>
    <w:rsid w:val="5B845699"/>
    <w:rsid w:val="5BA1276A"/>
    <w:rsid w:val="5BA704A1"/>
    <w:rsid w:val="5BA83421"/>
    <w:rsid w:val="5BAD2CD9"/>
    <w:rsid w:val="5BB70E43"/>
    <w:rsid w:val="5BC35166"/>
    <w:rsid w:val="5BD3501A"/>
    <w:rsid w:val="5BF40953"/>
    <w:rsid w:val="5BFE0B9E"/>
    <w:rsid w:val="5C073B51"/>
    <w:rsid w:val="5C1826F0"/>
    <w:rsid w:val="5C217A1F"/>
    <w:rsid w:val="5C2648F0"/>
    <w:rsid w:val="5C3007B3"/>
    <w:rsid w:val="5C332D82"/>
    <w:rsid w:val="5C3E05AB"/>
    <w:rsid w:val="5C434225"/>
    <w:rsid w:val="5C536CC3"/>
    <w:rsid w:val="5C6B52C3"/>
    <w:rsid w:val="5C7C2354"/>
    <w:rsid w:val="5C7D7B95"/>
    <w:rsid w:val="5C8D594F"/>
    <w:rsid w:val="5C922E1D"/>
    <w:rsid w:val="5C983292"/>
    <w:rsid w:val="5CC15E0D"/>
    <w:rsid w:val="5CC25E43"/>
    <w:rsid w:val="5CF111A8"/>
    <w:rsid w:val="5CF47801"/>
    <w:rsid w:val="5D3069CD"/>
    <w:rsid w:val="5D4E081F"/>
    <w:rsid w:val="5D53095C"/>
    <w:rsid w:val="5D650D49"/>
    <w:rsid w:val="5D7362CC"/>
    <w:rsid w:val="5D8A03CC"/>
    <w:rsid w:val="5D946D41"/>
    <w:rsid w:val="5DA11A40"/>
    <w:rsid w:val="5DB76586"/>
    <w:rsid w:val="5DE27796"/>
    <w:rsid w:val="5E0F453E"/>
    <w:rsid w:val="5E155751"/>
    <w:rsid w:val="5E2456A8"/>
    <w:rsid w:val="5E2D7722"/>
    <w:rsid w:val="5E2E6F46"/>
    <w:rsid w:val="5E3964FC"/>
    <w:rsid w:val="5E4B771B"/>
    <w:rsid w:val="5E4C17D9"/>
    <w:rsid w:val="5E555ED7"/>
    <w:rsid w:val="5E850B16"/>
    <w:rsid w:val="5E927A9C"/>
    <w:rsid w:val="5EB126C1"/>
    <w:rsid w:val="5EB65EA8"/>
    <w:rsid w:val="5ED36B35"/>
    <w:rsid w:val="5F2F6FD8"/>
    <w:rsid w:val="5F395040"/>
    <w:rsid w:val="5F3F6522"/>
    <w:rsid w:val="5F4008F2"/>
    <w:rsid w:val="5F6576BA"/>
    <w:rsid w:val="5F691045"/>
    <w:rsid w:val="5F6F6BEE"/>
    <w:rsid w:val="5F904FD0"/>
    <w:rsid w:val="5FA93052"/>
    <w:rsid w:val="5FB5175A"/>
    <w:rsid w:val="5FBD28D3"/>
    <w:rsid w:val="5FCD669B"/>
    <w:rsid w:val="5FEF7BAE"/>
    <w:rsid w:val="5FF36B16"/>
    <w:rsid w:val="600215AB"/>
    <w:rsid w:val="60035CC4"/>
    <w:rsid w:val="600C241F"/>
    <w:rsid w:val="600F476E"/>
    <w:rsid w:val="6027619B"/>
    <w:rsid w:val="603A7646"/>
    <w:rsid w:val="60570416"/>
    <w:rsid w:val="60597DFD"/>
    <w:rsid w:val="605D2203"/>
    <w:rsid w:val="605E4603"/>
    <w:rsid w:val="60755228"/>
    <w:rsid w:val="607E5BA3"/>
    <w:rsid w:val="60885CA7"/>
    <w:rsid w:val="60921105"/>
    <w:rsid w:val="60A00773"/>
    <w:rsid w:val="60B0641E"/>
    <w:rsid w:val="60BB235F"/>
    <w:rsid w:val="60C95583"/>
    <w:rsid w:val="60CE7B5E"/>
    <w:rsid w:val="60D10378"/>
    <w:rsid w:val="60D56371"/>
    <w:rsid w:val="60E32438"/>
    <w:rsid w:val="60F24BA5"/>
    <w:rsid w:val="60F36695"/>
    <w:rsid w:val="60FE6631"/>
    <w:rsid w:val="611A43B1"/>
    <w:rsid w:val="61210B6D"/>
    <w:rsid w:val="61315CA5"/>
    <w:rsid w:val="614A5544"/>
    <w:rsid w:val="614E1905"/>
    <w:rsid w:val="615E25E8"/>
    <w:rsid w:val="61614E76"/>
    <w:rsid w:val="61833DE6"/>
    <w:rsid w:val="61906147"/>
    <w:rsid w:val="619576E8"/>
    <w:rsid w:val="619E175B"/>
    <w:rsid w:val="61AF3E3A"/>
    <w:rsid w:val="61B20450"/>
    <w:rsid w:val="61B416D5"/>
    <w:rsid w:val="61C015F8"/>
    <w:rsid w:val="61C55465"/>
    <w:rsid w:val="61C62EFB"/>
    <w:rsid w:val="61CB3F37"/>
    <w:rsid w:val="61F6086C"/>
    <w:rsid w:val="61F93300"/>
    <w:rsid w:val="620C63D4"/>
    <w:rsid w:val="620F73A0"/>
    <w:rsid w:val="62172E25"/>
    <w:rsid w:val="6218305A"/>
    <w:rsid w:val="62205DC5"/>
    <w:rsid w:val="623F1DB9"/>
    <w:rsid w:val="62421BF0"/>
    <w:rsid w:val="62575226"/>
    <w:rsid w:val="625E092A"/>
    <w:rsid w:val="625F2217"/>
    <w:rsid w:val="6264748D"/>
    <w:rsid w:val="627110E9"/>
    <w:rsid w:val="62743AB7"/>
    <w:rsid w:val="62890FC1"/>
    <w:rsid w:val="62967504"/>
    <w:rsid w:val="629818A4"/>
    <w:rsid w:val="6298358E"/>
    <w:rsid w:val="629D31BE"/>
    <w:rsid w:val="62A85F1D"/>
    <w:rsid w:val="62AB54CF"/>
    <w:rsid w:val="62C7695D"/>
    <w:rsid w:val="62CF45BE"/>
    <w:rsid w:val="62EF1279"/>
    <w:rsid w:val="630A5099"/>
    <w:rsid w:val="631E337B"/>
    <w:rsid w:val="631F6D97"/>
    <w:rsid w:val="632D7A7F"/>
    <w:rsid w:val="63525C63"/>
    <w:rsid w:val="635370BE"/>
    <w:rsid w:val="63640EC1"/>
    <w:rsid w:val="6369618D"/>
    <w:rsid w:val="636A1D7B"/>
    <w:rsid w:val="63794984"/>
    <w:rsid w:val="63806110"/>
    <w:rsid w:val="63827A43"/>
    <w:rsid w:val="63974B7F"/>
    <w:rsid w:val="639C372F"/>
    <w:rsid w:val="639D7D03"/>
    <w:rsid w:val="63B96378"/>
    <w:rsid w:val="63C447CB"/>
    <w:rsid w:val="63DE12F2"/>
    <w:rsid w:val="63E04663"/>
    <w:rsid w:val="63E650B9"/>
    <w:rsid w:val="641167B0"/>
    <w:rsid w:val="64204A24"/>
    <w:rsid w:val="64332C41"/>
    <w:rsid w:val="64567E18"/>
    <w:rsid w:val="645C0563"/>
    <w:rsid w:val="64610F37"/>
    <w:rsid w:val="64656030"/>
    <w:rsid w:val="64880E1D"/>
    <w:rsid w:val="649C2F53"/>
    <w:rsid w:val="64AF5EF8"/>
    <w:rsid w:val="64B33C3A"/>
    <w:rsid w:val="64C245D8"/>
    <w:rsid w:val="64C2622B"/>
    <w:rsid w:val="64CB2A9B"/>
    <w:rsid w:val="64D279D7"/>
    <w:rsid w:val="64F31C0F"/>
    <w:rsid w:val="650E4D2A"/>
    <w:rsid w:val="651944F0"/>
    <w:rsid w:val="65370F1C"/>
    <w:rsid w:val="653D2B82"/>
    <w:rsid w:val="65523A49"/>
    <w:rsid w:val="65605695"/>
    <w:rsid w:val="6568074F"/>
    <w:rsid w:val="65736011"/>
    <w:rsid w:val="65752ABC"/>
    <w:rsid w:val="65761F94"/>
    <w:rsid w:val="65785814"/>
    <w:rsid w:val="65824C2F"/>
    <w:rsid w:val="65921056"/>
    <w:rsid w:val="659B64F3"/>
    <w:rsid w:val="65A14F4F"/>
    <w:rsid w:val="65C24854"/>
    <w:rsid w:val="65C82F42"/>
    <w:rsid w:val="65D44F74"/>
    <w:rsid w:val="65D61945"/>
    <w:rsid w:val="65DD14E3"/>
    <w:rsid w:val="65FB59EE"/>
    <w:rsid w:val="660A06D2"/>
    <w:rsid w:val="660F40A0"/>
    <w:rsid w:val="66173BED"/>
    <w:rsid w:val="66224FD4"/>
    <w:rsid w:val="662630EB"/>
    <w:rsid w:val="663A4864"/>
    <w:rsid w:val="66411B0D"/>
    <w:rsid w:val="664122E4"/>
    <w:rsid w:val="66426758"/>
    <w:rsid w:val="664D11B4"/>
    <w:rsid w:val="664D4231"/>
    <w:rsid w:val="66523C86"/>
    <w:rsid w:val="6653275E"/>
    <w:rsid w:val="665D4FAC"/>
    <w:rsid w:val="66656598"/>
    <w:rsid w:val="6671682D"/>
    <w:rsid w:val="66731FB0"/>
    <w:rsid w:val="66777685"/>
    <w:rsid w:val="66824689"/>
    <w:rsid w:val="6694454A"/>
    <w:rsid w:val="669532A9"/>
    <w:rsid w:val="66AD4472"/>
    <w:rsid w:val="66AF4D97"/>
    <w:rsid w:val="66C67D7A"/>
    <w:rsid w:val="66D40B0B"/>
    <w:rsid w:val="66ED6A15"/>
    <w:rsid w:val="67077276"/>
    <w:rsid w:val="670A1853"/>
    <w:rsid w:val="671B17EA"/>
    <w:rsid w:val="671C62BC"/>
    <w:rsid w:val="672A546D"/>
    <w:rsid w:val="672F27BF"/>
    <w:rsid w:val="6759039D"/>
    <w:rsid w:val="675B2FB5"/>
    <w:rsid w:val="676220A8"/>
    <w:rsid w:val="677A0A3F"/>
    <w:rsid w:val="677F7E04"/>
    <w:rsid w:val="678A664A"/>
    <w:rsid w:val="67A67138"/>
    <w:rsid w:val="67B07930"/>
    <w:rsid w:val="67CE2337"/>
    <w:rsid w:val="67E21964"/>
    <w:rsid w:val="67E759A9"/>
    <w:rsid w:val="67F36368"/>
    <w:rsid w:val="67FE4E3E"/>
    <w:rsid w:val="680B1BA7"/>
    <w:rsid w:val="680D4317"/>
    <w:rsid w:val="6810689A"/>
    <w:rsid w:val="68307BEC"/>
    <w:rsid w:val="68330BEE"/>
    <w:rsid w:val="68696E94"/>
    <w:rsid w:val="687051D2"/>
    <w:rsid w:val="68775C3C"/>
    <w:rsid w:val="68A604DB"/>
    <w:rsid w:val="68B24209"/>
    <w:rsid w:val="68B606E9"/>
    <w:rsid w:val="68B60C47"/>
    <w:rsid w:val="68D22CE2"/>
    <w:rsid w:val="68D31D57"/>
    <w:rsid w:val="68E16B9C"/>
    <w:rsid w:val="69116ABE"/>
    <w:rsid w:val="691333DB"/>
    <w:rsid w:val="691F53D5"/>
    <w:rsid w:val="69581C8F"/>
    <w:rsid w:val="69A77533"/>
    <w:rsid w:val="69BA0BD1"/>
    <w:rsid w:val="69C515DF"/>
    <w:rsid w:val="69DF0CEE"/>
    <w:rsid w:val="69F51F8E"/>
    <w:rsid w:val="6A0E7DAC"/>
    <w:rsid w:val="6A1342DB"/>
    <w:rsid w:val="6A274783"/>
    <w:rsid w:val="6A382459"/>
    <w:rsid w:val="6A417F31"/>
    <w:rsid w:val="6A4F0C9A"/>
    <w:rsid w:val="6A5A487F"/>
    <w:rsid w:val="6A665FBE"/>
    <w:rsid w:val="6A704595"/>
    <w:rsid w:val="6A8D062A"/>
    <w:rsid w:val="6A912479"/>
    <w:rsid w:val="6AC4033A"/>
    <w:rsid w:val="6ACC3A01"/>
    <w:rsid w:val="6ADA17F5"/>
    <w:rsid w:val="6AFA23F9"/>
    <w:rsid w:val="6B033E17"/>
    <w:rsid w:val="6B277BF9"/>
    <w:rsid w:val="6B2D2511"/>
    <w:rsid w:val="6B2E24D5"/>
    <w:rsid w:val="6B474A24"/>
    <w:rsid w:val="6B4A6214"/>
    <w:rsid w:val="6B4E640D"/>
    <w:rsid w:val="6B5E50E4"/>
    <w:rsid w:val="6B7307AA"/>
    <w:rsid w:val="6B80069C"/>
    <w:rsid w:val="6BA363CF"/>
    <w:rsid w:val="6BA70A67"/>
    <w:rsid w:val="6BAF1320"/>
    <w:rsid w:val="6BCA3C21"/>
    <w:rsid w:val="6BD03064"/>
    <w:rsid w:val="6BE45C47"/>
    <w:rsid w:val="6BE636FB"/>
    <w:rsid w:val="6BE96194"/>
    <w:rsid w:val="6BEB6BE7"/>
    <w:rsid w:val="6BF41E77"/>
    <w:rsid w:val="6C004659"/>
    <w:rsid w:val="6C042575"/>
    <w:rsid w:val="6C3F7270"/>
    <w:rsid w:val="6C414363"/>
    <w:rsid w:val="6C5056FA"/>
    <w:rsid w:val="6C5302F3"/>
    <w:rsid w:val="6C541E33"/>
    <w:rsid w:val="6C667801"/>
    <w:rsid w:val="6C684E60"/>
    <w:rsid w:val="6C75661B"/>
    <w:rsid w:val="6C814782"/>
    <w:rsid w:val="6C9060F7"/>
    <w:rsid w:val="6C9B0819"/>
    <w:rsid w:val="6CAC5407"/>
    <w:rsid w:val="6CB2502E"/>
    <w:rsid w:val="6CB421A1"/>
    <w:rsid w:val="6CBA2324"/>
    <w:rsid w:val="6CF930B5"/>
    <w:rsid w:val="6D0801B4"/>
    <w:rsid w:val="6D1B25ED"/>
    <w:rsid w:val="6D230CA6"/>
    <w:rsid w:val="6D3035D1"/>
    <w:rsid w:val="6D376AA5"/>
    <w:rsid w:val="6D546CF9"/>
    <w:rsid w:val="6D557B59"/>
    <w:rsid w:val="6D7F6B75"/>
    <w:rsid w:val="6D8D42A7"/>
    <w:rsid w:val="6D9E375A"/>
    <w:rsid w:val="6DBA3F15"/>
    <w:rsid w:val="6DC11232"/>
    <w:rsid w:val="6DC47C45"/>
    <w:rsid w:val="6DCC0395"/>
    <w:rsid w:val="6DDD2833"/>
    <w:rsid w:val="6DF474B9"/>
    <w:rsid w:val="6DF53868"/>
    <w:rsid w:val="6DFB7402"/>
    <w:rsid w:val="6E0B6BED"/>
    <w:rsid w:val="6E0D248C"/>
    <w:rsid w:val="6E113801"/>
    <w:rsid w:val="6E134A70"/>
    <w:rsid w:val="6E184CAC"/>
    <w:rsid w:val="6E1D42E4"/>
    <w:rsid w:val="6E201F00"/>
    <w:rsid w:val="6E2746FD"/>
    <w:rsid w:val="6E2759DE"/>
    <w:rsid w:val="6E280467"/>
    <w:rsid w:val="6E293279"/>
    <w:rsid w:val="6E2A10AB"/>
    <w:rsid w:val="6E306791"/>
    <w:rsid w:val="6E3851B0"/>
    <w:rsid w:val="6E653559"/>
    <w:rsid w:val="6E737241"/>
    <w:rsid w:val="6E775007"/>
    <w:rsid w:val="6E8810DB"/>
    <w:rsid w:val="6EA2049E"/>
    <w:rsid w:val="6EBB6CEE"/>
    <w:rsid w:val="6EC221F0"/>
    <w:rsid w:val="6EEA50E4"/>
    <w:rsid w:val="6F050828"/>
    <w:rsid w:val="6F137BB9"/>
    <w:rsid w:val="6F1C7221"/>
    <w:rsid w:val="6F1F6E5C"/>
    <w:rsid w:val="6F223B52"/>
    <w:rsid w:val="6F302E2A"/>
    <w:rsid w:val="6F4E05D1"/>
    <w:rsid w:val="6F8A17AC"/>
    <w:rsid w:val="6F9D1B66"/>
    <w:rsid w:val="6FA10EE2"/>
    <w:rsid w:val="6FC40F4D"/>
    <w:rsid w:val="6FD030F2"/>
    <w:rsid w:val="6FD060F7"/>
    <w:rsid w:val="6FD47C3E"/>
    <w:rsid w:val="6FDD3ECF"/>
    <w:rsid w:val="6FED090B"/>
    <w:rsid w:val="6FED68CB"/>
    <w:rsid w:val="6FF356A3"/>
    <w:rsid w:val="6FF46C64"/>
    <w:rsid w:val="700A4CF6"/>
    <w:rsid w:val="700A7D26"/>
    <w:rsid w:val="701B0E4F"/>
    <w:rsid w:val="701D5A00"/>
    <w:rsid w:val="70297F85"/>
    <w:rsid w:val="70466D48"/>
    <w:rsid w:val="70737F53"/>
    <w:rsid w:val="70741B26"/>
    <w:rsid w:val="707C06DE"/>
    <w:rsid w:val="708A6144"/>
    <w:rsid w:val="708F7F90"/>
    <w:rsid w:val="70B14CAE"/>
    <w:rsid w:val="70B50A79"/>
    <w:rsid w:val="70D42938"/>
    <w:rsid w:val="70DD6002"/>
    <w:rsid w:val="70F01D72"/>
    <w:rsid w:val="71153587"/>
    <w:rsid w:val="711869BE"/>
    <w:rsid w:val="71237D91"/>
    <w:rsid w:val="712D6E2B"/>
    <w:rsid w:val="717F35B3"/>
    <w:rsid w:val="718536D6"/>
    <w:rsid w:val="719E6C73"/>
    <w:rsid w:val="71A27AC7"/>
    <w:rsid w:val="71C8265C"/>
    <w:rsid w:val="71E80C9B"/>
    <w:rsid w:val="71F7478E"/>
    <w:rsid w:val="720043DC"/>
    <w:rsid w:val="72170885"/>
    <w:rsid w:val="72231C02"/>
    <w:rsid w:val="72312685"/>
    <w:rsid w:val="72426318"/>
    <w:rsid w:val="724A09FC"/>
    <w:rsid w:val="72696E34"/>
    <w:rsid w:val="727160B3"/>
    <w:rsid w:val="72754FD1"/>
    <w:rsid w:val="727A7B45"/>
    <w:rsid w:val="727F1BDA"/>
    <w:rsid w:val="729A1F96"/>
    <w:rsid w:val="729F4A9E"/>
    <w:rsid w:val="72C21D1B"/>
    <w:rsid w:val="73045661"/>
    <w:rsid w:val="73211E56"/>
    <w:rsid w:val="732E702D"/>
    <w:rsid w:val="734C5923"/>
    <w:rsid w:val="735F249E"/>
    <w:rsid w:val="739B540E"/>
    <w:rsid w:val="73A20BBA"/>
    <w:rsid w:val="73C11A46"/>
    <w:rsid w:val="73C372CA"/>
    <w:rsid w:val="73CE5A22"/>
    <w:rsid w:val="73DB46AB"/>
    <w:rsid w:val="73DD4541"/>
    <w:rsid w:val="73DE7C85"/>
    <w:rsid w:val="73E12364"/>
    <w:rsid w:val="73E52CB5"/>
    <w:rsid w:val="73F54A15"/>
    <w:rsid w:val="740C0C71"/>
    <w:rsid w:val="741125B3"/>
    <w:rsid w:val="74262838"/>
    <w:rsid w:val="74282163"/>
    <w:rsid w:val="74465FD1"/>
    <w:rsid w:val="746A542D"/>
    <w:rsid w:val="747131CA"/>
    <w:rsid w:val="74764DAA"/>
    <w:rsid w:val="749E216B"/>
    <w:rsid w:val="74A37B2D"/>
    <w:rsid w:val="74B13A3C"/>
    <w:rsid w:val="74E22D45"/>
    <w:rsid w:val="74EF0B56"/>
    <w:rsid w:val="750D44F0"/>
    <w:rsid w:val="7513098D"/>
    <w:rsid w:val="751464E0"/>
    <w:rsid w:val="75162DE7"/>
    <w:rsid w:val="75243960"/>
    <w:rsid w:val="75400162"/>
    <w:rsid w:val="754E6641"/>
    <w:rsid w:val="75527281"/>
    <w:rsid w:val="755530D8"/>
    <w:rsid w:val="755C1784"/>
    <w:rsid w:val="755F3538"/>
    <w:rsid w:val="75614FED"/>
    <w:rsid w:val="75622F90"/>
    <w:rsid w:val="756735A4"/>
    <w:rsid w:val="757A51B8"/>
    <w:rsid w:val="759E534E"/>
    <w:rsid w:val="75A91612"/>
    <w:rsid w:val="75AF3FAA"/>
    <w:rsid w:val="75B363BD"/>
    <w:rsid w:val="75C423CA"/>
    <w:rsid w:val="75D170AE"/>
    <w:rsid w:val="75D55D46"/>
    <w:rsid w:val="75D66BC3"/>
    <w:rsid w:val="75E11C2B"/>
    <w:rsid w:val="76073400"/>
    <w:rsid w:val="761B1279"/>
    <w:rsid w:val="76207F6F"/>
    <w:rsid w:val="76305DD0"/>
    <w:rsid w:val="76477B44"/>
    <w:rsid w:val="764E0361"/>
    <w:rsid w:val="766C7CE6"/>
    <w:rsid w:val="767174B1"/>
    <w:rsid w:val="76756C02"/>
    <w:rsid w:val="76973DF1"/>
    <w:rsid w:val="76994BBA"/>
    <w:rsid w:val="76A0412F"/>
    <w:rsid w:val="76A4185D"/>
    <w:rsid w:val="76A80E6B"/>
    <w:rsid w:val="76AC4F69"/>
    <w:rsid w:val="76CA68C5"/>
    <w:rsid w:val="76CD0F9A"/>
    <w:rsid w:val="76DA01C6"/>
    <w:rsid w:val="77061105"/>
    <w:rsid w:val="771437FE"/>
    <w:rsid w:val="77375443"/>
    <w:rsid w:val="77513F95"/>
    <w:rsid w:val="77525031"/>
    <w:rsid w:val="776132CB"/>
    <w:rsid w:val="776209FA"/>
    <w:rsid w:val="776461AB"/>
    <w:rsid w:val="77951DAA"/>
    <w:rsid w:val="77B94075"/>
    <w:rsid w:val="77BB6435"/>
    <w:rsid w:val="77FA7F9D"/>
    <w:rsid w:val="78014F5D"/>
    <w:rsid w:val="780325F7"/>
    <w:rsid w:val="780622D0"/>
    <w:rsid w:val="781727A4"/>
    <w:rsid w:val="78183DB0"/>
    <w:rsid w:val="782A3DE8"/>
    <w:rsid w:val="784B51D3"/>
    <w:rsid w:val="78557E78"/>
    <w:rsid w:val="785F4E03"/>
    <w:rsid w:val="78611321"/>
    <w:rsid w:val="7876105B"/>
    <w:rsid w:val="78937F20"/>
    <w:rsid w:val="78A87CED"/>
    <w:rsid w:val="78A93993"/>
    <w:rsid w:val="78AF5A93"/>
    <w:rsid w:val="78B10728"/>
    <w:rsid w:val="78DA1539"/>
    <w:rsid w:val="78FA1840"/>
    <w:rsid w:val="79010956"/>
    <w:rsid w:val="79091C23"/>
    <w:rsid w:val="790E23DB"/>
    <w:rsid w:val="791F0F82"/>
    <w:rsid w:val="79234AEA"/>
    <w:rsid w:val="79265072"/>
    <w:rsid w:val="79664654"/>
    <w:rsid w:val="79702169"/>
    <w:rsid w:val="797764AA"/>
    <w:rsid w:val="79783ED9"/>
    <w:rsid w:val="797B5B58"/>
    <w:rsid w:val="798A7B34"/>
    <w:rsid w:val="79981CF6"/>
    <w:rsid w:val="79AC5CC2"/>
    <w:rsid w:val="79AC70E1"/>
    <w:rsid w:val="79CE096C"/>
    <w:rsid w:val="79DD4800"/>
    <w:rsid w:val="79E05BDF"/>
    <w:rsid w:val="79FA0D50"/>
    <w:rsid w:val="79FE3A4E"/>
    <w:rsid w:val="7A0826E4"/>
    <w:rsid w:val="7A0B162F"/>
    <w:rsid w:val="7A182BD8"/>
    <w:rsid w:val="7AB72FA3"/>
    <w:rsid w:val="7AC22D80"/>
    <w:rsid w:val="7ACD0A2E"/>
    <w:rsid w:val="7AD75D49"/>
    <w:rsid w:val="7AEA6C52"/>
    <w:rsid w:val="7AF07B2A"/>
    <w:rsid w:val="7AFB708C"/>
    <w:rsid w:val="7AFE58A9"/>
    <w:rsid w:val="7B0364F9"/>
    <w:rsid w:val="7B115C49"/>
    <w:rsid w:val="7B2C038B"/>
    <w:rsid w:val="7B44692F"/>
    <w:rsid w:val="7B507295"/>
    <w:rsid w:val="7B566C76"/>
    <w:rsid w:val="7B6A569E"/>
    <w:rsid w:val="7B6C0C66"/>
    <w:rsid w:val="7B8D7E0F"/>
    <w:rsid w:val="7BA619AB"/>
    <w:rsid w:val="7BAC7C58"/>
    <w:rsid w:val="7BAE1C22"/>
    <w:rsid w:val="7BAE1FD6"/>
    <w:rsid w:val="7BB7381D"/>
    <w:rsid w:val="7BBB2A5A"/>
    <w:rsid w:val="7BCD5246"/>
    <w:rsid w:val="7BD074DC"/>
    <w:rsid w:val="7BD61B65"/>
    <w:rsid w:val="7BF7759C"/>
    <w:rsid w:val="7BF94A4F"/>
    <w:rsid w:val="7BFD0EF1"/>
    <w:rsid w:val="7C111D62"/>
    <w:rsid w:val="7C202B65"/>
    <w:rsid w:val="7C403E38"/>
    <w:rsid w:val="7C4469B3"/>
    <w:rsid w:val="7C5A4544"/>
    <w:rsid w:val="7C632793"/>
    <w:rsid w:val="7C6928AD"/>
    <w:rsid w:val="7C6B0E05"/>
    <w:rsid w:val="7C7A41A0"/>
    <w:rsid w:val="7C8724CE"/>
    <w:rsid w:val="7C93216C"/>
    <w:rsid w:val="7CCE1B8C"/>
    <w:rsid w:val="7CD3732C"/>
    <w:rsid w:val="7CDD5551"/>
    <w:rsid w:val="7D1B64D3"/>
    <w:rsid w:val="7D1D6049"/>
    <w:rsid w:val="7D3A1533"/>
    <w:rsid w:val="7D3B0CA8"/>
    <w:rsid w:val="7D5625D6"/>
    <w:rsid w:val="7D63769A"/>
    <w:rsid w:val="7D6E116D"/>
    <w:rsid w:val="7D706BC9"/>
    <w:rsid w:val="7D717B8A"/>
    <w:rsid w:val="7D7928A6"/>
    <w:rsid w:val="7D955BFB"/>
    <w:rsid w:val="7DAE4B47"/>
    <w:rsid w:val="7DB63CC3"/>
    <w:rsid w:val="7DCB10D2"/>
    <w:rsid w:val="7DCC5665"/>
    <w:rsid w:val="7DCD3448"/>
    <w:rsid w:val="7DFE303F"/>
    <w:rsid w:val="7E12157A"/>
    <w:rsid w:val="7E205633"/>
    <w:rsid w:val="7E276206"/>
    <w:rsid w:val="7E30476A"/>
    <w:rsid w:val="7E336A5B"/>
    <w:rsid w:val="7E3E132F"/>
    <w:rsid w:val="7E3F4379"/>
    <w:rsid w:val="7E44533E"/>
    <w:rsid w:val="7E64619D"/>
    <w:rsid w:val="7E6814AC"/>
    <w:rsid w:val="7E682536"/>
    <w:rsid w:val="7E783A3F"/>
    <w:rsid w:val="7E844A8D"/>
    <w:rsid w:val="7E8A5055"/>
    <w:rsid w:val="7E8C4F5C"/>
    <w:rsid w:val="7E9628EE"/>
    <w:rsid w:val="7E9A2DB9"/>
    <w:rsid w:val="7EA216C3"/>
    <w:rsid w:val="7EB6775A"/>
    <w:rsid w:val="7EB92E45"/>
    <w:rsid w:val="7ED405DD"/>
    <w:rsid w:val="7EF23196"/>
    <w:rsid w:val="7EF66600"/>
    <w:rsid w:val="7EF72204"/>
    <w:rsid w:val="7EFF10DC"/>
    <w:rsid w:val="7F2E5D06"/>
    <w:rsid w:val="7F345399"/>
    <w:rsid w:val="7F435763"/>
    <w:rsid w:val="7F5E42E0"/>
    <w:rsid w:val="7F651B7D"/>
    <w:rsid w:val="7F6931B6"/>
    <w:rsid w:val="7F722E84"/>
    <w:rsid w:val="7F72668B"/>
    <w:rsid w:val="7F760AE4"/>
    <w:rsid w:val="7F94750C"/>
    <w:rsid w:val="7F9A343C"/>
    <w:rsid w:val="7FBE4C49"/>
    <w:rsid w:val="7FCB31A6"/>
    <w:rsid w:val="7FCF6413"/>
    <w:rsid w:val="7FE820C9"/>
    <w:rsid w:val="7FF85B50"/>
    <w:rsid w:val="7FFB3ED8"/>
    <w:rsid w:val="7FFD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9"/>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50"/>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51"/>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2"/>
    <w:qFormat/>
    <w:uiPriority w:val="9"/>
    <w:pPr>
      <w:keepNext/>
      <w:keepLines/>
      <w:spacing w:before="280" w:after="290" w:line="376" w:lineRule="atLeast"/>
      <w:outlineLvl w:val="3"/>
    </w:pPr>
    <w:rPr>
      <w:rFonts w:ascii="Calibri" w:hAnsi="Calibri" w:cs="Times New Roman"/>
      <w:b/>
      <w:bCs/>
    </w:rPr>
  </w:style>
  <w:style w:type="paragraph" w:styleId="6">
    <w:name w:val="heading 5"/>
    <w:basedOn w:val="1"/>
    <w:next w:val="1"/>
    <w:qFormat/>
    <w:uiPriority w:val="1"/>
    <w:pPr>
      <w:ind w:left="787"/>
      <w:outlineLvl w:val="4"/>
    </w:pPr>
    <w:rPr>
      <w:rFonts w:ascii="仿宋" w:hAnsi="仿宋" w:eastAsia="仿宋" w:cs="仿宋"/>
      <w:b/>
      <w:bCs/>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unhideWhenUsed/>
    <w:qFormat/>
    <w:uiPriority w:val="99"/>
    <w:pPr>
      <w:ind w:firstLine="420"/>
    </w:pPr>
  </w:style>
  <w:style w:type="paragraph" w:styleId="8">
    <w:name w:val="index 5"/>
    <w:basedOn w:val="1"/>
    <w:next w:val="1"/>
    <w:qFormat/>
    <w:uiPriority w:val="0"/>
    <w:pPr>
      <w:ind w:left="1680"/>
    </w:pPr>
    <w:rPr>
      <w:rFonts w:ascii="Calibri" w:hAnsi="Calibri"/>
      <w:szCs w:val="24"/>
    </w:rPr>
  </w:style>
  <w:style w:type="paragraph" w:styleId="9">
    <w:name w:val="Document Map"/>
    <w:basedOn w:val="1"/>
    <w:link w:val="53"/>
    <w:unhideWhenUsed/>
    <w:qFormat/>
    <w:uiPriority w:val="99"/>
    <w:rPr>
      <w:rFonts w:ascii="宋体" w:eastAsia="宋体"/>
      <w:sz w:val="18"/>
      <w:szCs w:val="18"/>
    </w:rPr>
  </w:style>
  <w:style w:type="paragraph" w:styleId="10">
    <w:name w:val="annotation text"/>
    <w:basedOn w:val="1"/>
    <w:link w:val="54"/>
    <w:unhideWhenUsed/>
    <w:qFormat/>
    <w:uiPriority w:val="99"/>
    <w:pPr>
      <w:jc w:val="left"/>
    </w:pPr>
  </w:style>
  <w:style w:type="paragraph" w:styleId="11">
    <w:name w:val="Body Text"/>
    <w:basedOn w:val="1"/>
    <w:link w:val="48"/>
    <w:qFormat/>
    <w:uiPriority w:val="0"/>
    <w:pPr>
      <w:spacing w:afterLines="50" w:line="360" w:lineRule="auto"/>
    </w:pPr>
    <w:rPr>
      <w:rFonts w:ascii="宋体" w:hAnsi="宋体"/>
      <w:color w:val="000000"/>
      <w:sz w:val="24"/>
    </w:rPr>
  </w:style>
  <w:style w:type="paragraph" w:styleId="12">
    <w:name w:val="Body Text Indent"/>
    <w:basedOn w:val="1"/>
    <w:unhideWhenUsed/>
    <w:qFormat/>
    <w:uiPriority w:val="0"/>
    <w:pPr>
      <w:autoSpaceDE w:val="0"/>
      <w:autoSpaceDN w:val="0"/>
      <w:adjustRightInd w:val="0"/>
      <w:spacing w:line="360" w:lineRule="atLeast"/>
      <w:ind w:firstLine="600"/>
      <w:jc w:val="left"/>
    </w:pPr>
    <w:rPr>
      <w:rFonts w:ascii="宋体" w:hAnsi="宋体"/>
      <w:kern w:val="0"/>
      <w:szCs w:val="20"/>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5"/>
    <w:qFormat/>
    <w:uiPriority w:val="0"/>
    <w:pPr>
      <w:spacing w:line="324" w:lineRule="auto"/>
    </w:pPr>
    <w:rPr>
      <w:rFonts w:ascii="宋体" w:hAnsi="Courier New" w:cs="Times New Roman"/>
      <w:szCs w:val="21"/>
      <w:lang w:val="zh-CN"/>
    </w:rPr>
  </w:style>
  <w:style w:type="paragraph" w:styleId="16">
    <w:name w:val="Date"/>
    <w:basedOn w:val="1"/>
    <w:next w:val="1"/>
    <w:link w:val="56"/>
    <w:unhideWhenUsed/>
    <w:qFormat/>
    <w:uiPriority w:val="99"/>
    <w:pPr>
      <w:ind w:left="100" w:leftChars="2500"/>
    </w:pPr>
  </w:style>
  <w:style w:type="paragraph" w:styleId="17">
    <w:name w:val="Body Text Indent 2"/>
    <w:basedOn w:val="1"/>
    <w:link w:val="57"/>
    <w:unhideWhenUsed/>
    <w:qFormat/>
    <w:uiPriority w:val="99"/>
    <w:pPr>
      <w:spacing w:after="120" w:line="480" w:lineRule="auto"/>
      <w:ind w:left="420" w:leftChars="200"/>
    </w:pPr>
  </w:style>
  <w:style w:type="paragraph" w:styleId="18">
    <w:name w:val="Balloon Text"/>
    <w:basedOn w:val="1"/>
    <w:link w:val="58"/>
    <w:unhideWhenUsed/>
    <w:qFormat/>
    <w:uiPriority w:val="0"/>
    <w:pPr>
      <w:spacing w:line="240" w:lineRule="auto"/>
    </w:pPr>
    <w:rPr>
      <w:sz w:val="18"/>
      <w:szCs w:val="18"/>
    </w:rPr>
  </w:style>
  <w:style w:type="paragraph" w:styleId="19">
    <w:name w:val="footer"/>
    <w:basedOn w:val="1"/>
    <w:link w:val="59"/>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20">
    <w:name w:val="header"/>
    <w:basedOn w:val="1"/>
    <w:link w:val="60"/>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1">
    <w:name w:val="toc 1"/>
    <w:basedOn w:val="1"/>
    <w:next w:val="1"/>
    <w:unhideWhenUsed/>
    <w:qFormat/>
    <w:uiPriority w:val="39"/>
  </w:style>
  <w:style w:type="paragraph" w:styleId="22">
    <w:name w:val="Subtitle"/>
    <w:basedOn w:val="1"/>
    <w:next w:val="1"/>
    <w:link w:val="61"/>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3">
    <w:name w:val="toc 2"/>
    <w:basedOn w:val="1"/>
    <w:next w:val="1"/>
    <w:unhideWhenUsed/>
    <w:qFormat/>
    <w:uiPriority w:val="39"/>
    <w:pPr>
      <w:ind w:left="420" w:leftChars="200"/>
    </w:pPr>
  </w:style>
  <w:style w:type="paragraph" w:styleId="24">
    <w:name w:val="Body Text 2"/>
    <w:basedOn w:val="1"/>
    <w:next w:val="11"/>
    <w:qFormat/>
    <w:uiPriority w:val="0"/>
    <w:pPr>
      <w:spacing w:after="120" w:line="480" w:lineRule="auto"/>
    </w:pPr>
    <w:rPr>
      <w:rFonts w:ascii="Verdana" w:hAnsi="Verdana" w:eastAsia="仿宋_GB2312"/>
      <w:lang w:eastAsia="en-US"/>
    </w:rPr>
  </w:style>
  <w:style w:type="paragraph" w:styleId="25">
    <w:name w:val="HTML Preformatted"/>
    <w:basedOn w:val="1"/>
    <w:link w:val="62"/>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paragraph" w:styleId="27">
    <w:name w:val="Title"/>
    <w:basedOn w:val="1"/>
    <w:next w:val="1"/>
    <w:link w:val="63"/>
    <w:qFormat/>
    <w:uiPriority w:val="0"/>
    <w:pPr>
      <w:widowControl w:val="0"/>
      <w:spacing w:before="240" w:after="60" w:line="240" w:lineRule="auto"/>
      <w:jc w:val="center"/>
      <w:outlineLvl w:val="0"/>
    </w:pPr>
    <w:rPr>
      <w:rFonts w:ascii="Cambria" w:hAnsi="Cambria" w:eastAsia="宋体" w:cs="Times New Roman"/>
      <w:b/>
      <w:bCs/>
      <w:position w:val="-6"/>
      <w:sz w:val="32"/>
      <w:szCs w:val="32"/>
    </w:rPr>
  </w:style>
  <w:style w:type="paragraph" w:styleId="28">
    <w:name w:val="annotation subject"/>
    <w:basedOn w:val="10"/>
    <w:next w:val="10"/>
    <w:link w:val="64"/>
    <w:unhideWhenUsed/>
    <w:qFormat/>
    <w:uiPriority w:val="99"/>
    <w:rPr>
      <w:b/>
      <w:bCs/>
    </w:rPr>
  </w:style>
  <w:style w:type="paragraph" w:styleId="29">
    <w:name w:val="Body Text First Indent"/>
    <w:basedOn w:val="11"/>
    <w:unhideWhenUsed/>
    <w:qFormat/>
    <w:uiPriority w:val="0"/>
    <w:pPr>
      <w:spacing w:afterLines="0" w:line="240" w:lineRule="auto"/>
      <w:ind w:firstLine="420" w:firstLineChars="100"/>
    </w:pPr>
    <w:rPr>
      <w:rFonts w:ascii="Times New Roman" w:hAnsi="Times New Roman"/>
      <w:color w:val="auto"/>
      <w:sz w:val="18"/>
      <w:szCs w:val="18"/>
    </w:rPr>
  </w:style>
  <w:style w:type="paragraph" w:styleId="30">
    <w:name w:val="Body Text First Indent 2"/>
    <w:basedOn w:val="12"/>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qFormat/>
    <w:uiPriority w:val="0"/>
    <w:rPr>
      <w:rFonts w:ascii="Times New Roman" w:hAnsi="Times New Roman" w:eastAsia="宋体" w:cs="Times New Roman"/>
    </w:rPr>
  </w:style>
  <w:style w:type="character" w:styleId="36">
    <w:name w:val="FollowedHyperlink"/>
    <w:basedOn w:val="33"/>
    <w:unhideWhenUsed/>
    <w:qFormat/>
    <w:uiPriority w:val="99"/>
    <w:rPr>
      <w:rFonts w:hint="eastAsia" w:ascii="宋体" w:hAnsi="宋体" w:eastAsia="宋体" w:cs="宋体"/>
      <w:color w:val="000000"/>
      <w:sz w:val="18"/>
      <w:szCs w:val="18"/>
      <w:u w:val="none"/>
    </w:rPr>
  </w:style>
  <w:style w:type="character" w:styleId="37">
    <w:name w:val="Emphasis"/>
    <w:basedOn w:val="33"/>
    <w:qFormat/>
    <w:uiPriority w:val="20"/>
    <w:rPr>
      <w:b/>
    </w:rPr>
  </w:style>
  <w:style w:type="character" w:styleId="38">
    <w:name w:val="HTML Definition"/>
    <w:basedOn w:val="33"/>
    <w:unhideWhenUsed/>
    <w:qFormat/>
    <w:uiPriority w:val="99"/>
  </w:style>
  <w:style w:type="character" w:styleId="39">
    <w:name w:val="HTML Typewriter"/>
    <w:basedOn w:val="33"/>
    <w:unhideWhenUsed/>
    <w:qFormat/>
    <w:uiPriority w:val="99"/>
    <w:rPr>
      <w:rFonts w:hint="default" w:ascii="monospace" w:hAnsi="monospace" w:eastAsia="monospace" w:cs="monospace"/>
      <w:sz w:val="20"/>
    </w:rPr>
  </w:style>
  <w:style w:type="character" w:styleId="40">
    <w:name w:val="HTML Acronym"/>
    <w:basedOn w:val="33"/>
    <w:unhideWhenUsed/>
    <w:qFormat/>
    <w:uiPriority w:val="99"/>
  </w:style>
  <w:style w:type="character" w:styleId="41">
    <w:name w:val="HTML Variable"/>
    <w:basedOn w:val="33"/>
    <w:unhideWhenUsed/>
    <w:qFormat/>
    <w:uiPriority w:val="99"/>
  </w:style>
  <w:style w:type="character" w:styleId="42">
    <w:name w:val="Hyperlink"/>
    <w:qFormat/>
    <w:uiPriority w:val="99"/>
    <w:rPr>
      <w:color w:val="000000"/>
      <w:sz w:val="18"/>
      <w:szCs w:val="18"/>
      <w:u w:val="none"/>
    </w:rPr>
  </w:style>
  <w:style w:type="character" w:styleId="43">
    <w:name w:val="HTML Code"/>
    <w:basedOn w:val="33"/>
    <w:unhideWhenUsed/>
    <w:qFormat/>
    <w:uiPriority w:val="99"/>
    <w:rPr>
      <w:rFonts w:ascii="monospace" w:hAnsi="monospace" w:eastAsia="monospace" w:cs="monospace"/>
      <w:sz w:val="20"/>
    </w:rPr>
  </w:style>
  <w:style w:type="character" w:styleId="44">
    <w:name w:val="annotation reference"/>
    <w:basedOn w:val="33"/>
    <w:unhideWhenUsed/>
    <w:qFormat/>
    <w:uiPriority w:val="99"/>
    <w:rPr>
      <w:sz w:val="21"/>
      <w:szCs w:val="21"/>
    </w:rPr>
  </w:style>
  <w:style w:type="character" w:styleId="45">
    <w:name w:val="HTML Cite"/>
    <w:basedOn w:val="33"/>
    <w:unhideWhenUsed/>
    <w:qFormat/>
    <w:uiPriority w:val="99"/>
  </w:style>
  <w:style w:type="character" w:styleId="46">
    <w:name w:val="HTML Keyboard"/>
    <w:basedOn w:val="33"/>
    <w:unhideWhenUsed/>
    <w:qFormat/>
    <w:uiPriority w:val="99"/>
    <w:rPr>
      <w:rFonts w:hint="default" w:ascii="monospace" w:hAnsi="monospace" w:eastAsia="monospace" w:cs="monospace"/>
      <w:sz w:val="20"/>
    </w:rPr>
  </w:style>
  <w:style w:type="character" w:styleId="47">
    <w:name w:val="HTML Sample"/>
    <w:basedOn w:val="33"/>
    <w:unhideWhenUsed/>
    <w:qFormat/>
    <w:uiPriority w:val="99"/>
    <w:rPr>
      <w:rFonts w:hint="default" w:ascii="monospace" w:hAnsi="monospace" w:eastAsia="monospace" w:cs="monospace"/>
    </w:rPr>
  </w:style>
  <w:style w:type="character" w:customStyle="1" w:styleId="48">
    <w:name w:val="正文文本 Char"/>
    <w:basedOn w:val="33"/>
    <w:link w:val="11"/>
    <w:qFormat/>
    <w:uiPriority w:val="0"/>
    <w:rPr>
      <w:rFonts w:ascii="宋体" w:hAnsi="宋体" w:eastAsia="华文仿宋" w:cs="Calibri Light"/>
      <w:color w:val="000000"/>
      <w:kern w:val="2"/>
      <w:sz w:val="24"/>
      <w:szCs w:val="28"/>
    </w:rPr>
  </w:style>
  <w:style w:type="character" w:customStyle="1" w:styleId="49">
    <w:name w:val="标题 1 Char"/>
    <w:basedOn w:val="33"/>
    <w:link w:val="2"/>
    <w:qFormat/>
    <w:uiPriority w:val="9"/>
    <w:rPr>
      <w:rFonts w:eastAsia="仿宋" w:cs="Calibri Light"/>
      <w:b/>
      <w:color w:val="000000"/>
      <w:kern w:val="44"/>
      <w:sz w:val="36"/>
      <w:szCs w:val="44"/>
    </w:rPr>
  </w:style>
  <w:style w:type="character" w:customStyle="1" w:styleId="50">
    <w:name w:val="标题 2 Char"/>
    <w:basedOn w:val="33"/>
    <w:link w:val="3"/>
    <w:qFormat/>
    <w:uiPriority w:val="9"/>
    <w:rPr>
      <w:rFonts w:ascii="Calibri" w:hAnsi="Calibri" w:eastAsia="华文仿宋" w:cs="Times New Roman"/>
      <w:b/>
      <w:bCs/>
      <w:sz w:val="32"/>
      <w:szCs w:val="32"/>
    </w:rPr>
  </w:style>
  <w:style w:type="character" w:customStyle="1" w:styleId="51">
    <w:name w:val="标题 3 Char"/>
    <w:basedOn w:val="33"/>
    <w:link w:val="4"/>
    <w:qFormat/>
    <w:uiPriority w:val="9"/>
    <w:rPr>
      <w:b/>
      <w:bCs/>
      <w:sz w:val="32"/>
      <w:szCs w:val="32"/>
      <w:u w:val="double"/>
    </w:rPr>
  </w:style>
  <w:style w:type="character" w:customStyle="1" w:styleId="52">
    <w:name w:val="标题 4 Char"/>
    <w:basedOn w:val="33"/>
    <w:link w:val="5"/>
    <w:qFormat/>
    <w:uiPriority w:val="9"/>
    <w:rPr>
      <w:rFonts w:ascii="Calibri" w:hAnsi="Calibri" w:eastAsia="华文仿宋" w:cs="Times New Roman"/>
      <w:b/>
      <w:bCs/>
      <w:kern w:val="2"/>
      <w:sz w:val="28"/>
      <w:szCs w:val="28"/>
    </w:rPr>
  </w:style>
  <w:style w:type="character" w:customStyle="1" w:styleId="53">
    <w:name w:val="文档结构图 Char"/>
    <w:basedOn w:val="33"/>
    <w:link w:val="9"/>
    <w:semiHidden/>
    <w:qFormat/>
    <w:uiPriority w:val="99"/>
    <w:rPr>
      <w:rFonts w:ascii="宋体" w:eastAsia="宋体"/>
      <w:sz w:val="18"/>
      <w:szCs w:val="18"/>
    </w:rPr>
  </w:style>
  <w:style w:type="character" w:customStyle="1" w:styleId="54">
    <w:name w:val="批注文字 Char"/>
    <w:basedOn w:val="33"/>
    <w:link w:val="10"/>
    <w:qFormat/>
    <w:uiPriority w:val="99"/>
  </w:style>
  <w:style w:type="character" w:customStyle="1" w:styleId="55">
    <w:name w:val="纯文本 Char"/>
    <w:basedOn w:val="33"/>
    <w:link w:val="15"/>
    <w:qFormat/>
    <w:uiPriority w:val="0"/>
    <w:rPr>
      <w:rFonts w:ascii="宋体" w:hAnsi="Courier New" w:eastAsia="华文仿宋"/>
      <w:kern w:val="2"/>
      <w:sz w:val="28"/>
      <w:szCs w:val="21"/>
      <w:lang w:val="zh-CN" w:eastAsia="zh-CN"/>
    </w:rPr>
  </w:style>
  <w:style w:type="character" w:customStyle="1" w:styleId="56">
    <w:name w:val="日期 Char"/>
    <w:basedOn w:val="33"/>
    <w:link w:val="16"/>
    <w:semiHidden/>
    <w:qFormat/>
    <w:uiPriority w:val="99"/>
    <w:rPr>
      <w:rFonts w:ascii="Calibri Light" w:hAnsi="Calibri Light" w:eastAsia="华文仿宋"/>
      <w:sz w:val="28"/>
    </w:rPr>
  </w:style>
  <w:style w:type="character" w:customStyle="1" w:styleId="57">
    <w:name w:val="正文文本缩进 2 Char"/>
    <w:basedOn w:val="33"/>
    <w:link w:val="17"/>
    <w:semiHidden/>
    <w:qFormat/>
    <w:uiPriority w:val="99"/>
    <w:rPr>
      <w:rFonts w:ascii="Calibri Light" w:hAnsi="Calibri Light" w:eastAsia="华文仿宋" w:cs="Calibri Light"/>
      <w:kern w:val="2"/>
      <w:sz w:val="28"/>
      <w:szCs w:val="28"/>
    </w:rPr>
  </w:style>
  <w:style w:type="character" w:customStyle="1" w:styleId="58">
    <w:name w:val="批注框文本 Char"/>
    <w:basedOn w:val="33"/>
    <w:link w:val="18"/>
    <w:qFormat/>
    <w:uiPriority w:val="0"/>
    <w:rPr>
      <w:sz w:val="18"/>
      <w:szCs w:val="18"/>
    </w:rPr>
  </w:style>
  <w:style w:type="character" w:customStyle="1" w:styleId="59">
    <w:name w:val="页脚 Char"/>
    <w:link w:val="19"/>
    <w:qFormat/>
    <w:uiPriority w:val="0"/>
    <w:rPr>
      <w:sz w:val="18"/>
    </w:rPr>
  </w:style>
  <w:style w:type="character" w:customStyle="1" w:styleId="60">
    <w:name w:val="页眉 Char"/>
    <w:link w:val="20"/>
    <w:qFormat/>
    <w:uiPriority w:val="0"/>
    <w:rPr>
      <w:sz w:val="18"/>
    </w:rPr>
  </w:style>
  <w:style w:type="character" w:customStyle="1" w:styleId="61">
    <w:name w:val="副标题 Char"/>
    <w:basedOn w:val="33"/>
    <w:link w:val="22"/>
    <w:qFormat/>
    <w:uiPriority w:val="0"/>
    <w:rPr>
      <w:rFonts w:ascii="等线 Light" w:hAnsi="等线 Light"/>
      <w:b/>
      <w:bCs/>
      <w:kern w:val="28"/>
      <w:sz w:val="32"/>
      <w:szCs w:val="32"/>
      <w:lang w:val="zh-CN" w:eastAsia="zh-CN"/>
    </w:rPr>
  </w:style>
  <w:style w:type="character" w:customStyle="1" w:styleId="62">
    <w:name w:val="HTML 预设格式 Char"/>
    <w:basedOn w:val="33"/>
    <w:link w:val="25"/>
    <w:qFormat/>
    <w:uiPriority w:val="99"/>
    <w:rPr>
      <w:rFonts w:ascii="Arial" w:hAnsi="Arial" w:eastAsia="华文仿宋" w:cs="Arial"/>
      <w:sz w:val="24"/>
      <w:szCs w:val="28"/>
    </w:rPr>
  </w:style>
  <w:style w:type="character" w:customStyle="1" w:styleId="63">
    <w:name w:val="标题 Char"/>
    <w:basedOn w:val="33"/>
    <w:link w:val="27"/>
    <w:qFormat/>
    <w:uiPriority w:val="0"/>
    <w:rPr>
      <w:rFonts w:ascii="Cambria" w:hAnsi="Cambria"/>
      <w:b/>
      <w:bCs/>
      <w:kern w:val="2"/>
      <w:position w:val="-6"/>
      <w:sz w:val="32"/>
      <w:szCs w:val="32"/>
    </w:rPr>
  </w:style>
  <w:style w:type="character" w:customStyle="1" w:styleId="64">
    <w:name w:val="批注主题 Char"/>
    <w:basedOn w:val="54"/>
    <w:link w:val="28"/>
    <w:semiHidden/>
    <w:qFormat/>
    <w:uiPriority w:val="99"/>
    <w:rPr>
      <w:b/>
      <w:bCs/>
    </w:rPr>
  </w:style>
  <w:style w:type="paragraph" w:customStyle="1" w:styleId="6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66">
    <w:name w:val="input1"/>
    <w:basedOn w:val="33"/>
    <w:qFormat/>
    <w:uiPriority w:val="0"/>
    <w:rPr>
      <w:color w:val="000000"/>
      <w:sz w:val="21"/>
      <w:szCs w:val="21"/>
      <w:bdr w:val="single" w:color="000000" w:sz="2" w:space="0"/>
      <w:shd w:val="clear" w:color="auto" w:fill="F7F2B0"/>
    </w:rPr>
  </w:style>
  <w:style w:type="character" w:customStyle="1" w:styleId="67">
    <w:name w:val="button"/>
    <w:basedOn w:val="33"/>
    <w:qFormat/>
    <w:uiPriority w:val="0"/>
  </w:style>
  <w:style w:type="character" w:customStyle="1" w:styleId="68">
    <w:name w:val="hour_am"/>
    <w:basedOn w:val="33"/>
    <w:qFormat/>
    <w:uiPriority w:val="0"/>
  </w:style>
  <w:style w:type="character" w:customStyle="1" w:styleId="69">
    <w:name w:val="gjfg"/>
    <w:basedOn w:val="33"/>
    <w:qFormat/>
    <w:uiPriority w:val="0"/>
  </w:style>
  <w:style w:type="character" w:customStyle="1" w:styleId="70">
    <w:name w:val="redfilefwwh"/>
    <w:basedOn w:val="33"/>
    <w:qFormat/>
    <w:uiPriority w:val="0"/>
    <w:rPr>
      <w:color w:val="BA2636"/>
      <w:sz w:val="18"/>
      <w:szCs w:val="18"/>
    </w:rPr>
  </w:style>
  <w:style w:type="character" w:customStyle="1" w:styleId="71">
    <w:name w:val="占位符文本1"/>
    <w:basedOn w:val="33"/>
    <w:semiHidden/>
    <w:qFormat/>
    <w:uiPriority w:val="99"/>
    <w:rPr>
      <w:color w:val="808080"/>
    </w:rPr>
  </w:style>
  <w:style w:type="character" w:customStyle="1" w:styleId="72">
    <w:name w:val="redfilenumber"/>
    <w:basedOn w:val="33"/>
    <w:qFormat/>
    <w:uiPriority w:val="0"/>
    <w:rPr>
      <w:color w:val="BA2636"/>
      <w:sz w:val="18"/>
      <w:szCs w:val="18"/>
    </w:rPr>
  </w:style>
  <w:style w:type="character" w:customStyle="1" w:styleId="73">
    <w:name w:val="页眉 Char1"/>
    <w:basedOn w:val="33"/>
    <w:semiHidden/>
    <w:qFormat/>
    <w:uiPriority w:val="99"/>
    <w:rPr>
      <w:sz w:val="18"/>
      <w:szCs w:val="18"/>
    </w:rPr>
  </w:style>
  <w:style w:type="character" w:customStyle="1" w:styleId="74">
    <w:name w:val="未处理的提及1"/>
    <w:basedOn w:val="33"/>
    <w:unhideWhenUsed/>
    <w:qFormat/>
    <w:uiPriority w:val="99"/>
    <w:rPr>
      <w:color w:val="605E5C"/>
      <w:shd w:val="clear" w:color="auto" w:fill="E1DFDD"/>
    </w:rPr>
  </w:style>
  <w:style w:type="character" w:customStyle="1" w:styleId="75">
    <w:name w:val="font101"/>
    <w:qFormat/>
    <w:uiPriority w:val="0"/>
    <w:rPr>
      <w:rFonts w:hint="eastAsia" w:ascii="仿宋_GB2312" w:eastAsia="仿宋_GB2312"/>
      <w:color w:val="000000"/>
      <w:sz w:val="28"/>
      <w:u w:val="single"/>
    </w:rPr>
  </w:style>
  <w:style w:type="character" w:customStyle="1" w:styleId="76">
    <w:name w:val="hour_pm"/>
    <w:basedOn w:val="33"/>
    <w:qFormat/>
    <w:uiPriority w:val="0"/>
  </w:style>
  <w:style w:type="character" w:customStyle="1" w:styleId="77">
    <w:name w:val="cfdate"/>
    <w:basedOn w:val="33"/>
    <w:qFormat/>
    <w:uiPriority w:val="0"/>
    <w:rPr>
      <w:color w:val="333333"/>
      <w:sz w:val="18"/>
      <w:szCs w:val="18"/>
    </w:rPr>
  </w:style>
  <w:style w:type="character" w:customStyle="1" w:styleId="78">
    <w:name w:val="old"/>
    <w:basedOn w:val="33"/>
    <w:qFormat/>
    <w:uiPriority w:val="0"/>
    <w:rPr>
      <w:color w:val="999999"/>
    </w:rPr>
  </w:style>
  <w:style w:type="character" w:customStyle="1" w:styleId="79">
    <w:name w:val="tmpztreemove_arrow"/>
    <w:basedOn w:val="33"/>
    <w:qFormat/>
    <w:uiPriority w:val="0"/>
    <w:rPr>
      <w:shd w:val="clear" w:color="auto" w:fill="FFFFFF"/>
    </w:rPr>
  </w:style>
  <w:style w:type="character" w:customStyle="1" w:styleId="80">
    <w:name w:val="displayarti"/>
    <w:basedOn w:val="33"/>
    <w:qFormat/>
    <w:uiPriority w:val="0"/>
    <w:rPr>
      <w:color w:val="FFFFFF"/>
      <w:shd w:val="clear" w:color="auto" w:fill="A00000"/>
    </w:rPr>
  </w:style>
  <w:style w:type="character" w:customStyle="1" w:styleId="81">
    <w:name w:val="页脚 Char1"/>
    <w:basedOn w:val="33"/>
    <w:semiHidden/>
    <w:qFormat/>
    <w:uiPriority w:val="99"/>
    <w:rPr>
      <w:sz w:val="18"/>
      <w:szCs w:val="18"/>
    </w:rPr>
  </w:style>
  <w:style w:type="character" w:customStyle="1" w:styleId="82">
    <w:name w:val="glyphicon"/>
    <w:basedOn w:val="33"/>
    <w:qFormat/>
    <w:uiPriority w:val="0"/>
  </w:style>
  <w:style w:type="character" w:customStyle="1" w:styleId="83">
    <w:name w:val="hover"/>
    <w:basedOn w:val="33"/>
    <w:qFormat/>
    <w:uiPriority w:val="0"/>
    <w:rPr>
      <w:shd w:val="clear" w:color="auto" w:fill="EEEEEE"/>
    </w:rPr>
  </w:style>
  <w:style w:type="character" w:customStyle="1" w:styleId="84">
    <w:name w:val="qxdate"/>
    <w:basedOn w:val="33"/>
    <w:qFormat/>
    <w:uiPriority w:val="0"/>
    <w:rPr>
      <w:color w:val="333333"/>
      <w:sz w:val="18"/>
      <w:szCs w:val="18"/>
    </w:rPr>
  </w:style>
  <w:style w:type="paragraph" w:customStyle="1" w:styleId="85">
    <w:name w:val="正文（缩进 4 字符）"/>
    <w:basedOn w:val="1"/>
    <w:qFormat/>
    <w:uiPriority w:val="0"/>
    <w:pPr>
      <w:ind w:firstLine="1134" w:firstLineChars="400"/>
    </w:pPr>
  </w:style>
  <w:style w:type="paragraph" w:customStyle="1" w:styleId="86">
    <w:name w:val="正文（缩进 2 字符）"/>
    <w:basedOn w:val="1"/>
    <w:qFormat/>
    <w:uiPriority w:val="0"/>
    <w:pPr>
      <w:ind w:firstLine="200" w:firstLineChars="200"/>
    </w:pPr>
  </w:style>
  <w:style w:type="paragraph" w:customStyle="1" w:styleId="87">
    <w:name w:val="列出段落3"/>
    <w:basedOn w:val="1"/>
    <w:qFormat/>
    <w:uiPriority w:val="0"/>
    <w:pPr>
      <w:ind w:firstLine="420" w:firstLineChars="200"/>
    </w:pPr>
    <w:rPr>
      <w:rFonts w:cs="Times New Roman"/>
    </w:rPr>
  </w:style>
  <w:style w:type="paragraph" w:customStyle="1" w:styleId="88">
    <w:name w:val="标题 3（投标文件）"/>
    <w:basedOn w:val="4"/>
    <w:qFormat/>
    <w:uiPriority w:val="0"/>
    <w:pPr>
      <w:jc w:val="left"/>
    </w:pPr>
    <w:rPr>
      <w:u w:val="none"/>
    </w:rPr>
  </w:style>
  <w:style w:type="paragraph" w:styleId="89">
    <w:name w:val="List Paragraph"/>
    <w:basedOn w:val="1"/>
    <w:qFormat/>
    <w:uiPriority w:val="99"/>
    <w:pPr>
      <w:ind w:firstLine="420" w:firstLineChars="200"/>
    </w:pPr>
  </w:style>
  <w:style w:type="paragraph" w:customStyle="1" w:styleId="90">
    <w:name w:val="样式2"/>
    <w:basedOn w:val="1"/>
    <w:qFormat/>
    <w:uiPriority w:val="0"/>
    <w:pPr>
      <w:spacing w:line="480" w:lineRule="exact"/>
    </w:pPr>
  </w:style>
  <w:style w:type="paragraph" w:customStyle="1" w:styleId="91">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2">
    <w:name w:val="标题 2（投标文件）"/>
    <w:basedOn w:val="3"/>
    <w:qFormat/>
    <w:uiPriority w:val="0"/>
    <w:pPr>
      <w:jc w:val="center"/>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msolistparagraph"/>
    <w:basedOn w:val="1"/>
    <w:qFormat/>
    <w:uiPriority w:val="0"/>
    <w:pPr>
      <w:ind w:firstLine="420" w:firstLineChars="200"/>
    </w:pPr>
    <w:rPr>
      <w:rFonts w:cs="Times New Roman"/>
    </w:rPr>
  </w:style>
  <w:style w:type="paragraph" w:customStyle="1" w:styleId="95">
    <w:name w:val="样式1"/>
    <w:basedOn w:val="1"/>
    <w:qFormat/>
    <w:uiPriority w:val="0"/>
    <w:pPr>
      <w:spacing w:line="240" w:lineRule="atLeast"/>
    </w:pPr>
  </w:style>
  <w:style w:type="paragraph" w:customStyle="1" w:styleId="96">
    <w:name w:val="列出段落2"/>
    <w:basedOn w:val="1"/>
    <w:qFormat/>
    <w:uiPriority w:val="0"/>
    <w:pPr>
      <w:ind w:firstLine="420" w:firstLineChars="200"/>
    </w:pPr>
    <w:rPr>
      <w:rFonts w:ascii="等线" w:hAnsi="等线" w:eastAsia="等线"/>
      <w:szCs w:val="22"/>
    </w:rPr>
  </w:style>
  <w:style w:type="character" w:customStyle="1" w:styleId="97">
    <w:name w:val="正文缩进 字符"/>
    <w:qFormat/>
    <w:uiPriority w:val="0"/>
    <w:rPr>
      <w:rFonts w:ascii="Times New Roman" w:hAnsi="Times New Roman"/>
      <w:kern w:val="2"/>
      <w:sz w:val="21"/>
      <w:szCs w:val="24"/>
    </w:rPr>
  </w:style>
  <w:style w:type="character" w:customStyle="1" w:styleId="98">
    <w:name w:val="font41"/>
    <w:basedOn w:val="33"/>
    <w:qFormat/>
    <w:uiPriority w:val="0"/>
    <w:rPr>
      <w:rFonts w:hint="eastAsia" w:ascii="宋体" w:hAnsi="宋体" w:eastAsia="宋体" w:cs="宋体"/>
      <w:b/>
      <w:bCs/>
      <w:color w:val="000000"/>
      <w:sz w:val="28"/>
      <w:szCs w:val="28"/>
      <w:u w:val="none"/>
    </w:rPr>
  </w:style>
  <w:style w:type="character" w:customStyle="1" w:styleId="99">
    <w:name w:val="font81"/>
    <w:basedOn w:val="33"/>
    <w:qFormat/>
    <w:uiPriority w:val="0"/>
    <w:rPr>
      <w:rFonts w:hint="eastAsia" w:ascii="微软雅黑" w:hAnsi="微软雅黑" w:eastAsia="微软雅黑" w:cs="微软雅黑"/>
      <w:b/>
      <w:bCs/>
      <w:color w:val="000000"/>
      <w:sz w:val="22"/>
      <w:szCs w:val="22"/>
      <w:u w:val="none"/>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Table Paragraph"/>
    <w:basedOn w:val="1"/>
    <w:qFormat/>
    <w:uiPriority w:val="0"/>
    <w:rPr>
      <w:rFonts w:ascii="仿宋" w:hAnsi="仿宋" w:eastAsia="仿宋" w:cs="仿宋"/>
      <w:lang w:val="zh-CN" w:bidi="zh-CN"/>
    </w:rPr>
  </w:style>
  <w:style w:type="paragraph" w:customStyle="1" w:styleId="102">
    <w:name w:val="RFI Heading 2nd Level Char"/>
    <w:next w:val="103"/>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103">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customStyle="1" w:styleId="104">
    <w:name w:val="Table Text"/>
    <w:basedOn w:val="1"/>
    <w:semiHidden/>
    <w:qFormat/>
    <w:uiPriority w:val="0"/>
    <w:rPr>
      <w:rFonts w:ascii="仿宋" w:hAnsi="仿宋" w:eastAsia="仿宋" w:cs="仿宋"/>
      <w:sz w:val="24"/>
      <w:szCs w:val="24"/>
      <w:lang w:eastAsia="en-US"/>
    </w:rPr>
  </w:style>
  <w:style w:type="paragraph" w:customStyle="1" w:styleId="105">
    <w:name w:val="正文缩进1"/>
    <w:basedOn w:val="106"/>
    <w:qFormat/>
    <w:uiPriority w:val="0"/>
    <w:pPr>
      <w:widowControl w:val="0"/>
      <w:spacing w:line="520" w:lineRule="exact"/>
      <w:ind w:firstLine="420" w:firstLineChars="200"/>
    </w:pPr>
    <w:rPr>
      <w:szCs w:val="22"/>
    </w:rPr>
  </w:style>
  <w:style w:type="paragraph" w:customStyle="1" w:styleId="106">
    <w:name w:val="msonormal"/>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07">
    <w:name w:val="font11"/>
    <w:basedOn w:val="33"/>
    <w:qFormat/>
    <w:uiPriority w:val="0"/>
    <w:rPr>
      <w:rFonts w:hint="eastAsia" w:ascii="仿宋" w:hAnsi="仿宋" w:eastAsia="仿宋" w:cs="仿宋"/>
      <w:color w:val="000000"/>
      <w:sz w:val="24"/>
      <w:szCs w:val="24"/>
      <w:u w:val="none"/>
    </w:rPr>
  </w:style>
  <w:style w:type="character" w:customStyle="1" w:styleId="108">
    <w:name w:val="font21"/>
    <w:basedOn w:val="33"/>
    <w:qFormat/>
    <w:uiPriority w:val="0"/>
    <w:rPr>
      <w:rFonts w:hint="eastAsia" w:ascii="仿宋" w:hAnsi="仿宋" w:eastAsia="仿宋" w:cs="仿宋"/>
      <w:b/>
      <w:bCs/>
      <w:color w:val="000000"/>
      <w:sz w:val="24"/>
      <w:szCs w:val="24"/>
      <w:u w:val="none"/>
    </w:rPr>
  </w:style>
  <w:style w:type="character" w:customStyle="1" w:styleId="109">
    <w:name w:val="font31"/>
    <w:basedOn w:val="33"/>
    <w:qFormat/>
    <w:uiPriority w:val="0"/>
    <w:rPr>
      <w:rFonts w:hint="eastAsia" w:ascii="仿宋" w:hAnsi="仿宋" w:eastAsia="仿宋" w:cs="仿宋"/>
      <w:color w:val="000000"/>
      <w:sz w:val="24"/>
      <w:szCs w:val="24"/>
      <w:u w:val="none"/>
    </w:rPr>
  </w:style>
  <w:style w:type="paragraph" w:styleId="110">
    <w:name w:val="No Spacing"/>
    <w:qFormat/>
    <w:uiPriority w:val="1"/>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table" w:customStyle="1" w:styleId="111">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109</Pages>
  <Words>28014</Words>
  <Characters>30179</Characters>
  <Lines>213</Lines>
  <Paragraphs>59</Paragraphs>
  <TotalTime>26</TotalTime>
  <ScaleCrop>false</ScaleCrop>
  <LinksUpToDate>false</LinksUpToDate>
  <CharactersWithSpaces>30546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2024-04-02T02:15:00Z</dcterms:created>
  <dc:creator>商振华</dc:creator>
  <cp:lastModifiedBy>lenovo</cp:lastModifiedBy>
  <cp:lastPrinted>2026-01-19T06:21:00Z</cp:lastPrinted>
  <dcterms:modified xsi:type="dcterms:W3CDTF">2026-03-31T01:23:45Z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475BF9C757C64DCB9486D3DE8B400A48_13</vt:lpwstr>
  </property>
  <property fmtid="{D5CDD505-2E9C-101B-9397-08002B2CF9AE}" pid="4" name="commondata">
    <vt:lpwstr>eyJoZGlkIjoiZmMwMmE0MTIyNjIzOTZkNTFiNzQyMTAyN2FlMzYwNTkifQ==</vt:lpwstr>
  </property>
  <property fmtid="{D5CDD505-2E9C-101B-9397-08002B2CF9AE}" pid="5" name="KSOTemplateDocerSaveRecord">
    <vt:lpwstr>eyJoZGlkIjoiZjY4Njg5MWJmMzRlNDU0OTJhNzE3Nzg3YzBiNDRjNjciLCJ1c2VySWQiOiI0MjM3ODYyMTcifQ==</vt:lpwstr>
  </property>
</Properties>
</file>