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6E8E7">
      <w:pPr>
        <w:rPr>
          <w:rFonts w:hAnsi="宋体" w:cs="宋体"/>
          <w:b/>
          <w:sz w:val="36"/>
          <w:highlight w:val="none"/>
        </w:rPr>
      </w:pPr>
      <w:r>
        <w:rPr>
          <w:rFonts w:hint="eastAsia" w:hAnsi="宋体" w:cs="宋体"/>
          <w:b/>
          <w:bCs/>
          <w:sz w:val="24"/>
          <w:szCs w:val="24"/>
          <w:highlight w:val="none"/>
        </w:rPr>
        <w:t>项目编号：</w:t>
      </w:r>
      <w:r>
        <w:rPr>
          <w:rFonts w:hint="eastAsia" w:hAnsi="宋体" w:cs="宋体"/>
          <w:b/>
          <w:sz w:val="24"/>
          <w:szCs w:val="24"/>
          <w:highlight w:val="none"/>
          <w:lang w:eastAsia="zh-CN"/>
        </w:rPr>
        <w:t xml:space="preserve">SXZCZB2026-ZCCS-0411 </w:t>
      </w:r>
    </w:p>
    <w:p w14:paraId="64DF1CD3">
      <w:pPr>
        <w:jc w:val="both"/>
        <w:rPr>
          <w:rFonts w:hAnsi="宋体" w:cs="宋体"/>
          <w:b/>
          <w:sz w:val="56"/>
          <w:szCs w:val="56"/>
          <w:highlight w:val="none"/>
        </w:rPr>
      </w:pPr>
    </w:p>
    <w:p w14:paraId="3595C68D">
      <w:pPr>
        <w:jc w:val="center"/>
        <w:rPr>
          <w:rFonts w:hAnsi="宋体" w:cs="宋体"/>
          <w:b/>
          <w:sz w:val="56"/>
          <w:szCs w:val="56"/>
          <w:highlight w:val="none"/>
        </w:rPr>
      </w:pPr>
    </w:p>
    <w:p w14:paraId="56461938">
      <w:pPr>
        <w:spacing w:line="780" w:lineRule="auto"/>
        <w:jc w:val="center"/>
        <w:rPr>
          <w:rFonts w:hint="eastAsia" w:hAnsi="宋体" w:cs="宋体"/>
          <w:b/>
          <w:sz w:val="56"/>
          <w:szCs w:val="56"/>
          <w:highlight w:val="none"/>
        </w:rPr>
      </w:pPr>
      <w:r>
        <w:rPr>
          <w:rFonts w:hint="eastAsia" w:hAnsi="宋体" w:cs="宋体"/>
          <w:b/>
          <w:sz w:val="52"/>
          <w:szCs w:val="52"/>
          <w:highlight w:val="none"/>
          <w:lang w:eastAsia="zh-CN"/>
        </w:rPr>
        <w:t xml:space="preserve">《陕西省实施〈中华人民共和国突发事件应对法〉办法》修订项目 </w:t>
      </w:r>
    </w:p>
    <w:p w14:paraId="1F83C4B3">
      <w:pPr>
        <w:pStyle w:val="22"/>
        <w:rPr>
          <w:rFonts w:hint="eastAsia" w:hAnsi="宋体" w:cs="宋体"/>
          <w:b/>
          <w:sz w:val="56"/>
          <w:szCs w:val="56"/>
          <w:highlight w:val="none"/>
        </w:rPr>
      </w:pPr>
    </w:p>
    <w:p w14:paraId="41EE3700">
      <w:pPr>
        <w:pStyle w:val="23"/>
        <w:rPr>
          <w:rFonts w:hint="eastAsia"/>
          <w:highlight w:val="none"/>
        </w:rPr>
      </w:pPr>
    </w:p>
    <w:p w14:paraId="566B1393">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14:paraId="1310086B">
      <w:pPr>
        <w:rPr>
          <w:rFonts w:hAnsi="宋体" w:cs="宋体"/>
          <w:highlight w:val="none"/>
        </w:rPr>
      </w:pPr>
      <w:bookmarkStart w:id="0" w:name="_Toc363463325"/>
    </w:p>
    <w:p w14:paraId="14CF8130">
      <w:pPr>
        <w:rPr>
          <w:rFonts w:hAnsi="宋体" w:cs="宋体"/>
          <w:highlight w:val="none"/>
        </w:rPr>
      </w:pPr>
    </w:p>
    <w:p w14:paraId="32711FE6">
      <w:pPr>
        <w:rPr>
          <w:rFonts w:hAnsi="宋体" w:cs="宋体"/>
          <w:highlight w:val="none"/>
        </w:rPr>
      </w:pPr>
    </w:p>
    <w:bookmarkEnd w:id="0"/>
    <w:p w14:paraId="1ED53F21">
      <w:pPr>
        <w:rPr>
          <w:rFonts w:hAnsi="宋体" w:cs="宋体"/>
          <w:sz w:val="18"/>
          <w:szCs w:val="18"/>
          <w:highlight w:val="none"/>
        </w:rPr>
      </w:pPr>
    </w:p>
    <w:p w14:paraId="0D45B636">
      <w:pPr>
        <w:jc w:val="center"/>
        <w:rPr>
          <w:rFonts w:hAnsi="宋体" w:cs="宋体"/>
          <w:b/>
          <w:bCs/>
          <w:sz w:val="32"/>
          <w:szCs w:val="32"/>
          <w:highlight w:val="none"/>
        </w:rPr>
      </w:pPr>
    </w:p>
    <w:p w14:paraId="4CF41C2C">
      <w:pPr>
        <w:jc w:val="center"/>
        <w:rPr>
          <w:rFonts w:hAnsi="宋体" w:cs="宋体"/>
          <w:b/>
          <w:bCs/>
          <w:sz w:val="32"/>
          <w:szCs w:val="32"/>
          <w:highlight w:val="none"/>
        </w:rPr>
      </w:pPr>
    </w:p>
    <w:p w14:paraId="66ADDF08">
      <w:pPr>
        <w:jc w:val="both"/>
        <w:rPr>
          <w:rFonts w:hAnsi="宋体" w:cs="宋体"/>
          <w:b/>
          <w:bCs/>
          <w:sz w:val="32"/>
          <w:szCs w:val="32"/>
          <w:highlight w:val="none"/>
        </w:rPr>
      </w:pPr>
    </w:p>
    <w:p w14:paraId="738B49B9">
      <w:pPr>
        <w:pStyle w:val="10"/>
        <w:rPr>
          <w:highlight w:val="none"/>
        </w:rPr>
      </w:pPr>
    </w:p>
    <w:p w14:paraId="01071A81">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14:paraId="5263D4D0">
      <w:pPr>
        <w:pStyle w:val="11"/>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1FE39212">
      <w:pPr>
        <w:rPr>
          <w:rFonts w:hAnsi="宋体" w:cs="宋体"/>
          <w:highlight w:val="none"/>
        </w:rPr>
      </w:pPr>
    </w:p>
    <w:p w14:paraId="02B1D3AB">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14:paraId="01DE8F58">
          <w:pPr>
            <w:jc w:val="center"/>
            <w:rPr>
              <w:highlight w:val="none"/>
            </w:rPr>
          </w:pPr>
          <w:bookmarkStart w:id="1" w:name="_Toc19886"/>
          <w:bookmarkStart w:id="2" w:name="_Toc20858"/>
          <w:bookmarkStart w:id="3" w:name="_Toc21518"/>
          <w:bookmarkStart w:id="4" w:name="_Toc5293"/>
          <w:bookmarkStart w:id="5" w:name="_Toc16218"/>
          <w:bookmarkStart w:id="6" w:name="_Toc389582033"/>
          <w:bookmarkStart w:id="7" w:name="_Toc20652"/>
          <w:bookmarkStart w:id="8" w:name="_Toc27420"/>
          <w:bookmarkStart w:id="9" w:name="_Toc403077638"/>
          <w:bookmarkStart w:id="10" w:name="_Toc363473971"/>
          <w:bookmarkStart w:id="11" w:name="_Toc363474016"/>
        </w:p>
        <w:p w14:paraId="6A8CD526">
          <w:pPr>
            <w:pStyle w:val="18"/>
            <w:tabs>
              <w:tab w:val="right" w:leader="dot" w:pos="8787"/>
            </w:tabs>
            <w:spacing w:line="480" w:lineRule="auto"/>
            <w:rPr>
              <w:b/>
              <w:bCs w:val="0"/>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rFonts w:hint="eastAsia" w:hAnsi="宋体" w:cs="宋体"/>
              <w:b/>
              <w:bCs w:val="0"/>
              <w:szCs w:val="40"/>
              <w:highlight w:val="none"/>
            </w:rPr>
            <w:fldChar w:fldCharType="begin"/>
          </w:r>
          <w:r>
            <w:rPr>
              <w:rFonts w:hint="eastAsia" w:hAnsi="宋体" w:cs="宋体"/>
              <w:b/>
              <w:bCs w:val="0"/>
              <w:szCs w:val="40"/>
              <w:highlight w:val="none"/>
            </w:rPr>
            <w:instrText xml:space="preserve"> HYPERLINK \l _Toc16128 </w:instrText>
          </w:r>
          <w:r>
            <w:rPr>
              <w:rFonts w:hint="eastAsia" w:hAnsi="宋体" w:cs="宋体"/>
              <w:b/>
              <w:bCs w:val="0"/>
              <w:szCs w:val="40"/>
              <w:highlight w:val="none"/>
            </w:rPr>
            <w:fldChar w:fldCharType="separate"/>
          </w:r>
          <w:r>
            <w:rPr>
              <w:rFonts w:hint="eastAsia" w:ascii="宋体" w:eastAsia="宋体" w:cs="宋体"/>
              <w:b/>
              <w:bCs w:val="0"/>
              <w:szCs w:val="36"/>
              <w:highlight w:val="none"/>
            </w:rPr>
            <w:t>第一章  竞争性磋商公告</w:t>
          </w:r>
          <w:r>
            <w:rPr>
              <w:b/>
              <w:bCs w:val="0"/>
            </w:rPr>
            <w:tab/>
          </w:r>
          <w:r>
            <w:rPr>
              <w:b/>
              <w:bCs w:val="0"/>
            </w:rPr>
            <w:fldChar w:fldCharType="begin"/>
          </w:r>
          <w:r>
            <w:rPr>
              <w:b/>
              <w:bCs w:val="0"/>
            </w:rPr>
            <w:instrText xml:space="preserve"> PAGEREF _Toc16128 \h </w:instrText>
          </w:r>
          <w:r>
            <w:rPr>
              <w:b/>
              <w:bCs w:val="0"/>
            </w:rPr>
            <w:fldChar w:fldCharType="separate"/>
          </w:r>
          <w:r>
            <w:rPr>
              <w:b/>
              <w:bCs w:val="0"/>
            </w:rPr>
            <w:t>1</w:t>
          </w:r>
          <w:r>
            <w:rPr>
              <w:b/>
              <w:bCs w:val="0"/>
            </w:rPr>
            <w:fldChar w:fldCharType="end"/>
          </w:r>
          <w:r>
            <w:rPr>
              <w:rFonts w:hint="eastAsia" w:hAnsi="宋体" w:cs="宋体"/>
              <w:b/>
              <w:bCs w:val="0"/>
              <w:szCs w:val="40"/>
              <w:highlight w:val="none"/>
            </w:rPr>
            <w:fldChar w:fldCharType="end"/>
          </w:r>
        </w:p>
        <w:p w14:paraId="0D0BFC30">
          <w:pPr>
            <w:pStyle w:val="18"/>
            <w:tabs>
              <w:tab w:val="right" w:leader="dot" w:pos="8787"/>
            </w:tabs>
            <w:spacing w:line="480" w:lineRule="auto"/>
            <w:rPr>
              <w:b/>
              <w:bCs w:val="0"/>
            </w:rPr>
          </w:pPr>
          <w:r>
            <w:rPr>
              <w:rFonts w:hint="eastAsia" w:hAnsi="宋体" w:cs="宋体"/>
              <w:b/>
              <w:bCs w:val="0"/>
              <w:szCs w:val="40"/>
              <w:highlight w:val="none"/>
            </w:rPr>
            <w:fldChar w:fldCharType="begin"/>
          </w:r>
          <w:r>
            <w:rPr>
              <w:rFonts w:hint="eastAsia" w:hAnsi="宋体" w:cs="宋体"/>
              <w:b/>
              <w:bCs w:val="0"/>
              <w:szCs w:val="40"/>
              <w:highlight w:val="none"/>
            </w:rPr>
            <w:instrText xml:space="preserve"> HYPERLINK \l _Toc13070 </w:instrText>
          </w:r>
          <w:r>
            <w:rPr>
              <w:rFonts w:hint="eastAsia" w:hAnsi="宋体" w:cs="宋体"/>
              <w:b/>
              <w:bCs w:val="0"/>
              <w:szCs w:val="40"/>
              <w:highlight w:val="none"/>
            </w:rPr>
            <w:fldChar w:fldCharType="separate"/>
          </w:r>
          <w:r>
            <w:rPr>
              <w:rFonts w:hint="eastAsia" w:hAnsi="宋体" w:cs="宋体"/>
              <w:b/>
              <w:bCs w:val="0"/>
              <w:kern w:val="2"/>
              <w:szCs w:val="36"/>
              <w:highlight w:val="none"/>
            </w:rPr>
            <w:t>第二章  供应商须知</w:t>
          </w:r>
          <w:r>
            <w:rPr>
              <w:b/>
              <w:bCs w:val="0"/>
            </w:rPr>
            <w:tab/>
          </w:r>
          <w:r>
            <w:rPr>
              <w:b/>
              <w:bCs w:val="0"/>
            </w:rPr>
            <w:fldChar w:fldCharType="begin"/>
          </w:r>
          <w:r>
            <w:rPr>
              <w:b/>
              <w:bCs w:val="0"/>
            </w:rPr>
            <w:instrText xml:space="preserve"> PAGEREF _Toc13070 \h </w:instrText>
          </w:r>
          <w:r>
            <w:rPr>
              <w:b/>
              <w:bCs w:val="0"/>
            </w:rPr>
            <w:fldChar w:fldCharType="separate"/>
          </w:r>
          <w:r>
            <w:rPr>
              <w:b/>
              <w:bCs w:val="0"/>
            </w:rPr>
            <w:t>6</w:t>
          </w:r>
          <w:r>
            <w:rPr>
              <w:b/>
              <w:bCs w:val="0"/>
            </w:rPr>
            <w:fldChar w:fldCharType="end"/>
          </w:r>
          <w:r>
            <w:rPr>
              <w:rFonts w:hint="eastAsia" w:hAnsi="宋体" w:cs="宋体"/>
              <w:b/>
              <w:bCs w:val="0"/>
              <w:szCs w:val="40"/>
              <w:highlight w:val="none"/>
            </w:rPr>
            <w:fldChar w:fldCharType="end"/>
          </w:r>
        </w:p>
        <w:p w14:paraId="6D79C7D4">
          <w:pPr>
            <w:pStyle w:val="18"/>
            <w:tabs>
              <w:tab w:val="right" w:leader="dot" w:pos="8787"/>
            </w:tabs>
            <w:spacing w:line="480" w:lineRule="auto"/>
            <w:rPr>
              <w:b/>
              <w:bCs w:val="0"/>
            </w:rPr>
          </w:pPr>
          <w:r>
            <w:rPr>
              <w:rFonts w:hint="eastAsia" w:hAnsi="宋体" w:cs="宋体"/>
              <w:b/>
              <w:bCs w:val="0"/>
              <w:szCs w:val="40"/>
              <w:highlight w:val="none"/>
            </w:rPr>
            <w:fldChar w:fldCharType="begin"/>
          </w:r>
          <w:r>
            <w:rPr>
              <w:rFonts w:hint="eastAsia" w:hAnsi="宋体" w:cs="宋体"/>
              <w:b/>
              <w:bCs w:val="0"/>
              <w:szCs w:val="40"/>
              <w:highlight w:val="none"/>
            </w:rPr>
            <w:instrText xml:space="preserve"> HYPERLINK \l _Toc1163 </w:instrText>
          </w:r>
          <w:r>
            <w:rPr>
              <w:rFonts w:hint="eastAsia" w:hAnsi="宋体" w:cs="宋体"/>
              <w:b/>
              <w:bCs w:val="0"/>
              <w:szCs w:val="40"/>
              <w:highlight w:val="none"/>
            </w:rPr>
            <w:fldChar w:fldCharType="separate"/>
          </w:r>
          <w:r>
            <w:rPr>
              <w:rFonts w:hint="eastAsia" w:ascii="宋体" w:eastAsia="宋体" w:cs="宋体"/>
              <w:b/>
              <w:bCs w:val="0"/>
            </w:rPr>
            <w:t xml:space="preserve">第三章 </w:t>
          </w:r>
          <w:r>
            <w:rPr>
              <w:rFonts w:hint="eastAsia" w:cs="宋体"/>
              <w:b/>
              <w:bCs w:val="0"/>
              <w:lang w:val="en-US" w:eastAsia="zh-CN"/>
            </w:rPr>
            <w:t xml:space="preserve"> </w:t>
          </w:r>
          <w:r>
            <w:rPr>
              <w:rFonts w:hint="eastAsia" w:ascii="宋体" w:eastAsia="宋体" w:cs="宋体"/>
              <w:b/>
              <w:bCs w:val="0"/>
              <w:szCs w:val="36"/>
              <w:highlight w:val="none"/>
            </w:rPr>
            <w:t>评审方法</w:t>
          </w:r>
          <w:r>
            <w:rPr>
              <w:b/>
              <w:bCs w:val="0"/>
            </w:rPr>
            <w:tab/>
          </w:r>
          <w:r>
            <w:rPr>
              <w:b/>
              <w:bCs w:val="0"/>
            </w:rPr>
            <w:fldChar w:fldCharType="begin"/>
          </w:r>
          <w:r>
            <w:rPr>
              <w:b/>
              <w:bCs w:val="0"/>
            </w:rPr>
            <w:instrText xml:space="preserve"> PAGEREF _Toc1163 \h </w:instrText>
          </w:r>
          <w:r>
            <w:rPr>
              <w:b/>
              <w:bCs w:val="0"/>
            </w:rPr>
            <w:fldChar w:fldCharType="separate"/>
          </w:r>
          <w:r>
            <w:rPr>
              <w:b/>
              <w:bCs w:val="0"/>
            </w:rPr>
            <w:t>26</w:t>
          </w:r>
          <w:r>
            <w:rPr>
              <w:b/>
              <w:bCs w:val="0"/>
            </w:rPr>
            <w:fldChar w:fldCharType="end"/>
          </w:r>
          <w:r>
            <w:rPr>
              <w:rFonts w:hint="eastAsia" w:hAnsi="宋体" w:cs="宋体"/>
              <w:b/>
              <w:bCs w:val="0"/>
              <w:szCs w:val="40"/>
              <w:highlight w:val="none"/>
            </w:rPr>
            <w:fldChar w:fldCharType="end"/>
          </w:r>
        </w:p>
        <w:p w14:paraId="18615258">
          <w:pPr>
            <w:pStyle w:val="18"/>
            <w:tabs>
              <w:tab w:val="right" w:leader="dot" w:pos="8787"/>
            </w:tabs>
            <w:spacing w:line="480" w:lineRule="auto"/>
            <w:rPr>
              <w:b/>
              <w:bCs w:val="0"/>
            </w:rPr>
          </w:pPr>
          <w:r>
            <w:rPr>
              <w:rFonts w:hint="eastAsia" w:hAnsi="宋体" w:cs="宋体"/>
              <w:b/>
              <w:bCs w:val="0"/>
              <w:szCs w:val="40"/>
              <w:highlight w:val="none"/>
            </w:rPr>
            <w:fldChar w:fldCharType="begin"/>
          </w:r>
          <w:r>
            <w:rPr>
              <w:rFonts w:hint="eastAsia" w:hAnsi="宋体" w:cs="宋体"/>
              <w:b/>
              <w:bCs w:val="0"/>
              <w:szCs w:val="40"/>
              <w:highlight w:val="none"/>
            </w:rPr>
            <w:instrText xml:space="preserve"> HYPERLINK \l _Toc27969 </w:instrText>
          </w:r>
          <w:r>
            <w:rPr>
              <w:rFonts w:hint="eastAsia" w:hAnsi="宋体" w:cs="宋体"/>
              <w:b/>
              <w:bCs w:val="0"/>
              <w:szCs w:val="40"/>
              <w:highlight w:val="none"/>
            </w:rPr>
            <w:fldChar w:fldCharType="separate"/>
          </w:r>
          <w:r>
            <w:rPr>
              <w:rFonts w:hint="eastAsia" w:ascii="宋体" w:eastAsia="宋体" w:cs="宋体"/>
              <w:b/>
              <w:bCs w:val="0"/>
              <w:szCs w:val="36"/>
              <w:highlight w:val="none"/>
            </w:rPr>
            <w:t>第四章  合同条款及格式</w:t>
          </w:r>
          <w:r>
            <w:rPr>
              <w:b/>
              <w:bCs w:val="0"/>
            </w:rPr>
            <w:tab/>
          </w:r>
          <w:r>
            <w:rPr>
              <w:b/>
              <w:bCs w:val="0"/>
            </w:rPr>
            <w:fldChar w:fldCharType="begin"/>
          </w:r>
          <w:r>
            <w:rPr>
              <w:b/>
              <w:bCs w:val="0"/>
            </w:rPr>
            <w:instrText xml:space="preserve"> PAGEREF _Toc27969 \h </w:instrText>
          </w:r>
          <w:r>
            <w:rPr>
              <w:b/>
              <w:bCs w:val="0"/>
            </w:rPr>
            <w:fldChar w:fldCharType="separate"/>
          </w:r>
          <w:r>
            <w:rPr>
              <w:b/>
              <w:bCs w:val="0"/>
            </w:rPr>
            <w:t>34</w:t>
          </w:r>
          <w:r>
            <w:rPr>
              <w:b/>
              <w:bCs w:val="0"/>
            </w:rPr>
            <w:fldChar w:fldCharType="end"/>
          </w:r>
          <w:r>
            <w:rPr>
              <w:rFonts w:hint="eastAsia" w:hAnsi="宋体" w:cs="宋体"/>
              <w:b/>
              <w:bCs w:val="0"/>
              <w:szCs w:val="40"/>
              <w:highlight w:val="none"/>
            </w:rPr>
            <w:fldChar w:fldCharType="end"/>
          </w:r>
        </w:p>
        <w:p w14:paraId="721FDCB8">
          <w:pPr>
            <w:pStyle w:val="18"/>
            <w:tabs>
              <w:tab w:val="right" w:leader="dot" w:pos="8787"/>
            </w:tabs>
            <w:spacing w:line="480" w:lineRule="auto"/>
            <w:rPr>
              <w:b/>
              <w:bCs w:val="0"/>
            </w:rPr>
          </w:pPr>
          <w:r>
            <w:rPr>
              <w:rFonts w:hint="eastAsia" w:hAnsi="宋体" w:cs="宋体"/>
              <w:b/>
              <w:bCs w:val="0"/>
              <w:szCs w:val="40"/>
              <w:highlight w:val="none"/>
            </w:rPr>
            <w:fldChar w:fldCharType="begin"/>
          </w:r>
          <w:r>
            <w:rPr>
              <w:rFonts w:hint="eastAsia" w:hAnsi="宋体" w:cs="宋体"/>
              <w:b/>
              <w:bCs w:val="0"/>
              <w:szCs w:val="40"/>
              <w:highlight w:val="none"/>
            </w:rPr>
            <w:instrText xml:space="preserve"> HYPERLINK \l _Toc17242 </w:instrText>
          </w:r>
          <w:r>
            <w:rPr>
              <w:rFonts w:hint="eastAsia" w:hAnsi="宋体" w:cs="宋体"/>
              <w:b/>
              <w:bCs w:val="0"/>
              <w:szCs w:val="40"/>
              <w:highlight w:val="none"/>
            </w:rPr>
            <w:fldChar w:fldCharType="separate"/>
          </w:r>
          <w:r>
            <w:rPr>
              <w:rFonts w:hint="eastAsia" w:ascii="宋体" w:eastAsia="宋体" w:cs="宋体"/>
              <w:b/>
              <w:bCs w:val="0"/>
              <w:szCs w:val="36"/>
              <w:highlight w:val="none"/>
            </w:rPr>
            <w:t>第五章  磋商内容及技术要求</w:t>
          </w:r>
          <w:r>
            <w:rPr>
              <w:b/>
              <w:bCs w:val="0"/>
            </w:rPr>
            <w:tab/>
          </w:r>
          <w:r>
            <w:rPr>
              <w:b/>
              <w:bCs w:val="0"/>
            </w:rPr>
            <w:fldChar w:fldCharType="begin"/>
          </w:r>
          <w:r>
            <w:rPr>
              <w:b/>
              <w:bCs w:val="0"/>
            </w:rPr>
            <w:instrText xml:space="preserve"> PAGEREF _Toc17242 \h </w:instrText>
          </w:r>
          <w:r>
            <w:rPr>
              <w:b/>
              <w:bCs w:val="0"/>
            </w:rPr>
            <w:fldChar w:fldCharType="separate"/>
          </w:r>
          <w:r>
            <w:rPr>
              <w:b/>
              <w:bCs w:val="0"/>
            </w:rPr>
            <w:t>43</w:t>
          </w:r>
          <w:r>
            <w:rPr>
              <w:b/>
              <w:bCs w:val="0"/>
            </w:rPr>
            <w:fldChar w:fldCharType="end"/>
          </w:r>
          <w:r>
            <w:rPr>
              <w:rFonts w:hint="eastAsia" w:hAnsi="宋体" w:cs="宋体"/>
              <w:b/>
              <w:bCs w:val="0"/>
              <w:szCs w:val="40"/>
              <w:highlight w:val="none"/>
            </w:rPr>
            <w:fldChar w:fldCharType="end"/>
          </w:r>
        </w:p>
        <w:p w14:paraId="190B95B4">
          <w:pPr>
            <w:pStyle w:val="18"/>
            <w:tabs>
              <w:tab w:val="right" w:leader="dot" w:pos="8787"/>
            </w:tabs>
            <w:spacing w:line="480" w:lineRule="auto"/>
            <w:rPr>
              <w:b/>
              <w:bCs w:val="0"/>
            </w:rPr>
          </w:pPr>
          <w:r>
            <w:rPr>
              <w:rFonts w:hint="eastAsia" w:hAnsi="宋体" w:cs="宋体"/>
              <w:b/>
              <w:bCs w:val="0"/>
              <w:szCs w:val="40"/>
              <w:highlight w:val="none"/>
            </w:rPr>
            <w:fldChar w:fldCharType="begin"/>
          </w:r>
          <w:r>
            <w:rPr>
              <w:rFonts w:hint="eastAsia" w:hAnsi="宋体" w:cs="宋体"/>
              <w:b/>
              <w:bCs w:val="0"/>
              <w:szCs w:val="40"/>
              <w:highlight w:val="none"/>
            </w:rPr>
            <w:instrText xml:space="preserve"> HYPERLINK \l _Toc13279 </w:instrText>
          </w:r>
          <w:r>
            <w:rPr>
              <w:rFonts w:hint="eastAsia" w:hAnsi="宋体" w:cs="宋体"/>
              <w:b/>
              <w:bCs w:val="0"/>
              <w:szCs w:val="40"/>
              <w:highlight w:val="none"/>
            </w:rPr>
            <w:fldChar w:fldCharType="separate"/>
          </w:r>
          <w:r>
            <w:rPr>
              <w:rFonts w:hint="eastAsia" w:ascii="宋体" w:eastAsia="宋体" w:cs="宋体"/>
              <w:b/>
              <w:bCs w:val="0"/>
              <w:szCs w:val="21"/>
              <w:highlight w:val="none"/>
            </w:rPr>
            <w:t>第六章  竞争性磋商响应文件格式</w:t>
          </w:r>
          <w:r>
            <w:rPr>
              <w:b/>
              <w:bCs w:val="0"/>
            </w:rPr>
            <w:tab/>
          </w:r>
          <w:r>
            <w:rPr>
              <w:b/>
              <w:bCs w:val="0"/>
            </w:rPr>
            <w:fldChar w:fldCharType="begin"/>
          </w:r>
          <w:r>
            <w:rPr>
              <w:b/>
              <w:bCs w:val="0"/>
            </w:rPr>
            <w:instrText xml:space="preserve"> PAGEREF _Toc13279 \h </w:instrText>
          </w:r>
          <w:r>
            <w:rPr>
              <w:b/>
              <w:bCs w:val="0"/>
            </w:rPr>
            <w:fldChar w:fldCharType="separate"/>
          </w:r>
          <w:r>
            <w:rPr>
              <w:b/>
              <w:bCs w:val="0"/>
            </w:rPr>
            <w:t>45</w:t>
          </w:r>
          <w:r>
            <w:rPr>
              <w:b/>
              <w:bCs w:val="0"/>
            </w:rPr>
            <w:fldChar w:fldCharType="end"/>
          </w:r>
          <w:r>
            <w:rPr>
              <w:rFonts w:hint="eastAsia" w:hAnsi="宋体" w:cs="宋体"/>
              <w:b/>
              <w:bCs w:val="0"/>
              <w:szCs w:val="40"/>
              <w:highlight w:val="none"/>
            </w:rPr>
            <w:fldChar w:fldCharType="end"/>
          </w:r>
        </w:p>
        <w:p w14:paraId="28B917F5">
          <w:pPr>
            <w:pStyle w:val="14"/>
            <w:tabs>
              <w:tab w:val="right" w:leader="dot" w:pos="8787"/>
            </w:tabs>
          </w:pPr>
        </w:p>
        <w:p w14:paraId="046C3339">
          <w:pPr>
            <w:pStyle w:val="18"/>
            <w:tabs>
              <w:tab w:val="right" w:leader="dot" w:pos="8302"/>
            </w:tabs>
            <w:spacing w:line="360" w:lineRule="auto"/>
            <w:rPr>
              <w:rFonts w:hAnsi="宋体" w:cs="宋体"/>
              <w:bCs/>
              <w:sz w:val="36"/>
              <w:szCs w:val="36"/>
              <w:highlight w:val="none"/>
            </w:rPr>
          </w:pPr>
          <w:r>
            <w:rPr>
              <w:rFonts w:hint="eastAsia" w:hAnsi="宋体" w:cs="宋体"/>
              <w:bCs/>
              <w:szCs w:val="40"/>
              <w:highlight w:val="none"/>
            </w:rPr>
            <w:fldChar w:fldCharType="end"/>
          </w:r>
        </w:p>
      </w:sdtContent>
    </w:sdt>
    <w:p w14:paraId="432B961B">
      <w:pPr>
        <w:pStyle w:val="2"/>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25567CDE">
      <w:pPr>
        <w:pStyle w:val="2"/>
        <w:keepNext w:val="0"/>
        <w:keepLines/>
        <w:pageBreakBefore/>
        <w:kinsoku/>
        <w:overflowPunct/>
        <w:topLinePunct w:val="0"/>
        <w:bidi w:val="0"/>
        <w:spacing w:line="360" w:lineRule="auto"/>
        <w:ind w:left="0" w:leftChars="0" w:right="0"/>
        <w:jc w:val="center"/>
        <w:rPr>
          <w:rFonts w:ascii="宋体" w:eastAsia="宋体" w:cs="宋体"/>
          <w:bCs/>
          <w:sz w:val="36"/>
          <w:szCs w:val="36"/>
          <w:highlight w:val="none"/>
        </w:rPr>
      </w:pPr>
      <w:bookmarkStart w:id="12" w:name="_Toc16128"/>
      <w:bookmarkStart w:id="13" w:name="_Toc25782"/>
      <w:bookmarkStart w:id="14" w:name="_Toc423973071"/>
      <w:bookmarkStart w:id="15" w:name="_Toc2705"/>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bookmarkEnd w:id="15"/>
    </w:p>
    <w:p w14:paraId="1EA44D2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bookmarkStart w:id="16" w:name="_Toc2929"/>
      <w:bookmarkStart w:id="17" w:name="_Toc389582035"/>
      <w:bookmarkStart w:id="18" w:name="_Toc29249"/>
      <w:bookmarkStart w:id="19" w:name="_Toc3334"/>
      <w:bookmarkStart w:id="20" w:name="_Toc14793"/>
      <w:bookmarkStart w:id="21" w:name="_Toc423973072"/>
      <w:r>
        <w:rPr>
          <w:rFonts w:hint="eastAsia" w:ascii="宋体" w:hAnsi="宋体" w:eastAsia="宋体" w:cs="宋体"/>
          <w:b/>
          <w:bCs/>
          <w:sz w:val="24"/>
          <w:szCs w:val="24"/>
        </w:rPr>
        <w:t>项目概况</w:t>
      </w:r>
    </w:p>
    <w:p w14:paraId="1BA8B4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《陕西省实施〈中华人民共和国突发事件应对法〉办法》修订项目采购项目的潜在供应商应在陕西省西</w:t>
      </w:r>
      <w:r>
        <w:rPr>
          <w:rFonts w:hint="eastAsia" w:ascii="宋体" w:hAnsi="宋体" w:eastAsia="宋体" w:cs="宋体"/>
          <w:sz w:val="24"/>
          <w:szCs w:val="24"/>
          <w:highlight w:val="none"/>
        </w:rPr>
        <w:t>安市经济技术开发区未央路171-1号银池道拉斯财富中心21楼获取采购文件，并于2026年04月20日 09时30分（北京时间）前提交响应文件。</w:t>
      </w:r>
    </w:p>
    <w:p w14:paraId="14B339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447BB8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项目编号：SXZCZB2026-ZCCS-0411</w:t>
      </w:r>
    </w:p>
    <w:p w14:paraId="2200E2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highlight w:val="none"/>
        </w:rPr>
        <w:t>项目名称：《陕西省实施〈中华人民共</w:t>
      </w:r>
      <w:r>
        <w:rPr>
          <w:rFonts w:hint="eastAsia" w:ascii="宋体" w:hAnsi="宋体" w:eastAsia="宋体" w:cs="宋体"/>
          <w:sz w:val="24"/>
          <w:szCs w:val="24"/>
        </w:rPr>
        <w:t>和国突发事件应对法〉办法》修订项目</w:t>
      </w:r>
    </w:p>
    <w:p w14:paraId="39193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采购方式：竞争性磋商</w:t>
      </w:r>
    </w:p>
    <w:p w14:paraId="7EFF4A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预算金额：280,000.00元</w:t>
      </w:r>
    </w:p>
    <w:p w14:paraId="003919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723298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合同包1(《陕西省实施〈中华人民共和国突发事件应对法〉办法》修订项目):</w:t>
      </w:r>
    </w:p>
    <w:p w14:paraId="6A6295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合同包预算金额：280,000.00元</w:t>
      </w:r>
    </w:p>
    <w:p w14:paraId="35BDCE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合同包最高限价：280,000.00元</w:t>
      </w:r>
    </w:p>
    <w:tbl>
      <w:tblPr>
        <w:tblStyle w:val="24"/>
        <w:tblW w:w="9320" w:type="dxa"/>
        <w:tblInd w:w="10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27"/>
        <w:gridCol w:w="1212"/>
        <w:gridCol w:w="3485"/>
        <w:gridCol w:w="1121"/>
        <w:gridCol w:w="1632"/>
        <w:gridCol w:w="843"/>
      </w:tblGrid>
      <w:tr w14:paraId="44F1C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9" w:hRule="atLeast"/>
          <w:tblHeader/>
        </w:trPr>
        <w:tc>
          <w:tcPr>
            <w:tcW w:w="102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DE4D7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品目号</w:t>
            </w:r>
          </w:p>
        </w:tc>
        <w:tc>
          <w:tcPr>
            <w:tcW w:w="12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0406C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品目名称</w:t>
            </w:r>
          </w:p>
        </w:tc>
        <w:tc>
          <w:tcPr>
            <w:tcW w:w="348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A1C74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采购标的</w:t>
            </w:r>
          </w:p>
        </w:tc>
        <w:tc>
          <w:tcPr>
            <w:tcW w:w="112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5E59F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数量（单位）</w:t>
            </w:r>
          </w:p>
        </w:tc>
        <w:tc>
          <w:tcPr>
            <w:tcW w:w="1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3A5F2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技术规格、参数及要求</w:t>
            </w:r>
          </w:p>
        </w:tc>
        <w:tc>
          <w:tcPr>
            <w:tcW w:w="84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1096E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品目预算(元)</w:t>
            </w:r>
          </w:p>
        </w:tc>
      </w:tr>
      <w:tr w14:paraId="0FC9D2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9" w:hRule="atLeast"/>
        </w:trPr>
        <w:tc>
          <w:tcPr>
            <w:tcW w:w="102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1764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p>
        </w:tc>
        <w:tc>
          <w:tcPr>
            <w:tcW w:w="121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EE8F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其他服务</w:t>
            </w:r>
          </w:p>
        </w:tc>
        <w:tc>
          <w:tcPr>
            <w:tcW w:w="348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D36C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陕西省实施中华人民共和国突发事件应对法办法修订起草</w:t>
            </w:r>
          </w:p>
        </w:tc>
        <w:tc>
          <w:tcPr>
            <w:tcW w:w="112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9C285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1(项)</w:t>
            </w:r>
          </w:p>
        </w:tc>
        <w:tc>
          <w:tcPr>
            <w:tcW w:w="163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89DCB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详见采购文件</w:t>
            </w:r>
          </w:p>
        </w:tc>
        <w:tc>
          <w:tcPr>
            <w:tcW w:w="84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56AD9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280,000.00</w:t>
            </w:r>
          </w:p>
        </w:tc>
      </w:tr>
    </w:tbl>
    <w:p w14:paraId="68CB8E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14:paraId="62538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合同履行期限：自合同签订之日起至2026年10月30日之前完成并提交成果。</w:t>
      </w:r>
    </w:p>
    <w:p w14:paraId="5AD90E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206E0E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14F3CE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32F4BE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合同包1(《陕西省实施〈中华人民共和国突发事件应对法〉办法》修订项目)落实政府采购政策需满足的资格要求如下:</w:t>
      </w:r>
    </w:p>
    <w:p w14:paraId="634552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（7）财政部发展改革委生态环境部市场监管总局关于调整优化节能产品、环境标志产品政府采购执行机制的通知（财库〔2019〕9号）；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（8）《关于印发环境标志产品政府采购品目清单的通知》（财库〔2019〕18号）；</w:t>
      </w:r>
      <w:r>
        <w:rPr>
          <w:rFonts w:hint="eastAsia" w:ascii="宋体" w:hAnsi="宋体" w:eastAsia="宋体" w:cs="宋体"/>
          <w:sz w:val="24"/>
          <w:szCs w:val="24"/>
        </w:rPr>
        <w:br w:type="textWrapping"/>
      </w:r>
      <w:r>
        <w:rPr>
          <w:rFonts w:hint="eastAsia" w:ascii="宋体" w:hAnsi="宋体" w:eastAsia="宋体" w:cs="宋体"/>
          <w:sz w:val="24"/>
          <w:szCs w:val="24"/>
        </w:rPr>
        <w:t>（9）《关于印发节能产品政府采购品目清单的通知》（财库〔2019〕19号）；</w:t>
      </w:r>
      <w:r>
        <w:rPr>
          <w:rFonts w:hint="eastAsia" w:ascii="宋体" w:hAnsi="宋体" w:eastAsia="宋体" w:cs="宋体"/>
          <w:sz w:val="24"/>
          <w:szCs w:val="24"/>
        </w:rPr>
        <w:br w:type="textWrapping"/>
      </w:r>
      <w:r>
        <w:rPr>
          <w:rFonts w:hint="eastAsia" w:ascii="宋体" w:hAnsi="宋体" w:eastAsia="宋体" w:cs="宋体"/>
          <w:sz w:val="24"/>
          <w:szCs w:val="24"/>
        </w:rPr>
        <w:t>（10）《市场监督管理局关于发布参与实施政府采购节能产品、环境标志产品认证机构名录的公告》（2019年第16号）；</w:t>
      </w:r>
      <w:r>
        <w:rPr>
          <w:rFonts w:hint="eastAsia" w:ascii="宋体" w:hAnsi="宋体" w:eastAsia="宋体" w:cs="宋体"/>
          <w:sz w:val="24"/>
          <w:szCs w:val="24"/>
        </w:rPr>
        <w:br w:type="textWrapping"/>
      </w:r>
      <w:r>
        <w:rPr>
          <w:rFonts w:hint="eastAsia" w:ascii="宋体" w:hAnsi="宋体" w:eastAsia="宋体" w:cs="宋体"/>
          <w:sz w:val="24"/>
          <w:szCs w:val="24"/>
        </w:rPr>
        <w:t>（11）《关于运用政府采购政策支持乡村产业振兴的通知》（财库〔2021〕19号）；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r>
        <w:rPr>
          <w:rFonts w:hint="eastAsia" w:ascii="宋体" w:hAnsi="宋体" w:eastAsia="宋体" w:cs="宋体"/>
          <w:sz w:val="24"/>
          <w:szCs w:val="24"/>
        </w:rPr>
        <w:br w:type="textWrapping"/>
      </w:r>
      <w:r>
        <w:rPr>
          <w:rFonts w:hint="eastAsia" w:ascii="宋体" w:hAnsi="宋体" w:eastAsia="宋体" w:cs="宋体"/>
          <w:sz w:val="24"/>
          <w:szCs w:val="24"/>
        </w:rPr>
        <w:t>（13）《陕西省财政厅关于加快推进我省中小企业政府采购信用融资工作的通知》（陕财办采〔2020〕15号）；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（14）《关于进一步加强政府绿色采购有关问题的通知》（陕财办采〔2021〕29号）；</w:t>
      </w:r>
      <w:r>
        <w:rPr>
          <w:rFonts w:hint="eastAsia" w:ascii="宋体" w:hAnsi="宋体" w:eastAsia="宋体" w:cs="宋体"/>
          <w:sz w:val="24"/>
          <w:szCs w:val="24"/>
        </w:rPr>
        <w:br w:type="textWrapping"/>
      </w:r>
      <w:r>
        <w:rPr>
          <w:rFonts w:hint="eastAsia" w:ascii="宋体" w:hAnsi="宋体" w:eastAsia="宋体" w:cs="宋体"/>
          <w:sz w:val="24"/>
          <w:szCs w:val="24"/>
        </w:rPr>
        <w:t>（15）《陕西省财政厅陕西省工业和信息化厅关于运用政府采购政策支持首台（套）及创新产品有关事项的通知》（陕财办采〔2021〕17号）；</w:t>
      </w:r>
      <w:r>
        <w:rPr>
          <w:rFonts w:hint="eastAsia" w:ascii="宋体" w:hAnsi="宋体" w:eastAsia="宋体" w:cs="宋体"/>
          <w:sz w:val="24"/>
          <w:szCs w:val="24"/>
        </w:rPr>
        <w:br w:type="textWrapping"/>
      </w: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r>
        <w:rPr>
          <w:rFonts w:hint="eastAsia" w:ascii="宋体" w:hAnsi="宋体" w:eastAsia="宋体" w:cs="宋体"/>
          <w:sz w:val="24"/>
          <w:szCs w:val="24"/>
        </w:rPr>
        <w:br w:type="textWrapping"/>
      </w:r>
      <w:r>
        <w:rPr>
          <w:rFonts w:hint="eastAsia" w:ascii="宋体" w:hAnsi="宋体" w:eastAsia="宋体" w:cs="宋体"/>
          <w:sz w:val="24"/>
          <w:szCs w:val="24"/>
        </w:rPr>
        <w:t>（17）其他需要落实的政府采购政策。</w:t>
      </w:r>
    </w:p>
    <w:p w14:paraId="0883BA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6065F8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合同包1(《陕西省实施〈中华人民共和国突发事件应对法〉办法》修订项目)特定资格要求如下:</w:t>
      </w:r>
    </w:p>
    <w:p w14:paraId="482FE8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rPr>
        <w:t>(1)法人或者其他组织的有效营业执照等证明文件。其中：</w:t>
      </w:r>
      <w:r>
        <w:rPr>
          <w:rFonts w:hint="eastAsia" w:ascii="宋体" w:hAnsi="宋体" w:eastAsia="宋体" w:cs="宋体"/>
          <w:b/>
          <w:bCs/>
          <w:sz w:val="24"/>
          <w:szCs w:val="24"/>
        </w:rPr>
        <w:br w:type="textWrapping"/>
      </w:r>
      <w:r>
        <w:rPr>
          <w:rFonts w:hint="eastAsia" w:ascii="宋体" w:hAnsi="宋体" w:eastAsia="宋体" w:cs="宋体"/>
          <w:sz w:val="24"/>
          <w:szCs w:val="24"/>
        </w:rPr>
        <w:t>①供应商是企业（包括合伙企业）的，应提供其在市场监督管理部门注册的有效 “营业执照”复印件；</w:t>
      </w:r>
      <w:r>
        <w:rPr>
          <w:rFonts w:hint="eastAsia" w:ascii="宋体" w:hAnsi="宋体" w:eastAsia="宋体" w:cs="宋体"/>
          <w:sz w:val="24"/>
          <w:szCs w:val="24"/>
        </w:rPr>
        <w:br w:type="textWrapping"/>
      </w:r>
      <w:r>
        <w:rPr>
          <w:rFonts w:hint="eastAsia" w:ascii="宋体" w:hAnsi="宋体" w:eastAsia="宋体" w:cs="宋体"/>
          <w:sz w:val="24"/>
          <w:szCs w:val="24"/>
        </w:rPr>
        <w:t>②供应商是事业单位的，应提供其有效的“事业单位法人证书”复印件；</w:t>
      </w:r>
      <w:r>
        <w:rPr>
          <w:rFonts w:hint="eastAsia" w:ascii="宋体" w:hAnsi="宋体" w:eastAsia="宋体" w:cs="宋体"/>
          <w:sz w:val="24"/>
          <w:szCs w:val="24"/>
        </w:rPr>
        <w:br w:type="textWrapping"/>
      </w:r>
      <w:r>
        <w:rPr>
          <w:rFonts w:hint="eastAsia" w:ascii="宋体" w:hAnsi="宋体" w:eastAsia="宋体" w:cs="宋体"/>
          <w:sz w:val="24"/>
          <w:szCs w:val="24"/>
        </w:rPr>
        <w:t>③供应商是非企业专业服务机构的，应提供其有效的“执业许可证”复印件；</w:t>
      </w:r>
      <w:r>
        <w:rPr>
          <w:rFonts w:hint="eastAsia" w:ascii="宋体" w:hAnsi="宋体" w:eastAsia="宋体" w:cs="宋体"/>
          <w:sz w:val="24"/>
          <w:szCs w:val="24"/>
        </w:rPr>
        <w:br w:type="textWrapping"/>
      </w:r>
      <w:r>
        <w:rPr>
          <w:rFonts w:hint="eastAsia" w:ascii="宋体" w:hAnsi="宋体" w:eastAsia="宋体" w:cs="宋体"/>
          <w:sz w:val="24"/>
          <w:szCs w:val="24"/>
        </w:rPr>
        <w:t>④供应商是民办非企业单位的，应提供其有效的登记证书复印件；</w:t>
      </w:r>
      <w:r>
        <w:rPr>
          <w:rFonts w:hint="eastAsia" w:ascii="宋体" w:hAnsi="宋体" w:eastAsia="宋体" w:cs="宋体"/>
          <w:sz w:val="24"/>
          <w:szCs w:val="24"/>
        </w:rPr>
        <w:br w:type="textWrapping"/>
      </w:r>
      <w:r>
        <w:rPr>
          <w:rFonts w:hint="eastAsia" w:ascii="宋体" w:hAnsi="宋体" w:eastAsia="宋体" w:cs="宋体"/>
          <w:sz w:val="24"/>
          <w:szCs w:val="24"/>
        </w:rPr>
        <w:t>⑤供应商是个体工商户的，应提供其有效的 “营业执照”复印件；</w:t>
      </w:r>
      <w:r>
        <w:rPr>
          <w:rFonts w:hint="eastAsia" w:ascii="宋体" w:hAnsi="宋体" w:eastAsia="宋体" w:cs="宋体"/>
          <w:sz w:val="24"/>
          <w:szCs w:val="24"/>
        </w:rPr>
        <w:br w:type="textWrapping"/>
      </w:r>
      <w:r>
        <w:rPr>
          <w:rFonts w:hint="eastAsia" w:ascii="宋体" w:hAnsi="宋体" w:eastAsia="宋体" w:cs="宋体"/>
          <w:sz w:val="24"/>
          <w:szCs w:val="24"/>
        </w:rPr>
        <w:t>⑥供应商是自然人的，应提供其有效的自然人身份证明复印件。</w:t>
      </w:r>
      <w:r>
        <w:rPr>
          <w:rFonts w:hint="eastAsia" w:ascii="宋体" w:hAnsi="宋体" w:eastAsia="宋体" w:cs="宋体"/>
          <w:sz w:val="24"/>
          <w:szCs w:val="24"/>
        </w:rPr>
        <w:br w:type="textWrapping"/>
      </w:r>
      <w:r>
        <w:rPr>
          <w:rFonts w:hint="eastAsia" w:ascii="宋体" w:hAnsi="宋体" w:eastAsia="宋体" w:cs="宋体"/>
          <w:b/>
          <w:bCs/>
          <w:sz w:val="24"/>
          <w:szCs w:val="24"/>
        </w:rPr>
        <w:t>（2）提供法定代表人授权书（附法定代表人、被授权人身份证复印件），法定代表人直接参加投标，须提供法定代表人身份证明及身份证复印件；</w:t>
      </w:r>
      <w:r>
        <w:rPr>
          <w:rFonts w:hint="eastAsia" w:ascii="宋体" w:hAnsi="宋体" w:eastAsia="宋体" w:cs="宋体"/>
          <w:b/>
          <w:bCs/>
          <w:sz w:val="24"/>
          <w:szCs w:val="24"/>
        </w:rPr>
        <w:br w:type="textWrapping"/>
      </w:r>
      <w:r>
        <w:rPr>
          <w:rFonts w:hint="eastAsia" w:ascii="宋体" w:hAnsi="宋体" w:eastAsia="宋体" w:cs="宋体"/>
          <w:b/>
          <w:bCs/>
          <w:sz w:val="24"/>
          <w:szCs w:val="24"/>
        </w:rPr>
        <w:t>（3）财务状况报告：提供①或者②；</w:t>
      </w:r>
      <w:r>
        <w:rPr>
          <w:rFonts w:hint="eastAsia" w:ascii="宋体" w:hAnsi="宋体" w:eastAsia="宋体" w:cs="宋体"/>
          <w:sz w:val="24"/>
          <w:szCs w:val="24"/>
        </w:rPr>
        <w:br w:type="textWrapping"/>
      </w:r>
      <w:r>
        <w:rPr>
          <w:rFonts w:hint="eastAsia" w:ascii="宋体" w:hAnsi="宋体" w:eastAsia="宋体" w:cs="宋体"/>
          <w:sz w:val="24"/>
          <w:szCs w:val="24"/>
        </w:rPr>
        <w:t>①提供2024年度经审计的财务报告，应满足以下要求：</w:t>
      </w:r>
      <w:r>
        <w:rPr>
          <w:rFonts w:hint="eastAsia" w:ascii="宋体" w:hAnsi="宋体" w:eastAsia="宋体" w:cs="宋体"/>
          <w:sz w:val="24"/>
          <w:szCs w:val="24"/>
        </w:rPr>
        <w:br w:type="textWrapping"/>
      </w:r>
      <w:r>
        <w:rPr>
          <w:rFonts w:hint="eastAsia" w:ascii="宋体" w:hAnsi="宋体" w:eastAsia="宋体" w:cs="宋体"/>
          <w:sz w:val="24"/>
          <w:szCs w:val="24"/>
        </w:rPr>
        <w:t>1)供应商是企业的，财务报告是指经会计师事务所审计的上述指定年度整个会计年度财务报表（须提供会计师事务所出具的审计报告复印件）,复印件至少须包括审计意见正文、资产负债表、利润表（或损益表）、现金流量表）和会计师事务所营业执照，报告正文应当有会计师事务所公章和2名注册会计师的签字及盖章，且2022年10月1日后出具的审计报告应当经过注册会计师行业统一监管平台备案赋码。</w:t>
      </w:r>
      <w:r>
        <w:rPr>
          <w:rFonts w:hint="eastAsia" w:ascii="宋体" w:hAnsi="宋体" w:eastAsia="宋体" w:cs="宋体"/>
          <w:sz w:val="24"/>
          <w:szCs w:val="24"/>
        </w:rPr>
        <w:br w:type="textWrapping"/>
      </w:r>
      <w:r>
        <w:rPr>
          <w:rFonts w:hint="eastAsia" w:ascii="宋体" w:hAnsi="宋体" w:eastAsia="宋体" w:cs="宋体"/>
          <w:sz w:val="24"/>
          <w:szCs w:val="24"/>
        </w:rPr>
        <w:t>2)供应商适用《事业单位会计准则》的，财务报告是指上述指定年度整个会计年度财务报表（不要求必须是经审计的），复印件至少须包括资产负债表、收入支出表（或收入费用表）、财政补助收入支出表。</w:t>
      </w:r>
      <w:r>
        <w:rPr>
          <w:rFonts w:hint="eastAsia" w:ascii="宋体" w:hAnsi="宋体" w:eastAsia="宋体" w:cs="宋体"/>
          <w:sz w:val="24"/>
          <w:szCs w:val="24"/>
        </w:rPr>
        <w:br w:type="textWrapping"/>
      </w:r>
      <w:r>
        <w:rPr>
          <w:rFonts w:hint="eastAsia" w:ascii="宋体" w:hAnsi="宋体" w:eastAsia="宋体" w:cs="宋体"/>
          <w:sz w:val="24"/>
          <w:szCs w:val="24"/>
        </w:rPr>
        <w:t>3)供应商适用《政府会计准则》的，财务报告是指上述指定年度整个会计年度财务报表（不要求必须是经审计的），复印件至少须包括资产负债表、收入费用表。</w:t>
      </w:r>
      <w:r>
        <w:rPr>
          <w:rFonts w:hint="eastAsia" w:ascii="宋体" w:hAnsi="宋体" w:eastAsia="宋体" w:cs="宋体"/>
          <w:sz w:val="24"/>
          <w:szCs w:val="24"/>
        </w:rPr>
        <w:br w:type="textWrapping"/>
      </w:r>
      <w:r>
        <w:rPr>
          <w:rFonts w:hint="eastAsia" w:ascii="宋体" w:hAnsi="宋体" w:eastAsia="宋体" w:cs="宋体"/>
          <w:sz w:val="24"/>
          <w:szCs w:val="24"/>
        </w:rPr>
        <w:t>4)供应商适用《民间非营利组织会计制度》的，财务报告是指上述指定年度整个会计年度财务报表（不要求必须是经审计的），复印件至少须包括资产负债表、业务活动表、现金流量表。</w:t>
      </w:r>
      <w:r>
        <w:rPr>
          <w:rFonts w:hint="eastAsia" w:ascii="宋体" w:hAnsi="宋体" w:eastAsia="宋体" w:cs="宋体"/>
          <w:sz w:val="24"/>
          <w:szCs w:val="24"/>
        </w:rPr>
        <w:br w:type="textWrapping"/>
      </w:r>
      <w:r>
        <w:rPr>
          <w:rFonts w:hint="eastAsia" w:ascii="宋体" w:hAnsi="宋体" w:eastAsia="宋体" w:cs="宋体"/>
          <w:sz w:val="24"/>
          <w:szCs w:val="24"/>
        </w:rPr>
        <w:t>5)供应商是上述四种情况以外情况的，按照其依法适用的会计制度、财务规则或会计准则提供财务报表复印件（不要求必须是经审计的）。</w:t>
      </w:r>
      <w:r>
        <w:rPr>
          <w:rFonts w:hint="eastAsia" w:ascii="宋体" w:hAnsi="宋体" w:eastAsia="宋体" w:cs="宋体"/>
          <w:sz w:val="24"/>
          <w:szCs w:val="24"/>
        </w:rPr>
        <w:br w:type="textWrapping"/>
      </w:r>
      <w:r>
        <w:rPr>
          <w:rFonts w:hint="eastAsia" w:ascii="宋体" w:hAnsi="宋体" w:eastAsia="宋体" w:cs="宋体"/>
          <w:sz w:val="24"/>
          <w:szCs w:val="24"/>
        </w:rPr>
        <w:t>②提供资信证明的，应满足以下要求：</w:t>
      </w:r>
      <w:r>
        <w:rPr>
          <w:rFonts w:hint="eastAsia" w:ascii="宋体" w:hAnsi="宋体" w:eastAsia="宋体" w:cs="宋体"/>
          <w:sz w:val="24"/>
          <w:szCs w:val="24"/>
        </w:rPr>
        <w:br w:type="textWrapping"/>
      </w:r>
      <w:r>
        <w:rPr>
          <w:rFonts w:hint="eastAsia" w:ascii="宋体" w:hAnsi="宋体" w:eastAsia="宋体" w:cs="宋体"/>
          <w:sz w:val="24"/>
          <w:szCs w:val="24"/>
        </w:rPr>
        <w:t>1)资信证明须为首次响应文件递交截止之日前三个月内由磋商供应商开户银行出具。（附《基本存款账户信息》或《银行开户许可证》复印件）</w:t>
      </w:r>
      <w:r>
        <w:rPr>
          <w:rFonts w:hint="eastAsia" w:ascii="宋体" w:hAnsi="宋体" w:eastAsia="宋体" w:cs="宋体"/>
          <w:sz w:val="24"/>
          <w:szCs w:val="24"/>
        </w:rPr>
        <w:br w:type="textWrapping"/>
      </w:r>
      <w:r>
        <w:rPr>
          <w:rFonts w:hint="eastAsia" w:ascii="宋体" w:hAnsi="宋体" w:eastAsia="宋体" w:cs="宋体"/>
          <w:sz w:val="24"/>
          <w:szCs w:val="24"/>
        </w:rPr>
        <w:t>2)无论开具银行是否标明“复印无效”，供应商提供的复印件在本次项目中予以认可（即不因“复印无效”字样而认定资信证明复印件无效）。银行出具的存款证明不能替代银行资信证明。</w:t>
      </w:r>
      <w:r>
        <w:rPr>
          <w:rFonts w:hint="eastAsia" w:ascii="宋体" w:hAnsi="宋体" w:eastAsia="宋体" w:cs="宋体"/>
          <w:sz w:val="24"/>
          <w:szCs w:val="24"/>
        </w:rPr>
        <w:br w:type="textWrapping"/>
      </w:r>
      <w:r>
        <w:rPr>
          <w:rFonts w:hint="eastAsia" w:ascii="宋体" w:hAnsi="宋体" w:eastAsia="宋体" w:cs="宋体"/>
          <w:b/>
          <w:bCs/>
          <w:sz w:val="24"/>
          <w:szCs w:val="24"/>
        </w:rPr>
        <w:t>（4）税收缴纳证明：投标人须提供投标截止时间前1年内至少3个月的依法缴纳税收的相关凭据（时间以税款所属日期为准、税种须至少包含增值税或企业所得税）；依法免税的供应商，应提供相应文件证明其依法免税。</w:t>
      </w:r>
      <w:r>
        <w:rPr>
          <w:rFonts w:hint="eastAsia" w:ascii="宋体" w:hAnsi="宋体" w:eastAsia="宋体" w:cs="宋体"/>
          <w:b/>
          <w:bCs/>
          <w:sz w:val="24"/>
          <w:szCs w:val="24"/>
        </w:rPr>
        <w:br w:type="textWrapping"/>
      </w:r>
      <w:r>
        <w:rPr>
          <w:rFonts w:hint="eastAsia" w:ascii="宋体" w:hAnsi="宋体" w:eastAsia="宋体" w:cs="宋体"/>
          <w:b/>
          <w:bCs/>
          <w:sz w:val="24"/>
          <w:szCs w:val="24"/>
        </w:rPr>
        <w:t>（5）社会保障资金缴纳证明：投标人须提供投标截止时间前1年内至少3个月的社会保障资金缴存单据或社保机构开具的社会保险参保缴费情况证明，单据或证明上应有社保机构或代收机构的公章或业务专用章；依法不需要缴纳社会保障资金的供应商，应提供相应文件说明其依法不需要缴纳的证明材料复印件。</w:t>
      </w:r>
      <w:r>
        <w:rPr>
          <w:rFonts w:hint="eastAsia" w:ascii="宋体" w:hAnsi="宋体" w:eastAsia="宋体" w:cs="宋体"/>
          <w:b/>
          <w:bCs/>
          <w:sz w:val="24"/>
          <w:szCs w:val="24"/>
        </w:rPr>
        <w:br w:type="textWrapping"/>
      </w:r>
      <w:r>
        <w:rPr>
          <w:rFonts w:hint="eastAsia" w:ascii="宋体" w:hAnsi="宋体" w:eastAsia="宋体" w:cs="宋体"/>
          <w:b/>
          <w:bCs/>
          <w:sz w:val="24"/>
          <w:szCs w:val="24"/>
        </w:rPr>
        <w:t>（6）提供具有履行本合同所必需的设备和专业技术能力的说明及承诺书；</w:t>
      </w:r>
      <w:r>
        <w:rPr>
          <w:rFonts w:hint="eastAsia" w:ascii="宋体" w:hAnsi="宋体" w:eastAsia="宋体" w:cs="宋体"/>
          <w:b/>
          <w:bCs/>
          <w:sz w:val="24"/>
          <w:szCs w:val="24"/>
        </w:rPr>
        <w:br w:type="textWrapping"/>
      </w:r>
      <w:r>
        <w:rPr>
          <w:rFonts w:hint="eastAsia" w:ascii="宋体" w:hAnsi="宋体" w:eastAsia="宋体" w:cs="宋体"/>
          <w:b/>
          <w:bCs/>
          <w:sz w:val="24"/>
          <w:szCs w:val="24"/>
        </w:rPr>
        <w:t>（7）供应商未被“信用中国”网站（www.creditchina.gov.cn）列入失信被执行人和重大税收违法失信主体，未被中国政府采购网（www.ccgp.gov.cn）列入政府采购严重违法失信行为记录名单，</w:t>
      </w:r>
      <w:r>
        <w:rPr>
          <w:rFonts w:hint="eastAsia" w:ascii="宋体" w:hAnsi="宋体" w:eastAsia="宋体" w:cs="宋体"/>
          <w:b/>
          <w:bCs/>
          <w:sz w:val="24"/>
          <w:szCs w:val="24"/>
        </w:rPr>
        <w:br w:type="textWrapping"/>
      </w:r>
      <w:r>
        <w:rPr>
          <w:rFonts w:hint="eastAsia" w:ascii="宋体" w:hAnsi="宋体" w:eastAsia="宋体" w:cs="宋体"/>
          <w:b/>
          <w:bCs/>
          <w:sz w:val="24"/>
          <w:szCs w:val="24"/>
        </w:rPr>
        <w:t>（8）参加政府采购活动前3年内，在经营活动中没有重大违法记录的书面声明；</w:t>
      </w:r>
      <w:r>
        <w:rPr>
          <w:rFonts w:hint="eastAsia" w:ascii="宋体" w:hAnsi="宋体" w:eastAsia="宋体" w:cs="宋体"/>
          <w:b/>
          <w:bCs/>
          <w:sz w:val="24"/>
          <w:szCs w:val="24"/>
        </w:rPr>
        <w:br w:type="textWrapping"/>
      </w:r>
      <w:r>
        <w:rPr>
          <w:rFonts w:hint="eastAsia" w:ascii="宋体" w:hAnsi="宋体" w:eastAsia="宋体" w:cs="宋体"/>
          <w:b/>
          <w:bCs/>
          <w:sz w:val="24"/>
          <w:szCs w:val="24"/>
        </w:rPr>
        <w:t>（9）控股管理关系：提供直接控股和管理关系清单。若与其他供应商存在单位负责人为同一人或者</w:t>
      </w:r>
      <w:r>
        <w:rPr>
          <w:rFonts w:hint="eastAsia" w:ascii="宋体" w:hAnsi="宋体" w:eastAsia="宋体" w:cs="宋体"/>
          <w:b/>
          <w:bCs/>
          <w:sz w:val="24"/>
          <w:szCs w:val="24"/>
          <w:highlight w:val="none"/>
        </w:rPr>
        <w:t>存在直接控股、管理关系的，则投标无效；</w:t>
      </w:r>
      <w:r>
        <w:rPr>
          <w:rFonts w:hint="eastAsia" w:ascii="宋体" w:hAnsi="宋体" w:eastAsia="宋体" w:cs="宋体"/>
          <w:b/>
          <w:bCs/>
          <w:sz w:val="24"/>
          <w:szCs w:val="24"/>
          <w:highlight w:val="none"/>
        </w:rPr>
        <w:br w:type="textWrapping"/>
      </w:r>
      <w:r>
        <w:rPr>
          <w:rFonts w:hint="eastAsia" w:ascii="宋体" w:hAnsi="宋体" w:eastAsia="宋体" w:cs="宋体"/>
          <w:b/>
          <w:bCs/>
          <w:sz w:val="24"/>
          <w:szCs w:val="24"/>
          <w:highlight w:val="none"/>
        </w:rPr>
        <w:t>（10）本项目不接受联合体投标（提供承诺书）。</w:t>
      </w:r>
    </w:p>
    <w:p w14:paraId="2D6569D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p>
    <w:p w14:paraId="1C9E44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时间：2026年04月08日至</w:t>
      </w:r>
      <w:r>
        <w:rPr>
          <w:rFonts w:hint="eastAsia" w:hAnsi="宋体" w:cs="宋体"/>
          <w:sz w:val="24"/>
          <w:szCs w:val="24"/>
          <w:highlight w:val="none"/>
          <w:lang w:val="en-US" w:eastAsia="zh-CN"/>
        </w:rPr>
        <w:t>2</w:t>
      </w:r>
      <w:r>
        <w:rPr>
          <w:rFonts w:hint="eastAsia" w:ascii="宋体" w:hAnsi="宋体" w:eastAsia="宋体" w:cs="宋体"/>
          <w:sz w:val="24"/>
          <w:szCs w:val="24"/>
          <w:highlight w:val="none"/>
        </w:rPr>
        <w:t>026年04月15日，每天上午09:00:00至12:00:00，下午14:00:00至17:00:00（北京时间）</w:t>
      </w:r>
    </w:p>
    <w:p w14:paraId="7EDCE5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途径：陕西省西安市经济技术开发区未央路171-1号银池道拉斯财富中心21楼</w:t>
      </w:r>
    </w:p>
    <w:p w14:paraId="01D621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14:paraId="058378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售价：免费获取</w:t>
      </w:r>
    </w:p>
    <w:p w14:paraId="086171E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14:paraId="6342D5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截止时间：2026年04月20日09时30分00秒（北京时间）</w:t>
      </w:r>
    </w:p>
    <w:p w14:paraId="2EB9AD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地点：陕西省西安市经济技术开发区未央路171-1号银池道拉斯财富中心21楼03室</w:t>
      </w:r>
    </w:p>
    <w:p w14:paraId="465C3A4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14:paraId="6E74D5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时间：2026年04月20日09时30分00秒（北京时间）</w:t>
      </w:r>
    </w:p>
    <w:p w14:paraId="778442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地点：陕西省西安市经济技术开发区未央路171-1号银池道拉斯财富中心21楼03室</w:t>
      </w:r>
    </w:p>
    <w:p w14:paraId="3B15B0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14:paraId="716A44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14:paraId="63E58E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4730B2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（1）供应商领取采购文件时，请携带单位介绍信及经办人身份证原件及复印件加盖公章；</w:t>
      </w:r>
    </w:p>
    <w:p w14:paraId="379DB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（2）请供应商按照《陕西省财政厅关于政府采购供应商注册登记有关事项的通知》中的要求，通过陕西省政府采购网（http://www.ccgp-shaanxi.gov.cn/）注册登记加入陕西省政府采购供应商库；</w:t>
      </w:r>
    </w:p>
    <w:p w14:paraId="7D1906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（3）本项目为不专门面向中小企业采购。</w:t>
      </w:r>
    </w:p>
    <w:p w14:paraId="7AE1B9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5D3404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4725BA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名称：陕西省应急管理厅</w:t>
      </w:r>
    </w:p>
    <w:p w14:paraId="7DABEE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地址：西安市未央区未央路208号</w:t>
      </w:r>
    </w:p>
    <w:p w14:paraId="1E81A4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hAnsi="宋体" w:cs="宋体"/>
          <w:sz w:val="24"/>
          <w:szCs w:val="24"/>
          <w:lang w:val="en-US" w:eastAsia="zh-CN"/>
        </w:rPr>
        <w:t>029-</w:t>
      </w:r>
      <w:r>
        <w:rPr>
          <w:rFonts w:hint="eastAsia" w:ascii="宋体" w:hAnsi="宋体" w:eastAsia="宋体" w:cs="宋体"/>
          <w:sz w:val="24"/>
          <w:szCs w:val="24"/>
        </w:rPr>
        <w:t>61166206</w:t>
      </w:r>
    </w:p>
    <w:p w14:paraId="234006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2CA395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522CC3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地址：陕西省西安市未央区陕西省西安市经济技术开发区未央路171-1号银池道拉斯财富中心21楼</w:t>
      </w:r>
    </w:p>
    <w:p w14:paraId="0E8D69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联系方式：029-88219779</w:t>
      </w:r>
    </w:p>
    <w:p w14:paraId="32D7DC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0DC150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hAnsi="宋体" w:cs="宋体"/>
          <w:sz w:val="24"/>
          <w:szCs w:val="24"/>
          <w:lang w:val="en-US" w:eastAsia="zh-CN"/>
        </w:rPr>
        <w:t>张欢</w:t>
      </w:r>
    </w:p>
    <w:p w14:paraId="13666B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电话：1</w:t>
      </w:r>
      <w:r>
        <w:rPr>
          <w:rFonts w:hint="eastAsia" w:hAnsi="宋体" w:cs="宋体"/>
          <w:sz w:val="24"/>
          <w:szCs w:val="24"/>
          <w:lang w:val="en-US" w:eastAsia="zh-CN"/>
        </w:rPr>
        <w:t>7792379649</w:t>
      </w:r>
    </w:p>
    <w:p w14:paraId="6DD3B824">
      <w:pPr>
        <w:kinsoku/>
        <w:overflowPunct/>
        <w:topLinePunct w:val="0"/>
        <w:bidi w:val="0"/>
        <w:spacing w:line="360" w:lineRule="auto"/>
        <w:ind w:left="0" w:leftChars="0" w:right="0"/>
        <w:rPr>
          <w:rFonts w:hint="eastAsia" w:hAnsi="宋体" w:cs="宋体"/>
          <w:b/>
          <w:bCs/>
          <w:kern w:val="2"/>
          <w:sz w:val="36"/>
          <w:szCs w:val="36"/>
          <w:highlight w:val="none"/>
        </w:rPr>
      </w:pPr>
      <w:r>
        <w:rPr>
          <w:rFonts w:hint="eastAsia" w:hAnsi="宋体" w:cs="宋体"/>
          <w:b/>
          <w:bCs/>
          <w:kern w:val="2"/>
          <w:sz w:val="36"/>
          <w:szCs w:val="36"/>
          <w:highlight w:val="none"/>
        </w:rPr>
        <w:br w:type="page"/>
      </w:r>
    </w:p>
    <w:p w14:paraId="6C6C26C6">
      <w:pPr>
        <w:kinsoku/>
        <w:overflowPunct/>
        <w:topLinePunct w:val="0"/>
        <w:bidi w:val="0"/>
        <w:spacing w:line="360" w:lineRule="auto"/>
        <w:ind w:left="0" w:leftChars="0" w:right="0"/>
        <w:jc w:val="center"/>
        <w:outlineLvl w:val="0"/>
        <w:rPr>
          <w:rFonts w:hAnsi="宋体" w:cs="宋体"/>
          <w:bCs/>
          <w:sz w:val="36"/>
          <w:szCs w:val="36"/>
          <w:highlight w:val="none"/>
        </w:rPr>
      </w:pPr>
      <w:bookmarkStart w:id="22" w:name="_Toc13070"/>
      <w:r>
        <w:rPr>
          <w:rFonts w:hint="eastAsia" w:hAnsi="宋体" w:cs="宋体"/>
          <w:b/>
          <w:bCs/>
          <w:kern w:val="2"/>
          <w:sz w:val="36"/>
          <w:szCs w:val="36"/>
          <w:highlight w:val="none"/>
        </w:rPr>
        <w:t xml:space="preserve">第二章  </w:t>
      </w:r>
      <w:bookmarkEnd w:id="16"/>
      <w:bookmarkEnd w:id="17"/>
      <w:bookmarkStart w:id="23" w:name="OLE_LINK3"/>
      <w:r>
        <w:rPr>
          <w:rFonts w:hint="eastAsia" w:hAnsi="宋体" w:cs="宋体"/>
          <w:b/>
          <w:bCs/>
          <w:kern w:val="2"/>
          <w:sz w:val="36"/>
          <w:szCs w:val="36"/>
          <w:highlight w:val="none"/>
        </w:rPr>
        <w:t>供应商须知</w:t>
      </w:r>
      <w:bookmarkEnd w:id="18"/>
      <w:bookmarkEnd w:id="19"/>
      <w:bookmarkEnd w:id="20"/>
      <w:bookmarkEnd w:id="21"/>
      <w:bookmarkEnd w:id="22"/>
      <w:bookmarkEnd w:id="23"/>
    </w:p>
    <w:p w14:paraId="14075107">
      <w:pPr>
        <w:kinsoku/>
        <w:overflowPunct/>
        <w:topLinePunct w:val="0"/>
        <w:bidi w:val="0"/>
        <w:spacing w:line="360" w:lineRule="auto"/>
        <w:ind w:left="0" w:leftChars="0" w:right="0" w:firstLine="3534" w:firstLineChars="1100"/>
        <w:outlineLvl w:val="1"/>
        <w:rPr>
          <w:rFonts w:hAnsi="宋体" w:cs="宋体"/>
          <w:b/>
          <w:bCs/>
          <w:sz w:val="32"/>
          <w:szCs w:val="32"/>
          <w:highlight w:val="none"/>
        </w:rPr>
      </w:pPr>
      <w:bookmarkStart w:id="24" w:name="_Toc29331"/>
      <w:bookmarkStart w:id="25" w:name="_Toc16830"/>
      <w:bookmarkStart w:id="26" w:name="_Toc18299"/>
      <w:bookmarkStart w:id="27" w:name="_Toc23180"/>
      <w:bookmarkStart w:id="28" w:name="_Toc8846"/>
      <w:r>
        <w:rPr>
          <w:rFonts w:hint="eastAsia" w:hAnsi="宋体" w:cs="宋体"/>
          <w:b/>
          <w:bCs/>
          <w:sz w:val="32"/>
          <w:szCs w:val="32"/>
          <w:highlight w:val="none"/>
        </w:rPr>
        <w:t>供应商须知前附表</w:t>
      </w:r>
      <w:bookmarkEnd w:id="24"/>
      <w:bookmarkEnd w:id="25"/>
      <w:bookmarkEnd w:id="26"/>
      <w:bookmarkEnd w:id="27"/>
      <w:bookmarkEnd w:id="28"/>
    </w:p>
    <w:p w14:paraId="05118F8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E38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04E38435">
            <w:pPr>
              <w:kinsoku/>
              <w:overflowPunct/>
              <w:topLinePunct w:val="0"/>
              <w:bidi w:val="0"/>
              <w:spacing w:line="360" w:lineRule="auto"/>
              <w:ind w:left="0" w:leftChars="0" w:right="0"/>
              <w:jc w:val="center"/>
              <w:rPr>
                <w:rFonts w:hAnsi="宋体" w:cs="宋体"/>
                <w:b/>
                <w:szCs w:val="24"/>
                <w:highlight w:val="none"/>
              </w:rPr>
            </w:pPr>
            <w:r>
              <w:rPr>
                <w:rFonts w:hint="eastAsia" w:hAnsi="宋体" w:cs="宋体"/>
                <w:b/>
                <w:szCs w:val="24"/>
                <w:highlight w:val="none"/>
              </w:rPr>
              <w:t>序号</w:t>
            </w:r>
          </w:p>
        </w:tc>
        <w:tc>
          <w:tcPr>
            <w:tcW w:w="951" w:type="dxa"/>
            <w:vAlign w:val="center"/>
          </w:tcPr>
          <w:p w14:paraId="05260CEB">
            <w:pPr>
              <w:kinsoku/>
              <w:overflowPunct/>
              <w:topLinePunct w:val="0"/>
              <w:bidi w:val="0"/>
              <w:spacing w:line="360" w:lineRule="auto"/>
              <w:ind w:left="0" w:leftChars="0" w:right="0"/>
              <w:jc w:val="center"/>
              <w:rPr>
                <w:rFonts w:hAnsi="宋体" w:cs="宋体"/>
                <w:b/>
                <w:szCs w:val="24"/>
                <w:highlight w:val="none"/>
              </w:rPr>
            </w:pPr>
            <w:r>
              <w:rPr>
                <w:rFonts w:hint="eastAsia" w:hAnsi="宋体" w:cs="宋体"/>
                <w:b/>
                <w:szCs w:val="24"/>
                <w:highlight w:val="none"/>
              </w:rPr>
              <w:t>条款号</w:t>
            </w:r>
          </w:p>
        </w:tc>
        <w:tc>
          <w:tcPr>
            <w:tcW w:w="7354" w:type="dxa"/>
          </w:tcPr>
          <w:p w14:paraId="00F6DDA7">
            <w:pPr>
              <w:kinsoku/>
              <w:overflowPunct/>
              <w:topLinePunct w:val="0"/>
              <w:bidi w:val="0"/>
              <w:spacing w:line="360" w:lineRule="auto"/>
              <w:ind w:left="0" w:leftChars="0" w:right="0"/>
              <w:jc w:val="center"/>
              <w:rPr>
                <w:rFonts w:hAnsi="宋体" w:cs="宋体"/>
                <w:b/>
                <w:szCs w:val="24"/>
                <w:highlight w:val="none"/>
              </w:rPr>
            </w:pPr>
            <w:r>
              <w:rPr>
                <w:rFonts w:hint="eastAsia" w:hAnsi="宋体" w:cs="宋体"/>
                <w:b/>
                <w:szCs w:val="24"/>
                <w:highlight w:val="none"/>
              </w:rPr>
              <w:t xml:space="preserve">编 列 内 容 </w:t>
            </w:r>
          </w:p>
        </w:tc>
      </w:tr>
      <w:tr w14:paraId="1868A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18DCFFFD">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w:t>
            </w:r>
          </w:p>
        </w:tc>
        <w:tc>
          <w:tcPr>
            <w:tcW w:w="951" w:type="dxa"/>
            <w:vAlign w:val="center"/>
          </w:tcPr>
          <w:p w14:paraId="3F171CB1">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2.3</w:t>
            </w:r>
          </w:p>
        </w:tc>
        <w:tc>
          <w:tcPr>
            <w:tcW w:w="7354" w:type="dxa"/>
          </w:tcPr>
          <w:p w14:paraId="14BA4060">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采购代理机构：陕西至诚项目管理集团有限公司</w:t>
            </w:r>
          </w:p>
          <w:p w14:paraId="6420B5BB">
            <w:pPr>
              <w:pStyle w:val="21"/>
              <w:kinsoku/>
              <w:overflowPunct/>
              <w:topLinePunct w:val="0"/>
              <w:bidi w:val="0"/>
              <w:spacing w:before="0" w:beforeAutospacing="0" w:after="0" w:afterAutospacing="0" w:line="360" w:lineRule="auto"/>
              <w:ind w:left="0" w:leftChars="0" w:right="0"/>
              <w:jc w:val="both"/>
              <w:rPr>
                <w:rFonts w:cs="宋体"/>
                <w:highlight w:val="none"/>
              </w:rPr>
            </w:pPr>
            <w:r>
              <w:rPr>
                <w:rFonts w:hint="eastAsia" w:hAnsi="宋体" w:cs="宋体"/>
                <w:szCs w:val="24"/>
                <w:highlight w:val="none"/>
              </w:rPr>
              <w:t>地        址：</w:t>
            </w:r>
            <w:r>
              <w:rPr>
                <w:rFonts w:hint="eastAsia" w:cs="宋体"/>
                <w:highlight w:val="none"/>
                <w:shd w:val="clear" w:color="auto" w:fill="FFFFFF"/>
              </w:rPr>
              <w:t>陕西省西安市经济技术开发区未央路171-1号银池道拉斯财富中心21楼</w:t>
            </w:r>
          </w:p>
          <w:p w14:paraId="1B018085">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邮        编：710021</w:t>
            </w:r>
          </w:p>
          <w:p w14:paraId="4C19FDF9">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电        话：</w:t>
            </w:r>
            <w:r>
              <w:rPr>
                <w:rFonts w:hint="eastAsia" w:cs="宋体"/>
                <w:i w:val="0"/>
                <w:iCs w:val="0"/>
                <w:caps w:val="0"/>
                <w:color w:val="333333"/>
                <w:spacing w:val="0"/>
                <w:sz w:val="24"/>
                <w:szCs w:val="24"/>
                <w:highlight w:val="none"/>
                <w:shd w:val="clear" w:fill="FFFFFF"/>
                <w:vertAlign w:val="baseline"/>
                <w:lang w:val="en-US" w:eastAsia="zh-CN"/>
              </w:rPr>
              <w:t>17792379649</w:t>
            </w:r>
          </w:p>
          <w:p w14:paraId="7DCD0920">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传        真：/</w:t>
            </w:r>
          </w:p>
        </w:tc>
      </w:tr>
      <w:tr w14:paraId="32C73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6CBA11C1">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w:t>
            </w:r>
          </w:p>
        </w:tc>
        <w:tc>
          <w:tcPr>
            <w:tcW w:w="951" w:type="dxa"/>
            <w:vAlign w:val="center"/>
          </w:tcPr>
          <w:p w14:paraId="2867DEAF">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3.6</w:t>
            </w:r>
          </w:p>
        </w:tc>
        <w:tc>
          <w:tcPr>
            <w:tcW w:w="7354" w:type="dxa"/>
            <w:vAlign w:val="center"/>
          </w:tcPr>
          <w:p w14:paraId="042BBA9B">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本项目不接受联合体磋商。</w:t>
            </w:r>
          </w:p>
        </w:tc>
      </w:tr>
      <w:tr w14:paraId="3C500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0F2EE023">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3</w:t>
            </w:r>
          </w:p>
        </w:tc>
        <w:tc>
          <w:tcPr>
            <w:tcW w:w="951" w:type="dxa"/>
            <w:vAlign w:val="center"/>
          </w:tcPr>
          <w:p w14:paraId="566ABE7E">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9.2</w:t>
            </w:r>
          </w:p>
        </w:tc>
        <w:tc>
          <w:tcPr>
            <w:tcW w:w="7354" w:type="dxa"/>
            <w:vAlign w:val="center"/>
          </w:tcPr>
          <w:p w14:paraId="0CFA680F">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不允许提供备选方案。</w:t>
            </w:r>
          </w:p>
        </w:tc>
      </w:tr>
      <w:tr w14:paraId="403C4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2D13F315">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4</w:t>
            </w:r>
          </w:p>
        </w:tc>
        <w:tc>
          <w:tcPr>
            <w:tcW w:w="951" w:type="dxa"/>
            <w:vAlign w:val="center"/>
          </w:tcPr>
          <w:p w14:paraId="1F5D1389">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9.3</w:t>
            </w:r>
          </w:p>
        </w:tc>
        <w:tc>
          <w:tcPr>
            <w:tcW w:w="7354" w:type="dxa"/>
            <w:vAlign w:val="center"/>
          </w:tcPr>
          <w:p w14:paraId="64188FF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val="en-US"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14:paraId="153EC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16CE219">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5</w:t>
            </w:r>
          </w:p>
        </w:tc>
        <w:tc>
          <w:tcPr>
            <w:tcW w:w="951" w:type="dxa"/>
            <w:vAlign w:val="center"/>
          </w:tcPr>
          <w:p w14:paraId="6C8CF325">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11.1</w:t>
            </w:r>
          </w:p>
        </w:tc>
        <w:tc>
          <w:tcPr>
            <w:tcW w:w="7354" w:type="dxa"/>
          </w:tcPr>
          <w:p w14:paraId="04C442EB">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磋商报价：是供应商为完成本项目要求的全部服务内容最终价格的体现，包括但不限于人工费、设备使用费、办公费、服务费、交通费、招标代理服务费、税金等其他一切相关费用。</w:t>
            </w:r>
          </w:p>
          <w:p w14:paraId="5D150899">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14:paraId="1492E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6685749">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6</w:t>
            </w:r>
          </w:p>
        </w:tc>
        <w:tc>
          <w:tcPr>
            <w:tcW w:w="951" w:type="dxa"/>
            <w:vAlign w:val="center"/>
          </w:tcPr>
          <w:p w14:paraId="595B472F">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12.1</w:t>
            </w:r>
          </w:p>
        </w:tc>
        <w:tc>
          <w:tcPr>
            <w:tcW w:w="7354" w:type="dxa"/>
            <w:shd w:val="clear" w:color="auto" w:fill="auto"/>
          </w:tcPr>
          <w:p w14:paraId="2A93D752">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特定资格证明文件：</w:t>
            </w:r>
          </w:p>
          <w:p w14:paraId="5A6853B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法人或者其他组织的有效营业执照等证明文件</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其中：</w:t>
            </w:r>
          </w:p>
          <w:p w14:paraId="609B45C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供应商是企业（包括合伙企业）的，应提供其在市场监督管理部门注册的有效 “营业执照”复印件；</w:t>
            </w:r>
          </w:p>
          <w:p w14:paraId="79D24D4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供应商是事业单位的，应提供其有效的“事业单位法人证书”复印件；</w:t>
            </w:r>
          </w:p>
          <w:p w14:paraId="53CF2FE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供应商是非企业专业服务机构的，应提供其有效的“执业许可证”复印件；</w:t>
            </w:r>
          </w:p>
          <w:p w14:paraId="43FD694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供应商是民办非企业单位的，应提供其有效的登记证书复印件；</w:t>
            </w:r>
          </w:p>
          <w:p w14:paraId="0739EF5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供应商是个体工商户的，应提供其有效的 “营业执照”复印件；</w:t>
            </w:r>
          </w:p>
          <w:p w14:paraId="61CA71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供应商是自然人的，应提供其有效的自然人身份证明复印件。</w:t>
            </w:r>
          </w:p>
          <w:p w14:paraId="74DC3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rPr>
              <w:t>（3）财务状况报告：提供</w:t>
            </w:r>
            <w:r>
              <w:rPr>
                <w:rFonts w:hint="default" w:ascii="Calibri" w:hAnsi="Calibri" w:eastAsia="宋体" w:cs="Calibri"/>
                <w:b/>
                <w:bCs/>
                <w:sz w:val="24"/>
                <w:szCs w:val="24"/>
              </w:rPr>
              <w:t>①</w:t>
            </w:r>
            <w:r>
              <w:rPr>
                <w:rFonts w:hint="eastAsia" w:ascii="宋体" w:hAnsi="宋体" w:eastAsia="宋体" w:cs="宋体"/>
                <w:b/>
                <w:bCs/>
                <w:sz w:val="24"/>
                <w:szCs w:val="24"/>
              </w:rPr>
              <w:t>或者</w:t>
            </w:r>
            <w:r>
              <w:rPr>
                <w:rFonts w:hint="default" w:ascii="Calibri" w:hAnsi="Calibri" w:eastAsia="宋体" w:cs="Calibri"/>
                <w:b/>
                <w:bCs/>
                <w:sz w:val="24"/>
                <w:szCs w:val="24"/>
                <w:lang w:val="en-US" w:eastAsia="zh-CN"/>
              </w:rPr>
              <w:t>②</w:t>
            </w:r>
            <w:r>
              <w:rPr>
                <w:rFonts w:hint="eastAsia" w:ascii="宋体" w:hAnsi="宋体" w:eastAsia="宋体" w:cs="宋体"/>
                <w:b/>
                <w:bCs/>
                <w:sz w:val="24"/>
                <w:szCs w:val="24"/>
              </w:rPr>
              <w:t>；</w:t>
            </w:r>
          </w:p>
          <w:p w14:paraId="14D4354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提供2024年度经审计的财务报告，应满足以下要求：</w:t>
            </w:r>
          </w:p>
          <w:p w14:paraId="7D1D756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的，财务报告是指经会计师事务所审计的上述指定年度整个会计年度财务报表（须提供会计师事务所出具的审计报告复印件）,复印件至少须包括审计意见正文、资产负债表、利润表（或损益表）、现金流量表）和会计师事务所营业执照，报告正文应当有会计师事务所公章和2名注册会计师的签字及盖章</w:t>
            </w:r>
            <w:r>
              <w:rPr>
                <w:rFonts w:hint="eastAsia" w:ascii="宋体" w:hAnsi="宋体" w:eastAsia="宋体" w:cs="宋体"/>
                <w:sz w:val="24"/>
                <w:szCs w:val="24"/>
                <w:lang w:eastAsia="zh-CN"/>
              </w:rPr>
              <w:t>，</w:t>
            </w:r>
            <w:r>
              <w:rPr>
                <w:rFonts w:hint="eastAsia" w:ascii="宋体" w:hAnsi="宋体" w:eastAsia="宋体" w:cs="宋体"/>
                <w:sz w:val="24"/>
                <w:szCs w:val="24"/>
              </w:rPr>
              <w:t>且2022年10月1日后出具的审计报告应当经过注册会计师行业统一监管平台备案赋码。</w:t>
            </w:r>
          </w:p>
          <w:p w14:paraId="1742C49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供应商适用《事业单位会计准则》的，财务报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是指上述指定年度整个会计年度财务报表（不要求必须是经审计的），复印件至少须包括资产负债表、收入支出表（或收入费用表）、财政补助收入支出表。</w:t>
            </w:r>
          </w:p>
          <w:p w14:paraId="2322FA6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供应商适用《政府会计准则》的，财务报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是指上述指定年度整个会计年度财务报表（不要求必须是经审计的），复印件至少须包括资产负债表、收入费用表。</w:t>
            </w:r>
          </w:p>
          <w:p w14:paraId="305D71E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供应商适用《民间非营利组织会计制度》的，财务报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是指上述指定年度整个会计年度财务报表（不要求必须是经审计的），复印件至少须包括资产负债表、业务活动表、现金流量表。</w:t>
            </w:r>
          </w:p>
          <w:p w14:paraId="043F1F0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供应商是上述四种情况以外情况的，按照其依法适用的会计制度、财务规则或会计准则提供财务报表复印件（不要求必须是经审计的）。</w:t>
            </w:r>
          </w:p>
          <w:p w14:paraId="7245D66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提供资信证明的，应满足以下要求：</w:t>
            </w:r>
          </w:p>
          <w:p w14:paraId="13D0EA3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资信证明须为首次响应文件递交截止之日前三个月内由磋商供应商开户银行出具。（附《基本存款账户信息》或《银行开户许可证》复印件）</w:t>
            </w:r>
          </w:p>
          <w:p w14:paraId="01B62B4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right="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无论开具银行是否标明“复印无效”，供应商提供的复印件在本次</w:t>
            </w:r>
            <w:r>
              <w:rPr>
                <w:rFonts w:hint="eastAsia" w:ascii="宋体" w:hAnsi="宋体" w:eastAsia="宋体" w:cs="宋体"/>
                <w:sz w:val="24"/>
                <w:szCs w:val="24"/>
                <w:lang w:val="en-US" w:eastAsia="zh-CN"/>
              </w:rPr>
              <w:t>项目</w:t>
            </w:r>
            <w:r>
              <w:rPr>
                <w:rFonts w:hint="eastAsia" w:ascii="宋体" w:hAnsi="宋体" w:eastAsia="宋体" w:cs="宋体"/>
                <w:sz w:val="24"/>
                <w:szCs w:val="24"/>
              </w:rPr>
              <w:t>中予以认可（即不因“复印无效”字样而认定资信证明复印件无效）。银行出具的存款证明不能替代银行资信证明。</w:t>
            </w:r>
          </w:p>
          <w:p w14:paraId="011D0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）税收缴纳证明：</w:t>
            </w:r>
            <w:r>
              <w:rPr>
                <w:rFonts w:hint="eastAsia" w:ascii="宋体" w:hAnsi="宋体" w:eastAsia="宋体" w:cs="宋体"/>
                <w:b/>
                <w:bCs/>
                <w:sz w:val="24"/>
                <w:szCs w:val="24"/>
                <w:lang w:val="en-US" w:eastAsia="zh-Hans"/>
              </w:rPr>
              <w:t>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lang w:val="en-US" w:eastAsia="zh-Hans"/>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lang w:val="en-US" w:eastAsia="zh-Hans"/>
              </w:rPr>
              <w:t>个月的</w:t>
            </w:r>
            <w:r>
              <w:rPr>
                <w:rFonts w:hint="eastAsia" w:ascii="宋体" w:hAnsi="宋体" w:eastAsia="宋体" w:cs="宋体"/>
                <w:b/>
                <w:bCs/>
                <w:sz w:val="24"/>
                <w:szCs w:val="24"/>
              </w:rPr>
              <w:t>依法缴纳税收的相关凭据</w:t>
            </w:r>
            <w:r>
              <w:rPr>
                <w:rFonts w:hint="eastAsia" w:ascii="宋体" w:hAnsi="宋体" w:eastAsia="宋体" w:cs="宋体"/>
                <w:b/>
                <w:bCs/>
                <w:sz w:val="24"/>
                <w:szCs w:val="24"/>
                <w:lang w:val="en-US" w:eastAsia="zh-Hans"/>
              </w:rPr>
              <w:t>（时间以税款所属日期为准、税种须至少包含增值税或企业所得税）；依法免税的供应商，应提供相应文件证明其依法免税。</w:t>
            </w:r>
          </w:p>
          <w:p w14:paraId="305EF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（5）社会保障资金缴纳证明：投标人须提供投标截止时间前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rPr>
              <w:t>个月的社会保障资金缴存单据或社保机构开具的社会保险参保缴费情况证明，单据或证明上应有社保机构或代收机构的公章或业务专用章；依法不需要缴纳社会保障资金的</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，应提供相应文件说明其依法不需要缴纳的证明材料复印件。</w:t>
            </w:r>
          </w:p>
          <w:p w14:paraId="1243CF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）提供具有履行本合同所必需的设备和专业技术能力的说明及承诺书；</w:t>
            </w:r>
          </w:p>
          <w:p w14:paraId="73020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）供应商未被“信用中国”网站（www.creditchina.gov.cn）列入失信被执行人和重大税收违法失信主体，未被中国政府采购网（www.ccgp.gov.cn）列入政府采购严重违法失信行为记录名单，</w:t>
            </w:r>
          </w:p>
          <w:p w14:paraId="16E20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）参加政府采购活动前3年内，在经营活动中没有重大违法记录的书面声明；</w:t>
            </w:r>
          </w:p>
          <w:p w14:paraId="5A581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）控股管理关系：提供直接控股和管理关系清单。若与其他供应商存在单位负责人为同一人或者存在直接控股、管理关系的，则投标无效；</w:t>
            </w:r>
          </w:p>
          <w:p w14:paraId="4561A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本项目不接受联合体投标（提供承诺书）。</w:t>
            </w:r>
          </w:p>
          <w:p w14:paraId="0406D030">
            <w:pPr>
              <w:kinsoku/>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以上为必备资质，缺一项或某项达不到要求，按无效磋商处理。</w:t>
            </w:r>
          </w:p>
        </w:tc>
      </w:tr>
      <w:tr w14:paraId="05DA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0D78E053">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7</w:t>
            </w:r>
          </w:p>
        </w:tc>
        <w:tc>
          <w:tcPr>
            <w:tcW w:w="951" w:type="dxa"/>
            <w:vAlign w:val="center"/>
          </w:tcPr>
          <w:p w14:paraId="407020BA">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14.4</w:t>
            </w:r>
          </w:p>
        </w:tc>
        <w:tc>
          <w:tcPr>
            <w:tcW w:w="7354" w:type="dxa"/>
            <w:shd w:val="clear" w:color="auto" w:fill="auto"/>
          </w:tcPr>
          <w:p w14:paraId="1CBECE47">
            <w:pPr>
              <w:kinsoku/>
              <w:overflowPunct/>
              <w:topLinePunct w:val="0"/>
              <w:bidi w:val="0"/>
              <w:spacing w:line="360" w:lineRule="auto"/>
              <w:ind w:left="0" w:leftChars="0" w:right="0" w:firstLine="480"/>
              <w:rPr>
                <w:rFonts w:hAnsi="宋体" w:cs="宋体"/>
                <w:b/>
                <w:bCs/>
                <w:szCs w:val="24"/>
                <w:highlight w:val="none"/>
              </w:rPr>
            </w:pPr>
            <w:r>
              <w:rPr>
                <w:rFonts w:hint="eastAsia" w:hAnsi="宋体" w:cs="宋体"/>
                <w:b/>
                <w:bCs/>
                <w:szCs w:val="24"/>
                <w:highlight w:val="none"/>
              </w:rPr>
              <w:t>磋商保证金：无（本项目不收取保证金，本文件中涉及的保证金相关事项均不适用）</w:t>
            </w:r>
          </w:p>
          <w:p w14:paraId="25CAF855">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磋商保证金的有效期与磋商有效期一致。</w:t>
            </w:r>
            <w:r>
              <w:rPr>
                <w:rFonts w:hint="eastAsia" w:hAnsi="宋体" w:cs="宋体"/>
                <w:szCs w:val="22"/>
                <w:highlight w:val="none"/>
              </w:rPr>
              <w:t>担保机构出具的保函的有效期为磋商有效期延长一个月。</w:t>
            </w:r>
          </w:p>
          <w:p w14:paraId="14B6EE26">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磋商保证金的缴纳形式：转账、电汇、担保机构保函。</w:t>
            </w:r>
          </w:p>
          <w:p w14:paraId="564379E8">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01D2D2D2">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14:paraId="74BF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329FDC4D">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8</w:t>
            </w:r>
          </w:p>
        </w:tc>
        <w:tc>
          <w:tcPr>
            <w:tcW w:w="951" w:type="dxa"/>
            <w:vAlign w:val="center"/>
          </w:tcPr>
          <w:p w14:paraId="0818FD88">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15.1</w:t>
            </w:r>
          </w:p>
        </w:tc>
        <w:tc>
          <w:tcPr>
            <w:tcW w:w="7354" w:type="dxa"/>
            <w:shd w:val="clear" w:color="auto" w:fill="auto"/>
            <w:vAlign w:val="center"/>
          </w:tcPr>
          <w:p w14:paraId="5F767655">
            <w:pPr>
              <w:kinsoku/>
              <w:overflowPunct/>
              <w:topLinePunct w:val="0"/>
              <w:bidi w:val="0"/>
              <w:spacing w:line="360" w:lineRule="auto"/>
              <w:ind w:left="0" w:leftChars="0" w:right="0"/>
              <w:rPr>
                <w:rFonts w:hAnsi="宋体" w:cs="宋体"/>
                <w:highlight w:val="none"/>
              </w:rPr>
            </w:pPr>
            <w:r>
              <w:rPr>
                <w:rFonts w:hint="eastAsia" w:hAnsi="宋体" w:cs="宋体"/>
                <w:szCs w:val="24"/>
                <w:highlight w:val="none"/>
              </w:rPr>
              <w:t>磋商有效期:提交磋商响应文件的截止之日起90天。</w:t>
            </w:r>
          </w:p>
        </w:tc>
      </w:tr>
      <w:tr w14:paraId="4889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1F370BDA">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9</w:t>
            </w:r>
          </w:p>
        </w:tc>
        <w:tc>
          <w:tcPr>
            <w:tcW w:w="951" w:type="dxa"/>
            <w:vAlign w:val="center"/>
          </w:tcPr>
          <w:p w14:paraId="1E5E5610">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16.1</w:t>
            </w:r>
          </w:p>
        </w:tc>
        <w:tc>
          <w:tcPr>
            <w:tcW w:w="7354" w:type="dxa"/>
            <w:shd w:val="clear" w:color="auto" w:fill="auto"/>
            <w:vAlign w:val="center"/>
          </w:tcPr>
          <w:p w14:paraId="30A12BD2">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正本的份数：壹份；副本的份数：贰份；报价一览表：壹份；电子版（U盘）：壹份（需在盘面上标注供应商全称、项目名称、编号）。</w:t>
            </w:r>
          </w:p>
        </w:tc>
      </w:tr>
      <w:tr w14:paraId="31E9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479F2F98">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10</w:t>
            </w:r>
          </w:p>
        </w:tc>
        <w:tc>
          <w:tcPr>
            <w:tcW w:w="951" w:type="dxa"/>
            <w:vAlign w:val="center"/>
          </w:tcPr>
          <w:p w14:paraId="2ECF4F5E">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17.2</w:t>
            </w:r>
          </w:p>
        </w:tc>
        <w:tc>
          <w:tcPr>
            <w:tcW w:w="7354" w:type="dxa"/>
            <w:shd w:val="clear" w:color="auto" w:fill="auto"/>
            <w:vAlign w:val="center"/>
          </w:tcPr>
          <w:p w14:paraId="4D20D45C">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竞争性磋商响应文件正本、电子版本、报价一览表</w:t>
            </w:r>
            <w:r>
              <w:rPr>
                <w:rFonts w:hint="eastAsia" w:hAnsi="宋体" w:cs="宋体"/>
                <w:szCs w:val="24"/>
                <w:highlight w:val="none"/>
                <w:lang w:eastAsia="zh-CN"/>
              </w:rPr>
              <w:t>；</w:t>
            </w:r>
            <w:r>
              <w:rPr>
                <w:rFonts w:hint="eastAsia" w:hAnsi="宋体" w:cs="宋体"/>
                <w:szCs w:val="24"/>
                <w:highlight w:val="none"/>
              </w:rPr>
              <w:t>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tc>
      </w:tr>
      <w:tr w14:paraId="1C550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5F144826">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11</w:t>
            </w:r>
          </w:p>
        </w:tc>
        <w:tc>
          <w:tcPr>
            <w:tcW w:w="951" w:type="dxa"/>
            <w:vAlign w:val="center"/>
          </w:tcPr>
          <w:p w14:paraId="7A93BAFA">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18.1</w:t>
            </w:r>
          </w:p>
        </w:tc>
        <w:tc>
          <w:tcPr>
            <w:tcW w:w="7354" w:type="dxa"/>
            <w:shd w:val="clear" w:color="auto" w:fill="auto"/>
          </w:tcPr>
          <w:p w14:paraId="789B9391">
            <w:pPr>
              <w:shd w:val="clea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磋商响应文件递交截止时间：详见竞争性磋商公告</w:t>
            </w:r>
          </w:p>
          <w:p w14:paraId="1FEA8C3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360" w:lineRule="auto"/>
              <w:ind w:left="0" w:leftChars="0" w:right="0"/>
              <w:jc w:val="both"/>
              <w:textAlignment w:val="baseline"/>
              <w:rPr>
                <w:rFonts w:hAnsi="宋体" w:cs="宋体"/>
                <w:szCs w:val="24"/>
                <w:highlight w:val="none"/>
              </w:rPr>
            </w:pPr>
            <w:r>
              <w:rPr>
                <w:rFonts w:hint="eastAsia" w:hAnsi="宋体" w:cs="宋体"/>
                <w:szCs w:val="24"/>
                <w:highlight w:val="none"/>
              </w:rPr>
              <w:t>磋商响应文件递交地址：详见竞争性磋商公告</w:t>
            </w:r>
          </w:p>
          <w:p w14:paraId="0825F854">
            <w:pPr>
              <w:shd w:val="clea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磋商响应文件接收人：陕西至诚项目管理集团有限公司</w:t>
            </w:r>
          </w:p>
        </w:tc>
      </w:tr>
      <w:tr w14:paraId="6DBE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24CBB85">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12</w:t>
            </w:r>
          </w:p>
        </w:tc>
        <w:tc>
          <w:tcPr>
            <w:tcW w:w="951" w:type="dxa"/>
            <w:vAlign w:val="center"/>
          </w:tcPr>
          <w:p w14:paraId="3CD62610">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21.1</w:t>
            </w:r>
          </w:p>
        </w:tc>
        <w:tc>
          <w:tcPr>
            <w:tcW w:w="7354" w:type="dxa"/>
            <w:shd w:val="clear" w:color="auto" w:fill="auto"/>
            <w:vAlign w:val="center"/>
          </w:tcPr>
          <w:p w14:paraId="31AC6B16">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磋商时间：详见竞争性磋商公告</w:t>
            </w:r>
          </w:p>
          <w:p w14:paraId="72779D1B">
            <w:pPr>
              <w:kinsoku/>
              <w:overflowPunct/>
              <w:topLinePunct w:val="0"/>
              <w:bidi w:val="0"/>
              <w:spacing w:line="360" w:lineRule="auto"/>
              <w:ind w:left="0" w:leftChars="0" w:right="0"/>
              <w:jc w:val="left"/>
              <w:rPr>
                <w:rFonts w:hAnsi="宋体" w:cs="宋体"/>
                <w:szCs w:val="24"/>
                <w:highlight w:val="none"/>
              </w:rPr>
            </w:pPr>
            <w:r>
              <w:rPr>
                <w:rFonts w:hint="eastAsia" w:hAnsi="宋体" w:cs="宋体"/>
                <w:szCs w:val="24"/>
                <w:highlight w:val="none"/>
              </w:rPr>
              <w:t>磋商地点：详见竞争性磋商公告</w:t>
            </w:r>
            <w:r>
              <w:rPr>
                <w:rFonts w:hint="eastAsia" w:hAnsi="宋体" w:cs="宋体"/>
                <w:szCs w:val="24"/>
                <w:highlight w:val="none"/>
                <w:lang w:val="en-US" w:eastAsia="zh-CN"/>
              </w:rPr>
              <w:t xml:space="preserve">  </w:t>
            </w:r>
          </w:p>
        </w:tc>
      </w:tr>
      <w:tr w14:paraId="01D0B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592" w:type="dxa"/>
            <w:vAlign w:val="center"/>
          </w:tcPr>
          <w:p w14:paraId="2C6E61C0">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13</w:t>
            </w:r>
          </w:p>
        </w:tc>
        <w:tc>
          <w:tcPr>
            <w:tcW w:w="951" w:type="dxa"/>
            <w:vAlign w:val="center"/>
          </w:tcPr>
          <w:p w14:paraId="30693B89">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24.1</w:t>
            </w:r>
          </w:p>
        </w:tc>
        <w:tc>
          <w:tcPr>
            <w:tcW w:w="7354" w:type="dxa"/>
            <w:shd w:val="clear" w:color="auto" w:fill="auto"/>
            <w:vAlign w:val="center"/>
          </w:tcPr>
          <w:p w14:paraId="0EACC336">
            <w:pPr>
              <w:kinsoku/>
              <w:overflowPunct/>
              <w:topLinePunct w:val="0"/>
              <w:bidi w:val="0"/>
              <w:spacing w:line="360" w:lineRule="auto"/>
              <w:ind w:left="0" w:leftChars="0" w:right="0"/>
              <w:jc w:val="left"/>
              <w:rPr>
                <w:rFonts w:hAnsi="宋体" w:cs="宋体"/>
                <w:szCs w:val="24"/>
                <w:highlight w:val="none"/>
              </w:rPr>
            </w:pPr>
            <w:r>
              <w:rPr>
                <w:rFonts w:hint="eastAsia" w:hAnsi="宋体" w:cs="宋体"/>
                <w:b/>
                <w:bCs/>
                <w:szCs w:val="24"/>
                <w:highlight w:val="none"/>
              </w:rPr>
              <w:t>评审方法：综合评分法（详见第三章）</w:t>
            </w:r>
          </w:p>
        </w:tc>
      </w:tr>
      <w:tr w14:paraId="35A10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4719BEFB">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14</w:t>
            </w:r>
          </w:p>
        </w:tc>
        <w:tc>
          <w:tcPr>
            <w:tcW w:w="951" w:type="dxa"/>
            <w:vAlign w:val="center"/>
          </w:tcPr>
          <w:p w14:paraId="16A46AC9">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29</w:t>
            </w:r>
          </w:p>
        </w:tc>
        <w:tc>
          <w:tcPr>
            <w:tcW w:w="7354" w:type="dxa"/>
            <w:vAlign w:val="center"/>
          </w:tcPr>
          <w:p w14:paraId="557A5D7A">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磋商代理服务费：</w:t>
            </w:r>
          </w:p>
          <w:p w14:paraId="4B9344A7">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29.1按</w:t>
            </w:r>
            <w:bookmarkStart w:id="29" w:name="OLE_LINK9"/>
            <w:bookmarkStart w:id="30" w:name="OLE_LINK10"/>
            <w:r>
              <w:rPr>
                <w:rFonts w:hint="eastAsia" w:hAnsi="宋体" w:cs="宋体"/>
                <w:szCs w:val="24"/>
                <w:highlight w:val="none"/>
              </w:rPr>
              <w:t>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r>
              <w:rPr>
                <w:rFonts w:hint="eastAsia" w:hAnsi="宋体" w:cs="宋体"/>
                <w:szCs w:val="24"/>
                <w:highlight w:val="none"/>
                <w:lang w:eastAsia="zh-CN"/>
              </w:rPr>
              <w:t>，</w:t>
            </w:r>
            <w:r>
              <w:rPr>
                <w:rFonts w:hint="eastAsia" w:hAnsi="宋体" w:cs="宋体"/>
                <w:szCs w:val="24"/>
                <w:highlight w:val="none"/>
                <w:lang w:val="en-US" w:eastAsia="zh-CN"/>
              </w:rPr>
              <w:t>不足8000元按8000元收取</w:t>
            </w:r>
            <w:r>
              <w:rPr>
                <w:rFonts w:hint="eastAsia" w:hAnsi="宋体" w:cs="宋体"/>
                <w:szCs w:val="24"/>
                <w:highlight w:val="none"/>
              </w:rPr>
              <w:t>。</w:t>
            </w:r>
            <w:bookmarkEnd w:id="29"/>
            <w:bookmarkEnd w:id="30"/>
          </w:p>
          <w:p w14:paraId="552B577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14:paraId="40A12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2ACC8EDA">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15</w:t>
            </w:r>
          </w:p>
        </w:tc>
        <w:tc>
          <w:tcPr>
            <w:tcW w:w="951" w:type="dxa"/>
            <w:vAlign w:val="center"/>
          </w:tcPr>
          <w:p w14:paraId="145AE6C1">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踏勘</w:t>
            </w:r>
          </w:p>
          <w:p w14:paraId="5D8B84F3">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现场</w:t>
            </w:r>
          </w:p>
        </w:tc>
        <w:tc>
          <w:tcPr>
            <w:tcW w:w="7354" w:type="dxa"/>
            <w:vAlign w:val="center"/>
          </w:tcPr>
          <w:p w14:paraId="09B8703B">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1）招标代理机构不组织统一踏勘，各投标人自行踏勘，相关费用及安全由投标人自行承担，踏勘时遵守相关规定，不得扰民。</w:t>
            </w:r>
          </w:p>
          <w:p w14:paraId="4B08DB16">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2）踏勘内容包含：完成本次招标所需要的现场情况及周围环境等资料。</w:t>
            </w:r>
          </w:p>
        </w:tc>
      </w:tr>
      <w:tr w14:paraId="77923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8314309">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16</w:t>
            </w:r>
          </w:p>
        </w:tc>
        <w:tc>
          <w:tcPr>
            <w:tcW w:w="951" w:type="dxa"/>
            <w:vAlign w:val="center"/>
          </w:tcPr>
          <w:p w14:paraId="045F6740">
            <w:pPr>
              <w:kinsoku/>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银行</w:t>
            </w:r>
          </w:p>
          <w:p w14:paraId="1409E823">
            <w:pPr>
              <w:kinsoku/>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账户</w:t>
            </w:r>
          </w:p>
          <w:p w14:paraId="67FF4321">
            <w:pPr>
              <w:kinsoku/>
              <w:overflowPunct/>
              <w:topLinePunct w:val="0"/>
              <w:bidi w:val="0"/>
              <w:spacing w:line="360" w:lineRule="auto"/>
              <w:ind w:left="0" w:leftChars="0" w:right="0"/>
              <w:jc w:val="center"/>
              <w:rPr>
                <w:rFonts w:hAnsi="宋体" w:cs="宋体"/>
                <w:szCs w:val="24"/>
                <w:highlight w:val="none"/>
              </w:rPr>
            </w:pPr>
            <w:r>
              <w:rPr>
                <w:rFonts w:hint="eastAsia" w:hAnsi="宋体" w:cs="宋体"/>
                <w:b/>
                <w:bCs/>
                <w:szCs w:val="24"/>
                <w:highlight w:val="none"/>
              </w:rPr>
              <w:t>信息</w:t>
            </w:r>
          </w:p>
        </w:tc>
        <w:tc>
          <w:tcPr>
            <w:tcW w:w="7354" w:type="dxa"/>
            <w:vAlign w:val="center"/>
          </w:tcPr>
          <w:p w14:paraId="42AC581A">
            <w:pPr>
              <w:kinsoku/>
              <w:overflowPunct/>
              <w:topLinePunct w:val="0"/>
              <w:bidi w:val="0"/>
              <w:spacing w:line="360" w:lineRule="auto"/>
              <w:ind w:left="0" w:leftChars="0" w:right="0"/>
              <w:rPr>
                <w:rFonts w:hAnsi="宋体" w:cs="宋体"/>
                <w:b/>
                <w:bCs/>
                <w:szCs w:val="24"/>
                <w:highlight w:val="none"/>
              </w:rPr>
            </w:pPr>
            <w:r>
              <w:rPr>
                <w:rFonts w:hint="eastAsia" w:hAnsi="宋体" w:cs="宋体"/>
                <w:b/>
                <w:bCs/>
                <w:szCs w:val="24"/>
                <w:highlight w:val="none"/>
              </w:rPr>
              <w:t>1、代理服务费账户：</w:t>
            </w:r>
          </w:p>
          <w:p w14:paraId="136BB492">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①采购代理机构开户名称: 陕西至诚项目管理集团有限公司</w:t>
            </w:r>
          </w:p>
          <w:p w14:paraId="32CF0A00">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②开户行名称：中国建设银行股份有限公司西安高新技术产业开发区支行</w:t>
            </w:r>
          </w:p>
          <w:p w14:paraId="0EA172C8">
            <w:pPr>
              <w:pStyle w:val="11"/>
              <w:kinsoku/>
              <w:overflowPunct/>
              <w:topLinePunct w:val="0"/>
              <w:bidi w:val="0"/>
              <w:spacing w:after="0" w:line="360" w:lineRule="auto"/>
              <w:ind w:left="0" w:leftChars="0" w:right="0"/>
              <w:rPr>
                <w:rFonts w:ascii="宋体" w:hAnsi="宋体" w:cs="宋体"/>
                <w:szCs w:val="24"/>
                <w:highlight w:val="none"/>
              </w:rPr>
            </w:pPr>
            <w:r>
              <w:rPr>
                <w:rFonts w:hint="eastAsia" w:ascii="宋体" w:hAnsi="宋体" w:cs="宋体"/>
                <w:b/>
                <w:bCs/>
                <w:sz w:val="24"/>
                <w:szCs w:val="24"/>
                <w:highlight w:val="none"/>
              </w:rPr>
              <w:t>2、账号：61050192090000002152</w:t>
            </w:r>
          </w:p>
        </w:tc>
      </w:tr>
      <w:tr w14:paraId="32EC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1E9E102">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17</w:t>
            </w:r>
          </w:p>
        </w:tc>
        <w:tc>
          <w:tcPr>
            <w:tcW w:w="951" w:type="dxa"/>
            <w:shd w:val="clear" w:color="auto" w:fill="auto"/>
            <w:vAlign w:val="center"/>
          </w:tcPr>
          <w:p w14:paraId="25DBE080">
            <w:pPr>
              <w:widowControl/>
              <w:kinsoku/>
              <w:overflowPunct/>
              <w:topLinePunct w:val="0"/>
              <w:bidi w:val="0"/>
              <w:spacing w:line="360" w:lineRule="auto"/>
              <w:ind w:left="0" w:leftChars="0" w:right="0"/>
              <w:jc w:val="center"/>
              <w:rPr>
                <w:rFonts w:hAnsi="宋体" w:cs="宋体"/>
                <w:b/>
                <w:bCs/>
                <w:color w:val="auto"/>
                <w:szCs w:val="24"/>
                <w:highlight w:val="none"/>
              </w:rPr>
            </w:pPr>
            <w:r>
              <w:rPr>
                <w:rFonts w:hint="eastAsia" w:hAnsi="宋体" w:cs="宋体"/>
                <w:b/>
                <w:bCs/>
                <w:color w:val="auto"/>
                <w:szCs w:val="24"/>
                <w:highlight w:val="none"/>
              </w:rPr>
              <w:t>项目</w:t>
            </w:r>
          </w:p>
          <w:p w14:paraId="442E1D93">
            <w:pPr>
              <w:widowControl/>
              <w:kinsoku/>
              <w:overflowPunct/>
              <w:topLinePunct w:val="0"/>
              <w:bidi w:val="0"/>
              <w:spacing w:line="360" w:lineRule="auto"/>
              <w:ind w:left="0" w:leftChars="0" w:right="0"/>
              <w:jc w:val="center"/>
              <w:rPr>
                <w:rFonts w:hAnsi="宋体" w:cs="宋体"/>
                <w:b/>
                <w:bCs/>
                <w:color w:val="auto"/>
                <w:szCs w:val="24"/>
                <w:highlight w:val="none"/>
              </w:rPr>
            </w:pPr>
            <w:r>
              <w:rPr>
                <w:rFonts w:hint="eastAsia" w:hAnsi="宋体" w:cs="宋体"/>
                <w:b/>
                <w:bCs/>
                <w:color w:val="auto"/>
                <w:szCs w:val="24"/>
                <w:highlight w:val="none"/>
              </w:rPr>
              <w:t>性质</w:t>
            </w:r>
          </w:p>
        </w:tc>
        <w:tc>
          <w:tcPr>
            <w:tcW w:w="7354" w:type="dxa"/>
            <w:shd w:val="clear" w:color="auto" w:fill="auto"/>
            <w:vAlign w:val="center"/>
          </w:tcPr>
          <w:p w14:paraId="759B1271">
            <w:pPr>
              <w:kinsoku/>
              <w:overflowPunct/>
              <w:topLinePunct w:val="0"/>
              <w:bidi w:val="0"/>
              <w:spacing w:line="360" w:lineRule="auto"/>
              <w:ind w:left="0" w:leftChars="0" w:right="0"/>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本项目不专门面对中小企业</w:t>
            </w:r>
          </w:p>
        </w:tc>
      </w:tr>
      <w:tr w14:paraId="49A0B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AB53DA2">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18</w:t>
            </w:r>
          </w:p>
        </w:tc>
        <w:tc>
          <w:tcPr>
            <w:tcW w:w="951" w:type="dxa"/>
            <w:vAlign w:val="center"/>
          </w:tcPr>
          <w:p w14:paraId="4911992A">
            <w:pPr>
              <w:widowControl/>
              <w:kinsoku/>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项目所属行业</w:t>
            </w:r>
          </w:p>
        </w:tc>
        <w:tc>
          <w:tcPr>
            <w:tcW w:w="7354" w:type="dxa"/>
            <w:vAlign w:val="center"/>
          </w:tcPr>
          <w:p w14:paraId="1FF282F9">
            <w:pPr>
              <w:kinsoku/>
              <w:overflowPunct/>
              <w:topLinePunct w:val="0"/>
              <w:bidi w:val="0"/>
              <w:spacing w:line="360" w:lineRule="auto"/>
              <w:ind w:left="0" w:leftChars="0" w:right="0"/>
              <w:rPr>
                <w:rFonts w:hint="eastAsia" w:hAnsi="宋体" w:eastAsia="宋体" w:cs="宋体"/>
                <w:b/>
                <w:bCs/>
                <w:szCs w:val="24"/>
                <w:highlight w:val="none"/>
                <w:lang w:eastAsia="zh-CN"/>
              </w:rPr>
            </w:pPr>
            <w:r>
              <w:rPr>
                <w:rFonts w:hint="eastAsia" w:hAnsi="宋体" w:cs="宋体"/>
                <w:b/>
                <w:bCs/>
                <w:szCs w:val="24"/>
                <w:highlight w:val="none"/>
                <w:lang w:val="en-US" w:eastAsia="zh-CN"/>
              </w:rPr>
              <w:t>其他未列明行业</w:t>
            </w:r>
          </w:p>
        </w:tc>
      </w:tr>
      <w:tr w14:paraId="6CB9B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809754B">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19</w:t>
            </w:r>
          </w:p>
        </w:tc>
        <w:tc>
          <w:tcPr>
            <w:tcW w:w="951" w:type="dxa"/>
            <w:vAlign w:val="center"/>
          </w:tcPr>
          <w:p w14:paraId="5FB1124E">
            <w:pPr>
              <w:widowControl/>
              <w:kinsoku/>
              <w:overflowPunct/>
              <w:topLinePunct w:val="0"/>
              <w:bidi w:val="0"/>
              <w:spacing w:line="360" w:lineRule="auto"/>
              <w:ind w:left="0" w:leftChars="0" w:right="0"/>
              <w:jc w:val="center"/>
              <w:rPr>
                <w:rFonts w:hAnsi="宋体" w:cs="宋体"/>
                <w:b/>
                <w:bCs/>
                <w:szCs w:val="24"/>
                <w:highlight w:val="none"/>
              </w:rPr>
            </w:pPr>
            <w:r>
              <w:rPr>
                <w:rFonts w:hint="eastAsia" w:hAnsi="宋体" w:cs="宋体"/>
                <w:kern w:val="2"/>
                <w:szCs w:val="24"/>
                <w:highlight w:val="none"/>
              </w:rPr>
              <w:t>其他</w:t>
            </w:r>
          </w:p>
        </w:tc>
        <w:tc>
          <w:tcPr>
            <w:tcW w:w="7354" w:type="dxa"/>
            <w:vAlign w:val="center"/>
          </w:tcPr>
          <w:p w14:paraId="0606C580">
            <w:pPr>
              <w:kinsoku/>
              <w:overflowPunct/>
              <w:topLinePunct w:val="0"/>
              <w:bidi w:val="0"/>
              <w:spacing w:line="360" w:lineRule="auto"/>
              <w:ind w:left="0" w:leftChars="0" w:right="0" w:firstLine="480" w:firstLineChars="200"/>
              <w:rPr>
                <w:rFonts w:hAnsi="宋体" w:cs="宋体"/>
                <w:szCs w:val="32"/>
                <w:highlight w:val="none"/>
              </w:rPr>
            </w:pPr>
            <w:r>
              <w:rPr>
                <w:rFonts w:hint="eastAsia" w:hAnsi="宋体" w:cs="宋体"/>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B132265">
            <w:pPr>
              <w:kinsoku/>
              <w:overflowPunct/>
              <w:topLinePunct w:val="0"/>
              <w:bidi w:val="0"/>
              <w:spacing w:line="360" w:lineRule="auto"/>
              <w:ind w:left="0" w:leftChars="0" w:right="0"/>
              <w:rPr>
                <w:rFonts w:hAnsi="宋体" w:cs="宋体"/>
                <w:szCs w:val="32"/>
                <w:highlight w:val="none"/>
              </w:rPr>
            </w:pPr>
            <w:r>
              <w:rPr>
                <w:rFonts w:hint="eastAsia" w:hAnsi="宋体" w:cs="宋体"/>
                <w:szCs w:val="32"/>
                <w:highlight w:val="none"/>
              </w:rPr>
              <w:t>(http://www.ccgp-shaanxi.gov.cn/zcdservice/zcd/shan xi/）在线申请，依法参加政府采购信用融资活动。</w:t>
            </w:r>
          </w:p>
          <w:p w14:paraId="4B600025">
            <w:pPr>
              <w:kinsoku/>
              <w:overflowPunct/>
              <w:topLinePunct w:val="0"/>
              <w:bidi w:val="0"/>
              <w:spacing w:line="360" w:lineRule="auto"/>
              <w:ind w:left="0" w:leftChars="0" w:right="0" w:firstLine="480" w:firstLineChars="200"/>
              <w:rPr>
                <w:rFonts w:hAnsi="宋体" w:cs="宋体"/>
                <w:b/>
                <w:bCs/>
                <w:szCs w:val="24"/>
                <w:highlight w:val="none"/>
              </w:rPr>
            </w:pPr>
            <w:r>
              <w:rPr>
                <w:rFonts w:hint="eastAsia" w:hAnsi="宋体" w:cs="宋体"/>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5659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46B6B0">
            <w:pPr>
              <w:widowControl/>
              <w:kinsoku/>
              <w:overflowPunct/>
              <w:topLinePunct w:val="0"/>
              <w:bidi w:val="0"/>
              <w:spacing w:line="360" w:lineRule="auto"/>
              <w:ind w:left="0" w:leftChars="0" w:right="0"/>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20</w:t>
            </w:r>
          </w:p>
        </w:tc>
        <w:tc>
          <w:tcPr>
            <w:tcW w:w="951" w:type="dxa"/>
            <w:vAlign w:val="center"/>
          </w:tcPr>
          <w:p w14:paraId="0C9EED0F">
            <w:pPr>
              <w:widowControl/>
              <w:kinsoku/>
              <w:overflowPunct/>
              <w:topLinePunct w:val="0"/>
              <w:bidi w:val="0"/>
              <w:spacing w:line="360" w:lineRule="auto"/>
              <w:ind w:left="0" w:leftChars="0" w:right="0"/>
              <w:jc w:val="center"/>
              <w:rPr>
                <w:rFonts w:hAnsi="宋体" w:cs="宋体"/>
                <w:b/>
                <w:bCs/>
                <w:szCs w:val="24"/>
                <w:highlight w:val="none"/>
              </w:rPr>
            </w:pPr>
            <w:r>
              <w:rPr>
                <w:rFonts w:hint="eastAsia" w:hAnsi="宋体" w:cs="宋体"/>
                <w:b/>
                <w:bCs/>
                <w:szCs w:val="24"/>
                <w:highlight w:val="none"/>
              </w:rPr>
              <w:t>备注</w:t>
            </w:r>
          </w:p>
        </w:tc>
        <w:tc>
          <w:tcPr>
            <w:tcW w:w="7354" w:type="dxa"/>
            <w:vAlign w:val="center"/>
          </w:tcPr>
          <w:p w14:paraId="4304D307">
            <w:pPr>
              <w:kinsoku/>
              <w:overflowPunct/>
              <w:topLinePunct w:val="0"/>
              <w:bidi w:val="0"/>
              <w:spacing w:line="360" w:lineRule="auto"/>
              <w:ind w:right="0"/>
              <w:rPr>
                <w:rFonts w:hAnsi="宋体" w:cs="宋体"/>
                <w:b/>
                <w:bCs/>
                <w:szCs w:val="24"/>
                <w:highlight w:val="none"/>
              </w:rPr>
            </w:pPr>
            <w:r>
              <w:rPr>
                <w:rFonts w:hint="eastAsia" w:hAnsi="宋体" w:cs="宋体"/>
                <w:b/>
                <w:bCs/>
                <w:szCs w:val="24"/>
                <w:highlight w:val="none"/>
              </w:rPr>
              <w:t>供应商注册登记提醒：</w:t>
            </w:r>
          </w:p>
          <w:p w14:paraId="7C44B9C2">
            <w:pPr>
              <w:kinsoku/>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14:paraId="7E9814FB">
      <w:pPr>
        <w:kinsoku/>
        <w:overflowPunct/>
        <w:topLinePunct w:val="0"/>
        <w:bidi w:val="0"/>
        <w:spacing w:line="360" w:lineRule="auto"/>
        <w:ind w:left="0" w:leftChars="0" w:right="0"/>
        <w:jc w:val="center"/>
        <w:outlineLvl w:val="2"/>
        <w:rPr>
          <w:rFonts w:hAnsi="宋体" w:cs="宋体"/>
          <w:sz w:val="32"/>
          <w:szCs w:val="32"/>
          <w:highlight w:val="none"/>
        </w:rPr>
      </w:pPr>
      <w:bookmarkStart w:id="31" w:name="_Toc363473972"/>
      <w:bookmarkStart w:id="32" w:name="_Toc403077639"/>
      <w:bookmarkStart w:id="33" w:name="_Toc363474017"/>
      <w:r>
        <w:rPr>
          <w:rFonts w:hint="eastAsia" w:hAnsi="宋体" w:cs="宋体"/>
          <w:b/>
          <w:sz w:val="32"/>
          <w:szCs w:val="32"/>
          <w:highlight w:val="none"/>
        </w:rPr>
        <w:br w:type="page"/>
      </w:r>
      <w:bookmarkStart w:id="34" w:name="_Toc22440"/>
      <w:bookmarkStart w:id="35" w:name="_Toc27537"/>
      <w:bookmarkStart w:id="36" w:name="_Toc3623"/>
      <w:bookmarkStart w:id="37" w:name="_Toc4670"/>
      <w:r>
        <w:rPr>
          <w:rFonts w:hint="eastAsia" w:hAnsi="宋体" w:cs="宋体"/>
          <w:b/>
          <w:sz w:val="32"/>
          <w:szCs w:val="32"/>
          <w:highlight w:val="none"/>
        </w:rPr>
        <w:t>一.总  则</w:t>
      </w:r>
      <w:bookmarkEnd w:id="31"/>
      <w:bookmarkEnd w:id="32"/>
      <w:bookmarkEnd w:id="33"/>
      <w:bookmarkEnd w:id="34"/>
      <w:bookmarkEnd w:id="35"/>
      <w:bookmarkEnd w:id="36"/>
      <w:bookmarkEnd w:id="37"/>
    </w:p>
    <w:p w14:paraId="141C4AE5">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1.资金来源</w:t>
      </w:r>
    </w:p>
    <w:p w14:paraId="3D60B541">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1.1本次竞争性磋商所签合同使用</w:t>
      </w:r>
      <w:r>
        <w:rPr>
          <w:rFonts w:hint="eastAsia" w:hAnsi="宋体" w:cs="宋体"/>
          <w:szCs w:val="24"/>
          <w:highlight w:val="none"/>
          <w:lang w:val="en-US" w:eastAsia="zh-CN"/>
        </w:rPr>
        <w:t>就业补助专项资金</w:t>
      </w:r>
      <w:r>
        <w:rPr>
          <w:rFonts w:hint="eastAsia" w:hAnsi="宋体" w:cs="宋体"/>
          <w:szCs w:val="24"/>
          <w:highlight w:val="none"/>
        </w:rPr>
        <w:t>支付，资金已落实到位。</w:t>
      </w:r>
    </w:p>
    <w:p w14:paraId="3B65836D">
      <w:pPr>
        <w:numPr>
          <w:ilvl w:val="0"/>
          <w:numId w:val="6"/>
        </w:numPr>
        <w:kinsoku/>
        <w:overflowPunct/>
        <w:topLinePunct w:val="0"/>
        <w:bidi w:val="0"/>
        <w:spacing w:line="360" w:lineRule="auto"/>
        <w:ind w:left="0" w:leftChars="0" w:right="0"/>
        <w:rPr>
          <w:rFonts w:hAnsi="宋体" w:cs="宋体"/>
          <w:b/>
          <w:szCs w:val="24"/>
          <w:highlight w:val="none"/>
        </w:rPr>
      </w:pPr>
      <w:bookmarkStart w:id="38" w:name="_Toc363473973"/>
      <w:bookmarkStart w:id="39" w:name="_Toc363474018"/>
      <w:bookmarkStart w:id="40" w:name="_Toc403077640"/>
      <w:r>
        <w:rPr>
          <w:rFonts w:hint="eastAsia" w:hAnsi="宋体" w:cs="宋体"/>
          <w:b/>
          <w:szCs w:val="24"/>
          <w:highlight w:val="none"/>
        </w:rPr>
        <w:t>名词解释</w:t>
      </w:r>
    </w:p>
    <w:p w14:paraId="723FD223">
      <w:pPr>
        <w:tabs>
          <w:tab w:val="left" w:pos="7665"/>
        </w:tabs>
        <w:kinsoku/>
        <w:overflowPunct/>
        <w:topLinePunct w:val="0"/>
        <w:bidi w:val="0"/>
        <w:spacing w:line="360" w:lineRule="auto"/>
        <w:ind w:left="0" w:leftChars="0" w:right="0" w:firstLine="480" w:firstLineChars="200"/>
        <w:rPr>
          <w:rFonts w:hint="default" w:hAnsi="宋体" w:cs="宋体"/>
          <w:szCs w:val="22"/>
          <w:highlight w:val="none"/>
          <w:lang w:val="en-US" w:eastAsia="zh-CN"/>
        </w:rPr>
      </w:pPr>
      <w:r>
        <w:rPr>
          <w:rFonts w:hint="eastAsia" w:hAnsi="宋体" w:cs="宋体"/>
          <w:szCs w:val="22"/>
          <w:highlight w:val="none"/>
        </w:rPr>
        <w:t>2.1采购人：</w:t>
      </w:r>
      <w:r>
        <w:rPr>
          <w:rFonts w:hint="eastAsia" w:hAnsi="宋体" w:cs="宋体"/>
          <w:szCs w:val="22"/>
          <w:highlight w:val="none"/>
          <w:lang w:val="en-US" w:eastAsia="zh-CN"/>
        </w:rPr>
        <w:t>陕西省应急管理厅</w:t>
      </w:r>
    </w:p>
    <w:p w14:paraId="33469030">
      <w:pPr>
        <w:tabs>
          <w:tab w:val="left" w:pos="7665"/>
        </w:tabs>
        <w:kinsoku/>
        <w:overflowPunct/>
        <w:topLinePunct w:val="0"/>
        <w:bidi w:val="0"/>
        <w:spacing w:line="360" w:lineRule="auto"/>
        <w:ind w:left="0" w:leftChars="0" w:right="0" w:firstLine="480" w:firstLineChars="200"/>
        <w:rPr>
          <w:rFonts w:hAnsi="宋体" w:cs="宋体"/>
          <w:szCs w:val="22"/>
          <w:highlight w:val="none"/>
        </w:rPr>
      </w:pPr>
      <w:r>
        <w:rPr>
          <w:rFonts w:hint="eastAsia" w:hAnsi="宋体" w:cs="宋体"/>
          <w:szCs w:val="22"/>
          <w:highlight w:val="none"/>
        </w:rPr>
        <w:t>2.2监督机构：同级人民政府财政部门</w:t>
      </w:r>
    </w:p>
    <w:p w14:paraId="2C4D9C27">
      <w:pPr>
        <w:tabs>
          <w:tab w:val="left" w:pos="7665"/>
        </w:tabs>
        <w:kinsoku/>
        <w:overflowPunct/>
        <w:topLinePunct w:val="0"/>
        <w:bidi w:val="0"/>
        <w:spacing w:line="360" w:lineRule="auto"/>
        <w:ind w:left="0" w:leftChars="0" w:right="0" w:firstLine="480" w:firstLineChars="200"/>
        <w:rPr>
          <w:rFonts w:hAnsi="宋体" w:cs="宋体"/>
          <w:highlight w:val="none"/>
        </w:rPr>
      </w:pPr>
      <w:r>
        <w:rPr>
          <w:rFonts w:hint="eastAsia" w:hAnsi="宋体" w:cs="宋体"/>
          <w:szCs w:val="22"/>
          <w:highlight w:val="none"/>
        </w:rPr>
        <w:t>2.3采购代理机构：陕西至诚项目管理集团有限公司</w:t>
      </w:r>
    </w:p>
    <w:p w14:paraId="060F64DC">
      <w:pPr>
        <w:tabs>
          <w:tab w:val="left" w:pos="7665"/>
        </w:tabs>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14:paraId="094EEEAD">
      <w:pPr>
        <w:kinsoku/>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2.5产品是指本竞争性磋商文件中第四章所述所有产品。</w:t>
      </w:r>
    </w:p>
    <w:p w14:paraId="47D2A720">
      <w:pPr>
        <w:kinsoku/>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2.6服务是指供应商为满足竞争性磋商文件要求而提供的服务。</w:t>
      </w:r>
    </w:p>
    <w:p w14:paraId="24E01A3A">
      <w:pPr>
        <w:kinsoku/>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14:paraId="33B9BDB0">
      <w:pPr>
        <w:kinsoku/>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14:paraId="64AE4520">
      <w:pPr>
        <w:kinsoku/>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14:paraId="1B80E235">
      <w:pPr>
        <w:kinsoku/>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1377A6">
      <w:pPr>
        <w:kinsoku/>
        <w:overflowPunct/>
        <w:topLinePunct w:val="0"/>
        <w:bidi w:val="0"/>
        <w:adjustRightInd w:val="0"/>
        <w:snapToGrid w:val="0"/>
        <w:spacing w:line="360" w:lineRule="auto"/>
        <w:ind w:left="0" w:leftChars="0" w:right="0"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14:paraId="19F302C1">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3.合格的供应商</w:t>
      </w:r>
    </w:p>
    <w:p w14:paraId="4DEB954E">
      <w:pPr>
        <w:tabs>
          <w:tab w:val="left" w:pos="851"/>
        </w:tabs>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3.1《</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》第二十二条第一款规定的供应商基本资格条件:</w:t>
      </w:r>
    </w:p>
    <w:p w14:paraId="64F984B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40541D7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45957E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6829CB6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579868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0C2E013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2E672315">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14:paraId="2F84F16A">
      <w:pPr>
        <w:kinsoku/>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14:paraId="333F0DB1">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14:paraId="74D6AC9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3.5本项目不接受联合体磋商。</w:t>
      </w:r>
    </w:p>
    <w:p w14:paraId="1915A53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14:paraId="73D94FFF">
      <w:pPr>
        <w:tabs>
          <w:tab w:val="left" w:pos="747"/>
        </w:tabs>
        <w:kinsoku/>
        <w:overflowPunct/>
        <w:topLinePunct w:val="0"/>
        <w:bidi w:val="0"/>
        <w:snapToGrid w:val="0"/>
        <w:spacing w:line="360" w:lineRule="auto"/>
        <w:ind w:left="0" w:leftChars="0" w:right="0"/>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14:paraId="5B5E518E">
      <w:pPr>
        <w:tabs>
          <w:tab w:val="left" w:pos="747"/>
        </w:tabs>
        <w:kinsoku/>
        <w:overflowPunct/>
        <w:topLinePunct w:val="0"/>
        <w:bidi w:val="0"/>
        <w:snapToGrid w:val="0"/>
        <w:spacing w:line="360" w:lineRule="auto"/>
        <w:ind w:left="0" w:leftChars="0" w:right="0"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14:paraId="1AC28A6F">
      <w:pPr>
        <w:tabs>
          <w:tab w:val="left" w:pos="747"/>
        </w:tabs>
        <w:kinsoku/>
        <w:overflowPunct/>
        <w:topLinePunct w:val="0"/>
        <w:bidi w:val="0"/>
        <w:snapToGrid w:val="0"/>
        <w:spacing w:line="360" w:lineRule="auto"/>
        <w:ind w:left="0" w:leftChars="0" w:right="0"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14:paraId="479DD2DA">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5.竞争性磋商响应文件内容的真实性</w:t>
      </w:r>
    </w:p>
    <w:p w14:paraId="4802E22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5BDD95BA">
      <w:pPr>
        <w:keepNext/>
        <w:keepLines/>
        <w:kinsoku/>
        <w:overflowPunct/>
        <w:topLinePunct w:val="0"/>
        <w:bidi w:val="0"/>
        <w:spacing w:line="360" w:lineRule="auto"/>
        <w:ind w:left="0" w:leftChars="0" w:right="0"/>
        <w:jc w:val="center"/>
        <w:outlineLvl w:val="2"/>
        <w:rPr>
          <w:rFonts w:hAnsi="宋体" w:cs="宋体"/>
          <w:b/>
          <w:sz w:val="32"/>
          <w:szCs w:val="32"/>
          <w:highlight w:val="none"/>
        </w:rPr>
      </w:pPr>
      <w:bookmarkStart w:id="41" w:name="_Toc30698"/>
      <w:bookmarkStart w:id="42" w:name="_Toc27903"/>
      <w:bookmarkStart w:id="43" w:name="_Toc31742"/>
      <w:bookmarkStart w:id="44" w:name="_Toc6503"/>
      <w:r>
        <w:rPr>
          <w:rFonts w:hint="eastAsia" w:hAnsi="宋体" w:cs="宋体"/>
          <w:b/>
          <w:sz w:val="32"/>
          <w:szCs w:val="32"/>
          <w:highlight w:val="none"/>
        </w:rPr>
        <w:t>二.竞争性磋商文件</w:t>
      </w:r>
      <w:bookmarkEnd w:id="38"/>
      <w:bookmarkEnd w:id="39"/>
      <w:bookmarkEnd w:id="40"/>
      <w:bookmarkEnd w:id="41"/>
      <w:bookmarkEnd w:id="42"/>
      <w:bookmarkEnd w:id="43"/>
      <w:bookmarkEnd w:id="44"/>
    </w:p>
    <w:p w14:paraId="65B3BE6D">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6.竞争性磋商文件构成</w:t>
      </w:r>
    </w:p>
    <w:p w14:paraId="145C225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14:paraId="006EB247">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第一章 竞争性磋商公告</w:t>
      </w:r>
    </w:p>
    <w:p w14:paraId="63B83665">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第二章 供应商须知</w:t>
      </w:r>
    </w:p>
    <w:p w14:paraId="60A1998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第三章 评审方法    </w:t>
      </w:r>
    </w:p>
    <w:p w14:paraId="774CA8D5">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第四章 合同条款及格式</w:t>
      </w:r>
    </w:p>
    <w:p w14:paraId="180C489A">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第五章 磋商内容及技术要求</w:t>
      </w:r>
    </w:p>
    <w:p w14:paraId="4BC9330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14:paraId="3CB3D131">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7204B2F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14:paraId="56AD9EF5">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7.竞争性磋商文件的修改和澄清</w:t>
      </w:r>
    </w:p>
    <w:p w14:paraId="5D22545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3E5F6170">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14D8440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04A8F49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14:paraId="2A6CE647">
      <w:pPr>
        <w:keepNext/>
        <w:keepLines/>
        <w:kinsoku/>
        <w:overflowPunct/>
        <w:topLinePunct w:val="0"/>
        <w:bidi w:val="0"/>
        <w:spacing w:line="360" w:lineRule="auto"/>
        <w:ind w:left="0" w:leftChars="0" w:right="0"/>
        <w:jc w:val="center"/>
        <w:outlineLvl w:val="2"/>
        <w:rPr>
          <w:rFonts w:hAnsi="宋体" w:cs="宋体"/>
          <w:b/>
          <w:sz w:val="32"/>
          <w:szCs w:val="32"/>
          <w:highlight w:val="none"/>
        </w:rPr>
      </w:pPr>
      <w:bookmarkStart w:id="45" w:name="_Toc13771"/>
      <w:bookmarkStart w:id="46" w:name="_Toc363473974"/>
      <w:bookmarkStart w:id="47" w:name="_Toc11618"/>
      <w:bookmarkStart w:id="48" w:name="_Toc26653"/>
      <w:bookmarkStart w:id="49" w:name="_Toc28227"/>
      <w:bookmarkStart w:id="50" w:name="_Toc363474019"/>
      <w:bookmarkStart w:id="51" w:name="_Toc403077641"/>
      <w:r>
        <w:rPr>
          <w:rFonts w:hint="eastAsia" w:hAnsi="宋体" w:cs="宋体"/>
          <w:b/>
          <w:sz w:val="32"/>
          <w:szCs w:val="32"/>
          <w:highlight w:val="none"/>
        </w:rPr>
        <w:t>三.磋商响应文件的编制</w:t>
      </w:r>
      <w:bookmarkEnd w:id="45"/>
      <w:bookmarkEnd w:id="46"/>
      <w:bookmarkEnd w:id="47"/>
      <w:bookmarkEnd w:id="48"/>
      <w:bookmarkEnd w:id="49"/>
      <w:bookmarkEnd w:id="50"/>
      <w:bookmarkEnd w:id="51"/>
    </w:p>
    <w:p w14:paraId="78371B52">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8. 磋商语言和磋商货币</w:t>
      </w:r>
    </w:p>
    <w:p w14:paraId="5366F7BF">
      <w:pPr>
        <w:kinsoku/>
        <w:overflowPunct/>
        <w:topLinePunct w:val="0"/>
        <w:bidi w:val="0"/>
        <w:spacing w:line="360" w:lineRule="auto"/>
        <w:ind w:left="0" w:leftChars="0" w:right="0"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14:paraId="5E0D7AD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14:paraId="4D7EB4AE">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9.竞争性磋商响应文件的构成</w:t>
      </w:r>
    </w:p>
    <w:p w14:paraId="139CF0F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14:paraId="30E816D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14:paraId="7A12CDA7">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14:paraId="22C758E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14:paraId="3E85F82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（4）按照本须知第14条要求提交的磋商保证金。</w:t>
      </w:r>
    </w:p>
    <w:p w14:paraId="1196B98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（5）竞争磋商文件中要求的其他证明文件。</w:t>
      </w:r>
    </w:p>
    <w:p w14:paraId="62A8091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14:paraId="36D8FCD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5BB69E88">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 xml:space="preserve">10.竞争性磋商响应文件格式 </w:t>
      </w:r>
    </w:p>
    <w:p w14:paraId="0AAFE58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5C2AC81B">
      <w:pPr>
        <w:kinsoku/>
        <w:overflowPunct/>
        <w:topLinePunct w:val="0"/>
        <w:bidi w:val="0"/>
        <w:spacing w:line="360" w:lineRule="auto"/>
        <w:ind w:left="0" w:leftChars="0" w:right="0"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0F42C54E">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11.磋商报价</w:t>
      </w:r>
    </w:p>
    <w:p w14:paraId="46A2FE27">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14:paraId="6267242D">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14:paraId="3D617F0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14:paraId="6E9E665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14:paraId="78675A1F">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12.证明供应商合格的资格证明文件</w:t>
      </w:r>
    </w:p>
    <w:p w14:paraId="5E53EF7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D29B7B5">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13.证明服务符合竞争性磋商文件规定的文件</w:t>
      </w:r>
    </w:p>
    <w:p w14:paraId="373891F5">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14:paraId="6C9D02A0">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13.2 供应商须提供全部服务内容的详细说明。</w:t>
      </w:r>
    </w:p>
    <w:p w14:paraId="6574A74D">
      <w:pPr>
        <w:kinsoku/>
        <w:overflowPunct/>
        <w:topLinePunct w:val="0"/>
        <w:bidi w:val="0"/>
        <w:spacing w:line="360" w:lineRule="auto"/>
        <w:ind w:left="0" w:leftChars="0" w:right="0"/>
        <w:rPr>
          <w:rFonts w:hint="eastAsia" w:hAnsi="宋体" w:eastAsia="宋体" w:cs="宋体"/>
          <w:b/>
          <w:szCs w:val="24"/>
          <w:highlight w:val="none"/>
          <w:lang w:eastAsia="zh-CN"/>
        </w:rPr>
      </w:pPr>
      <w:r>
        <w:rPr>
          <w:rFonts w:hint="eastAsia" w:hAnsi="宋体" w:cs="宋体"/>
          <w:b/>
          <w:szCs w:val="24"/>
          <w:highlight w:val="none"/>
        </w:rPr>
        <w:t>14.磋商保证金</w:t>
      </w:r>
      <w:r>
        <w:rPr>
          <w:rFonts w:hint="eastAsia" w:hAnsi="宋体" w:cs="宋体"/>
          <w:b/>
          <w:szCs w:val="24"/>
          <w:highlight w:val="none"/>
          <w:lang w:eastAsia="zh-CN"/>
        </w:rPr>
        <w:t>（</w:t>
      </w:r>
      <w:r>
        <w:rPr>
          <w:rFonts w:hint="eastAsia" w:hAnsi="宋体" w:cs="宋体"/>
          <w:b/>
          <w:szCs w:val="24"/>
          <w:highlight w:val="none"/>
          <w:lang w:val="en-US" w:eastAsia="zh-CN"/>
        </w:rPr>
        <w:t>本项目不适用</w:t>
      </w:r>
      <w:r>
        <w:rPr>
          <w:rFonts w:hint="eastAsia" w:hAnsi="宋体" w:cs="宋体"/>
          <w:b/>
          <w:szCs w:val="24"/>
          <w:highlight w:val="none"/>
          <w:lang w:eastAsia="zh-CN"/>
        </w:rPr>
        <w:t>）</w:t>
      </w:r>
    </w:p>
    <w:p w14:paraId="50067BC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14:paraId="6AED29B8">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50CF44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14:paraId="2286E3BA">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14:paraId="7A3B7F6D">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14:paraId="29FDDBB0">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14:paraId="3AA00B48">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254BFDA">
      <w:pPr>
        <w:kinsoku/>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14:paraId="77954FC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 供应商在磋商有效期内撤回其磋商响应文件；</w:t>
      </w:r>
    </w:p>
    <w:p w14:paraId="27415ED1">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14:paraId="7AD408ED">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14:paraId="3A4EB9A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14:paraId="57B8CBF5">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5）供应商事先未通告无故不参加磋商活动的。</w:t>
      </w:r>
    </w:p>
    <w:p w14:paraId="72E72822">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14:paraId="37E05A98">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14.9采购信用担保及信用融资政策</w:t>
      </w:r>
    </w:p>
    <w:p w14:paraId="5A729D6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陕西省信用担保及信用融资政策</w:t>
      </w:r>
    </w:p>
    <w:p w14:paraId="31BA6E4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1E0EC9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14:paraId="1FBAD2E8">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15.磋商有效期</w:t>
      </w:r>
    </w:p>
    <w:p w14:paraId="4B918852">
      <w:pPr>
        <w:kinsoku/>
        <w:overflowPunct/>
        <w:topLinePunct w:val="0"/>
        <w:bidi w:val="0"/>
        <w:spacing w:line="360" w:lineRule="auto"/>
        <w:ind w:left="0" w:leftChars="0" w:right="0" w:firstLine="480" w:firstLineChars="200"/>
        <w:rPr>
          <w:rFonts w:hAnsi="宋体" w:cs="宋体"/>
          <w:szCs w:val="24"/>
          <w:highlight w:val="none"/>
        </w:rPr>
      </w:pPr>
      <w:bookmarkStart w:id="52"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52"/>
    </w:p>
    <w:p w14:paraId="60400B2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E41C033">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16.竞争性磋商响应文件的式样和签署</w:t>
      </w:r>
    </w:p>
    <w:p w14:paraId="5266AB2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14:paraId="4B0BA46A">
      <w:pPr>
        <w:kinsoku/>
        <w:overflowPunct/>
        <w:topLinePunct w:val="0"/>
        <w:bidi w:val="0"/>
        <w:spacing w:line="360" w:lineRule="auto"/>
        <w:ind w:left="0" w:leftChars="0" w:right="0"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14:paraId="3CC2034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14:paraId="66E489E0">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16.4供应商名称应填写全称。磋商响应文件副本</w:t>
      </w:r>
      <w:r>
        <w:rPr>
          <w:rFonts w:hint="eastAsia" w:hAnsi="宋体" w:cs="宋体"/>
          <w:b/>
          <w:bCs/>
          <w:szCs w:val="24"/>
          <w:highlight w:val="none"/>
          <w:lang w:val="en-US" w:eastAsia="zh-CN"/>
        </w:rPr>
        <w:t>可以是正本的复印件</w:t>
      </w:r>
      <w:r>
        <w:rPr>
          <w:rFonts w:hint="eastAsia" w:hAnsi="宋体" w:cs="宋体"/>
          <w:b/>
          <w:bCs/>
          <w:szCs w:val="24"/>
          <w:highlight w:val="none"/>
        </w:rPr>
        <w:t>。</w:t>
      </w:r>
    </w:p>
    <w:p w14:paraId="4E81A84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14:paraId="65D43694">
      <w:pPr>
        <w:kinsoku/>
        <w:overflowPunct/>
        <w:topLinePunct w:val="0"/>
        <w:bidi w:val="0"/>
        <w:spacing w:line="360" w:lineRule="auto"/>
        <w:ind w:left="0" w:leftChars="0" w:right="0"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14:paraId="025ED40D">
      <w:pPr>
        <w:keepNext/>
        <w:keepLines/>
        <w:kinsoku/>
        <w:overflowPunct/>
        <w:topLinePunct w:val="0"/>
        <w:bidi w:val="0"/>
        <w:spacing w:line="360" w:lineRule="auto"/>
        <w:ind w:left="0" w:leftChars="0" w:right="0"/>
        <w:jc w:val="center"/>
        <w:outlineLvl w:val="2"/>
        <w:rPr>
          <w:rFonts w:hAnsi="宋体" w:cs="宋体"/>
          <w:b/>
          <w:sz w:val="32"/>
          <w:szCs w:val="32"/>
          <w:highlight w:val="none"/>
        </w:rPr>
      </w:pPr>
      <w:bookmarkStart w:id="53" w:name="_Toc12266"/>
      <w:bookmarkStart w:id="54" w:name="_Toc18686"/>
      <w:bookmarkStart w:id="55" w:name="_Toc20799"/>
      <w:bookmarkStart w:id="56" w:name="_Toc8507"/>
      <w:r>
        <w:rPr>
          <w:rFonts w:hint="eastAsia" w:hAnsi="宋体" w:cs="宋体"/>
          <w:b/>
          <w:sz w:val="32"/>
          <w:szCs w:val="32"/>
          <w:highlight w:val="none"/>
        </w:rPr>
        <w:t>四.竞争性磋商响应文件的递交</w:t>
      </w:r>
      <w:bookmarkEnd w:id="53"/>
      <w:bookmarkEnd w:id="54"/>
      <w:bookmarkEnd w:id="55"/>
      <w:bookmarkEnd w:id="56"/>
    </w:p>
    <w:p w14:paraId="32007DFF">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17.竞争性磋商响应文件的密封和标记</w:t>
      </w:r>
    </w:p>
    <w:p w14:paraId="1843983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79FFC4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highlight w:val="none"/>
        </w:rPr>
        <w:t>17.2供应商应将竞争性磋商响应文件正本、电子版本、报价一览表</w:t>
      </w:r>
      <w:r>
        <w:rPr>
          <w:rFonts w:hint="eastAsia" w:hAnsi="宋体" w:cs="宋体"/>
          <w:highlight w:val="none"/>
          <w:lang w:eastAsia="zh-CN"/>
        </w:rPr>
        <w:t>；</w:t>
      </w:r>
      <w:r>
        <w:rPr>
          <w:rFonts w:hint="eastAsia" w:hAnsi="宋体" w:cs="宋体"/>
          <w:szCs w:val="24"/>
          <w:highlight w:val="none"/>
        </w:rPr>
        <w:t>所有的副本</w:t>
      </w:r>
      <w:r>
        <w:rPr>
          <w:rFonts w:hint="eastAsia" w:hAnsi="宋体" w:cs="宋体"/>
          <w:highlight w:val="none"/>
        </w:rPr>
        <w:t>单独密封装在封袋中（封袋不得有破损），且在封袋正面标明</w:t>
      </w:r>
      <w:r>
        <w:rPr>
          <w:rFonts w:hint="eastAsia" w:hAnsi="宋体" w:cs="宋体"/>
          <w:szCs w:val="24"/>
          <w:highlight w:val="none"/>
        </w:rPr>
        <w:t>“</w:t>
      </w:r>
      <w:r>
        <w:rPr>
          <w:rFonts w:hint="eastAsia" w:hAnsi="宋体" w:cs="宋体"/>
          <w:highlight w:val="none"/>
        </w:rPr>
        <w:t>正本、电子版本、报价一览表</w:t>
      </w:r>
      <w:r>
        <w:rPr>
          <w:rFonts w:hint="eastAsia" w:hAnsi="宋体" w:cs="宋体"/>
          <w:szCs w:val="24"/>
          <w:highlight w:val="none"/>
        </w:rPr>
        <w:t>”“副本”</w:t>
      </w:r>
      <w:r>
        <w:rPr>
          <w:rFonts w:hint="eastAsia" w:hAnsi="宋体" w:cs="宋体"/>
          <w:highlight w:val="none"/>
        </w:rPr>
        <w:t>字样。封袋应加贴封条，并在封线处加盖供应商公章，封袋正面要粘贴供应商全称、项目名称、编号等标识。</w:t>
      </w:r>
    </w:p>
    <w:p w14:paraId="5B5FD36D">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外层包装请按以下要求标记：</w:t>
      </w:r>
    </w:p>
    <w:p w14:paraId="03BF3991">
      <w:pPr>
        <w:kinsoku/>
        <w:overflowPunct/>
        <w:topLinePunct w:val="0"/>
        <w:bidi w:val="0"/>
        <w:spacing w:line="360" w:lineRule="auto"/>
        <w:ind w:left="0" w:leftChars="0" w:right="0" w:firstLine="720" w:firstLineChars="300"/>
        <w:rPr>
          <w:rFonts w:hAnsi="宋体" w:cs="宋体"/>
          <w:szCs w:val="24"/>
          <w:highlight w:val="none"/>
        </w:rPr>
      </w:pPr>
      <w:r>
        <w:rPr>
          <w:rFonts w:hint="eastAsia" w:hAnsi="宋体" w:cs="宋体"/>
          <w:szCs w:val="24"/>
          <w:highlight w:val="none"/>
        </w:rPr>
        <w:t>1) 磋商响应单位的全称；</w:t>
      </w:r>
    </w:p>
    <w:p w14:paraId="25306334">
      <w:pPr>
        <w:kinsoku/>
        <w:overflowPunct/>
        <w:topLinePunct w:val="0"/>
        <w:bidi w:val="0"/>
        <w:spacing w:line="360" w:lineRule="auto"/>
        <w:ind w:left="0" w:leftChars="0" w:right="0" w:firstLine="720" w:firstLineChars="300"/>
        <w:rPr>
          <w:rFonts w:hAnsi="宋体" w:cs="宋体"/>
          <w:szCs w:val="24"/>
          <w:highlight w:val="none"/>
        </w:rPr>
      </w:pPr>
      <w:r>
        <w:rPr>
          <w:rFonts w:hint="eastAsia" w:hAnsi="宋体" w:cs="宋体"/>
          <w:szCs w:val="24"/>
          <w:highlight w:val="none"/>
        </w:rPr>
        <w:t>2) 磋商项目名称、项目编号；</w:t>
      </w:r>
    </w:p>
    <w:p w14:paraId="4D7745A0">
      <w:pPr>
        <w:kinsoku/>
        <w:overflowPunct/>
        <w:topLinePunct w:val="0"/>
        <w:bidi w:val="0"/>
        <w:spacing w:line="360" w:lineRule="auto"/>
        <w:ind w:left="0" w:leftChars="0" w:right="0"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14:paraId="5DC74F5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14:paraId="508C1BDB">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18．竞争性磋商响应文件的递交</w:t>
      </w:r>
    </w:p>
    <w:p w14:paraId="690875DA">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14:paraId="28F6037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650D3A30">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14:paraId="4905A356">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19．递交的竞争性磋商响应文件</w:t>
      </w:r>
    </w:p>
    <w:p w14:paraId="6E23359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14:paraId="2EC6FEA2">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20．磋商的修改与撤回</w:t>
      </w:r>
    </w:p>
    <w:p w14:paraId="43AF122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2B8BD53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14:paraId="2579343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14:paraId="11720877">
      <w:pPr>
        <w:kinsoku/>
        <w:overflowPunct/>
        <w:topLinePunct w:val="0"/>
        <w:bidi w:val="0"/>
        <w:spacing w:line="360" w:lineRule="auto"/>
        <w:ind w:left="0" w:leftChars="0" w:right="0"/>
        <w:rPr>
          <w:rFonts w:hint="eastAsia" w:hAnsi="宋体" w:cs="宋体"/>
          <w:b/>
          <w:sz w:val="32"/>
          <w:szCs w:val="32"/>
          <w:highlight w:val="none"/>
        </w:rPr>
      </w:pPr>
      <w:bookmarkStart w:id="57" w:name="_Toc363474021"/>
      <w:bookmarkStart w:id="58" w:name="_Toc15436"/>
      <w:bookmarkStart w:id="59" w:name="_Toc25852"/>
      <w:bookmarkStart w:id="60" w:name="_Toc13669"/>
      <w:bookmarkStart w:id="61" w:name="_Toc403077643"/>
      <w:bookmarkStart w:id="62" w:name="_Toc363473976"/>
      <w:r>
        <w:rPr>
          <w:rFonts w:hint="eastAsia" w:hAnsi="宋体" w:cs="宋体"/>
          <w:b/>
          <w:sz w:val="32"/>
          <w:szCs w:val="32"/>
          <w:highlight w:val="none"/>
        </w:rPr>
        <w:br w:type="page"/>
      </w:r>
    </w:p>
    <w:p w14:paraId="429B15CA">
      <w:pPr>
        <w:keepNext/>
        <w:keepLines/>
        <w:kinsoku/>
        <w:overflowPunct/>
        <w:topLinePunct w:val="0"/>
        <w:bidi w:val="0"/>
        <w:spacing w:line="360" w:lineRule="auto"/>
        <w:ind w:left="0" w:leftChars="0" w:right="0"/>
        <w:jc w:val="center"/>
        <w:outlineLvl w:val="2"/>
        <w:rPr>
          <w:rFonts w:hAnsi="宋体" w:cs="宋体"/>
          <w:b/>
          <w:sz w:val="32"/>
          <w:szCs w:val="32"/>
          <w:highlight w:val="none"/>
        </w:rPr>
      </w:pPr>
      <w:bookmarkStart w:id="63" w:name="_Toc17416"/>
      <w:r>
        <w:rPr>
          <w:rFonts w:hint="eastAsia" w:hAnsi="宋体" w:cs="宋体"/>
          <w:b/>
          <w:sz w:val="32"/>
          <w:szCs w:val="32"/>
          <w:highlight w:val="none"/>
        </w:rPr>
        <w:t>五.磋商与评标</w:t>
      </w:r>
      <w:bookmarkEnd w:id="57"/>
      <w:bookmarkEnd w:id="58"/>
      <w:bookmarkEnd w:id="59"/>
      <w:bookmarkEnd w:id="60"/>
      <w:bookmarkEnd w:id="61"/>
      <w:bookmarkEnd w:id="62"/>
      <w:bookmarkEnd w:id="63"/>
    </w:p>
    <w:p w14:paraId="7F52E8A1">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21.磋商大会</w:t>
      </w:r>
    </w:p>
    <w:p w14:paraId="7A197907">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14:paraId="365089DA">
      <w:pPr>
        <w:kinsoku/>
        <w:overflowPunct/>
        <w:topLinePunct w:val="0"/>
        <w:bidi w:val="0"/>
        <w:spacing w:line="360" w:lineRule="auto"/>
        <w:ind w:left="0" w:leftChars="0" w:right="0" w:firstLine="480" w:firstLineChars="200"/>
        <w:rPr>
          <w:rFonts w:hAnsi="宋体" w:cs="宋体"/>
          <w:b/>
          <w:szCs w:val="24"/>
          <w:highlight w:val="none"/>
        </w:rPr>
      </w:pPr>
      <w:r>
        <w:rPr>
          <w:rFonts w:hint="eastAsia" w:hAnsi="宋体" w:cs="宋体"/>
          <w:szCs w:val="24"/>
          <w:highlight w:val="none"/>
        </w:rPr>
        <w:t>21.2采购代理机构将做磋商记录，存档备查。</w:t>
      </w:r>
    </w:p>
    <w:p w14:paraId="2AE08247">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22．评审程序</w:t>
      </w:r>
    </w:p>
    <w:p w14:paraId="5FC0B725">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6E9501B">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23．评审组织及评审原则</w:t>
      </w:r>
    </w:p>
    <w:p w14:paraId="6F162F40">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50E82D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14:paraId="40723F6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759BF27">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14:paraId="2DE4C1F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23.5磋商过程中的实质性变动：</w:t>
      </w:r>
    </w:p>
    <w:p w14:paraId="0EF6F9B2">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13807B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14:paraId="79EFF40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14:paraId="14D520C8">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14:paraId="3ACB1DE0">
      <w:pPr>
        <w:kinsoku/>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23.6.2计算错误将按以下方法更正：</w:t>
      </w:r>
    </w:p>
    <w:p w14:paraId="3070F051">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365312A5">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14:paraId="5C488FE7">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14:paraId="684F5AA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14:paraId="799D05F8">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14:paraId="5C65C4E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14:paraId="5A86338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5FF24B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14:paraId="589C2C2B">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14:paraId="4DA9237B">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14:paraId="24D7CEB6">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14:paraId="21DF7D2D">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14:paraId="0E8EF4E5">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14:paraId="2A72177D">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14:paraId="1E4806D7">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14:paraId="61883128">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8）存在有重大缺漏项和重大偏离的；</w:t>
      </w:r>
    </w:p>
    <w:p w14:paraId="37A34468">
      <w:pPr>
        <w:tabs>
          <w:tab w:val="left" w:pos="1260"/>
        </w:tabs>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00FF4867">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14:paraId="6E528E3C">
      <w:pPr>
        <w:pStyle w:val="21"/>
        <w:kinsoku/>
        <w:overflowPunct/>
        <w:topLinePunct w:val="0"/>
        <w:bidi w:val="0"/>
        <w:spacing w:before="0" w:beforeAutospacing="0" w:after="0" w:afterAutospacing="0" w:line="360" w:lineRule="auto"/>
        <w:ind w:left="0" w:leftChars="0" w:right="0" w:firstLine="482" w:firstLineChars="200"/>
        <w:jc w:val="both"/>
        <w:rPr>
          <w:rFonts w:cs="宋体"/>
          <w:b/>
          <w:bCs/>
          <w:highlight w:val="none"/>
        </w:rPr>
      </w:pPr>
      <w:r>
        <w:rPr>
          <w:rFonts w:hint="eastAsia" w:cs="宋体"/>
          <w:b/>
          <w:bCs/>
          <w:highlight w:val="none"/>
        </w:rPr>
        <w:t>11）竞争性磋商响应文件含有采购人不能接受的附加条件的；</w:t>
      </w:r>
    </w:p>
    <w:p w14:paraId="783EBD3F">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14:paraId="78FABC38">
      <w:pPr>
        <w:pStyle w:val="21"/>
        <w:kinsoku/>
        <w:overflowPunct/>
        <w:topLinePunct w:val="0"/>
        <w:bidi w:val="0"/>
        <w:spacing w:before="0" w:beforeAutospacing="0" w:after="0" w:afterAutospacing="0" w:line="360" w:lineRule="auto"/>
        <w:ind w:left="0" w:leftChars="0" w:right="0"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14:paraId="40E3FBF0">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23.7竞争性磋商响应文件的详细评审</w:t>
      </w:r>
    </w:p>
    <w:p w14:paraId="770C657D">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14:paraId="034AA7C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14:paraId="4C813E42">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23.8成交候选人的确定</w:t>
      </w:r>
    </w:p>
    <w:p w14:paraId="0CC4A48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14:paraId="53A0900F">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24．评审过程的保密</w:t>
      </w:r>
    </w:p>
    <w:p w14:paraId="1B711CB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14:paraId="6D8F2D20">
      <w:pPr>
        <w:kinsoku/>
        <w:overflowPunct/>
        <w:topLinePunct w:val="0"/>
        <w:bidi w:val="0"/>
        <w:spacing w:line="360" w:lineRule="auto"/>
        <w:ind w:left="0" w:leftChars="0" w:right="0"/>
        <w:jc w:val="left"/>
        <w:rPr>
          <w:rFonts w:hAnsi="宋体" w:cs="宋体"/>
          <w:b/>
          <w:szCs w:val="24"/>
          <w:highlight w:val="none"/>
        </w:rPr>
      </w:pPr>
      <w:r>
        <w:rPr>
          <w:rFonts w:hint="eastAsia" w:hAnsi="宋体" w:cs="宋体"/>
          <w:b/>
          <w:szCs w:val="24"/>
          <w:highlight w:val="none"/>
        </w:rPr>
        <w:t>25．评审方法</w:t>
      </w:r>
    </w:p>
    <w:p w14:paraId="1FD4ECD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14:paraId="37BC02A1">
      <w:pPr>
        <w:kinsoku/>
        <w:overflowPunct/>
        <w:topLinePunct w:val="0"/>
        <w:bidi w:val="0"/>
        <w:spacing w:line="360" w:lineRule="auto"/>
        <w:ind w:left="0" w:leftChars="0" w:right="0"/>
        <w:rPr>
          <w:rFonts w:hint="eastAsia" w:hAnsi="宋体" w:cs="宋体"/>
          <w:b/>
          <w:sz w:val="32"/>
          <w:szCs w:val="32"/>
          <w:highlight w:val="none"/>
        </w:rPr>
      </w:pPr>
      <w:bookmarkStart w:id="64" w:name="_Toc24420"/>
      <w:bookmarkStart w:id="65" w:name="_Toc15100"/>
      <w:bookmarkStart w:id="66" w:name="_Toc29146"/>
      <w:r>
        <w:rPr>
          <w:rFonts w:hint="eastAsia" w:hAnsi="宋体" w:cs="宋体"/>
          <w:b/>
          <w:sz w:val="32"/>
          <w:szCs w:val="32"/>
          <w:highlight w:val="none"/>
        </w:rPr>
        <w:br w:type="page"/>
      </w:r>
    </w:p>
    <w:p w14:paraId="499C45E8">
      <w:pPr>
        <w:keepNext/>
        <w:keepLines/>
        <w:kinsoku/>
        <w:overflowPunct/>
        <w:topLinePunct w:val="0"/>
        <w:bidi w:val="0"/>
        <w:spacing w:line="360" w:lineRule="auto"/>
        <w:ind w:left="0" w:leftChars="0" w:right="0"/>
        <w:jc w:val="center"/>
        <w:outlineLvl w:val="2"/>
        <w:rPr>
          <w:rFonts w:hAnsi="宋体" w:cs="宋体"/>
          <w:b/>
          <w:sz w:val="32"/>
          <w:szCs w:val="32"/>
          <w:highlight w:val="none"/>
        </w:rPr>
      </w:pPr>
      <w:bookmarkStart w:id="67" w:name="_Toc30599"/>
      <w:r>
        <w:rPr>
          <w:rFonts w:hint="eastAsia" w:hAnsi="宋体" w:cs="宋体"/>
          <w:b/>
          <w:sz w:val="32"/>
          <w:szCs w:val="32"/>
          <w:highlight w:val="none"/>
        </w:rPr>
        <w:t>六.成交、通知与签约</w:t>
      </w:r>
      <w:bookmarkEnd w:id="64"/>
      <w:bookmarkEnd w:id="65"/>
      <w:bookmarkEnd w:id="66"/>
      <w:bookmarkEnd w:id="67"/>
    </w:p>
    <w:p w14:paraId="4330A695">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26．成交程序</w:t>
      </w:r>
    </w:p>
    <w:p w14:paraId="62EE9E4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14:paraId="4282868D">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14:paraId="7903DBB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18FBB97D">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14:paraId="0A56ADB3">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14:paraId="26AD2071">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14:paraId="1A07E391">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27．成交通知</w:t>
      </w:r>
    </w:p>
    <w:p w14:paraId="56DD5E6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14:paraId="5EE3DF0D">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14:paraId="03E17426">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28. 采购合同的签订</w:t>
      </w:r>
    </w:p>
    <w:p w14:paraId="3F9CCD57">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752BBBB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115F0E09">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14:paraId="270F41B4">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w:t>
      </w:r>
      <w:r>
        <w:rPr>
          <w:rFonts w:hint="eastAsia" w:hAnsi="宋体" w:cs="宋体"/>
          <w:szCs w:val="24"/>
          <w:highlight w:val="none"/>
          <w:lang w:eastAsia="zh-CN"/>
        </w:rPr>
        <w:t>国家发展和改革委员会</w:t>
      </w:r>
      <w:r>
        <w:rPr>
          <w:rFonts w:hint="eastAsia" w:hAnsi="宋体" w:cs="宋体"/>
          <w:szCs w:val="24"/>
          <w:highlight w:val="none"/>
        </w:rPr>
        <w:t>办公厅颁发的《关于招标代理服务收费有关问题的通知》（发改办价格[2003]857号）的有关规定执行。</w:t>
      </w:r>
    </w:p>
    <w:p w14:paraId="064B37BF">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14:paraId="509A79D4">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代理服务费转账账户：</w:t>
      </w:r>
    </w:p>
    <w:p w14:paraId="2E28564E">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14:paraId="72891B6F">
      <w:pPr>
        <w:kinsoku/>
        <w:overflowPunct/>
        <w:topLinePunct w:val="0"/>
        <w:bidi w:val="0"/>
        <w:spacing w:line="360" w:lineRule="auto"/>
        <w:ind w:left="0" w:leftChars="0" w:right="0"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14:paraId="54AFA063">
      <w:pPr>
        <w:pStyle w:val="11"/>
        <w:kinsoku/>
        <w:overflowPunct/>
        <w:topLinePunct w:val="0"/>
        <w:bidi w:val="0"/>
        <w:spacing w:after="0" w:line="360" w:lineRule="auto"/>
        <w:ind w:left="0" w:leftChars="0" w:right="0"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14:paraId="6C5411A2">
      <w:pPr>
        <w:numPr>
          <w:ilvl w:val="0"/>
          <w:numId w:val="7"/>
        </w:numPr>
        <w:kinsoku/>
        <w:overflowPunct/>
        <w:topLinePunct w:val="0"/>
        <w:bidi w:val="0"/>
        <w:spacing w:line="360" w:lineRule="auto"/>
        <w:ind w:left="0" w:leftChars="0" w:right="0"/>
        <w:rPr>
          <w:rFonts w:hAnsi="宋体" w:cs="宋体"/>
          <w:b/>
          <w:bCs/>
          <w:szCs w:val="24"/>
          <w:highlight w:val="none"/>
        </w:rPr>
      </w:pPr>
      <w:r>
        <w:rPr>
          <w:rFonts w:hint="eastAsia" w:hAnsi="宋体" w:cs="宋体"/>
          <w:b/>
          <w:bCs/>
          <w:szCs w:val="24"/>
          <w:highlight w:val="none"/>
        </w:rPr>
        <w:t>质疑</w:t>
      </w:r>
    </w:p>
    <w:p w14:paraId="2301D714">
      <w:pPr>
        <w:kinsoku/>
        <w:overflowPunct/>
        <w:topLinePunct w:val="0"/>
        <w:bidi w:val="0"/>
        <w:spacing w:line="360" w:lineRule="auto"/>
        <w:ind w:left="0" w:leftChars="0" w:right="0"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99673E7">
      <w:pPr>
        <w:kinsoku/>
        <w:overflowPunct/>
        <w:topLinePunct w:val="0"/>
        <w:bidi w:val="0"/>
        <w:spacing w:line="360" w:lineRule="auto"/>
        <w:ind w:left="0" w:leftChars="0" w:right="0" w:firstLine="480"/>
        <w:rPr>
          <w:rStyle w:val="27"/>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14:paraId="349182AD">
      <w:pPr>
        <w:kinsoku/>
        <w:overflowPunct/>
        <w:topLinePunct w:val="0"/>
        <w:bidi w:val="0"/>
        <w:spacing w:line="360" w:lineRule="auto"/>
        <w:ind w:left="0" w:leftChars="0" w:right="0"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E1D1DF">
      <w:pPr>
        <w:kinsoku/>
        <w:overflowPunct/>
        <w:topLinePunct w:val="0"/>
        <w:bidi w:val="0"/>
        <w:spacing w:line="360" w:lineRule="auto"/>
        <w:ind w:left="0" w:leftChars="0" w:right="0"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30.4以联合体形式参加政府采购活动的，其质疑应当由组成联合体的所有供应商共同提出。</w:t>
      </w:r>
    </w:p>
    <w:p w14:paraId="62A01B7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14:paraId="38909C3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14:paraId="5BDD83A0">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30.5.2质疑项目的名称、编号；</w:t>
      </w:r>
    </w:p>
    <w:p w14:paraId="103EDDAA">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119E8DE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30.5.4事实依据；</w:t>
      </w:r>
    </w:p>
    <w:p w14:paraId="341EF40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30.5.5必要的法律依据；</w:t>
      </w:r>
    </w:p>
    <w:p w14:paraId="0A46AC90">
      <w:pPr>
        <w:kinsoku/>
        <w:overflowPunct/>
        <w:topLinePunct w:val="0"/>
        <w:bidi w:val="0"/>
        <w:spacing w:line="360" w:lineRule="auto"/>
        <w:ind w:left="0" w:leftChars="0" w:right="0" w:firstLine="480" w:firstLineChars="200"/>
        <w:rPr>
          <w:rStyle w:val="27"/>
          <w:rFonts w:hAnsi="宋体" w:cs="宋体"/>
          <w:b w:val="0"/>
          <w:szCs w:val="24"/>
          <w:highlight w:val="none"/>
          <w:shd w:val="clear" w:color="auto" w:fill="FFFFFF"/>
        </w:rPr>
      </w:pPr>
      <w:r>
        <w:rPr>
          <w:rFonts w:hint="eastAsia" w:hAnsi="宋体" w:cs="宋体"/>
          <w:szCs w:val="24"/>
          <w:highlight w:val="none"/>
        </w:rPr>
        <w:t>30.5.6提出质疑的日期。</w:t>
      </w:r>
    </w:p>
    <w:p w14:paraId="7A7653CF">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2108EBD1">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30.6.1质疑供应商不是参与本次政府采购项目的供应商；</w:t>
      </w:r>
    </w:p>
    <w:p w14:paraId="1D8C8F57">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30.6.2质疑供应商与质疑事项不存在利害关系的；</w:t>
      </w:r>
    </w:p>
    <w:p w14:paraId="62B668A3">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30.6.3未在法定期限内提出质疑的；</w:t>
      </w:r>
    </w:p>
    <w:p w14:paraId="6125675B">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30.6.4质疑未以书面形式提出，或质疑函主要内容构成不完整的；</w:t>
      </w:r>
    </w:p>
    <w:p w14:paraId="76C281AC">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30.6.5应当提交授权书而未提交的；</w:t>
      </w:r>
    </w:p>
    <w:p w14:paraId="6CEC3207">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30.6.6以非法手段取得证据、材料的；</w:t>
      </w:r>
    </w:p>
    <w:p w14:paraId="29B2827D">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0142B5A">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30.6.8不符合法律、法规、规章和政府采购监管机构规定的其他条件的。</w:t>
      </w:r>
    </w:p>
    <w:p w14:paraId="137C8B06">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30.7质疑答复</w:t>
      </w:r>
    </w:p>
    <w:p w14:paraId="1D09707A">
      <w:pPr>
        <w:widowControl/>
        <w:kinsoku/>
        <w:overflowPunct/>
        <w:topLinePunct w:val="0"/>
        <w:bidi w:val="0"/>
        <w:spacing w:line="360" w:lineRule="auto"/>
        <w:ind w:left="0" w:leftChars="0" w:right="0"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14:paraId="62428AEC">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31.其他</w:t>
      </w:r>
    </w:p>
    <w:p w14:paraId="017EE759">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FA5A50B">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6DCF50BC">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6C666AAA">
      <w:pPr>
        <w:kinsoku/>
        <w:overflowPunct/>
        <w:topLinePunct w:val="0"/>
        <w:bidi w:val="0"/>
        <w:spacing w:line="360" w:lineRule="auto"/>
        <w:ind w:left="0" w:leftChars="0" w:right="0"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8" w:name="_Toc363474023"/>
    </w:p>
    <w:p w14:paraId="508A60DA">
      <w:pPr>
        <w:pStyle w:val="2"/>
        <w:numPr>
          <w:ilvl w:val="0"/>
          <w:numId w:val="8"/>
        </w:numPr>
        <w:kinsoku/>
        <w:overflowPunct/>
        <w:topLinePunct w:val="0"/>
        <w:bidi w:val="0"/>
        <w:spacing w:line="360" w:lineRule="auto"/>
        <w:ind w:left="0" w:leftChars="0" w:right="0"/>
        <w:jc w:val="center"/>
        <w:rPr>
          <w:rFonts w:ascii="宋体" w:eastAsia="宋体" w:cs="宋体"/>
          <w:highlight w:val="none"/>
        </w:rPr>
      </w:pPr>
      <w:bookmarkStart w:id="69" w:name="_Toc423973074"/>
      <w:bookmarkStart w:id="70" w:name="_Toc25783"/>
      <w:bookmarkStart w:id="71" w:name="_Toc403077645"/>
      <w:r>
        <w:rPr>
          <w:rFonts w:hint="eastAsia" w:ascii="宋体" w:eastAsia="宋体" w:cs="宋体"/>
          <w:bCs/>
          <w:sz w:val="36"/>
          <w:szCs w:val="36"/>
          <w:highlight w:val="none"/>
        </w:rPr>
        <w:br w:type="page"/>
      </w:r>
      <w:bookmarkStart w:id="72" w:name="_Toc22973"/>
      <w:r>
        <w:rPr>
          <w:rFonts w:hint="eastAsia" w:ascii="宋体" w:eastAsia="宋体" w:cs="宋体"/>
          <w:bCs/>
          <w:sz w:val="36"/>
          <w:szCs w:val="36"/>
          <w:highlight w:val="none"/>
        </w:rPr>
        <w:t xml:space="preserve">  </w:t>
      </w:r>
      <w:bookmarkStart w:id="73" w:name="_Toc9687"/>
      <w:bookmarkStart w:id="74" w:name="_Toc1163"/>
      <w:r>
        <w:rPr>
          <w:rFonts w:hint="eastAsia" w:ascii="宋体" w:eastAsia="宋体" w:cs="宋体"/>
          <w:bCs/>
          <w:sz w:val="36"/>
          <w:szCs w:val="36"/>
          <w:highlight w:val="none"/>
        </w:rPr>
        <w:t>评审方法</w:t>
      </w:r>
      <w:bookmarkEnd w:id="72"/>
      <w:bookmarkEnd w:id="73"/>
      <w:bookmarkEnd w:id="74"/>
    </w:p>
    <w:p w14:paraId="4FC56CDF">
      <w:pPr>
        <w:kinsoku/>
        <w:overflowPunct/>
        <w:topLinePunct w:val="0"/>
        <w:bidi w:val="0"/>
        <w:spacing w:line="360" w:lineRule="auto"/>
        <w:ind w:left="0" w:leftChars="0" w:right="0"/>
        <w:outlineLvl w:val="1"/>
        <w:rPr>
          <w:rFonts w:hAnsi="宋体" w:cs="宋体"/>
          <w:b/>
          <w:szCs w:val="24"/>
          <w:highlight w:val="none"/>
        </w:rPr>
      </w:pPr>
      <w:bookmarkStart w:id="75" w:name="_Toc26649"/>
      <w:bookmarkStart w:id="76" w:name="_Toc32051"/>
      <w:bookmarkStart w:id="77" w:name="_Toc28665"/>
      <w:bookmarkStart w:id="78" w:name="_Toc13675"/>
      <w:bookmarkStart w:id="79" w:name="_Toc23722"/>
      <w:r>
        <w:rPr>
          <w:rFonts w:hint="eastAsia" w:hAnsi="宋体" w:cs="宋体"/>
          <w:b/>
          <w:szCs w:val="24"/>
          <w:highlight w:val="none"/>
        </w:rPr>
        <w:t>一、评审方法</w:t>
      </w:r>
      <w:bookmarkEnd w:id="75"/>
      <w:bookmarkEnd w:id="76"/>
      <w:bookmarkEnd w:id="77"/>
      <w:bookmarkEnd w:id="78"/>
      <w:bookmarkEnd w:id="79"/>
    </w:p>
    <w:p w14:paraId="1986A5B8">
      <w:pPr>
        <w:kinsoku/>
        <w:overflowPunct/>
        <w:topLinePunct w:val="0"/>
        <w:bidi w:val="0"/>
        <w:spacing w:line="360" w:lineRule="auto"/>
        <w:ind w:left="0" w:leftChars="0" w:right="0"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7B37EE6F">
      <w:pPr>
        <w:kinsoku/>
        <w:overflowPunct/>
        <w:topLinePunct w:val="0"/>
        <w:bidi w:val="0"/>
        <w:spacing w:line="360" w:lineRule="auto"/>
        <w:ind w:left="0" w:leftChars="0" w:right="0"/>
        <w:outlineLvl w:val="1"/>
        <w:rPr>
          <w:rFonts w:hAnsi="宋体" w:cs="宋体"/>
          <w:b/>
          <w:spacing w:val="4"/>
          <w:szCs w:val="24"/>
          <w:highlight w:val="none"/>
        </w:rPr>
      </w:pPr>
      <w:bookmarkStart w:id="80" w:name="_Toc2374"/>
      <w:bookmarkStart w:id="81" w:name="_Toc28594"/>
      <w:bookmarkStart w:id="82" w:name="_Toc23145"/>
      <w:bookmarkStart w:id="83" w:name="_Toc20625"/>
      <w:bookmarkStart w:id="84" w:name="_Toc27615"/>
      <w:r>
        <w:rPr>
          <w:rFonts w:hint="eastAsia" w:hAnsi="宋体" w:cs="宋体"/>
          <w:b/>
          <w:spacing w:val="4"/>
          <w:szCs w:val="24"/>
          <w:highlight w:val="none"/>
        </w:rPr>
        <w:t>二、评审程序</w:t>
      </w:r>
      <w:bookmarkEnd w:id="80"/>
      <w:bookmarkEnd w:id="81"/>
      <w:bookmarkEnd w:id="82"/>
      <w:bookmarkEnd w:id="83"/>
      <w:bookmarkEnd w:id="84"/>
    </w:p>
    <w:p w14:paraId="1B4CFDC0">
      <w:pPr>
        <w:tabs>
          <w:tab w:val="left" w:pos="0"/>
        </w:tabs>
        <w:kinsoku/>
        <w:overflowPunct/>
        <w:topLinePunct w:val="0"/>
        <w:bidi w:val="0"/>
        <w:adjustRightInd w:val="0"/>
        <w:snapToGrid w:val="0"/>
        <w:spacing w:line="360" w:lineRule="auto"/>
        <w:ind w:left="0" w:leftChars="0" w:right="0"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14:paraId="13FA6D98">
      <w:pPr>
        <w:numPr>
          <w:ilvl w:val="0"/>
          <w:numId w:val="9"/>
        </w:numPr>
        <w:kinsoku/>
        <w:overflowPunct/>
        <w:topLinePunct w:val="0"/>
        <w:bidi w:val="0"/>
        <w:spacing w:line="360" w:lineRule="auto"/>
        <w:ind w:left="0" w:leftChars="0" w:right="0"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14:paraId="1886FA3F">
      <w:pPr>
        <w:tabs>
          <w:tab w:val="left" w:pos="0"/>
        </w:tabs>
        <w:kinsoku/>
        <w:overflowPunct/>
        <w:topLinePunct w:val="0"/>
        <w:bidi w:val="0"/>
        <w:adjustRightInd w:val="0"/>
        <w:snapToGrid w:val="0"/>
        <w:spacing w:line="360" w:lineRule="auto"/>
        <w:ind w:left="0" w:leftChars="0" w:right="0"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lang w:val="en-US" w:eastAsia="zh-CN"/>
        </w:rPr>
        <w:t>采购人及采购代理机构</w:t>
      </w:r>
      <w:r>
        <w:rPr>
          <w:rFonts w:hint="eastAsia" w:hAnsi="宋体" w:cs="宋体"/>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1DBE7979">
      <w:pPr>
        <w:tabs>
          <w:tab w:val="left" w:pos="0"/>
        </w:tabs>
        <w:kinsoku/>
        <w:overflowPunct/>
        <w:topLinePunct w:val="0"/>
        <w:bidi w:val="0"/>
        <w:adjustRightInd w:val="0"/>
        <w:snapToGrid w:val="0"/>
        <w:spacing w:line="360" w:lineRule="auto"/>
        <w:ind w:left="0" w:leftChars="0" w:right="0"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14:paraId="3EE75AA6">
      <w:pPr>
        <w:kinsoku/>
        <w:overflowPunct/>
        <w:topLinePunct w:val="0"/>
        <w:bidi w:val="0"/>
        <w:spacing w:line="360" w:lineRule="auto"/>
        <w:ind w:left="0" w:leftChars="0" w:right="0"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14:paraId="2CA96DCC">
      <w:pPr>
        <w:kinsoku/>
        <w:overflowPunct/>
        <w:topLinePunct w:val="0"/>
        <w:bidi w:val="0"/>
        <w:spacing w:line="360" w:lineRule="auto"/>
        <w:ind w:left="0" w:leftChars="0" w:right="0"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14:paraId="24A905AD">
      <w:pPr>
        <w:kinsoku/>
        <w:overflowPunct/>
        <w:topLinePunct w:val="0"/>
        <w:bidi w:val="0"/>
        <w:spacing w:line="360" w:lineRule="auto"/>
        <w:ind w:left="0" w:leftChars="0" w:right="0"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579D8CFA">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1.2.4报价是否超过采购预算</w:t>
      </w:r>
      <w:r>
        <w:rPr>
          <w:rFonts w:hint="eastAsia" w:hAnsi="宋体" w:cs="宋体"/>
          <w:i/>
          <w:iCs/>
          <w:szCs w:val="24"/>
          <w:highlight w:val="none"/>
        </w:rPr>
        <w:t>。</w:t>
      </w:r>
    </w:p>
    <w:p w14:paraId="2956112C">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14:paraId="1AC33862">
      <w:pPr>
        <w:kinsoku/>
        <w:overflowPunct/>
        <w:topLinePunct w:val="0"/>
        <w:bidi w:val="0"/>
        <w:spacing w:line="360" w:lineRule="auto"/>
        <w:ind w:left="0" w:leftChars="0" w:right="0" w:firstLine="482" w:firstLineChars="200"/>
        <w:rPr>
          <w:rFonts w:hAnsi="宋体" w:cs="宋体"/>
          <w:b/>
          <w:highlight w:val="none"/>
        </w:rPr>
      </w:pPr>
      <w:r>
        <w:rPr>
          <w:rFonts w:hint="eastAsia" w:hAnsi="宋体" w:cs="宋体"/>
          <w:b/>
          <w:highlight w:val="none"/>
        </w:rPr>
        <w:t>2、磋商响应文件的澄清</w:t>
      </w:r>
    </w:p>
    <w:p w14:paraId="162C7181">
      <w:pPr>
        <w:kinsoku/>
        <w:overflowPunct/>
        <w:topLinePunct w:val="0"/>
        <w:bidi w:val="0"/>
        <w:spacing w:line="360" w:lineRule="auto"/>
        <w:ind w:left="0" w:leftChars="0" w:right="0"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859C7E5">
      <w:pPr>
        <w:kinsoku/>
        <w:overflowPunct/>
        <w:topLinePunct w:val="0"/>
        <w:bidi w:val="0"/>
        <w:spacing w:line="360" w:lineRule="auto"/>
        <w:ind w:left="0" w:leftChars="0" w:right="0"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14:paraId="65CABC0D">
      <w:pPr>
        <w:kinsoku/>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61F333E">
      <w:pPr>
        <w:pStyle w:val="11"/>
        <w:kinsoku/>
        <w:overflowPunct/>
        <w:topLinePunct w:val="0"/>
        <w:bidi w:val="0"/>
        <w:spacing w:after="0" w:line="360" w:lineRule="auto"/>
        <w:ind w:left="0" w:leftChars="0" w:right="0"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32ED5496">
      <w:pPr>
        <w:kinsoku/>
        <w:overflowPunct/>
        <w:topLinePunct w:val="0"/>
        <w:bidi w:val="0"/>
        <w:spacing w:line="360" w:lineRule="auto"/>
        <w:ind w:left="0" w:leftChars="0" w:right="0"/>
        <w:rPr>
          <w:rFonts w:hAnsi="宋体" w:cs="宋体"/>
          <w:highlight w:val="none"/>
        </w:rPr>
      </w:pPr>
    </w:p>
    <w:p w14:paraId="01CDFE55">
      <w:pPr>
        <w:kinsoku/>
        <w:overflowPunct/>
        <w:topLinePunct w:val="0"/>
        <w:bidi w:val="0"/>
        <w:spacing w:line="360" w:lineRule="auto"/>
        <w:ind w:left="0" w:leftChars="0" w:right="0"/>
        <w:jc w:val="left"/>
        <w:outlineLvl w:val="1"/>
        <w:rPr>
          <w:rFonts w:hAnsi="宋体" w:cs="宋体"/>
          <w:b/>
          <w:szCs w:val="24"/>
          <w:highlight w:val="none"/>
        </w:rPr>
      </w:pPr>
      <w:bookmarkStart w:id="85" w:name="_Toc24776"/>
      <w:bookmarkStart w:id="86" w:name="_Toc19221"/>
      <w:bookmarkStart w:id="87" w:name="_Toc30804"/>
      <w:bookmarkStart w:id="88" w:name="_Toc4428"/>
      <w:bookmarkStart w:id="89" w:name="_Toc7190"/>
      <w:r>
        <w:rPr>
          <w:rFonts w:hint="eastAsia" w:hAnsi="宋体" w:cs="宋体"/>
          <w:b/>
          <w:szCs w:val="24"/>
          <w:highlight w:val="none"/>
        </w:rPr>
        <w:t>三、政策性扣减</w:t>
      </w:r>
      <w:bookmarkEnd w:id="85"/>
      <w:bookmarkEnd w:id="86"/>
      <w:bookmarkEnd w:id="87"/>
      <w:bookmarkEnd w:id="88"/>
      <w:bookmarkEnd w:id="89"/>
    </w:p>
    <w:p w14:paraId="4DD27D4B">
      <w:pPr>
        <w:kinsoku/>
        <w:overflowPunct/>
        <w:topLinePunct w:val="0"/>
        <w:bidi w:val="0"/>
        <w:spacing w:line="360" w:lineRule="auto"/>
        <w:ind w:left="0" w:leftChars="0" w:right="0" w:firstLine="482" w:firstLineChars="200"/>
        <w:jc w:val="left"/>
        <w:rPr>
          <w:rFonts w:hAnsi="宋体" w:cs="宋体"/>
          <w:b/>
          <w:bCs/>
          <w:szCs w:val="24"/>
          <w:highlight w:val="none"/>
        </w:rPr>
      </w:pPr>
      <w:r>
        <w:rPr>
          <w:rFonts w:hint="eastAsia" w:hAnsi="宋体" w:cs="宋体"/>
          <w:b/>
          <w:bCs/>
          <w:szCs w:val="24"/>
          <w:highlight w:val="none"/>
        </w:rPr>
        <w:t>1政策性扣减范围</w:t>
      </w:r>
    </w:p>
    <w:p w14:paraId="32343F2D">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14:paraId="07C680BC">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14:paraId="56F84178">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14:paraId="21A816E8">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14:paraId="3038E351">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14:paraId="09081842">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252BE8E1">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0844136C">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14:paraId="55D637D5">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653BDFBE">
      <w:pPr>
        <w:kinsoku/>
        <w:overflowPunct/>
        <w:topLinePunct w:val="0"/>
        <w:bidi w:val="0"/>
        <w:spacing w:line="360" w:lineRule="auto"/>
        <w:ind w:left="0" w:leftChars="0" w:right="0"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07582D2F">
      <w:pPr>
        <w:kinsoku/>
        <w:overflowPunct/>
        <w:topLinePunct w:val="0"/>
        <w:bidi w:val="0"/>
        <w:spacing w:line="360" w:lineRule="auto"/>
        <w:ind w:left="0" w:leftChars="0" w:right="0" w:firstLine="482" w:firstLineChars="200"/>
        <w:jc w:val="left"/>
        <w:rPr>
          <w:rFonts w:hAnsi="宋体" w:cs="宋体"/>
          <w:b/>
          <w:bCs/>
          <w:szCs w:val="24"/>
          <w:highlight w:val="none"/>
        </w:rPr>
      </w:pPr>
      <w:r>
        <w:rPr>
          <w:rFonts w:hint="eastAsia" w:hAnsi="宋体" w:cs="宋体"/>
          <w:b/>
          <w:bCs/>
          <w:szCs w:val="24"/>
          <w:highlight w:val="none"/>
        </w:rPr>
        <w:t>2、政策性扣减方式：</w:t>
      </w:r>
    </w:p>
    <w:p w14:paraId="2378B0B4">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2.1供应商为非联合体参与磋商的情况：</w:t>
      </w:r>
    </w:p>
    <w:p w14:paraId="4A305F73">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14:paraId="64D71466">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14:paraId="71F1C5B5">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4B862CF0">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14:paraId="4BE1BE94">
      <w:pPr>
        <w:pStyle w:val="11"/>
        <w:kinsoku/>
        <w:overflowPunct/>
        <w:topLinePunct w:val="0"/>
        <w:bidi w:val="0"/>
        <w:spacing w:after="0" w:line="360" w:lineRule="auto"/>
        <w:ind w:left="0" w:leftChars="0" w:right="0"/>
        <w:rPr>
          <w:rFonts w:ascii="宋体" w:hAnsi="宋体" w:cs="宋体"/>
          <w:highlight w:val="none"/>
        </w:rPr>
      </w:pPr>
    </w:p>
    <w:p w14:paraId="144B4197">
      <w:pPr>
        <w:numPr>
          <w:ilvl w:val="0"/>
          <w:numId w:val="10"/>
        </w:numPr>
        <w:kinsoku/>
        <w:overflowPunct/>
        <w:topLinePunct w:val="0"/>
        <w:bidi w:val="0"/>
        <w:spacing w:line="360" w:lineRule="auto"/>
        <w:ind w:left="0" w:leftChars="0" w:right="0" w:firstLine="498" w:firstLineChars="200"/>
        <w:jc w:val="center"/>
        <w:outlineLvl w:val="1"/>
        <w:rPr>
          <w:rFonts w:hint="eastAsia" w:hAnsi="宋体" w:cs="宋体"/>
          <w:b/>
          <w:szCs w:val="24"/>
          <w:highlight w:val="none"/>
        </w:rPr>
      </w:pPr>
      <w:r>
        <w:rPr>
          <w:rFonts w:hint="eastAsia" w:hAnsi="宋体" w:cs="宋体"/>
          <w:b/>
          <w:spacing w:val="4"/>
          <w:szCs w:val="24"/>
          <w:highlight w:val="none"/>
        </w:rPr>
        <w:br w:type="page"/>
      </w:r>
      <w:bookmarkStart w:id="90" w:name="_Toc4223"/>
      <w:bookmarkStart w:id="91" w:name="_Toc13330"/>
      <w:bookmarkStart w:id="92" w:name="_Toc23630"/>
      <w:bookmarkStart w:id="93" w:name="_Toc32624"/>
      <w:bookmarkStart w:id="94" w:name="_Toc28532"/>
      <w:r>
        <w:rPr>
          <w:rFonts w:hint="eastAsia" w:hAnsi="宋体" w:cs="宋体"/>
          <w:b/>
          <w:szCs w:val="24"/>
          <w:highlight w:val="none"/>
        </w:rPr>
        <w:t>评审要素和分值分解表</w:t>
      </w:r>
      <w:bookmarkEnd w:id="90"/>
      <w:bookmarkEnd w:id="91"/>
      <w:bookmarkEnd w:id="92"/>
      <w:bookmarkEnd w:id="93"/>
      <w:bookmarkEnd w:id="94"/>
    </w:p>
    <w:tbl>
      <w:tblPr>
        <w:tblStyle w:val="24"/>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6"/>
        <w:gridCol w:w="1297"/>
        <w:gridCol w:w="5962"/>
      </w:tblGrid>
      <w:tr w14:paraId="0571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Align w:val="center"/>
          </w:tcPr>
          <w:p w14:paraId="2A0CEC13">
            <w:pPr>
              <w:kinsoku/>
              <w:overflowPunct/>
              <w:topLinePunct w:val="0"/>
              <w:bidi w:val="0"/>
              <w:spacing w:line="360" w:lineRule="auto"/>
              <w:ind w:left="0" w:leftChars="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276" w:type="dxa"/>
            <w:vAlign w:val="center"/>
          </w:tcPr>
          <w:p w14:paraId="499DD5F8">
            <w:pPr>
              <w:kinsoku/>
              <w:overflowPunct/>
              <w:topLinePunct w:val="0"/>
              <w:bidi w:val="0"/>
              <w:spacing w:line="360" w:lineRule="auto"/>
              <w:ind w:left="0" w:leftChars="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总分</w:t>
            </w:r>
          </w:p>
          <w:p w14:paraId="081FF25A">
            <w:pPr>
              <w:kinsoku/>
              <w:overflowPunct/>
              <w:topLinePunct w:val="0"/>
              <w:bidi w:val="0"/>
              <w:spacing w:line="360" w:lineRule="auto"/>
              <w:ind w:left="0" w:leftChars="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1297" w:type="dxa"/>
            <w:vAlign w:val="center"/>
          </w:tcPr>
          <w:p w14:paraId="2263CC5F">
            <w:pPr>
              <w:kinsoku/>
              <w:overflowPunct/>
              <w:topLinePunct w:val="0"/>
              <w:bidi w:val="0"/>
              <w:spacing w:line="360" w:lineRule="auto"/>
              <w:ind w:left="0" w:leftChars="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评审要素</w:t>
            </w:r>
          </w:p>
        </w:tc>
        <w:tc>
          <w:tcPr>
            <w:tcW w:w="5962" w:type="dxa"/>
            <w:vAlign w:val="center"/>
          </w:tcPr>
          <w:p w14:paraId="181257FD">
            <w:pPr>
              <w:kinsoku/>
              <w:overflowPunct/>
              <w:topLinePunct w:val="0"/>
              <w:bidi w:val="0"/>
              <w:spacing w:line="360" w:lineRule="auto"/>
              <w:ind w:left="0" w:leftChars="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7E17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2BDD84C9">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技术评分部分</w:t>
            </w:r>
          </w:p>
        </w:tc>
        <w:tc>
          <w:tcPr>
            <w:tcW w:w="1276" w:type="dxa"/>
            <w:vMerge w:val="restart"/>
            <w:vAlign w:val="center"/>
          </w:tcPr>
          <w:p w14:paraId="10F74186">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hAnsi="宋体" w:cs="宋体"/>
                <w:color w:val="auto"/>
                <w:sz w:val="24"/>
                <w:szCs w:val="24"/>
                <w:highlight w:val="none"/>
                <w:lang w:val="en-US" w:eastAsia="zh-CN"/>
              </w:rPr>
              <w:t>80</w:t>
            </w:r>
            <w:r>
              <w:rPr>
                <w:rFonts w:hint="eastAsia" w:ascii="宋体" w:hAnsi="宋体" w:eastAsia="宋体" w:cs="宋体"/>
                <w:color w:val="auto"/>
                <w:sz w:val="24"/>
                <w:szCs w:val="24"/>
                <w:highlight w:val="none"/>
                <w:lang w:val="en-US" w:eastAsia="zh-CN"/>
              </w:rPr>
              <w:t>分）</w:t>
            </w:r>
          </w:p>
        </w:tc>
        <w:tc>
          <w:tcPr>
            <w:tcW w:w="1297" w:type="dxa"/>
            <w:vAlign w:val="center"/>
          </w:tcPr>
          <w:p w14:paraId="4F889377">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r>
              <w:rPr>
                <w:rFonts w:hint="eastAsia"/>
                <w:sz w:val="24"/>
                <w:szCs w:val="24"/>
                <w:highlight w:val="none"/>
                <w:lang w:val="en-US" w:eastAsia="zh-CN"/>
              </w:rPr>
              <w:t>整体方案</w:t>
            </w:r>
            <w:r>
              <w:rPr>
                <w:rFonts w:hint="eastAsia" w:hAnsi="宋体" w:cs="宋体"/>
                <w:color w:val="auto"/>
                <w:sz w:val="24"/>
                <w:szCs w:val="24"/>
                <w:highlight w:val="none"/>
                <w:lang w:val="en-US" w:eastAsia="zh-CN"/>
              </w:rPr>
              <w:t>（25分）</w:t>
            </w:r>
          </w:p>
        </w:tc>
        <w:tc>
          <w:tcPr>
            <w:tcW w:w="5962" w:type="dxa"/>
            <w:vAlign w:val="center"/>
          </w:tcPr>
          <w:p w14:paraId="2F20F5D3">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3A2C3F73">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针对本项目详细列出整体方案，方案内容包含：①总体编制方案②国内外相关法律法规的解读③专题调研方案④组织开展专题活动方案⑤征集意见建议的活动方案。</w:t>
            </w:r>
          </w:p>
          <w:p w14:paraId="729E5B16">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52BE5A2B">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302EA445">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25</w:t>
            </w:r>
            <w:r>
              <w:rPr>
                <w:rFonts w:hint="default" w:hAnsi="宋体" w:cs="宋体"/>
                <w:color w:val="auto"/>
                <w:sz w:val="24"/>
                <w:szCs w:val="24"/>
                <w:highlight w:val="none"/>
                <w:lang w:val="en-US" w:eastAsia="zh-CN"/>
              </w:rPr>
              <w:t>分）</w:t>
            </w:r>
          </w:p>
          <w:p w14:paraId="122AE56C">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3.1-5</w:t>
            </w:r>
            <w:r>
              <w:rPr>
                <w:rFonts w:hint="eastAsia" w:ascii="宋体" w:hAnsi="宋体" w:eastAsia="宋体" w:cs="宋体"/>
                <w:sz w:val="24"/>
                <w:szCs w:val="24"/>
                <w:highlight w:val="none"/>
                <w:lang w:val="en-US" w:eastAsia="zh-CN"/>
              </w:rPr>
              <w:t>分；</w:t>
            </w:r>
          </w:p>
          <w:p w14:paraId="694EBEDE">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单项方案较合理，基本无缺陷，对本项目有针对性得1</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2D86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641164AB">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p>
        </w:tc>
        <w:tc>
          <w:tcPr>
            <w:tcW w:w="1276" w:type="dxa"/>
            <w:vMerge w:val="continue"/>
            <w:vAlign w:val="center"/>
          </w:tcPr>
          <w:p w14:paraId="73EF3237">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p>
        </w:tc>
        <w:tc>
          <w:tcPr>
            <w:tcW w:w="1297" w:type="dxa"/>
            <w:vAlign w:val="center"/>
          </w:tcPr>
          <w:p w14:paraId="0DAA4AFA">
            <w:pPr>
              <w:kinsoku/>
              <w:overflowPunct/>
              <w:topLinePunct w:val="0"/>
              <w:bidi w:val="0"/>
              <w:spacing w:line="360" w:lineRule="auto"/>
              <w:ind w:left="0" w:leftChars="0" w:right="0"/>
              <w:jc w:val="center"/>
              <w:rPr>
                <w:rFonts w:hint="eastAsia"/>
                <w:sz w:val="24"/>
                <w:szCs w:val="24"/>
                <w:highlight w:val="none"/>
                <w:lang w:val="en-US" w:eastAsia="zh-CN"/>
              </w:rPr>
            </w:pPr>
            <w:r>
              <w:rPr>
                <w:rFonts w:hint="default" w:hAnsi="Times New Roman" w:cs="Times New Roman"/>
                <w:sz w:val="24"/>
                <w:szCs w:val="24"/>
                <w:highlight w:val="none"/>
                <w:lang w:val="en-US" w:eastAsia="zh-CN"/>
              </w:rPr>
              <w:t>项目进度及组织协调方案</w:t>
            </w:r>
            <w:r>
              <w:rPr>
                <w:rFonts w:hint="eastAsia" w:hAnsi="Times New Roman" w:cs="Times New Roman"/>
                <w:sz w:val="24"/>
                <w:szCs w:val="24"/>
                <w:highlight w:val="none"/>
                <w:lang w:val="en-US" w:eastAsia="zh-CN"/>
              </w:rPr>
              <w:t>（</w:t>
            </w:r>
            <w:r>
              <w:rPr>
                <w:rFonts w:hint="eastAsia" w:cs="Times New Roman"/>
                <w:sz w:val="24"/>
                <w:szCs w:val="24"/>
                <w:highlight w:val="none"/>
                <w:lang w:val="en-US" w:eastAsia="zh-CN"/>
              </w:rPr>
              <w:t>10</w:t>
            </w:r>
            <w:r>
              <w:rPr>
                <w:rFonts w:hint="eastAsia" w:hAnsi="Times New Roman" w:cs="Times New Roman"/>
                <w:sz w:val="24"/>
                <w:szCs w:val="24"/>
                <w:highlight w:val="none"/>
                <w:lang w:val="en-US" w:eastAsia="zh-CN"/>
              </w:rPr>
              <w:t>分）</w:t>
            </w:r>
          </w:p>
        </w:tc>
        <w:tc>
          <w:tcPr>
            <w:tcW w:w="5962" w:type="dxa"/>
            <w:vAlign w:val="center"/>
          </w:tcPr>
          <w:p w14:paraId="56E8E663">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185C29B6">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针对本项目提出项目进度及组织协调方案，方案内容包含：①项目进度安排②组织协调措施。</w:t>
            </w:r>
          </w:p>
          <w:p w14:paraId="463B3B7D">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2479EDBF">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1AC6303D">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10</w:t>
            </w:r>
            <w:r>
              <w:rPr>
                <w:rFonts w:hint="default" w:hAnsi="宋体" w:cs="宋体"/>
                <w:color w:val="auto"/>
                <w:sz w:val="24"/>
                <w:szCs w:val="24"/>
                <w:highlight w:val="none"/>
                <w:lang w:val="en-US" w:eastAsia="zh-CN"/>
              </w:rPr>
              <w:t>分）</w:t>
            </w:r>
          </w:p>
          <w:p w14:paraId="4FDFF037">
            <w:pPr>
              <w:keepNext w:val="0"/>
              <w:keepLines w:val="0"/>
              <w:pageBreakBefore w:val="0"/>
              <w:widowControl w:val="0"/>
              <w:kinsoku/>
              <w:wordWrap/>
              <w:overflowPunct/>
              <w:topLinePunct w:val="0"/>
              <w:bidi w:val="0"/>
              <w:snapToGrid/>
              <w:spacing w:line="360" w:lineRule="auto"/>
              <w:ind w:left="0" w:leftChars="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单项方案详细合理，切合项目实际需求情况，对本项目针对性强得</w:t>
            </w:r>
            <w:r>
              <w:rPr>
                <w:rFonts w:hint="eastAsia" w:hAnsi="宋体" w:cs="宋体"/>
                <w:sz w:val="24"/>
                <w:szCs w:val="24"/>
                <w:highlight w:val="none"/>
                <w:lang w:val="en-US" w:eastAsia="zh-CN"/>
              </w:rPr>
              <w:t>3.1-5</w:t>
            </w:r>
            <w:r>
              <w:rPr>
                <w:rFonts w:hint="eastAsia" w:ascii="宋体" w:hAnsi="宋体" w:eastAsia="宋体" w:cs="宋体"/>
                <w:sz w:val="24"/>
                <w:szCs w:val="24"/>
                <w:highlight w:val="none"/>
                <w:lang w:val="en-US" w:eastAsia="zh-CN"/>
              </w:rPr>
              <w:t>分；</w:t>
            </w:r>
          </w:p>
          <w:p w14:paraId="73CC1769">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ascii="宋体" w:hAnsi="宋体" w:eastAsia="宋体" w:cs="宋体"/>
                <w:sz w:val="24"/>
                <w:szCs w:val="24"/>
                <w:highlight w:val="none"/>
                <w:lang w:val="en-US" w:eastAsia="zh-CN"/>
              </w:rPr>
              <w:t>单项方案较合理，基本无缺陷，对本项目有针对性得1</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32E2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339FDCBA">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p>
        </w:tc>
        <w:tc>
          <w:tcPr>
            <w:tcW w:w="1276" w:type="dxa"/>
            <w:vMerge w:val="continue"/>
            <w:vAlign w:val="center"/>
          </w:tcPr>
          <w:p w14:paraId="6D5C9040">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p>
        </w:tc>
        <w:tc>
          <w:tcPr>
            <w:tcW w:w="1297" w:type="dxa"/>
            <w:vAlign w:val="center"/>
          </w:tcPr>
          <w:p w14:paraId="77C61BB4">
            <w:pPr>
              <w:kinsoku/>
              <w:overflowPunct/>
              <w:topLinePunct w:val="0"/>
              <w:bidi w:val="0"/>
              <w:spacing w:line="360" w:lineRule="auto"/>
              <w:ind w:left="0" w:leftChars="0" w:right="0" w:rightChars="0"/>
              <w:jc w:val="center"/>
              <w:rPr>
                <w:rFonts w:hint="default" w:hAnsi="Times New Roman" w:cs="Times New Roman"/>
                <w:sz w:val="24"/>
                <w:szCs w:val="24"/>
                <w:highlight w:val="none"/>
                <w:lang w:val="en-US" w:eastAsia="zh-CN"/>
              </w:rPr>
            </w:pPr>
            <w:r>
              <w:rPr>
                <w:rFonts w:hint="eastAsia"/>
                <w:sz w:val="24"/>
                <w:szCs w:val="24"/>
                <w:highlight w:val="none"/>
                <w:lang w:val="en-US" w:eastAsia="zh-CN"/>
              </w:rPr>
              <w:t>专项问题解决方案（9分）</w:t>
            </w:r>
          </w:p>
        </w:tc>
        <w:tc>
          <w:tcPr>
            <w:tcW w:w="5962" w:type="dxa"/>
            <w:vAlign w:val="center"/>
          </w:tcPr>
          <w:p w14:paraId="31D0BD67">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24043D63">
            <w:pPr>
              <w:numPr>
                <w:ilvl w:val="0"/>
                <w:numId w:val="0"/>
              </w:numPr>
              <w:kinsoku/>
              <w:overflowPunct/>
              <w:topLinePunct w:val="0"/>
              <w:bidi w:val="0"/>
              <w:spacing w:line="360" w:lineRule="auto"/>
              <w:ind w:left="0" w:leftChars="0" w:right="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针对本项目提出专项问题解决方案，方案内容包含：①实施办法修订工作内容的认知与理解②实施办法修订工作流程方案（包含前中后）③实施办法修订工作过程中存在的重点、难点及建议。</w:t>
            </w:r>
          </w:p>
          <w:p w14:paraId="6D8EE302">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1422E786">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2F67DF34">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w:t>
            </w:r>
            <w:r>
              <w:rPr>
                <w:rFonts w:hint="eastAsia" w:hAnsi="宋体" w:cs="宋体"/>
                <w:color w:val="auto"/>
                <w:sz w:val="24"/>
                <w:szCs w:val="24"/>
                <w:highlight w:val="none"/>
                <w:lang w:val="en-US" w:eastAsia="zh-CN"/>
              </w:rPr>
              <w:t>分9</w:t>
            </w:r>
            <w:r>
              <w:rPr>
                <w:rFonts w:hint="default" w:hAnsi="宋体" w:cs="宋体"/>
                <w:color w:val="auto"/>
                <w:sz w:val="24"/>
                <w:szCs w:val="24"/>
                <w:highlight w:val="none"/>
                <w:lang w:val="en-US" w:eastAsia="zh-CN"/>
              </w:rPr>
              <w:t>分）</w:t>
            </w:r>
          </w:p>
          <w:p w14:paraId="5CE04CB0">
            <w:pPr>
              <w:numPr>
                <w:ilvl w:val="0"/>
                <w:numId w:val="0"/>
              </w:numPr>
              <w:kinsoku/>
              <w:overflowPunct/>
              <w:topLinePunct w:val="0"/>
              <w:bidi w:val="0"/>
              <w:spacing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w:t>
            </w:r>
            <w:r>
              <w:rPr>
                <w:rFonts w:hint="default" w:hAnsi="宋体" w:cs="宋体"/>
                <w:color w:val="auto"/>
                <w:sz w:val="24"/>
                <w:szCs w:val="24"/>
                <w:highlight w:val="none"/>
                <w:lang w:val="en-US" w:eastAsia="zh-CN"/>
              </w:rPr>
              <w:t>每完全满足一个评审标准得</w:t>
            </w: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分，未完全满足得0-</w:t>
            </w:r>
            <w:r>
              <w:rPr>
                <w:rFonts w:hint="eastAsia" w:hAnsi="宋体" w:cs="宋体"/>
                <w:color w:val="auto"/>
                <w:sz w:val="24"/>
                <w:szCs w:val="24"/>
                <w:highlight w:val="none"/>
                <w:lang w:val="en-US" w:eastAsia="zh-CN"/>
              </w:rPr>
              <w:t>2.9</w:t>
            </w:r>
            <w:r>
              <w:rPr>
                <w:rFonts w:hint="default" w:hAnsi="宋体" w:cs="宋体"/>
                <w:color w:val="auto"/>
                <w:sz w:val="24"/>
                <w:szCs w:val="24"/>
                <w:highlight w:val="none"/>
                <w:lang w:val="en-US" w:eastAsia="zh-CN"/>
              </w:rPr>
              <w:t>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tc>
      </w:tr>
      <w:tr w14:paraId="0CF6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3E640799">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p>
        </w:tc>
        <w:tc>
          <w:tcPr>
            <w:tcW w:w="1276" w:type="dxa"/>
            <w:vMerge w:val="continue"/>
            <w:vAlign w:val="center"/>
          </w:tcPr>
          <w:p w14:paraId="4011D641">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p>
        </w:tc>
        <w:tc>
          <w:tcPr>
            <w:tcW w:w="1297" w:type="dxa"/>
            <w:vAlign w:val="center"/>
          </w:tcPr>
          <w:p w14:paraId="06EBCC02">
            <w:pPr>
              <w:kinsoku/>
              <w:overflowPunct/>
              <w:topLinePunct w:val="0"/>
              <w:bidi w:val="0"/>
              <w:spacing w:line="360" w:lineRule="auto"/>
              <w:ind w:left="0" w:leftChars="0" w:right="0" w:rightChars="0"/>
              <w:jc w:val="center"/>
              <w:rPr>
                <w:rFonts w:hint="default" w:hAnsi="Times New Roman" w:cs="Times New Roman"/>
                <w:sz w:val="24"/>
                <w:szCs w:val="24"/>
                <w:highlight w:val="none"/>
                <w:lang w:val="en-US" w:eastAsia="zh-CN"/>
              </w:rPr>
            </w:pPr>
            <w:r>
              <w:rPr>
                <w:rFonts w:hint="default" w:hAnsi="Times New Roman" w:cs="Times New Roman"/>
                <w:sz w:val="24"/>
                <w:szCs w:val="24"/>
                <w:highlight w:val="none"/>
                <w:lang w:val="en-US" w:eastAsia="zh-CN"/>
              </w:rPr>
              <w:t>管理制度</w:t>
            </w:r>
            <w:r>
              <w:rPr>
                <w:rFonts w:hint="eastAsia" w:hAnsi="Times New Roman" w:cs="Times New Roman"/>
                <w:sz w:val="24"/>
                <w:szCs w:val="24"/>
                <w:highlight w:val="none"/>
                <w:lang w:val="en-US" w:eastAsia="zh-CN"/>
              </w:rPr>
              <w:t>（9</w:t>
            </w:r>
            <w:r>
              <w:rPr>
                <w:rFonts w:hint="eastAsia"/>
                <w:sz w:val="24"/>
                <w:szCs w:val="24"/>
                <w:highlight w:val="none"/>
                <w:lang w:val="en-US" w:eastAsia="zh-CN"/>
              </w:rPr>
              <w:t>分）</w:t>
            </w:r>
          </w:p>
        </w:tc>
        <w:tc>
          <w:tcPr>
            <w:tcW w:w="5962" w:type="dxa"/>
            <w:vAlign w:val="center"/>
          </w:tcPr>
          <w:p w14:paraId="7A10E9CC">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45AC8965">
            <w:pPr>
              <w:numPr>
                <w:ilvl w:val="0"/>
                <w:numId w:val="0"/>
              </w:numPr>
              <w:kinsoku/>
              <w:overflowPunct/>
              <w:topLinePunct w:val="0"/>
              <w:bidi w:val="0"/>
              <w:spacing w:line="360" w:lineRule="auto"/>
              <w:ind w:left="0" w:leftChars="0" w:right="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供应商针对本项目具有良好的管理制度，方案内容包含：①岗位职责：具有岗位工作标准、服务质量标准②内控制度：问责机制、监督机制、自查制度③人员管理制度：具有员工日常管理办法、请销假制度、奖惩措施、激励机制。</w:t>
            </w:r>
          </w:p>
          <w:p w14:paraId="3183B251">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02C3F303">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23BAA599">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p w14:paraId="3F9689F7">
            <w:pPr>
              <w:numPr>
                <w:ilvl w:val="0"/>
                <w:numId w:val="0"/>
              </w:numPr>
              <w:kinsoku/>
              <w:overflowPunct/>
              <w:topLinePunct w:val="0"/>
              <w:bidi w:val="0"/>
              <w:spacing w:line="360" w:lineRule="auto"/>
              <w:ind w:left="0" w:leftChars="0" w:right="0" w:righ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单项方案</w:t>
            </w:r>
            <w:r>
              <w:rPr>
                <w:rFonts w:hint="default" w:hAnsi="宋体" w:cs="宋体"/>
                <w:color w:val="auto"/>
                <w:sz w:val="24"/>
                <w:szCs w:val="24"/>
                <w:highlight w:val="none"/>
                <w:lang w:val="en-US" w:eastAsia="zh-CN"/>
              </w:rPr>
              <w:t>每完全满足一个评审标准得</w:t>
            </w: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分，未完全满足得0-</w:t>
            </w:r>
            <w:r>
              <w:rPr>
                <w:rFonts w:hint="eastAsia" w:hAnsi="宋体" w:cs="宋体"/>
                <w:color w:val="auto"/>
                <w:sz w:val="24"/>
                <w:szCs w:val="24"/>
                <w:highlight w:val="none"/>
                <w:lang w:val="en-US" w:eastAsia="zh-CN"/>
              </w:rPr>
              <w:t>2.9</w:t>
            </w:r>
            <w:r>
              <w:rPr>
                <w:rFonts w:hint="default" w:hAnsi="宋体" w:cs="宋体"/>
                <w:color w:val="auto"/>
                <w:sz w:val="24"/>
                <w:szCs w:val="24"/>
                <w:highlight w:val="none"/>
                <w:lang w:val="en-US" w:eastAsia="zh-CN"/>
              </w:rPr>
              <w:t>分，满分</w:t>
            </w:r>
            <w:r>
              <w:rPr>
                <w:rFonts w:hint="eastAsia" w:hAnsi="宋体" w:cs="宋体"/>
                <w:color w:val="auto"/>
                <w:sz w:val="24"/>
                <w:szCs w:val="24"/>
                <w:highlight w:val="none"/>
                <w:lang w:val="en-US" w:eastAsia="zh-CN"/>
              </w:rPr>
              <w:t>9</w:t>
            </w:r>
            <w:r>
              <w:rPr>
                <w:rFonts w:hint="default" w:hAnsi="宋体" w:cs="宋体"/>
                <w:color w:val="auto"/>
                <w:sz w:val="24"/>
                <w:szCs w:val="24"/>
                <w:highlight w:val="none"/>
                <w:lang w:val="en-US" w:eastAsia="zh-CN"/>
              </w:rPr>
              <w:t>分；</w:t>
            </w:r>
          </w:p>
        </w:tc>
      </w:tr>
      <w:tr w14:paraId="3653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05B26BD9">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p>
        </w:tc>
        <w:tc>
          <w:tcPr>
            <w:tcW w:w="1276" w:type="dxa"/>
            <w:vMerge w:val="continue"/>
            <w:vAlign w:val="center"/>
          </w:tcPr>
          <w:p w14:paraId="6D897390">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p>
        </w:tc>
        <w:tc>
          <w:tcPr>
            <w:tcW w:w="1297" w:type="dxa"/>
            <w:vAlign w:val="center"/>
          </w:tcPr>
          <w:p w14:paraId="2A1F6EC8">
            <w:pPr>
              <w:kinsoku/>
              <w:overflowPunct/>
              <w:topLinePunct w:val="0"/>
              <w:bidi w:val="0"/>
              <w:spacing w:line="360" w:lineRule="auto"/>
              <w:ind w:left="0" w:leftChars="0" w:right="0"/>
              <w:jc w:val="center"/>
              <w:rPr>
                <w:rFonts w:hint="eastAsia" w:hAnsi="Times New Roman" w:cs="Times New Roman"/>
                <w:sz w:val="24"/>
                <w:szCs w:val="24"/>
                <w:highlight w:val="none"/>
                <w:lang w:val="en-US" w:eastAsia="zh-CN"/>
              </w:rPr>
            </w:pPr>
            <w:r>
              <w:rPr>
                <w:rFonts w:hint="default" w:hAnsi="Times New Roman" w:cs="Times New Roman"/>
                <w:sz w:val="24"/>
                <w:szCs w:val="24"/>
                <w:highlight w:val="none"/>
                <w:lang w:val="en-US" w:eastAsia="zh-CN"/>
              </w:rPr>
              <w:t>保密方案</w:t>
            </w:r>
            <w:r>
              <w:rPr>
                <w:rFonts w:hint="eastAsia" w:hAnsi="Times New Roman" w:cs="Times New Roman"/>
                <w:sz w:val="24"/>
                <w:szCs w:val="24"/>
                <w:highlight w:val="none"/>
                <w:lang w:val="en-US" w:eastAsia="zh-CN"/>
              </w:rPr>
              <w:t>（</w:t>
            </w:r>
            <w:r>
              <w:rPr>
                <w:rFonts w:hint="eastAsia" w:cs="Times New Roman"/>
                <w:sz w:val="24"/>
                <w:szCs w:val="24"/>
                <w:highlight w:val="none"/>
                <w:lang w:val="en-US" w:eastAsia="zh-CN"/>
              </w:rPr>
              <w:t>3</w:t>
            </w:r>
            <w:r>
              <w:rPr>
                <w:rFonts w:hint="eastAsia" w:hAnsi="Times New Roman" w:cs="Times New Roman"/>
                <w:sz w:val="24"/>
                <w:szCs w:val="24"/>
                <w:highlight w:val="none"/>
                <w:lang w:val="en-US" w:eastAsia="zh-CN"/>
              </w:rPr>
              <w:t>分）</w:t>
            </w:r>
          </w:p>
        </w:tc>
        <w:tc>
          <w:tcPr>
            <w:tcW w:w="5962" w:type="dxa"/>
            <w:vAlign w:val="center"/>
          </w:tcPr>
          <w:p w14:paraId="07D4E916">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3424027E">
            <w:pPr>
              <w:numPr>
                <w:ilvl w:val="0"/>
                <w:numId w:val="0"/>
              </w:numPr>
              <w:kinsoku/>
              <w:overflowPunct/>
              <w:topLinePunct w:val="0"/>
              <w:bidi w:val="0"/>
              <w:spacing w:line="360" w:lineRule="auto"/>
              <w:ind w:left="0" w:leftChars="0" w:right="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针对本项目制定保密方案，方案内容包含：①保密管理制度②特殊人员的保密措施。</w:t>
            </w:r>
          </w:p>
          <w:p w14:paraId="7947AC23">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24B21964">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44859192">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分）</w:t>
            </w:r>
          </w:p>
          <w:p w14:paraId="7378608B">
            <w:pPr>
              <w:numPr>
                <w:ilvl w:val="0"/>
                <w:numId w:val="11"/>
              </w:numPr>
              <w:shd w:val="clear"/>
              <w:bidi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详细合理，切合项目实际需求情况，对本项目针对性强得3分；</w:t>
            </w:r>
          </w:p>
          <w:p w14:paraId="7C2CEC4A">
            <w:pPr>
              <w:numPr>
                <w:ilvl w:val="0"/>
                <w:numId w:val="11"/>
              </w:numPr>
              <w:shd w:val="clear"/>
              <w:bidi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较详细合理，符合项目实际情况，基本无缺陷，对本项目针对性较强得2分；</w:t>
            </w:r>
          </w:p>
          <w:p w14:paraId="062AE323">
            <w:pPr>
              <w:numPr>
                <w:ilvl w:val="0"/>
                <w:numId w:val="11"/>
              </w:numPr>
              <w:shd w:val="clear"/>
              <w:bidi w:val="0"/>
              <w:spacing w:line="360" w:lineRule="auto"/>
              <w:ind w:left="425" w:leftChars="0" w:hanging="425" w:firstLineChars="0"/>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方案较合理，有部分缺陷，对本项目有针对性得1分；未提供相关内容不得分。</w:t>
            </w:r>
          </w:p>
        </w:tc>
      </w:tr>
      <w:tr w14:paraId="3BA0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5AF37BF2">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p>
        </w:tc>
        <w:tc>
          <w:tcPr>
            <w:tcW w:w="1276" w:type="dxa"/>
            <w:vMerge w:val="continue"/>
            <w:vAlign w:val="center"/>
          </w:tcPr>
          <w:p w14:paraId="35892AB3">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p>
        </w:tc>
        <w:tc>
          <w:tcPr>
            <w:tcW w:w="1297" w:type="dxa"/>
            <w:vAlign w:val="center"/>
          </w:tcPr>
          <w:p w14:paraId="3289A01F">
            <w:pPr>
              <w:kinsoku/>
              <w:overflowPunct/>
              <w:topLinePunct w:val="0"/>
              <w:bidi w:val="0"/>
              <w:spacing w:line="360" w:lineRule="auto"/>
              <w:ind w:left="0" w:leftChars="0" w:right="0"/>
              <w:jc w:val="center"/>
              <w:rPr>
                <w:rFonts w:hint="eastAsia"/>
                <w:sz w:val="24"/>
                <w:szCs w:val="24"/>
                <w:highlight w:val="none"/>
                <w:lang w:val="en-US" w:eastAsia="zh-CN"/>
              </w:rPr>
            </w:pPr>
            <w:r>
              <w:rPr>
                <w:rFonts w:hint="default" w:hAnsi="Times New Roman" w:cs="Times New Roman"/>
                <w:sz w:val="24"/>
                <w:szCs w:val="24"/>
                <w:highlight w:val="none"/>
                <w:lang w:val="en-US" w:eastAsia="zh-CN"/>
              </w:rPr>
              <w:t>机构建设方案</w:t>
            </w:r>
            <w:r>
              <w:rPr>
                <w:rFonts w:hint="eastAsia" w:hAnsi="Times New Roman" w:cs="Times New Roman"/>
                <w:sz w:val="24"/>
                <w:szCs w:val="24"/>
                <w:highlight w:val="none"/>
                <w:lang w:val="en-US" w:eastAsia="zh-CN"/>
              </w:rPr>
              <w:t>（</w:t>
            </w:r>
            <w:r>
              <w:rPr>
                <w:rFonts w:hint="eastAsia" w:cs="Times New Roman"/>
                <w:sz w:val="24"/>
                <w:szCs w:val="24"/>
                <w:highlight w:val="none"/>
                <w:lang w:val="en-US" w:eastAsia="zh-CN"/>
              </w:rPr>
              <w:t>3</w:t>
            </w:r>
            <w:r>
              <w:rPr>
                <w:rFonts w:hint="eastAsia" w:hAnsi="Times New Roman" w:cs="Times New Roman"/>
                <w:sz w:val="24"/>
                <w:szCs w:val="24"/>
                <w:highlight w:val="none"/>
                <w:lang w:val="en-US" w:eastAsia="zh-CN"/>
              </w:rPr>
              <w:t>分）</w:t>
            </w:r>
          </w:p>
        </w:tc>
        <w:tc>
          <w:tcPr>
            <w:tcW w:w="5962" w:type="dxa"/>
            <w:vAlign w:val="center"/>
          </w:tcPr>
          <w:p w14:paraId="7B302400">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1DDB0359">
            <w:pPr>
              <w:numPr>
                <w:ilvl w:val="0"/>
                <w:numId w:val="0"/>
              </w:numPr>
              <w:kinsoku/>
              <w:overflowPunct/>
              <w:topLinePunct w:val="0"/>
              <w:bidi w:val="0"/>
              <w:spacing w:line="360" w:lineRule="auto"/>
              <w:ind w:left="0" w:leftChars="0" w:right="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根据本项目特点提供机构建设方案，方案内容包含：①组织机构运行配备方案②专业服务团队人员的职能分工方案。</w:t>
            </w:r>
          </w:p>
          <w:p w14:paraId="559E12B6">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747DCC72">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6AF090C2">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分）</w:t>
            </w:r>
          </w:p>
          <w:p w14:paraId="6A000C9F">
            <w:pPr>
              <w:numPr>
                <w:ilvl w:val="0"/>
                <w:numId w:val="12"/>
              </w:numPr>
              <w:shd w:val="clear"/>
              <w:bidi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详细合理，切合项目实际需求情况，对本项目针对性强得3分；</w:t>
            </w:r>
          </w:p>
          <w:p w14:paraId="60F7940C">
            <w:pPr>
              <w:numPr>
                <w:ilvl w:val="0"/>
                <w:numId w:val="12"/>
              </w:numPr>
              <w:shd w:val="clear"/>
              <w:bidi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较详细合理，符合项目实际情况，基本无缺陷，对本项目针对性较强得2分；</w:t>
            </w:r>
          </w:p>
          <w:p w14:paraId="1F4E655F">
            <w:pPr>
              <w:numPr>
                <w:ilvl w:val="0"/>
                <w:numId w:val="12"/>
              </w:numPr>
              <w:kinsoku/>
              <w:overflowPunct/>
              <w:topLinePunct w:val="0"/>
              <w:bidi w:val="0"/>
              <w:spacing w:line="360" w:lineRule="auto"/>
              <w:ind w:left="425" w:leftChars="0" w:right="0" w:hanging="425" w:firstLineChars="0"/>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方案较合理，有部分缺陷，对本项目有针对性得1分；未提供相关内容不得分。</w:t>
            </w:r>
          </w:p>
        </w:tc>
      </w:tr>
      <w:tr w14:paraId="3772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53A86147">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eastAsia="zh-CN"/>
              </w:rPr>
            </w:pPr>
          </w:p>
        </w:tc>
        <w:tc>
          <w:tcPr>
            <w:tcW w:w="1276" w:type="dxa"/>
            <w:vMerge w:val="continue"/>
            <w:vAlign w:val="center"/>
          </w:tcPr>
          <w:p w14:paraId="3865E3EB">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p>
        </w:tc>
        <w:tc>
          <w:tcPr>
            <w:tcW w:w="1297" w:type="dxa"/>
            <w:vAlign w:val="center"/>
          </w:tcPr>
          <w:p w14:paraId="3AC44B24">
            <w:pPr>
              <w:kinsoku/>
              <w:overflowPunct/>
              <w:topLinePunct w:val="0"/>
              <w:bidi w:val="0"/>
              <w:spacing w:line="360" w:lineRule="auto"/>
              <w:ind w:left="0" w:leftChars="0" w:right="0"/>
              <w:jc w:val="center"/>
              <w:rPr>
                <w:rFonts w:hint="default" w:hAnsi="Times New Roman" w:cs="Times New Roman"/>
                <w:sz w:val="24"/>
                <w:szCs w:val="24"/>
                <w:highlight w:val="green"/>
                <w:lang w:val="en-US" w:eastAsia="zh-CN"/>
              </w:rPr>
            </w:pPr>
            <w:r>
              <w:rPr>
                <w:rFonts w:hint="default" w:hAnsi="Times New Roman" w:cs="Times New Roman"/>
                <w:sz w:val="24"/>
                <w:szCs w:val="24"/>
                <w:highlight w:val="none"/>
                <w:lang w:val="en-US" w:eastAsia="zh-CN"/>
              </w:rPr>
              <w:t>档案管理方案</w:t>
            </w:r>
            <w:r>
              <w:rPr>
                <w:rFonts w:hint="eastAsia" w:hAnsi="Times New Roman" w:cs="Times New Roman"/>
                <w:sz w:val="24"/>
                <w:szCs w:val="24"/>
                <w:highlight w:val="none"/>
                <w:lang w:val="en-US" w:eastAsia="zh-CN"/>
              </w:rPr>
              <w:t>（</w:t>
            </w:r>
            <w:r>
              <w:rPr>
                <w:rFonts w:hint="eastAsia" w:cs="Times New Roman"/>
                <w:sz w:val="24"/>
                <w:szCs w:val="24"/>
                <w:highlight w:val="none"/>
                <w:lang w:val="en-US" w:eastAsia="zh-CN"/>
              </w:rPr>
              <w:t>3</w:t>
            </w:r>
            <w:r>
              <w:rPr>
                <w:rFonts w:hint="eastAsia" w:hAnsi="Times New Roman" w:cs="Times New Roman"/>
                <w:sz w:val="24"/>
                <w:szCs w:val="24"/>
                <w:highlight w:val="none"/>
                <w:lang w:val="en-US" w:eastAsia="zh-CN"/>
              </w:rPr>
              <w:t>分）</w:t>
            </w:r>
          </w:p>
        </w:tc>
        <w:tc>
          <w:tcPr>
            <w:tcW w:w="5962" w:type="dxa"/>
            <w:vAlign w:val="center"/>
          </w:tcPr>
          <w:p w14:paraId="361062F8">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一、</w:t>
            </w:r>
            <w:r>
              <w:rPr>
                <w:rFonts w:hint="default" w:hAnsi="宋体" w:cs="宋体"/>
                <w:color w:val="auto"/>
                <w:sz w:val="24"/>
                <w:szCs w:val="24"/>
                <w:highlight w:val="none"/>
                <w:lang w:val="en-US" w:eastAsia="zh-CN"/>
              </w:rPr>
              <w:t>评审内容</w:t>
            </w:r>
          </w:p>
          <w:p w14:paraId="26858EE7">
            <w:pPr>
              <w:numPr>
                <w:ilvl w:val="0"/>
                <w:numId w:val="0"/>
              </w:numPr>
              <w:kinsoku/>
              <w:overflowPunct/>
              <w:topLinePunct w:val="0"/>
              <w:bidi w:val="0"/>
              <w:spacing w:line="360" w:lineRule="auto"/>
              <w:ind w:left="0" w:leftChars="0" w:right="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针对本项目各岗位职责范围内产生的资料制定档案管理方案，方案内容包含：①分类和规划措施②保管和移交措施。</w:t>
            </w:r>
          </w:p>
          <w:p w14:paraId="6131E3B4">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二、</w:t>
            </w:r>
            <w:r>
              <w:rPr>
                <w:rFonts w:hint="default" w:hAnsi="宋体" w:cs="宋体"/>
                <w:color w:val="auto"/>
                <w:sz w:val="24"/>
                <w:szCs w:val="24"/>
                <w:highlight w:val="none"/>
                <w:lang w:val="en-US" w:eastAsia="zh-CN"/>
              </w:rPr>
              <w:t>评审标准</w:t>
            </w:r>
          </w:p>
          <w:p w14:paraId="33B4CC11">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default" w:hAnsi="宋体" w:cs="宋体"/>
                <w:color w:val="auto"/>
                <w:sz w:val="24"/>
                <w:szCs w:val="24"/>
                <w:highlight w:val="none"/>
                <w:lang w:val="en-US" w:eastAsia="zh-CN"/>
              </w:rPr>
              <w:t>完整性：方案必须全面，对评审内容中的各项要求有详细描述；2、可实施性：切合本项目实际情况，提出步骤清晰、合理的方案；3、针对性：方案能够紧扣项目实际情况，内容科学合理。</w:t>
            </w:r>
          </w:p>
          <w:p w14:paraId="2B9DF94B">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default" w:hAnsi="宋体" w:cs="宋体"/>
                <w:color w:val="auto"/>
                <w:sz w:val="24"/>
                <w:szCs w:val="24"/>
                <w:highlight w:val="none"/>
                <w:lang w:val="en-US" w:eastAsia="zh-CN"/>
              </w:rPr>
              <w:t>三、赋分标准（满分</w:t>
            </w:r>
            <w:r>
              <w:rPr>
                <w:rFonts w:hint="eastAsia" w:hAnsi="宋体" w:cs="宋体"/>
                <w:color w:val="auto"/>
                <w:sz w:val="24"/>
                <w:szCs w:val="24"/>
                <w:highlight w:val="none"/>
                <w:lang w:val="en-US" w:eastAsia="zh-CN"/>
              </w:rPr>
              <w:t>3</w:t>
            </w:r>
            <w:r>
              <w:rPr>
                <w:rFonts w:hint="default" w:hAnsi="宋体" w:cs="宋体"/>
                <w:color w:val="auto"/>
                <w:sz w:val="24"/>
                <w:szCs w:val="24"/>
                <w:highlight w:val="none"/>
                <w:lang w:val="en-US" w:eastAsia="zh-CN"/>
              </w:rPr>
              <w:t>分）</w:t>
            </w:r>
          </w:p>
          <w:p w14:paraId="331950B4">
            <w:pPr>
              <w:numPr>
                <w:ilvl w:val="0"/>
                <w:numId w:val="13"/>
              </w:numPr>
              <w:shd w:val="clear"/>
              <w:bidi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详细合理，切合项目实际需求情况，对本项目针对性强得3分；</w:t>
            </w:r>
          </w:p>
          <w:p w14:paraId="627DE098">
            <w:pPr>
              <w:numPr>
                <w:ilvl w:val="0"/>
                <w:numId w:val="13"/>
              </w:numPr>
              <w:shd w:val="clear"/>
              <w:bidi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较详细合理，符合项目实际情况，基本无缺陷，对本项目针对性较强得2分；</w:t>
            </w:r>
          </w:p>
          <w:p w14:paraId="460C30AE">
            <w:pPr>
              <w:numPr>
                <w:ilvl w:val="0"/>
                <w:numId w:val="13"/>
              </w:numPr>
              <w:shd w:val="clear"/>
              <w:bidi w:val="0"/>
              <w:spacing w:line="360" w:lineRule="auto"/>
              <w:ind w:left="425" w:leftChars="0" w:hanging="425" w:firstLineChars="0"/>
              <w:rPr>
                <w:rFonts w:hint="default"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较合理，有部分缺陷，对本项目有针对性得1分；未提供相关内容不得分。</w:t>
            </w:r>
          </w:p>
        </w:tc>
      </w:tr>
      <w:tr w14:paraId="14C5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59D88ACB">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p>
        </w:tc>
        <w:tc>
          <w:tcPr>
            <w:tcW w:w="1276" w:type="dxa"/>
            <w:vMerge w:val="continue"/>
            <w:vAlign w:val="center"/>
          </w:tcPr>
          <w:p w14:paraId="2699AEFB">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p>
        </w:tc>
        <w:tc>
          <w:tcPr>
            <w:tcW w:w="1297" w:type="dxa"/>
            <w:vAlign w:val="center"/>
          </w:tcPr>
          <w:p w14:paraId="6295DA7B">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项目组成员</w:t>
            </w:r>
          </w:p>
          <w:p w14:paraId="11893CD9">
            <w:pPr>
              <w:kinsoku/>
              <w:overflowPunct/>
              <w:topLinePunct w:val="0"/>
              <w:bidi w:val="0"/>
              <w:spacing w:line="360" w:lineRule="auto"/>
              <w:ind w:left="0" w:leftChars="0" w:right="0"/>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r>
              <w:rPr>
                <w:rFonts w:hint="eastAsia" w:hAnsi="宋体"/>
                <w:color w:val="auto"/>
                <w:sz w:val="24"/>
                <w:szCs w:val="24"/>
                <w:highlight w:val="none"/>
                <w:lang w:val="en-US" w:eastAsia="zh-CN"/>
              </w:rPr>
              <w:t>10</w:t>
            </w:r>
            <w:r>
              <w:rPr>
                <w:rFonts w:hint="eastAsia" w:ascii="宋体" w:hAnsi="宋体"/>
                <w:color w:val="auto"/>
                <w:sz w:val="24"/>
                <w:szCs w:val="24"/>
                <w:highlight w:val="none"/>
                <w:lang w:val="en-US" w:eastAsia="zh-CN"/>
              </w:rPr>
              <w:t>分）</w:t>
            </w:r>
          </w:p>
        </w:tc>
        <w:tc>
          <w:tcPr>
            <w:tcW w:w="5962" w:type="dxa"/>
            <w:vAlign w:val="center"/>
          </w:tcPr>
          <w:p w14:paraId="423249D8">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1.项目组成员（项目负责人除外）满足9人且高级职称不少于5人的得5分，其余不得分。</w:t>
            </w:r>
          </w:p>
          <w:p w14:paraId="2139098B">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2.成员中（项目负责人除外）每增加1人具有</w:t>
            </w:r>
            <w:r>
              <w:rPr>
                <w:rFonts w:hint="default" w:hAnsi="宋体" w:cs="宋体"/>
                <w:color w:val="auto"/>
                <w:sz w:val="24"/>
                <w:szCs w:val="24"/>
                <w:highlight w:val="none"/>
                <w:lang w:val="en-US" w:eastAsia="zh-CN"/>
              </w:rPr>
              <w:t>法学正高级职称</w:t>
            </w:r>
            <w:r>
              <w:rPr>
                <w:rFonts w:hint="eastAsia" w:hAnsi="宋体" w:cs="宋体"/>
                <w:color w:val="auto"/>
                <w:sz w:val="24"/>
                <w:szCs w:val="24"/>
                <w:highlight w:val="none"/>
                <w:lang w:val="en-US" w:eastAsia="zh-CN"/>
              </w:rPr>
              <w:t>且</w:t>
            </w:r>
            <w:r>
              <w:rPr>
                <w:rFonts w:hint="default" w:hAnsi="宋体" w:cs="宋体"/>
                <w:color w:val="auto"/>
                <w:sz w:val="24"/>
                <w:szCs w:val="24"/>
                <w:highlight w:val="none"/>
                <w:lang w:val="en-US" w:eastAsia="zh-CN"/>
              </w:rPr>
              <w:t>具备法学硕士及以上学位</w:t>
            </w:r>
            <w:r>
              <w:rPr>
                <w:rFonts w:hint="eastAsia" w:hAnsi="宋体" w:cs="宋体"/>
                <w:color w:val="auto"/>
                <w:sz w:val="24"/>
                <w:szCs w:val="24"/>
                <w:highlight w:val="none"/>
                <w:lang w:val="en-US" w:eastAsia="zh-CN"/>
              </w:rPr>
              <w:t>的得1分，每增加1人具有</w:t>
            </w:r>
            <w:r>
              <w:rPr>
                <w:rFonts w:hint="default" w:hAnsi="宋体" w:cs="宋体"/>
                <w:color w:val="auto"/>
                <w:sz w:val="24"/>
                <w:szCs w:val="24"/>
                <w:highlight w:val="none"/>
                <w:lang w:val="en-US" w:eastAsia="zh-CN"/>
              </w:rPr>
              <w:t>法学副高级职称</w:t>
            </w:r>
            <w:r>
              <w:rPr>
                <w:rFonts w:hint="eastAsia" w:hAnsi="宋体" w:cs="宋体"/>
                <w:color w:val="auto"/>
                <w:sz w:val="24"/>
                <w:szCs w:val="24"/>
                <w:highlight w:val="none"/>
                <w:lang w:val="en-US" w:eastAsia="zh-CN"/>
              </w:rPr>
              <w:t>且</w:t>
            </w:r>
            <w:r>
              <w:rPr>
                <w:rFonts w:hint="default" w:hAnsi="宋体" w:cs="宋体"/>
                <w:color w:val="auto"/>
                <w:sz w:val="24"/>
                <w:szCs w:val="24"/>
                <w:highlight w:val="none"/>
                <w:lang w:val="en-US" w:eastAsia="zh-CN"/>
              </w:rPr>
              <w:t>具备法学硕士及以上学位</w:t>
            </w:r>
            <w:r>
              <w:rPr>
                <w:rFonts w:hint="eastAsia" w:hAnsi="宋体" w:cs="宋体"/>
                <w:color w:val="auto"/>
                <w:sz w:val="24"/>
                <w:szCs w:val="24"/>
                <w:highlight w:val="none"/>
                <w:lang w:val="en-US" w:eastAsia="zh-CN"/>
              </w:rPr>
              <w:t>的得0.5分，此项最高不超过5分。</w:t>
            </w:r>
          </w:p>
          <w:p w14:paraId="0924E676">
            <w:pPr>
              <w:numPr>
                <w:ilvl w:val="0"/>
                <w:numId w:val="0"/>
              </w:numPr>
              <w:kinsoku/>
              <w:overflowPunct/>
              <w:topLinePunct w:val="0"/>
              <w:bidi w:val="0"/>
              <w:spacing w:line="360" w:lineRule="auto"/>
              <w:ind w:left="0" w:leftChars="0" w:right="0"/>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注：证书不重复计分，响应文件中提供相应证明。</w:t>
            </w:r>
          </w:p>
        </w:tc>
      </w:tr>
      <w:tr w14:paraId="4344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36" w:type="dxa"/>
            <w:vMerge w:val="continue"/>
            <w:vAlign w:val="center"/>
          </w:tcPr>
          <w:p w14:paraId="10CCCD96">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p>
        </w:tc>
        <w:tc>
          <w:tcPr>
            <w:tcW w:w="1276" w:type="dxa"/>
            <w:vMerge w:val="continue"/>
            <w:vAlign w:val="center"/>
          </w:tcPr>
          <w:p w14:paraId="0FFF3E6B">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p>
        </w:tc>
        <w:tc>
          <w:tcPr>
            <w:tcW w:w="1297" w:type="dxa"/>
            <w:vAlign w:val="center"/>
          </w:tcPr>
          <w:p w14:paraId="423CB723">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w:t>
            </w:r>
          </w:p>
          <w:p w14:paraId="1C6A4F53">
            <w:pPr>
              <w:pStyle w:val="32"/>
              <w:keepNext w:val="0"/>
              <w:keepLines w:val="0"/>
              <w:pageBreakBefore w:val="0"/>
              <w:widowControl w:val="0"/>
              <w:kinsoku/>
              <w:wordWrap/>
              <w:overflowPunct/>
              <w:topLinePunct w:val="0"/>
              <w:bidi w:val="0"/>
              <w:snapToGrid/>
              <w:spacing w:line="360" w:lineRule="auto"/>
              <w:ind w:left="0" w:leftChars="0" w:right="0"/>
              <w:jc w:val="center"/>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负责人</w:t>
            </w:r>
          </w:p>
          <w:p w14:paraId="0032354C">
            <w:pPr>
              <w:kinsoku/>
              <w:overflowPunct/>
              <w:topLinePunct w:val="0"/>
              <w:bidi w:val="0"/>
              <w:spacing w:line="360" w:lineRule="auto"/>
              <w:ind w:left="0" w:leftChars="0" w:right="0"/>
              <w:jc w:val="center"/>
              <w:rPr>
                <w:rFonts w:hint="default" w:hAnsi="宋体" w:cs="宋体"/>
                <w:color w:val="auto"/>
                <w:sz w:val="24"/>
                <w:szCs w:val="24"/>
                <w:highlight w:val="none"/>
                <w:lang w:val="en-US" w:eastAsia="zh-CN"/>
              </w:rPr>
            </w:pPr>
            <w:r>
              <w:rPr>
                <w:rFonts w:hint="eastAsia" w:ascii="宋体" w:hAnsi="宋体"/>
                <w:color w:val="auto"/>
                <w:sz w:val="24"/>
                <w:szCs w:val="24"/>
                <w:highlight w:val="none"/>
                <w:lang w:val="en-US" w:eastAsia="zh-CN"/>
              </w:rPr>
              <w:t>（</w:t>
            </w:r>
            <w:r>
              <w:rPr>
                <w:rFonts w:hint="eastAsia" w:hAnsi="宋体"/>
                <w:color w:val="auto"/>
                <w:sz w:val="24"/>
                <w:szCs w:val="24"/>
                <w:highlight w:val="none"/>
                <w:lang w:val="en-US" w:eastAsia="zh-CN"/>
              </w:rPr>
              <w:t>3</w:t>
            </w:r>
            <w:r>
              <w:rPr>
                <w:rFonts w:hint="eastAsia" w:ascii="宋体" w:hAnsi="宋体"/>
                <w:color w:val="auto"/>
                <w:sz w:val="24"/>
                <w:szCs w:val="24"/>
                <w:highlight w:val="none"/>
                <w:lang w:val="en-US" w:eastAsia="zh-CN"/>
              </w:rPr>
              <w:t>分）</w:t>
            </w:r>
          </w:p>
        </w:tc>
        <w:tc>
          <w:tcPr>
            <w:tcW w:w="5962" w:type="dxa"/>
            <w:vAlign w:val="center"/>
          </w:tcPr>
          <w:p w14:paraId="082C6D07">
            <w:pPr>
              <w:numPr>
                <w:ilvl w:val="0"/>
                <w:numId w:val="0"/>
              </w:numPr>
              <w:kinsoku/>
              <w:overflowPunct/>
              <w:topLinePunct w:val="0"/>
              <w:bidi w:val="0"/>
              <w:spacing w:line="360" w:lineRule="auto"/>
              <w:ind w:left="0" w:leftChars="0" w:right="0"/>
              <w:rPr>
                <w:rFonts w:hint="default" w:hAnsi="宋体" w:cs="宋体"/>
                <w:color w:val="auto"/>
                <w:sz w:val="24"/>
                <w:szCs w:val="24"/>
                <w:highlight w:val="none"/>
                <w:lang w:val="en-US" w:eastAsia="zh-CN"/>
              </w:rPr>
            </w:pPr>
            <w:r>
              <w:rPr>
                <w:rFonts w:hint="eastAsia" w:hAnsi="宋体" w:cs="宋体"/>
                <w:color w:val="auto"/>
                <w:sz w:val="24"/>
                <w:szCs w:val="24"/>
                <w:highlight w:val="none"/>
                <w:lang w:val="en-US" w:eastAsia="zh-CN"/>
              </w:rPr>
              <w:t>拟派项目负责人为</w:t>
            </w:r>
            <w:r>
              <w:rPr>
                <w:rFonts w:hint="default" w:hAnsi="宋体" w:cs="宋体"/>
                <w:color w:val="auto"/>
                <w:sz w:val="24"/>
                <w:szCs w:val="24"/>
                <w:highlight w:val="none"/>
                <w:lang w:val="en-US" w:eastAsia="zh-CN"/>
              </w:rPr>
              <w:t>法学正高级</w:t>
            </w:r>
            <w:r>
              <w:rPr>
                <w:rFonts w:hint="eastAsia" w:hAnsi="宋体" w:cs="宋体"/>
                <w:color w:val="auto"/>
                <w:sz w:val="24"/>
                <w:szCs w:val="24"/>
                <w:highlight w:val="none"/>
                <w:lang w:val="en-US" w:eastAsia="zh-CN"/>
              </w:rPr>
              <w:t>且</w:t>
            </w:r>
            <w:r>
              <w:rPr>
                <w:rFonts w:hint="default" w:hAnsi="宋体" w:cs="宋体"/>
                <w:color w:val="auto"/>
                <w:sz w:val="24"/>
                <w:szCs w:val="24"/>
                <w:highlight w:val="none"/>
                <w:lang w:val="en-US" w:eastAsia="zh-CN"/>
              </w:rPr>
              <w:t>具备法学硕士及以上学位</w:t>
            </w:r>
            <w:r>
              <w:rPr>
                <w:rFonts w:hint="eastAsia" w:hAnsi="宋体" w:cs="宋体"/>
                <w:color w:val="auto"/>
                <w:sz w:val="24"/>
                <w:szCs w:val="24"/>
                <w:highlight w:val="none"/>
                <w:lang w:val="en-US" w:eastAsia="zh-CN"/>
              </w:rPr>
              <w:t>得3分，其余不得分。</w:t>
            </w:r>
          </w:p>
        </w:tc>
      </w:tr>
      <w:tr w14:paraId="1CAB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restart"/>
            <w:vAlign w:val="center"/>
          </w:tcPr>
          <w:p w14:paraId="573D39E3">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商务评标部分</w:t>
            </w:r>
          </w:p>
          <w:p w14:paraId="1818CDC7">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p>
        </w:tc>
        <w:tc>
          <w:tcPr>
            <w:tcW w:w="1276" w:type="dxa"/>
            <w:vMerge w:val="restart"/>
            <w:vAlign w:val="center"/>
          </w:tcPr>
          <w:p w14:paraId="3D4A51E9">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1297" w:type="dxa"/>
            <w:vAlign w:val="center"/>
          </w:tcPr>
          <w:p w14:paraId="7552A4D9">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业绩（10分）</w:t>
            </w:r>
          </w:p>
        </w:tc>
        <w:tc>
          <w:tcPr>
            <w:tcW w:w="5962" w:type="dxa"/>
            <w:vAlign w:val="center"/>
          </w:tcPr>
          <w:p w14:paraId="7353A750">
            <w:pPr>
              <w:kinsoku/>
              <w:overflowPunct/>
              <w:topLinePunct w:val="0"/>
              <w:bidi w:val="0"/>
              <w:spacing w:line="360" w:lineRule="auto"/>
              <w:ind w:left="0" w:leftChars="0" w:right="0"/>
              <w:rPr>
                <w:rFonts w:hint="eastAsia" w:ascii="宋体" w:hAnsi="宋体" w:eastAsia="宋体" w:cs="宋体"/>
                <w:color w:val="auto"/>
                <w:sz w:val="24"/>
                <w:szCs w:val="24"/>
                <w:highlight w:val="none"/>
              </w:rPr>
            </w:pPr>
            <w:r>
              <w:rPr>
                <w:sz w:val="24"/>
                <w:szCs w:val="24"/>
                <w:highlight w:val="none"/>
              </w:rPr>
              <w:t>投标人近三年（202</w:t>
            </w:r>
            <w:r>
              <w:rPr>
                <w:rFonts w:hint="eastAsia"/>
                <w:sz w:val="24"/>
                <w:szCs w:val="24"/>
                <w:highlight w:val="none"/>
                <w:lang w:val="en-US" w:eastAsia="zh-CN"/>
              </w:rPr>
              <w:t>3</w:t>
            </w:r>
            <w:r>
              <w:rPr>
                <w:sz w:val="24"/>
                <w:szCs w:val="24"/>
                <w:highlight w:val="none"/>
              </w:rPr>
              <w:t>年</w:t>
            </w:r>
            <w:r>
              <w:rPr>
                <w:rFonts w:hint="eastAsia"/>
                <w:sz w:val="24"/>
                <w:szCs w:val="24"/>
                <w:highlight w:val="none"/>
                <w:lang w:val="en-US" w:eastAsia="zh-CN"/>
              </w:rPr>
              <w:t>1</w:t>
            </w:r>
            <w:r>
              <w:rPr>
                <w:sz w:val="24"/>
                <w:szCs w:val="24"/>
                <w:highlight w:val="none"/>
              </w:rPr>
              <w:t>月至今）具有类似项目业绩，每提供一份计</w:t>
            </w:r>
            <w:r>
              <w:rPr>
                <w:rFonts w:hint="eastAsia"/>
                <w:sz w:val="24"/>
                <w:szCs w:val="24"/>
                <w:highlight w:val="none"/>
                <w:lang w:val="en-US" w:eastAsia="zh-CN"/>
              </w:rPr>
              <w:t>2</w:t>
            </w:r>
            <w:r>
              <w:rPr>
                <w:sz w:val="24"/>
                <w:szCs w:val="24"/>
                <w:highlight w:val="none"/>
              </w:rPr>
              <w:t>分，满分</w:t>
            </w:r>
            <w:r>
              <w:rPr>
                <w:rFonts w:hint="eastAsia"/>
                <w:sz w:val="24"/>
                <w:szCs w:val="24"/>
                <w:highlight w:val="none"/>
                <w:lang w:val="en-US" w:eastAsia="zh-CN"/>
              </w:rPr>
              <w:t>10</w:t>
            </w:r>
            <w:r>
              <w:rPr>
                <w:sz w:val="24"/>
                <w:szCs w:val="24"/>
                <w:highlight w:val="none"/>
              </w:rPr>
              <w:t>分。评审依据：提供</w:t>
            </w:r>
            <w:r>
              <w:rPr>
                <w:rFonts w:hint="eastAsia"/>
                <w:sz w:val="24"/>
                <w:szCs w:val="24"/>
                <w:highlight w:val="none"/>
                <w:lang w:val="en-US" w:eastAsia="zh-CN"/>
              </w:rPr>
              <w:t>供应商</w:t>
            </w:r>
            <w:r>
              <w:rPr>
                <w:sz w:val="24"/>
                <w:szCs w:val="24"/>
                <w:highlight w:val="none"/>
              </w:rPr>
              <w:t>加盖公章的合同协议书复印件</w:t>
            </w:r>
            <w:r>
              <w:rPr>
                <w:rFonts w:hint="eastAsia"/>
                <w:sz w:val="24"/>
                <w:szCs w:val="24"/>
                <w:highlight w:val="none"/>
                <w:lang w:val="en-US" w:eastAsia="zh-CN"/>
              </w:rPr>
              <w:t>或中标通知书</w:t>
            </w:r>
            <w:r>
              <w:rPr>
                <w:sz w:val="24"/>
                <w:szCs w:val="24"/>
                <w:highlight w:val="none"/>
              </w:rPr>
              <w:t>，以合同签订时间为准。</w:t>
            </w:r>
          </w:p>
        </w:tc>
      </w:tr>
      <w:tr w14:paraId="4A0A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6" w:type="dxa"/>
            <w:vMerge w:val="continue"/>
            <w:vAlign w:val="center"/>
          </w:tcPr>
          <w:p w14:paraId="63C48DAA">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p>
        </w:tc>
        <w:tc>
          <w:tcPr>
            <w:tcW w:w="1276" w:type="dxa"/>
            <w:vMerge w:val="continue"/>
            <w:vAlign w:val="center"/>
          </w:tcPr>
          <w:p w14:paraId="2EBD48F6">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p>
        </w:tc>
        <w:tc>
          <w:tcPr>
            <w:tcW w:w="1297" w:type="dxa"/>
            <w:vAlign w:val="center"/>
          </w:tcPr>
          <w:p w14:paraId="022BDD3E">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7E2F64AA">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5962" w:type="dxa"/>
            <w:vAlign w:val="center"/>
          </w:tcPr>
          <w:p w14:paraId="5DA36C6D">
            <w:pPr>
              <w:kinsoku/>
              <w:overflowPunct/>
              <w:topLinePunct w:val="0"/>
              <w:bidi w:val="0"/>
              <w:spacing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1.经初审合格的投标文件，其投标报价为有效投标价。对符合政策性扣减的有效投标报价进行政策性扣减，并依据扣减后的价格（评审价格）进行价格评审。</w:t>
            </w:r>
          </w:p>
          <w:p w14:paraId="73771D22">
            <w:pPr>
              <w:kinsoku/>
              <w:overflowPunct/>
              <w:topLinePunct w:val="0"/>
              <w:bidi w:val="0"/>
              <w:spacing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2.有效最低报价为基准价得</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p w14:paraId="0244DEC3">
            <w:pPr>
              <w:kinsoku/>
              <w:overflowPunct/>
              <w:topLinePunct w:val="0"/>
              <w:bidi w:val="0"/>
              <w:spacing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3.按（有效最低报价/有效投标报价）×</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的公式计算其得分。</w:t>
            </w:r>
          </w:p>
          <w:p w14:paraId="7396E5EB">
            <w:pPr>
              <w:kinsoku/>
              <w:overflowPunct/>
              <w:topLinePunct w:val="0"/>
              <w:bidi w:val="0"/>
              <w:spacing w:line="360" w:lineRule="auto"/>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4.经评委一致认定，投标人的投标总报价低于公认市场成本，或超过采购预算,其投标将被拒绝。</w:t>
            </w:r>
          </w:p>
        </w:tc>
      </w:tr>
      <w:tr w14:paraId="698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12" w:type="dxa"/>
            <w:gridSpan w:val="2"/>
            <w:vAlign w:val="center"/>
          </w:tcPr>
          <w:p w14:paraId="2DB87157">
            <w:pPr>
              <w:kinsoku/>
              <w:overflowPunct/>
              <w:topLinePunct w:val="0"/>
              <w:bidi w:val="0"/>
              <w:spacing w:line="360" w:lineRule="auto"/>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259" w:type="dxa"/>
            <w:gridSpan w:val="2"/>
            <w:vAlign w:val="center"/>
          </w:tcPr>
          <w:p w14:paraId="127A6EA5">
            <w:pPr>
              <w:kinsoku/>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1）各评标委员会独立打分。</w:t>
            </w:r>
          </w:p>
          <w:p w14:paraId="6FC39EFE">
            <w:pPr>
              <w:kinsoku/>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2）评标委员会成员打分超过得分界限或未按本表规定赋分时，该成员的打分作废，不计入汇总分。</w:t>
            </w:r>
          </w:p>
          <w:p w14:paraId="6D66FBB8">
            <w:pPr>
              <w:kinsoku/>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06641875">
            <w:pPr>
              <w:kinsoku/>
              <w:overflowPunct/>
              <w:topLinePunct w:val="0"/>
              <w:bidi w:val="0"/>
              <w:spacing w:line="360" w:lineRule="auto"/>
              <w:ind w:left="0" w:leftChars="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4）各种计算采用插入法，数字均保留一位小数，第二位“四舍五入”。</w:t>
            </w:r>
          </w:p>
          <w:p w14:paraId="1DDF1036">
            <w:pPr>
              <w:tabs>
                <w:tab w:val="left" w:pos="1599"/>
              </w:tabs>
              <w:kinsoku/>
              <w:overflowPunct/>
              <w:topLinePunct w:val="0"/>
              <w:bidi w:val="0"/>
              <w:spacing w:line="360" w:lineRule="auto"/>
              <w:ind w:left="0" w:leftChars="0" w:right="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5）评审过程中，若出现特殊情况时，由评审委员会决定暂停评审，并提出具体处理意见。</w:t>
            </w:r>
          </w:p>
        </w:tc>
      </w:tr>
    </w:tbl>
    <w:p w14:paraId="1155EAD3">
      <w:pPr>
        <w:kinsoku/>
        <w:overflowPunct/>
        <w:topLinePunct w:val="0"/>
        <w:bidi w:val="0"/>
        <w:spacing w:line="360" w:lineRule="auto"/>
        <w:ind w:left="0" w:leftChars="0" w:right="0"/>
        <w:rPr>
          <w:rFonts w:hAnsi="宋体" w:cs="宋体"/>
          <w:szCs w:val="24"/>
          <w:highlight w:val="none"/>
        </w:rPr>
      </w:pPr>
    </w:p>
    <w:p w14:paraId="03347866">
      <w:pPr>
        <w:kinsoku/>
        <w:overflowPunct/>
        <w:topLinePunct w:val="0"/>
        <w:bidi w:val="0"/>
        <w:spacing w:line="360" w:lineRule="auto"/>
        <w:ind w:left="0" w:leftChars="0" w:right="0"/>
        <w:rPr>
          <w:rFonts w:hAnsi="宋体" w:cs="宋体"/>
          <w:b/>
          <w:spacing w:val="4"/>
          <w:sz w:val="28"/>
          <w:szCs w:val="24"/>
          <w:highlight w:val="none"/>
        </w:rPr>
      </w:pPr>
      <w:r>
        <w:rPr>
          <w:rFonts w:hint="eastAsia" w:hAnsi="宋体" w:cs="宋体"/>
          <w:b/>
          <w:spacing w:val="4"/>
          <w:sz w:val="28"/>
          <w:szCs w:val="24"/>
          <w:highlight w:val="none"/>
        </w:rPr>
        <w:t>五、定标：</w:t>
      </w:r>
    </w:p>
    <w:p w14:paraId="17F6BA01">
      <w:pPr>
        <w:kinsoku/>
        <w:overflowPunct/>
        <w:topLinePunct w:val="0"/>
        <w:bidi w:val="0"/>
        <w:spacing w:line="360" w:lineRule="auto"/>
        <w:ind w:left="0" w:leftChars="0" w:right="0"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14:paraId="4CA73EC1">
      <w:pPr>
        <w:kinsoku/>
        <w:overflowPunct/>
        <w:topLinePunct w:val="0"/>
        <w:bidi w:val="0"/>
        <w:spacing w:line="360" w:lineRule="auto"/>
        <w:ind w:left="0" w:leftChars="0" w:right="0"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14:paraId="365F6572">
      <w:pPr>
        <w:kinsoku/>
        <w:overflowPunct/>
        <w:topLinePunct w:val="0"/>
        <w:bidi w:val="0"/>
        <w:spacing w:line="360" w:lineRule="auto"/>
        <w:ind w:left="0" w:leftChars="0" w:right="0"/>
        <w:rPr>
          <w:rFonts w:hAnsi="宋体" w:cs="宋体"/>
          <w:highlight w:val="none"/>
        </w:rPr>
      </w:pPr>
    </w:p>
    <w:p w14:paraId="6071CC8A">
      <w:pPr>
        <w:pStyle w:val="19"/>
        <w:kinsoku/>
        <w:overflowPunct/>
        <w:topLinePunct w:val="0"/>
        <w:bidi w:val="0"/>
        <w:spacing w:line="360" w:lineRule="auto"/>
        <w:ind w:left="0" w:leftChars="0" w:right="0" w:firstLine="0" w:firstLineChars="0"/>
        <w:rPr>
          <w:rFonts w:cs="宋体"/>
          <w:b/>
          <w:sz w:val="24"/>
          <w:szCs w:val="24"/>
          <w:highlight w:val="none"/>
        </w:rPr>
      </w:pPr>
      <w:r>
        <w:rPr>
          <w:rFonts w:hint="eastAsia" w:cs="宋体"/>
          <w:b/>
          <w:sz w:val="24"/>
          <w:szCs w:val="24"/>
          <w:highlight w:val="none"/>
        </w:rPr>
        <w:br w:type="page"/>
      </w:r>
    </w:p>
    <w:p w14:paraId="723AEA36">
      <w:pPr>
        <w:pStyle w:val="2"/>
        <w:kinsoku/>
        <w:overflowPunct/>
        <w:topLinePunct w:val="0"/>
        <w:bidi w:val="0"/>
        <w:spacing w:line="360" w:lineRule="auto"/>
        <w:ind w:left="0" w:leftChars="0" w:right="0"/>
        <w:jc w:val="center"/>
        <w:rPr>
          <w:rFonts w:ascii="宋体" w:eastAsia="宋体" w:cs="宋体"/>
          <w:bCs/>
          <w:sz w:val="36"/>
          <w:szCs w:val="36"/>
          <w:highlight w:val="none"/>
        </w:rPr>
      </w:pPr>
      <w:bookmarkStart w:id="95" w:name="_Toc10029"/>
      <w:bookmarkStart w:id="96" w:name="_Toc8788"/>
      <w:bookmarkStart w:id="97" w:name="_Toc27969"/>
      <w:r>
        <w:rPr>
          <w:rFonts w:hint="eastAsia" w:ascii="宋体" w:eastAsia="宋体" w:cs="宋体"/>
          <w:bCs/>
          <w:sz w:val="36"/>
          <w:szCs w:val="36"/>
          <w:highlight w:val="none"/>
        </w:rPr>
        <w:t>第四章  合同条款及格式</w:t>
      </w:r>
      <w:bookmarkEnd w:id="69"/>
      <w:bookmarkEnd w:id="70"/>
      <w:bookmarkEnd w:id="71"/>
      <w:bookmarkEnd w:id="95"/>
      <w:bookmarkEnd w:id="96"/>
      <w:bookmarkEnd w:id="97"/>
    </w:p>
    <w:p w14:paraId="095A0744">
      <w:pPr>
        <w:tabs>
          <w:tab w:val="left" w:pos="210"/>
          <w:tab w:val="left" w:pos="525"/>
        </w:tabs>
        <w:kinsoku/>
        <w:overflowPunct/>
        <w:topLinePunct w:val="0"/>
        <w:bidi w:val="0"/>
        <w:spacing w:line="360" w:lineRule="auto"/>
        <w:ind w:left="0" w:leftChars="0" w:right="0"/>
        <w:jc w:val="center"/>
        <w:outlineLvl w:val="1"/>
        <w:rPr>
          <w:rFonts w:hAnsi="宋体" w:cs="宋体"/>
          <w:sz w:val="32"/>
          <w:szCs w:val="32"/>
          <w:highlight w:val="none"/>
        </w:rPr>
      </w:pPr>
      <w:bookmarkStart w:id="98" w:name="_Toc24218"/>
      <w:bookmarkStart w:id="99" w:name="_Toc3424"/>
      <w:bookmarkStart w:id="100" w:name="_Toc10210"/>
      <w:bookmarkStart w:id="101" w:name="_Toc23705"/>
      <w:bookmarkStart w:id="102" w:name="_Toc32476"/>
      <w:r>
        <w:rPr>
          <w:rFonts w:hint="eastAsia" w:hAnsi="宋体" w:cs="宋体"/>
          <w:b/>
          <w:bCs/>
          <w:sz w:val="32"/>
          <w:szCs w:val="32"/>
          <w:highlight w:val="none"/>
        </w:rPr>
        <w:t>合同前附表</w:t>
      </w:r>
      <w:bookmarkEnd w:id="98"/>
      <w:bookmarkEnd w:id="99"/>
      <w:bookmarkEnd w:id="100"/>
      <w:bookmarkEnd w:id="101"/>
      <w:bookmarkEnd w:id="102"/>
    </w:p>
    <w:p w14:paraId="510FA7AB">
      <w:pPr>
        <w:kinsoku/>
        <w:overflowPunct/>
        <w:topLinePunct w:val="0"/>
        <w:bidi w:val="0"/>
        <w:spacing w:line="360" w:lineRule="auto"/>
        <w:ind w:left="0" w:leftChars="0" w:right="0"/>
        <w:rPr>
          <w:rFonts w:hAnsi="宋体" w:cs="宋体"/>
          <w:highlight w:val="none"/>
        </w:rPr>
      </w:pPr>
    </w:p>
    <w:p w14:paraId="5D9963BA">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6FAE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14:paraId="7A9BAB25">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条款号</w:t>
            </w:r>
          </w:p>
        </w:tc>
        <w:tc>
          <w:tcPr>
            <w:tcW w:w="8181" w:type="dxa"/>
            <w:vAlign w:val="center"/>
          </w:tcPr>
          <w:p w14:paraId="5645DFD5">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内      容</w:t>
            </w:r>
          </w:p>
        </w:tc>
      </w:tr>
      <w:tr w14:paraId="086E4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7" w:hRule="exact"/>
        </w:trPr>
        <w:tc>
          <w:tcPr>
            <w:tcW w:w="1171" w:type="dxa"/>
            <w:vAlign w:val="center"/>
          </w:tcPr>
          <w:p w14:paraId="1A03219A">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1</w:t>
            </w:r>
          </w:p>
        </w:tc>
        <w:tc>
          <w:tcPr>
            <w:tcW w:w="8181" w:type="dxa"/>
            <w:vAlign w:val="center"/>
          </w:tcPr>
          <w:p w14:paraId="3167DD57">
            <w:pPr>
              <w:kinsoku/>
              <w:overflowPunct/>
              <w:topLinePunct w:val="0"/>
              <w:bidi w:val="0"/>
              <w:spacing w:line="360" w:lineRule="auto"/>
              <w:ind w:left="0" w:leftChars="0" w:right="0"/>
              <w:rPr>
                <w:rFonts w:hint="default" w:hAnsi="宋体" w:eastAsia="宋体" w:cs="宋体"/>
                <w:szCs w:val="24"/>
                <w:highlight w:val="none"/>
                <w:lang w:val="en-US" w:eastAsia="zh-CN"/>
              </w:rPr>
            </w:pPr>
            <w:r>
              <w:rPr>
                <w:rFonts w:hint="eastAsia" w:hAnsi="宋体" w:cs="宋体"/>
                <w:szCs w:val="24"/>
                <w:highlight w:val="none"/>
              </w:rPr>
              <w:t>采购人名称：</w:t>
            </w:r>
            <w:r>
              <w:rPr>
                <w:rFonts w:hint="eastAsia" w:hAnsi="宋体" w:cs="宋体"/>
                <w:szCs w:val="24"/>
                <w:highlight w:val="none"/>
                <w:lang w:val="en-US" w:eastAsia="zh-CN"/>
              </w:rPr>
              <w:t>陕西省应急管理厅</w:t>
            </w:r>
          </w:p>
          <w:p w14:paraId="1ADA34C7">
            <w:pPr>
              <w:tabs>
                <w:tab w:val="left" w:pos="1440"/>
                <w:tab w:val="left" w:pos="1680"/>
              </w:tabs>
              <w:kinsoku/>
              <w:overflowPunct/>
              <w:topLinePunct w:val="0"/>
              <w:bidi w:val="0"/>
              <w:spacing w:line="360" w:lineRule="auto"/>
              <w:ind w:left="0" w:leftChars="0" w:right="0"/>
              <w:jc w:val="left"/>
              <w:rPr>
                <w:rFonts w:hint="eastAsia" w:hAnsi="宋体" w:cs="宋体"/>
                <w:szCs w:val="24"/>
                <w:highlight w:val="none"/>
                <w:lang w:eastAsia="zh-CN"/>
              </w:rPr>
            </w:pPr>
            <w:r>
              <w:rPr>
                <w:rFonts w:hint="eastAsia" w:hAnsi="宋体" w:cs="宋体"/>
                <w:szCs w:val="24"/>
                <w:highlight w:val="none"/>
              </w:rPr>
              <w:t>地      址：西安市经开区未央路208号</w:t>
            </w:r>
          </w:p>
          <w:p w14:paraId="7C84C862">
            <w:pPr>
              <w:tabs>
                <w:tab w:val="left" w:pos="1440"/>
                <w:tab w:val="left" w:pos="1680"/>
              </w:tabs>
              <w:kinsoku/>
              <w:overflowPunct/>
              <w:topLinePunct w:val="0"/>
              <w:bidi w:val="0"/>
              <w:spacing w:line="360" w:lineRule="auto"/>
              <w:ind w:left="0" w:leftChars="0" w:right="0"/>
              <w:jc w:val="left"/>
              <w:rPr>
                <w:rFonts w:hAnsi="宋体" w:cs="宋体"/>
                <w:szCs w:val="24"/>
                <w:highlight w:val="none"/>
              </w:rPr>
            </w:pPr>
            <w:r>
              <w:rPr>
                <w:rFonts w:hint="eastAsia" w:hAnsi="宋体" w:cs="宋体"/>
                <w:szCs w:val="24"/>
                <w:highlight w:val="none"/>
              </w:rPr>
              <w:t>项目名称</w:t>
            </w:r>
            <w:r>
              <w:rPr>
                <w:rFonts w:hint="eastAsia" w:hAnsi="宋体" w:cs="宋体"/>
                <w:szCs w:val="24"/>
                <w:highlight w:val="none"/>
                <w:lang w:eastAsia="zh-CN"/>
              </w:rPr>
              <w:t xml:space="preserve">：《陕西省实施〈中华人民共和国突发事件应对法〉办法》修订项目 </w:t>
            </w:r>
            <w:r>
              <w:rPr>
                <w:rFonts w:hint="eastAsia" w:hAnsi="宋体" w:cs="宋体"/>
                <w:szCs w:val="24"/>
                <w:highlight w:val="none"/>
              </w:rPr>
              <w:t>资金来源：</w:t>
            </w:r>
            <w:r>
              <w:rPr>
                <w:rFonts w:hint="eastAsia" w:hAnsi="宋体" w:cs="宋体"/>
                <w:szCs w:val="24"/>
                <w:highlight w:val="none"/>
                <w:lang w:val="en-US" w:eastAsia="zh-CN"/>
              </w:rPr>
              <w:t>财政资金</w:t>
            </w:r>
          </w:p>
        </w:tc>
      </w:tr>
      <w:tr w14:paraId="0157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14:paraId="730FF1E5">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2</w:t>
            </w:r>
          </w:p>
        </w:tc>
        <w:tc>
          <w:tcPr>
            <w:tcW w:w="8181" w:type="dxa"/>
            <w:vAlign w:val="center"/>
          </w:tcPr>
          <w:p w14:paraId="074796A9">
            <w:pPr>
              <w:kinsoku/>
              <w:overflowPunct/>
              <w:topLinePunct w:val="0"/>
              <w:bidi w:val="0"/>
              <w:spacing w:line="360" w:lineRule="auto"/>
              <w:ind w:left="0" w:leftChars="0" w:right="0"/>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采购人指定地点</w:t>
            </w:r>
          </w:p>
        </w:tc>
      </w:tr>
      <w:tr w14:paraId="6A479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9" w:hRule="exact"/>
        </w:trPr>
        <w:tc>
          <w:tcPr>
            <w:tcW w:w="1171" w:type="dxa"/>
            <w:vAlign w:val="center"/>
          </w:tcPr>
          <w:p w14:paraId="4AF6431C">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3</w:t>
            </w:r>
          </w:p>
        </w:tc>
        <w:tc>
          <w:tcPr>
            <w:tcW w:w="8181" w:type="dxa"/>
            <w:vAlign w:val="center"/>
          </w:tcPr>
          <w:p w14:paraId="60B44F80">
            <w:pPr>
              <w:kinsoku/>
              <w:overflowPunct/>
              <w:topLinePunct w:val="0"/>
              <w:bidi w:val="0"/>
              <w:spacing w:line="360" w:lineRule="auto"/>
              <w:ind w:left="0" w:leftChars="0" w:right="0"/>
              <w:rPr>
                <w:rFonts w:hint="default" w:hAnsi="宋体" w:eastAsia="宋体" w:cs="宋体"/>
                <w:szCs w:val="24"/>
                <w:highlight w:val="none"/>
                <w:lang w:val="en-US" w:eastAsia="zh-CN"/>
              </w:rPr>
            </w:pPr>
            <w:r>
              <w:rPr>
                <w:rFonts w:hint="eastAsia" w:hAnsi="宋体" w:cs="宋体"/>
                <w:szCs w:val="24"/>
                <w:highlight w:val="none"/>
                <w:lang w:val="en-US" w:eastAsia="zh-CN"/>
              </w:rPr>
              <w:t>服务期：</w:t>
            </w:r>
            <w:r>
              <w:rPr>
                <w:rFonts w:hint="eastAsia" w:cs="宋体"/>
                <w:i w:val="0"/>
                <w:iCs w:val="0"/>
                <w:caps w:val="0"/>
                <w:color w:val="333333"/>
                <w:spacing w:val="0"/>
                <w:sz w:val="24"/>
                <w:szCs w:val="24"/>
                <w:highlight w:val="none"/>
                <w:shd w:val="clear" w:fill="FFFFFF"/>
                <w:vertAlign w:val="baseline"/>
                <w:lang w:val="en-US" w:eastAsia="zh-CN"/>
              </w:rPr>
              <w:t>自合同签订之日起至2026年10月30日</w:t>
            </w:r>
          </w:p>
        </w:tc>
      </w:tr>
      <w:tr w14:paraId="155C6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14:paraId="7FD05DD8">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4</w:t>
            </w:r>
          </w:p>
        </w:tc>
        <w:tc>
          <w:tcPr>
            <w:tcW w:w="8181" w:type="dxa"/>
            <w:vAlign w:val="center"/>
          </w:tcPr>
          <w:p w14:paraId="11F3413B">
            <w:pPr>
              <w:kinsoku/>
              <w:overflowPunct/>
              <w:topLinePunct w:val="0"/>
              <w:bidi w:val="0"/>
              <w:spacing w:line="360" w:lineRule="auto"/>
              <w:ind w:left="0" w:leftChars="0" w:right="0"/>
              <w:rPr>
                <w:rFonts w:hAnsi="宋体" w:cs="宋体"/>
                <w:b/>
                <w:sz w:val="28"/>
                <w:szCs w:val="28"/>
                <w:highlight w:val="none"/>
              </w:rPr>
            </w:pPr>
            <w:r>
              <w:rPr>
                <w:rFonts w:hint="eastAsia" w:hAnsi="宋体" w:cs="宋体"/>
                <w:b/>
                <w:sz w:val="28"/>
                <w:szCs w:val="28"/>
                <w:highlight w:val="none"/>
              </w:rPr>
              <w:t>付款：</w:t>
            </w:r>
          </w:p>
          <w:p w14:paraId="0B6246E0">
            <w:pPr>
              <w:kinsoku/>
              <w:overflowPunct/>
              <w:topLinePunct w:val="0"/>
              <w:bidi w:val="0"/>
              <w:spacing w:line="360" w:lineRule="auto"/>
              <w:ind w:left="0" w:leftChars="0" w:right="0"/>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p>
          <w:p w14:paraId="41ACA401">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2.付款方式和程序：</w:t>
            </w:r>
          </w:p>
          <w:p w14:paraId="531750B6">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14:paraId="5B9A1FAE">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2.2付款方式：</w:t>
            </w:r>
          </w:p>
          <w:p w14:paraId="075173F3">
            <w:pPr>
              <w:pStyle w:val="47"/>
              <w:kinsoku/>
              <w:overflowPunct/>
              <w:topLinePunct w:val="0"/>
              <w:bidi w:val="0"/>
              <w:spacing w:line="360" w:lineRule="auto"/>
              <w:ind w:left="0" w:leftChars="0" w:right="0"/>
              <w:rPr>
                <w:rFonts w:hint="default" w:eastAsiaTheme="minorEastAsia"/>
                <w:sz w:val="22"/>
                <w:szCs w:val="22"/>
                <w:highlight w:val="none"/>
                <w:lang w:val="en-US" w:eastAsia="zh-CN"/>
              </w:rPr>
            </w:pPr>
            <w:r>
              <w:rPr>
                <w:sz w:val="22"/>
                <w:szCs w:val="22"/>
                <w:highlight w:val="none"/>
              </w:rPr>
              <w:t xml:space="preserve"> </w:t>
            </w:r>
            <w:r>
              <w:rPr>
                <w:rFonts w:hint="eastAsia"/>
                <w:sz w:val="22"/>
                <w:szCs w:val="22"/>
                <w:highlight w:val="none"/>
                <w:lang w:val="en-US" w:eastAsia="zh-CN"/>
              </w:rPr>
              <w:t xml:space="preserve">   </w:t>
            </w:r>
            <w:r>
              <w:rPr>
                <w:rFonts w:hint="eastAsia" w:ascii="宋体" w:hAnsi="宋体" w:eastAsia="宋体" w:cs="宋体"/>
                <w:sz w:val="24"/>
                <w:szCs w:val="24"/>
                <w:highlight w:val="none"/>
                <w:lang w:val="en-US" w:eastAsia="zh-CN" w:bidi="ar-SA"/>
              </w:rPr>
              <w:t>合同签订后，支付合同总金额的70%，服务期项目验收合格后支付合同总金额的30%。</w:t>
            </w:r>
          </w:p>
          <w:p w14:paraId="489DF4DE">
            <w:pPr>
              <w:kinsoku/>
              <w:overflowPunct/>
              <w:topLinePunct w:val="0"/>
              <w:bidi w:val="0"/>
              <w:spacing w:line="360" w:lineRule="auto"/>
              <w:ind w:left="0" w:leftChars="0" w:right="0" w:firstLine="482" w:firstLineChars="200"/>
              <w:rPr>
                <w:rFonts w:hAnsi="宋体" w:cs="宋体"/>
                <w:szCs w:val="24"/>
                <w:highlight w:val="none"/>
              </w:rPr>
            </w:pPr>
            <w:r>
              <w:rPr>
                <w:rFonts w:hint="eastAsia" w:hAnsi="宋体" w:cs="宋体"/>
                <w:b/>
                <w:szCs w:val="24"/>
                <w:highlight w:val="none"/>
              </w:rPr>
              <w:t>2.3支付方式：银行转账</w:t>
            </w:r>
          </w:p>
        </w:tc>
      </w:tr>
      <w:tr w14:paraId="0DAA6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7D852245">
            <w:pPr>
              <w:kinsoku/>
              <w:overflowPunct/>
              <w:topLinePunct w:val="0"/>
              <w:bidi w:val="0"/>
              <w:spacing w:line="360" w:lineRule="auto"/>
              <w:ind w:left="0" w:leftChars="0" w:right="0"/>
              <w:jc w:val="center"/>
              <w:rPr>
                <w:rFonts w:hAnsi="宋体" w:cs="宋体"/>
                <w:szCs w:val="24"/>
                <w:highlight w:val="none"/>
              </w:rPr>
            </w:pPr>
            <w:r>
              <w:rPr>
                <w:rFonts w:hint="eastAsia" w:hAnsi="宋体" w:cs="宋体"/>
                <w:szCs w:val="24"/>
                <w:highlight w:val="none"/>
              </w:rPr>
              <w:t>5</w:t>
            </w:r>
          </w:p>
        </w:tc>
        <w:tc>
          <w:tcPr>
            <w:tcW w:w="8181" w:type="dxa"/>
            <w:vAlign w:val="center"/>
          </w:tcPr>
          <w:p w14:paraId="16BEBCDC">
            <w:pPr>
              <w:pStyle w:val="15"/>
              <w:kinsoku/>
              <w:overflowPunct/>
              <w:topLinePunct w:val="0"/>
              <w:bidi w:val="0"/>
              <w:spacing w:line="360" w:lineRule="auto"/>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质量保证：</w:t>
            </w:r>
          </w:p>
          <w:p w14:paraId="73EADE17">
            <w:pPr>
              <w:kinsoku/>
              <w:overflowPunct/>
              <w:topLinePunct w:val="0"/>
              <w:bidi w:val="0"/>
              <w:spacing w:line="360" w:lineRule="auto"/>
              <w:ind w:left="0" w:leftChars="0" w:right="0" w:firstLine="480" w:firstLineChars="200"/>
              <w:jc w:val="left"/>
              <w:rPr>
                <w:rFonts w:hAnsi="宋体" w:cs="宋体"/>
                <w:szCs w:val="24"/>
                <w:highlight w:val="none"/>
              </w:rPr>
            </w:pPr>
            <w:r>
              <w:rPr>
                <w:rFonts w:hint="eastAsia" w:ascii="宋体" w:hAnsi="宋体" w:eastAsia="宋体" w:cs="宋体"/>
                <w:color w:val="auto"/>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6CD17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47167C11">
            <w:pPr>
              <w:kinsoku/>
              <w:overflowPunct/>
              <w:topLinePunct w:val="0"/>
              <w:bidi w:val="0"/>
              <w:spacing w:line="360" w:lineRule="auto"/>
              <w:ind w:left="0" w:leftChars="0" w:right="0"/>
              <w:jc w:val="center"/>
              <w:rPr>
                <w:rFonts w:hint="default" w:hAnsi="宋体" w:eastAsia="宋体" w:cs="宋体"/>
                <w:szCs w:val="24"/>
                <w:highlight w:val="none"/>
                <w:lang w:val="en-US" w:eastAsia="zh-CN"/>
              </w:rPr>
            </w:pPr>
            <w:r>
              <w:rPr>
                <w:rFonts w:hint="eastAsia" w:hAnsi="宋体" w:cs="宋体"/>
                <w:szCs w:val="24"/>
                <w:highlight w:val="none"/>
                <w:lang w:val="en-US" w:eastAsia="zh-CN"/>
              </w:rPr>
              <w:t>6</w:t>
            </w:r>
          </w:p>
        </w:tc>
        <w:tc>
          <w:tcPr>
            <w:tcW w:w="8181" w:type="dxa"/>
            <w:vAlign w:val="center"/>
          </w:tcPr>
          <w:p w14:paraId="6586A24B">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违约责任：</w:t>
            </w:r>
          </w:p>
          <w:p w14:paraId="0E8D5113">
            <w:pPr>
              <w:tabs>
                <w:tab w:val="left" w:pos="152"/>
              </w:tabs>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1、按《中华人民共和国民法典》中的相关条款执行。</w:t>
            </w:r>
          </w:p>
          <w:p w14:paraId="19D0B4AC">
            <w:pPr>
              <w:kinsoku/>
              <w:overflowPunct/>
              <w:topLinePunct w:val="0"/>
              <w:bidi w:val="0"/>
              <w:snapToGrid w:val="0"/>
              <w:spacing w:line="360" w:lineRule="auto"/>
              <w:ind w:left="0" w:leftChars="0" w:right="0"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szCs w:val="24"/>
                <w:highlight w:val="none"/>
              </w:rPr>
              <w:fldChar w:fldCharType="begin"/>
            </w:r>
            <w:r>
              <w:rPr>
                <w:rFonts w:hint="eastAsia" w:hAnsi="宋体" w:cs="宋体"/>
                <w:szCs w:val="24"/>
                <w:highlight w:val="none"/>
              </w:rPr>
              <w:instrText xml:space="preserve"> HYPERLINK "https://www.ccgp-shaanxi.gov.cn/freecms/site/shaanxi/ggxx/info/oldweb/4028807e62394cf101623bd796a20016.html" \t "https://www.ccgp-shaanxi.gov.cn/cms-sx/site/shanxi/zcfg/_blank" </w:instrText>
            </w:r>
            <w:r>
              <w:rPr>
                <w:rFonts w:hint="eastAsia" w:hAnsi="宋体" w:cs="宋体"/>
                <w:szCs w:val="24"/>
                <w:highlight w:val="none"/>
              </w:rPr>
              <w:fldChar w:fldCharType="separate"/>
            </w:r>
            <w:r>
              <w:rPr>
                <w:rFonts w:hint="eastAsia" w:hAnsi="宋体" w:cs="宋体"/>
                <w:szCs w:val="24"/>
                <w:highlight w:val="none"/>
              </w:rPr>
              <w:t>中华人民共和国政府采购法</w:t>
            </w:r>
            <w:r>
              <w:rPr>
                <w:rFonts w:hint="eastAsia" w:hAnsi="宋体" w:cs="宋体"/>
                <w:szCs w:val="24"/>
                <w:highlight w:val="none"/>
              </w:rPr>
              <w:fldChar w:fldCharType="end"/>
            </w:r>
            <w:r>
              <w:rPr>
                <w:rFonts w:hint="eastAsia" w:hAnsi="宋体" w:cs="宋体"/>
                <w:szCs w:val="24"/>
                <w:highlight w:val="none"/>
              </w:rPr>
              <w:t>》及相关法律法规对服务商的违法行为进行相应的处罚。</w:t>
            </w:r>
          </w:p>
        </w:tc>
      </w:tr>
      <w:tr w14:paraId="0722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14:paraId="6D4EE9EA">
            <w:pPr>
              <w:kinsoku/>
              <w:overflowPunct/>
              <w:topLinePunct w:val="0"/>
              <w:bidi w:val="0"/>
              <w:spacing w:line="360" w:lineRule="auto"/>
              <w:ind w:left="0" w:leftChars="0" w:right="0"/>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14:paraId="441B3909">
            <w:pPr>
              <w:kinsoku/>
              <w:overflowPunct/>
              <w:topLinePunct w:val="0"/>
              <w:bidi w:val="0"/>
              <w:spacing w:line="360" w:lineRule="auto"/>
              <w:ind w:left="0" w:leftChars="0" w:right="0"/>
              <w:rPr>
                <w:rFonts w:hAnsi="宋体" w:cs="宋体"/>
                <w:b/>
                <w:szCs w:val="24"/>
                <w:highlight w:val="none"/>
              </w:rPr>
            </w:pPr>
            <w:r>
              <w:rPr>
                <w:rFonts w:hint="eastAsia" w:hAnsi="宋体" w:cs="宋体"/>
                <w:b/>
                <w:szCs w:val="24"/>
                <w:highlight w:val="none"/>
              </w:rPr>
              <w:t>政府采购合同：</w:t>
            </w:r>
          </w:p>
          <w:p w14:paraId="3F7A363C">
            <w:pPr>
              <w:kinsoku/>
              <w:overflowPunct/>
              <w:topLinePunct w:val="0"/>
              <w:bidi w:val="0"/>
              <w:spacing w:line="360" w:lineRule="auto"/>
              <w:ind w:left="0" w:leftChars="0" w:right="0"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政府采购合同适用中华人民共和国民法典。采购人和供应商之间的权利和义务，应当按照平等、自愿的原则以合同方式约定。</w:t>
            </w:r>
          </w:p>
          <w:p w14:paraId="0414D357">
            <w:pPr>
              <w:kinsoku/>
              <w:overflowPunct/>
              <w:topLinePunct w:val="0"/>
              <w:bidi w:val="0"/>
              <w:spacing w:line="360" w:lineRule="auto"/>
              <w:ind w:left="0" w:leftChars="0" w:right="0" w:firstLine="480" w:firstLineChars="200"/>
              <w:rPr>
                <w:rFonts w:hint="eastAsia" w:hAnsi="宋体" w:eastAsia="宋体" w:cs="宋体"/>
                <w:szCs w:val="24"/>
                <w:highlight w:val="none"/>
                <w:lang w:eastAsia="zh-CN"/>
              </w:rPr>
            </w:pPr>
            <w:r>
              <w:rPr>
                <w:rFonts w:hint="eastAsia" w:hAnsi="宋体" w:cs="宋体"/>
                <w:szCs w:val="24"/>
                <w:highlight w:val="none"/>
              </w:rPr>
              <w:t>采购人可以委托采购代理机构代表其与供应商签订政府采购合同。由采购代理机构以采购人名义签订合同的，应当提交采购人的授权委托书，作为合同附件。</w:t>
            </w:r>
          </w:p>
          <w:p w14:paraId="4814AD3C">
            <w:pPr>
              <w:kinsoku/>
              <w:overflowPunct/>
              <w:topLinePunct w:val="0"/>
              <w:bidi w:val="0"/>
              <w:spacing w:line="360" w:lineRule="auto"/>
              <w:ind w:left="0" w:leftChars="0" w:right="0" w:firstLine="480" w:firstLineChars="200"/>
              <w:rPr>
                <w:rFonts w:hint="eastAsia" w:hAnsi="宋体" w:eastAsia="宋体" w:cs="宋体"/>
                <w:szCs w:val="24"/>
                <w:highlight w:val="none"/>
                <w:lang w:eastAsia="zh-CN"/>
              </w:rPr>
            </w:pPr>
            <w:r>
              <w:rPr>
                <w:rFonts w:hint="eastAsia" w:hAnsi="宋体" w:cs="宋体"/>
                <w:szCs w:val="24"/>
                <w:highlight w:val="none"/>
              </w:rPr>
              <w:t>采购人与中标、成交供应商应当在中标、成交通知书发出之日起三十日内，按照采购文件确定的事项签订政府采购合同。</w:t>
            </w:r>
          </w:p>
          <w:p w14:paraId="75D9ACE2">
            <w:pPr>
              <w:kinsoku/>
              <w:overflowPunct/>
              <w:topLinePunct w:val="0"/>
              <w:bidi w:val="0"/>
              <w:spacing w:line="360" w:lineRule="auto"/>
              <w:ind w:left="0" w:leftChars="0" w:right="0" w:firstLine="480" w:firstLineChars="200"/>
              <w:rPr>
                <w:rFonts w:hAnsi="宋体" w:cs="宋体"/>
                <w:szCs w:val="24"/>
                <w:highlight w:val="none"/>
              </w:rPr>
            </w:pPr>
            <w:r>
              <w:rPr>
                <w:rFonts w:hint="eastAsia" w:hAnsi="宋体" w:cs="宋体"/>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14:paraId="35CB31A0">
            <w:pPr>
              <w:pStyle w:val="15"/>
              <w:kinsoku/>
              <w:overflowPunct/>
              <w:topLinePunct w:val="0"/>
              <w:bidi w:val="0"/>
              <w:spacing w:line="360" w:lineRule="auto"/>
              <w:ind w:left="0" w:leftChars="0" w:right="0"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14:paraId="1615A4B0">
            <w:pPr>
              <w:pStyle w:val="15"/>
              <w:kinsoku/>
              <w:overflowPunct/>
              <w:topLinePunct w:val="0"/>
              <w:bidi w:val="0"/>
              <w:spacing w:line="360" w:lineRule="auto"/>
              <w:ind w:left="0" w:leftChars="0" w:right="0" w:firstLine="480" w:firstLineChars="200"/>
              <w:rPr>
                <w:rFonts w:hint="eastAsia" w:hAnsi="宋体" w:eastAsia="宋体" w:cs="宋体"/>
                <w:sz w:val="24"/>
                <w:szCs w:val="24"/>
                <w:highlight w:val="none"/>
                <w:lang w:eastAsia="zh-CN"/>
              </w:rPr>
            </w:pPr>
            <w:r>
              <w:rPr>
                <w:rFonts w:hint="eastAsia" w:hAnsi="宋体" w:cs="宋体"/>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6B5DF416">
            <w:pPr>
              <w:pStyle w:val="15"/>
              <w:kinsoku/>
              <w:overflowPunct/>
              <w:topLinePunct w:val="0"/>
              <w:bidi w:val="0"/>
              <w:spacing w:line="360" w:lineRule="auto"/>
              <w:ind w:left="0" w:leftChars="0" w:right="0" w:firstLine="480" w:firstLineChars="200"/>
              <w:rPr>
                <w:rFonts w:hint="eastAsia" w:hAnsi="宋体" w:eastAsia="宋体" w:cs="宋体"/>
                <w:sz w:val="24"/>
                <w:szCs w:val="24"/>
                <w:highlight w:val="none"/>
                <w:lang w:eastAsia="zh-CN"/>
              </w:rPr>
            </w:pPr>
            <w:r>
              <w:rPr>
                <w:rFonts w:hint="eastAsia" w:hAnsi="宋体" w:cs="宋体"/>
                <w:sz w:val="24"/>
                <w:szCs w:val="24"/>
                <w:highlight w:val="none"/>
              </w:rPr>
              <w:t>政府采购合同的双方当事人不得擅自变更、中止或者终止合同。</w:t>
            </w:r>
          </w:p>
          <w:p w14:paraId="5B8536F9">
            <w:pPr>
              <w:pStyle w:val="15"/>
              <w:kinsoku/>
              <w:overflowPunct/>
              <w:topLinePunct w:val="0"/>
              <w:bidi w:val="0"/>
              <w:spacing w:line="360" w:lineRule="auto"/>
              <w:ind w:left="0" w:leftChars="0" w:right="0"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4AF0D039">
      <w:pPr>
        <w:kinsoku/>
        <w:overflowPunct/>
        <w:topLinePunct w:val="0"/>
        <w:bidi w:val="0"/>
        <w:spacing w:line="360" w:lineRule="auto"/>
        <w:ind w:left="0" w:leftChars="0" w:right="0"/>
        <w:rPr>
          <w:rFonts w:hAnsi="宋体" w:cs="宋体"/>
          <w:sz w:val="32"/>
          <w:highlight w:val="none"/>
        </w:rPr>
      </w:pPr>
      <w:bookmarkStart w:id="103" w:name="_Toc19246"/>
      <w:bookmarkStart w:id="104" w:name="_Toc31520"/>
      <w:bookmarkStart w:id="105" w:name="_Toc4679"/>
      <w:bookmarkStart w:id="106" w:name="_Toc26595"/>
      <w:bookmarkStart w:id="107" w:name="_Toc19199"/>
      <w:bookmarkStart w:id="108" w:name="_Toc29888"/>
      <w:bookmarkStart w:id="109" w:name="_Toc8333"/>
      <w:bookmarkStart w:id="110" w:name="_Toc389582037"/>
      <w:bookmarkStart w:id="111" w:name="_Toc423973075"/>
      <w:r>
        <w:rPr>
          <w:rFonts w:hint="eastAsia" w:hAnsi="宋体" w:cs="宋体"/>
          <w:b/>
          <w:bCs/>
          <w:sz w:val="48"/>
          <w:szCs w:val="48"/>
          <w:highlight w:val="none"/>
        </w:rPr>
        <w:br w:type="page"/>
      </w:r>
    </w:p>
    <w:tbl>
      <w:tblPr>
        <w:tblStyle w:val="24"/>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35FE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49FFA2C2">
            <w:pPr>
              <w:kinsoku/>
              <w:overflowPunct/>
              <w:topLinePunct w:val="0"/>
              <w:bidi w:val="0"/>
              <w:spacing w:line="360" w:lineRule="auto"/>
              <w:ind w:left="0" w:leftChars="0" w:right="0"/>
              <w:jc w:val="center"/>
              <w:rPr>
                <w:rFonts w:hAnsi="宋体" w:cs="宋体"/>
                <w:b/>
                <w:sz w:val="30"/>
                <w:szCs w:val="30"/>
                <w:highlight w:val="none"/>
              </w:rPr>
            </w:pPr>
            <w:r>
              <w:rPr>
                <w:rFonts w:hint="eastAsia" w:hAnsi="宋体" w:cs="宋体"/>
                <w:b/>
                <w:sz w:val="30"/>
                <w:szCs w:val="30"/>
                <w:highlight w:val="none"/>
              </w:rPr>
              <w:t>竞争性磋商采购</w:t>
            </w:r>
          </w:p>
        </w:tc>
      </w:tr>
    </w:tbl>
    <w:p w14:paraId="690E4584">
      <w:pPr>
        <w:kinsoku/>
        <w:overflowPunct/>
        <w:topLinePunct w:val="0"/>
        <w:bidi w:val="0"/>
        <w:spacing w:line="360" w:lineRule="auto"/>
        <w:ind w:left="0" w:leftChars="0" w:right="0"/>
        <w:outlineLvl w:val="1"/>
        <w:rPr>
          <w:rFonts w:hAnsi="宋体" w:cs="宋体"/>
          <w:b/>
          <w:sz w:val="32"/>
          <w:szCs w:val="32"/>
          <w:highlight w:val="none"/>
        </w:rPr>
      </w:pPr>
      <w:bookmarkStart w:id="112" w:name="_Toc5216"/>
      <w:bookmarkStart w:id="113" w:name="_Toc18616"/>
      <w:bookmarkStart w:id="114" w:name="_Toc1362"/>
      <w:bookmarkStart w:id="115" w:name="_Toc7874"/>
      <w:bookmarkStart w:id="116" w:name="_Toc18120"/>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12"/>
      <w:bookmarkEnd w:id="113"/>
      <w:bookmarkEnd w:id="114"/>
      <w:bookmarkEnd w:id="115"/>
      <w:bookmarkEnd w:id="116"/>
      <w:r>
        <w:rPr>
          <w:rFonts w:hint="eastAsia" w:hAnsi="宋体" w:cs="宋体"/>
          <w:b/>
          <w:sz w:val="32"/>
          <w:szCs w:val="32"/>
          <w:highlight w:val="none"/>
        </w:rPr>
        <w:t xml:space="preserve">                  </w:t>
      </w:r>
    </w:p>
    <w:p w14:paraId="4EC1B5F2">
      <w:pPr>
        <w:kinsoku/>
        <w:overflowPunct/>
        <w:topLinePunct w:val="0"/>
        <w:bidi w:val="0"/>
        <w:spacing w:line="360" w:lineRule="auto"/>
        <w:ind w:left="0" w:leftChars="0" w:right="0"/>
        <w:rPr>
          <w:rFonts w:hAnsi="宋体" w:cs="宋体"/>
          <w:b/>
          <w:sz w:val="32"/>
          <w:szCs w:val="32"/>
          <w:highlight w:val="none"/>
        </w:rPr>
      </w:pPr>
      <w:r>
        <w:rPr>
          <w:rFonts w:hint="eastAsia" w:hAnsi="宋体" w:cs="宋体"/>
          <w:b/>
          <w:sz w:val="32"/>
          <w:szCs w:val="32"/>
          <w:highlight w:val="none"/>
        </w:rPr>
        <w:t xml:space="preserve">          </w:t>
      </w:r>
    </w:p>
    <w:p w14:paraId="7249D392">
      <w:pPr>
        <w:kinsoku/>
        <w:overflowPunct/>
        <w:topLinePunct w:val="0"/>
        <w:bidi w:val="0"/>
        <w:spacing w:line="360" w:lineRule="auto"/>
        <w:ind w:left="0" w:leftChars="0" w:right="0"/>
        <w:jc w:val="center"/>
        <w:rPr>
          <w:rFonts w:hAnsi="宋体" w:cs="宋体"/>
          <w:sz w:val="52"/>
          <w:szCs w:val="52"/>
          <w:highlight w:val="none"/>
        </w:rPr>
      </w:pPr>
    </w:p>
    <w:p w14:paraId="0C9F858D">
      <w:pPr>
        <w:kinsoku/>
        <w:overflowPunct/>
        <w:topLinePunct w:val="0"/>
        <w:bidi w:val="0"/>
        <w:spacing w:line="360" w:lineRule="auto"/>
        <w:ind w:left="0" w:leftChars="0" w:right="0"/>
        <w:jc w:val="center"/>
        <w:rPr>
          <w:rFonts w:hAnsi="宋体" w:cs="宋体"/>
          <w:sz w:val="52"/>
          <w:szCs w:val="52"/>
          <w:highlight w:val="none"/>
        </w:rPr>
      </w:pPr>
    </w:p>
    <w:p w14:paraId="2DE64A04">
      <w:pPr>
        <w:kinsoku/>
        <w:overflowPunct/>
        <w:topLinePunct w:val="0"/>
        <w:bidi w:val="0"/>
        <w:spacing w:line="360" w:lineRule="auto"/>
        <w:ind w:left="0" w:leftChars="0" w:right="0"/>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14:paraId="38273A40">
      <w:pPr>
        <w:kinsoku/>
        <w:overflowPunct/>
        <w:topLinePunct w:val="0"/>
        <w:bidi w:val="0"/>
        <w:spacing w:line="360" w:lineRule="auto"/>
        <w:ind w:left="0" w:leftChars="0" w:right="0"/>
        <w:jc w:val="center"/>
        <w:rPr>
          <w:rFonts w:hAnsi="宋体" w:cs="宋体"/>
          <w:b/>
          <w:sz w:val="72"/>
          <w:szCs w:val="72"/>
          <w:highlight w:val="none"/>
        </w:rPr>
      </w:pPr>
      <w:r>
        <w:rPr>
          <w:rFonts w:hint="eastAsia" w:hAnsi="宋体" w:cs="宋体"/>
          <w:b/>
          <w:sz w:val="72"/>
          <w:szCs w:val="72"/>
          <w:highlight w:val="none"/>
        </w:rPr>
        <w:t>服 务 合 同</w:t>
      </w:r>
    </w:p>
    <w:p w14:paraId="59CEBD54">
      <w:pPr>
        <w:kinsoku/>
        <w:overflowPunct/>
        <w:topLinePunct w:val="0"/>
        <w:bidi w:val="0"/>
        <w:spacing w:line="360" w:lineRule="auto"/>
        <w:ind w:left="0" w:leftChars="0" w:right="0"/>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14:paraId="634F4AD8">
      <w:pPr>
        <w:kinsoku/>
        <w:overflowPunct/>
        <w:topLinePunct w:val="0"/>
        <w:bidi w:val="0"/>
        <w:spacing w:line="360" w:lineRule="auto"/>
        <w:ind w:left="0" w:leftChars="0" w:right="0"/>
        <w:jc w:val="center"/>
        <w:rPr>
          <w:rFonts w:hAnsi="宋体" w:cs="宋体"/>
          <w:sz w:val="30"/>
          <w:szCs w:val="30"/>
          <w:highlight w:val="none"/>
        </w:rPr>
      </w:pPr>
    </w:p>
    <w:p w14:paraId="5D2F4B94">
      <w:pPr>
        <w:kinsoku/>
        <w:overflowPunct/>
        <w:topLinePunct w:val="0"/>
        <w:bidi w:val="0"/>
        <w:spacing w:line="360" w:lineRule="auto"/>
        <w:ind w:left="0" w:leftChars="0" w:right="0"/>
        <w:jc w:val="center"/>
        <w:rPr>
          <w:rFonts w:hAnsi="宋体" w:cs="宋体"/>
          <w:sz w:val="30"/>
          <w:szCs w:val="30"/>
          <w:highlight w:val="none"/>
        </w:rPr>
      </w:pPr>
    </w:p>
    <w:p w14:paraId="4F4540D5">
      <w:pPr>
        <w:kinsoku/>
        <w:overflowPunct/>
        <w:topLinePunct w:val="0"/>
        <w:bidi w:val="0"/>
        <w:spacing w:line="360" w:lineRule="auto"/>
        <w:ind w:left="0" w:leftChars="0" w:right="0"/>
        <w:jc w:val="center"/>
        <w:rPr>
          <w:rFonts w:hAnsi="宋体" w:cs="宋体"/>
          <w:sz w:val="30"/>
          <w:szCs w:val="30"/>
          <w:highlight w:val="none"/>
        </w:rPr>
      </w:pPr>
    </w:p>
    <w:p w14:paraId="13CE0821">
      <w:pPr>
        <w:kinsoku/>
        <w:overflowPunct/>
        <w:topLinePunct w:val="0"/>
        <w:bidi w:val="0"/>
        <w:spacing w:line="360" w:lineRule="auto"/>
        <w:ind w:left="0" w:leftChars="0" w:right="0"/>
        <w:jc w:val="center"/>
        <w:rPr>
          <w:rFonts w:hAnsi="宋体" w:cs="宋体"/>
          <w:sz w:val="30"/>
          <w:szCs w:val="30"/>
          <w:highlight w:val="none"/>
        </w:rPr>
      </w:pPr>
    </w:p>
    <w:p w14:paraId="157DDA57">
      <w:pPr>
        <w:kinsoku/>
        <w:overflowPunct/>
        <w:topLinePunct w:val="0"/>
        <w:bidi w:val="0"/>
        <w:spacing w:line="360" w:lineRule="auto"/>
        <w:ind w:left="0" w:leftChars="0" w:right="0"/>
        <w:jc w:val="center"/>
        <w:rPr>
          <w:rFonts w:hAnsi="宋体" w:cs="宋体"/>
          <w:sz w:val="30"/>
          <w:szCs w:val="30"/>
          <w:highlight w:val="none"/>
        </w:rPr>
      </w:pPr>
    </w:p>
    <w:p w14:paraId="2DE7B2A2">
      <w:pPr>
        <w:kinsoku/>
        <w:overflowPunct/>
        <w:topLinePunct w:val="0"/>
        <w:bidi w:val="0"/>
        <w:spacing w:line="360" w:lineRule="auto"/>
        <w:ind w:left="0" w:leftChars="0" w:right="0" w:firstLine="2080" w:firstLineChars="650"/>
        <w:rPr>
          <w:rFonts w:hAnsi="宋体" w:cs="宋体"/>
          <w:sz w:val="32"/>
          <w:szCs w:val="32"/>
          <w:highlight w:val="none"/>
        </w:rPr>
      </w:pPr>
      <w:r>
        <w:rPr>
          <w:rFonts w:hint="eastAsia" w:hAnsi="宋体" w:cs="宋体"/>
          <w:sz w:val="32"/>
          <w:szCs w:val="32"/>
          <w:highlight w:val="none"/>
        </w:rPr>
        <w:t xml:space="preserve">甲  方： </w:t>
      </w:r>
    </w:p>
    <w:p w14:paraId="5814D07A">
      <w:pPr>
        <w:tabs>
          <w:tab w:val="left" w:pos="480"/>
        </w:tabs>
        <w:kinsoku/>
        <w:overflowPunct/>
        <w:topLinePunct w:val="0"/>
        <w:bidi w:val="0"/>
        <w:spacing w:line="360" w:lineRule="auto"/>
        <w:ind w:left="0" w:leftChars="0" w:right="0" w:firstLine="640" w:firstLineChars="200"/>
        <w:rPr>
          <w:rFonts w:hAnsi="宋体" w:cs="宋体"/>
          <w:sz w:val="32"/>
          <w:szCs w:val="32"/>
          <w:highlight w:val="none"/>
        </w:rPr>
      </w:pPr>
      <w:r>
        <w:rPr>
          <w:rFonts w:hint="eastAsia" w:hAnsi="宋体" w:cs="宋体"/>
          <w:sz w:val="32"/>
          <w:szCs w:val="32"/>
          <w:highlight w:val="none"/>
        </w:rPr>
        <w:t xml:space="preserve">         乙  方：</w:t>
      </w:r>
    </w:p>
    <w:p w14:paraId="47FFB743">
      <w:pPr>
        <w:kinsoku/>
        <w:overflowPunct/>
        <w:topLinePunct w:val="0"/>
        <w:bidi w:val="0"/>
        <w:spacing w:line="360" w:lineRule="auto"/>
        <w:ind w:left="0" w:leftChars="0" w:right="0"/>
        <w:jc w:val="center"/>
        <w:rPr>
          <w:rFonts w:hAnsi="宋体" w:cs="宋体"/>
          <w:sz w:val="30"/>
          <w:szCs w:val="30"/>
          <w:highlight w:val="none"/>
        </w:rPr>
      </w:pPr>
    </w:p>
    <w:p w14:paraId="2EC2C2B2">
      <w:pPr>
        <w:kinsoku/>
        <w:overflowPunct/>
        <w:topLinePunct w:val="0"/>
        <w:bidi w:val="0"/>
        <w:spacing w:line="360" w:lineRule="auto"/>
        <w:ind w:left="0" w:leftChars="0" w:right="0"/>
        <w:jc w:val="center"/>
        <w:rPr>
          <w:rFonts w:hAnsi="宋体" w:cs="宋体"/>
          <w:sz w:val="32"/>
          <w:szCs w:val="32"/>
          <w:highlight w:val="none"/>
        </w:rPr>
      </w:pPr>
      <w:r>
        <w:rPr>
          <w:rFonts w:hint="eastAsia" w:hAnsi="宋体" w:cs="宋体"/>
          <w:sz w:val="32"/>
          <w:szCs w:val="32"/>
          <w:highlight w:val="none"/>
        </w:rPr>
        <w:t xml:space="preserve">  年  月</w:t>
      </w:r>
    </w:p>
    <w:p w14:paraId="4E72E40B">
      <w:pPr>
        <w:kinsoku/>
        <w:overflowPunct/>
        <w:topLinePunct w:val="0"/>
        <w:bidi w:val="0"/>
        <w:spacing w:line="360" w:lineRule="auto"/>
        <w:ind w:left="0" w:leftChars="0" w:right="0"/>
        <w:jc w:val="center"/>
        <w:rPr>
          <w:rFonts w:hAnsi="宋体" w:cs="宋体"/>
          <w:sz w:val="32"/>
          <w:szCs w:val="32"/>
          <w:highlight w:val="none"/>
        </w:rPr>
      </w:pPr>
    </w:p>
    <w:p w14:paraId="6B02DB53">
      <w:pPr>
        <w:kinsoku/>
        <w:overflowPunct/>
        <w:topLinePunct w:val="0"/>
        <w:bidi w:val="0"/>
        <w:spacing w:line="360" w:lineRule="auto"/>
        <w:ind w:left="0" w:leftChars="0" w:right="0"/>
        <w:rPr>
          <w:rFonts w:hAnsi="宋体" w:cs="宋体"/>
          <w:b/>
          <w:sz w:val="36"/>
          <w:szCs w:val="36"/>
          <w:highlight w:val="none"/>
        </w:rPr>
      </w:pPr>
    </w:p>
    <w:p w14:paraId="589957C4">
      <w:pPr>
        <w:tabs>
          <w:tab w:val="left" w:pos="480"/>
        </w:tabs>
        <w:kinsoku/>
        <w:overflowPunct/>
        <w:topLinePunct w:val="0"/>
        <w:bidi w:val="0"/>
        <w:spacing w:line="360" w:lineRule="auto"/>
        <w:ind w:left="0" w:leftChars="0" w:right="0" w:firstLine="482" w:firstLineChars="200"/>
        <w:rPr>
          <w:rFonts w:hAnsi="宋体" w:cs="宋体"/>
          <w:szCs w:val="21"/>
          <w:highlight w:val="none"/>
        </w:rPr>
      </w:pPr>
      <w:r>
        <w:rPr>
          <w:rFonts w:hint="eastAsia" w:hAnsi="宋体" w:cs="宋体"/>
          <w:b/>
          <w:szCs w:val="21"/>
          <w:highlight w:val="none"/>
        </w:rPr>
        <w:br w:type="page"/>
      </w:r>
      <w:bookmarkStart w:id="117" w:name="_Toc4254"/>
      <w:bookmarkStart w:id="118" w:name="_Toc1119"/>
    </w:p>
    <w:p w14:paraId="012B3527">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甲方（委托方）：</w:t>
      </w:r>
      <w:r>
        <w:rPr>
          <w:rFonts w:hint="eastAsia" w:asciiTheme="minorEastAsia" w:hAnsiTheme="minorEastAsia" w:eastAsiaTheme="minorEastAsia" w:cstheme="minorEastAsia"/>
          <w:b/>
          <w:sz w:val="24"/>
          <w:szCs w:val="24"/>
          <w:u w:val="single"/>
          <w:lang w:val="en-US" w:eastAsia="zh-CN"/>
        </w:rPr>
        <w:t xml:space="preserve">    </w:t>
      </w:r>
    </w:p>
    <w:p w14:paraId="40B190CA">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sz w:val="24"/>
          <w:szCs w:val="24"/>
          <w:u w:val="single"/>
        </w:rPr>
        <w:t>地址：</w:t>
      </w:r>
      <w:r>
        <w:rPr>
          <w:rFonts w:hint="eastAsia" w:asciiTheme="minorEastAsia" w:hAnsiTheme="minorEastAsia" w:eastAsiaTheme="minorEastAsia" w:cstheme="minorEastAsia"/>
          <w:b/>
          <w:sz w:val="24"/>
          <w:szCs w:val="24"/>
          <w:u w:val="single"/>
          <w:lang w:val="en-US" w:eastAsia="zh-CN"/>
        </w:rPr>
        <w:t xml:space="preserve">              </w:t>
      </w:r>
    </w:p>
    <w:p w14:paraId="1C764ABE">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 xml:space="preserve">负责人：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120FF5C1">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 xml:space="preserve">工作联系人：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0585CD89">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 xml:space="preserve">联系方式：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666E748F">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p>
    <w:p w14:paraId="55389DFC">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乙方（受托方）：</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5650E003">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地址：</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rPr>
        <w:t xml:space="preserve"> </w:t>
      </w:r>
    </w:p>
    <w:p w14:paraId="00632256">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sz w:val="24"/>
          <w:szCs w:val="24"/>
          <w:u w:val="single"/>
        </w:rPr>
        <w:t>法定代表人：</w:t>
      </w:r>
      <w:r>
        <w:rPr>
          <w:rFonts w:hint="eastAsia" w:asciiTheme="minorEastAsia" w:hAnsiTheme="minorEastAsia" w:eastAsiaTheme="minorEastAsia" w:cstheme="minorEastAsia"/>
          <w:b/>
          <w:sz w:val="24"/>
          <w:szCs w:val="24"/>
          <w:u w:val="single"/>
          <w:lang w:val="en-US" w:eastAsia="zh-CN"/>
        </w:rPr>
        <w:t xml:space="preserve">                 </w:t>
      </w:r>
    </w:p>
    <w:p w14:paraId="655D5D9B">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工作联系人：</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xml:space="preserve"> </w:t>
      </w:r>
    </w:p>
    <w:p w14:paraId="7C87C348">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b/>
          <w:sz w:val="24"/>
          <w:szCs w:val="24"/>
          <w:u w:val="single"/>
        </w:rPr>
        <w:t>联系方式：</w:t>
      </w:r>
      <w:r>
        <w:rPr>
          <w:rFonts w:hint="eastAsia" w:asciiTheme="minorEastAsia" w:hAnsiTheme="minorEastAsia" w:eastAsiaTheme="minorEastAsia" w:cstheme="minorEastAsia"/>
          <w:b/>
          <w:sz w:val="24"/>
          <w:szCs w:val="24"/>
          <w:u w:val="single"/>
          <w:lang w:val="en-US" w:eastAsia="zh-CN"/>
        </w:rPr>
        <w:t xml:space="preserve">                   </w:t>
      </w:r>
    </w:p>
    <w:p w14:paraId="553C5E1A">
      <w:pPr>
        <w:pStyle w:val="23"/>
        <w:keepLines w:val="0"/>
        <w:pageBreakBefore w:val="0"/>
        <w:widowControl w:val="0"/>
        <w:kinsoku/>
        <w:wordWrap/>
        <w:overflowPunct/>
        <w:topLinePunct w:val="0"/>
        <w:bidi w:val="0"/>
        <w:spacing w:after="0" w:afterLines="0"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p>
    <w:p w14:paraId="650D963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依据《中华人民共和国民法典》及现行有关法律、法规的规定，双方经友好协商达成一致，同意就下列</w:t>
      </w:r>
      <w:r>
        <w:rPr>
          <w:rFonts w:hint="eastAsia" w:asciiTheme="minorEastAsia" w:hAnsiTheme="minorEastAsia" w:eastAsiaTheme="minorEastAsia" w:cstheme="minorEastAsia"/>
          <w:sz w:val="24"/>
          <w:szCs w:val="24"/>
          <w:u w:val="single"/>
          <w:lang w:eastAsia="zh-CN"/>
        </w:rPr>
        <w:t>《陕西省实施〈中华人民共和国突发事件应对法〉办法》修订项目</w:t>
      </w:r>
      <w:r>
        <w:rPr>
          <w:rFonts w:hint="eastAsia" w:asciiTheme="minorEastAsia" w:hAnsiTheme="minorEastAsia" w:eastAsiaTheme="minorEastAsia" w:cstheme="minorEastAsia"/>
          <w:sz w:val="24"/>
          <w:szCs w:val="24"/>
        </w:rPr>
        <w:t>订立合同共同遵守。</w:t>
      </w:r>
    </w:p>
    <w:p w14:paraId="0394609B">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19" w:name="_Toc251672089"/>
      <w:bookmarkStart w:id="120" w:name="_Toc7484"/>
      <w:bookmarkStart w:id="121" w:name="_Toc24767"/>
      <w:bookmarkStart w:id="122" w:name="_Toc255310768"/>
      <w:bookmarkStart w:id="123" w:name="_Toc262637527"/>
      <w:bookmarkStart w:id="124" w:name="_Toc19873"/>
      <w:r>
        <w:rPr>
          <w:rFonts w:hint="eastAsia" w:asciiTheme="minorEastAsia" w:hAnsiTheme="minorEastAsia" w:eastAsiaTheme="minorEastAsia" w:cstheme="minorEastAsia"/>
          <w:b/>
          <w:spacing w:val="0"/>
          <w:kern w:val="2"/>
          <w:sz w:val="24"/>
          <w:szCs w:val="24"/>
          <w:u w:val="none"/>
          <w:lang w:val="en-US" w:eastAsia="zh-CN" w:bidi="ar-SA"/>
        </w:rPr>
        <w:t>第1条  定义及解释</w:t>
      </w:r>
      <w:bookmarkEnd w:id="119"/>
      <w:bookmarkEnd w:id="120"/>
      <w:bookmarkEnd w:id="121"/>
      <w:bookmarkEnd w:id="122"/>
      <w:bookmarkEnd w:id="123"/>
      <w:bookmarkEnd w:id="124"/>
    </w:p>
    <w:p w14:paraId="527E9FB7">
      <w:pPr>
        <w:keepLines w:val="0"/>
        <w:pageBreakBefore w:val="0"/>
        <w:widowControl w:val="0"/>
        <w:numPr>
          <w:ilvl w:val="1"/>
          <w:numId w:val="14"/>
        </w:numPr>
        <w:tabs>
          <w:tab w:val="left" w:pos="630"/>
        </w:tabs>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下列措辞和用语，除上下文另有要求外，应具有所赋予它们的含义：</w:t>
      </w:r>
    </w:p>
    <w:p w14:paraId="4644D7C1">
      <w:pPr>
        <w:keepLines w:val="0"/>
        <w:pageBreakBefore w:val="0"/>
        <w:widowControl w:val="0"/>
        <w:numPr>
          <w:ilvl w:val="0"/>
          <w:numId w:val="15"/>
        </w:numPr>
        <w:tabs>
          <w:tab w:val="clear" w:pos="840"/>
        </w:tabs>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“项目”是</w:t>
      </w:r>
      <w:r>
        <w:rPr>
          <w:rFonts w:hint="eastAsia" w:asciiTheme="minorEastAsia" w:hAnsiTheme="minorEastAsia" w:eastAsiaTheme="minorEastAsia" w:cstheme="minorEastAsia"/>
          <w:sz w:val="24"/>
          <w:szCs w:val="24"/>
          <w:u w:val="single"/>
          <w:lang w:eastAsia="zh-CN"/>
        </w:rPr>
        <w:t>《陕西省实施〈中华人民共和国突发事件应对法〉办法》修订项目</w:t>
      </w:r>
      <w:r>
        <w:rPr>
          <w:rFonts w:hint="eastAsia" w:asciiTheme="minorEastAsia" w:hAnsiTheme="minorEastAsia" w:eastAsiaTheme="minorEastAsia" w:cstheme="minorEastAsia"/>
          <w:sz w:val="24"/>
          <w:szCs w:val="24"/>
        </w:rPr>
        <w:t>。</w:t>
      </w:r>
    </w:p>
    <w:p w14:paraId="616E22B6">
      <w:pPr>
        <w:keepLines w:val="0"/>
        <w:pageBreakBefore w:val="0"/>
        <w:widowControl w:val="0"/>
        <w:numPr>
          <w:ilvl w:val="0"/>
          <w:numId w:val="15"/>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“服务”是指乙方根据合同条件为完成项目所提供和履行的所有服务，包括正常的服务、附加的服务和额外的服务。</w:t>
      </w:r>
    </w:p>
    <w:p w14:paraId="7A30BF1C">
      <w:pPr>
        <w:keepLines w:val="0"/>
        <w:pageBreakBefore w:val="0"/>
        <w:widowControl w:val="0"/>
        <w:numPr>
          <w:ilvl w:val="0"/>
          <w:numId w:val="15"/>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“甲方”为项目的委托方，即</w:t>
      </w:r>
      <w:r>
        <w:rPr>
          <w:rFonts w:hint="eastAsia" w:asciiTheme="minorEastAsia" w:hAnsiTheme="minorEastAsia" w:eastAsiaTheme="minorEastAsia" w:cstheme="minorEastAsia"/>
          <w:sz w:val="24"/>
          <w:szCs w:val="24"/>
          <w:u w:val="single"/>
          <w:lang w:val="en-US" w:eastAsia="zh-CN"/>
        </w:rPr>
        <w:t>陕西省应急管理厅</w:t>
      </w:r>
      <w:r>
        <w:rPr>
          <w:rFonts w:hint="eastAsia" w:asciiTheme="minorEastAsia" w:hAnsiTheme="minorEastAsia" w:eastAsiaTheme="minorEastAsia" w:cstheme="minorEastAsia"/>
          <w:sz w:val="24"/>
          <w:szCs w:val="24"/>
        </w:rPr>
        <w:t>。</w:t>
      </w:r>
    </w:p>
    <w:p w14:paraId="36207B0B">
      <w:pPr>
        <w:keepLines w:val="0"/>
        <w:pageBreakBefore w:val="0"/>
        <w:widowControl w:val="0"/>
        <w:numPr>
          <w:ilvl w:val="0"/>
          <w:numId w:val="15"/>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“乙方”为项目的受委托方，它作为一个独立的专业公司或联合体受甲方委托，提供和履行合同服务，即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p>
    <w:p w14:paraId="189AAD22">
      <w:pPr>
        <w:keepLines w:val="0"/>
        <w:pageBreakBefore w:val="0"/>
        <w:widowControl w:val="0"/>
        <w:numPr>
          <w:ilvl w:val="0"/>
          <w:numId w:val="15"/>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“合同双方”是指甲方和乙方的统称。</w:t>
      </w:r>
    </w:p>
    <w:p w14:paraId="2641B24D">
      <w:pPr>
        <w:keepLines w:val="0"/>
        <w:pageBreakBefore w:val="0"/>
        <w:widowControl w:val="0"/>
        <w:numPr>
          <w:ilvl w:val="0"/>
          <w:numId w:val="15"/>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“日”、“天”是指公历日。</w:t>
      </w:r>
    </w:p>
    <w:p w14:paraId="64C4359A">
      <w:pPr>
        <w:keepLines w:val="0"/>
        <w:pageBreakBefore w:val="0"/>
        <w:widowControl w:val="0"/>
        <w:numPr>
          <w:ilvl w:val="0"/>
          <w:numId w:val="15"/>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“周”、“星期”是指七个公历日。</w:t>
      </w:r>
    </w:p>
    <w:p w14:paraId="20213598">
      <w:pPr>
        <w:keepLines w:val="0"/>
        <w:pageBreakBefore w:val="0"/>
        <w:widowControl w:val="0"/>
        <w:numPr>
          <w:ilvl w:val="0"/>
          <w:numId w:val="15"/>
        </w:numPr>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“月”是指公历月份。</w:t>
      </w:r>
    </w:p>
    <w:p w14:paraId="55234B3B">
      <w:pPr>
        <w:keepLines w:val="0"/>
        <w:pageBreakBefore w:val="0"/>
        <w:widowControl w:val="0"/>
        <w:numPr>
          <w:ilvl w:val="1"/>
          <w:numId w:val="14"/>
        </w:numPr>
        <w:tabs>
          <w:tab w:val="left" w:pos="630"/>
        </w:tabs>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下列文件应被视作为本合同的组成部分：</w:t>
      </w:r>
    </w:p>
    <w:p w14:paraId="25A4AB67">
      <w:pPr>
        <w:keepLines w:val="0"/>
        <w:pageBreakBefore w:val="0"/>
        <w:widowControl w:val="0"/>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Cs/>
          <w:kern w:val="0"/>
          <w:sz w:val="24"/>
          <w:szCs w:val="24"/>
        </w:rPr>
      </w:pPr>
      <w:bookmarkStart w:id="125" w:name="_Toc251672090"/>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Cs/>
          <w:kern w:val="0"/>
          <w:sz w:val="24"/>
          <w:szCs w:val="24"/>
        </w:rPr>
        <w:t>1）本合同的补充协议（如有）；</w:t>
      </w:r>
    </w:p>
    <w:p w14:paraId="5BC83F74">
      <w:pPr>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（2）本合同的条款及附件；</w:t>
      </w:r>
    </w:p>
    <w:p w14:paraId="2A607E9D">
      <w:pPr>
        <w:keepLines w:val="0"/>
        <w:pageBreakBefore w:val="0"/>
        <w:widowControl w:val="0"/>
        <w:tabs>
          <w:tab w:val="left" w:pos="720"/>
        </w:tabs>
        <w:kinsoku/>
        <w:wordWrap/>
        <w:overflowPunct/>
        <w:topLinePunct w:val="0"/>
        <w:autoSpaceDE w:val="0"/>
        <w:autoSpaceDN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（3）</w:t>
      </w:r>
      <w:r>
        <w:rPr>
          <w:rFonts w:hint="eastAsia" w:asciiTheme="minorEastAsia" w:hAnsiTheme="minorEastAsia" w:eastAsiaTheme="minorEastAsia" w:cstheme="minorEastAsia"/>
          <w:kern w:val="0"/>
          <w:sz w:val="24"/>
          <w:szCs w:val="24"/>
        </w:rPr>
        <w:t>《中标通知书》或《委托书》</w:t>
      </w:r>
      <w:r>
        <w:rPr>
          <w:rFonts w:hint="eastAsia" w:asciiTheme="minorEastAsia" w:hAnsiTheme="minorEastAsia" w:eastAsiaTheme="minorEastAsia" w:cstheme="minorEastAsia"/>
          <w:bCs/>
          <w:kern w:val="0"/>
          <w:sz w:val="24"/>
          <w:szCs w:val="24"/>
        </w:rPr>
        <w:t>（如有）</w:t>
      </w:r>
      <w:r>
        <w:rPr>
          <w:rFonts w:hint="eastAsia" w:asciiTheme="minorEastAsia" w:hAnsiTheme="minorEastAsia" w:eastAsiaTheme="minorEastAsia" w:cstheme="minorEastAsia"/>
          <w:kern w:val="0"/>
          <w:sz w:val="24"/>
          <w:szCs w:val="24"/>
        </w:rPr>
        <w:t>。</w:t>
      </w:r>
    </w:p>
    <w:p w14:paraId="5C962388">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若上述文件有不一致之处，以日期在后者的规定为准。</w:t>
      </w:r>
    </w:p>
    <w:p w14:paraId="1C30DC70">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26" w:name="_Toc255310769"/>
      <w:bookmarkStart w:id="127" w:name="_Toc262637528"/>
      <w:bookmarkStart w:id="128" w:name="_Toc27062"/>
      <w:bookmarkStart w:id="129" w:name="_Toc16139"/>
      <w:bookmarkStart w:id="130" w:name="_Toc15958"/>
      <w:r>
        <w:rPr>
          <w:rFonts w:hint="eastAsia" w:asciiTheme="minorEastAsia" w:hAnsiTheme="minorEastAsia" w:eastAsiaTheme="minorEastAsia" w:cstheme="minorEastAsia"/>
          <w:b/>
          <w:spacing w:val="0"/>
          <w:kern w:val="2"/>
          <w:sz w:val="24"/>
          <w:szCs w:val="24"/>
          <w:u w:val="none"/>
          <w:lang w:val="en-US" w:eastAsia="zh-CN" w:bidi="ar-SA"/>
        </w:rPr>
        <w:t>第2条  项目委托范围和内容</w:t>
      </w:r>
      <w:bookmarkEnd w:id="125"/>
      <w:bookmarkEnd w:id="126"/>
      <w:bookmarkEnd w:id="127"/>
      <w:bookmarkEnd w:id="128"/>
      <w:bookmarkEnd w:id="129"/>
      <w:bookmarkEnd w:id="130"/>
    </w:p>
    <w:p w14:paraId="274CD7CE">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highlight w:val="none"/>
          <w:lang w:val="en-US" w:eastAsia="zh-CN"/>
        </w:rPr>
      </w:pPr>
      <w:bookmarkStart w:id="131" w:name="_Toc28214"/>
      <w:bookmarkStart w:id="132" w:name="_Toc11244"/>
      <w:bookmarkStart w:id="133" w:name="_Toc255310770"/>
      <w:bookmarkStart w:id="134" w:name="_Toc262637529"/>
      <w:r>
        <w:rPr>
          <w:rFonts w:hint="eastAsia" w:asciiTheme="minorEastAsia" w:hAnsiTheme="minorEastAsia" w:eastAsiaTheme="minorEastAsia" w:cstheme="minorEastAsia"/>
          <w:spacing w:val="0"/>
          <w:kern w:val="0"/>
          <w:sz w:val="24"/>
          <w:szCs w:val="24"/>
          <w:lang w:val="en-US" w:eastAsia="zh-CN" w:bidi="ar-SA"/>
        </w:rPr>
        <w:t>本项目旨在通过编制《陕西省应急管理标准体系建设指南》（以下简称《指南》），科学构建契合陕西地域特点的标准体系框架，制定5年重点标准</w:t>
      </w:r>
      <w:r>
        <w:rPr>
          <w:rFonts w:hint="eastAsia" w:asciiTheme="minorEastAsia" w:hAnsiTheme="minorEastAsia" w:eastAsiaTheme="minorEastAsia" w:cstheme="minorEastAsia"/>
          <w:spacing w:val="0"/>
          <w:kern w:val="0"/>
          <w:sz w:val="24"/>
          <w:szCs w:val="24"/>
          <w:highlight w:val="none"/>
          <w:lang w:val="en-US" w:eastAsia="zh-CN" w:bidi="ar-SA"/>
        </w:rPr>
        <w:t>制修订计划，强化标准实施与动态优化，全面提升全省应急管理标准化整体水平，为应急管理体系和治理能力现代化提供坚实技术支撑。</w:t>
      </w:r>
      <w:bookmarkEnd w:id="131"/>
      <w:bookmarkEnd w:id="132"/>
    </w:p>
    <w:p w14:paraId="153472F6">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35" w:name="_Toc14862"/>
      <w:bookmarkStart w:id="136" w:name="_Toc2778"/>
      <w:bookmarkStart w:id="137" w:name="_Toc5059"/>
      <w:r>
        <w:rPr>
          <w:rFonts w:hint="eastAsia" w:asciiTheme="minorEastAsia" w:hAnsiTheme="minorEastAsia" w:eastAsiaTheme="minorEastAsia" w:cstheme="minorEastAsia"/>
          <w:b/>
          <w:spacing w:val="0"/>
          <w:kern w:val="2"/>
          <w:sz w:val="24"/>
          <w:szCs w:val="24"/>
          <w:highlight w:val="none"/>
          <w:u w:val="none"/>
          <w:lang w:val="en-US" w:eastAsia="zh-CN" w:bidi="ar-SA"/>
        </w:rPr>
        <w:t xml:space="preserve">第3条  </w:t>
      </w:r>
      <w:bookmarkEnd w:id="133"/>
      <w:bookmarkEnd w:id="134"/>
      <w:r>
        <w:rPr>
          <w:rFonts w:hint="eastAsia" w:asciiTheme="minorEastAsia" w:hAnsiTheme="minorEastAsia" w:eastAsiaTheme="minorEastAsia" w:cstheme="minorEastAsia"/>
          <w:b/>
          <w:spacing w:val="0"/>
          <w:kern w:val="2"/>
          <w:sz w:val="24"/>
          <w:szCs w:val="24"/>
          <w:highlight w:val="none"/>
          <w:u w:val="none"/>
          <w:lang w:val="en-US" w:eastAsia="zh-CN" w:bidi="ar-SA"/>
        </w:rPr>
        <w:t>合同期限</w:t>
      </w:r>
      <w:bookmarkEnd w:id="135"/>
      <w:bookmarkEnd w:id="136"/>
      <w:bookmarkEnd w:id="137"/>
    </w:p>
    <w:p w14:paraId="78A06502">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kern w:val="0"/>
          <w:sz w:val="24"/>
          <w:szCs w:val="24"/>
          <w:highlight w:val="none"/>
          <w:lang w:val="en-US" w:eastAsia="zh-CN" w:bidi="ar-SA"/>
        </w:rPr>
      </w:pPr>
      <w:r>
        <w:rPr>
          <w:rFonts w:hint="eastAsia" w:cs="宋体"/>
          <w:i w:val="0"/>
          <w:iCs w:val="0"/>
          <w:caps w:val="0"/>
          <w:color w:val="333333"/>
          <w:spacing w:val="0"/>
          <w:sz w:val="24"/>
          <w:szCs w:val="24"/>
          <w:highlight w:val="none"/>
          <w:shd w:val="clear" w:fill="FFFFFF"/>
          <w:vertAlign w:val="baseline"/>
          <w:lang w:val="en-US" w:eastAsia="zh-CN"/>
        </w:rPr>
        <w:t>自合同签订之日起至2026年10月30日之前完成并提交成果。</w:t>
      </w:r>
      <w:r>
        <w:rPr>
          <w:rFonts w:hint="eastAsia" w:asciiTheme="minorEastAsia" w:hAnsiTheme="minorEastAsia" w:eastAsiaTheme="minorEastAsia" w:cstheme="minorEastAsia"/>
          <w:kern w:val="0"/>
          <w:sz w:val="24"/>
          <w:szCs w:val="24"/>
          <w:highlight w:val="none"/>
          <w:lang w:val="en-US" w:eastAsia="zh-CN" w:bidi="ar-SA"/>
        </w:rPr>
        <w:t>乙方应在合同约定的期限内完成甲方委托事项，并交付项目成果。</w:t>
      </w:r>
    </w:p>
    <w:p w14:paraId="7C8CEC17">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38" w:name="_Toc17838"/>
      <w:bookmarkStart w:id="139" w:name="_Toc255310771"/>
      <w:bookmarkStart w:id="140" w:name="_Toc16230"/>
      <w:bookmarkStart w:id="141" w:name="_Toc262637530"/>
      <w:bookmarkStart w:id="142" w:name="_Toc16049"/>
      <w:r>
        <w:rPr>
          <w:rFonts w:hint="eastAsia" w:asciiTheme="minorEastAsia" w:hAnsiTheme="minorEastAsia" w:eastAsiaTheme="minorEastAsia" w:cstheme="minorEastAsia"/>
          <w:b/>
          <w:spacing w:val="0"/>
          <w:kern w:val="2"/>
          <w:sz w:val="24"/>
          <w:szCs w:val="24"/>
          <w:highlight w:val="none"/>
          <w:u w:val="none"/>
          <w:lang w:val="en-US" w:eastAsia="zh-CN" w:bidi="ar-SA"/>
        </w:rPr>
        <w:t>第4条  成果交付、项目验收</w:t>
      </w:r>
      <w:bookmarkEnd w:id="138"/>
      <w:bookmarkEnd w:id="139"/>
      <w:bookmarkEnd w:id="140"/>
      <w:bookmarkEnd w:id="141"/>
      <w:bookmarkEnd w:id="142"/>
    </w:p>
    <w:p w14:paraId="1AD73ACE">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4.1</w:t>
      </w:r>
      <w:r>
        <w:rPr>
          <w:rFonts w:hint="eastAsia" w:asciiTheme="minorEastAsia" w:hAnsiTheme="minorEastAsia" w:eastAsiaTheme="minorEastAsia" w:cstheme="minorEastAsia"/>
          <w:sz w:val="24"/>
          <w:szCs w:val="24"/>
          <w:highlight w:val="none"/>
        </w:rPr>
        <w:t>在项目实施过程中乙方应按</w:t>
      </w:r>
      <w:r>
        <w:rPr>
          <w:rFonts w:hint="eastAsia" w:asciiTheme="minorEastAsia" w:hAnsiTheme="minorEastAsia" w:eastAsiaTheme="minorEastAsia" w:cstheme="minorEastAsia"/>
          <w:sz w:val="24"/>
          <w:szCs w:val="24"/>
          <w:highlight w:val="none"/>
          <w:lang w:val="en-US" w:eastAsia="zh-CN"/>
        </w:rPr>
        <w:t>甲方</w:t>
      </w:r>
      <w:r>
        <w:rPr>
          <w:rFonts w:hint="eastAsia" w:asciiTheme="minorEastAsia" w:hAnsiTheme="minorEastAsia" w:eastAsiaTheme="minorEastAsia" w:cstheme="minorEastAsia"/>
          <w:sz w:val="24"/>
          <w:szCs w:val="24"/>
          <w:highlight w:val="none"/>
        </w:rPr>
        <w:t>要求提交项目成果，提交的项目成果应完全满足合同要求。</w:t>
      </w:r>
    </w:p>
    <w:p w14:paraId="35DEF802">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4.2</w:t>
      </w:r>
      <w:r>
        <w:rPr>
          <w:rFonts w:hint="eastAsia" w:asciiTheme="minorEastAsia" w:hAnsiTheme="minorEastAsia" w:eastAsiaTheme="minorEastAsia" w:cstheme="minorEastAsia"/>
          <w:sz w:val="24"/>
          <w:szCs w:val="24"/>
          <w:highlight w:val="none"/>
        </w:rPr>
        <w:t>乙方应有规范的管理以控制成果质量，在项目成果交付给甲方前，乙方应进行严格审核。对乙方正式提交的成果，如经甲方审核认定未完全符合合同要求的，乙方须按甲方要求予以修改，由此引起的费用由乙方承担。</w:t>
      </w:r>
    </w:p>
    <w:p w14:paraId="3B0E7496">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4.3</w:t>
      </w:r>
      <w:r>
        <w:rPr>
          <w:rFonts w:hint="eastAsia" w:asciiTheme="minorEastAsia" w:hAnsiTheme="minorEastAsia" w:eastAsiaTheme="minorEastAsia" w:cstheme="minorEastAsia"/>
          <w:sz w:val="24"/>
          <w:szCs w:val="24"/>
          <w:highlight w:val="none"/>
        </w:rPr>
        <w:t>乙方需按照甲方要求份数以及如下要求向甲方提交项目各阶段成果报告：</w:t>
      </w:r>
    </w:p>
    <w:p w14:paraId="54757A7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（1）文件的版式、装订应美观、清晰、有条理、重点突出。要求装订美观、牢固。</w:t>
      </w:r>
    </w:p>
    <w:p w14:paraId="776EB0DB">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（2）提交各阶段成果报告及规格、电子文件（刻制光盘）数量均须满足甲方的需求，成果报告必须使用下面规定的软件类型和版本。</w:t>
      </w:r>
    </w:p>
    <w:p w14:paraId="145435D4">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（3）文字报告包括研究方提供的正式往来文件、中间成果报告、最终成果报告和技术说明书等。</w:t>
      </w:r>
    </w:p>
    <w:p w14:paraId="70011AF3">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（4）文字、表格编辑软件采用Microsoft office (WORD、EXCEL)，绘图软件采用AutoCAD ，资料按甲方的有关要求归档。</w:t>
      </w:r>
    </w:p>
    <w:p w14:paraId="093E267F">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设计文件要符合设计文件编制内容格式的要求，完整齐全。说明能充分表达设计意图，文字精练，图面清晰，技术措施无原则性重大差错，尽量减少一般性的错、漏，避免各专业间配合上的矛盾、脱节或重复。</w:t>
      </w:r>
    </w:p>
    <w:p w14:paraId="135B954F">
      <w:pPr>
        <w:keepLines w:val="0"/>
        <w:pageBreakBefore w:val="0"/>
        <w:widowControl w:val="0"/>
        <w:kinsoku/>
        <w:wordWrap/>
        <w:overflowPunct/>
        <w:topLinePunct w:val="0"/>
        <w:bidi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（6）编制中采用的基础资料要齐全、可靠，设计要符合设计标准、规范的有关规定，计算要准确，文字报告要协调好各章节、专业的内容、观点，注意报告的一致性。</w:t>
      </w:r>
    </w:p>
    <w:p w14:paraId="4943E059">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43" w:name="_Toc255310772"/>
      <w:bookmarkStart w:id="144" w:name="_Toc11603"/>
      <w:bookmarkStart w:id="145" w:name="_Toc11654"/>
      <w:bookmarkStart w:id="146" w:name="_Toc262637531"/>
      <w:bookmarkStart w:id="147" w:name="_Toc29754"/>
      <w:r>
        <w:rPr>
          <w:rFonts w:hint="eastAsia" w:asciiTheme="minorEastAsia" w:hAnsiTheme="minorEastAsia" w:eastAsiaTheme="minorEastAsia" w:cstheme="minorEastAsia"/>
          <w:b/>
          <w:spacing w:val="0"/>
          <w:kern w:val="2"/>
          <w:sz w:val="24"/>
          <w:szCs w:val="24"/>
          <w:highlight w:val="none"/>
          <w:u w:val="none"/>
          <w:lang w:val="en-US" w:eastAsia="zh-CN" w:bidi="ar-SA"/>
        </w:rPr>
        <w:t>第5条  合同价格及支付</w:t>
      </w:r>
      <w:bookmarkEnd w:id="143"/>
      <w:bookmarkEnd w:id="144"/>
      <w:bookmarkEnd w:id="145"/>
      <w:bookmarkEnd w:id="146"/>
      <w:bookmarkEnd w:id="147"/>
    </w:p>
    <w:p w14:paraId="6CAF6157">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5.1 合同价款</w:t>
      </w:r>
    </w:p>
    <w:p w14:paraId="77C0039E">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b w:val="0"/>
          <w:bCs w:val="0"/>
          <w:i/>
          <w:color w:val="FF00FF"/>
          <w:sz w:val="24"/>
          <w:szCs w:val="24"/>
          <w:highlight w:val="none"/>
        </w:rPr>
      </w:pPr>
      <w:r>
        <w:rPr>
          <w:rFonts w:hint="eastAsia" w:asciiTheme="minorEastAsia" w:hAnsiTheme="minorEastAsia" w:eastAsiaTheme="minorEastAsia" w:cstheme="minorEastAsia"/>
          <w:sz w:val="24"/>
          <w:szCs w:val="24"/>
          <w:highlight w:val="none"/>
        </w:rPr>
        <w:t>项目采用合同总价包干，其合同总价：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）。合同总价</w:t>
      </w:r>
      <w:r>
        <w:rPr>
          <w:rFonts w:hint="eastAsia" w:asciiTheme="minorEastAsia" w:hAnsiTheme="minorEastAsia" w:eastAsiaTheme="minorEastAsia" w:cstheme="minorEastAsia"/>
          <w:bCs/>
          <w:sz w:val="24"/>
          <w:szCs w:val="24"/>
          <w:highlight w:val="none"/>
        </w:rPr>
        <w:t>为固定价</w:t>
      </w:r>
      <w:r>
        <w:rPr>
          <w:rFonts w:hint="eastAsia" w:asciiTheme="minorEastAsia" w:hAnsiTheme="minorEastAsia" w:eastAsiaTheme="minorEastAsia" w:cstheme="minorEastAsia"/>
          <w:sz w:val="24"/>
          <w:szCs w:val="24"/>
          <w:highlight w:val="none"/>
        </w:rPr>
        <w:t>，已包括乙方履行本合同所必须的</w:t>
      </w:r>
      <w:r>
        <w:rPr>
          <w:rFonts w:hint="eastAsia" w:asciiTheme="minorEastAsia" w:hAnsiTheme="minorEastAsia" w:eastAsiaTheme="minorEastAsia" w:cstheme="minorEastAsia"/>
          <w:bCs/>
          <w:sz w:val="24"/>
          <w:szCs w:val="24"/>
          <w:highlight w:val="none"/>
        </w:rPr>
        <w:t>所有成本费用和乙方应承担的一切税费</w:t>
      </w:r>
      <w:r>
        <w:rPr>
          <w:rFonts w:hint="eastAsia" w:asciiTheme="minorEastAsia" w:hAnsiTheme="minorEastAsia" w:eastAsiaTheme="minorEastAsia" w:cstheme="minorEastAsia"/>
          <w:sz w:val="24"/>
          <w:szCs w:val="24"/>
          <w:highlight w:val="none"/>
        </w:rPr>
        <w:t>，包括但不仅限于办公、交通、人员、差旅、文件、税费及其他管理费用等，由乙方在合同实施过程中包干使用</w:t>
      </w:r>
      <w:r>
        <w:rPr>
          <w:rFonts w:hint="eastAsia" w:asciiTheme="minorEastAsia" w:hAnsiTheme="minorEastAsia" w:eastAsiaTheme="minorEastAsia" w:cstheme="minorEastAsia"/>
          <w:b w:val="0"/>
          <w:bCs w:val="0"/>
          <w:sz w:val="24"/>
          <w:szCs w:val="24"/>
          <w:highlight w:val="none"/>
        </w:rPr>
        <w:t>。除非合同发生修改，且该修改影响到合同价格的调整，否则合同总价不作任何增加或减少。</w:t>
      </w:r>
    </w:p>
    <w:p w14:paraId="6F83AF02">
      <w:pPr>
        <w:pStyle w:val="11"/>
        <w:keepLines w:val="0"/>
        <w:pageBreakBefore w:val="0"/>
        <w:widowControl w:val="0"/>
        <w:kinsoku/>
        <w:wordWrap/>
        <w:overflowPunct/>
        <w:topLinePunct w:val="0"/>
        <w:bidi w:val="0"/>
        <w:adjustRightInd w:val="0"/>
        <w:snapToGrid w:val="0"/>
        <w:spacing w:after="0" w:line="360" w:lineRule="auto"/>
        <w:ind w:left="0" w:leftChars="0" w:right="0" w:firstLine="480" w:firstLineChars="200"/>
        <w:jc w:val="left"/>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5.2  合同价款的支付</w:t>
      </w:r>
    </w:p>
    <w:p w14:paraId="33CD0212">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宋体" w:hAnsi="宋体" w:eastAsia="宋体" w:cs="宋体"/>
          <w:sz w:val="24"/>
          <w:szCs w:val="24"/>
          <w:highlight w:val="none"/>
          <w:lang w:val="en-US" w:eastAsia="zh-CN" w:bidi="ar-SA"/>
        </w:rPr>
      </w:pPr>
      <w:r>
        <w:rPr>
          <w:rFonts w:hint="eastAsia" w:asciiTheme="minorEastAsia" w:hAnsiTheme="minorEastAsia" w:eastAsiaTheme="minorEastAsia" w:cstheme="minorEastAsia"/>
          <w:sz w:val="24"/>
          <w:szCs w:val="24"/>
          <w:highlight w:val="none"/>
        </w:rPr>
        <w:t>5.2.1服务费用具体结算方式为：</w:t>
      </w:r>
      <w:r>
        <w:rPr>
          <w:rFonts w:hint="eastAsia" w:ascii="宋体" w:hAnsi="宋体" w:eastAsia="宋体" w:cs="宋体"/>
          <w:sz w:val="24"/>
          <w:szCs w:val="24"/>
          <w:highlight w:val="none"/>
          <w:lang w:val="en-US" w:eastAsia="zh-CN" w:bidi="ar-SA"/>
        </w:rPr>
        <w:t>合同签订后，支付合同总金额的</w:t>
      </w:r>
      <w:r>
        <w:rPr>
          <w:rFonts w:hint="eastAsia" w:hAnsi="宋体" w:cs="宋体"/>
          <w:sz w:val="24"/>
          <w:szCs w:val="24"/>
          <w:highlight w:val="none"/>
          <w:lang w:val="en-US" w:eastAsia="zh-CN" w:bidi="ar-SA"/>
        </w:rPr>
        <w:t>7</w:t>
      </w:r>
      <w:r>
        <w:rPr>
          <w:rFonts w:hint="eastAsia" w:ascii="宋体" w:hAnsi="宋体" w:eastAsia="宋体" w:cs="宋体"/>
          <w:sz w:val="24"/>
          <w:szCs w:val="24"/>
          <w:highlight w:val="none"/>
          <w:lang w:val="en-US" w:eastAsia="zh-CN" w:bidi="ar-SA"/>
        </w:rPr>
        <w:t>0%，服务期项目验收合格后支付合同总金额的</w:t>
      </w:r>
      <w:r>
        <w:rPr>
          <w:rFonts w:hint="eastAsia"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0%。</w:t>
      </w:r>
    </w:p>
    <w:p w14:paraId="3133AB7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5.2.2 支付方式：转账。</w:t>
      </w:r>
    </w:p>
    <w:p w14:paraId="2334B92B">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户：</w:t>
      </w:r>
    </w:p>
    <w:p w14:paraId="7D78E34F">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w:t>
      </w:r>
    </w:p>
    <w:p w14:paraId="054828B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  号：</w:t>
      </w:r>
    </w:p>
    <w:p w14:paraId="3EB39543">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5.2.3 甲方付款前，乙方应开具等额正式发票。</w:t>
      </w:r>
    </w:p>
    <w:p w14:paraId="54C45784">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highlight w:val="none"/>
          <w:u w:val="none"/>
          <w:lang w:val="en-US" w:eastAsia="zh-CN" w:bidi="ar-SA"/>
        </w:rPr>
      </w:pPr>
      <w:bookmarkStart w:id="148" w:name="_Toc255310773"/>
      <w:bookmarkStart w:id="149" w:name="_Toc262637532"/>
      <w:bookmarkStart w:id="150" w:name="_Toc3243"/>
      <w:bookmarkStart w:id="151" w:name="_Toc5064"/>
      <w:bookmarkStart w:id="152" w:name="_Toc19192"/>
      <w:r>
        <w:rPr>
          <w:rFonts w:hint="eastAsia" w:asciiTheme="minorEastAsia" w:hAnsiTheme="minorEastAsia" w:eastAsiaTheme="minorEastAsia" w:cstheme="minorEastAsia"/>
          <w:b/>
          <w:spacing w:val="0"/>
          <w:kern w:val="2"/>
          <w:sz w:val="24"/>
          <w:szCs w:val="24"/>
          <w:highlight w:val="none"/>
          <w:u w:val="none"/>
          <w:lang w:val="en-US" w:eastAsia="zh-CN" w:bidi="ar-SA"/>
        </w:rPr>
        <w:t>第6条  甲方</w:t>
      </w:r>
      <w:bookmarkEnd w:id="148"/>
      <w:bookmarkEnd w:id="149"/>
      <w:r>
        <w:rPr>
          <w:rFonts w:hint="eastAsia" w:asciiTheme="minorEastAsia" w:hAnsiTheme="minorEastAsia" w:eastAsiaTheme="minorEastAsia" w:cstheme="minorEastAsia"/>
          <w:b/>
          <w:spacing w:val="0"/>
          <w:kern w:val="2"/>
          <w:sz w:val="24"/>
          <w:szCs w:val="24"/>
          <w:highlight w:val="none"/>
          <w:u w:val="none"/>
          <w:lang w:val="en-US" w:eastAsia="zh-CN" w:bidi="ar-SA"/>
        </w:rPr>
        <w:t>权责</w:t>
      </w:r>
      <w:bookmarkEnd w:id="150"/>
      <w:bookmarkEnd w:id="151"/>
      <w:bookmarkEnd w:id="152"/>
    </w:p>
    <w:p w14:paraId="09EBFC82">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 甲方负责对前期研究的编制工作进行总体管理、协调和监督，对提交的成果报告或资料收集成果文件组织专家评审、验收或协调上报政府有关部门。有对编制工作进行过程控制、中间检查的责任与权利。</w:t>
      </w:r>
    </w:p>
    <w:p w14:paraId="1B27A86E">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甲方应准备所能提供的用于本项目目的的数据、文件和信息；当乙方为了完成本合同的任务而需要使用这些资料信息时，甲方应予以协助。</w:t>
      </w:r>
    </w:p>
    <w:p w14:paraId="0C509E06">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对于乙方提交的需甲方作出答复的重要情况和事宜，甲方应在一个合理时间内作出决定或批准。</w:t>
      </w:r>
    </w:p>
    <w:p w14:paraId="31BEA64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 甲方应履行按合同第5条规定应付合同价款的支付义务。</w:t>
      </w:r>
    </w:p>
    <w:p w14:paraId="567CA3E9">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53" w:name="_Toc262637533"/>
      <w:bookmarkStart w:id="154" w:name="_Toc255310774"/>
      <w:bookmarkStart w:id="155" w:name="_Toc20926"/>
      <w:bookmarkStart w:id="156" w:name="_Toc3534"/>
      <w:bookmarkStart w:id="157" w:name="_Toc20446"/>
      <w:r>
        <w:rPr>
          <w:rFonts w:hint="eastAsia" w:asciiTheme="minorEastAsia" w:hAnsiTheme="minorEastAsia" w:eastAsiaTheme="minorEastAsia" w:cstheme="minorEastAsia"/>
          <w:b/>
          <w:spacing w:val="0"/>
          <w:kern w:val="2"/>
          <w:sz w:val="24"/>
          <w:szCs w:val="24"/>
          <w:u w:val="none"/>
          <w:lang w:val="en-US" w:eastAsia="zh-CN" w:bidi="ar-SA"/>
        </w:rPr>
        <w:t>第7条  乙方</w:t>
      </w:r>
      <w:bookmarkEnd w:id="153"/>
      <w:bookmarkEnd w:id="154"/>
      <w:r>
        <w:rPr>
          <w:rFonts w:hint="eastAsia" w:asciiTheme="minorEastAsia" w:hAnsiTheme="minorEastAsia" w:eastAsiaTheme="minorEastAsia" w:cstheme="minorEastAsia"/>
          <w:b/>
          <w:spacing w:val="0"/>
          <w:kern w:val="2"/>
          <w:sz w:val="24"/>
          <w:szCs w:val="24"/>
          <w:u w:val="none"/>
          <w:lang w:val="en-US" w:eastAsia="zh-CN" w:bidi="ar-SA"/>
        </w:rPr>
        <w:t>权责</w:t>
      </w:r>
      <w:bookmarkEnd w:id="155"/>
      <w:bookmarkEnd w:id="156"/>
      <w:bookmarkEnd w:id="157"/>
    </w:p>
    <w:p w14:paraId="574AAF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乙方应按照合同及其附件的要求，负责收集本项目所需数据及信息，同时接受甲方有关指令和管理，按计划、按时、按质、按量提交项目的改进意见和完整的项目成果，以合理、谨慎、努力和有效的方式提供约定的服务。</w:t>
      </w:r>
    </w:p>
    <w:p w14:paraId="07AC00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乙方应该参照有关工作惯例，以科学的态度进行严肃、认真的研究，达到合同的规定和要求，以其一贯的水准在所有的专业知识和能力方面向甲方提供最好的服务。</w:t>
      </w:r>
    </w:p>
    <w:p w14:paraId="4931D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7.3</w:t>
      </w:r>
      <w:r>
        <w:rPr>
          <w:rFonts w:hint="eastAsia" w:asciiTheme="minorEastAsia" w:hAnsiTheme="minorEastAsia" w:eastAsiaTheme="minorEastAsia" w:cstheme="minorEastAsia"/>
          <w:sz w:val="24"/>
          <w:szCs w:val="24"/>
        </w:rPr>
        <w:t>乙方应保证提交的项目成果和提供的服务符合中华人民共和国法律和国际公约或惯例；乙方应保证甲方在使用和应用合同项下的项目成果时，免于承担第三方提出的侵犯其专利权、著作权、工业设计权、其他知识产权的索赔，如导致甲方担责，甲方有权向乙方追偿。</w:t>
      </w:r>
    </w:p>
    <w:p w14:paraId="081AB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7.4</w:t>
      </w:r>
      <w:r>
        <w:rPr>
          <w:rFonts w:hint="eastAsia" w:asciiTheme="minorEastAsia" w:hAnsiTheme="minorEastAsia" w:eastAsiaTheme="minorEastAsia" w:cstheme="minorEastAsia"/>
          <w:sz w:val="24"/>
          <w:szCs w:val="24"/>
        </w:rPr>
        <w:t>乙方的职员或代理在完成项目过程中和提供有关服务时的行为或不作为产生的一切责任</w:t>
      </w:r>
      <w:r>
        <w:rPr>
          <w:rFonts w:hint="eastAsia" w:asciiTheme="minorEastAsia" w:hAnsiTheme="minorEastAsia" w:eastAsiaTheme="minorEastAsia" w:cstheme="minorEastAsia"/>
          <w:bCs/>
          <w:sz w:val="24"/>
          <w:szCs w:val="24"/>
        </w:rPr>
        <w:t>由乙方承担</w:t>
      </w:r>
      <w:r>
        <w:rPr>
          <w:rFonts w:hint="eastAsia" w:asciiTheme="minorEastAsia" w:hAnsiTheme="minorEastAsia" w:eastAsiaTheme="minorEastAsia" w:cstheme="minorEastAsia"/>
          <w:sz w:val="24"/>
          <w:szCs w:val="24"/>
        </w:rPr>
        <w:t>。</w:t>
      </w:r>
    </w:p>
    <w:p w14:paraId="7FBA2B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7.5</w:t>
      </w:r>
      <w:r>
        <w:rPr>
          <w:rFonts w:hint="eastAsia" w:asciiTheme="minorEastAsia" w:hAnsiTheme="minorEastAsia" w:eastAsiaTheme="minorEastAsia" w:cstheme="minorEastAsia"/>
          <w:sz w:val="24"/>
          <w:szCs w:val="24"/>
        </w:rPr>
        <w:t>承担在合同约定的研究范围内，经审查后的必要修改，如因乙方原因导致成果报告或资料收集成果文件未通过专家审查，自行返工修改，并承担因此所造成的全部损失，但赔偿上限为合同额</w:t>
      </w:r>
      <w:r>
        <w:rPr>
          <w:rFonts w:hint="eastAsia" w:asciiTheme="minorEastAsia" w:hAnsiTheme="minorEastAsia" w:eastAsiaTheme="minorEastAsia" w:cstheme="minorEastAsia"/>
          <w:b/>
          <w:sz w:val="24"/>
          <w:szCs w:val="24"/>
        </w:rPr>
        <w:t>。</w:t>
      </w:r>
    </w:p>
    <w:p w14:paraId="08BBCED2">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7.6</w:t>
      </w:r>
      <w:r>
        <w:rPr>
          <w:rFonts w:hint="eastAsia" w:asciiTheme="minorEastAsia" w:hAnsiTheme="minorEastAsia" w:eastAsiaTheme="minorEastAsia" w:cstheme="minorEastAsia"/>
          <w:sz w:val="24"/>
          <w:szCs w:val="24"/>
        </w:rPr>
        <w:t>按甲方要求提交全部书面文件和电子文件，并按甲方制定的档案归档要求对项目成果进行移交和归档。</w:t>
      </w:r>
    </w:p>
    <w:p w14:paraId="5A246786">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7.7</w:t>
      </w:r>
      <w:r>
        <w:rPr>
          <w:rFonts w:hint="eastAsia" w:asciiTheme="minorEastAsia" w:hAnsiTheme="minorEastAsia" w:eastAsiaTheme="minorEastAsia" w:cstheme="minorEastAsia"/>
          <w:sz w:val="24"/>
          <w:szCs w:val="24"/>
        </w:rPr>
        <w:t>未经甲方书面同意，乙方不得转让合同中规定的义务。</w:t>
      </w:r>
    </w:p>
    <w:p w14:paraId="2AC3D042">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7.8</w:t>
      </w:r>
      <w:r>
        <w:rPr>
          <w:rFonts w:hint="eastAsia" w:asciiTheme="minorEastAsia" w:hAnsiTheme="minorEastAsia" w:eastAsiaTheme="minorEastAsia" w:cstheme="minorEastAsia"/>
          <w:sz w:val="24"/>
          <w:szCs w:val="24"/>
        </w:rPr>
        <w:t>乙方要指定有相应资历的、经验丰富而且可以信赖的人员来完成项目和提供服务。在有合理的理由的情况下，甲方有权要求乙方调回或替换任何不称职的人员，乙方应予接受，且甲方不承担乙方由此引起的责任和费用。</w:t>
      </w:r>
    </w:p>
    <w:p w14:paraId="7FB3FA8A">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58" w:name="_Toc225145102"/>
      <w:bookmarkStart w:id="159" w:name="_Toc192323520"/>
      <w:bookmarkStart w:id="160" w:name="_Toc240189124"/>
      <w:bookmarkStart w:id="161" w:name="_Toc247956989"/>
      <w:bookmarkStart w:id="162" w:name="_Toc136850806"/>
      <w:bookmarkStart w:id="163" w:name="_Toc7263"/>
      <w:bookmarkStart w:id="164" w:name="_Toc18118"/>
      <w:bookmarkStart w:id="165" w:name="_Toc31168"/>
      <w:r>
        <w:rPr>
          <w:rFonts w:hint="eastAsia" w:asciiTheme="minorEastAsia" w:hAnsiTheme="minorEastAsia" w:eastAsiaTheme="minorEastAsia" w:cstheme="minorEastAsia"/>
          <w:b/>
          <w:spacing w:val="0"/>
          <w:kern w:val="2"/>
          <w:sz w:val="24"/>
          <w:szCs w:val="24"/>
          <w:u w:val="none"/>
          <w:lang w:val="en-US" w:eastAsia="zh-CN" w:bidi="ar-SA"/>
        </w:rPr>
        <w:t>第8条</w:t>
      </w:r>
      <w:bookmarkEnd w:id="158"/>
      <w:bookmarkEnd w:id="159"/>
      <w:bookmarkEnd w:id="160"/>
      <w:bookmarkEnd w:id="161"/>
      <w:bookmarkEnd w:id="162"/>
      <w:bookmarkStart w:id="166" w:name="_Toc255310776"/>
      <w:bookmarkStart w:id="167" w:name="_Toc262637535"/>
      <w:r>
        <w:rPr>
          <w:rFonts w:hint="eastAsia" w:asciiTheme="minorEastAsia" w:hAnsiTheme="minorEastAsia" w:eastAsiaTheme="minorEastAsia" w:cstheme="minorEastAsia"/>
          <w:b/>
          <w:spacing w:val="0"/>
          <w:kern w:val="2"/>
          <w:sz w:val="24"/>
          <w:szCs w:val="24"/>
          <w:u w:val="none"/>
          <w:lang w:val="en-US" w:eastAsia="zh-CN" w:bidi="ar-SA"/>
        </w:rPr>
        <w:t xml:space="preserve"> 信息和保密</w:t>
      </w:r>
      <w:bookmarkEnd w:id="163"/>
      <w:bookmarkEnd w:id="164"/>
      <w:bookmarkEnd w:id="165"/>
      <w:bookmarkEnd w:id="166"/>
      <w:bookmarkEnd w:id="167"/>
    </w:p>
    <w:p w14:paraId="5A919DE0">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rPr>
        <w:t>本项目成果知识产权归甲方所有。乙方应准确系统地建立项目和服务过程中的文档和记录，其形式和详细程度应符合其专业水平，并允许甲方在项目执行过程中进行检查和复印。</w:t>
      </w:r>
    </w:p>
    <w:p w14:paraId="0B3850D5">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rPr>
        <w:t>对于一方向另一方提供的信息和资料，另一方须以合理和合适的方式或按照适用的专业标准保密这些资料。未经提供方书面同意，另一方不得将这些资料通过任何方式透露给第三方。但甲方合理使用获得的本项目成果则不在此列。</w:t>
      </w:r>
    </w:p>
    <w:p w14:paraId="76660E61">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rPr>
        <w:t>甲方向乙方提供的图纸、资料、档案均属于甲方的财产，当项目完成或终止后，应甲方要求，乙方须归还这些图纸、资料和档案（包括拷贝）。</w:t>
      </w:r>
    </w:p>
    <w:p w14:paraId="14C86129">
      <w:pPr>
        <w:pStyle w:val="8"/>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8.4</w:t>
      </w:r>
      <w:r>
        <w:rPr>
          <w:rFonts w:hint="eastAsia" w:asciiTheme="minorEastAsia" w:hAnsiTheme="minorEastAsia" w:eastAsiaTheme="minorEastAsia" w:cstheme="minorEastAsia"/>
          <w:sz w:val="24"/>
          <w:szCs w:val="24"/>
        </w:rPr>
        <w:t>本项目形成的成果（包括知识产权）归甲方所有，乙方不得用于本合同之外的用途，不得通过任何方式透露给第三方。</w:t>
      </w:r>
    </w:p>
    <w:p w14:paraId="5A15042E">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68" w:name="_Toc7193"/>
      <w:bookmarkStart w:id="169" w:name="_Toc24176"/>
      <w:bookmarkStart w:id="170" w:name="_Toc255310777"/>
      <w:bookmarkStart w:id="171" w:name="_Toc262637536"/>
      <w:bookmarkStart w:id="172" w:name="_Toc24532"/>
      <w:r>
        <w:rPr>
          <w:rFonts w:hint="eastAsia" w:asciiTheme="minorEastAsia" w:hAnsiTheme="minorEastAsia" w:eastAsiaTheme="minorEastAsia" w:cstheme="minorEastAsia"/>
          <w:b/>
          <w:spacing w:val="0"/>
          <w:kern w:val="2"/>
          <w:sz w:val="24"/>
          <w:szCs w:val="24"/>
          <w:u w:val="none"/>
          <w:lang w:val="en-US" w:eastAsia="zh-CN" w:bidi="ar-SA"/>
        </w:rPr>
        <w:t>第9条  项目调整</w:t>
      </w:r>
      <w:bookmarkEnd w:id="168"/>
      <w:bookmarkEnd w:id="169"/>
      <w:bookmarkEnd w:id="170"/>
      <w:bookmarkEnd w:id="171"/>
      <w:bookmarkEnd w:id="172"/>
    </w:p>
    <w:p w14:paraId="4976948D">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9.1项目执行期间，甲方有权在适当时间对项目作部分修改、删除、增加或其他调整。这些调整须通过书面形式通知乙方。如有异议，乙方须在收到该通知后</w:t>
      </w:r>
      <w:r>
        <w:rPr>
          <w:rFonts w:hint="eastAsia" w:asciiTheme="minorEastAsia" w:hAnsiTheme="minorEastAsia" w:eastAsiaTheme="minorEastAsia" w:cstheme="minorEastAsia"/>
          <w:b/>
          <w:sz w:val="24"/>
          <w:szCs w:val="24"/>
        </w:rPr>
        <w:t>7</w:t>
      </w:r>
      <w:r>
        <w:rPr>
          <w:rFonts w:hint="eastAsia" w:asciiTheme="minorEastAsia" w:hAnsiTheme="minorEastAsia" w:eastAsiaTheme="minorEastAsia" w:cstheme="minorEastAsia"/>
          <w:sz w:val="24"/>
          <w:szCs w:val="24"/>
        </w:rPr>
        <w:t>个工作日内提出；否则视为乙方已接受这些调整，并以此作为合同的组成部分继续履行合同义务。</w:t>
      </w:r>
    </w:p>
    <w:p w14:paraId="190E4BE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9.2项目实施期间，乙方可根据实际情况对项目计划进行微调，但计划调整后须确保项目实施总时间（包括项目成果评审时间）以内。调整计划必须提前一周书面通知甲方。如有异议，甲方须在收到通知后</w:t>
      </w:r>
      <w:r>
        <w:rPr>
          <w:rFonts w:hint="eastAsia" w:asciiTheme="minorEastAsia" w:hAnsiTheme="minorEastAsia" w:eastAsiaTheme="minorEastAsia" w:cstheme="minorEastAsia"/>
          <w:b/>
          <w:sz w:val="24"/>
          <w:szCs w:val="24"/>
        </w:rPr>
        <w:t>7</w:t>
      </w:r>
      <w:r>
        <w:rPr>
          <w:rFonts w:hint="eastAsia" w:asciiTheme="minorEastAsia" w:hAnsiTheme="minorEastAsia" w:eastAsiaTheme="minorEastAsia" w:cstheme="minorEastAsia"/>
          <w:sz w:val="24"/>
          <w:szCs w:val="24"/>
        </w:rPr>
        <w:t>个工作日内提出，否则视为同意。</w:t>
      </w:r>
    </w:p>
    <w:p w14:paraId="1E8EC3D4">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73" w:name="_Toc255310778"/>
      <w:bookmarkStart w:id="174" w:name="_Toc9672"/>
      <w:bookmarkStart w:id="175" w:name="_Toc10970"/>
      <w:bookmarkStart w:id="176" w:name="_Toc262637537"/>
      <w:bookmarkStart w:id="177" w:name="_Toc26800"/>
      <w:r>
        <w:rPr>
          <w:rFonts w:hint="eastAsia" w:asciiTheme="minorEastAsia" w:hAnsiTheme="minorEastAsia" w:eastAsiaTheme="minorEastAsia" w:cstheme="minorEastAsia"/>
          <w:b/>
          <w:spacing w:val="0"/>
          <w:kern w:val="2"/>
          <w:sz w:val="24"/>
          <w:szCs w:val="24"/>
          <w:u w:val="none"/>
          <w:lang w:val="en-US" w:eastAsia="zh-CN" w:bidi="ar-SA"/>
        </w:rPr>
        <w:t>第10条  违约与赔偿</w:t>
      </w:r>
      <w:bookmarkEnd w:id="173"/>
      <w:bookmarkEnd w:id="174"/>
      <w:bookmarkEnd w:id="175"/>
      <w:bookmarkEnd w:id="176"/>
      <w:bookmarkEnd w:id="177"/>
    </w:p>
    <w:p w14:paraId="470DCCAE">
      <w:pPr>
        <w:pStyle w:val="8"/>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 .1合同双方任何一方违反了履约规定，履约方提出索赔，则违约方应对由于其违约引起的或与之有关的事宜负责，并向履约方赔偿。</w:t>
      </w:r>
    </w:p>
    <w:p w14:paraId="11B9B1B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10.2任何一方对另一方的赔偿，仅限于因违约所造成的可合理预见到的损失或损害。</w:t>
      </w:r>
    </w:p>
    <w:p w14:paraId="7685BC2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 若乙方未能按合同约定的时间提交项目成果，每逾期一天按条款5.1所述合同总价的万分之三向甲方支付违约金，违约金总额不超过本合同总价，逾期超过六十天的，甲方有权解除合同并要求乙方赔偿因此而造成的直接损失。</w:t>
      </w:r>
    </w:p>
    <w:p w14:paraId="1C53AB82">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若甲方未能按合同约定的时间支付应付合同价款，每逾期一天按当期应付款的万分之三向乙方支付违约金，违约金总额不超过本合同总价，逾期超过六十天的，乙方有权解除合同，并要求甲方赔偿因此而造成的直接损失。</w:t>
      </w:r>
    </w:p>
    <w:p w14:paraId="65059E94">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10.5若乙方违反保密协议的约定，将保密资料用于其它用途，或以任何方式泄露给第三方，则乙方需赔偿甲方的全部损失。</w:t>
      </w:r>
    </w:p>
    <w:p w14:paraId="7CB1A43A">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78" w:name="_Toc255310779"/>
      <w:bookmarkStart w:id="179" w:name="_Toc262637538"/>
      <w:bookmarkStart w:id="180" w:name="_Toc1145"/>
      <w:bookmarkStart w:id="181" w:name="_Toc19274"/>
      <w:bookmarkStart w:id="182" w:name="_Toc19309"/>
      <w:r>
        <w:rPr>
          <w:rFonts w:hint="eastAsia" w:asciiTheme="minorEastAsia" w:hAnsiTheme="minorEastAsia" w:eastAsiaTheme="minorEastAsia" w:cstheme="minorEastAsia"/>
          <w:b/>
          <w:spacing w:val="0"/>
          <w:kern w:val="2"/>
          <w:sz w:val="24"/>
          <w:szCs w:val="24"/>
          <w:u w:val="none"/>
          <w:lang w:val="en-US" w:eastAsia="zh-CN" w:bidi="ar-SA"/>
        </w:rPr>
        <w:t>第11条  合同终止</w:t>
      </w:r>
      <w:bookmarkEnd w:id="178"/>
      <w:bookmarkEnd w:id="179"/>
      <w:bookmarkEnd w:id="180"/>
      <w:bookmarkEnd w:id="181"/>
      <w:bookmarkEnd w:id="182"/>
    </w:p>
    <w:p w14:paraId="7BCC9CD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11.1合同双方完全履行各自合同义务后，合同终止。</w:t>
      </w:r>
    </w:p>
    <w:p w14:paraId="4C51FBE5">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11.2如一方认为另一方无正当理由而未正确或未完全履行义务时，可向对方发出书面违约通知。若发出通知的一方在10天内没有收到对方实质性改进意见和实施措施，则有权解除合同。</w:t>
      </w:r>
    </w:p>
    <w:p w14:paraId="0D759B1A">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11.3乙方向甲方正式提交的项目成果经甲方</w:t>
      </w:r>
      <w:r>
        <w:rPr>
          <w:rFonts w:hint="eastAsia" w:asciiTheme="minorEastAsia" w:hAnsiTheme="minorEastAsia" w:eastAsiaTheme="minorEastAsia" w:cstheme="minorEastAsia"/>
          <w:b/>
          <w:sz w:val="24"/>
          <w:szCs w:val="24"/>
        </w:rPr>
        <w:t>2</w:t>
      </w:r>
      <w:r>
        <w:rPr>
          <w:rFonts w:hint="eastAsia" w:asciiTheme="minorEastAsia" w:hAnsiTheme="minorEastAsia" w:eastAsiaTheme="minorEastAsia" w:cstheme="minorEastAsia"/>
          <w:sz w:val="24"/>
          <w:szCs w:val="24"/>
        </w:rPr>
        <w:t>次审核未获通过的，甲方有权提出部分或全部终止合同并要求乙方赔偿因此而造成的直接损失。</w:t>
      </w:r>
    </w:p>
    <w:p w14:paraId="5CF08FB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11.4合同的终止并不损害或影响任何一方的索赔权利。</w:t>
      </w:r>
    </w:p>
    <w:p w14:paraId="57B57BEC">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83" w:name="_Toc255310780"/>
      <w:bookmarkStart w:id="184" w:name="_Toc32558"/>
      <w:bookmarkStart w:id="185" w:name="_Toc262637539"/>
      <w:bookmarkStart w:id="186" w:name="_Toc24677"/>
      <w:bookmarkStart w:id="187" w:name="_Toc19286"/>
      <w:r>
        <w:rPr>
          <w:rFonts w:hint="eastAsia" w:asciiTheme="minorEastAsia" w:hAnsiTheme="minorEastAsia" w:eastAsiaTheme="minorEastAsia" w:cstheme="minorEastAsia"/>
          <w:b/>
          <w:spacing w:val="0"/>
          <w:kern w:val="2"/>
          <w:sz w:val="24"/>
          <w:szCs w:val="24"/>
          <w:u w:val="none"/>
          <w:lang w:val="en-US" w:eastAsia="zh-CN" w:bidi="ar-SA"/>
        </w:rPr>
        <w:t>第12条  争议的解决</w:t>
      </w:r>
      <w:bookmarkEnd w:id="183"/>
      <w:bookmarkEnd w:id="184"/>
      <w:bookmarkEnd w:id="185"/>
      <w:bookmarkEnd w:id="186"/>
      <w:bookmarkEnd w:id="187"/>
    </w:p>
    <w:p w14:paraId="6A76CD11">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12.1在履行合同义务时出现任何争议，双方应协商解决。</w:t>
      </w:r>
    </w:p>
    <w:p w14:paraId="58FD6F83">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12.2若该协商在纠纷开始后15天内不能通过协商解决，任一方应通过甲方所在地人民法院诉讼解决。以上所产生的费用，由败诉方承担。</w:t>
      </w:r>
    </w:p>
    <w:p w14:paraId="1D82C7F8">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12.3除提交诉讼的部分外，双方应继续履行合同规定的其他义务。</w:t>
      </w:r>
    </w:p>
    <w:p w14:paraId="08C25BF8">
      <w:pPr>
        <w:pStyle w:val="2"/>
        <w:keepLines w:val="0"/>
        <w:pageBreakBefore w:val="0"/>
        <w:widowControl w:val="0"/>
        <w:kinsoku/>
        <w:wordWrap/>
        <w:overflowPunct/>
        <w:topLinePunct w:val="0"/>
        <w:bidi w:val="0"/>
        <w:spacing w:line="360" w:lineRule="auto"/>
        <w:ind w:left="0" w:leftChars="0" w:right="0" w:firstLine="482" w:firstLineChars="200"/>
        <w:jc w:val="left"/>
        <w:textAlignment w:val="auto"/>
        <w:rPr>
          <w:rFonts w:hint="eastAsia" w:asciiTheme="minorEastAsia" w:hAnsiTheme="minorEastAsia" w:eastAsiaTheme="minorEastAsia" w:cstheme="minorEastAsia"/>
          <w:b/>
          <w:spacing w:val="0"/>
          <w:kern w:val="2"/>
          <w:sz w:val="24"/>
          <w:szCs w:val="24"/>
          <w:u w:val="none"/>
          <w:lang w:val="en-US" w:eastAsia="zh-CN" w:bidi="ar-SA"/>
        </w:rPr>
      </w:pPr>
      <w:bookmarkStart w:id="188" w:name="_Toc262637542"/>
      <w:bookmarkStart w:id="189" w:name="_Toc255310783"/>
      <w:bookmarkStart w:id="190" w:name="_Toc3333"/>
      <w:bookmarkStart w:id="191" w:name="_Toc28338"/>
      <w:bookmarkStart w:id="192" w:name="_Toc2911"/>
      <w:r>
        <w:rPr>
          <w:rFonts w:hint="eastAsia" w:asciiTheme="minorEastAsia" w:hAnsiTheme="minorEastAsia" w:eastAsiaTheme="minorEastAsia" w:cstheme="minorEastAsia"/>
          <w:b/>
          <w:spacing w:val="0"/>
          <w:kern w:val="2"/>
          <w:sz w:val="24"/>
          <w:szCs w:val="24"/>
          <w:u w:val="none"/>
          <w:lang w:val="en-US" w:eastAsia="zh-CN" w:bidi="ar-SA"/>
        </w:rPr>
        <w:t>第13条  合同生效</w:t>
      </w:r>
      <w:bookmarkEnd w:id="188"/>
      <w:bookmarkEnd w:id="189"/>
      <w:r>
        <w:rPr>
          <w:rFonts w:hint="eastAsia" w:asciiTheme="minorEastAsia" w:hAnsiTheme="minorEastAsia" w:eastAsiaTheme="minorEastAsia" w:cstheme="minorEastAsia"/>
          <w:b/>
          <w:spacing w:val="0"/>
          <w:kern w:val="2"/>
          <w:sz w:val="24"/>
          <w:szCs w:val="24"/>
          <w:u w:val="none"/>
          <w:lang w:val="en-US" w:eastAsia="zh-CN" w:bidi="ar-SA"/>
        </w:rPr>
        <w:t>及其他</w:t>
      </w:r>
      <w:bookmarkEnd w:id="190"/>
      <w:bookmarkEnd w:id="191"/>
      <w:bookmarkEnd w:id="192"/>
    </w:p>
    <w:p w14:paraId="7CCFB02B">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13.1合同在甲乙双方法定代表人或委托代理人签字（或盖章）并加盖公章（或合同专用章）之日起生效。合同生效日期以较晚签字一方的签字日期为准。</w:t>
      </w:r>
    </w:p>
    <w:p w14:paraId="18142569">
      <w:pPr>
        <w:keepLines w:val="0"/>
        <w:pageBreakBefore w:val="0"/>
        <w:widowControl w:val="0"/>
        <w:kinsoku/>
        <w:wordWrap/>
        <w:overflowPunct/>
        <w:topLinePunct w:val="0"/>
        <w:bidi w:val="0"/>
        <w:adjustRightInd w:val="0"/>
        <w:snapToGrid w:val="0"/>
        <w:spacing w:line="360" w:lineRule="auto"/>
        <w:ind w:left="0" w:leftChars="0" w:right="0"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13.2本合同正本2份，副本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份。双方各执正本1份、副本</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份，正本与副本具有同等法律效力。</w:t>
      </w:r>
    </w:p>
    <w:p w14:paraId="264482F5">
      <w:pPr>
        <w:keepLines w:val="0"/>
        <w:pageBreakBefore w:val="0"/>
        <w:widowControl w:val="0"/>
        <w:kinsoku/>
        <w:wordWrap/>
        <w:overflowPunct/>
        <w:topLinePunct w:val="0"/>
        <w:bidi w:val="0"/>
        <w:adjustRightInd w:val="0"/>
        <w:snapToGrid w:val="0"/>
        <w:spacing w:line="360" w:lineRule="auto"/>
        <w:ind w:left="0" w:leftChars="0" w:right="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（以下无正文）</w:t>
      </w:r>
    </w:p>
    <w:p w14:paraId="0581D343">
      <w:pPr>
        <w:pStyle w:val="23"/>
        <w:keepLines w:val="0"/>
        <w:pageBreakBefore w:val="0"/>
        <w:widowControl w:val="0"/>
        <w:kinsoku/>
        <w:wordWrap/>
        <w:overflowPunct/>
        <w:topLinePunct w:val="0"/>
        <w:bidi w:val="0"/>
        <w:spacing w:after="0" w:afterLines="0" w:line="360" w:lineRule="auto"/>
        <w:ind w:left="0" w:leftChars="0" w:right="0" w:firstLine="480" w:firstLineChars="200"/>
        <w:jc w:val="left"/>
        <w:textAlignment w:val="auto"/>
        <w:rPr>
          <w:rFonts w:hint="eastAsia" w:asciiTheme="minorEastAsia" w:hAnsiTheme="minorEastAsia" w:eastAsiaTheme="minorEastAsia" w:cstheme="minorEastAsia"/>
          <w:sz w:val="24"/>
          <w:szCs w:val="24"/>
          <w:u w:val="single"/>
        </w:rPr>
      </w:pPr>
    </w:p>
    <w:p w14:paraId="2524700F">
      <w:pPr>
        <w:kinsoku/>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lang w:val="en-US" w:eastAsia="zh-CN"/>
        </w:rPr>
        <w:t>委托方</w:t>
      </w:r>
      <w:r>
        <w:rPr>
          <w:rFonts w:hint="eastAsia" w:ascii="宋体" w:hAnsi="宋体"/>
          <w:color w:val="auto"/>
          <w:sz w:val="24"/>
          <w:u w:val="none"/>
        </w:rPr>
        <w:t xml:space="preserve">：   （盖章）                </w:t>
      </w:r>
      <w:r>
        <w:rPr>
          <w:rFonts w:hint="eastAsia" w:ascii="宋体" w:hAnsi="宋体"/>
          <w:color w:val="auto"/>
          <w:sz w:val="24"/>
          <w:u w:val="none"/>
          <w:lang w:val="en-US" w:eastAsia="zh-CN"/>
        </w:rPr>
        <w:t>受托方</w:t>
      </w:r>
      <w:r>
        <w:rPr>
          <w:rFonts w:hint="eastAsia" w:ascii="宋体" w:hAnsi="宋体"/>
          <w:color w:val="auto"/>
          <w:sz w:val="24"/>
          <w:u w:val="none"/>
        </w:rPr>
        <w:t xml:space="preserve">：   （盖章）    </w:t>
      </w:r>
    </w:p>
    <w:p w14:paraId="4FAB4852">
      <w:pPr>
        <w:kinsoku/>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地址：                             地址：                       </w:t>
      </w:r>
    </w:p>
    <w:p w14:paraId="1AD87249">
      <w:pPr>
        <w:kinsoku/>
        <w:overflowPunct/>
        <w:topLinePunct w:val="0"/>
        <w:bidi w:val="0"/>
        <w:adjustRightInd w:val="0"/>
        <w:snapToGrid w:val="0"/>
        <w:spacing w:line="360" w:lineRule="auto"/>
        <w:ind w:left="0" w:leftChars="0" w:right="0" w:firstLine="480" w:firstLineChars="200"/>
        <w:rPr>
          <w:rFonts w:hint="eastAsia" w:ascii="宋体" w:hAnsi="宋体" w:eastAsia="宋体"/>
          <w:color w:val="auto"/>
          <w:sz w:val="24"/>
          <w:u w:val="none"/>
          <w:lang w:val="en-US" w:eastAsia="zh-CN"/>
        </w:rPr>
      </w:pPr>
      <w:r>
        <w:rPr>
          <w:rFonts w:hint="eastAsia" w:ascii="宋体" w:hAnsi="宋体"/>
          <w:color w:val="auto"/>
          <w:sz w:val="24"/>
          <w:u w:val="none"/>
        </w:rPr>
        <w:t xml:space="preserve">邮政编码：                         邮政编码：            </w:t>
      </w:r>
      <w:r>
        <w:rPr>
          <w:rFonts w:hint="eastAsia" w:ascii="宋体" w:hAnsi="宋体"/>
          <w:color w:val="auto"/>
          <w:sz w:val="24"/>
          <w:u w:val="none"/>
          <w:lang w:val="en-US" w:eastAsia="zh-CN"/>
        </w:rPr>
        <w:t xml:space="preserve"> </w:t>
      </w:r>
    </w:p>
    <w:p w14:paraId="1904FE85">
      <w:pPr>
        <w:kinsoku/>
        <w:overflowPunct/>
        <w:topLinePunct w:val="0"/>
        <w:bidi w:val="0"/>
        <w:adjustRightInd w:val="0"/>
        <w:snapToGrid w:val="0"/>
        <w:spacing w:line="360" w:lineRule="auto"/>
        <w:ind w:left="0" w:leftChars="0" w:right="0" w:firstLine="480" w:firstLineChars="200"/>
        <w:rPr>
          <w:rFonts w:hint="eastAsia" w:ascii="宋体" w:hAnsi="宋体"/>
          <w:color w:val="auto"/>
          <w:sz w:val="24"/>
          <w:u w:val="none"/>
        </w:rPr>
      </w:pPr>
      <w:r>
        <w:rPr>
          <w:rFonts w:hint="eastAsia" w:ascii="宋体" w:hAnsi="宋体"/>
          <w:color w:val="auto"/>
          <w:sz w:val="24"/>
          <w:u w:val="none"/>
        </w:rPr>
        <w:t>法定代表人或其授权                 法定代表人或其授权</w:t>
      </w:r>
    </w:p>
    <w:p w14:paraId="548F3A6F">
      <w:pPr>
        <w:kinsoku/>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的代理人：（签字）      </w:t>
      </w:r>
      <w:r>
        <w:rPr>
          <w:rFonts w:hint="eastAsia" w:ascii="宋体" w:hAnsi="宋体"/>
          <w:color w:val="auto"/>
          <w:sz w:val="24"/>
          <w:u w:val="none"/>
          <w:lang w:val="en-US" w:eastAsia="zh-CN"/>
        </w:rPr>
        <w:t xml:space="preserve">   </w:t>
      </w:r>
      <w:r>
        <w:rPr>
          <w:rFonts w:hint="eastAsia" w:ascii="宋体" w:hAnsi="宋体"/>
          <w:color w:val="auto"/>
          <w:sz w:val="24"/>
          <w:u w:val="none"/>
        </w:rPr>
        <w:t xml:space="preserve">        的代理人：（签字）</w:t>
      </w:r>
      <w:r>
        <w:rPr>
          <w:rFonts w:hint="eastAsia" w:ascii="宋体" w:hAnsi="宋体"/>
          <w:color w:val="auto"/>
          <w:sz w:val="24"/>
          <w:u w:val="none"/>
          <w:lang w:val="en-US" w:eastAsia="zh-CN"/>
        </w:rPr>
        <w:t xml:space="preserve">          </w:t>
      </w:r>
      <w:r>
        <w:rPr>
          <w:rFonts w:hint="eastAsia" w:ascii="宋体" w:hAnsi="宋体"/>
          <w:color w:val="auto"/>
          <w:sz w:val="24"/>
          <w:u w:val="none"/>
        </w:rPr>
        <w:t xml:space="preserve">          </w:t>
      </w:r>
    </w:p>
    <w:p w14:paraId="25412FB2">
      <w:pPr>
        <w:kinsoku/>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开户银行：                         开户银行：                  </w:t>
      </w:r>
    </w:p>
    <w:p w14:paraId="7A42C0EB">
      <w:pPr>
        <w:kinsoku/>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账号：                             账号：                       </w:t>
      </w:r>
    </w:p>
    <w:p w14:paraId="7B711E67">
      <w:pPr>
        <w:kinsoku/>
        <w:overflowPunct/>
        <w:topLinePunct w:val="0"/>
        <w:bidi w:val="0"/>
        <w:adjustRightInd w:val="0"/>
        <w:snapToGrid w:val="0"/>
        <w:spacing w:line="360" w:lineRule="auto"/>
        <w:ind w:left="0" w:leftChars="0" w:right="0" w:firstLine="475" w:firstLineChars="198"/>
        <w:rPr>
          <w:rFonts w:hint="eastAsia" w:ascii="宋体" w:hAnsi="宋体"/>
          <w:color w:val="auto"/>
          <w:sz w:val="24"/>
          <w:u w:val="none"/>
        </w:rPr>
      </w:pPr>
      <w:r>
        <w:rPr>
          <w:rFonts w:hint="eastAsia" w:ascii="宋体" w:hAnsi="宋体"/>
          <w:color w:val="auto"/>
          <w:sz w:val="24"/>
          <w:u w:val="none"/>
        </w:rPr>
        <w:t xml:space="preserve">电话：                             电话：                       </w:t>
      </w:r>
    </w:p>
    <w:p w14:paraId="4EA3E75A">
      <w:pPr>
        <w:shd w:val="clear" w:color="auto" w:fill="auto"/>
        <w:kinsoku/>
        <w:overflowPunct/>
        <w:topLinePunct w:val="0"/>
        <w:autoSpaceDE w:val="0"/>
        <w:autoSpaceDN w:val="0"/>
        <w:bidi w:val="0"/>
        <w:adjustRightInd w:val="0"/>
        <w:spacing w:line="360" w:lineRule="auto"/>
        <w:ind w:left="0" w:leftChars="0" w:right="0" w:firstLine="480" w:firstLineChars="200"/>
        <w:jc w:val="both"/>
        <w:outlineLvl w:val="0"/>
        <w:rPr>
          <w:rFonts w:hint="eastAsia" w:ascii="宋体" w:hAnsi="宋体" w:eastAsia="宋体" w:cs="宋体"/>
          <w:b/>
          <w:color w:val="auto"/>
          <w:sz w:val="24"/>
          <w:szCs w:val="24"/>
          <w:highlight w:val="none"/>
          <w:u w:val="none"/>
        </w:rPr>
      </w:pPr>
      <w:bookmarkStart w:id="193" w:name="_Toc5401"/>
      <w:bookmarkStart w:id="194" w:name="_Toc25532"/>
      <w:bookmarkStart w:id="195" w:name="_Toc5567"/>
      <w:r>
        <w:rPr>
          <w:rFonts w:hint="eastAsia" w:ascii="宋体" w:hAnsi="宋体"/>
          <w:color w:val="auto"/>
          <w:sz w:val="24"/>
          <w:u w:val="none"/>
        </w:rPr>
        <w:t>电子邮箱：                         电子邮箱：</w:t>
      </w:r>
      <w:bookmarkEnd w:id="193"/>
      <w:bookmarkEnd w:id="194"/>
      <w:bookmarkEnd w:id="195"/>
      <w:r>
        <w:rPr>
          <w:rFonts w:hint="eastAsia" w:ascii="宋体" w:hAnsi="宋体"/>
          <w:color w:val="auto"/>
          <w:sz w:val="24"/>
          <w:u w:val="none"/>
        </w:rPr>
        <w:t xml:space="preserve">                </w:t>
      </w:r>
      <w:r>
        <w:rPr>
          <w:rFonts w:hint="eastAsia" w:ascii="宋体" w:hAnsi="宋体"/>
          <w:color w:val="auto"/>
          <w:sz w:val="24"/>
          <w:u w:val="none"/>
          <w:lang w:val="en-US" w:eastAsia="zh-CN"/>
        </w:rPr>
        <w:t xml:space="preserve">   </w:t>
      </w:r>
      <w:r>
        <w:rPr>
          <w:rFonts w:hint="eastAsia" w:ascii="宋体" w:hAnsi="宋体" w:cs="楷体"/>
          <w:sz w:val="24"/>
          <w:szCs w:val="24"/>
          <w:u w:val="none"/>
        </w:rPr>
        <w:t xml:space="preserve"> </w:t>
      </w:r>
    </w:p>
    <w:p w14:paraId="46C2B1AA">
      <w:pPr>
        <w:kinsoku/>
        <w:overflowPunct/>
        <w:topLinePunct w:val="0"/>
        <w:bidi w:val="0"/>
        <w:spacing w:line="360" w:lineRule="auto"/>
        <w:ind w:left="0" w:leftChars="0" w:right="0"/>
        <w:rPr>
          <w:rFonts w:hint="eastAsia" w:ascii="宋体" w:eastAsia="宋体" w:cs="宋体"/>
          <w:bCs/>
          <w:sz w:val="36"/>
          <w:szCs w:val="36"/>
          <w:highlight w:val="none"/>
        </w:rPr>
      </w:pPr>
      <w:r>
        <w:rPr>
          <w:rFonts w:hint="eastAsia" w:ascii="宋体" w:eastAsia="宋体" w:cs="宋体"/>
          <w:bCs/>
          <w:sz w:val="36"/>
          <w:szCs w:val="36"/>
          <w:highlight w:val="none"/>
        </w:rPr>
        <w:br w:type="page"/>
      </w:r>
    </w:p>
    <w:p w14:paraId="2B8EFEC7">
      <w:pPr>
        <w:pStyle w:val="2"/>
        <w:kinsoku/>
        <w:overflowPunct/>
        <w:topLinePunct w:val="0"/>
        <w:bidi w:val="0"/>
        <w:spacing w:line="360" w:lineRule="auto"/>
        <w:ind w:left="0" w:leftChars="0" w:right="0"/>
        <w:jc w:val="center"/>
        <w:rPr>
          <w:rFonts w:ascii="宋体" w:eastAsia="宋体" w:cs="宋体"/>
          <w:bCs/>
          <w:sz w:val="36"/>
          <w:szCs w:val="36"/>
          <w:highlight w:val="none"/>
        </w:rPr>
      </w:pPr>
      <w:bookmarkStart w:id="196" w:name="_Toc17242"/>
      <w:r>
        <w:rPr>
          <w:rFonts w:hint="eastAsia" w:ascii="宋体" w:eastAsia="宋体" w:cs="宋体"/>
          <w:bCs/>
          <w:sz w:val="36"/>
          <w:szCs w:val="36"/>
          <w:highlight w:val="none"/>
        </w:rPr>
        <w:t xml:space="preserve">第五章 </w:t>
      </w:r>
      <w:bookmarkEnd w:id="103"/>
      <w:bookmarkEnd w:id="104"/>
      <w:bookmarkEnd w:id="105"/>
      <w:bookmarkEnd w:id="106"/>
      <w:bookmarkEnd w:id="107"/>
      <w:bookmarkEnd w:id="108"/>
      <w:bookmarkEnd w:id="109"/>
      <w:bookmarkEnd w:id="110"/>
      <w:bookmarkEnd w:id="111"/>
      <w:r>
        <w:rPr>
          <w:rFonts w:hint="eastAsia" w:ascii="宋体" w:eastAsia="宋体" w:cs="宋体"/>
          <w:bCs/>
          <w:sz w:val="36"/>
          <w:szCs w:val="36"/>
          <w:highlight w:val="none"/>
        </w:rPr>
        <w:t xml:space="preserve"> 磋商内容及技术要求</w:t>
      </w:r>
      <w:bookmarkEnd w:id="117"/>
      <w:bookmarkEnd w:id="118"/>
      <w:bookmarkEnd w:id="196"/>
    </w:p>
    <w:bookmarkEnd w:id="68"/>
    <w:p w14:paraId="15F0AF1D">
      <w:pPr>
        <w:tabs>
          <w:tab w:val="left" w:pos="480"/>
        </w:tabs>
        <w:kinsoku/>
        <w:overflowPunct/>
        <w:topLinePunct w:val="0"/>
        <w:bidi w:val="0"/>
        <w:spacing w:line="360" w:lineRule="auto"/>
        <w:ind w:left="0" w:leftChars="0" w:right="0"/>
        <w:outlineLvl w:val="1"/>
        <w:rPr>
          <w:rFonts w:hint="default" w:hAnsi="宋体" w:cs="宋体"/>
          <w:b/>
          <w:szCs w:val="21"/>
          <w:highlight w:val="none"/>
          <w:lang w:val="en-US" w:eastAsia="zh-CN"/>
        </w:rPr>
      </w:pPr>
      <w:bookmarkStart w:id="197" w:name="_Toc7032"/>
      <w:bookmarkStart w:id="198" w:name="_Toc5084"/>
      <w:bookmarkStart w:id="199" w:name="_Toc6373"/>
      <w:bookmarkStart w:id="200" w:name="_Toc403077646"/>
      <w:bookmarkStart w:id="201" w:name="_Toc423973079"/>
      <w:bookmarkStart w:id="202" w:name="_Toc363474025"/>
      <w:r>
        <w:rPr>
          <w:rFonts w:hint="default" w:hAnsi="宋体" w:cs="宋体"/>
          <w:b/>
          <w:szCs w:val="21"/>
          <w:highlight w:val="none"/>
          <w:lang w:val="en-US" w:eastAsia="zh-CN"/>
        </w:rPr>
        <w:t>一、项目概况</w:t>
      </w:r>
      <w:bookmarkEnd w:id="197"/>
    </w:p>
    <w:p w14:paraId="68D97A45">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default" w:ascii="Times New Roman" w:hAnsi="Times New Roman" w:eastAsia="方正仿宋_GBK" w:cs="Times New Roman"/>
          <w:sz w:val="32"/>
          <w:szCs w:val="32"/>
          <w:lang w:val="en-US" w:eastAsia="zh-CN"/>
        </w:rPr>
      </w:pPr>
      <w:r>
        <w:rPr>
          <w:rFonts w:hint="eastAsia" w:ascii="宋体" w:hAnsi="宋体" w:eastAsia="宋体" w:cs="宋体"/>
          <w:sz w:val="24"/>
          <w:szCs w:val="24"/>
          <w:lang w:val="en-US" w:eastAsia="zh-CN"/>
        </w:rPr>
        <w:t>本项目为陕西省应急管理厅立法采购项目，委托第三方机构开展地方性法规立法工作。起草《陕西省实施〈中华人民共和国突发事件应对法〉办法》（修订）送审稿，按期提交草案文本，并需与有关地方性法规、规章协调，符合实际，具有可操作性。参与立法项目的意见征集、调研、论证、审查、审议、协助汇报立法项目起草情况。协助立法审查单位修改完善送审稿以及议案稿的内容。</w:t>
      </w:r>
    </w:p>
    <w:p w14:paraId="5EEE9D80">
      <w:pPr>
        <w:tabs>
          <w:tab w:val="left" w:pos="480"/>
        </w:tabs>
        <w:kinsoku/>
        <w:overflowPunct/>
        <w:topLinePunct w:val="0"/>
        <w:bidi w:val="0"/>
        <w:spacing w:line="360" w:lineRule="auto"/>
        <w:ind w:left="0" w:leftChars="0" w:right="0"/>
        <w:outlineLvl w:val="1"/>
        <w:rPr>
          <w:rFonts w:hint="default" w:hAnsi="宋体" w:cs="宋体"/>
          <w:b/>
          <w:szCs w:val="21"/>
          <w:highlight w:val="none"/>
          <w:lang w:val="en-US" w:eastAsia="zh-CN"/>
        </w:rPr>
      </w:pPr>
      <w:bookmarkStart w:id="203" w:name="_Toc23275"/>
      <w:r>
        <w:rPr>
          <w:rFonts w:hint="default" w:hAnsi="宋体" w:cs="宋体"/>
          <w:b/>
          <w:szCs w:val="21"/>
          <w:highlight w:val="none"/>
          <w:lang w:val="en-US" w:eastAsia="zh-CN"/>
        </w:rPr>
        <w:t>二、采购内容及要求</w:t>
      </w:r>
      <w:bookmarkEnd w:id="203"/>
    </w:p>
    <w:p w14:paraId="7B735BEC">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采购内容</w:t>
      </w:r>
    </w:p>
    <w:p w14:paraId="504DD383">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起草《陕西省实施〈中华人民共和国突发事件应对法〉办法》（修订草案建议稿）；协助参与地方性法规制定程序；通过后，协助《陕西省实施〈中华人民共和国突发事件应对法〉办法》宣贯。</w:t>
      </w:r>
    </w:p>
    <w:p w14:paraId="0A1DA3CA">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服务标准</w:t>
      </w:r>
    </w:p>
    <w:p w14:paraId="005076AE">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《陕西省实施〈中华人民共和国突发事件应对法〉办法》实施情况调研报告：资料详实、依据充分，论点明确，有针对性，报告字数 10000 字以上；《陕西省实施〈中华人民共和国突发事件应对法〉办法》（修订草案建议稿）：建议稿符合立法技术要求，通过国内知名专家论证，达到修订送审要求，并附法条新旧对照表、起草说明、参阅文件资料等。</w:t>
      </w:r>
    </w:p>
    <w:p w14:paraId="6F5D16E2">
      <w:pPr>
        <w:tabs>
          <w:tab w:val="left" w:pos="480"/>
        </w:tabs>
        <w:kinsoku/>
        <w:overflowPunct/>
        <w:topLinePunct w:val="0"/>
        <w:bidi w:val="0"/>
        <w:spacing w:line="360" w:lineRule="auto"/>
        <w:ind w:left="0" w:leftChars="0" w:right="0"/>
        <w:outlineLvl w:val="1"/>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三、其他要求</w:t>
      </w:r>
    </w:p>
    <w:p w14:paraId="3F2C8C2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整体方案：针对本项目详细列出整体方案，方案内容包含：①总体编制方案②国内外相关法律法规的解读③专题调研方案④组织开展专题活动方案⑤征集意见建议的活动方案。</w:t>
      </w:r>
    </w:p>
    <w:p w14:paraId="79A4844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专项问题解决方案：针对本项目提出专项问题解决方案，方案内容包含：①实施办法修订工作内容的认知与理解②实施办法修订工作流程方案（包含前中后）③实施办法修订工作过程中存在的重点、难点及建议。</w:t>
      </w:r>
    </w:p>
    <w:p w14:paraId="54AF092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项目进度及组织协调方案：针对本项目提出项目进度及组织协调方案，方案内容包含：①项目进度安排②组织协调措施。</w:t>
      </w:r>
    </w:p>
    <w:p w14:paraId="10ADEC1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保密方案：针对本项目制定保密方案，方案内容包含：①保密管理制度②特殊人员的保密措施。</w:t>
      </w:r>
    </w:p>
    <w:p w14:paraId="77A69DCC">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机构建设方案：根据本项目特点提供机构建设方案，方案内容包含：①组织机构运行配备方案②专业服务团队人员的职能分工方案。</w:t>
      </w:r>
    </w:p>
    <w:p w14:paraId="7546B8B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理制度：供应商针对本项目具有良好的管理制度，方案内容包含：①岗位职责：具有岗位工作标准、服务质量标准②内控制度：问责机制、监督机制、自查制度③人员管理制度：具有员工日常管理办法、请销假制度、奖惩措施、激励机制。</w:t>
      </w:r>
    </w:p>
    <w:p w14:paraId="4E990DB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档案管理方案：针对本项目各岗位职责范围内产生的资料制定档案管理方案，方案内容包含：①分类和规划措施②保管和移交措施。</w:t>
      </w:r>
    </w:p>
    <w:p w14:paraId="6CAF7245">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服务承诺：</w:t>
      </w:r>
    </w:p>
    <w:p w14:paraId="32CBB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①接受采购人对服务的考核、监督及管理，定期调研采购人对服务质量的满意度并加以改进，确保服务工作的优质高效。</w:t>
      </w:r>
    </w:p>
    <w:p w14:paraId="5877DF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②上岗人员固定，不随意更换，若出现服务人员因事、病等不能工作的，能及时调整其他服务人员补充，可保障临时性工作需要及突发事件处置，确保服务工作的正常进行。</w:t>
      </w:r>
    </w:p>
    <w:p w14:paraId="3B249F91">
      <w:pPr>
        <w:tabs>
          <w:tab w:val="left" w:pos="480"/>
        </w:tabs>
        <w:kinsoku/>
        <w:overflowPunct/>
        <w:topLinePunct w:val="0"/>
        <w:bidi w:val="0"/>
        <w:spacing w:line="360" w:lineRule="auto"/>
        <w:ind w:left="0" w:leftChars="0" w:right="0"/>
        <w:outlineLvl w:val="1"/>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四、商务要求</w:t>
      </w:r>
    </w:p>
    <w:p w14:paraId="703A57B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1.供应商须承诺：拟任项目负责人不得同时兼任其他项目的管理岗位，且不得随意更换，如需更换则需经过采购人同意。（格式自拟）</w:t>
      </w:r>
    </w:p>
    <w:p w14:paraId="4FC04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highlight w:val="green"/>
          <w:lang w:val="en-US" w:eastAsia="zh-CN"/>
        </w:rPr>
      </w:pPr>
    </w:p>
    <w:p w14:paraId="5C84E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green"/>
          <w:lang w:val="en-US" w:eastAsia="zh-CN"/>
        </w:rPr>
      </w:pPr>
      <w:bookmarkStart w:id="285" w:name="_GoBack"/>
      <w:bookmarkEnd w:id="285"/>
    </w:p>
    <w:p w14:paraId="5AEAE3F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723" w:firstLineChars="200"/>
        <w:jc w:val="both"/>
        <w:textAlignment w:val="auto"/>
        <w:outlineLvl w:val="9"/>
        <w:rPr>
          <w:rStyle w:val="34"/>
          <w:rFonts w:hint="eastAsia" w:ascii="宋体" w:eastAsia="宋体" w:cs="宋体"/>
          <w:b/>
          <w:sz w:val="36"/>
          <w:szCs w:val="21"/>
          <w:highlight w:val="none"/>
        </w:rPr>
      </w:pPr>
      <w:r>
        <w:rPr>
          <w:rStyle w:val="34"/>
          <w:rFonts w:hint="eastAsia" w:ascii="宋体" w:eastAsia="宋体" w:cs="宋体"/>
          <w:b/>
          <w:sz w:val="36"/>
          <w:szCs w:val="21"/>
          <w:highlight w:val="none"/>
        </w:rPr>
        <w:br w:type="page"/>
      </w:r>
    </w:p>
    <w:p w14:paraId="443D8BCA">
      <w:pPr>
        <w:pStyle w:val="2"/>
        <w:jc w:val="center"/>
        <w:rPr>
          <w:rFonts w:ascii="宋体" w:eastAsia="宋体" w:cs="宋体"/>
          <w:b w:val="0"/>
          <w:bCs/>
          <w:sz w:val="36"/>
          <w:szCs w:val="36"/>
          <w:highlight w:val="none"/>
        </w:rPr>
      </w:pPr>
      <w:bookmarkStart w:id="204" w:name="_Toc13279"/>
      <w:r>
        <w:rPr>
          <w:rStyle w:val="34"/>
          <w:rFonts w:hint="eastAsia" w:ascii="宋体" w:eastAsia="宋体" w:cs="宋体"/>
          <w:b/>
          <w:sz w:val="36"/>
          <w:szCs w:val="21"/>
          <w:highlight w:val="none"/>
        </w:rPr>
        <w:t>第六章  竞争性磋商响应文件格式</w:t>
      </w:r>
      <w:bookmarkEnd w:id="198"/>
      <w:bookmarkEnd w:id="199"/>
      <w:bookmarkEnd w:id="200"/>
      <w:bookmarkEnd w:id="201"/>
      <w:bookmarkEnd w:id="202"/>
      <w:bookmarkEnd w:id="204"/>
    </w:p>
    <w:p w14:paraId="1859903B">
      <w:pPr>
        <w:rPr>
          <w:rFonts w:hAnsi="宋体" w:cs="宋体"/>
          <w:highlight w:val="none"/>
        </w:rPr>
      </w:pPr>
    </w:p>
    <w:p w14:paraId="697CC6C9">
      <w:pPr>
        <w:rPr>
          <w:rFonts w:hAnsi="宋体" w:cs="宋体"/>
          <w:highlight w:val="none"/>
        </w:rPr>
      </w:pPr>
    </w:p>
    <w:p w14:paraId="5B00610B">
      <w:pPr>
        <w:framePr w:hSpace="180" w:wrap="around" w:vAnchor="text" w:hAnchor="page" w:x="1472" w:y="18"/>
        <w:rPr>
          <w:rFonts w:hAnsi="宋体" w:cs="宋体"/>
          <w:b/>
          <w:bCs/>
          <w:sz w:val="32"/>
          <w:szCs w:val="32"/>
          <w:highlight w:val="none"/>
        </w:rPr>
      </w:pPr>
      <w:r>
        <w:rPr>
          <w:rFonts w:hint="eastAsia" w:hAnsi="宋体" w:cs="宋体"/>
          <w:b/>
          <w:bCs/>
          <w:sz w:val="32"/>
          <w:szCs w:val="32"/>
          <w:highlight w:val="none"/>
        </w:rPr>
        <w:t>项目编号：</w:t>
      </w:r>
    </w:p>
    <w:p w14:paraId="66D0493B">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14:paraId="76B63AA1">
      <w:pPr>
        <w:jc w:val="right"/>
        <w:rPr>
          <w:rFonts w:hAnsi="宋体" w:cs="宋体"/>
          <w:b/>
          <w:sz w:val="32"/>
          <w:szCs w:val="32"/>
          <w:highlight w:val="none"/>
        </w:rPr>
      </w:pPr>
    </w:p>
    <w:p w14:paraId="29DD7A81">
      <w:pPr>
        <w:jc w:val="right"/>
        <w:rPr>
          <w:rFonts w:hAnsi="宋体" w:cs="宋体"/>
          <w:b/>
          <w:sz w:val="32"/>
          <w:szCs w:val="32"/>
          <w:highlight w:val="none"/>
        </w:rPr>
      </w:pPr>
    </w:p>
    <w:p w14:paraId="74133E7E">
      <w:pPr>
        <w:pStyle w:val="11"/>
        <w:rPr>
          <w:rFonts w:ascii="宋体" w:hAnsi="宋体" w:cs="宋体"/>
          <w:highlight w:val="none"/>
        </w:rPr>
      </w:pPr>
    </w:p>
    <w:p w14:paraId="191A238D">
      <w:pPr>
        <w:jc w:val="center"/>
        <w:rPr>
          <w:rFonts w:hint="eastAsia" w:hAnsi="宋体" w:cs="宋体"/>
          <w:b/>
          <w:sz w:val="52"/>
          <w:szCs w:val="52"/>
          <w:highlight w:val="none"/>
        </w:rPr>
      </w:pPr>
      <w:r>
        <w:rPr>
          <w:rFonts w:hint="eastAsia" w:hAnsi="宋体" w:cs="宋体"/>
          <w:b/>
          <w:sz w:val="40"/>
          <w:szCs w:val="44"/>
          <w:highlight w:val="none"/>
          <w:lang w:eastAsia="zh-CN"/>
        </w:rPr>
        <w:t xml:space="preserve">《陕西省实施〈中华人民共和国突发事件应对法〉办法》修订项目 </w:t>
      </w:r>
    </w:p>
    <w:p w14:paraId="63F6612E">
      <w:pPr>
        <w:jc w:val="center"/>
        <w:rPr>
          <w:rFonts w:hint="eastAsia" w:hAnsi="宋体" w:cs="宋体"/>
          <w:b/>
          <w:sz w:val="52"/>
          <w:szCs w:val="52"/>
          <w:highlight w:val="none"/>
        </w:rPr>
      </w:pPr>
    </w:p>
    <w:p w14:paraId="0261205F">
      <w:pPr>
        <w:jc w:val="center"/>
        <w:rPr>
          <w:rFonts w:hAnsi="宋体" w:cs="宋体"/>
          <w:b/>
          <w:sz w:val="56"/>
          <w:szCs w:val="56"/>
          <w:highlight w:val="none"/>
        </w:rPr>
      </w:pPr>
      <w:r>
        <w:rPr>
          <w:rFonts w:hint="eastAsia" w:hAnsi="宋体" w:cs="宋体"/>
          <w:b/>
          <w:sz w:val="52"/>
          <w:szCs w:val="52"/>
          <w:highlight w:val="none"/>
        </w:rPr>
        <w:t>竞争性磋商响应文件</w:t>
      </w:r>
    </w:p>
    <w:p w14:paraId="366ECBEE">
      <w:pPr>
        <w:rPr>
          <w:rFonts w:hAnsi="宋体" w:cs="宋体"/>
          <w:b/>
          <w:sz w:val="36"/>
          <w:szCs w:val="36"/>
          <w:highlight w:val="none"/>
        </w:rPr>
      </w:pPr>
    </w:p>
    <w:p w14:paraId="257A3FDF">
      <w:pPr>
        <w:pStyle w:val="3"/>
        <w:rPr>
          <w:highlight w:val="none"/>
        </w:rPr>
      </w:pPr>
    </w:p>
    <w:p w14:paraId="09752206">
      <w:pPr>
        <w:pStyle w:val="11"/>
        <w:rPr>
          <w:rFonts w:ascii="宋体" w:hAnsi="宋体" w:cs="宋体"/>
          <w:highlight w:val="none"/>
        </w:rPr>
      </w:pPr>
    </w:p>
    <w:p w14:paraId="1B1F7072">
      <w:pPr>
        <w:rPr>
          <w:rFonts w:hAnsi="宋体" w:cs="宋体"/>
          <w:b/>
          <w:sz w:val="36"/>
          <w:szCs w:val="36"/>
          <w:highlight w:val="none"/>
        </w:rPr>
      </w:pPr>
    </w:p>
    <w:p w14:paraId="758DA9E5">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14:paraId="09386017">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205" w:name="_Toc344572156"/>
    </w:p>
    <w:p w14:paraId="68CB3690">
      <w:pPr>
        <w:jc w:val="center"/>
        <w:rPr>
          <w:rFonts w:hAnsi="宋体" w:cs="宋体"/>
          <w:b/>
          <w:sz w:val="44"/>
          <w:highlight w:val="none"/>
        </w:rPr>
      </w:pPr>
      <w:r>
        <w:rPr>
          <w:rFonts w:hint="eastAsia" w:hAnsi="宋体" w:cs="宋体"/>
          <w:b/>
          <w:sz w:val="44"/>
          <w:highlight w:val="none"/>
        </w:rPr>
        <w:t>目  录</w:t>
      </w:r>
    </w:p>
    <w:p w14:paraId="7F997496">
      <w:pPr>
        <w:pStyle w:val="11"/>
        <w:rPr>
          <w:rFonts w:ascii="宋体" w:hAnsi="宋体" w:cs="宋体"/>
          <w:highlight w:val="none"/>
        </w:rPr>
      </w:pPr>
    </w:p>
    <w:p w14:paraId="73461DEF">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14:paraId="05E2696A">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14:paraId="54A95296">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14:paraId="2D53FD05">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14:paraId="0A35327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14:paraId="6FE0CE43">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14:paraId="3CA7D509">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14:paraId="7346A0A7">
      <w:pPr>
        <w:pStyle w:val="7"/>
        <w:spacing w:line="360" w:lineRule="auto"/>
        <w:rPr>
          <w:rFonts w:ascii="宋体" w:hAnsi="宋体" w:cs="宋体"/>
          <w:highlight w:val="none"/>
        </w:rPr>
      </w:pPr>
    </w:p>
    <w:p w14:paraId="02E921ED">
      <w:pPr>
        <w:pStyle w:val="7"/>
        <w:spacing w:line="360" w:lineRule="auto"/>
        <w:rPr>
          <w:rFonts w:ascii="宋体" w:hAnsi="宋体" w:cs="宋体"/>
          <w:highlight w:val="none"/>
        </w:rPr>
      </w:pPr>
    </w:p>
    <w:p w14:paraId="55EF0557">
      <w:pPr>
        <w:keepNext/>
        <w:keepLines/>
        <w:widowControl/>
        <w:tabs>
          <w:tab w:val="left" w:pos="3705"/>
        </w:tabs>
        <w:spacing w:line="360" w:lineRule="auto"/>
        <w:ind w:left="3708"/>
        <w:rPr>
          <w:rFonts w:hAnsi="宋体" w:cs="宋体"/>
          <w:bCs/>
          <w:sz w:val="44"/>
          <w:highlight w:val="none"/>
        </w:rPr>
      </w:pPr>
    </w:p>
    <w:p w14:paraId="45162284">
      <w:pPr>
        <w:pStyle w:val="7"/>
        <w:ind w:firstLine="880"/>
        <w:rPr>
          <w:rFonts w:ascii="宋体" w:hAnsi="宋体" w:cs="宋体"/>
          <w:bCs/>
          <w:sz w:val="44"/>
          <w:highlight w:val="none"/>
        </w:rPr>
      </w:pPr>
    </w:p>
    <w:p w14:paraId="27A34C79">
      <w:pPr>
        <w:pStyle w:val="7"/>
        <w:ind w:firstLine="880"/>
        <w:rPr>
          <w:rFonts w:ascii="宋体" w:hAnsi="宋体" w:cs="宋体"/>
          <w:bCs/>
          <w:sz w:val="44"/>
          <w:highlight w:val="none"/>
        </w:rPr>
      </w:pPr>
    </w:p>
    <w:bookmarkEnd w:id="205"/>
    <w:p w14:paraId="5A661241">
      <w:pPr>
        <w:pStyle w:val="11"/>
        <w:rPr>
          <w:rFonts w:ascii="宋体" w:hAnsi="宋体" w:cs="宋体"/>
          <w:b/>
          <w:sz w:val="32"/>
          <w:szCs w:val="32"/>
          <w:highlight w:val="none"/>
        </w:rPr>
      </w:pPr>
      <w:bookmarkStart w:id="206" w:name="_Toc363474027"/>
      <w:bookmarkStart w:id="207" w:name="_Toc403077648"/>
      <w:bookmarkStart w:id="208" w:name="_Toc204524343"/>
    </w:p>
    <w:p w14:paraId="6478AEA0">
      <w:pPr>
        <w:pStyle w:val="11"/>
        <w:rPr>
          <w:rFonts w:ascii="宋体" w:hAnsi="宋体" w:cs="宋体"/>
          <w:b/>
          <w:sz w:val="32"/>
          <w:szCs w:val="32"/>
          <w:highlight w:val="none"/>
        </w:rPr>
      </w:pPr>
    </w:p>
    <w:p w14:paraId="5E93C6FA">
      <w:pPr>
        <w:pStyle w:val="11"/>
        <w:rPr>
          <w:rFonts w:ascii="宋体" w:hAnsi="宋体" w:cs="宋体"/>
          <w:b/>
          <w:sz w:val="32"/>
          <w:szCs w:val="32"/>
          <w:highlight w:val="none"/>
        </w:rPr>
      </w:pPr>
    </w:p>
    <w:p w14:paraId="6B1B7268">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209" w:name="_Toc4367"/>
      <w:bookmarkStart w:id="210" w:name="_Toc22285"/>
      <w:bookmarkStart w:id="211" w:name="_Toc15762"/>
      <w:bookmarkStart w:id="212" w:name="_Toc16320"/>
      <w:bookmarkStart w:id="213" w:name="_Toc32002"/>
      <w:r>
        <w:rPr>
          <w:rFonts w:hint="eastAsia" w:hAnsi="宋体" w:cs="宋体"/>
          <w:b/>
          <w:sz w:val="32"/>
          <w:szCs w:val="32"/>
          <w:highlight w:val="none"/>
        </w:rPr>
        <w:t>一、磋商</w:t>
      </w:r>
      <w:bookmarkEnd w:id="206"/>
      <w:bookmarkEnd w:id="207"/>
      <w:r>
        <w:rPr>
          <w:rFonts w:hint="eastAsia" w:hAnsi="宋体" w:cs="宋体"/>
          <w:b/>
          <w:sz w:val="32"/>
          <w:szCs w:val="32"/>
          <w:highlight w:val="none"/>
        </w:rPr>
        <w:t>响应函</w:t>
      </w:r>
      <w:bookmarkEnd w:id="209"/>
      <w:bookmarkEnd w:id="210"/>
      <w:bookmarkEnd w:id="211"/>
      <w:bookmarkEnd w:id="212"/>
      <w:bookmarkEnd w:id="213"/>
    </w:p>
    <w:p w14:paraId="6611BFEE">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14:paraId="204CBF50">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w:t>
      </w:r>
      <w:r>
        <w:rPr>
          <w:rFonts w:hint="eastAsia" w:hAnsi="宋体" w:cs="宋体"/>
          <w:spacing w:val="4"/>
          <w:szCs w:val="24"/>
          <w:highlight w:val="none"/>
          <w:u w:val="single"/>
          <w:lang w:val="en-US" w:eastAsia="zh-CN"/>
        </w:rPr>
        <w:t xml:space="preserve">   </w:t>
      </w:r>
      <w:r>
        <w:rPr>
          <w:rFonts w:hint="eastAsia" w:hAnsi="宋体" w:cs="宋体"/>
          <w:spacing w:val="4"/>
          <w:szCs w:val="24"/>
          <w:highlight w:val="none"/>
        </w:rPr>
        <w:t>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14:paraId="3B0ADCC9">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14:paraId="758A1918">
      <w:pPr>
        <w:numPr>
          <w:ilvl w:val="0"/>
          <w:numId w:val="18"/>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38EB5F71">
      <w:pPr>
        <w:numPr>
          <w:ilvl w:val="0"/>
          <w:numId w:val="18"/>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14:paraId="516B345D">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14:paraId="119CC223">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14:paraId="218F7094">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14:paraId="20D3CEC1">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14:paraId="7F55296E">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14:paraId="7E439057">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14:paraId="480E665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14:paraId="37F088D0">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14:paraId="6D817E14">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14:paraId="60A759BB">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14:paraId="5D75233C">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14:paraId="2EB1CF41">
      <w:pPr>
        <w:spacing w:line="280" w:lineRule="exact"/>
        <w:ind w:right="617" w:rightChars="257" w:firstLine="1200" w:firstLineChars="500"/>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382D647">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14:paraId="74CA52C2">
      <w:pPr>
        <w:pStyle w:val="3"/>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214" w:name="_Toc403077651"/>
      <w:bookmarkStart w:id="215" w:name="_Toc28910"/>
      <w:bookmarkStart w:id="216" w:name="_Toc9730"/>
      <w:bookmarkStart w:id="217" w:name="_Toc17800"/>
      <w:bookmarkStart w:id="218" w:name="_Toc732"/>
      <w:bookmarkStart w:id="219" w:name="_Toc363474030"/>
      <w:bookmarkStart w:id="220" w:name="_Toc18322"/>
      <w:r>
        <w:rPr>
          <w:rFonts w:hint="eastAsia" w:ascii="宋体" w:hAnsi="宋体" w:cs="宋体"/>
          <w:bCs w:val="0"/>
          <w:sz w:val="32"/>
          <w:highlight w:val="none"/>
        </w:rPr>
        <w:t>二、磋商报价表</w:t>
      </w:r>
      <w:bookmarkEnd w:id="214"/>
      <w:bookmarkEnd w:id="215"/>
      <w:bookmarkEnd w:id="216"/>
      <w:bookmarkEnd w:id="217"/>
      <w:bookmarkEnd w:id="218"/>
      <w:bookmarkEnd w:id="219"/>
      <w:bookmarkEnd w:id="220"/>
    </w:p>
    <w:p w14:paraId="6922F0BC">
      <w:pPr>
        <w:spacing w:line="360" w:lineRule="auto"/>
        <w:jc w:val="center"/>
        <w:outlineLvl w:val="1"/>
        <w:rPr>
          <w:rFonts w:hAnsi="宋体" w:cs="宋体"/>
          <w:szCs w:val="24"/>
          <w:highlight w:val="none"/>
        </w:rPr>
      </w:pPr>
      <w:bookmarkStart w:id="221" w:name="_Toc12732"/>
      <w:bookmarkStart w:id="222" w:name="_Toc32277"/>
      <w:bookmarkStart w:id="223" w:name="_Toc29008"/>
      <w:bookmarkStart w:id="224" w:name="_Toc31560"/>
      <w:bookmarkStart w:id="225" w:name="_Toc7982"/>
      <w:r>
        <w:rPr>
          <w:rFonts w:hint="eastAsia" w:hAnsi="宋体" w:cs="宋体"/>
          <w:szCs w:val="24"/>
          <w:highlight w:val="none"/>
        </w:rPr>
        <w:t>2.1报价一览表</w:t>
      </w:r>
      <w:bookmarkEnd w:id="221"/>
      <w:bookmarkEnd w:id="222"/>
      <w:bookmarkEnd w:id="223"/>
      <w:bookmarkEnd w:id="224"/>
      <w:bookmarkEnd w:id="225"/>
    </w:p>
    <w:p w14:paraId="664837A2">
      <w:pPr>
        <w:spacing w:line="360" w:lineRule="auto"/>
        <w:jc w:val="center"/>
        <w:rPr>
          <w:rFonts w:hAnsi="宋体" w:cs="宋体"/>
          <w:szCs w:val="24"/>
          <w:highlight w:val="none"/>
        </w:rPr>
      </w:pPr>
    </w:p>
    <w:p w14:paraId="1601C8E8">
      <w:pPr>
        <w:spacing w:line="360" w:lineRule="auto"/>
        <w:jc w:val="left"/>
        <w:rPr>
          <w:rFonts w:hAnsi="宋体" w:cs="宋体"/>
          <w:highlight w:val="none"/>
        </w:rPr>
      </w:pPr>
      <w:r>
        <w:rPr>
          <w:rFonts w:hint="eastAsia" w:hAnsi="宋体" w:cs="宋体"/>
          <w:highlight w:val="none"/>
        </w:rPr>
        <w:t xml:space="preserve">项目名称：                                                 </w:t>
      </w:r>
    </w:p>
    <w:p w14:paraId="15A770D9">
      <w:pPr>
        <w:spacing w:line="360" w:lineRule="auto"/>
        <w:jc w:val="left"/>
        <w:rPr>
          <w:rFonts w:hAnsi="宋体" w:cs="宋体"/>
          <w:highlight w:val="none"/>
        </w:rPr>
      </w:pPr>
      <w:r>
        <w:rPr>
          <w:rFonts w:hint="eastAsia" w:hAnsi="宋体" w:cs="宋体"/>
          <w:highlight w:val="none"/>
        </w:rPr>
        <w:t xml:space="preserve">项目编号：                                               </w:t>
      </w:r>
    </w:p>
    <w:tbl>
      <w:tblPr>
        <w:tblStyle w:val="2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3514"/>
        <w:gridCol w:w="2693"/>
      </w:tblGrid>
      <w:tr w14:paraId="18B0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734" w:type="pct"/>
            <w:vAlign w:val="center"/>
          </w:tcPr>
          <w:p w14:paraId="1E5773AC">
            <w:pPr>
              <w:jc w:val="center"/>
              <w:rPr>
                <w:rFonts w:hAnsi="宋体" w:cs="宋体"/>
                <w:szCs w:val="24"/>
                <w:highlight w:val="none"/>
              </w:rPr>
            </w:pPr>
            <w:r>
              <w:rPr>
                <w:rFonts w:hint="eastAsia" w:hAnsi="宋体" w:cs="宋体"/>
                <w:szCs w:val="24"/>
                <w:highlight w:val="none"/>
              </w:rPr>
              <w:t>磋商总报价</w:t>
            </w:r>
          </w:p>
          <w:p w14:paraId="029D118C">
            <w:pPr>
              <w:jc w:val="center"/>
              <w:rPr>
                <w:rFonts w:hAnsi="宋体" w:cs="宋体"/>
                <w:szCs w:val="24"/>
                <w:highlight w:val="none"/>
              </w:rPr>
            </w:pPr>
            <w:r>
              <w:rPr>
                <w:rFonts w:hint="eastAsia" w:hAnsi="宋体" w:cs="宋体"/>
                <w:szCs w:val="24"/>
                <w:highlight w:val="none"/>
              </w:rPr>
              <w:t>（元）</w:t>
            </w:r>
          </w:p>
        </w:tc>
        <w:tc>
          <w:tcPr>
            <w:tcW w:w="1849" w:type="pct"/>
            <w:vAlign w:val="center"/>
          </w:tcPr>
          <w:p w14:paraId="65F7C50C">
            <w:pPr>
              <w:jc w:val="center"/>
              <w:rPr>
                <w:rFonts w:hint="eastAsia" w:ascii="宋体" w:hAnsi="宋体" w:eastAsia="宋体" w:cs="宋体"/>
                <w:highlight w:val="none"/>
                <w:lang w:eastAsia="zh-CN"/>
              </w:rPr>
            </w:pPr>
            <w:r>
              <w:rPr>
                <w:rFonts w:hint="eastAsia" w:hAnsi="宋体" w:cs="宋体"/>
                <w:szCs w:val="24"/>
                <w:highlight w:val="none"/>
                <w:lang w:val="en-US" w:eastAsia="zh-CN"/>
              </w:rPr>
              <w:t>服务期</w:t>
            </w:r>
          </w:p>
        </w:tc>
        <w:tc>
          <w:tcPr>
            <w:tcW w:w="1415" w:type="pct"/>
            <w:vAlign w:val="center"/>
          </w:tcPr>
          <w:p w14:paraId="0AAE4479">
            <w:pPr>
              <w:jc w:val="center"/>
              <w:rPr>
                <w:rFonts w:hAnsi="宋体" w:cs="宋体"/>
                <w:szCs w:val="24"/>
                <w:highlight w:val="none"/>
              </w:rPr>
            </w:pPr>
            <w:r>
              <w:rPr>
                <w:rFonts w:hint="eastAsia" w:hAnsi="宋体" w:cs="宋体"/>
                <w:szCs w:val="24"/>
                <w:highlight w:val="none"/>
              </w:rPr>
              <w:t>备注</w:t>
            </w:r>
          </w:p>
        </w:tc>
      </w:tr>
      <w:tr w14:paraId="7D9A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pct"/>
            <w:vAlign w:val="center"/>
          </w:tcPr>
          <w:p w14:paraId="33F35D7E">
            <w:pPr>
              <w:jc w:val="center"/>
              <w:rPr>
                <w:rFonts w:hAnsi="宋体" w:cs="宋体"/>
                <w:szCs w:val="24"/>
                <w:highlight w:val="none"/>
              </w:rPr>
            </w:pPr>
          </w:p>
        </w:tc>
        <w:tc>
          <w:tcPr>
            <w:tcW w:w="1849" w:type="pct"/>
            <w:vAlign w:val="center"/>
          </w:tcPr>
          <w:p w14:paraId="0225E112">
            <w:pPr>
              <w:jc w:val="center"/>
              <w:rPr>
                <w:rFonts w:hAnsi="宋体" w:cs="宋体"/>
                <w:szCs w:val="24"/>
                <w:highlight w:val="none"/>
              </w:rPr>
            </w:pPr>
          </w:p>
        </w:tc>
        <w:tc>
          <w:tcPr>
            <w:tcW w:w="1415" w:type="pct"/>
            <w:vAlign w:val="center"/>
          </w:tcPr>
          <w:p w14:paraId="4CF78D26">
            <w:pPr>
              <w:jc w:val="center"/>
              <w:rPr>
                <w:rFonts w:hAnsi="宋体" w:cs="宋体"/>
                <w:szCs w:val="24"/>
                <w:highlight w:val="none"/>
              </w:rPr>
            </w:pPr>
          </w:p>
        </w:tc>
      </w:tr>
      <w:tr w14:paraId="06F9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46E0C633">
            <w:pPr>
              <w:jc w:val="center"/>
              <w:rPr>
                <w:rFonts w:hint="eastAsia" w:hAnsi="宋体" w:cs="宋体"/>
                <w:szCs w:val="24"/>
                <w:highlight w:val="none"/>
              </w:rPr>
            </w:pPr>
            <w:r>
              <w:rPr>
                <w:rFonts w:hint="eastAsia" w:hAnsi="宋体" w:cs="宋体"/>
                <w:szCs w:val="24"/>
                <w:highlight w:val="none"/>
              </w:rPr>
              <w:t>磋商报价（大写）：                             （小写：￥       ）</w:t>
            </w:r>
          </w:p>
        </w:tc>
      </w:tr>
      <w:tr w14:paraId="0AD8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0F52CB0E">
            <w:pPr>
              <w:rPr>
                <w:rFonts w:hint="eastAsia"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14:paraId="128599B4">
      <w:pPr>
        <w:rPr>
          <w:rFonts w:hAnsi="宋体" w:cs="宋体"/>
          <w:szCs w:val="24"/>
          <w:highlight w:val="none"/>
        </w:rPr>
      </w:pPr>
    </w:p>
    <w:p w14:paraId="525E61F2">
      <w:pPr>
        <w:rPr>
          <w:rFonts w:hAnsi="宋体" w:cs="宋体"/>
          <w:szCs w:val="24"/>
          <w:highlight w:val="none"/>
        </w:rPr>
      </w:pPr>
    </w:p>
    <w:p w14:paraId="23C5B446">
      <w:pPr>
        <w:rPr>
          <w:rFonts w:hAnsi="宋体" w:cs="宋体"/>
          <w:szCs w:val="24"/>
          <w:highlight w:val="none"/>
        </w:rPr>
      </w:pPr>
    </w:p>
    <w:p w14:paraId="3F1ACD76">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14:paraId="6223CD3E">
      <w:pPr>
        <w:spacing w:line="280" w:lineRule="exact"/>
        <w:ind w:right="617" w:rightChars="257"/>
        <w:jc w:val="left"/>
        <w:rPr>
          <w:rFonts w:hint="eastAsia" w:hAnsi="宋体" w:cs="宋体"/>
          <w:szCs w:val="24"/>
          <w:highlight w:val="none"/>
        </w:rPr>
      </w:pPr>
    </w:p>
    <w:p w14:paraId="4FED5C08">
      <w:pPr>
        <w:spacing w:line="280" w:lineRule="exact"/>
        <w:ind w:right="617" w:rightChars="257"/>
        <w:jc w:val="left"/>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w:t>
      </w:r>
    </w:p>
    <w:p w14:paraId="0E1791DD">
      <w:pPr>
        <w:spacing w:line="280" w:lineRule="exact"/>
        <w:ind w:right="617" w:rightChars="257"/>
        <w:jc w:val="left"/>
        <w:rPr>
          <w:rFonts w:hAnsi="宋体" w:cs="宋体"/>
          <w:szCs w:val="24"/>
          <w:highlight w:val="none"/>
        </w:rPr>
      </w:pPr>
    </w:p>
    <w:p w14:paraId="74C329D6">
      <w:pPr>
        <w:spacing w:line="280" w:lineRule="exact"/>
        <w:ind w:right="617" w:rightChars="257"/>
        <w:rPr>
          <w:rFonts w:hAnsi="宋体" w:cs="宋体"/>
          <w:szCs w:val="24"/>
          <w:highlight w:val="none"/>
        </w:rPr>
      </w:pPr>
      <w:r>
        <w:rPr>
          <w:rFonts w:hint="eastAsia" w:hAnsi="宋体" w:cs="宋体"/>
          <w:szCs w:val="24"/>
          <w:highlight w:val="none"/>
        </w:rPr>
        <w:t>日    期：</w:t>
      </w:r>
    </w:p>
    <w:p w14:paraId="718F0314">
      <w:pPr>
        <w:jc w:val="center"/>
        <w:rPr>
          <w:rFonts w:hAnsi="宋体" w:cs="宋体"/>
          <w:szCs w:val="24"/>
          <w:highlight w:val="none"/>
        </w:rPr>
      </w:pPr>
    </w:p>
    <w:p w14:paraId="2F285B7A">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14:paraId="77437C60">
      <w:pPr>
        <w:jc w:val="center"/>
        <w:rPr>
          <w:rFonts w:hAnsi="宋体" w:cs="宋体"/>
          <w:b/>
          <w:sz w:val="30"/>
          <w:szCs w:val="30"/>
          <w:highlight w:val="none"/>
        </w:rPr>
      </w:pPr>
    </w:p>
    <w:p w14:paraId="747D1E71">
      <w:pPr>
        <w:jc w:val="center"/>
        <w:outlineLvl w:val="1"/>
        <w:rPr>
          <w:rFonts w:hAnsi="宋体" w:cs="宋体"/>
          <w:b/>
          <w:sz w:val="30"/>
          <w:szCs w:val="30"/>
          <w:highlight w:val="none"/>
        </w:rPr>
      </w:pPr>
      <w:r>
        <w:rPr>
          <w:rFonts w:hint="eastAsia" w:hAnsi="宋体" w:cs="宋体"/>
          <w:b/>
          <w:sz w:val="30"/>
          <w:szCs w:val="30"/>
          <w:highlight w:val="none"/>
        </w:rPr>
        <w:br w:type="page"/>
      </w:r>
      <w:bookmarkStart w:id="226" w:name="_Toc22022"/>
      <w:bookmarkStart w:id="227" w:name="_Toc11197"/>
      <w:bookmarkStart w:id="228" w:name="_Toc9220"/>
      <w:bookmarkStart w:id="229" w:name="_Toc8017"/>
      <w:bookmarkStart w:id="230" w:name="_Toc9760"/>
      <w:r>
        <w:rPr>
          <w:rFonts w:hint="eastAsia" w:hAnsi="宋体" w:cs="宋体"/>
          <w:b/>
          <w:sz w:val="30"/>
          <w:szCs w:val="30"/>
          <w:highlight w:val="none"/>
        </w:rPr>
        <w:t>2.2分项报价表</w:t>
      </w:r>
      <w:bookmarkEnd w:id="226"/>
      <w:bookmarkEnd w:id="227"/>
      <w:bookmarkEnd w:id="228"/>
      <w:bookmarkEnd w:id="229"/>
      <w:bookmarkEnd w:id="230"/>
    </w:p>
    <w:p w14:paraId="545A3CC3">
      <w:pPr>
        <w:pStyle w:val="11"/>
        <w:jc w:val="center"/>
        <w:rPr>
          <w:rFonts w:ascii="宋体" w:hAnsi="宋体" w:cs="宋体"/>
          <w:bCs/>
          <w:sz w:val="24"/>
          <w:szCs w:val="24"/>
          <w:highlight w:val="none"/>
        </w:rPr>
      </w:pPr>
    </w:p>
    <w:p w14:paraId="370C6A0B">
      <w:pPr>
        <w:pStyle w:val="11"/>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14:paraId="640D23A3">
      <w:pPr>
        <w:pStyle w:val="11"/>
        <w:rPr>
          <w:rFonts w:ascii="宋体" w:hAnsi="宋体" w:cs="宋体"/>
          <w:highlight w:val="none"/>
        </w:rPr>
      </w:pPr>
    </w:p>
    <w:p w14:paraId="067A42F3">
      <w:pPr>
        <w:ind w:firstLine="420"/>
        <w:rPr>
          <w:rFonts w:hAnsi="宋体" w:cs="宋体"/>
          <w:highlight w:val="none"/>
        </w:rPr>
      </w:pPr>
    </w:p>
    <w:p w14:paraId="07DCF982">
      <w:pPr>
        <w:pStyle w:val="11"/>
        <w:spacing w:line="360" w:lineRule="auto"/>
        <w:rPr>
          <w:rFonts w:ascii="宋体" w:hAnsi="宋体" w:cs="宋体"/>
          <w:sz w:val="28"/>
          <w:szCs w:val="28"/>
          <w:highlight w:val="none"/>
        </w:rPr>
      </w:pPr>
    </w:p>
    <w:p w14:paraId="7372DCF3">
      <w:pPr>
        <w:rPr>
          <w:rFonts w:hAnsi="宋体" w:cs="宋体"/>
          <w:highlight w:val="none"/>
        </w:rPr>
      </w:pPr>
    </w:p>
    <w:bookmarkEnd w:id="208"/>
    <w:p w14:paraId="7A6EC8FE">
      <w:pPr>
        <w:jc w:val="center"/>
        <w:outlineLvl w:val="1"/>
        <w:rPr>
          <w:rFonts w:hAnsi="宋体" w:cs="宋体"/>
          <w:sz w:val="32"/>
          <w:szCs w:val="32"/>
          <w:highlight w:val="none"/>
        </w:rPr>
      </w:pPr>
      <w:bookmarkStart w:id="231" w:name="_Toc344572163"/>
      <w:r>
        <w:rPr>
          <w:rFonts w:hint="eastAsia" w:hAnsi="宋体" w:cs="宋体"/>
          <w:sz w:val="32"/>
          <w:szCs w:val="32"/>
          <w:highlight w:val="none"/>
        </w:rPr>
        <w:br w:type="page"/>
      </w:r>
      <w:bookmarkStart w:id="232" w:name="_Toc5944"/>
      <w:bookmarkStart w:id="233" w:name="_Toc32126"/>
      <w:bookmarkStart w:id="234" w:name="_Toc4894"/>
      <w:bookmarkStart w:id="235" w:name="_Toc3628"/>
      <w:bookmarkStart w:id="236" w:name="_Toc24936"/>
      <w:r>
        <w:rPr>
          <w:rFonts w:hint="eastAsia" w:hAnsi="宋体" w:cs="宋体"/>
          <w:b/>
          <w:bCs/>
          <w:sz w:val="32"/>
          <w:szCs w:val="32"/>
          <w:highlight w:val="none"/>
        </w:rPr>
        <w:t>三、磋商方案说明书</w:t>
      </w:r>
      <w:bookmarkEnd w:id="232"/>
      <w:bookmarkEnd w:id="233"/>
      <w:bookmarkEnd w:id="234"/>
      <w:bookmarkEnd w:id="235"/>
      <w:bookmarkEnd w:id="236"/>
    </w:p>
    <w:p w14:paraId="5751B921">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14:paraId="2F78B495">
      <w:pPr>
        <w:spacing w:after="120" w:line="480" w:lineRule="auto"/>
        <w:rPr>
          <w:rFonts w:hAnsi="宋体" w:cs="宋体"/>
          <w:b/>
          <w:szCs w:val="24"/>
          <w:highlight w:val="none"/>
        </w:rPr>
      </w:pPr>
    </w:p>
    <w:p w14:paraId="647A6865">
      <w:pPr>
        <w:spacing w:after="120"/>
        <w:rPr>
          <w:rFonts w:hAnsi="宋体" w:cs="宋体"/>
          <w:b/>
          <w:szCs w:val="24"/>
          <w:highlight w:val="none"/>
        </w:rPr>
      </w:pPr>
    </w:p>
    <w:p w14:paraId="4006BEDD">
      <w:pPr>
        <w:spacing w:after="120"/>
        <w:rPr>
          <w:rFonts w:hAnsi="宋体" w:cs="宋体"/>
          <w:b/>
          <w:szCs w:val="24"/>
          <w:highlight w:val="none"/>
        </w:rPr>
      </w:pPr>
    </w:p>
    <w:p w14:paraId="0B6A4565">
      <w:pPr>
        <w:spacing w:after="120"/>
        <w:rPr>
          <w:rFonts w:hAnsi="宋体" w:cs="宋体"/>
          <w:b/>
          <w:szCs w:val="24"/>
          <w:highlight w:val="none"/>
        </w:rPr>
      </w:pPr>
    </w:p>
    <w:p w14:paraId="75585238">
      <w:pPr>
        <w:rPr>
          <w:rFonts w:hint="eastAsia" w:hAnsi="宋体" w:cs="宋体"/>
          <w:b/>
          <w:bCs/>
          <w:sz w:val="32"/>
          <w:szCs w:val="32"/>
          <w:highlight w:val="none"/>
        </w:rPr>
      </w:pPr>
      <w:r>
        <w:rPr>
          <w:rFonts w:hint="eastAsia" w:hAnsi="宋体" w:cs="宋体"/>
          <w:b/>
          <w:szCs w:val="24"/>
          <w:highlight w:val="none"/>
        </w:rPr>
        <w:br w:type="page"/>
      </w:r>
      <w:bookmarkStart w:id="237" w:name="_Toc21284"/>
      <w:bookmarkStart w:id="238" w:name="_Toc23455"/>
      <w:bookmarkStart w:id="239" w:name="_Toc9218"/>
      <w:bookmarkStart w:id="240" w:name="_Toc2621"/>
      <w:bookmarkStart w:id="241" w:name="_Toc1379"/>
      <w:bookmarkStart w:id="242" w:name="_Toc5662"/>
      <w:bookmarkStart w:id="243" w:name="_Toc8845"/>
      <w:bookmarkStart w:id="244" w:name="_Toc15265"/>
      <w:bookmarkStart w:id="245" w:name="_Toc31151"/>
    </w:p>
    <w:p w14:paraId="2E64FA4A">
      <w:pPr>
        <w:ind w:firstLine="161" w:firstLineChars="50"/>
        <w:jc w:val="center"/>
        <w:outlineLvl w:val="1"/>
        <w:rPr>
          <w:rFonts w:hAnsi="宋体" w:cs="宋体"/>
          <w:sz w:val="32"/>
          <w:szCs w:val="32"/>
          <w:highlight w:val="none"/>
        </w:rPr>
      </w:pPr>
      <w:bookmarkStart w:id="246" w:name="_Toc9996"/>
      <w:r>
        <w:rPr>
          <w:rFonts w:hint="eastAsia" w:hAnsi="宋体" w:cs="宋体"/>
          <w:b/>
          <w:bCs/>
          <w:sz w:val="32"/>
          <w:szCs w:val="32"/>
          <w:highlight w:val="none"/>
        </w:rPr>
        <w:t>四、</w:t>
      </w:r>
      <w:bookmarkEnd w:id="237"/>
      <w:bookmarkEnd w:id="238"/>
      <w:bookmarkEnd w:id="239"/>
      <w:bookmarkEnd w:id="240"/>
      <w:bookmarkEnd w:id="241"/>
      <w:r>
        <w:rPr>
          <w:rFonts w:hint="eastAsia" w:hAnsi="宋体" w:cs="宋体"/>
          <w:b/>
          <w:bCs/>
          <w:sz w:val="32"/>
          <w:szCs w:val="32"/>
          <w:highlight w:val="none"/>
        </w:rPr>
        <w:t>商务条款偏离表</w:t>
      </w:r>
      <w:bookmarkEnd w:id="242"/>
      <w:bookmarkEnd w:id="243"/>
      <w:bookmarkEnd w:id="244"/>
      <w:bookmarkEnd w:id="245"/>
      <w:bookmarkEnd w:id="246"/>
    </w:p>
    <w:p w14:paraId="5EA1B311">
      <w:pPr>
        <w:pStyle w:val="21"/>
        <w:widowControl w:val="0"/>
        <w:spacing w:before="0" w:beforeAutospacing="0" w:after="0" w:afterAutospacing="0"/>
        <w:jc w:val="both"/>
        <w:rPr>
          <w:rFonts w:cs="宋体"/>
          <w:highlight w:val="none"/>
        </w:rPr>
      </w:pPr>
    </w:p>
    <w:p w14:paraId="4F15801A">
      <w:pPr>
        <w:pStyle w:val="21"/>
        <w:widowControl w:val="0"/>
        <w:spacing w:before="156" w:beforeLines="50" w:beforeAutospacing="0" w:after="156" w:afterLines="50" w:afterAutospacing="0"/>
        <w:rPr>
          <w:rFonts w:cs="宋体"/>
          <w:highlight w:val="none"/>
        </w:rPr>
      </w:pPr>
      <w:r>
        <w:rPr>
          <w:rFonts w:hint="eastAsia" w:cs="宋体"/>
          <w:highlight w:val="none"/>
        </w:rPr>
        <w:t>项目编号：</w:t>
      </w:r>
    </w:p>
    <w:p w14:paraId="6B328B60">
      <w:pPr>
        <w:pStyle w:val="21"/>
        <w:widowControl w:val="0"/>
        <w:spacing w:before="156" w:beforeLines="50" w:beforeAutospacing="0" w:after="156" w:afterLines="50" w:afterAutospacing="0"/>
        <w:rPr>
          <w:rFonts w:cs="宋体"/>
          <w:highlight w:val="none"/>
        </w:rPr>
      </w:pPr>
      <w:r>
        <w:rPr>
          <w:rFonts w:hint="eastAsia" w:cs="宋体"/>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5E39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4A63BF">
            <w:pPr>
              <w:pStyle w:val="21"/>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E4BECD9">
            <w:pPr>
              <w:pStyle w:val="21"/>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578A666B">
            <w:pPr>
              <w:pStyle w:val="21"/>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1DB18911">
            <w:pPr>
              <w:pStyle w:val="21"/>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4C9753C3">
            <w:pPr>
              <w:pStyle w:val="21"/>
              <w:widowControl w:val="0"/>
              <w:spacing w:before="0" w:beforeAutospacing="0" w:after="0" w:afterAutospacing="0"/>
              <w:jc w:val="center"/>
              <w:rPr>
                <w:rFonts w:cs="宋体"/>
                <w:highlight w:val="none"/>
              </w:rPr>
            </w:pPr>
            <w:r>
              <w:rPr>
                <w:rFonts w:hint="eastAsia" w:cs="宋体"/>
                <w:highlight w:val="none"/>
              </w:rPr>
              <w:t>说明</w:t>
            </w:r>
          </w:p>
        </w:tc>
      </w:tr>
      <w:tr w14:paraId="589F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AE4BEF4">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D6C5DF4">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51C7D217">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689AA66">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E64C947">
            <w:pPr>
              <w:pStyle w:val="21"/>
              <w:widowControl w:val="0"/>
              <w:spacing w:before="0" w:beforeAutospacing="0" w:after="0" w:afterAutospacing="0"/>
              <w:ind w:firstLine="480" w:firstLineChars="200"/>
              <w:jc w:val="center"/>
              <w:rPr>
                <w:rFonts w:cs="宋体"/>
                <w:highlight w:val="none"/>
              </w:rPr>
            </w:pPr>
          </w:p>
        </w:tc>
      </w:tr>
      <w:tr w14:paraId="1E5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3FA57">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1F58EEA">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636BAF33">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4D9CC15">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6BE2D0F">
            <w:pPr>
              <w:pStyle w:val="21"/>
              <w:widowControl w:val="0"/>
              <w:spacing w:before="0" w:beforeAutospacing="0" w:after="0" w:afterAutospacing="0"/>
              <w:ind w:firstLine="480" w:firstLineChars="200"/>
              <w:jc w:val="center"/>
              <w:rPr>
                <w:rFonts w:cs="宋体"/>
                <w:highlight w:val="none"/>
              </w:rPr>
            </w:pPr>
          </w:p>
        </w:tc>
      </w:tr>
      <w:tr w14:paraId="0750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D74E04">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249BC288">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F19698E">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04531E3">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1F4B47">
            <w:pPr>
              <w:pStyle w:val="21"/>
              <w:widowControl w:val="0"/>
              <w:spacing w:before="0" w:beforeAutospacing="0" w:after="0" w:afterAutospacing="0"/>
              <w:ind w:firstLine="480" w:firstLineChars="200"/>
              <w:jc w:val="center"/>
              <w:rPr>
                <w:rFonts w:cs="宋体"/>
                <w:highlight w:val="none"/>
              </w:rPr>
            </w:pPr>
          </w:p>
        </w:tc>
      </w:tr>
      <w:tr w14:paraId="5FED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ECEC54B">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A45AF72">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6EB1EC">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D1F57A">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2EA4BE2E">
            <w:pPr>
              <w:pStyle w:val="21"/>
              <w:widowControl w:val="0"/>
              <w:spacing w:before="0" w:beforeAutospacing="0" w:after="0" w:afterAutospacing="0"/>
              <w:ind w:firstLine="480" w:firstLineChars="200"/>
              <w:jc w:val="center"/>
              <w:rPr>
                <w:rFonts w:cs="宋体"/>
                <w:highlight w:val="none"/>
              </w:rPr>
            </w:pPr>
          </w:p>
        </w:tc>
      </w:tr>
      <w:tr w14:paraId="41F8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908759D">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EF7B276">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345795">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B36A59C">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AF31FCE">
            <w:pPr>
              <w:pStyle w:val="21"/>
              <w:widowControl w:val="0"/>
              <w:spacing w:before="0" w:beforeAutospacing="0" w:after="0" w:afterAutospacing="0"/>
              <w:ind w:firstLine="480" w:firstLineChars="200"/>
              <w:jc w:val="center"/>
              <w:rPr>
                <w:rFonts w:cs="宋体"/>
                <w:highlight w:val="none"/>
              </w:rPr>
            </w:pPr>
          </w:p>
        </w:tc>
      </w:tr>
      <w:tr w14:paraId="2D70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E739BCC">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93C59B3">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671F76">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EB2555C">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AE21012">
            <w:pPr>
              <w:pStyle w:val="21"/>
              <w:widowControl w:val="0"/>
              <w:spacing w:before="0" w:beforeAutospacing="0" w:after="0" w:afterAutospacing="0"/>
              <w:ind w:firstLine="480" w:firstLineChars="200"/>
              <w:jc w:val="center"/>
              <w:rPr>
                <w:rFonts w:cs="宋体"/>
                <w:highlight w:val="none"/>
              </w:rPr>
            </w:pPr>
          </w:p>
        </w:tc>
      </w:tr>
      <w:tr w14:paraId="4285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FDD3C0E">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6279517">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76D88A1">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0CBF99A">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DC0127D">
            <w:pPr>
              <w:pStyle w:val="21"/>
              <w:widowControl w:val="0"/>
              <w:spacing w:before="0" w:beforeAutospacing="0" w:after="0" w:afterAutospacing="0"/>
              <w:ind w:firstLine="480" w:firstLineChars="200"/>
              <w:jc w:val="center"/>
              <w:rPr>
                <w:rFonts w:cs="宋体"/>
                <w:highlight w:val="none"/>
              </w:rPr>
            </w:pPr>
          </w:p>
        </w:tc>
      </w:tr>
    </w:tbl>
    <w:p w14:paraId="7041A222">
      <w:pPr>
        <w:pStyle w:val="21"/>
        <w:widowControl w:val="0"/>
        <w:spacing w:before="0" w:beforeAutospacing="0" w:after="0" w:afterAutospacing="0"/>
        <w:rPr>
          <w:rFonts w:cs="宋体"/>
          <w:highlight w:val="none"/>
        </w:rPr>
      </w:pPr>
      <w:r>
        <w:rPr>
          <w:rFonts w:hint="eastAsia" w:cs="宋体"/>
          <w:highlight w:val="none"/>
        </w:rPr>
        <w:t>说明：</w:t>
      </w:r>
    </w:p>
    <w:p w14:paraId="28081757">
      <w:pPr>
        <w:pStyle w:val="21"/>
        <w:widowControl w:val="0"/>
        <w:spacing w:before="0" w:beforeAutospacing="0" w:after="0" w:afterAutospacing="0"/>
        <w:ind w:firstLine="480" w:firstLineChars="200"/>
        <w:jc w:val="both"/>
        <w:rPr>
          <w:rFonts w:cs="宋体"/>
          <w:highlight w:val="none"/>
        </w:rPr>
      </w:pPr>
      <w:r>
        <w:rPr>
          <w:rFonts w:hint="eastAsia" w:cs="宋体"/>
          <w:highlight w:val="none"/>
        </w:rPr>
        <w:t>1.参照第</w:t>
      </w:r>
      <w:r>
        <w:rPr>
          <w:rFonts w:hint="eastAsia" w:cs="宋体"/>
          <w:highlight w:val="none"/>
          <w:lang w:val="en-US" w:eastAsia="zh-CN"/>
        </w:rPr>
        <w:t>四</w:t>
      </w:r>
      <w:r>
        <w:rPr>
          <w:rFonts w:hint="eastAsia" w:cs="宋体"/>
          <w:highlight w:val="none"/>
        </w:rPr>
        <w:t>章合同条款要求内容进行响应。</w:t>
      </w:r>
    </w:p>
    <w:p w14:paraId="0CA81D71">
      <w:pPr>
        <w:pStyle w:val="21"/>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14:paraId="7DEBD551">
      <w:pPr>
        <w:pStyle w:val="21"/>
        <w:widowControl w:val="0"/>
        <w:spacing w:before="0" w:beforeAutospacing="0" w:after="0" w:afterAutospacing="0"/>
        <w:ind w:firstLine="480" w:firstLineChars="200"/>
        <w:rPr>
          <w:rFonts w:cs="宋体"/>
          <w:highlight w:val="none"/>
        </w:rPr>
      </w:pPr>
      <w:r>
        <w:rPr>
          <w:rFonts w:hint="eastAsia" w:cs="宋体"/>
          <w:highlight w:val="none"/>
          <w:lang w:val="en-US" w:eastAsia="zh-CN"/>
        </w:rPr>
        <w:t>3</w:t>
      </w:r>
      <w:r>
        <w:rPr>
          <w:rFonts w:hint="eastAsia" w:cs="宋体"/>
          <w:highlight w:val="none"/>
        </w:rPr>
        <w:t>.供应商必须据实填写，不得虚假响应，否则将取消其磋商或成交资格，并按有关规定进处罚。</w:t>
      </w:r>
    </w:p>
    <w:p w14:paraId="1D88A838">
      <w:pPr>
        <w:pStyle w:val="21"/>
        <w:widowControl w:val="0"/>
        <w:spacing w:before="0" w:beforeAutospacing="0" w:after="0" w:afterAutospacing="0"/>
        <w:ind w:firstLine="480" w:firstLineChars="200"/>
        <w:jc w:val="center"/>
        <w:rPr>
          <w:rFonts w:cs="宋体"/>
          <w:highlight w:val="none"/>
        </w:rPr>
      </w:pPr>
    </w:p>
    <w:p w14:paraId="2CDB77F6">
      <w:pPr>
        <w:pStyle w:val="21"/>
        <w:widowControl w:val="0"/>
        <w:spacing w:before="0" w:beforeAutospacing="0" w:after="0" w:afterAutospacing="0"/>
        <w:ind w:firstLine="480" w:firstLineChars="200"/>
        <w:rPr>
          <w:rFonts w:cs="宋体"/>
          <w:highlight w:val="none"/>
        </w:rPr>
      </w:pPr>
      <w:r>
        <w:rPr>
          <w:rFonts w:hint="eastAsia" w:cs="宋体"/>
          <w:highlight w:val="none"/>
        </w:rPr>
        <w:t>供应商名称：</w:t>
      </w:r>
      <w:r>
        <w:rPr>
          <w:rFonts w:hint="eastAsia" w:cs="宋体"/>
          <w:highlight w:val="none"/>
          <w:u w:val="single"/>
        </w:rPr>
        <w:t xml:space="preserve">                       </w:t>
      </w:r>
      <w:r>
        <w:rPr>
          <w:rFonts w:hint="eastAsia" w:cs="宋体"/>
          <w:highlight w:val="none"/>
        </w:rPr>
        <w:t>（单位公章）</w:t>
      </w:r>
    </w:p>
    <w:p w14:paraId="4765C2CE">
      <w:pPr>
        <w:pStyle w:val="21"/>
        <w:widowControl w:val="0"/>
        <w:spacing w:before="0" w:beforeAutospacing="0" w:after="0" w:afterAutospacing="0"/>
        <w:ind w:firstLine="480" w:firstLineChars="200"/>
        <w:jc w:val="center"/>
        <w:rPr>
          <w:rFonts w:cs="宋体"/>
          <w:highlight w:val="none"/>
        </w:rPr>
      </w:pPr>
    </w:p>
    <w:p w14:paraId="5F138E9F">
      <w:pPr>
        <w:spacing w:line="400" w:lineRule="exact"/>
        <w:ind w:firstLine="480" w:firstLineChars="200"/>
        <w:rPr>
          <w:rFonts w:hAnsi="宋体" w:cs="宋体"/>
          <w:szCs w:val="24"/>
          <w:highlight w:val="none"/>
        </w:rPr>
      </w:pPr>
      <w:r>
        <w:rPr>
          <w:rFonts w:hint="eastAsia" w:hAnsi="宋体" w:cs="宋体"/>
          <w:highlight w:val="none"/>
        </w:rPr>
        <w:t>法定代表人或委托代理人：</w:t>
      </w:r>
      <w:r>
        <w:rPr>
          <w:rFonts w:hint="eastAsia" w:hAnsi="宋体" w:cs="宋体"/>
          <w:highlight w:val="none"/>
          <w:u w:val="single"/>
        </w:rPr>
        <w:t xml:space="preserve">              </w:t>
      </w:r>
      <w:r>
        <w:rPr>
          <w:rFonts w:hint="eastAsia" w:hAnsi="宋体" w:cs="宋体"/>
          <w:highlight w:val="none"/>
        </w:rPr>
        <w:t>（签字</w:t>
      </w:r>
      <w:r>
        <w:rPr>
          <w:rFonts w:hint="eastAsia" w:hAnsi="宋体" w:cs="宋体"/>
          <w:highlight w:val="none"/>
          <w:lang w:val="en-US" w:eastAsia="zh-CN"/>
        </w:rPr>
        <w:t>或盖章</w:t>
      </w:r>
      <w:r>
        <w:rPr>
          <w:rFonts w:hint="eastAsia" w:hAnsi="宋体" w:cs="宋体"/>
          <w:highlight w:val="none"/>
        </w:rPr>
        <w:t xml:space="preserve">） </w:t>
      </w:r>
    </w:p>
    <w:p w14:paraId="2821E4D7">
      <w:pPr>
        <w:spacing w:line="360" w:lineRule="auto"/>
        <w:ind w:left="600" w:leftChars="250"/>
        <w:rPr>
          <w:rFonts w:hAnsi="宋体" w:cs="宋体"/>
          <w:b/>
          <w:bCs/>
          <w:sz w:val="28"/>
          <w:szCs w:val="28"/>
          <w:highlight w:val="none"/>
        </w:rPr>
      </w:pPr>
    </w:p>
    <w:p w14:paraId="36B2374F">
      <w:pPr>
        <w:spacing w:line="440" w:lineRule="exact"/>
        <w:ind w:left="3725" w:leftChars="1552"/>
        <w:rPr>
          <w:rFonts w:hAnsi="宋体" w:cs="宋体"/>
          <w:szCs w:val="24"/>
          <w:highlight w:val="none"/>
        </w:rPr>
      </w:pPr>
    </w:p>
    <w:p w14:paraId="713FF89E">
      <w:pPr>
        <w:spacing w:line="440" w:lineRule="exact"/>
        <w:ind w:left="3725" w:leftChars="1552"/>
        <w:rPr>
          <w:rFonts w:hAnsi="宋体" w:cs="宋体"/>
          <w:szCs w:val="24"/>
          <w:highlight w:val="none"/>
        </w:rPr>
      </w:pPr>
    </w:p>
    <w:bookmarkEnd w:id="231"/>
    <w:p w14:paraId="5E7046F9">
      <w:pPr>
        <w:spacing w:line="360" w:lineRule="auto"/>
        <w:jc w:val="center"/>
        <w:outlineLvl w:val="1"/>
        <w:rPr>
          <w:rFonts w:hAnsi="宋体" w:cs="宋体"/>
          <w:b/>
          <w:bCs/>
          <w:sz w:val="30"/>
          <w:szCs w:val="30"/>
          <w:highlight w:val="none"/>
        </w:rPr>
      </w:pPr>
      <w:bookmarkStart w:id="247" w:name="_Toc403077656"/>
      <w:bookmarkStart w:id="248" w:name="_Toc363474033"/>
      <w:r>
        <w:rPr>
          <w:rFonts w:hint="eastAsia" w:hAnsi="宋体" w:cs="宋体"/>
          <w:b/>
          <w:bCs/>
          <w:sz w:val="30"/>
          <w:szCs w:val="30"/>
          <w:highlight w:val="none"/>
        </w:rPr>
        <w:br w:type="page"/>
      </w:r>
      <w:bookmarkStart w:id="249" w:name="_Toc3253"/>
      <w:bookmarkStart w:id="250" w:name="_Toc3386"/>
      <w:bookmarkStart w:id="251" w:name="_Toc1542"/>
      <w:bookmarkStart w:id="252" w:name="_Toc27470"/>
      <w:bookmarkStart w:id="253" w:name="_Toc12302"/>
      <w:r>
        <w:rPr>
          <w:rFonts w:hint="eastAsia" w:hAnsi="宋体" w:cs="宋体"/>
          <w:b/>
          <w:bCs/>
          <w:sz w:val="30"/>
          <w:szCs w:val="30"/>
          <w:highlight w:val="none"/>
        </w:rPr>
        <w:t>五、陕西省政府采购供应商拒绝政府采购领域商业贿赂承诺书</w:t>
      </w:r>
      <w:bookmarkEnd w:id="247"/>
      <w:bookmarkEnd w:id="248"/>
      <w:bookmarkEnd w:id="249"/>
      <w:bookmarkEnd w:id="250"/>
      <w:bookmarkEnd w:id="251"/>
      <w:bookmarkEnd w:id="252"/>
      <w:bookmarkEnd w:id="253"/>
    </w:p>
    <w:p w14:paraId="6326907E">
      <w:pPr>
        <w:spacing w:line="360" w:lineRule="auto"/>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14:paraId="7244072A">
      <w:pPr>
        <w:spacing w:line="360" w:lineRule="auto"/>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14:paraId="469AD287">
      <w:pPr>
        <w:spacing w:line="360" w:lineRule="auto"/>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14:paraId="42E9B713">
      <w:pPr>
        <w:spacing w:line="360" w:lineRule="auto"/>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14:paraId="2EEE42A1">
      <w:pPr>
        <w:spacing w:line="360" w:lineRule="auto"/>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14:paraId="265C787A">
      <w:pPr>
        <w:spacing w:line="360" w:lineRule="auto"/>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14:paraId="401010AB">
      <w:pPr>
        <w:spacing w:line="360" w:lineRule="auto"/>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14:paraId="00ECFA9F">
      <w:pPr>
        <w:spacing w:line="360" w:lineRule="auto"/>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14:paraId="339E1693">
      <w:pPr>
        <w:spacing w:line="360" w:lineRule="auto"/>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14:paraId="0ED7E7BC">
      <w:pPr>
        <w:spacing w:line="360" w:lineRule="auto"/>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14:paraId="0B22357F">
      <w:pPr>
        <w:spacing w:line="360" w:lineRule="auto"/>
        <w:ind w:firstLine="720" w:firstLineChars="300"/>
        <w:jc w:val="left"/>
        <w:rPr>
          <w:rFonts w:hAnsi="宋体" w:cs="宋体"/>
          <w:szCs w:val="24"/>
          <w:highlight w:val="none"/>
        </w:rPr>
      </w:pPr>
      <w:r>
        <w:rPr>
          <w:rFonts w:hint="eastAsia" w:hAnsi="宋体" w:cs="宋体"/>
          <w:szCs w:val="24"/>
          <w:highlight w:val="none"/>
        </w:rPr>
        <w:t>承诺单位（盖章）：</w:t>
      </w:r>
    </w:p>
    <w:p w14:paraId="5057B72B">
      <w:pPr>
        <w:spacing w:line="360" w:lineRule="auto"/>
        <w:ind w:firstLine="720" w:firstLineChars="300"/>
        <w:jc w:val="left"/>
        <w:rPr>
          <w:rFonts w:hAnsi="宋体" w:cs="宋体"/>
          <w:szCs w:val="24"/>
          <w:highlight w:val="none"/>
        </w:rPr>
      </w:pPr>
      <w:r>
        <w:rPr>
          <w:rFonts w:hint="eastAsia" w:hAnsi="宋体" w:cs="宋体"/>
          <w:szCs w:val="24"/>
          <w:highlight w:val="none"/>
        </w:rPr>
        <w:t>全权代表（签字</w:t>
      </w:r>
      <w:r>
        <w:rPr>
          <w:rFonts w:hint="eastAsia" w:hAnsi="宋体" w:cs="宋体"/>
          <w:szCs w:val="24"/>
          <w:highlight w:val="none"/>
          <w:lang w:val="en-US" w:eastAsia="zh-CN"/>
        </w:rPr>
        <w:t>或盖章</w:t>
      </w:r>
      <w:r>
        <w:rPr>
          <w:rFonts w:hint="eastAsia" w:hAnsi="宋体" w:cs="宋体"/>
          <w:szCs w:val="24"/>
          <w:highlight w:val="none"/>
        </w:rPr>
        <w:t>）：</w:t>
      </w:r>
    </w:p>
    <w:p w14:paraId="751C118A">
      <w:pPr>
        <w:spacing w:line="360" w:lineRule="auto"/>
        <w:ind w:firstLine="720" w:firstLineChars="300"/>
        <w:rPr>
          <w:rFonts w:hAnsi="宋体" w:cs="宋体"/>
          <w:szCs w:val="24"/>
          <w:highlight w:val="none"/>
        </w:rPr>
      </w:pPr>
      <w:r>
        <w:rPr>
          <w:rFonts w:hint="eastAsia" w:hAnsi="宋体" w:cs="宋体"/>
          <w:szCs w:val="24"/>
          <w:highlight w:val="none"/>
        </w:rPr>
        <w:t xml:space="preserve">地    址：                                                       </w:t>
      </w:r>
    </w:p>
    <w:p w14:paraId="204EE20E">
      <w:pPr>
        <w:spacing w:line="360" w:lineRule="auto"/>
        <w:ind w:firstLine="720" w:firstLineChars="300"/>
        <w:rPr>
          <w:rFonts w:hAnsi="宋体" w:cs="宋体"/>
          <w:szCs w:val="24"/>
          <w:highlight w:val="none"/>
        </w:rPr>
      </w:pPr>
      <w:r>
        <w:rPr>
          <w:rFonts w:hint="eastAsia" w:hAnsi="宋体" w:cs="宋体"/>
          <w:szCs w:val="24"/>
          <w:highlight w:val="none"/>
        </w:rPr>
        <w:t xml:space="preserve">邮    编：                                                       </w:t>
      </w:r>
    </w:p>
    <w:p w14:paraId="53F0079A">
      <w:pPr>
        <w:spacing w:line="360" w:lineRule="auto"/>
        <w:ind w:left="240" w:leftChars="100" w:firstLine="480" w:firstLineChars="200"/>
        <w:rPr>
          <w:rFonts w:hAnsi="宋体" w:cs="宋体"/>
          <w:szCs w:val="24"/>
          <w:highlight w:val="none"/>
        </w:rPr>
      </w:pPr>
      <w:r>
        <w:rPr>
          <w:rFonts w:hint="eastAsia" w:hAnsi="宋体" w:cs="宋体"/>
          <w:szCs w:val="24"/>
          <w:highlight w:val="none"/>
        </w:rPr>
        <w:t xml:space="preserve">电    话：                                                       </w:t>
      </w:r>
    </w:p>
    <w:p w14:paraId="797C76E1">
      <w:pPr>
        <w:spacing w:line="360" w:lineRule="auto"/>
        <w:ind w:left="754" w:leftChars="314" w:firstLine="5280" w:firstLineChars="2200"/>
        <w:jc w:val="left"/>
        <w:rPr>
          <w:rFonts w:hAnsi="宋体" w:cs="宋体"/>
          <w:szCs w:val="24"/>
          <w:highlight w:val="none"/>
        </w:rPr>
      </w:pPr>
      <w:r>
        <w:rPr>
          <w:rFonts w:hint="eastAsia" w:hAnsi="宋体" w:cs="宋体"/>
          <w:szCs w:val="24"/>
          <w:highlight w:val="none"/>
        </w:rPr>
        <w:t>年    月    日</w:t>
      </w:r>
    </w:p>
    <w:p w14:paraId="19E69939">
      <w:pPr>
        <w:jc w:val="center"/>
        <w:outlineLvl w:val="1"/>
        <w:rPr>
          <w:rFonts w:hAnsi="宋体" w:cs="宋体"/>
          <w:highlight w:val="none"/>
          <w:shd w:val="clear" w:color="auto" w:fill="FFFFFF"/>
        </w:rPr>
      </w:pPr>
      <w:bookmarkStart w:id="254" w:name="_Toc363474034"/>
      <w:bookmarkStart w:id="255" w:name="_Toc403077657"/>
      <w:r>
        <w:rPr>
          <w:rFonts w:hint="eastAsia" w:hAnsi="宋体" w:cs="宋体"/>
          <w:b/>
          <w:bCs/>
          <w:sz w:val="30"/>
          <w:szCs w:val="30"/>
          <w:highlight w:val="none"/>
        </w:rPr>
        <w:br w:type="page"/>
      </w:r>
      <w:bookmarkStart w:id="256" w:name="_Toc6273"/>
      <w:bookmarkStart w:id="257" w:name="_Toc29285"/>
      <w:bookmarkStart w:id="258" w:name="_Toc7842"/>
      <w:bookmarkStart w:id="259" w:name="_Toc32016"/>
      <w:bookmarkStart w:id="260" w:name="_Toc4951"/>
      <w:r>
        <w:rPr>
          <w:rFonts w:hint="eastAsia" w:hAnsi="宋体" w:cs="宋体"/>
          <w:b/>
          <w:bCs/>
          <w:sz w:val="30"/>
          <w:szCs w:val="30"/>
          <w:highlight w:val="none"/>
        </w:rPr>
        <w:t>六、特定资格证明文件</w:t>
      </w:r>
      <w:bookmarkEnd w:id="254"/>
      <w:bookmarkEnd w:id="255"/>
      <w:bookmarkEnd w:id="256"/>
      <w:bookmarkEnd w:id="257"/>
      <w:bookmarkEnd w:id="258"/>
      <w:bookmarkEnd w:id="259"/>
      <w:bookmarkEnd w:id="260"/>
    </w:p>
    <w:p w14:paraId="3FC3AD84">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14:paraId="32C96D41">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法人或者其他组织的有效营业执照等证明文件</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其中：</w:t>
      </w:r>
    </w:p>
    <w:p w14:paraId="1CDEA75F">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供应商是企业（包括合伙企业）的，应提供其在市场监督管理部门注册的有效 “营业执照”复印件；</w:t>
      </w:r>
    </w:p>
    <w:p w14:paraId="61C37CE4">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供应商是事业单位的，应提供其有效的“事业单位法人证书”复印件；</w:t>
      </w:r>
    </w:p>
    <w:p w14:paraId="12C1FD1E">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供应商是非企业专业服务机构的，应提供其有效的“执业许可证”复印件；</w:t>
      </w:r>
    </w:p>
    <w:p w14:paraId="68284608">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供应商是民办非企业单位的，应提供其有效的登记证书复印件；</w:t>
      </w:r>
    </w:p>
    <w:p w14:paraId="3EF25B54">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供应商是个体工商户的，应提供其有效的 “营业执照”复印件；</w:t>
      </w:r>
    </w:p>
    <w:p w14:paraId="52398B05">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供应商是自然人的，应提供其有效的自然人身份证明复印件。</w:t>
      </w:r>
    </w:p>
    <w:p w14:paraId="326441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提供法定代表人授权书（附法定代表人、被授权人身份证复印件），法定代表人直接参加投标，须提供法定代表人身份证明及身份证复印件；</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rPr>
        <w:t>（3）财务状况报告：提供</w:t>
      </w:r>
      <w:r>
        <w:rPr>
          <w:rFonts w:hint="default" w:ascii="Calibri" w:hAnsi="Calibri" w:eastAsia="宋体" w:cs="Calibri"/>
          <w:b/>
          <w:bCs/>
          <w:sz w:val="24"/>
          <w:szCs w:val="24"/>
        </w:rPr>
        <w:t>①</w:t>
      </w:r>
      <w:r>
        <w:rPr>
          <w:rFonts w:hint="eastAsia" w:ascii="宋体" w:hAnsi="宋体" w:eastAsia="宋体" w:cs="宋体"/>
          <w:b/>
          <w:bCs/>
          <w:sz w:val="24"/>
          <w:szCs w:val="24"/>
        </w:rPr>
        <w:t>或者</w:t>
      </w:r>
      <w:r>
        <w:rPr>
          <w:rFonts w:hint="default" w:ascii="Calibri" w:hAnsi="Calibri" w:eastAsia="宋体" w:cs="Calibri"/>
          <w:b/>
          <w:bCs/>
          <w:sz w:val="24"/>
          <w:szCs w:val="24"/>
          <w:lang w:val="en-US" w:eastAsia="zh-CN"/>
        </w:rPr>
        <w:t>②</w:t>
      </w:r>
      <w:r>
        <w:rPr>
          <w:rFonts w:hint="eastAsia" w:ascii="宋体" w:hAnsi="宋体" w:eastAsia="宋体" w:cs="宋体"/>
          <w:b/>
          <w:bCs/>
          <w:sz w:val="24"/>
          <w:szCs w:val="24"/>
        </w:rPr>
        <w:t>；</w:t>
      </w:r>
    </w:p>
    <w:p w14:paraId="694BF19C">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提供2024年度经审计的财务报告，应满足以下要求：</w:t>
      </w:r>
    </w:p>
    <w:p w14:paraId="199E4CAA">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企业的，财务报告是指经会计师事务所审计的上述指定年度整个会计年度财务报表（须提供会计师事务所出具的审计报告复印件）,复印件至少须包括审计意见正文、资产负债表、利润表（或损益表）、现金流量表）和会计师事务所营业执照，报告正文应当有会计师事务所公章和2名注册会计师的签字及盖章</w:t>
      </w:r>
      <w:r>
        <w:rPr>
          <w:rFonts w:hint="eastAsia" w:ascii="宋体" w:hAnsi="宋体" w:eastAsia="宋体" w:cs="宋体"/>
          <w:sz w:val="24"/>
          <w:szCs w:val="24"/>
          <w:lang w:eastAsia="zh-CN"/>
        </w:rPr>
        <w:t>，</w:t>
      </w:r>
      <w:r>
        <w:rPr>
          <w:rFonts w:hint="eastAsia" w:ascii="宋体" w:hAnsi="宋体" w:eastAsia="宋体" w:cs="宋体"/>
          <w:sz w:val="24"/>
          <w:szCs w:val="24"/>
        </w:rPr>
        <w:t>且2022年10月1日后出具的审计报告应当经过注册会计师行业统一监管平台备案赋码。</w:t>
      </w:r>
    </w:p>
    <w:p w14:paraId="732CC746">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供应商适用《事业单位会计准则》的，财务报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是指上述指定年度整个会计年度财务报表（不要求必须是经审计的），复印件至少须包括资产负债表、收入支出表（或收入费用表）、财政补助收入支出表。</w:t>
      </w:r>
    </w:p>
    <w:p w14:paraId="67746915">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供应商适用《政府会计准则》的，财务报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是指上述指定年度整个会计年度财务报表（不要求必须是经审计的），复印件至少须包括资产负债表、收入费用表。</w:t>
      </w:r>
    </w:p>
    <w:p w14:paraId="78E49810">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供应商适用《民间非营利组织会计制度》的，财务报</w:t>
      </w:r>
      <w:r>
        <w:rPr>
          <w:rFonts w:hint="eastAsia" w:ascii="宋体" w:hAnsi="宋体" w:eastAsia="宋体" w:cs="宋体"/>
          <w:sz w:val="24"/>
          <w:szCs w:val="24"/>
          <w:lang w:val="en-US" w:eastAsia="zh-CN"/>
        </w:rPr>
        <w:t>告</w:t>
      </w:r>
      <w:r>
        <w:rPr>
          <w:rFonts w:hint="eastAsia" w:ascii="宋体" w:hAnsi="宋体" w:eastAsia="宋体" w:cs="宋体"/>
          <w:sz w:val="24"/>
          <w:szCs w:val="24"/>
        </w:rPr>
        <w:t>是指上述指定年度整个会计年度财务报表（不要求必须是经审计的），复印件至少须包括资产负债表、业务活动表、现金流量表。</w:t>
      </w:r>
    </w:p>
    <w:p w14:paraId="06B1F94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供应商是上述四种情况以外情况的，按照其依法适用的会计制度、财务规则或会计准则提供财务报表复印件（不要求必须是经审计的）。</w:t>
      </w:r>
    </w:p>
    <w:p w14:paraId="455B04ED">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提供资信证明的，应满足以下要求：</w:t>
      </w:r>
    </w:p>
    <w:p w14:paraId="1666CF46">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资信证明须为首次响应文件递交截止之日前三个月内由磋商供应商开户银行出具。（附《基本存款账户信息》或《银行开户许可证》复印件）</w:t>
      </w:r>
    </w:p>
    <w:p w14:paraId="43C4CBAE">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无论开具银行是否标明“复印无效”，供应商提供的复印件在本次</w:t>
      </w:r>
      <w:r>
        <w:rPr>
          <w:rFonts w:hint="eastAsia" w:ascii="宋体" w:hAnsi="宋体" w:eastAsia="宋体" w:cs="宋体"/>
          <w:sz w:val="24"/>
          <w:szCs w:val="24"/>
          <w:lang w:val="en-US" w:eastAsia="zh-CN"/>
        </w:rPr>
        <w:t>项目</w:t>
      </w:r>
      <w:r>
        <w:rPr>
          <w:rFonts w:hint="eastAsia" w:ascii="宋体" w:hAnsi="宋体" w:eastAsia="宋体" w:cs="宋体"/>
          <w:sz w:val="24"/>
          <w:szCs w:val="24"/>
        </w:rPr>
        <w:t>中予以认可（即不因“复印无效”字样而认定资信证明复印件无效）。银行出具的存款证明不能替代银行资信证明。</w:t>
      </w:r>
    </w:p>
    <w:p w14:paraId="22FBF2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）税收缴纳证明：</w:t>
      </w:r>
      <w:r>
        <w:rPr>
          <w:rFonts w:hint="eastAsia" w:ascii="宋体" w:hAnsi="宋体" w:eastAsia="宋体" w:cs="宋体"/>
          <w:b/>
          <w:bCs/>
          <w:sz w:val="24"/>
          <w:szCs w:val="24"/>
          <w:lang w:val="en-US" w:eastAsia="zh-Hans"/>
        </w:rPr>
        <w:t>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lang w:val="en-US" w:eastAsia="zh-Hans"/>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lang w:val="en-US" w:eastAsia="zh-Hans"/>
        </w:rPr>
        <w:t>个月的</w:t>
      </w:r>
      <w:r>
        <w:rPr>
          <w:rFonts w:hint="eastAsia" w:ascii="宋体" w:hAnsi="宋体" w:eastAsia="宋体" w:cs="宋体"/>
          <w:b/>
          <w:bCs/>
          <w:sz w:val="24"/>
          <w:szCs w:val="24"/>
        </w:rPr>
        <w:t>依法缴纳税收的相关凭据</w:t>
      </w:r>
      <w:r>
        <w:rPr>
          <w:rFonts w:hint="eastAsia" w:ascii="宋体" w:hAnsi="宋体" w:eastAsia="宋体" w:cs="宋体"/>
          <w:b/>
          <w:bCs/>
          <w:sz w:val="24"/>
          <w:szCs w:val="24"/>
          <w:lang w:val="en-US" w:eastAsia="zh-Hans"/>
        </w:rPr>
        <w:t>（时间以税款所属日期为准、税种须至少包含增值税或企业所得税）；依法免税的供应商，应提供相应文件证明其依法免税。</w:t>
      </w:r>
    </w:p>
    <w:p w14:paraId="41E02F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（5）社会保障资金缴纳证明：投标人须提供投标截止时间前</w:t>
      </w:r>
      <w:r>
        <w:rPr>
          <w:rFonts w:hint="eastAsia" w:ascii="宋体" w:hAnsi="宋体" w:eastAsia="宋体" w:cs="宋体"/>
          <w:b/>
          <w:bCs/>
          <w:sz w:val="24"/>
          <w:szCs w:val="24"/>
          <w:lang w:val="en-US" w:eastAsia="zh-CN"/>
        </w:rPr>
        <w:t>1年</w:t>
      </w:r>
      <w:r>
        <w:rPr>
          <w:rFonts w:hint="eastAsia" w:ascii="宋体" w:hAnsi="宋体" w:eastAsia="宋体" w:cs="宋体"/>
          <w:b/>
          <w:bCs/>
          <w:sz w:val="24"/>
          <w:szCs w:val="24"/>
        </w:rPr>
        <w:t>内</w:t>
      </w:r>
      <w:r>
        <w:rPr>
          <w:rFonts w:hint="eastAsia" w:ascii="宋体" w:hAnsi="宋体" w:eastAsia="宋体" w:cs="宋体"/>
          <w:b/>
          <w:bCs/>
          <w:sz w:val="24"/>
          <w:szCs w:val="24"/>
          <w:lang w:val="en-US" w:eastAsia="zh-CN"/>
        </w:rPr>
        <w:t>至少3</w:t>
      </w:r>
      <w:r>
        <w:rPr>
          <w:rFonts w:hint="eastAsia" w:ascii="宋体" w:hAnsi="宋体" w:eastAsia="宋体" w:cs="宋体"/>
          <w:b/>
          <w:bCs/>
          <w:sz w:val="24"/>
          <w:szCs w:val="24"/>
        </w:rPr>
        <w:t>个月的社会保障资金缴存单据或社保机构开具的社会保险参保缴费情况证明，单据或证明上应有社保机构或代收机构的公章或业务专用章；依法不需要缴纳社会保障资金的</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，应提供相应文件说明其依法不需要缴纳的证明材料复印件。</w:t>
      </w:r>
    </w:p>
    <w:p w14:paraId="0A3DB6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）提供具有履行本合同所必需的设备和专业技术能力的说明及承诺书；</w:t>
      </w:r>
    </w:p>
    <w:p w14:paraId="394E7C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）供应商未被“信用中国”网站（www.creditchina.gov.cn）列入失信被执行人和重大税收违法失信主体，未被中国政府采购网（www.ccgp.gov.cn）列入政府采购严重违法失信行为记录名单，</w:t>
      </w:r>
    </w:p>
    <w:p w14:paraId="51B59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）参加政府采购活动前3年内，在经营活动中没有重大违法记录的书面声明；</w:t>
      </w:r>
    </w:p>
    <w:p w14:paraId="5F544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）控股管理关系：提供直接控股和管理关系清单。若与其他供应商存在单位负责人为同一人或者存在直接控股、管理关系的，则投标无效；</w:t>
      </w:r>
    </w:p>
    <w:p w14:paraId="417C00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本项目不接受联合体投标（提供承诺书）。</w:t>
      </w:r>
    </w:p>
    <w:p w14:paraId="533DB81B">
      <w:pPr>
        <w:jc w:val="center"/>
        <w:outlineLvl w:val="1"/>
        <w:rPr>
          <w:rFonts w:hAnsi="宋体" w:cs="宋体"/>
          <w:b/>
          <w:bCs/>
          <w:sz w:val="30"/>
          <w:szCs w:val="30"/>
          <w:highlight w:val="none"/>
        </w:rPr>
      </w:pPr>
      <w:r>
        <w:rPr>
          <w:rFonts w:hint="eastAsia" w:hAnsi="宋体" w:cs="宋体"/>
          <w:szCs w:val="24"/>
          <w:highlight w:val="none"/>
        </w:rPr>
        <w:br w:type="page"/>
      </w:r>
      <w:bookmarkStart w:id="261" w:name="_Toc18561"/>
      <w:bookmarkStart w:id="262" w:name="_Toc12717"/>
      <w:bookmarkStart w:id="263" w:name="_Toc19114"/>
      <w:bookmarkStart w:id="264" w:name="_Toc23859"/>
      <w:bookmarkStart w:id="265" w:name="_Toc6853"/>
      <w:r>
        <w:rPr>
          <w:rFonts w:hint="eastAsia" w:hAnsi="宋体" w:cs="宋体"/>
          <w:b/>
          <w:bCs/>
          <w:sz w:val="30"/>
          <w:szCs w:val="30"/>
          <w:highlight w:val="none"/>
        </w:rPr>
        <w:t>七、其它</w:t>
      </w:r>
      <w:bookmarkEnd w:id="261"/>
      <w:bookmarkEnd w:id="262"/>
      <w:bookmarkEnd w:id="263"/>
      <w:bookmarkEnd w:id="264"/>
      <w:bookmarkEnd w:id="265"/>
    </w:p>
    <w:p w14:paraId="14CAF258">
      <w:pPr>
        <w:pStyle w:val="11"/>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14:paraId="2D8513DF">
      <w:pPr>
        <w:pStyle w:val="11"/>
        <w:rPr>
          <w:rFonts w:ascii="宋体" w:hAnsi="宋体" w:cs="宋体"/>
          <w:sz w:val="24"/>
          <w:szCs w:val="24"/>
          <w:highlight w:val="none"/>
        </w:rPr>
      </w:pPr>
      <w:r>
        <w:rPr>
          <w:rFonts w:hint="eastAsia" w:ascii="宋体" w:hAnsi="宋体" w:cs="宋体"/>
          <w:sz w:val="24"/>
          <w:szCs w:val="24"/>
          <w:highlight w:val="none"/>
        </w:rPr>
        <w:t>2、其他可以证明供应商实力的文件。</w:t>
      </w:r>
    </w:p>
    <w:p w14:paraId="38000DFA">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266" w:name="_Toc29387"/>
      <w:bookmarkStart w:id="267" w:name="_Toc15903"/>
      <w:bookmarkStart w:id="268" w:name="_Toc17513"/>
      <w:bookmarkStart w:id="269" w:name="_Toc6055"/>
      <w:r>
        <w:rPr>
          <w:rFonts w:hint="eastAsia" w:hAnsi="宋体" w:cs="宋体"/>
          <w:b/>
          <w:sz w:val="28"/>
          <w:szCs w:val="28"/>
          <w:highlight w:val="none"/>
        </w:rPr>
        <w:t>附件1：法定代表人身份证明授权书</w:t>
      </w:r>
      <w:bookmarkEnd w:id="266"/>
      <w:bookmarkEnd w:id="267"/>
      <w:bookmarkEnd w:id="268"/>
      <w:bookmarkEnd w:id="269"/>
    </w:p>
    <w:p w14:paraId="37461182">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0FF3F286">
      <w:pPr>
        <w:pStyle w:val="11"/>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14:paraId="0EBA723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14:paraId="3BD08907">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40D2E37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29982FF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6444A754">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08994BD">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14:paraId="05941411">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14:paraId="45D13B8C">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2DBE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16266D02">
            <w:pPr>
              <w:snapToGrid w:val="0"/>
              <w:spacing w:line="480" w:lineRule="auto"/>
              <w:jc w:val="center"/>
              <w:rPr>
                <w:rFonts w:hAnsi="宋体" w:cs="宋体"/>
                <w:szCs w:val="21"/>
                <w:highlight w:val="none"/>
              </w:rPr>
            </w:pPr>
          </w:p>
          <w:p w14:paraId="261B4E84">
            <w:pPr>
              <w:snapToGrid w:val="0"/>
              <w:spacing w:line="480" w:lineRule="auto"/>
              <w:jc w:val="center"/>
              <w:rPr>
                <w:rFonts w:hAnsi="宋体" w:cs="宋体"/>
                <w:szCs w:val="21"/>
                <w:highlight w:val="none"/>
              </w:rPr>
            </w:pPr>
          </w:p>
          <w:p w14:paraId="400CC4B6">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0D6E5293">
            <w:pPr>
              <w:pStyle w:val="11"/>
              <w:jc w:val="center"/>
              <w:rPr>
                <w:rFonts w:ascii="宋体" w:hAnsi="宋体" w:cs="宋体"/>
                <w:highlight w:val="none"/>
              </w:rPr>
            </w:pPr>
            <w:r>
              <w:rPr>
                <w:rFonts w:hint="eastAsia" w:ascii="宋体" w:hAnsi="宋体" w:cs="宋体"/>
                <w:szCs w:val="21"/>
                <w:highlight w:val="none"/>
              </w:rPr>
              <w:t>（正反面）</w:t>
            </w:r>
          </w:p>
          <w:p w14:paraId="33A7540B">
            <w:pPr>
              <w:snapToGrid w:val="0"/>
              <w:spacing w:line="480" w:lineRule="auto"/>
              <w:jc w:val="center"/>
              <w:rPr>
                <w:rFonts w:hAnsi="宋体" w:cs="宋体"/>
                <w:szCs w:val="21"/>
                <w:highlight w:val="none"/>
              </w:rPr>
            </w:pPr>
          </w:p>
          <w:p w14:paraId="53639DF9">
            <w:pPr>
              <w:snapToGrid w:val="0"/>
              <w:spacing w:line="480" w:lineRule="auto"/>
              <w:jc w:val="center"/>
              <w:rPr>
                <w:rFonts w:hAnsi="宋体" w:cs="宋体"/>
                <w:szCs w:val="21"/>
                <w:highlight w:val="none"/>
              </w:rPr>
            </w:pPr>
          </w:p>
        </w:tc>
      </w:tr>
    </w:tbl>
    <w:p w14:paraId="7F27BDE2">
      <w:pPr>
        <w:snapToGrid w:val="0"/>
        <w:spacing w:line="480" w:lineRule="auto"/>
        <w:rPr>
          <w:rFonts w:hAnsi="宋体" w:cs="宋体"/>
          <w:szCs w:val="21"/>
          <w:highlight w:val="none"/>
        </w:rPr>
      </w:pPr>
    </w:p>
    <w:p w14:paraId="62A85A28">
      <w:pPr>
        <w:snapToGrid w:val="0"/>
        <w:rPr>
          <w:rFonts w:hAnsi="宋体" w:cs="宋体"/>
          <w:szCs w:val="21"/>
          <w:highlight w:val="none"/>
        </w:rPr>
      </w:pPr>
    </w:p>
    <w:p w14:paraId="5E2A93A6">
      <w:pPr>
        <w:snapToGrid w:val="0"/>
        <w:rPr>
          <w:rFonts w:hAnsi="宋体" w:cs="宋体"/>
          <w:szCs w:val="21"/>
          <w:highlight w:val="none"/>
        </w:rPr>
      </w:pPr>
    </w:p>
    <w:p w14:paraId="26044440">
      <w:pPr>
        <w:snapToGrid w:val="0"/>
        <w:rPr>
          <w:rFonts w:hAnsi="宋体" w:cs="宋体"/>
          <w:szCs w:val="21"/>
          <w:highlight w:val="none"/>
        </w:rPr>
      </w:pPr>
    </w:p>
    <w:p w14:paraId="55193FBB">
      <w:pPr>
        <w:snapToGrid w:val="0"/>
        <w:rPr>
          <w:rFonts w:hAnsi="宋体" w:cs="宋体"/>
          <w:szCs w:val="21"/>
          <w:highlight w:val="none"/>
        </w:rPr>
      </w:pPr>
    </w:p>
    <w:p w14:paraId="4C158038">
      <w:pPr>
        <w:adjustRightInd w:val="0"/>
        <w:snapToGrid w:val="0"/>
        <w:spacing w:line="360" w:lineRule="auto"/>
        <w:rPr>
          <w:rFonts w:hAnsi="宋体" w:cs="宋体"/>
          <w:highlight w:val="none"/>
        </w:rPr>
      </w:pPr>
    </w:p>
    <w:p w14:paraId="053550BB">
      <w:pPr>
        <w:adjustRightInd w:val="0"/>
        <w:snapToGrid w:val="0"/>
        <w:spacing w:line="360" w:lineRule="auto"/>
        <w:ind w:right="420"/>
        <w:rPr>
          <w:rFonts w:hAnsi="宋体" w:cs="宋体"/>
          <w:highlight w:val="none"/>
        </w:rPr>
      </w:pPr>
    </w:p>
    <w:p w14:paraId="7CB92E00">
      <w:pPr>
        <w:adjustRightInd w:val="0"/>
        <w:snapToGrid w:val="0"/>
        <w:spacing w:line="360" w:lineRule="auto"/>
        <w:ind w:right="420"/>
        <w:rPr>
          <w:rFonts w:hAnsi="宋体" w:cs="宋体"/>
          <w:highlight w:val="none"/>
        </w:rPr>
      </w:pPr>
    </w:p>
    <w:p w14:paraId="6B5E37F7">
      <w:pPr>
        <w:adjustRightInd w:val="0"/>
        <w:snapToGrid w:val="0"/>
        <w:spacing w:line="360" w:lineRule="auto"/>
        <w:ind w:right="420"/>
        <w:rPr>
          <w:rFonts w:hAnsi="宋体" w:cs="宋体"/>
          <w:highlight w:val="none"/>
        </w:rPr>
      </w:pPr>
    </w:p>
    <w:p w14:paraId="3410DB37">
      <w:pPr>
        <w:adjustRightInd w:val="0"/>
        <w:snapToGrid w:val="0"/>
        <w:spacing w:line="360" w:lineRule="auto"/>
        <w:ind w:right="420"/>
        <w:rPr>
          <w:rFonts w:hAnsi="宋体" w:cs="宋体"/>
          <w:highlight w:val="none"/>
        </w:rPr>
      </w:pPr>
    </w:p>
    <w:p w14:paraId="18342730">
      <w:pPr>
        <w:adjustRightInd w:val="0"/>
        <w:snapToGrid w:val="0"/>
        <w:spacing w:line="360" w:lineRule="auto"/>
        <w:ind w:right="420"/>
        <w:rPr>
          <w:rFonts w:hAnsi="宋体" w:cs="宋体"/>
          <w:highlight w:val="none"/>
        </w:rPr>
      </w:pPr>
      <w:r>
        <w:rPr>
          <w:rFonts w:hint="eastAsia" w:hAnsi="宋体" w:cs="宋体"/>
          <w:highlight w:val="none"/>
        </w:rPr>
        <w:t>供应商名称（公章）：</w:t>
      </w:r>
    </w:p>
    <w:p w14:paraId="0393E45C">
      <w:pPr>
        <w:adjustRightInd w:val="0"/>
        <w:snapToGrid w:val="0"/>
        <w:spacing w:line="360" w:lineRule="auto"/>
        <w:ind w:right="420"/>
        <w:rPr>
          <w:rFonts w:hAnsi="宋体" w:cs="宋体"/>
          <w:highlight w:val="none"/>
        </w:rPr>
      </w:pPr>
      <w:r>
        <w:rPr>
          <w:rFonts w:hint="eastAsia" w:hAnsi="宋体" w:cs="宋体"/>
          <w:highlight w:val="none"/>
        </w:rPr>
        <w:t>日期：    年  月  日</w:t>
      </w:r>
    </w:p>
    <w:p w14:paraId="6135A598">
      <w:pPr>
        <w:pStyle w:val="11"/>
        <w:rPr>
          <w:rFonts w:ascii="宋体" w:hAnsi="宋体" w:cs="宋体"/>
          <w:highlight w:val="none"/>
        </w:rPr>
      </w:pPr>
    </w:p>
    <w:p w14:paraId="2FA1E8B2">
      <w:pPr>
        <w:spacing w:line="360" w:lineRule="auto"/>
        <w:jc w:val="left"/>
        <w:rPr>
          <w:rFonts w:hAnsi="宋体" w:cs="宋体"/>
          <w:spacing w:val="4"/>
          <w:szCs w:val="24"/>
          <w:highlight w:val="none"/>
        </w:rPr>
      </w:pPr>
    </w:p>
    <w:p w14:paraId="328785D0">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14:paraId="226716CF">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14:paraId="4133534D">
      <w:pPr>
        <w:spacing w:line="500" w:lineRule="exact"/>
        <w:ind w:firstLine="496" w:firstLineChars="200"/>
        <w:jc w:val="left"/>
        <w:rPr>
          <w:rFonts w:hint="eastAsia" w:hAnsi="宋体" w:eastAsia="宋体" w:cs="宋体"/>
          <w:spacing w:val="4"/>
          <w:szCs w:val="24"/>
          <w:highlight w:val="none"/>
          <w:lang w:eastAsia="zh-CN"/>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ighlight w:val="none"/>
          <w:u w:val="single"/>
          <w:lang w:eastAsia="zh-CN"/>
        </w:rPr>
        <w:t>：</w:t>
      </w:r>
      <w:r>
        <w:rPr>
          <w:rFonts w:hint="eastAsia"/>
          <w:highlight w:val="none"/>
          <w:u w:val="single"/>
          <w:lang w:val="en-US" w:eastAsia="zh-CN"/>
        </w:rPr>
        <w:t xml:space="preserve">  </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r>
        <w:rPr>
          <w:rFonts w:hint="eastAsia" w:hAnsi="宋体" w:cs="宋体"/>
          <w:spacing w:val="4"/>
          <w:szCs w:val="24"/>
          <w:highlight w:val="none"/>
          <w:lang w:eastAsia="zh-CN"/>
        </w:rPr>
        <w:t>。</w:t>
      </w:r>
    </w:p>
    <w:p w14:paraId="561EFB4B">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47675ACD">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14:paraId="7DF40260">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14:paraId="4F9605D7">
      <w:pPr>
        <w:spacing w:line="360" w:lineRule="auto"/>
        <w:ind w:firstLine="496" w:firstLineChars="200"/>
        <w:jc w:val="left"/>
        <w:rPr>
          <w:rFonts w:hint="eastAsia" w:hAnsi="宋体" w:eastAsia="宋体" w:cs="宋体"/>
          <w:spacing w:val="4"/>
          <w:szCs w:val="24"/>
          <w:highlight w:val="none"/>
          <w:lang w:val="en-US" w:eastAsia="zh-CN"/>
        </w:rPr>
      </w:pPr>
      <w:r>
        <w:rPr>
          <w:rFonts w:hint="eastAsia" w:hAnsi="宋体" w:cs="宋体"/>
          <w:spacing w:val="4"/>
          <w:szCs w:val="24"/>
          <w:highlight w:val="none"/>
          <w:lang w:val="en-US" w:eastAsia="zh-CN"/>
        </w:rPr>
        <w:t xml:space="preserve"> </w:t>
      </w:r>
    </w:p>
    <w:tbl>
      <w:tblPr>
        <w:tblStyle w:val="24"/>
        <w:tblW w:w="0" w:type="auto"/>
        <w:tblInd w:w="633" w:type="dxa"/>
        <w:tblLayout w:type="fixed"/>
        <w:tblCellMar>
          <w:top w:w="0" w:type="dxa"/>
          <w:left w:w="108" w:type="dxa"/>
          <w:bottom w:w="0" w:type="dxa"/>
          <w:right w:w="108" w:type="dxa"/>
        </w:tblCellMar>
      </w:tblPr>
      <w:tblGrid>
        <w:gridCol w:w="4200"/>
        <w:gridCol w:w="3990"/>
      </w:tblGrid>
      <w:tr w14:paraId="6DFC340E">
        <w:tblPrEx>
          <w:tblCellMar>
            <w:top w:w="0" w:type="dxa"/>
            <w:left w:w="108" w:type="dxa"/>
            <w:bottom w:w="0" w:type="dxa"/>
            <w:right w:w="108" w:type="dxa"/>
          </w:tblCellMar>
        </w:tblPrEx>
        <w:trPr>
          <w:trHeight w:val="600" w:hRule="atLeast"/>
        </w:trPr>
        <w:tc>
          <w:tcPr>
            <w:tcW w:w="4200" w:type="dxa"/>
          </w:tcPr>
          <w:p w14:paraId="143CA7C2">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29BE82B7">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14:paraId="712E96F9">
        <w:tblPrEx>
          <w:tblCellMar>
            <w:top w:w="0" w:type="dxa"/>
            <w:left w:w="108" w:type="dxa"/>
            <w:bottom w:w="0" w:type="dxa"/>
            <w:right w:w="108" w:type="dxa"/>
          </w:tblCellMar>
        </w:tblPrEx>
        <w:trPr>
          <w:trHeight w:val="600" w:hRule="atLeast"/>
        </w:trPr>
        <w:tc>
          <w:tcPr>
            <w:tcW w:w="4200" w:type="dxa"/>
          </w:tcPr>
          <w:p w14:paraId="5D0CFBD1">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7718B6D3">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14:paraId="16E141E2">
        <w:tblPrEx>
          <w:tblCellMar>
            <w:top w:w="0" w:type="dxa"/>
            <w:left w:w="108" w:type="dxa"/>
            <w:bottom w:w="0" w:type="dxa"/>
            <w:right w:w="108" w:type="dxa"/>
          </w:tblCellMar>
        </w:tblPrEx>
        <w:trPr>
          <w:trHeight w:val="600" w:hRule="atLeast"/>
        </w:trPr>
        <w:tc>
          <w:tcPr>
            <w:tcW w:w="4200" w:type="dxa"/>
          </w:tcPr>
          <w:p w14:paraId="3C5E1882">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A0C282F">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14:paraId="3C949439">
        <w:tblPrEx>
          <w:tblCellMar>
            <w:top w:w="0" w:type="dxa"/>
            <w:left w:w="108" w:type="dxa"/>
            <w:bottom w:w="0" w:type="dxa"/>
            <w:right w:w="108" w:type="dxa"/>
          </w:tblCellMar>
        </w:tblPrEx>
        <w:trPr>
          <w:trHeight w:val="600" w:hRule="atLeast"/>
        </w:trPr>
        <w:tc>
          <w:tcPr>
            <w:tcW w:w="4200" w:type="dxa"/>
          </w:tcPr>
          <w:p w14:paraId="3FD4CA39">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145480F6">
            <w:pPr>
              <w:spacing w:line="360" w:lineRule="auto"/>
              <w:jc w:val="left"/>
              <w:rPr>
                <w:rFonts w:hAnsi="宋体" w:cs="宋体"/>
                <w:spacing w:val="4"/>
                <w:szCs w:val="24"/>
                <w:highlight w:val="none"/>
              </w:rPr>
            </w:pPr>
          </w:p>
        </w:tc>
      </w:tr>
    </w:tbl>
    <w:p w14:paraId="3300DB1C">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14:paraId="3C2217EA">
      <w:pPr>
        <w:spacing w:line="360" w:lineRule="auto"/>
        <w:rPr>
          <w:rFonts w:hAnsi="宋体" w:cs="宋体"/>
          <w:spacing w:val="4"/>
          <w:szCs w:val="24"/>
          <w:highlight w:val="none"/>
        </w:rPr>
      </w:pPr>
    </w:p>
    <w:tbl>
      <w:tblPr>
        <w:tblStyle w:val="24"/>
        <w:tblW w:w="0" w:type="auto"/>
        <w:tblInd w:w="540" w:type="dxa"/>
        <w:tblLayout w:type="fixed"/>
        <w:tblCellMar>
          <w:top w:w="0" w:type="dxa"/>
          <w:left w:w="108" w:type="dxa"/>
          <w:bottom w:w="0" w:type="dxa"/>
          <w:right w:w="108" w:type="dxa"/>
        </w:tblCellMar>
      </w:tblPr>
      <w:tblGrid>
        <w:gridCol w:w="4246"/>
        <w:gridCol w:w="4111"/>
      </w:tblGrid>
      <w:tr w14:paraId="7974D0C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3E40746">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14:paraId="234E0467">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C3FAC75">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14:paraId="62C000FF">
            <w:pPr>
              <w:spacing w:line="360" w:lineRule="auto"/>
              <w:jc w:val="center"/>
              <w:rPr>
                <w:rFonts w:hAnsi="宋体" w:cs="宋体"/>
                <w:highlight w:val="none"/>
                <w:u w:val="single"/>
              </w:rPr>
            </w:pPr>
            <w:r>
              <w:rPr>
                <w:rFonts w:hint="eastAsia" w:hAnsi="宋体" w:cs="宋体"/>
                <w:szCs w:val="21"/>
                <w:highlight w:val="none"/>
                <w:lang w:val="zh-CN"/>
              </w:rPr>
              <w:t>（正反面）</w:t>
            </w:r>
          </w:p>
        </w:tc>
      </w:tr>
    </w:tbl>
    <w:p w14:paraId="4823542D">
      <w:pPr>
        <w:spacing w:line="360" w:lineRule="auto"/>
        <w:ind w:firstLine="510"/>
        <w:rPr>
          <w:rFonts w:hAnsi="宋体" w:cs="宋体"/>
          <w:spacing w:val="4"/>
          <w:szCs w:val="24"/>
          <w:highlight w:val="none"/>
        </w:rPr>
      </w:pPr>
    </w:p>
    <w:p w14:paraId="60DA9D0F">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14:paraId="73686F33">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14:paraId="57D0A3BC">
      <w:pPr>
        <w:rPr>
          <w:rFonts w:hAnsi="宋体" w:cs="宋体"/>
          <w:spacing w:val="4"/>
          <w:szCs w:val="30"/>
          <w:highlight w:val="none"/>
        </w:rPr>
      </w:pPr>
      <w:r>
        <w:rPr>
          <w:rFonts w:hint="eastAsia" w:hAnsi="宋体" w:cs="宋体"/>
          <w:b/>
          <w:sz w:val="28"/>
          <w:szCs w:val="28"/>
          <w:highlight w:val="none"/>
        </w:rPr>
        <w:br w:type="page"/>
      </w:r>
      <w:bookmarkStart w:id="270" w:name="_Toc11767"/>
      <w:bookmarkStart w:id="271" w:name="_Toc17295"/>
    </w:p>
    <w:p w14:paraId="538DBF84">
      <w:pPr>
        <w:widowControl/>
        <w:spacing w:line="360" w:lineRule="auto"/>
        <w:ind w:left="1" w:firstLine="281" w:firstLineChars="100"/>
        <w:rPr>
          <w:rFonts w:hAnsi="宋体" w:cs="宋体"/>
          <w:b/>
          <w:sz w:val="28"/>
          <w:szCs w:val="28"/>
          <w:highlight w:val="none"/>
        </w:rPr>
      </w:pPr>
    </w:p>
    <w:p w14:paraId="6FBE75E9">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14:paraId="1A548084">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7FC3EF9C">
      <w:pPr>
        <w:pStyle w:val="21"/>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14:paraId="76DC189A">
      <w:pPr>
        <w:pStyle w:val="21"/>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14:paraId="1C3A94D9">
      <w:pPr>
        <w:pStyle w:val="21"/>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67C7C8B">
      <w:pPr>
        <w:pStyle w:val="21"/>
        <w:wordWrap w:val="0"/>
        <w:spacing w:beforeAutospacing="0" w:afterAutospacing="0" w:line="560" w:lineRule="exact"/>
        <w:ind w:firstLine="420"/>
        <w:rPr>
          <w:rFonts w:cs="宋体"/>
          <w:highlight w:val="none"/>
        </w:rPr>
      </w:pPr>
      <w:r>
        <w:rPr>
          <w:rFonts w:hint="eastAsia" w:cs="宋体"/>
          <w:highlight w:val="none"/>
          <w:shd w:val="clear" w:color="auto" w:fill="FFFFFF"/>
        </w:rPr>
        <w:t>如有不实，我方将无条件地退出本项目的采购活动，并遵照《</w:t>
      </w:r>
      <w:r>
        <w:rPr>
          <w:rFonts w:hint="eastAsia" w:cs="宋体"/>
          <w:highlight w:val="none"/>
          <w:shd w:val="clear" w:color="auto" w:fill="FFFFFF"/>
        </w:rPr>
        <w:fldChar w:fldCharType="begin"/>
      </w:r>
      <w:r>
        <w:rPr>
          <w:rFonts w:hint="eastAsia" w:cs="宋体"/>
          <w:highlight w:val="none"/>
          <w:shd w:val="clear" w:color="auto" w:fill="FFFFFF"/>
        </w:rPr>
        <w:instrText xml:space="preserve"> HYPERLINK "https://www.ccgp-shaanxi.gov.cn/freecms/site/shaanxi/ggxx/info/oldweb/4028807e62394cf101623bd796a20016.html" \t "https://www.ccgp-shaanxi.gov.cn/cms-sx/site/shanxi/zcfg/_blank" </w:instrText>
      </w:r>
      <w:r>
        <w:rPr>
          <w:rFonts w:hint="eastAsia" w:cs="宋体"/>
          <w:highlight w:val="none"/>
          <w:shd w:val="clear" w:color="auto" w:fill="FFFFFF"/>
        </w:rPr>
        <w:fldChar w:fldCharType="separate"/>
      </w:r>
      <w:r>
        <w:rPr>
          <w:rFonts w:hint="eastAsia" w:cs="宋体"/>
          <w:highlight w:val="none"/>
          <w:shd w:val="clear" w:color="auto" w:fill="FFFFFF"/>
        </w:rPr>
        <w:t>中华人民共和国政府采购法</w:t>
      </w:r>
      <w:r>
        <w:rPr>
          <w:rFonts w:hint="eastAsia" w:cs="宋体"/>
          <w:highlight w:val="none"/>
          <w:shd w:val="clear" w:color="auto" w:fill="FFFFFF"/>
        </w:rPr>
        <w:fldChar w:fldCharType="end"/>
      </w:r>
      <w:r>
        <w:rPr>
          <w:rFonts w:hint="eastAsia" w:cs="宋体"/>
          <w:highlight w:val="none"/>
          <w:shd w:val="clear" w:color="auto" w:fill="FFFFFF"/>
        </w:rPr>
        <w:t xml:space="preserve">》有关“提供虚假材料的规定”接受处罚。 </w:t>
      </w:r>
    </w:p>
    <w:p w14:paraId="5ED101F1">
      <w:pPr>
        <w:pStyle w:val="21"/>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14:paraId="72ED12AF">
      <w:pPr>
        <w:pStyle w:val="21"/>
        <w:wordWrap w:val="0"/>
        <w:spacing w:beforeAutospacing="0" w:afterAutospacing="0" w:line="560" w:lineRule="exact"/>
        <w:ind w:firstLine="420"/>
        <w:rPr>
          <w:rFonts w:cs="宋体"/>
          <w:highlight w:val="none"/>
          <w:shd w:val="clear" w:color="auto" w:fill="FFFFFF"/>
        </w:rPr>
      </w:pPr>
    </w:p>
    <w:p w14:paraId="7969BBA3">
      <w:pPr>
        <w:spacing w:line="480" w:lineRule="auto"/>
        <w:ind w:firstLine="3360" w:firstLineChars="1400"/>
        <w:rPr>
          <w:rFonts w:hAnsi="宋体" w:cs="宋体"/>
          <w:highlight w:val="none"/>
        </w:rPr>
      </w:pPr>
      <w:r>
        <w:rPr>
          <w:rFonts w:hint="eastAsia" w:hAnsi="宋体" w:cs="宋体"/>
          <w:highlight w:val="none"/>
          <w:lang w:val="en-US" w:eastAsia="zh-CN"/>
        </w:rPr>
        <w:t>供应商</w:t>
      </w:r>
      <w:r>
        <w:rPr>
          <w:rFonts w:hint="eastAsia" w:hAnsi="宋体" w:cs="宋体"/>
          <w:highlight w:val="none"/>
        </w:rPr>
        <w:t>名称：</w:t>
      </w:r>
      <w:r>
        <w:rPr>
          <w:rFonts w:hint="eastAsia" w:hAnsi="宋体" w:cs="宋体"/>
          <w:highlight w:val="none"/>
          <w:u w:val="single"/>
        </w:rPr>
        <w:t xml:space="preserve">               </w:t>
      </w:r>
      <w:r>
        <w:rPr>
          <w:rFonts w:hint="eastAsia" w:hAnsi="宋体" w:cs="宋体"/>
          <w:highlight w:val="none"/>
        </w:rPr>
        <w:t>（盖章）</w:t>
      </w:r>
    </w:p>
    <w:p w14:paraId="7E6D0C67">
      <w:pPr>
        <w:pStyle w:val="37"/>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7A3C6764">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D6CE2">
      <w:pPr>
        <w:adjustRightInd w:val="0"/>
        <w:snapToGrid w:val="0"/>
        <w:spacing w:line="360" w:lineRule="auto"/>
        <w:jc w:val="center"/>
        <w:rPr>
          <w:rFonts w:asciiTheme="minorEastAsia" w:hAnsiTheme="minorEastAsia" w:eastAsiaTheme="minorEastAsia" w:cstheme="minorEastAsia"/>
          <w:b/>
          <w:sz w:val="28"/>
          <w:szCs w:val="28"/>
          <w:highlight w:val="none"/>
        </w:rPr>
      </w:pPr>
    </w:p>
    <w:p w14:paraId="49951BFD">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14:paraId="1A13F17A">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14:paraId="1C2E8F5A">
      <w:pPr>
        <w:rPr>
          <w:highlight w:val="none"/>
        </w:rPr>
      </w:pPr>
    </w:p>
    <w:p w14:paraId="53773966">
      <w:pPr>
        <w:pStyle w:val="15"/>
        <w:adjustRightInd w:val="0"/>
        <w:snapToGrid w:val="0"/>
        <w:spacing w:line="720" w:lineRule="exact"/>
        <w:jc w:val="center"/>
        <w:rPr>
          <w:rFonts w:hAnsi="宋体" w:cs="宋体"/>
          <w:b/>
          <w:sz w:val="28"/>
          <w:szCs w:val="28"/>
          <w:highlight w:val="none"/>
        </w:rPr>
      </w:pPr>
    </w:p>
    <w:p w14:paraId="3015D640">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14:paraId="5EC58F23">
      <w:pPr>
        <w:pStyle w:val="15"/>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14:paraId="0E2F7E81">
      <w:pPr>
        <w:pStyle w:val="15"/>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14:paraId="514057F9">
      <w:pPr>
        <w:pStyle w:val="15"/>
        <w:adjustRightInd w:val="0"/>
        <w:snapToGrid w:val="0"/>
        <w:spacing w:line="720" w:lineRule="exact"/>
        <w:rPr>
          <w:rFonts w:hAnsi="宋体" w:cs="宋体"/>
          <w:spacing w:val="4"/>
          <w:sz w:val="24"/>
          <w:szCs w:val="24"/>
          <w:highlight w:val="none"/>
        </w:rPr>
      </w:pPr>
    </w:p>
    <w:p w14:paraId="5CBBC02A">
      <w:pPr>
        <w:pStyle w:val="15"/>
        <w:adjustRightInd w:val="0"/>
        <w:snapToGrid w:val="0"/>
        <w:spacing w:line="720" w:lineRule="exact"/>
        <w:rPr>
          <w:rFonts w:hAnsi="宋体" w:cs="宋体"/>
          <w:spacing w:val="4"/>
          <w:sz w:val="24"/>
          <w:szCs w:val="24"/>
          <w:highlight w:val="none"/>
        </w:rPr>
      </w:pPr>
    </w:p>
    <w:p w14:paraId="2866D51E">
      <w:pPr>
        <w:pStyle w:val="15"/>
        <w:adjustRightInd w:val="0"/>
        <w:snapToGrid w:val="0"/>
        <w:spacing w:line="720" w:lineRule="exact"/>
        <w:rPr>
          <w:rFonts w:hAnsi="宋体" w:cs="宋体"/>
          <w:spacing w:val="4"/>
          <w:sz w:val="24"/>
          <w:szCs w:val="24"/>
          <w:highlight w:val="none"/>
        </w:rPr>
      </w:pPr>
    </w:p>
    <w:p w14:paraId="6B562C38">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14:paraId="64845D1B">
      <w:pPr>
        <w:pStyle w:val="37"/>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14:paraId="07236428">
      <w:pPr>
        <w:keepNext w:val="0"/>
        <w:keepLines w:val="0"/>
        <w:widowControl/>
        <w:suppressLineNumbers w:val="0"/>
        <w:jc w:val="both"/>
        <w:rPr>
          <w:rFonts w:hint="eastAsia" w:ascii="宋体" w:hAnsi="宋体" w:eastAsia="宋体" w:cs="宋体"/>
          <w:sz w:val="28"/>
          <w:szCs w:val="28"/>
          <w:highlight w:val="none"/>
        </w:rPr>
      </w:pPr>
      <w:r>
        <w:rPr>
          <w:rFonts w:hint="eastAsia" w:hAnsi="宋体" w:cs="宋体"/>
          <w:spacing w:val="4"/>
          <w:szCs w:val="30"/>
          <w:highlight w:val="none"/>
        </w:rPr>
        <w:br w:type="page"/>
      </w:r>
      <w:r>
        <w:rPr>
          <w:rFonts w:hint="eastAsia" w:ascii="宋体" w:hAnsi="宋体" w:eastAsia="宋体" w:cs="宋体"/>
          <w:b/>
          <w:bCs/>
          <w:color w:val="000000"/>
          <w:kern w:val="0"/>
          <w:sz w:val="28"/>
          <w:szCs w:val="28"/>
          <w:highlight w:val="none"/>
          <w:lang w:val="en-US" w:eastAsia="zh-CN" w:bidi="ar"/>
        </w:rPr>
        <w:t>投标人提供直接控股和管理关系清单，格式不限。</w:t>
      </w:r>
    </w:p>
    <w:p w14:paraId="583590A3">
      <w:pPr>
        <w:keepNext w:val="0"/>
        <w:keepLines w:val="0"/>
        <w:widowControl/>
        <w:suppressLineNumbers w:val="0"/>
        <w:jc w:val="center"/>
        <w:rPr>
          <w:rFonts w:hint="eastAsia" w:ascii="宋体" w:hAnsi="宋体" w:eastAsia="宋体" w:cs="宋体"/>
          <w:sz w:val="28"/>
          <w:szCs w:val="28"/>
          <w:highlight w:val="none"/>
        </w:rPr>
      </w:pPr>
      <w:r>
        <w:rPr>
          <w:rFonts w:hint="eastAsia" w:ascii="宋体" w:hAnsi="宋体" w:eastAsia="宋体" w:cs="宋体"/>
          <w:b/>
          <w:bCs/>
          <w:color w:val="000000"/>
          <w:kern w:val="0"/>
          <w:sz w:val="28"/>
          <w:szCs w:val="28"/>
          <w:highlight w:val="none"/>
          <w:lang w:val="en-US" w:eastAsia="zh-CN" w:bidi="ar"/>
        </w:rPr>
        <w:t>控股管理关系（样表）</w:t>
      </w:r>
    </w:p>
    <w:p w14:paraId="0EAA7A8C">
      <w:pPr>
        <w:keepNext w:val="0"/>
        <w:keepLines w:val="0"/>
        <w:widowControl/>
        <w:suppressLineNumbers w:val="0"/>
        <w:jc w:val="left"/>
        <w:rPr>
          <w:rFonts w:hint="eastAsia" w:ascii="宋体" w:hAnsi="宋体" w:eastAsia="宋体" w:cs="宋体"/>
          <w:color w:val="000000"/>
          <w:kern w:val="0"/>
          <w:sz w:val="28"/>
          <w:szCs w:val="28"/>
          <w:highlight w:val="none"/>
          <w:lang w:val="en-US" w:eastAsia="zh-CN" w:bidi="ar"/>
        </w:rPr>
      </w:pPr>
    </w:p>
    <w:p w14:paraId="12C0B2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陕西至诚项目管理集团有限公司：</w:t>
      </w:r>
    </w:p>
    <w:p w14:paraId="6D495C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我方与以下投标人存在直接控股、管理关系：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3977"/>
        <w:gridCol w:w="3129"/>
        <w:gridCol w:w="1387"/>
      </w:tblGrid>
      <w:tr w14:paraId="6D3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1" w:type="dxa"/>
            <w:gridSpan w:val="4"/>
            <w:vAlign w:val="center"/>
          </w:tcPr>
          <w:p w14:paraId="219E742A">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存在直接控股、管理关系的相关投标人</w:t>
            </w:r>
          </w:p>
        </w:tc>
      </w:tr>
      <w:tr w14:paraId="47C5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576DC4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序号</w:t>
            </w:r>
          </w:p>
        </w:tc>
        <w:tc>
          <w:tcPr>
            <w:tcW w:w="4005" w:type="dxa"/>
            <w:vAlign w:val="center"/>
          </w:tcPr>
          <w:p w14:paraId="014ACFB9">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直接控股股东名称及出资比例</w:t>
            </w:r>
          </w:p>
        </w:tc>
        <w:tc>
          <w:tcPr>
            <w:tcW w:w="3150" w:type="dxa"/>
            <w:vAlign w:val="center"/>
          </w:tcPr>
          <w:p w14:paraId="7567995E">
            <w:pPr>
              <w:jc w:val="center"/>
              <w:rPr>
                <w:rFonts w:hint="default" w:hAnsi="宋体" w:cs="宋体"/>
                <w:b/>
                <w:bCs/>
                <w:color w:val="auto"/>
                <w:sz w:val="24"/>
                <w:szCs w:val="24"/>
                <w:highlight w:val="none"/>
                <w:shd w:val="clear" w:color="auto" w:fill="FFFFFF"/>
                <w:vertAlign w:val="baseline"/>
                <w:lang w:val="en-US" w:eastAsia="zh-CN"/>
              </w:rPr>
            </w:pPr>
            <w:r>
              <w:rPr>
                <w:rFonts w:hint="default" w:hAnsi="宋体" w:cs="宋体"/>
                <w:b/>
                <w:bCs/>
                <w:color w:val="auto"/>
                <w:sz w:val="24"/>
                <w:szCs w:val="24"/>
                <w:highlight w:val="none"/>
                <w:shd w:val="clear" w:color="auto" w:fill="FFFFFF"/>
                <w:vertAlign w:val="baseline"/>
                <w:lang w:val="en-US" w:eastAsia="zh-CN"/>
              </w:rPr>
              <w:t>直接管理关系单位名称</w:t>
            </w:r>
          </w:p>
        </w:tc>
        <w:tc>
          <w:tcPr>
            <w:tcW w:w="1394" w:type="dxa"/>
            <w:vAlign w:val="center"/>
          </w:tcPr>
          <w:p w14:paraId="2FE55B9C">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备注</w:t>
            </w:r>
          </w:p>
        </w:tc>
      </w:tr>
      <w:tr w14:paraId="1D8D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1B953EE8">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1</w:t>
            </w:r>
          </w:p>
        </w:tc>
        <w:tc>
          <w:tcPr>
            <w:tcW w:w="4005" w:type="dxa"/>
            <w:vAlign w:val="top"/>
          </w:tcPr>
          <w:p w14:paraId="5745663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29447FAB">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68969871">
            <w:pPr>
              <w:rPr>
                <w:rFonts w:hint="default" w:hAnsi="宋体" w:cs="宋体"/>
                <w:b/>
                <w:bCs/>
                <w:color w:val="auto"/>
                <w:sz w:val="24"/>
                <w:szCs w:val="24"/>
                <w:highlight w:val="none"/>
                <w:shd w:val="clear" w:color="auto" w:fill="FFFFFF"/>
                <w:vertAlign w:val="baseline"/>
                <w:lang w:val="en-US" w:eastAsia="zh-CN"/>
              </w:rPr>
            </w:pPr>
          </w:p>
        </w:tc>
      </w:tr>
      <w:tr w14:paraId="75DF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B99A94B">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2</w:t>
            </w:r>
          </w:p>
        </w:tc>
        <w:tc>
          <w:tcPr>
            <w:tcW w:w="4005" w:type="dxa"/>
            <w:vAlign w:val="top"/>
          </w:tcPr>
          <w:p w14:paraId="4F0E0D0D">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4E67BAF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5801F789">
            <w:pPr>
              <w:rPr>
                <w:rFonts w:hint="default" w:hAnsi="宋体" w:cs="宋体"/>
                <w:b/>
                <w:bCs/>
                <w:color w:val="auto"/>
                <w:sz w:val="24"/>
                <w:szCs w:val="24"/>
                <w:highlight w:val="none"/>
                <w:shd w:val="clear" w:color="auto" w:fill="FFFFFF"/>
                <w:vertAlign w:val="baseline"/>
                <w:lang w:val="en-US" w:eastAsia="zh-CN"/>
              </w:rPr>
            </w:pPr>
          </w:p>
        </w:tc>
      </w:tr>
      <w:tr w14:paraId="4D76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084DC1E7">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3</w:t>
            </w:r>
          </w:p>
        </w:tc>
        <w:tc>
          <w:tcPr>
            <w:tcW w:w="4005" w:type="dxa"/>
            <w:vAlign w:val="top"/>
          </w:tcPr>
          <w:p w14:paraId="07E8E6CB">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7D014AB7">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7CD49ECC">
            <w:pPr>
              <w:rPr>
                <w:rFonts w:hint="default" w:hAnsi="宋体" w:cs="宋体"/>
                <w:b/>
                <w:bCs/>
                <w:color w:val="auto"/>
                <w:sz w:val="24"/>
                <w:szCs w:val="24"/>
                <w:highlight w:val="none"/>
                <w:shd w:val="clear" w:color="auto" w:fill="FFFFFF"/>
                <w:vertAlign w:val="baseline"/>
                <w:lang w:val="en-US" w:eastAsia="zh-CN"/>
              </w:rPr>
            </w:pPr>
          </w:p>
        </w:tc>
      </w:tr>
      <w:tr w14:paraId="610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2" w:type="dxa"/>
            <w:vAlign w:val="center"/>
          </w:tcPr>
          <w:p w14:paraId="618CD7C5">
            <w:pPr>
              <w:jc w:val="center"/>
              <w:rPr>
                <w:rFonts w:hint="default" w:hAnsi="宋体" w:cs="宋体"/>
                <w:b/>
                <w:bCs/>
                <w:color w:val="auto"/>
                <w:sz w:val="24"/>
                <w:szCs w:val="24"/>
                <w:highlight w:val="none"/>
                <w:shd w:val="clear" w:color="auto" w:fill="FFFFFF"/>
                <w:vertAlign w:val="baseline"/>
                <w:lang w:val="en-US" w:eastAsia="zh-CN"/>
              </w:rPr>
            </w:pPr>
            <w:r>
              <w:rPr>
                <w:rFonts w:hint="eastAsia" w:hAnsi="宋体" w:cs="宋体"/>
                <w:b/>
                <w:bCs/>
                <w:color w:val="auto"/>
                <w:sz w:val="24"/>
                <w:szCs w:val="24"/>
                <w:highlight w:val="none"/>
                <w:shd w:val="clear" w:color="auto" w:fill="FFFFFF"/>
                <w:vertAlign w:val="baseline"/>
                <w:lang w:val="en-US" w:eastAsia="zh-CN"/>
              </w:rPr>
              <w:t>......</w:t>
            </w:r>
          </w:p>
        </w:tc>
        <w:tc>
          <w:tcPr>
            <w:tcW w:w="4005" w:type="dxa"/>
            <w:vAlign w:val="top"/>
          </w:tcPr>
          <w:p w14:paraId="1AED3C23">
            <w:pPr>
              <w:rPr>
                <w:rFonts w:hint="default" w:hAnsi="宋体" w:cs="宋体"/>
                <w:b/>
                <w:bCs/>
                <w:color w:val="auto"/>
                <w:sz w:val="24"/>
                <w:szCs w:val="24"/>
                <w:highlight w:val="none"/>
                <w:shd w:val="clear" w:color="auto" w:fill="FFFFFF"/>
                <w:vertAlign w:val="baseline"/>
                <w:lang w:val="en-US" w:eastAsia="zh-CN"/>
              </w:rPr>
            </w:pPr>
          </w:p>
        </w:tc>
        <w:tc>
          <w:tcPr>
            <w:tcW w:w="3150" w:type="dxa"/>
            <w:vAlign w:val="top"/>
          </w:tcPr>
          <w:p w14:paraId="14D3EA6E">
            <w:pPr>
              <w:rPr>
                <w:rFonts w:hint="default" w:hAnsi="宋体" w:cs="宋体"/>
                <w:b/>
                <w:bCs/>
                <w:color w:val="auto"/>
                <w:sz w:val="24"/>
                <w:szCs w:val="24"/>
                <w:highlight w:val="none"/>
                <w:shd w:val="clear" w:color="auto" w:fill="FFFFFF"/>
                <w:vertAlign w:val="baseline"/>
                <w:lang w:val="en-US" w:eastAsia="zh-CN"/>
              </w:rPr>
            </w:pPr>
          </w:p>
        </w:tc>
        <w:tc>
          <w:tcPr>
            <w:tcW w:w="1394" w:type="dxa"/>
            <w:vAlign w:val="top"/>
          </w:tcPr>
          <w:p w14:paraId="0EBC2D42">
            <w:pPr>
              <w:rPr>
                <w:rFonts w:hint="default" w:hAnsi="宋体" w:cs="宋体"/>
                <w:b/>
                <w:bCs/>
                <w:color w:val="auto"/>
                <w:sz w:val="24"/>
                <w:szCs w:val="24"/>
                <w:highlight w:val="none"/>
                <w:shd w:val="clear" w:color="auto" w:fill="FFFFFF"/>
                <w:vertAlign w:val="baseline"/>
                <w:lang w:val="en-US" w:eastAsia="zh-CN"/>
              </w:rPr>
            </w:pPr>
          </w:p>
        </w:tc>
      </w:tr>
    </w:tbl>
    <w:p w14:paraId="0A56DA54">
      <w:pPr>
        <w:rPr>
          <w:rFonts w:hint="default" w:hAnsi="宋体" w:cs="宋体"/>
          <w:b/>
          <w:bCs/>
          <w:color w:val="auto"/>
          <w:sz w:val="32"/>
          <w:szCs w:val="32"/>
          <w:highlight w:val="none"/>
          <w:shd w:val="clear" w:color="auto" w:fill="FFFFFF"/>
          <w:lang w:val="en-US" w:eastAsia="zh-CN"/>
        </w:rPr>
      </w:pPr>
    </w:p>
    <w:p w14:paraId="785C0A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highlight w:val="none"/>
          <w:lang w:val="en-US" w:eastAsia="zh-CN" w:bidi="ar"/>
        </w:rPr>
      </w:pPr>
    </w:p>
    <w:p w14:paraId="44045110">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投标人名称：</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（加盖公章）</w:t>
      </w:r>
    </w:p>
    <w:p w14:paraId="719F73B5">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日期：</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年</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月</w:t>
      </w:r>
      <w:r>
        <w:rPr>
          <w:rFonts w:hint="eastAsia" w:ascii="宋体" w:hAnsi="宋体" w:eastAsia="宋体" w:cs="宋体"/>
          <w:color w:val="000000"/>
          <w:kern w:val="0"/>
          <w:sz w:val="24"/>
          <w:szCs w:val="24"/>
          <w:highlight w:val="none"/>
          <w:u w:val="single"/>
          <w:lang w:val="en-US" w:eastAsia="zh-CN" w:bidi="ar"/>
        </w:rPr>
        <w:t xml:space="preserve">    </w:t>
      </w:r>
      <w:r>
        <w:rPr>
          <w:rFonts w:hint="eastAsia" w:ascii="宋体" w:hAnsi="宋体" w:eastAsia="宋体" w:cs="宋体"/>
          <w:color w:val="000000"/>
          <w:kern w:val="0"/>
          <w:sz w:val="24"/>
          <w:szCs w:val="24"/>
          <w:highlight w:val="none"/>
          <w:lang w:val="en-US" w:eastAsia="zh-CN" w:bidi="ar"/>
        </w:rPr>
        <w:t>日</w:t>
      </w:r>
    </w:p>
    <w:p w14:paraId="5D9A5C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 xml:space="preserve">备注： </w:t>
      </w:r>
    </w:p>
    <w:p w14:paraId="752E46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EC326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2.管理关系：是指不具有出资持股关系的其他单位之间存在的管理与被管理关系，如一些上下级关系的事业单位和团体组织。</w:t>
      </w:r>
    </w:p>
    <w:p w14:paraId="1824C1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highlight w:val="none"/>
        </w:rPr>
      </w:pPr>
      <w:r>
        <w:rPr>
          <w:rFonts w:hint="eastAsia" w:ascii="宋体" w:hAnsi="宋体" w:eastAsia="宋体" w:cs="宋体"/>
          <w:color w:val="000000"/>
          <w:kern w:val="0"/>
          <w:sz w:val="21"/>
          <w:szCs w:val="21"/>
          <w:highlight w:val="none"/>
          <w:lang w:val="en-US" w:eastAsia="zh-CN" w:bidi="ar"/>
        </w:rPr>
        <w:t>3.本表所指的控股、管理关系仅限于直接控股、直接管理关系，不包括间接的控股或管理关系。公司实际控制人与公司之间的关系不属于本表所指的直接控股关系。</w:t>
      </w:r>
    </w:p>
    <w:p w14:paraId="0F6BE61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highlight w:val="none"/>
        </w:rPr>
      </w:pPr>
      <w:r>
        <w:rPr>
          <w:rFonts w:hint="eastAsia" w:ascii="宋体" w:hAnsi="宋体" w:eastAsia="宋体" w:cs="宋体"/>
          <w:color w:val="000000"/>
          <w:kern w:val="0"/>
          <w:sz w:val="21"/>
          <w:szCs w:val="21"/>
          <w:highlight w:val="none"/>
          <w:lang w:val="en-US" w:eastAsia="zh-CN" w:bidi="ar"/>
        </w:rPr>
        <w:t>4.投标人如不存在直接控股股东的，则在“直接控股股东名称及出资比例”处填写“无”或“/”。投标人不存在直接管理关系的，则在“直接管理关系单位名称”中填“无”或“/”。</w:t>
      </w:r>
    </w:p>
    <w:p w14:paraId="7A863742">
      <w:pPr>
        <w:rPr>
          <w:rFonts w:hint="eastAsia" w:hAnsi="宋体" w:cs="宋体"/>
          <w:spacing w:val="4"/>
          <w:szCs w:val="30"/>
          <w:highlight w:val="none"/>
        </w:rPr>
      </w:pPr>
    </w:p>
    <w:p w14:paraId="6E584DD5">
      <w:pPr>
        <w:pStyle w:val="11"/>
        <w:rPr>
          <w:highlight w:val="none"/>
        </w:rPr>
      </w:pPr>
    </w:p>
    <w:p w14:paraId="725C9624">
      <w:pPr>
        <w:spacing w:before="100" w:beforeAutospacing="1" w:after="156" w:afterLines="50" w:line="360" w:lineRule="auto"/>
        <w:jc w:val="left"/>
        <w:outlineLvl w:val="2"/>
        <w:rPr>
          <w:rFonts w:hAnsi="宋体" w:cs="宋体"/>
          <w:b/>
          <w:sz w:val="28"/>
          <w:szCs w:val="28"/>
          <w:highlight w:val="none"/>
        </w:rPr>
      </w:pPr>
      <w:bookmarkStart w:id="272" w:name="_Toc29482"/>
      <w:bookmarkStart w:id="273" w:name="_Toc18275"/>
      <w:r>
        <w:rPr>
          <w:rFonts w:hint="eastAsia" w:hAnsi="宋体" w:cs="宋体"/>
          <w:b/>
          <w:sz w:val="28"/>
          <w:szCs w:val="28"/>
          <w:highlight w:val="none"/>
        </w:rPr>
        <w:t>附件2：中小企业声明函</w:t>
      </w:r>
      <w:bookmarkEnd w:id="270"/>
      <w:bookmarkEnd w:id="271"/>
      <w:bookmarkEnd w:id="272"/>
      <w:r>
        <w:rPr>
          <w:rFonts w:hint="eastAsia" w:hAnsi="宋体" w:cs="宋体"/>
          <w:b/>
          <w:bCs/>
          <w:spacing w:val="6"/>
          <w:sz w:val="30"/>
          <w:szCs w:val="30"/>
          <w:highlight w:val="none"/>
        </w:rPr>
        <w:t>（如有）</w:t>
      </w:r>
      <w:bookmarkEnd w:id="273"/>
    </w:p>
    <w:p w14:paraId="4FEF5DB5">
      <w:pPr>
        <w:spacing w:before="156" w:beforeLines="50" w:after="156" w:afterLines="50" w:line="360" w:lineRule="auto"/>
        <w:jc w:val="center"/>
        <w:rPr>
          <w:rFonts w:hAnsi="宋体" w:cs="宋体"/>
          <w:b/>
          <w:sz w:val="28"/>
          <w:szCs w:val="28"/>
          <w:highlight w:val="none"/>
        </w:rPr>
      </w:pPr>
      <w:bookmarkStart w:id="274" w:name="_Toc13836"/>
    </w:p>
    <w:p w14:paraId="0B27FDAD">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29881B19">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6FB5A24D">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B47A431">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18F0D60">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14:paraId="6D482532">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7DFC584">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14:paraId="0E16E9EB">
      <w:pPr>
        <w:tabs>
          <w:tab w:val="left" w:pos="1620"/>
          <w:tab w:val="left" w:pos="1800"/>
        </w:tabs>
        <w:spacing w:line="500" w:lineRule="exact"/>
        <w:rPr>
          <w:rFonts w:hAnsi="宋体" w:cs="宋体"/>
          <w:szCs w:val="24"/>
          <w:highlight w:val="none"/>
        </w:rPr>
      </w:pPr>
    </w:p>
    <w:p w14:paraId="5E5557F6">
      <w:pPr>
        <w:tabs>
          <w:tab w:val="left" w:pos="1620"/>
          <w:tab w:val="left" w:pos="1800"/>
        </w:tabs>
        <w:spacing w:line="500" w:lineRule="exact"/>
        <w:rPr>
          <w:rFonts w:hAnsi="宋体" w:cs="宋体"/>
          <w:szCs w:val="24"/>
          <w:highlight w:val="none"/>
        </w:rPr>
      </w:pPr>
    </w:p>
    <w:p w14:paraId="3E12A7D8">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14:paraId="0C2F9AA4">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14:paraId="24FE5BA4">
      <w:pPr>
        <w:rPr>
          <w:rFonts w:hAnsi="宋体" w:cs="宋体"/>
          <w:b/>
          <w:sz w:val="28"/>
          <w:szCs w:val="28"/>
          <w:highlight w:val="none"/>
        </w:rPr>
      </w:pPr>
      <w:r>
        <w:rPr>
          <w:rFonts w:hint="eastAsia" w:hAnsi="宋体" w:cs="宋体"/>
          <w:b/>
          <w:sz w:val="28"/>
          <w:szCs w:val="28"/>
          <w:highlight w:val="none"/>
        </w:rPr>
        <w:br w:type="page"/>
      </w:r>
    </w:p>
    <w:bookmarkEnd w:id="274"/>
    <w:p w14:paraId="2E74E430">
      <w:pPr>
        <w:spacing w:before="100" w:beforeAutospacing="1" w:after="156" w:afterLines="50" w:line="360" w:lineRule="auto"/>
        <w:outlineLvl w:val="2"/>
        <w:rPr>
          <w:rFonts w:hAnsi="宋体" w:cs="宋体"/>
          <w:b/>
          <w:bCs/>
          <w:spacing w:val="6"/>
          <w:sz w:val="30"/>
          <w:szCs w:val="30"/>
          <w:highlight w:val="none"/>
        </w:rPr>
      </w:pPr>
      <w:bookmarkStart w:id="275" w:name="_Toc12527"/>
      <w:bookmarkStart w:id="276" w:name="_Toc11066"/>
      <w:bookmarkStart w:id="277" w:name="_Toc11235"/>
      <w:bookmarkStart w:id="278" w:name="_Toc22425"/>
      <w:r>
        <w:rPr>
          <w:rFonts w:hint="eastAsia" w:hAnsi="宋体" w:cs="宋体"/>
          <w:b/>
          <w:bCs/>
          <w:spacing w:val="6"/>
          <w:sz w:val="30"/>
          <w:szCs w:val="30"/>
          <w:highlight w:val="none"/>
        </w:rPr>
        <w:t>附件3：残疾人福利性单位声明函（如有）</w:t>
      </w:r>
      <w:bookmarkEnd w:id="275"/>
      <w:bookmarkEnd w:id="276"/>
      <w:bookmarkEnd w:id="277"/>
      <w:bookmarkEnd w:id="278"/>
    </w:p>
    <w:p w14:paraId="397050CB">
      <w:pPr>
        <w:spacing w:line="588" w:lineRule="exact"/>
        <w:jc w:val="center"/>
        <w:rPr>
          <w:rFonts w:hAnsi="宋体" w:cs="宋体"/>
          <w:b/>
          <w:spacing w:val="6"/>
          <w:sz w:val="32"/>
          <w:szCs w:val="32"/>
          <w:highlight w:val="none"/>
        </w:rPr>
      </w:pPr>
      <w:bookmarkStart w:id="279" w:name="OLE_LINK13"/>
      <w:bookmarkStart w:id="280" w:name="OLE_LINK14"/>
      <w:r>
        <w:rPr>
          <w:rFonts w:hint="eastAsia" w:hAnsi="宋体" w:cs="宋体"/>
          <w:b/>
          <w:spacing w:val="6"/>
          <w:sz w:val="32"/>
          <w:szCs w:val="32"/>
          <w:highlight w:val="none"/>
        </w:rPr>
        <w:t>残疾人福利性单位声明函</w:t>
      </w:r>
    </w:p>
    <w:bookmarkEnd w:id="279"/>
    <w:bookmarkEnd w:id="280"/>
    <w:p w14:paraId="45DA74CF">
      <w:pPr>
        <w:spacing w:line="588" w:lineRule="exact"/>
        <w:rPr>
          <w:rFonts w:hAnsi="宋体" w:cs="宋体"/>
          <w:b/>
          <w:spacing w:val="6"/>
          <w:sz w:val="30"/>
          <w:szCs w:val="30"/>
          <w:highlight w:val="none"/>
        </w:rPr>
      </w:pPr>
    </w:p>
    <w:p w14:paraId="352B8413">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7A1D1F">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14:paraId="2D63F955">
      <w:pPr>
        <w:spacing w:line="588" w:lineRule="exact"/>
        <w:ind w:firstLine="504" w:firstLineChars="200"/>
        <w:rPr>
          <w:rFonts w:hAnsi="宋体" w:cs="宋体"/>
          <w:spacing w:val="6"/>
          <w:szCs w:val="24"/>
          <w:highlight w:val="none"/>
        </w:rPr>
      </w:pPr>
    </w:p>
    <w:p w14:paraId="48D68A40">
      <w:pPr>
        <w:spacing w:line="588" w:lineRule="exact"/>
        <w:ind w:firstLine="504" w:firstLineChars="200"/>
        <w:rPr>
          <w:rFonts w:hAnsi="宋体" w:cs="宋体"/>
          <w:spacing w:val="6"/>
          <w:szCs w:val="24"/>
          <w:highlight w:val="none"/>
        </w:rPr>
      </w:pPr>
    </w:p>
    <w:p w14:paraId="5FCE372B">
      <w:pPr>
        <w:spacing w:line="588" w:lineRule="exact"/>
        <w:ind w:firstLine="504" w:firstLineChars="200"/>
        <w:rPr>
          <w:rFonts w:hAnsi="宋体" w:cs="宋体"/>
          <w:spacing w:val="6"/>
          <w:szCs w:val="24"/>
          <w:highlight w:val="none"/>
        </w:rPr>
      </w:pPr>
    </w:p>
    <w:p w14:paraId="6BBE749A">
      <w:pPr>
        <w:spacing w:line="588" w:lineRule="exact"/>
        <w:ind w:firstLine="504" w:firstLineChars="200"/>
        <w:rPr>
          <w:rFonts w:hAnsi="宋体" w:cs="宋体"/>
          <w:spacing w:val="6"/>
          <w:szCs w:val="24"/>
          <w:highlight w:val="none"/>
        </w:rPr>
      </w:pPr>
    </w:p>
    <w:p w14:paraId="198CC1E0">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14:paraId="4F6EADB2">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14:paraId="08F41002">
      <w:pPr>
        <w:spacing w:line="360" w:lineRule="auto"/>
        <w:ind w:right="640"/>
        <w:rPr>
          <w:rFonts w:hAnsi="宋体" w:cs="宋体"/>
          <w:szCs w:val="24"/>
          <w:highlight w:val="none"/>
        </w:rPr>
      </w:pPr>
      <w:r>
        <w:rPr>
          <w:rFonts w:hint="eastAsia" w:hAnsi="宋体" w:cs="宋体"/>
          <w:highlight w:val="none"/>
        </w:rPr>
        <w:br w:type="page"/>
      </w:r>
    </w:p>
    <w:p w14:paraId="31D3A660">
      <w:pPr>
        <w:spacing w:line="360" w:lineRule="auto"/>
        <w:rPr>
          <w:rFonts w:hAnsi="宋体" w:cs="宋体"/>
          <w:szCs w:val="24"/>
          <w:highlight w:val="none"/>
        </w:rPr>
      </w:pPr>
    </w:p>
    <w:p w14:paraId="558787D1">
      <w:pPr>
        <w:spacing w:line="360" w:lineRule="auto"/>
        <w:outlineLvl w:val="2"/>
        <w:rPr>
          <w:rFonts w:hAnsi="宋体" w:cs="宋体"/>
          <w:b/>
          <w:sz w:val="28"/>
          <w:szCs w:val="28"/>
          <w:highlight w:val="none"/>
        </w:rPr>
      </w:pPr>
      <w:bookmarkStart w:id="281" w:name="_Toc22833"/>
      <w:bookmarkStart w:id="282" w:name="_Toc29109"/>
      <w:bookmarkStart w:id="283" w:name="_Toc2139"/>
      <w:bookmarkStart w:id="284" w:name="_Toc2119"/>
      <w:r>
        <w:rPr>
          <w:rFonts w:hint="eastAsia" w:hAnsi="宋体" w:cs="宋体"/>
          <w:b/>
          <w:sz w:val="28"/>
          <w:szCs w:val="28"/>
          <w:highlight w:val="none"/>
        </w:rPr>
        <w:t>附件4：质疑函范本</w:t>
      </w:r>
      <w:bookmarkEnd w:id="281"/>
      <w:bookmarkEnd w:id="282"/>
      <w:bookmarkEnd w:id="283"/>
      <w:bookmarkEnd w:id="284"/>
    </w:p>
    <w:p w14:paraId="5258451D">
      <w:pPr>
        <w:jc w:val="center"/>
        <w:rPr>
          <w:rFonts w:hAnsi="宋体" w:cs="宋体"/>
          <w:b/>
          <w:bCs/>
          <w:sz w:val="44"/>
          <w:szCs w:val="44"/>
          <w:highlight w:val="none"/>
        </w:rPr>
      </w:pPr>
      <w:r>
        <w:rPr>
          <w:rFonts w:hint="eastAsia" w:hAnsi="宋体" w:cs="宋体"/>
          <w:b/>
          <w:bCs/>
          <w:sz w:val="44"/>
          <w:szCs w:val="44"/>
          <w:highlight w:val="none"/>
        </w:rPr>
        <w:t>质疑函范本</w:t>
      </w:r>
    </w:p>
    <w:p w14:paraId="70236E5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40736F3">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0BA35523">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14DF9642">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72FE5051">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432D9001">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02C2BF53">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35AD68FC">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0821CE32">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3E97D7F7">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09AC8BCC">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6B9BEC69">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11612350">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2400377E">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42E8188">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A3E1D09">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4D92AA06">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6778E088">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4B4362B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27917F91">
      <w:pPr>
        <w:adjustRightInd w:val="0"/>
        <w:snapToGrid w:val="0"/>
        <w:spacing w:line="360" w:lineRule="auto"/>
        <w:rPr>
          <w:rFonts w:hAnsi="宋体" w:cs="宋体"/>
          <w:szCs w:val="24"/>
          <w:highlight w:val="none"/>
        </w:rPr>
      </w:pPr>
      <w:r>
        <w:rPr>
          <w:rFonts w:hint="eastAsia" w:hAnsi="宋体" w:cs="宋体"/>
          <w:szCs w:val="24"/>
          <w:highlight w:val="none"/>
        </w:rPr>
        <w:t>……</w:t>
      </w:r>
    </w:p>
    <w:p w14:paraId="02817705">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540E9F35">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C285C3A">
      <w:pPr>
        <w:rPr>
          <w:rFonts w:hAnsi="宋体" w:cs="宋体"/>
          <w:szCs w:val="24"/>
          <w:highlight w:val="none"/>
        </w:rPr>
      </w:pPr>
      <w:r>
        <w:rPr>
          <w:rFonts w:hint="eastAsia" w:hAnsi="宋体" w:cs="宋体"/>
          <w:szCs w:val="24"/>
          <w:highlight w:val="none"/>
        </w:rPr>
        <w:t xml:space="preserve">签字(签章)：                   公章：                      </w:t>
      </w:r>
    </w:p>
    <w:p w14:paraId="7FDB6837">
      <w:pPr>
        <w:rPr>
          <w:rFonts w:hAnsi="宋体" w:cs="宋体"/>
          <w:szCs w:val="24"/>
          <w:highlight w:val="none"/>
        </w:rPr>
      </w:pPr>
      <w:r>
        <w:rPr>
          <w:rFonts w:hint="eastAsia" w:hAnsi="宋体" w:cs="宋体"/>
          <w:szCs w:val="24"/>
          <w:highlight w:val="none"/>
        </w:rPr>
        <w:t xml:space="preserve">日期：    </w:t>
      </w:r>
    </w:p>
    <w:p w14:paraId="36060F6D">
      <w:pPr>
        <w:jc w:val="center"/>
        <w:rPr>
          <w:rFonts w:hAnsi="宋体" w:cs="宋体"/>
          <w:b/>
          <w:sz w:val="44"/>
          <w:szCs w:val="44"/>
          <w:highlight w:val="none"/>
        </w:rPr>
      </w:pPr>
    </w:p>
    <w:p w14:paraId="01DE9B82">
      <w:pPr>
        <w:jc w:val="center"/>
        <w:rPr>
          <w:rFonts w:hAnsi="宋体" w:cs="宋体"/>
          <w:b/>
          <w:sz w:val="44"/>
          <w:szCs w:val="44"/>
          <w:highlight w:val="none"/>
        </w:rPr>
      </w:pPr>
    </w:p>
    <w:p w14:paraId="224E6D94">
      <w:pPr>
        <w:jc w:val="center"/>
        <w:rPr>
          <w:rFonts w:hAnsi="宋体" w:cs="宋体"/>
          <w:b/>
          <w:sz w:val="44"/>
          <w:szCs w:val="44"/>
          <w:highlight w:val="none"/>
        </w:rPr>
      </w:pPr>
      <w:r>
        <w:rPr>
          <w:rFonts w:hint="eastAsia" w:hAnsi="宋体" w:cs="宋体"/>
          <w:b/>
          <w:sz w:val="44"/>
          <w:szCs w:val="44"/>
          <w:highlight w:val="none"/>
        </w:rPr>
        <w:t>投诉书范本</w:t>
      </w:r>
    </w:p>
    <w:p w14:paraId="11FA5357">
      <w:pPr>
        <w:rPr>
          <w:rFonts w:hAnsi="宋体" w:cs="宋体"/>
          <w:szCs w:val="24"/>
          <w:highlight w:val="none"/>
        </w:rPr>
      </w:pPr>
      <w:r>
        <w:rPr>
          <w:rFonts w:hint="eastAsia" w:hAnsi="宋体" w:cs="宋体"/>
          <w:szCs w:val="24"/>
          <w:highlight w:val="none"/>
        </w:rPr>
        <w:t>一、投诉相关主体基本情况</w:t>
      </w:r>
    </w:p>
    <w:p w14:paraId="7E216BD3">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1134DCF8">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F2B611C">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3DF0EE86">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76CF31EB">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1D88911F">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75ADEB98">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3DE0280">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56C53B8C">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FA31F2A">
      <w:pPr>
        <w:rPr>
          <w:rFonts w:hAnsi="宋体" w:cs="宋体"/>
          <w:szCs w:val="24"/>
          <w:highlight w:val="none"/>
        </w:rPr>
      </w:pPr>
      <w:r>
        <w:rPr>
          <w:rFonts w:hint="eastAsia" w:hAnsi="宋体" w:cs="宋体"/>
          <w:szCs w:val="24"/>
          <w:highlight w:val="none"/>
        </w:rPr>
        <w:t>被投诉人2</w:t>
      </w:r>
    </w:p>
    <w:p w14:paraId="150C1C1C">
      <w:pPr>
        <w:rPr>
          <w:rFonts w:hAnsi="宋体" w:cs="宋体"/>
          <w:szCs w:val="24"/>
          <w:highlight w:val="none"/>
          <w:u w:val="dotted"/>
        </w:rPr>
      </w:pPr>
      <w:r>
        <w:rPr>
          <w:rFonts w:hint="eastAsia" w:hAnsi="宋体" w:cs="宋体"/>
          <w:szCs w:val="24"/>
          <w:highlight w:val="none"/>
        </w:rPr>
        <w:t>……</w:t>
      </w:r>
    </w:p>
    <w:p w14:paraId="37F25DA4">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47074F4">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A5A3738">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6354BE8">
      <w:pPr>
        <w:rPr>
          <w:rFonts w:hAnsi="宋体" w:cs="宋体"/>
          <w:szCs w:val="24"/>
          <w:highlight w:val="none"/>
        </w:rPr>
      </w:pPr>
      <w:r>
        <w:rPr>
          <w:rFonts w:hint="eastAsia" w:hAnsi="宋体" w:cs="宋体"/>
          <w:szCs w:val="24"/>
          <w:highlight w:val="none"/>
        </w:rPr>
        <w:t>二、投诉项目基本情况</w:t>
      </w:r>
    </w:p>
    <w:p w14:paraId="55835EB6">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0C46093A">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51A239A4">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BF5289D">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35EBBC23">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1800892E">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5A3F1D22">
      <w:pPr>
        <w:rPr>
          <w:rFonts w:hAnsi="宋体" w:cs="宋体"/>
          <w:szCs w:val="24"/>
          <w:highlight w:val="none"/>
        </w:rPr>
      </w:pPr>
      <w:r>
        <w:rPr>
          <w:rFonts w:hint="eastAsia" w:hAnsi="宋体" w:cs="宋体"/>
          <w:szCs w:val="24"/>
          <w:highlight w:val="none"/>
        </w:rPr>
        <w:t>三、质疑基本情况</w:t>
      </w:r>
    </w:p>
    <w:p w14:paraId="3D994687">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90122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25B78A10">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235F0B89">
      <w:pPr>
        <w:rPr>
          <w:rFonts w:hAnsi="宋体" w:cs="宋体"/>
          <w:szCs w:val="24"/>
          <w:highlight w:val="none"/>
        </w:rPr>
      </w:pPr>
      <w:r>
        <w:rPr>
          <w:rFonts w:hint="eastAsia" w:hAnsi="宋体" w:cs="宋体"/>
          <w:szCs w:val="24"/>
          <w:highlight w:val="none"/>
        </w:rPr>
        <w:t>四、投诉事项具体内容</w:t>
      </w:r>
    </w:p>
    <w:p w14:paraId="667075E5">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23C7A4A8">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7B5EE324">
      <w:pPr>
        <w:rPr>
          <w:rFonts w:hAnsi="宋体" w:cs="宋体"/>
          <w:szCs w:val="24"/>
          <w:highlight w:val="none"/>
          <w:u w:val="dotted"/>
        </w:rPr>
      </w:pPr>
      <w:r>
        <w:rPr>
          <w:rFonts w:hint="eastAsia" w:hAnsi="宋体" w:cs="宋体"/>
          <w:szCs w:val="24"/>
          <w:highlight w:val="none"/>
          <w:u w:val="dotted"/>
        </w:rPr>
        <w:t xml:space="preserve">                                                      </w:t>
      </w:r>
    </w:p>
    <w:p w14:paraId="117644BB">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FE19645">
      <w:pPr>
        <w:rPr>
          <w:rFonts w:hAnsi="宋体" w:cs="宋体"/>
          <w:szCs w:val="24"/>
          <w:highlight w:val="none"/>
          <w:u w:val="dotted"/>
        </w:rPr>
      </w:pPr>
      <w:r>
        <w:rPr>
          <w:rFonts w:hint="eastAsia" w:hAnsi="宋体" w:cs="宋体"/>
          <w:szCs w:val="24"/>
          <w:highlight w:val="none"/>
          <w:u w:val="dotted"/>
        </w:rPr>
        <w:t xml:space="preserve">                                                      </w:t>
      </w:r>
    </w:p>
    <w:p w14:paraId="6323A4E4">
      <w:pPr>
        <w:rPr>
          <w:rFonts w:hAnsi="宋体" w:cs="宋体"/>
          <w:szCs w:val="24"/>
          <w:highlight w:val="none"/>
        </w:rPr>
      </w:pPr>
      <w:r>
        <w:rPr>
          <w:rFonts w:hint="eastAsia" w:hAnsi="宋体" w:cs="宋体"/>
          <w:szCs w:val="24"/>
          <w:highlight w:val="none"/>
        </w:rPr>
        <w:t>投诉事项2</w:t>
      </w:r>
    </w:p>
    <w:p w14:paraId="3A362A34">
      <w:pPr>
        <w:rPr>
          <w:rFonts w:hAnsi="宋体" w:cs="宋体"/>
          <w:szCs w:val="24"/>
          <w:highlight w:val="none"/>
          <w:u w:val="dotted"/>
        </w:rPr>
      </w:pPr>
      <w:r>
        <w:rPr>
          <w:rFonts w:hint="eastAsia" w:hAnsi="宋体" w:cs="宋体"/>
          <w:szCs w:val="24"/>
          <w:highlight w:val="none"/>
        </w:rPr>
        <w:t>……</w:t>
      </w:r>
    </w:p>
    <w:p w14:paraId="472ED00B">
      <w:pPr>
        <w:rPr>
          <w:rFonts w:hAnsi="宋体" w:cs="宋体"/>
          <w:szCs w:val="24"/>
          <w:highlight w:val="none"/>
        </w:rPr>
      </w:pPr>
      <w:r>
        <w:rPr>
          <w:rFonts w:hint="eastAsia" w:hAnsi="宋体" w:cs="宋体"/>
          <w:szCs w:val="24"/>
          <w:highlight w:val="none"/>
        </w:rPr>
        <w:t>五、与投诉事项相关的投诉请求</w:t>
      </w:r>
    </w:p>
    <w:p w14:paraId="3937DFC9">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F5B03E6">
      <w:pPr>
        <w:rPr>
          <w:rFonts w:hAnsi="宋体" w:cs="宋体"/>
          <w:szCs w:val="24"/>
          <w:highlight w:val="none"/>
          <w:u w:val="single"/>
        </w:rPr>
      </w:pPr>
      <w:r>
        <w:rPr>
          <w:rFonts w:hint="eastAsia" w:hAnsi="宋体" w:cs="宋体"/>
          <w:szCs w:val="24"/>
          <w:highlight w:val="none"/>
        </w:rPr>
        <w:t xml:space="preserve">                                                                                                    </w:t>
      </w:r>
    </w:p>
    <w:p w14:paraId="4B0948D0">
      <w:pPr>
        <w:rPr>
          <w:rFonts w:hAnsi="宋体" w:cs="宋体"/>
          <w:szCs w:val="24"/>
          <w:highlight w:val="none"/>
        </w:rPr>
      </w:pPr>
      <w:r>
        <w:rPr>
          <w:rFonts w:hint="eastAsia" w:hAnsi="宋体" w:cs="宋体"/>
          <w:szCs w:val="24"/>
          <w:highlight w:val="none"/>
        </w:rPr>
        <w:t xml:space="preserve">签字(签章)：                   公章：                      </w:t>
      </w:r>
    </w:p>
    <w:p w14:paraId="60A61DD4">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918B9">
    <w:pPr>
      <w:pStyle w:val="16"/>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942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CE7D8">
    <w:pPr>
      <w:pStyle w:val="16"/>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188E">
    <w:pPr>
      <w:pStyle w:val="1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2E8C">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D5892">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DD5892">
                    <w:pPr>
                      <w:pStyle w:val="16"/>
                    </w:pPr>
                    <w:r>
                      <w:fldChar w:fldCharType="begin"/>
                    </w:r>
                    <w:r>
                      <w:instrText xml:space="preserve"> PAGE  \* MERGEFORMAT </w:instrText>
                    </w:r>
                    <w:r>
                      <w:fldChar w:fldCharType="separate"/>
                    </w:r>
                    <w:r>
                      <w:t>2</w:t>
                    </w:r>
                    <w:r>
                      <w:fldChar w:fldCharType="end"/>
                    </w:r>
                  </w:p>
                </w:txbxContent>
              </v:textbox>
            </v:shape>
          </w:pict>
        </mc:Fallback>
      </mc:AlternateContent>
    </w:r>
  </w:p>
  <w:p w14:paraId="2D5C3621">
    <w:pPr>
      <w:pStyle w:val="16"/>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304E">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711871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3F21">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84CE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E071">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5F1F1"/>
    <w:multiLevelType w:val="singleLevel"/>
    <w:tmpl w:val="8975F1F1"/>
    <w:lvl w:ilvl="0" w:tentative="0">
      <w:start w:val="1"/>
      <w:numFmt w:val="decimal"/>
      <w:lvlText w:val="(%1)"/>
      <w:lvlJc w:val="left"/>
      <w:pPr>
        <w:ind w:left="425" w:hanging="425"/>
      </w:pPr>
      <w:rPr>
        <w:rFonts w:hint="default"/>
      </w:rPr>
    </w:lvl>
  </w:abstractNum>
  <w:abstractNum w:abstractNumId="1">
    <w:nsid w:val="8A1CAE67"/>
    <w:multiLevelType w:val="singleLevel"/>
    <w:tmpl w:val="8A1CAE67"/>
    <w:lvl w:ilvl="0" w:tentative="0">
      <w:start w:val="1"/>
      <w:numFmt w:val="decimal"/>
      <w:lvlText w:val="%1)"/>
      <w:lvlJc w:val="left"/>
      <w:pPr>
        <w:ind w:left="425" w:hanging="425"/>
      </w:pPr>
      <w:rPr>
        <w:rFonts w:hint="default"/>
      </w:rPr>
    </w:lvl>
  </w:abstractNum>
  <w:abstractNum w:abstractNumId="2">
    <w:nsid w:val="A0D152BD"/>
    <w:multiLevelType w:val="singleLevel"/>
    <w:tmpl w:val="A0D152BD"/>
    <w:lvl w:ilvl="0" w:tentative="0">
      <w:start w:val="1"/>
      <w:numFmt w:val="decimal"/>
      <w:lvlText w:val="(%1)"/>
      <w:lvlJc w:val="left"/>
      <w:pPr>
        <w:ind w:left="425" w:hanging="425"/>
      </w:pPr>
      <w:rPr>
        <w:rFonts w:hint="default"/>
      </w:rPr>
    </w:lvl>
  </w:abstractNum>
  <w:abstractNum w:abstractNumId="3">
    <w:nsid w:val="C9BD0224"/>
    <w:multiLevelType w:val="singleLevel"/>
    <w:tmpl w:val="C9BD0224"/>
    <w:lvl w:ilvl="0" w:tentative="0">
      <w:start w:val="1"/>
      <w:numFmt w:val="decimalEnclosedCircleChinese"/>
      <w:suff w:val="nothing"/>
      <w:lvlText w:val="%1　"/>
      <w:lvlJc w:val="left"/>
      <w:pPr>
        <w:ind w:left="0" w:firstLine="400"/>
      </w:pPr>
      <w:rPr>
        <w:rFonts w:hint="eastAsia"/>
      </w:rPr>
    </w:lvl>
  </w:abstractNum>
  <w:abstractNum w:abstractNumId="4">
    <w:nsid w:val="CF3220E0"/>
    <w:multiLevelType w:val="singleLevel"/>
    <w:tmpl w:val="CF3220E0"/>
    <w:lvl w:ilvl="0" w:tentative="0">
      <w:start w:val="1"/>
      <w:numFmt w:val="decimal"/>
      <w:suff w:val="nothing"/>
      <w:lvlText w:val="%1．"/>
      <w:lvlJc w:val="left"/>
      <w:pPr>
        <w:ind w:left="0" w:firstLine="400"/>
      </w:pPr>
      <w:rPr>
        <w:rFonts w:hint="default"/>
      </w:rPr>
    </w:lvl>
  </w:abstractNum>
  <w:abstractNum w:abstractNumId="5">
    <w:nsid w:val="DAD034A2"/>
    <w:multiLevelType w:val="singleLevel"/>
    <w:tmpl w:val="DAD034A2"/>
    <w:lvl w:ilvl="0" w:tentative="0">
      <w:start w:val="1"/>
      <w:numFmt w:val="decimal"/>
      <w:lvlText w:val="(%1)"/>
      <w:lvlJc w:val="left"/>
      <w:pPr>
        <w:ind w:left="425" w:hanging="425"/>
      </w:pPr>
      <w:rPr>
        <w:rFonts w:hint="default"/>
      </w:rPr>
    </w:lvl>
  </w:abstractNum>
  <w:abstractNum w:abstractNumId="6">
    <w:nsid w:val="038200B8"/>
    <w:multiLevelType w:val="singleLevel"/>
    <w:tmpl w:val="038200B8"/>
    <w:lvl w:ilvl="0" w:tentative="0">
      <w:start w:val="1"/>
      <w:numFmt w:val="decimal"/>
      <w:lvlText w:val="(%1)"/>
      <w:lvlJc w:val="left"/>
      <w:pPr>
        <w:ind w:left="425" w:hanging="425"/>
      </w:pPr>
      <w:rPr>
        <w:rFonts w:hint="default"/>
      </w:rPr>
    </w:lvl>
  </w:abstractNum>
  <w:abstractNum w:abstractNumId="7">
    <w:nsid w:val="0E2DBA04"/>
    <w:multiLevelType w:val="singleLevel"/>
    <w:tmpl w:val="0E2DBA04"/>
    <w:lvl w:ilvl="0" w:tentative="0">
      <w:start w:val="1"/>
      <w:numFmt w:val="decimal"/>
      <w:lvlText w:val="(%1)"/>
      <w:lvlJc w:val="left"/>
      <w:pPr>
        <w:ind w:left="425" w:hanging="425"/>
      </w:pPr>
      <w:rPr>
        <w:rFonts w:hint="default"/>
      </w:rPr>
    </w:lvl>
  </w:abstractNum>
  <w:abstractNum w:abstractNumId="8">
    <w:nsid w:val="100CCEAB"/>
    <w:multiLevelType w:val="singleLevel"/>
    <w:tmpl w:val="100CCEAB"/>
    <w:lvl w:ilvl="0" w:tentative="0">
      <w:start w:val="1"/>
      <w:numFmt w:val="decimal"/>
      <w:lvlText w:val="(%1)"/>
      <w:lvlJc w:val="left"/>
      <w:pPr>
        <w:ind w:left="425" w:hanging="425"/>
      </w:pPr>
      <w:rPr>
        <w:rFonts w:hint="default"/>
      </w:rPr>
    </w:lvl>
  </w:abstractNum>
  <w:abstractNum w:abstractNumId="9">
    <w:nsid w:val="1DA76A53"/>
    <w:multiLevelType w:val="singleLevel"/>
    <w:tmpl w:val="1DA76A53"/>
    <w:lvl w:ilvl="0" w:tentative="0">
      <w:start w:val="1"/>
      <w:numFmt w:val="decimal"/>
      <w:lvlText w:val="%1)"/>
      <w:lvlJc w:val="left"/>
      <w:pPr>
        <w:ind w:left="425" w:hanging="425"/>
      </w:pPr>
      <w:rPr>
        <w:rFonts w:hint="default"/>
      </w:rPr>
    </w:lvl>
  </w:abstractNum>
  <w:abstractNum w:abstractNumId="10">
    <w:nsid w:val="1F0CB426"/>
    <w:multiLevelType w:val="singleLevel"/>
    <w:tmpl w:val="1F0CB426"/>
    <w:lvl w:ilvl="0" w:tentative="0">
      <w:start w:val="1"/>
      <w:numFmt w:val="decimalEnclosedCircleChinese"/>
      <w:suff w:val="nothing"/>
      <w:lvlText w:val="%1　"/>
      <w:lvlJc w:val="left"/>
      <w:pPr>
        <w:ind w:left="0" w:firstLine="400"/>
      </w:pPr>
      <w:rPr>
        <w:rFonts w:hint="eastAsia"/>
      </w:rPr>
    </w:lvl>
  </w:abstractNum>
  <w:abstractNum w:abstractNumId="11">
    <w:nsid w:val="21DE0D25"/>
    <w:multiLevelType w:val="multilevel"/>
    <w:tmpl w:val="21DE0D25"/>
    <w:lvl w:ilvl="0" w:tentative="0">
      <w:start w:val="1"/>
      <w:numFmt w:val="decimal"/>
      <w:lvlText w:val="（%1）"/>
      <w:lvlJc w:val="left"/>
      <w:pPr>
        <w:tabs>
          <w:tab w:val="left" w:pos="840"/>
        </w:tabs>
        <w:ind w:left="840" w:hanging="84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11C76BD"/>
    <w:multiLevelType w:val="singleLevel"/>
    <w:tmpl w:val="311C76BD"/>
    <w:lvl w:ilvl="0" w:tentative="0">
      <w:start w:val="1"/>
      <w:numFmt w:val="decimal"/>
      <w:suff w:val="nothing"/>
      <w:lvlText w:val="%1．"/>
      <w:lvlJc w:val="left"/>
      <w:pPr>
        <w:ind w:left="0" w:firstLine="400"/>
      </w:pPr>
      <w:rPr>
        <w:rFonts w:hint="default"/>
      </w:rPr>
    </w:lvl>
  </w:abstractNum>
  <w:abstractNum w:abstractNumId="13">
    <w:nsid w:val="3269E7BF"/>
    <w:multiLevelType w:val="singleLevel"/>
    <w:tmpl w:val="3269E7BF"/>
    <w:lvl w:ilvl="0" w:tentative="0">
      <w:start w:val="4"/>
      <w:numFmt w:val="chineseCounting"/>
      <w:suff w:val="nothing"/>
      <w:lvlText w:val="%1、"/>
      <w:lvlJc w:val="left"/>
      <w:rPr>
        <w:rFonts w:hint="eastAsia"/>
      </w:rPr>
    </w:lvl>
  </w:abstractNum>
  <w:abstractNum w:abstractNumId="14">
    <w:nsid w:val="3345DCC0"/>
    <w:multiLevelType w:val="singleLevel"/>
    <w:tmpl w:val="3345DCC0"/>
    <w:lvl w:ilvl="0" w:tentative="0">
      <w:start w:val="1"/>
      <w:numFmt w:val="decimal"/>
      <w:suff w:val="nothing"/>
      <w:lvlText w:val="%1）"/>
      <w:lvlJc w:val="left"/>
    </w:lvl>
  </w:abstractNum>
  <w:abstractNum w:abstractNumId="15">
    <w:nsid w:val="33CEC18F"/>
    <w:multiLevelType w:val="singleLevel"/>
    <w:tmpl w:val="33CEC18F"/>
    <w:lvl w:ilvl="0" w:tentative="0">
      <w:start w:val="3"/>
      <w:numFmt w:val="chineseCounting"/>
      <w:suff w:val="space"/>
      <w:lvlText w:val="第%1章"/>
      <w:lvlJc w:val="left"/>
      <w:rPr>
        <w:rFonts w:hint="eastAsia"/>
      </w:rPr>
    </w:lvl>
  </w:abstractNum>
  <w:abstractNum w:abstractNumId="16">
    <w:nsid w:val="3A8538F9"/>
    <w:multiLevelType w:val="multilevel"/>
    <w:tmpl w:val="3A8538F9"/>
    <w:lvl w:ilvl="0" w:tentative="0">
      <w:start w:val="0"/>
      <w:numFmt w:val="none"/>
      <w:lvlText w:val=""/>
      <w:lvlJc w:val="left"/>
      <w:pPr>
        <w:tabs>
          <w:tab w:val="left" w:pos="360"/>
        </w:tabs>
      </w:pPr>
    </w:lvl>
    <w:lvl w:ilvl="1" w:tentative="0">
      <w:start w:val="1"/>
      <w:numFmt w:val="decimal"/>
      <w:lvlText w:val="1.%2 "/>
      <w:lvlJc w:val="left"/>
      <w:pPr>
        <w:tabs>
          <w:tab w:val="left" w:pos="425"/>
        </w:tabs>
        <w:ind w:left="425" w:hanging="425"/>
      </w:pPr>
      <w:rPr>
        <w:rFonts w:hint="eastAsia" w:ascii="宋体" w:hAnsi="宋体"/>
        <w:b w:val="0"/>
        <w:i w:val="0"/>
        <w:sz w:val="21"/>
        <w:u w:val="none"/>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3.%4.%5.%6.%7.%8.%9."/>
      <w:lvlJc w:val="left"/>
      <w:pPr>
        <w:tabs>
          <w:tab w:val="left" w:pos="1800"/>
        </w:tabs>
        <w:ind w:left="1800" w:hanging="1800"/>
      </w:pPr>
      <w:rPr>
        <w:rFonts w:hint="eastAsia"/>
      </w:rPr>
    </w:lvl>
  </w:abstractNum>
  <w:abstractNum w:abstractNumId="17">
    <w:nsid w:val="45D856DE"/>
    <w:multiLevelType w:val="singleLevel"/>
    <w:tmpl w:val="45D856DE"/>
    <w:lvl w:ilvl="0" w:tentative="0">
      <w:start w:val="1"/>
      <w:numFmt w:val="decimal"/>
      <w:lvlText w:val="(%1)"/>
      <w:lvlJc w:val="left"/>
      <w:pPr>
        <w:ind w:left="425" w:hanging="425"/>
      </w:pPr>
      <w:rPr>
        <w:rFonts w:hint="default"/>
      </w:rPr>
    </w:lvl>
  </w:abstractNum>
  <w:abstractNum w:abstractNumId="18">
    <w:nsid w:val="590049E8"/>
    <w:multiLevelType w:val="singleLevel"/>
    <w:tmpl w:val="590049E8"/>
    <w:lvl w:ilvl="0" w:tentative="0">
      <w:start w:val="30"/>
      <w:numFmt w:val="decimal"/>
      <w:suff w:val="nothing"/>
      <w:lvlText w:val="%1."/>
      <w:lvlJc w:val="left"/>
    </w:lvl>
  </w:abstractNum>
  <w:abstractNum w:abstractNumId="19">
    <w:nsid w:val="59B2460E"/>
    <w:multiLevelType w:val="singleLevel"/>
    <w:tmpl w:val="59B2460E"/>
    <w:lvl w:ilvl="0" w:tentative="0">
      <w:start w:val="2"/>
      <w:numFmt w:val="decimal"/>
      <w:suff w:val="nothing"/>
      <w:lvlText w:val="%1."/>
      <w:lvlJc w:val="left"/>
    </w:lvl>
  </w:abstractNum>
  <w:abstractNum w:abstractNumId="20">
    <w:nsid w:val="59CF0981"/>
    <w:multiLevelType w:val="singleLevel"/>
    <w:tmpl w:val="59CF0981"/>
    <w:lvl w:ilvl="0" w:tentative="0">
      <w:start w:val="1"/>
      <w:numFmt w:val="decimal"/>
      <w:suff w:val="nothing"/>
      <w:lvlText w:val="%1、"/>
      <w:lvlJc w:val="left"/>
    </w:lvl>
  </w:abstractNum>
  <w:abstractNum w:abstractNumId="21">
    <w:nsid w:val="69CB8932"/>
    <w:multiLevelType w:val="singleLevel"/>
    <w:tmpl w:val="69CB8932"/>
    <w:lvl w:ilvl="0" w:tentative="0">
      <w:start w:val="1"/>
      <w:numFmt w:val="decimalEnclosedCircleChinese"/>
      <w:suff w:val="nothing"/>
      <w:lvlText w:val="%1　"/>
      <w:lvlJc w:val="left"/>
      <w:pPr>
        <w:ind w:left="0" w:firstLine="400"/>
      </w:pPr>
      <w:rPr>
        <w:rFonts w:hint="eastAsia"/>
      </w:rPr>
    </w:lvl>
  </w:abstractNum>
  <w:abstractNum w:abstractNumId="22">
    <w:nsid w:val="6F4F1085"/>
    <w:multiLevelType w:val="singleLevel"/>
    <w:tmpl w:val="6F4F1085"/>
    <w:lvl w:ilvl="0" w:tentative="0">
      <w:start w:val="1"/>
      <w:numFmt w:val="decimalEnclosedCircleChinese"/>
      <w:suff w:val="nothing"/>
      <w:lvlText w:val="%1　"/>
      <w:lvlJc w:val="left"/>
      <w:pPr>
        <w:ind w:left="0" w:firstLine="400"/>
      </w:pPr>
      <w:rPr>
        <w:rFonts w:hint="eastAsia"/>
      </w:rPr>
    </w:lvl>
  </w:abstractNum>
  <w:num w:numId="1">
    <w:abstractNumId w:val="17"/>
  </w:num>
  <w:num w:numId="2">
    <w:abstractNumId w:val="10"/>
  </w:num>
  <w:num w:numId="3">
    <w:abstractNumId w:val="3"/>
  </w:num>
  <w:num w:numId="4">
    <w:abstractNumId w:val="0"/>
  </w:num>
  <w:num w:numId="5">
    <w:abstractNumId w:val="6"/>
  </w:num>
  <w:num w:numId="6">
    <w:abstractNumId w:val="19"/>
  </w:num>
  <w:num w:numId="7">
    <w:abstractNumId w:val="18"/>
  </w:num>
  <w:num w:numId="8">
    <w:abstractNumId w:val="15"/>
  </w:num>
  <w:num w:numId="9">
    <w:abstractNumId w:val="20"/>
  </w:num>
  <w:num w:numId="10">
    <w:abstractNumId w:val="13"/>
  </w:num>
  <w:num w:numId="11">
    <w:abstractNumId w:val="5"/>
  </w:num>
  <w:num w:numId="12">
    <w:abstractNumId w:val="8"/>
  </w:num>
  <w:num w:numId="13">
    <w:abstractNumId w:val="7"/>
  </w:num>
  <w:num w:numId="14">
    <w:abstractNumId w:val="16"/>
  </w:num>
  <w:num w:numId="15">
    <w:abstractNumId w:val="11"/>
  </w:num>
  <w:num w:numId="16">
    <w:abstractNumId w:val="12"/>
  </w:num>
  <w:num w:numId="17">
    <w:abstractNumId w:val="4"/>
  </w:num>
  <w:num w:numId="18">
    <w:abstractNumId w:val="14"/>
  </w:num>
  <w:num w:numId="19">
    <w:abstractNumId w:val="2"/>
  </w:num>
  <w:num w:numId="20">
    <w:abstractNumId w:val="21"/>
  </w:num>
  <w:num w:numId="21">
    <w:abstractNumId w:val="22"/>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MTljMjQ2ZmM1YTViMzFmYmJjNDI2MjcxMWZiNWYifQ=="/>
  </w:docVars>
  <w:rsids>
    <w:rsidRoot w:val="000007BF"/>
    <w:rsid w:val="000007BF"/>
    <w:rsid w:val="000B4EEA"/>
    <w:rsid w:val="000C5DC1"/>
    <w:rsid w:val="00187FDF"/>
    <w:rsid w:val="001A3005"/>
    <w:rsid w:val="00210AF4"/>
    <w:rsid w:val="0025686E"/>
    <w:rsid w:val="003F27D8"/>
    <w:rsid w:val="0051172C"/>
    <w:rsid w:val="00674F9E"/>
    <w:rsid w:val="007E3EC7"/>
    <w:rsid w:val="00957719"/>
    <w:rsid w:val="009D35EB"/>
    <w:rsid w:val="00A96660"/>
    <w:rsid w:val="00AC22DF"/>
    <w:rsid w:val="00B850B3"/>
    <w:rsid w:val="00E1765B"/>
    <w:rsid w:val="00FE29D6"/>
    <w:rsid w:val="011E2CF5"/>
    <w:rsid w:val="01491172"/>
    <w:rsid w:val="01894FE5"/>
    <w:rsid w:val="02224F6F"/>
    <w:rsid w:val="02493B6C"/>
    <w:rsid w:val="02EA0A37"/>
    <w:rsid w:val="045E2D89"/>
    <w:rsid w:val="04F3344E"/>
    <w:rsid w:val="04FC5FE8"/>
    <w:rsid w:val="054F4610"/>
    <w:rsid w:val="05FB47FF"/>
    <w:rsid w:val="06E7111E"/>
    <w:rsid w:val="072636A7"/>
    <w:rsid w:val="07534DB1"/>
    <w:rsid w:val="075753AA"/>
    <w:rsid w:val="07CE3B8A"/>
    <w:rsid w:val="07EC2E3C"/>
    <w:rsid w:val="088C017B"/>
    <w:rsid w:val="09035A80"/>
    <w:rsid w:val="0A3A7ED6"/>
    <w:rsid w:val="0A7B73F3"/>
    <w:rsid w:val="0A9B03C3"/>
    <w:rsid w:val="0AC01C08"/>
    <w:rsid w:val="0B2608DC"/>
    <w:rsid w:val="0B7374F2"/>
    <w:rsid w:val="0C0C3791"/>
    <w:rsid w:val="0CB75121"/>
    <w:rsid w:val="0D9613AD"/>
    <w:rsid w:val="0D9F1FC7"/>
    <w:rsid w:val="0EC42C1D"/>
    <w:rsid w:val="0FCB77DB"/>
    <w:rsid w:val="106320AA"/>
    <w:rsid w:val="10771710"/>
    <w:rsid w:val="107C6E8E"/>
    <w:rsid w:val="10C03B1A"/>
    <w:rsid w:val="114F16B3"/>
    <w:rsid w:val="11933EF1"/>
    <w:rsid w:val="11F823DD"/>
    <w:rsid w:val="124E6541"/>
    <w:rsid w:val="13055EFC"/>
    <w:rsid w:val="132A4818"/>
    <w:rsid w:val="1334275B"/>
    <w:rsid w:val="138A6B07"/>
    <w:rsid w:val="14726477"/>
    <w:rsid w:val="148B5F2F"/>
    <w:rsid w:val="14930090"/>
    <w:rsid w:val="14FF19C2"/>
    <w:rsid w:val="15454A62"/>
    <w:rsid w:val="16460527"/>
    <w:rsid w:val="16A569E9"/>
    <w:rsid w:val="17AA7A6C"/>
    <w:rsid w:val="18774565"/>
    <w:rsid w:val="18B43656"/>
    <w:rsid w:val="18DC6C36"/>
    <w:rsid w:val="18E436BB"/>
    <w:rsid w:val="19371A3D"/>
    <w:rsid w:val="1A7F74B5"/>
    <w:rsid w:val="1B051F7C"/>
    <w:rsid w:val="1BAE4D2B"/>
    <w:rsid w:val="1BED05D4"/>
    <w:rsid w:val="1BF20D44"/>
    <w:rsid w:val="1D054D26"/>
    <w:rsid w:val="1D811A56"/>
    <w:rsid w:val="1EB77460"/>
    <w:rsid w:val="1EC94B5F"/>
    <w:rsid w:val="1F104D6C"/>
    <w:rsid w:val="1F126C7C"/>
    <w:rsid w:val="20334DFA"/>
    <w:rsid w:val="20530343"/>
    <w:rsid w:val="20D64D51"/>
    <w:rsid w:val="21210A4D"/>
    <w:rsid w:val="21A15D2C"/>
    <w:rsid w:val="21A74CB0"/>
    <w:rsid w:val="21C82376"/>
    <w:rsid w:val="22FC0750"/>
    <w:rsid w:val="23B55E30"/>
    <w:rsid w:val="244B7205"/>
    <w:rsid w:val="24C76862"/>
    <w:rsid w:val="24D93136"/>
    <w:rsid w:val="25107BC7"/>
    <w:rsid w:val="251A2FF7"/>
    <w:rsid w:val="255E3816"/>
    <w:rsid w:val="2587194A"/>
    <w:rsid w:val="26450D58"/>
    <w:rsid w:val="272C1927"/>
    <w:rsid w:val="275E6C94"/>
    <w:rsid w:val="279F5FDF"/>
    <w:rsid w:val="27A77FCD"/>
    <w:rsid w:val="27DA394E"/>
    <w:rsid w:val="27FA4201"/>
    <w:rsid w:val="281F54D6"/>
    <w:rsid w:val="289A5B44"/>
    <w:rsid w:val="28DC0F6A"/>
    <w:rsid w:val="28EC39D0"/>
    <w:rsid w:val="296D0E83"/>
    <w:rsid w:val="297E4A9C"/>
    <w:rsid w:val="29962A80"/>
    <w:rsid w:val="29CD21FE"/>
    <w:rsid w:val="2AAB1038"/>
    <w:rsid w:val="2B2B3DF5"/>
    <w:rsid w:val="2B571043"/>
    <w:rsid w:val="2BE7592F"/>
    <w:rsid w:val="2D382CC6"/>
    <w:rsid w:val="2D3C1BE9"/>
    <w:rsid w:val="2D3C564F"/>
    <w:rsid w:val="2DA83DCF"/>
    <w:rsid w:val="2E4815E6"/>
    <w:rsid w:val="2EB7446F"/>
    <w:rsid w:val="2EBB4D79"/>
    <w:rsid w:val="2F02634B"/>
    <w:rsid w:val="2F620668"/>
    <w:rsid w:val="30E43FCF"/>
    <w:rsid w:val="310F12A5"/>
    <w:rsid w:val="31C85DFF"/>
    <w:rsid w:val="31CE439C"/>
    <w:rsid w:val="31E24E52"/>
    <w:rsid w:val="329D1A99"/>
    <w:rsid w:val="33996076"/>
    <w:rsid w:val="34557684"/>
    <w:rsid w:val="34E3504C"/>
    <w:rsid w:val="353A5574"/>
    <w:rsid w:val="361363F5"/>
    <w:rsid w:val="3787655B"/>
    <w:rsid w:val="391A7E65"/>
    <w:rsid w:val="39800255"/>
    <w:rsid w:val="3996367A"/>
    <w:rsid w:val="39A5378C"/>
    <w:rsid w:val="3A064C79"/>
    <w:rsid w:val="3AD061AD"/>
    <w:rsid w:val="3AF06488"/>
    <w:rsid w:val="3B663A4F"/>
    <w:rsid w:val="3BDE1F31"/>
    <w:rsid w:val="3BF43FDC"/>
    <w:rsid w:val="3C6E016B"/>
    <w:rsid w:val="3C7D53DE"/>
    <w:rsid w:val="3CB61503"/>
    <w:rsid w:val="3CB6772C"/>
    <w:rsid w:val="3D1C2855"/>
    <w:rsid w:val="3DA6256D"/>
    <w:rsid w:val="3E0F1745"/>
    <w:rsid w:val="3E273EB8"/>
    <w:rsid w:val="3E7C700F"/>
    <w:rsid w:val="3EB05A68"/>
    <w:rsid w:val="3EB94D72"/>
    <w:rsid w:val="3F073C8D"/>
    <w:rsid w:val="3F286420"/>
    <w:rsid w:val="3FEC672B"/>
    <w:rsid w:val="40145023"/>
    <w:rsid w:val="40334D77"/>
    <w:rsid w:val="41571F94"/>
    <w:rsid w:val="42B37C55"/>
    <w:rsid w:val="43B937F0"/>
    <w:rsid w:val="43DC21E6"/>
    <w:rsid w:val="446B5CB5"/>
    <w:rsid w:val="449564CD"/>
    <w:rsid w:val="449D0A3E"/>
    <w:rsid w:val="44C64A78"/>
    <w:rsid w:val="450B5884"/>
    <w:rsid w:val="462F7E0C"/>
    <w:rsid w:val="474029EB"/>
    <w:rsid w:val="48623B31"/>
    <w:rsid w:val="489F0983"/>
    <w:rsid w:val="48A976AB"/>
    <w:rsid w:val="48DC7D87"/>
    <w:rsid w:val="48FB28AB"/>
    <w:rsid w:val="48FB5FF1"/>
    <w:rsid w:val="494561BB"/>
    <w:rsid w:val="49BD79B3"/>
    <w:rsid w:val="49E53559"/>
    <w:rsid w:val="4A2F70DA"/>
    <w:rsid w:val="4A485DC2"/>
    <w:rsid w:val="4AE86ED3"/>
    <w:rsid w:val="4B2B0B52"/>
    <w:rsid w:val="4BA95660"/>
    <w:rsid w:val="4C755A0A"/>
    <w:rsid w:val="4C977834"/>
    <w:rsid w:val="4CFE682A"/>
    <w:rsid w:val="4D3038E5"/>
    <w:rsid w:val="4D596375"/>
    <w:rsid w:val="4D946928"/>
    <w:rsid w:val="4F43377D"/>
    <w:rsid w:val="4FCA5312"/>
    <w:rsid w:val="50690415"/>
    <w:rsid w:val="50863AEE"/>
    <w:rsid w:val="50A15412"/>
    <w:rsid w:val="50C70192"/>
    <w:rsid w:val="51F72A4C"/>
    <w:rsid w:val="52237471"/>
    <w:rsid w:val="528D20F2"/>
    <w:rsid w:val="52927B75"/>
    <w:rsid w:val="5295566F"/>
    <w:rsid w:val="52B435E1"/>
    <w:rsid w:val="52E15F9A"/>
    <w:rsid w:val="530A28E4"/>
    <w:rsid w:val="535661BA"/>
    <w:rsid w:val="54201323"/>
    <w:rsid w:val="5502352F"/>
    <w:rsid w:val="552C7A66"/>
    <w:rsid w:val="560E38A4"/>
    <w:rsid w:val="572E3B80"/>
    <w:rsid w:val="57877110"/>
    <w:rsid w:val="57C46218"/>
    <w:rsid w:val="59361347"/>
    <w:rsid w:val="596F02C5"/>
    <w:rsid w:val="59A66EED"/>
    <w:rsid w:val="59AB1B80"/>
    <w:rsid w:val="5A86434D"/>
    <w:rsid w:val="5A8D2322"/>
    <w:rsid w:val="5AA9763F"/>
    <w:rsid w:val="5B0B3726"/>
    <w:rsid w:val="5BC07533"/>
    <w:rsid w:val="5CB5060B"/>
    <w:rsid w:val="5CE21551"/>
    <w:rsid w:val="5D5905FD"/>
    <w:rsid w:val="5D822C5A"/>
    <w:rsid w:val="5DB6074F"/>
    <w:rsid w:val="5DDE730D"/>
    <w:rsid w:val="5E421FD0"/>
    <w:rsid w:val="5E503BBD"/>
    <w:rsid w:val="5F1C7961"/>
    <w:rsid w:val="5F983239"/>
    <w:rsid w:val="5FFA2097"/>
    <w:rsid w:val="60637039"/>
    <w:rsid w:val="60DD5FF3"/>
    <w:rsid w:val="61354B48"/>
    <w:rsid w:val="61397DAE"/>
    <w:rsid w:val="618F18CA"/>
    <w:rsid w:val="62704A45"/>
    <w:rsid w:val="630A5037"/>
    <w:rsid w:val="63B6655B"/>
    <w:rsid w:val="63DA4B97"/>
    <w:rsid w:val="641A5B81"/>
    <w:rsid w:val="64332630"/>
    <w:rsid w:val="64522C79"/>
    <w:rsid w:val="64EB3807"/>
    <w:rsid w:val="652F7039"/>
    <w:rsid w:val="65F61D40"/>
    <w:rsid w:val="665D1ED0"/>
    <w:rsid w:val="679B47E6"/>
    <w:rsid w:val="67F26828"/>
    <w:rsid w:val="68A6624A"/>
    <w:rsid w:val="68D55492"/>
    <w:rsid w:val="68E22B8F"/>
    <w:rsid w:val="6906014B"/>
    <w:rsid w:val="69713A6A"/>
    <w:rsid w:val="69DE533E"/>
    <w:rsid w:val="69E15469"/>
    <w:rsid w:val="69F71FE5"/>
    <w:rsid w:val="6A7A48B2"/>
    <w:rsid w:val="6C851A4C"/>
    <w:rsid w:val="6F901D8A"/>
    <w:rsid w:val="6F995F63"/>
    <w:rsid w:val="6FC22B6C"/>
    <w:rsid w:val="702D5807"/>
    <w:rsid w:val="70406237"/>
    <w:rsid w:val="70766E7B"/>
    <w:rsid w:val="71B44B4E"/>
    <w:rsid w:val="71C21CB8"/>
    <w:rsid w:val="721E7C6E"/>
    <w:rsid w:val="72252EC6"/>
    <w:rsid w:val="72B86EBD"/>
    <w:rsid w:val="72C67F3E"/>
    <w:rsid w:val="735C067F"/>
    <w:rsid w:val="75102D70"/>
    <w:rsid w:val="751E7E24"/>
    <w:rsid w:val="7523099D"/>
    <w:rsid w:val="75CD391D"/>
    <w:rsid w:val="76047015"/>
    <w:rsid w:val="76442283"/>
    <w:rsid w:val="76832D41"/>
    <w:rsid w:val="76E06023"/>
    <w:rsid w:val="770D0429"/>
    <w:rsid w:val="77227763"/>
    <w:rsid w:val="782B5247"/>
    <w:rsid w:val="784B5870"/>
    <w:rsid w:val="78C642A1"/>
    <w:rsid w:val="797F4079"/>
    <w:rsid w:val="7A560E98"/>
    <w:rsid w:val="7B434EA7"/>
    <w:rsid w:val="7B4D24C9"/>
    <w:rsid w:val="7B955067"/>
    <w:rsid w:val="7BC41919"/>
    <w:rsid w:val="7C6B2167"/>
    <w:rsid w:val="7CDC740A"/>
    <w:rsid w:val="7D25618F"/>
    <w:rsid w:val="7D7F7E70"/>
    <w:rsid w:val="7DD256DA"/>
    <w:rsid w:val="7E2D16FC"/>
    <w:rsid w:val="7E31096D"/>
    <w:rsid w:val="7E330076"/>
    <w:rsid w:val="7E933C3C"/>
    <w:rsid w:val="7F0B6033"/>
    <w:rsid w:val="7F2E295C"/>
    <w:rsid w:val="7F3C6C4B"/>
    <w:rsid w:val="7FC254E9"/>
    <w:rsid w:val="7FFD67A9"/>
    <w:rsid w:val="EAFD4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4"/>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pacing w:line="300" w:lineRule="auto"/>
      <w:ind w:firstLine="420" w:firstLineChars="200"/>
    </w:pPr>
    <w:rPr>
      <w:rFonts w:ascii="Calibri"/>
      <w:kern w:val="2"/>
      <w:sz w:val="21"/>
      <w:szCs w:val="24"/>
    </w:rPr>
  </w:style>
  <w:style w:type="paragraph" w:styleId="8">
    <w:name w:val="toa heading"/>
    <w:basedOn w:val="1"/>
    <w:next w:val="1"/>
    <w:qFormat/>
    <w:uiPriority w:val="0"/>
    <w:pPr>
      <w:adjustRightInd w:val="0"/>
      <w:spacing w:line="480" w:lineRule="exact"/>
      <w:jc w:val="left"/>
      <w:textAlignment w:val="baseline"/>
    </w:pPr>
    <w:rPr>
      <w:rFonts w:ascii="Arial" w:hAnsi="Arial"/>
      <w:kern w:val="0"/>
      <w:sz w:val="24"/>
    </w:rPr>
  </w:style>
  <w:style w:type="paragraph" w:styleId="9">
    <w:name w:val="annotation text"/>
    <w:basedOn w:val="1"/>
    <w:autoRedefine/>
    <w:qFormat/>
    <w:uiPriority w:val="0"/>
    <w:pPr>
      <w:jc w:val="left"/>
    </w:pPr>
  </w:style>
  <w:style w:type="paragraph" w:styleId="10">
    <w:name w:val="Body Text 3"/>
    <w:basedOn w:val="1"/>
    <w:autoRedefine/>
    <w:qFormat/>
    <w:uiPriority w:val="0"/>
    <w:pPr>
      <w:jc w:val="center"/>
    </w:pPr>
    <w:rPr>
      <w:rFonts w:ascii="Times New Roman"/>
      <w:b/>
      <w:spacing w:val="-20"/>
      <w:w w:val="110"/>
      <w:kern w:val="2"/>
      <w:sz w:val="52"/>
    </w:rPr>
  </w:style>
  <w:style w:type="paragraph" w:styleId="11">
    <w:name w:val="Body Text"/>
    <w:basedOn w:val="1"/>
    <w:next w:val="1"/>
    <w:autoRedefine/>
    <w:qFormat/>
    <w:uiPriority w:val="0"/>
    <w:pPr>
      <w:spacing w:after="120"/>
    </w:pPr>
    <w:rPr>
      <w:rFonts w:ascii="Calibri"/>
      <w:kern w:val="2"/>
      <w:sz w:val="21"/>
    </w:rPr>
  </w:style>
  <w:style w:type="paragraph" w:styleId="12">
    <w:name w:val="Body Text Indent"/>
    <w:basedOn w:val="1"/>
    <w:next w:val="13"/>
    <w:autoRedefine/>
    <w:qFormat/>
    <w:uiPriority w:val="0"/>
    <w:pPr>
      <w:spacing w:line="380" w:lineRule="exact"/>
      <w:ind w:firstLine="420" w:firstLineChars="175"/>
    </w:pPr>
    <w:rPr>
      <w:rFonts w:ascii="宋体" w:hAnsi="宋体"/>
      <w:sz w:val="24"/>
    </w:rPr>
  </w:style>
  <w:style w:type="paragraph" w:styleId="13">
    <w:name w:val="envelope return"/>
    <w:basedOn w:val="1"/>
    <w:qFormat/>
    <w:uiPriority w:val="0"/>
    <w:pPr>
      <w:widowControl/>
      <w:snapToGrid w:val="0"/>
      <w:spacing w:line="312" w:lineRule="auto"/>
    </w:pPr>
    <w:rPr>
      <w:rFonts w:ascii="Arial" w:hAnsi="Arial" w:eastAsia="宋体" w:cs="Times New Roman"/>
      <w:szCs w:val="20"/>
    </w:rPr>
  </w:style>
  <w:style w:type="paragraph" w:styleId="14">
    <w:name w:val="toc 3"/>
    <w:basedOn w:val="1"/>
    <w:next w:val="1"/>
    <w:autoRedefine/>
    <w:qFormat/>
    <w:uiPriority w:val="0"/>
    <w:pPr>
      <w:ind w:left="840" w:leftChars="400"/>
    </w:pPr>
  </w:style>
  <w:style w:type="paragraph" w:styleId="15">
    <w:name w:val="Plain Text"/>
    <w:basedOn w:val="1"/>
    <w:autoRedefine/>
    <w:qFormat/>
    <w:uiPriority w:val="0"/>
    <w:rPr>
      <w:rFonts w:hAnsi="Courier New"/>
      <w:kern w:val="2"/>
      <w:sz w:val="21"/>
    </w:rPr>
  </w:style>
  <w:style w:type="paragraph" w:styleId="16">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7">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autoRedefine/>
    <w:unhideWhenUsed/>
    <w:qFormat/>
    <w:uiPriority w:val="39"/>
  </w:style>
  <w:style w:type="paragraph" w:styleId="19">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autoRedefine/>
    <w:unhideWhenUsed/>
    <w:qFormat/>
    <w:uiPriority w:val="39"/>
    <w:pPr>
      <w:ind w:left="420" w:leftChars="200"/>
    </w:pPr>
  </w:style>
  <w:style w:type="paragraph" w:styleId="21">
    <w:name w:val="Normal (Web)"/>
    <w:basedOn w:val="1"/>
    <w:autoRedefine/>
    <w:qFormat/>
    <w:uiPriority w:val="0"/>
    <w:pPr>
      <w:widowControl/>
      <w:spacing w:before="100" w:beforeAutospacing="1" w:after="100" w:afterAutospacing="1"/>
      <w:jc w:val="left"/>
    </w:pPr>
    <w:rPr>
      <w:rFonts w:hAnsi="宋体"/>
      <w:szCs w:val="24"/>
    </w:rPr>
  </w:style>
  <w:style w:type="paragraph" w:styleId="22">
    <w:name w:val="Body Text First Indent"/>
    <w:basedOn w:val="11"/>
    <w:next w:val="23"/>
    <w:qFormat/>
    <w:uiPriority w:val="99"/>
    <w:pPr>
      <w:ind w:firstLine="420" w:firstLineChars="100"/>
    </w:pPr>
  </w:style>
  <w:style w:type="paragraph" w:styleId="23">
    <w:name w:val="Body Text First Indent 2"/>
    <w:basedOn w:val="12"/>
    <w:next w:val="1"/>
    <w:autoRedefine/>
    <w:qFormat/>
    <w:uiPriority w:val="0"/>
    <w:pPr>
      <w:spacing w:after="120" w:afterLines="0" w:line="240" w:lineRule="auto"/>
      <w:ind w:left="200" w:leftChars="200" w:firstLine="20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Hyperlink"/>
    <w:basedOn w:val="26"/>
    <w:autoRedefine/>
    <w:qFormat/>
    <w:uiPriority w:val="0"/>
    <w:rPr>
      <w:color w:val="0000FF"/>
      <w:u w:val="single"/>
    </w:rPr>
  </w:style>
  <w:style w:type="paragraph" w:customStyle="1" w:styleId="29">
    <w:name w:val="MessageHeader"/>
    <w:basedOn w:val="1"/>
    <w:next w:val="30"/>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0">
    <w:name w:val="BodyText"/>
    <w:basedOn w:val="1"/>
    <w:next w:val="1"/>
    <w:autoRedefine/>
    <w:qFormat/>
    <w:uiPriority w:val="0"/>
    <w:pPr>
      <w:jc w:val="center"/>
      <w:textAlignment w:val="baseline"/>
    </w:pPr>
  </w:style>
  <w:style w:type="paragraph" w:customStyle="1" w:styleId="31">
    <w:name w:val="列表段落1"/>
    <w:basedOn w:val="1"/>
    <w:autoRedefine/>
    <w:qFormat/>
    <w:uiPriority w:val="34"/>
    <w:pPr>
      <w:ind w:firstLine="420" w:firstLineChars="200"/>
    </w:pPr>
  </w:style>
  <w:style w:type="paragraph" w:customStyle="1" w:styleId="32">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3">
    <w:name w:val="大标题"/>
    <w:basedOn w:val="1"/>
    <w:next w:val="23"/>
    <w:autoRedefine/>
    <w:qFormat/>
    <w:uiPriority w:val="0"/>
    <w:pPr>
      <w:jc w:val="center"/>
    </w:pPr>
    <w:rPr>
      <w:rFonts w:ascii="Arial" w:hAnsi="Arial" w:eastAsia="宋体"/>
      <w:b/>
      <w:sz w:val="28"/>
      <w:szCs w:val="24"/>
    </w:rPr>
  </w:style>
  <w:style w:type="character" w:customStyle="1" w:styleId="34">
    <w:name w:val="标题 1 字符"/>
    <w:link w:val="2"/>
    <w:autoRedefine/>
    <w:qFormat/>
    <w:uiPriority w:val="0"/>
    <w:rPr>
      <w:rFonts w:ascii="仿宋_GB2312" w:hAnsi="宋体" w:eastAsia="仿宋_GB2312"/>
      <w:b/>
      <w:kern w:val="2"/>
      <w:sz w:val="32"/>
    </w:rPr>
  </w:style>
  <w:style w:type="paragraph" w:customStyle="1" w:styleId="35">
    <w:name w:val="表格文字中"/>
    <w:basedOn w:val="1"/>
    <w:autoRedefine/>
    <w:qFormat/>
    <w:uiPriority w:val="0"/>
    <w:pPr>
      <w:adjustRightInd w:val="0"/>
      <w:snapToGrid w:val="0"/>
      <w:ind w:left="22" w:leftChars="8"/>
      <w:jc w:val="center"/>
    </w:pPr>
    <w:rPr>
      <w:szCs w:val="24"/>
    </w:rPr>
  </w:style>
  <w:style w:type="paragraph" w:customStyle="1" w:styleId="36">
    <w:name w:val="Char1"/>
    <w:basedOn w:val="1"/>
    <w:autoRedefine/>
    <w:qFormat/>
    <w:uiPriority w:val="0"/>
    <w:pPr>
      <w:tabs>
        <w:tab w:val="left" w:pos="360"/>
      </w:tabs>
      <w:ind w:left="360" w:hanging="360" w:hangingChars="200"/>
    </w:pPr>
    <w:rPr>
      <w:szCs w:val="24"/>
    </w:rPr>
  </w:style>
  <w:style w:type="paragraph" w:customStyle="1" w:styleId="37">
    <w:name w:val="列出段落11"/>
    <w:basedOn w:val="1"/>
    <w:autoRedefine/>
    <w:qFormat/>
    <w:uiPriority w:val="34"/>
    <w:pPr>
      <w:ind w:firstLine="420" w:firstLineChars="200"/>
    </w:pPr>
    <w:rPr>
      <w:rFonts w:ascii="Calibri" w:hAnsi="Calibri"/>
      <w:szCs w:val="22"/>
    </w:rPr>
  </w:style>
  <w:style w:type="character" w:customStyle="1" w:styleId="38">
    <w:name w:val="font21"/>
    <w:basedOn w:val="26"/>
    <w:autoRedefine/>
    <w:qFormat/>
    <w:uiPriority w:val="0"/>
    <w:rPr>
      <w:rFonts w:hint="eastAsia" w:ascii="宋体" w:hAnsi="宋体" w:eastAsia="宋体" w:cs="宋体"/>
      <w:color w:val="000000"/>
      <w:sz w:val="24"/>
      <w:szCs w:val="24"/>
      <w:u w:val="none"/>
    </w:rPr>
  </w:style>
  <w:style w:type="character" w:customStyle="1" w:styleId="39">
    <w:name w:val="font01"/>
    <w:basedOn w:val="26"/>
    <w:autoRedefine/>
    <w:qFormat/>
    <w:uiPriority w:val="0"/>
    <w:rPr>
      <w:rFonts w:hint="eastAsia" w:ascii="宋体" w:hAnsi="宋体" w:eastAsia="宋体" w:cs="宋体"/>
      <w:color w:val="000000"/>
      <w:sz w:val="24"/>
      <w:szCs w:val="24"/>
      <w:u w:val="none"/>
    </w:rPr>
  </w:style>
  <w:style w:type="character" w:customStyle="1" w:styleId="40">
    <w:name w:val="font31"/>
    <w:basedOn w:val="26"/>
    <w:autoRedefine/>
    <w:qFormat/>
    <w:uiPriority w:val="0"/>
    <w:rPr>
      <w:rFonts w:hint="default" w:ascii="AGYXIQ + Frutiger-Cn" w:hAnsi="AGYXIQ + Frutiger-Cn" w:eastAsia="AGYXIQ + Frutiger-Cn" w:cs="AGYXIQ + Frutiger-Cn"/>
      <w:color w:val="000000"/>
      <w:sz w:val="24"/>
      <w:szCs w:val="24"/>
      <w:u w:val="none"/>
    </w:rPr>
  </w:style>
  <w:style w:type="table" w:customStyle="1" w:styleId="41">
    <w:name w:val="Table Normal"/>
    <w:autoRedefine/>
    <w:semiHidden/>
    <w:unhideWhenUsed/>
    <w:qFormat/>
    <w:uiPriority w:val="0"/>
    <w:tblPr>
      <w:tblCellMar>
        <w:top w:w="0" w:type="dxa"/>
        <w:left w:w="0" w:type="dxa"/>
        <w:bottom w:w="0" w:type="dxa"/>
        <w:right w:w="0" w:type="dxa"/>
      </w:tblCellMar>
    </w:tblPr>
  </w:style>
  <w:style w:type="character" w:customStyle="1" w:styleId="42">
    <w:name w:val="font11"/>
    <w:basedOn w:val="26"/>
    <w:qFormat/>
    <w:uiPriority w:val="0"/>
    <w:rPr>
      <w:rFonts w:hint="eastAsia" w:ascii="宋体" w:hAnsi="宋体" w:eastAsia="宋体" w:cs="宋体"/>
      <w:b/>
      <w:bCs/>
      <w:color w:val="000000"/>
      <w:sz w:val="22"/>
      <w:szCs w:val="22"/>
      <w:u w:val="none"/>
    </w:rPr>
  </w:style>
  <w:style w:type="character" w:customStyle="1" w:styleId="43">
    <w:name w:val="font41"/>
    <w:basedOn w:val="26"/>
    <w:qFormat/>
    <w:uiPriority w:val="0"/>
    <w:rPr>
      <w:rFonts w:ascii="宋体" w:hAnsi="宋体" w:eastAsia="宋体" w:cs="宋体"/>
      <w:b/>
      <w:bCs/>
      <w:color w:val="000000"/>
      <w:sz w:val="18"/>
      <w:szCs w:val="18"/>
      <w:u w:val="none"/>
    </w:rPr>
  </w:style>
  <w:style w:type="character" w:customStyle="1" w:styleId="44">
    <w:name w:val="font51"/>
    <w:basedOn w:val="26"/>
    <w:qFormat/>
    <w:uiPriority w:val="0"/>
    <w:rPr>
      <w:rFonts w:ascii="宋体" w:hAnsi="宋体" w:eastAsia="宋体" w:cs="宋体"/>
      <w:color w:val="000000"/>
      <w:sz w:val="12"/>
      <w:szCs w:val="12"/>
      <w:u w:val="none"/>
    </w:rPr>
  </w:style>
  <w:style w:type="character" w:customStyle="1" w:styleId="45">
    <w:name w:val="font61"/>
    <w:basedOn w:val="26"/>
    <w:qFormat/>
    <w:uiPriority w:val="0"/>
    <w:rPr>
      <w:rFonts w:ascii="宋体" w:hAnsi="宋体" w:eastAsia="宋体" w:cs="宋体"/>
      <w:b/>
      <w:bCs/>
      <w:color w:val="000000"/>
      <w:sz w:val="12"/>
      <w:szCs w:val="12"/>
      <w:u w:val="none"/>
    </w:rPr>
  </w:style>
  <w:style w:type="paragraph" w:customStyle="1" w:styleId="46">
    <w:name w:val="样式 标题 2 Char + (西文) 黑体 段前: 6 磅 段后: 0.5 行 行距: 1.5 倍行距"/>
    <w:basedOn w:val="3"/>
    <w:qFormat/>
    <w:uiPriority w:val="0"/>
    <w:pPr>
      <w:spacing w:line="360" w:lineRule="auto"/>
    </w:pPr>
    <w:rPr>
      <w:rFonts w:ascii="黑体" w:hAnsi="黑体" w:cs="宋体"/>
      <w:sz w:val="28"/>
      <w:szCs w:val="20"/>
    </w:rPr>
  </w:style>
  <w:style w:type="paragraph" w:customStyle="1" w:styleId="4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5512</Words>
  <Characters>6032</Characters>
  <Lines>240</Lines>
  <Paragraphs>67</Paragraphs>
  <TotalTime>90</TotalTime>
  <ScaleCrop>false</ScaleCrop>
  <LinksUpToDate>false</LinksUpToDate>
  <CharactersWithSpaces>6110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三言两语</cp:lastModifiedBy>
  <dcterms:modified xsi:type="dcterms:W3CDTF">2026-04-17T08:14:46Z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B8845617A19E467F84868DE22BBA54D5_13</vt:lpwstr>
  </property>
  <property fmtid="{D5CDD505-2E9C-101B-9397-08002B2CF9AE}" pid="4" name="KSOTemplateDocerSaveRecord">
    <vt:lpwstr>eyJoZGlkIjoiOGM3MDRkNDczYjc5MGMxOTg5N2ZiZDQwMjEzZDM0MzciLCJ1c2VySWQiOiIyNjgyMzQwNDYifQ==</vt:lpwstr>
  </property>
</Properties>
</file>