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0A23">
      <w:pPr>
        <w:autoSpaceDE w:val="0"/>
        <w:autoSpaceDN w:val="0"/>
        <w:adjustRightInd w:val="0"/>
        <w:snapToGrid w:val="0"/>
        <w:spacing w:line="348" w:lineRule="auto"/>
        <w:ind w:firstLine="964" w:firstLineChars="300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采购内容及要求</w:t>
      </w:r>
    </w:p>
    <w:p w14:paraId="6E0B01C2">
      <w:pPr>
        <w:spacing w:line="348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项目概况</w:t>
      </w:r>
    </w:p>
    <w:p w14:paraId="3DE1073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杨陵区旅游路水毁修复工程（海棠庄园小桥台背沉陷）工程；杨陵区旅游路水毁修复工程（马家底村段边坡垮塌）工程；杨陵区344国道马家沟大桥排水工程</w:t>
      </w:r>
    </w:p>
    <w:p w14:paraId="343CBFDD">
      <w:pPr>
        <w:spacing w:line="348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、工期要求：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自合同签订之日起2个月</w:t>
      </w:r>
    </w:p>
    <w:p w14:paraId="7B30FC0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、工程质量等级：合格</w:t>
      </w:r>
    </w:p>
    <w:p w14:paraId="35D27588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验收标准：国家标准、行业标准、企业标准。</w:t>
      </w:r>
    </w:p>
    <w:p w14:paraId="3FD75C3A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、现场要求：项目现场材料堆放整齐，安全可靠。 </w:t>
      </w:r>
    </w:p>
    <w:p w14:paraId="4B3C42B1">
      <w:pPr>
        <w:spacing w:line="348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二、施工要求</w:t>
      </w:r>
    </w:p>
    <w:p w14:paraId="36A55F6E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1、工程实行包工包料，不得转包、分包。</w:t>
      </w:r>
    </w:p>
    <w:p w14:paraId="526C7E66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2、供应商在本工程中的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，要求技术水平高、组织能力强、有丰富的工程业绩和实践经验，懂管理、善于协调。施工人员中质检员、特殊工程人员要求有上岗证。施工队伍稳定，保证整个工程顺利完工。</w:t>
      </w:r>
    </w:p>
    <w:p w14:paraId="20E2FB9F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、施工过程中，严格遵守建设单位的各种管理规定及规章制度，做到文明施工。发生工伤及意外事故由供应商负责。</w:t>
      </w:r>
    </w:p>
    <w:p w14:paraId="43A26D56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、严格按照国家和省上有关规定施工，如有更改须事先征得有关方面的同意，并在采购人落实后实施，并出具书面说明。</w:t>
      </w:r>
    </w:p>
    <w:p w14:paraId="0B5E3E84"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三、施工具备的条件</w:t>
      </w:r>
    </w:p>
    <w:p w14:paraId="62065D8F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1、现场具备实施条件。</w:t>
      </w:r>
    </w:p>
    <w:p w14:paraId="397ADB17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2、材料、设备全部由成交供应商自行采购。</w:t>
      </w:r>
    </w:p>
    <w:p w14:paraId="06F3C4DD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3、水电设施齐全。</w:t>
      </w:r>
    </w:p>
    <w:p w14:paraId="20D5AB57"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四、质量保证</w:t>
      </w:r>
    </w:p>
    <w:p w14:paraId="2E76BAF3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1、施工方必须依据磋商要求，按照有关规范施工，确保工程优良，一次性验收交接。</w:t>
      </w:r>
    </w:p>
    <w:p w14:paraId="262B7E9B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76C3DAD0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3、施工方必须向采购人及时提供合格证及材料检验单。在征得有关方面认可后，方可进行施工，并做好相应的检验环节。</w:t>
      </w:r>
    </w:p>
    <w:p w14:paraId="365EECCC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4、施工方未经采购人同意，不得擅自更换本工程在磋商响应文件中指定的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项目经理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及施工队伍。不得分包、转包。确需分包、转包时须征得采购人同意。否则将终止合同并按政府采购有关规定进行处理。</w:t>
      </w:r>
    </w:p>
    <w:p w14:paraId="468D0D79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5、施工方的售后服务要完善、可靠、及时，并派遣相关技术人员配合采购人检查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，质保期内发生任何质量问题施工方需要及时维护修理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3B725A3">
      <w:pPr>
        <w:spacing w:line="34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6、将严格按照工艺流程和现行国家安全规范施工，严格执行施工要点，保证处理处置等级达到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国家标准。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2026-04-27T06:31:12Z</dcterms:created>
  <dc:creator>Administrator</dc:creator>
  <cp:lastModifiedBy>宋璟雯</cp:lastModifiedBy>
  <dcterms:modified xsi:type="dcterms:W3CDTF">2026-04-27T06:31:30Z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eyJoZGlkIjoiNjMzZmQ0ZDk5YzU0YjllNTdjMTBiZDMxYTg3ZmM2YmYiLCJ1c2VySWQiOiIxNDUxODIyODU0In0=</vt:lpwstr>
  </property>
  <property fmtid="{D5CDD505-2E9C-101B-9397-08002B2CF9AE}" pid="4" name="ICV">
    <vt:lpwstr>F5EA404AE1F94752A2FACAFB35CF6042_12</vt:lpwstr>
  </property>
</Properties>
</file>