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西安市商务局（本级）编制西安市会展产业指导目录项目竞争性磋商公告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编制西安市会展产业指导目录项目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2026年05月12日 09时30分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项目编号：TZZB-2026092C</w:t>
      </w:r>
    </w:p>
    <w:p>
      <w:pPr>
        <w:pStyle w:val="null3"/>
      </w:pPr>
      <w:r>
        <w:rPr>
          <w:rFonts w:ascii="仿宋_GB2312" w:hAnsi="仿宋_GB2312" w:cs="仿宋_GB2312" w:eastAsia="仿宋_GB2312"/>
        </w:rPr>
        <w:t>项目名称：编制西安市会展产业指导目录项目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预算金额：150,000.00元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采购包1：自合同签订之日起至项目结束</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合同包1(编制西安市会展产业指导目录项目)落实政府采购政策需满足的资格要求如下: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合同包1(编制西安市会展产业指导目录项目)特定资格要求如下:</w:t>
      </w:r>
    </w:p>
    <w:p>
      <w:pPr>
        <w:pStyle w:val="null3"/>
      </w:pPr>
      <w:r>
        <w:rPr>
          <w:rFonts w:ascii="仿宋_GB2312" w:hAnsi="仿宋_GB2312" w:cs="仿宋_GB2312" w:eastAsia="仿宋_GB2312"/>
        </w:rPr>
        <w:t>(1)具有独立承担民事责任能力的法人、其他组织或自然人，营业执照、组织机构代码证、税务登记证（三证合一只提供营业执照，事业单位提供事业单位法人证书，自然人应提供身份证）合法有效</w:t>
      </w:r>
    </w:p>
    <w:p>
      <w:pPr>
        <w:pStyle w:val="null3"/>
      </w:pPr>
      <w:r>
        <w:rPr>
          <w:rFonts w:ascii="仿宋_GB2312" w:hAnsi="仿宋_GB2312" w:cs="仿宋_GB2312" w:eastAsia="仿宋_GB2312"/>
        </w:rPr>
        <w:t>(2)供应商应授权合法的人员参加磋商，其中法定代表人直接参加的须出具法人身份证，须与营业执照上信息一致，授权代表参加的须出具法定代表人授权书及被授权人身份证及本单位参保证明（提交响应文件截止时间前六个月内任意一个月的社会保险缴纳证明）</w:t>
      </w:r>
    </w:p>
    <w:p>
      <w:pPr>
        <w:pStyle w:val="null3"/>
      </w:pPr>
      <w:r>
        <w:rPr>
          <w:rFonts w:ascii="仿宋_GB2312" w:hAnsi="仿宋_GB2312" w:cs="仿宋_GB2312" w:eastAsia="仿宋_GB2312"/>
        </w:rPr>
        <w:t>(3)提供2025年10月至今已缴纳的至少一个月的纳税证明或完税证明（任意税种），依法免税的单位应提供相关证明材料</w:t>
      </w:r>
    </w:p>
    <w:p>
      <w:pPr>
        <w:pStyle w:val="null3"/>
      </w:pPr>
      <w:r>
        <w:rPr>
          <w:rFonts w:ascii="仿宋_GB2312" w:hAnsi="仿宋_GB2312" w:cs="仿宋_GB2312" w:eastAsia="仿宋_GB2312"/>
        </w:rPr>
        <w:t>(4)提供2025年10月至今已缴存的至少一个月的社会保障资金缴存单据或社保机构开具的社会保险参保缴费情况证明，依法不需要缴纳社会保障资金的单位应提供相关证明材料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(5)提供2024年度或2025年度经会计事务所或审计机构出具完整的财务审计报告(包括审计报告、资产负债表、利润表、现金流量表、所有者权益变动表及其附注），成立时间至提交响应文件截止时间不足一年的可提供成立后任意时段的资产负债表，或其开标前六个月内基本开户银行出具的资信证明。（以上两种形式的资料提供任何一种即可）</w:t>
      </w:r>
    </w:p>
    <w:p>
      <w:pPr>
        <w:pStyle w:val="null3"/>
      </w:pPr>
      <w:r>
        <w:rPr>
          <w:rFonts w:ascii="仿宋_GB2312" w:hAnsi="仿宋_GB2312" w:cs="仿宋_GB2312" w:eastAsia="仿宋_GB2312"/>
        </w:rPr>
        <w:t>(6)参加政府采购活动前三年内，在经营活动中没有重大违法记录的书面声明</w:t>
      </w:r>
    </w:p>
    <w:p>
      <w:pPr>
        <w:pStyle w:val="null3"/>
      </w:pPr>
      <w:r>
        <w:rPr>
          <w:rFonts w:ascii="仿宋_GB2312" w:hAnsi="仿宋_GB2312" w:cs="仿宋_GB2312" w:eastAsia="仿宋_GB2312"/>
        </w:rPr>
        <w:t>(7)供应商单位负责人为同一人或者存在控股、管理关系的不同单位不得同时进行投标</w:t>
      </w:r>
    </w:p>
    <w:p>
      <w:pPr>
        <w:pStyle w:val="null3"/>
      </w:pPr>
      <w:r>
        <w:rPr>
          <w:rFonts w:ascii="仿宋_GB2312" w:hAnsi="仿宋_GB2312" w:cs="仿宋_GB2312" w:eastAsia="仿宋_GB2312"/>
        </w:rPr>
        <w:t>(8)供应商不得为“信用中国”网站（www.creditchina.gov.cn）（中国执行信息公开网）和中国政府采购网（www.ccgp.gov.cn）中被列入失信被执行人、重大税收违法失信主体、政府采购严重违法失信行为记录名单的单位</w:t>
      </w:r>
    </w:p>
    <w:p>
      <w:pPr>
        <w:pStyle w:val="null3"/>
      </w:pPr>
      <w:r>
        <w:rPr>
          <w:rFonts w:ascii="仿宋_GB2312" w:hAnsi="仿宋_GB2312" w:cs="仿宋_GB2312" w:eastAsia="仿宋_GB2312"/>
        </w:rPr>
        <w:t>(9)具有履行合同所必需的设备和专业技术能力的承诺函</w:t>
      </w:r>
    </w:p>
    <w:p>
      <w:pPr>
        <w:pStyle w:val="null3"/>
      </w:pPr>
      <w:r>
        <w:rPr>
          <w:rFonts w:ascii="仿宋_GB2312" w:hAnsi="仿宋_GB2312" w:cs="仿宋_GB2312" w:eastAsia="仿宋_GB2312"/>
        </w:rPr>
        <w:t>(10)项目为专门面向中小企业项目，供应商须为中型企业或者小型、微型企业或监狱企业或残疾人福利性单位</w:t>
      </w:r>
    </w:p>
    <w:p>
      <w:pPr>
        <w:pStyle w:val="null3"/>
      </w:pPr>
      <w:r>
        <w:rPr>
          <w:rFonts w:ascii="仿宋_GB2312" w:hAnsi="仿宋_GB2312" w:cs="仿宋_GB2312" w:eastAsia="仿宋_GB2312"/>
        </w:rPr>
        <w:t>(11)本项目不接受联合体磋商</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2026年04月28日 </w:t>
      </w:r>
      <w:r>
        <w:rPr>
          <w:rFonts w:ascii="仿宋_GB2312" w:hAnsi="仿宋_GB2312" w:cs="仿宋_GB2312" w:eastAsia="仿宋_GB2312"/>
        </w:rPr>
        <w:t>至</w:t>
      </w:r>
      <w:r>
        <w:rPr>
          <w:rFonts w:ascii="仿宋_GB2312" w:hAnsi="仿宋_GB2312" w:cs="仿宋_GB2312" w:eastAsia="仿宋_GB2312"/>
        </w:rPr>
        <w:t xml:space="preserve"> 2026年05月07日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2026年05月12日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2026年05月12日 09时30分00秒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（六）落实的政府采购政策:</w:t>
      </w:r>
    </w:p>
    <w:p>
      <w:pPr>
        <w:pStyle w:val="null3"/>
      </w:pPr>
      <w:r>
        <w:rPr>
          <w:rFonts w:ascii="仿宋_GB2312" w:hAnsi="仿宋_GB2312" w:cs="仿宋_GB2312" w:eastAsia="仿宋_GB2312"/>
        </w:rPr>
        <w:t>（1）《国务院办公厅关于建立政府强制采购节能产品制度的通知》（国办发〔2007〕51号）；（2）《关于调整优化节能产品、环境标志产品政府采购执行机制的通知》（财库〔2019〕9号）；（3）《关于印发环境标志产品政府采购品目清单的通知》（财库〔2019〕18号）；（4）《关于印发节能产品政府采购品目清单的通知》（财库〔2019〕19号）；（5）《政府采购促进中小企业发展管理办法》(财库〔2020〕46号)；（6）《关于进一步加大政府采购支持中小企业力度的通知》（财库〔2022〕19号）；（7）《陕西省财政厅关于落实政府采购支持中小企业政策有关事项的通知》（陕财办采〔2022〕10号）；（8）《陕西省财政厅关于进一步落实政府采购支持中小企业相关政策的通知》（陕财办采〔2023〕3 号）；（9）《关于政府采购支持监狱企业发展有关问题的通知》(财库〔2014〕68号)；（10）《关于促进残疾人就业政府采购政策的通知》（财库〔2017〕141号）；（11）《关于运用政府采购政策支持乡村产业振兴的通知》（财库〔2021〕19号）；（12）《关于印发&lt;关于深入开展政府采购脱贫地区农副产品工作推进乡村产业振兴的实施意见&gt;的通知》（财库〔2021〕20号）；（13）《陕西省中小企业政府采购信用融资办法》（陕财办采〔2018〕23号）；（14）《陕西省财政厅关于加快推进我省中小企业政府采购信用融资工作的通知》（陕财办采〔2020〕15号）；（15）其他需要落实的政府采购政策；如有最新颁布的政府采购政策，按最新的文件执行。</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西安市商务局（本级）</w:t>
      </w:r>
    </w:p>
    <w:p>
      <w:pPr>
        <w:pStyle w:val="null3"/>
      </w:pPr>
      <w:r>
        <w:rPr>
          <w:rFonts w:ascii="仿宋_GB2312" w:hAnsi="仿宋_GB2312" w:cs="仿宋_GB2312" w:eastAsia="仿宋_GB2312"/>
        </w:rPr>
        <w:t>地址：</w:t>
      </w:r>
      <w:r>
        <w:rPr>
          <w:rFonts w:ascii="仿宋_GB2312" w:hAnsi="仿宋_GB2312" w:cs="仿宋_GB2312" w:eastAsia="仿宋_GB2312"/>
        </w:rPr>
        <w:t>西安市未央区凤城八路109号</w:t>
      </w:r>
    </w:p>
    <w:p>
      <w:pPr>
        <w:pStyle w:val="null3"/>
      </w:pPr>
      <w:r>
        <w:rPr>
          <w:rFonts w:ascii="仿宋_GB2312" w:hAnsi="仿宋_GB2312" w:cs="仿宋_GB2312" w:eastAsia="仿宋_GB2312"/>
        </w:rPr>
        <w:t>联系方式：</w:t>
      </w:r>
      <w:r>
        <w:rPr>
          <w:rFonts w:ascii="仿宋_GB2312" w:hAnsi="仿宋_GB2312" w:cs="仿宋_GB2312" w:eastAsia="仿宋_GB2312"/>
        </w:rPr>
        <w:t>029-67096473</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同正项目管理有限公司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陕西省西安市经济技术开发区凤城八路180号长和国际F座22层</w:t>
      </w:r>
    </w:p>
    <w:p>
      <w:pPr>
        <w:pStyle w:val="null3"/>
      </w:pPr>
      <w:r>
        <w:rPr>
          <w:rFonts w:ascii="仿宋_GB2312" w:hAnsi="仿宋_GB2312" w:cs="仿宋_GB2312" w:eastAsia="仿宋_GB2312"/>
        </w:rPr>
        <w:t>联系方式：</w:t>
      </w:r>
      <w:r>
        <w:rPr>
          <w:rFonts w:ascii="仿宋_GB2312" w:hAnsi="仿宋_GB2312" w:cs="仿宋_GB2312" w:eastAsia="仿宋_GB2312"/>
        </w:rPr>
        <w:t>029-86522030转612</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倪莹、王燕、赵淑涵</w:t>
      </w:r>
    </w:p>
    <w:p>
      <w:pPr>
        <w:pStyle w:val="null3"/>
      </w:pPr>
      <w:r>
        <w:rPr>
          <w:rFonts w:ascii="仿宋_GB2312" w:hAnsi="仿宋_GB2312" w:cs="仿宋_GB2312" w:eastAsia="仿宋_GB2312"/>
        </w:rPr>
        <w:t>电话：</w:t>
      </w:r>
      <w:r>
        <w:rPr>
          <w:rFonts w:ascii="仿宋_GB2312" w:hAnsi="仿宋_GB2312" w:cs="仿宋_GB2312" w:eastAsia="仿宋_GB2312"/>
        </w:rPr>
        <w:t>029-86522030转612</w:t>
      </w:r>
    </w:p>
    <w:p>
      <w:pPr>
        <w:pStyle w:val="null3"/>
        <w:jc w:val="right"/>
      </w:pPr>
      <w:r>
        <w:rPr>
          <w:rFonts w:ascii="仿宋_GB2312" w:hAnsi="仿宋_GB2312" w:cs="仿宋_GB2312" w:eastAsia="仿宋_GB2312"/>
        </w:rPr>
        <w:t>同正项目管理有限公司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