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A14E9">
      <w:pPr>
        <w:spacing w:line="247" w:lineRule="auto"/>
        <w:rPr>
          <w:rFonts w:hint="eastAsia" w:ascii="Arial"/>
          <w:color w:val="auto"/>
          <w:sz w:val="21"/>
        </w:rPr>
      </w:pPr>
    </w:p>
    <w:p w14:paraId="6C7E0835">
      <w:pPr>
        <w:pStyle w:val="6"/>
        <w:ind w:firstLine="843" w:firstLineChars="300"/>
        <w:rPr>
          <w:rFonts w:hint="eastAsia" w:ascii="宋体" w:hAnsi="宋体" w:eastAsia="宋体" w:cs="宋体"/>
          <w:b/>
          <w:color w:val="auto"/>
          <w:lang w:val="en-US" w:eastAsia="zh-CN"/>
        </w:rPr>
      </w:pPr>
      <w:r>
        <w:rPr>
          <w:rFonts w:hint="eastAsia" w:ascii="宋体" w:hAnsi="宋体" w:eastAsia="宋体" w:cs="宋体"/>
          <w:b/>
          <w:color w:val="auto"/>
        </w:rPr>
        <w:t>项目编号：</w:t>
      </w:r>
      <w:r>
        <w:rPr>
          <w:rFonts w:hint="eastAsia" w:ascii="宋体" w:hAnsi="宋体" w:eastAsia="宋体" w:cs="宋体"/>
          <w:b/>
          <w:color w:val="auto"/>
          <w:lang w:eastAsia="zh-CN"/>
        </w:rPr>
        <w:t>ZFCG-旬阳市-2026-0130</w:t>
      </w:r>
    </w:p>
    <w:p w14:paraId="370F0A6B">
      <w:pPr>
        <w:pStyle w:val="6"/>
        <w:rPr>
          <w:rFonts w:hint="eastAsia" w:ascii="宋体" w:hAnsi="宋体" w:eastAsia="宋体" w:cs="宋体"/>
          <w:color w:val="auto"/>
          <w:sz w:val="20"/>
        </w:rPr>
      </w:pPr>
    </w:p>
    <w:p w14:paraId="0B1AAB0E">
      <w:pPr>
        <w:pStyle w:val="6"/>
        <w:rPr>
          <w:rFonts w:hint="eastAsia" w:ascii="宋体" w:hAnsi="宋体" w:eastAsia="宋体" w:cs="宋体"/>
          <w:color w:val="auto"/>
          <w:sz w:val="20"/>
        </w:rPr>
      </w:pPr>
    </w:p>
    <w:p w14:paraId="02AA371A">
      <w:pPr>
        <w:pStyle w:val="6"/>
        <w:rPr>
          <w:rFonts w:hint="eastAsia" w:ascii="宋体" w:hAnsi="宋体" w:eastAsia="宋体" w:cs="宋体"/>
          <w:color w:val="auto"/>
          <w:sz w:val="20"/>
        </w:rPr>
      </w:pPr>
    </w:p>
    <w:p w14:paraId="3D7FFBD7">
      <w:pPr>
        <w:spacing w:before="177" w:line="360" w:lineRule="auto"/>
        <w:ind w:left="686" w:right="709"/>
        <w:jc w:val="center"/>
        <w:rPr>
          <w:rFonts w:hint="eastAsia" w:ascii="宋体" w:hAnsi="宋体" w:eastAsia="宋体" w:cs="宋体"/>
          <w:b/>
          <w:color w:val="auto"/>
          <w:sz w:val="60"/>
          <w:szCs w:val="24"/>
          <w:lang w:eastAsia="zh-CN"/>
        </w:rPr>
      </w:pPr>
      <w:r>
        <w:rPr>
          <w:rFonts w:hint="eastAsia" w:ascii="宋体" w:hAnsi="宋体" w:eastAsia="宋体" w:cs="宋体"/>
          <w:b/>
          <w:color w:val="auto"/>
          <w:sz w:val="60"/>
          <w:szCs w:val="24"/>
          <w:lang w:eastAsia="zh-CN"/>
        </w:rPr>
        <w:t>旬阳市桐木镇水质提升项目</w:t>
      </w:r>
    </w:p>
    <w:p w14:paraId="49795A93">
      <w:pPr>
        <w:pStyle w:val="6"/>
        <w:rPr>
          <w:rFonts w:hint="eastAsia" w:ascii="宋体" w:hAnsi="宋体" w:eastAsia="宋体" w:cs="宋体"/>
          <w:b/>
          <w:color w:val="auto"/>
          <w:sz w:val="40"/>
        </w:rPr>
      </w:pPr>
    </w:p>
    <w:p w14:paraId="531382E8">
      <w:pPr>
        <w:rPr>
          <w:rFonts w:hint="eastAsia" w:ascii="宋体" w:hAnsi="宋体" w:eastAsia="宋体" w:cs="宋体"/>
          <w:b/>
          <w:color w:val="auto"/>
          <w:sz w:val="40"/>
        </w:rPr>
      </w:pPr>
    </w:p>
    <w:p w14:paraId="46577A82">
      <w:pPr>
        <w:rPr>
          <w:rFonts w:hint="eastAsia" w:ascii="宋体" w:hAnsi="宋体" w:eastAsia="宋体" w:cs="宋体"/>
          <w:b/>
          <w:color w:val="auto"/>
          <w:sz w:val="40"/>
        </w:rPr>
      </w:pPr>
    </w:p>
    <w:p w14:paraId="17CA5B1C">
      <w:pPr>
        <w:ind w:left="634" w:right="708"/>
        <w:jc w:val="center"/>
        <w:rPr>
          <w:rFonts w:hint="eastAsia" w:ascii="宋体" w:hAnsi="宋体" w:eastAsia="宋体" w:cs="宋体"/>
          <w:b/>
          <w:color w:val="auto"/>
          <w:sz w:val="72"/>
          <w:szCs w:val="28"/>
        </w:rPr>
      </w:pPr>
      <w:r>
        <w:rPr>
          <w:rFonts w:hint="eastAsia" w:ascii="宋体" w:hAnsi="宋体" w:eastAsia="宋体" w:cs="宋体"/>
          <w:b/>
          <w:color w:val="auto"/>
          <w:sz w:val="72"/>
          <w:szCs w:val="28"/>
        </w:rPr>
        <w:t>竞争性谈判文件</w:t>
      </w:r>
    </w:p>
    <w:p w14:paraId="7B26D45E">
      <w:pPr>
        <w:pStyle w:val="6"/>
        <w:rPr>
          <w:rFonts w:hint="eastAsia" w:ascii="宋体" w:hAnsi="宋体" w:eastAsia="宋体" w:cs="宋体"/>
          <w:b/>
          <w:color w:val="auto"/>
        </w:rPr>
      </w:pPr>
    </w:p>
    <w:p w14:paraId="1DB45777">
      <w:pPr>
        <w:pStyle w:val="6"/>
        <w:rPr>
          <w:rFonts w:hint="eastAsia" w:ascii="宋体" w:hAnsi="宋体" w:eastAsia="宋体" w:cs="宋体"/>
          <w:b/>
          <w:color w:val="auto"/>
        </w:rPr>
      </w:pPr>
    </w:p>
    <w:p w14:paraId="76CF508B">
      <w:pPr>
        <w:pStyle w:val="6"/>
        <w:rPr>
          <w:rFonts w:hint="eastAsia" w:ascii="宋体" w:hAnsi="宋体" w:eastAsia="宋体" w:cs="宋体"/>
          <w:b/>
          <w:color w:val="auto"/>
        </w:rPr>
      </w:pPr>
    </w:p>
    <w:p w14:paraId="54187BD5">
      <w:pPr>
        <w:pStyle w:val="6"/>
        <w:rPr>
          <w:rFonts w:hint="eastAsia" w:ascii="宋体" w:hAnsi="宋体" w:eastAsia="宋体" w:cs="宋体"/>
          <w:b/>
          <w:color w:val="auto"/>
        </w:rPr>
      </w:pPr>
    </w:p>
    <w:p w14:paraId="59767CB3">
      <w:pPr>
        <w:pStyle w:val="6"/>
        <w:jc w:val="center"/>
        <w:rPr>
          <w:rFonts w:hint="eastAsia" w:ascii="宋体" w:hAnsi="宋体" w:eastAsia="宋体" w:cs="宋体"/>
          <w:b/>
          <w:color w:val="auto"/>
        </w:rPr>
      </w:pPr>
    </w:p>
    <w:p w14:paraId="7C06F476">
      <w:pPr>
        <w:pStyle w:val="6"/>
        <w:rPr>
          <w:rFonts w:hint="eastAsia" w:ascii="宋体" w:hAnsi="宋体" w:eastAsia="宋体" w:cs="宋体"/>
          <w:b/>
          <w:color w:val="auto"/>
        </w:rPr>
      </w:pPr>
    </w:p>
    <w:p w14:paraId="2A93CA53">
      <w:pPr>
        <w:pStyle w:val="6"/>
        <w:rPr>
          <w:rFonts w:hint="eastAsia" w:ascii="宋体" w:hAnsi="宋体" w:eastAsia="宋体" w:cs="宋体"/>
          <w:b/>
          <w:color w:val="auto"/>
        </w:rPr>
      </w:pPr>
    </w:p>
    <w:p w14:paraId="1A245C19">
      <w:pPr>
        <w:pStyle w:val="6"/>
        <w:rPr>
          <w:rFonts w:hint="eastAsia" w:ascii="宋体" w:hAnsi="宋体" w:eastAsia="宋体" w:cs="宋体"/>
          <w:b/>
          <w:color w:val="auto"/>
        </w:rPr>
      </w:pPr>
    </w:p>
    <w:p w14:paraId="0B89659C">
      <w:pPr>
        <w:pStyle w:val="6"/>
        <w:rPr>
          <w:rFonts w:hint="eastAsia" w:ascii="宋体" w:hAnsi="宋体" w:eastAsia="宋体" w:cs="宋体"/>
          <w:b/>
          <w:color w:val="auto"/>
        </w:rPr>
      </w:pPr>
    </w:p>
    <w:p w14:paraId="6E47546E">
      <w:pPr>
        <w:pStyle w:val="6"/>
        <w:rPr>
          <w:rFonts w:hint="eastAsia" w:ascii="宋体" w:hAnsi="宋体" w:eastAsia="宋体" w:cs="宋体"/>
          <w:b/>
          <w:color w:val="auto"/>
        </w:rPr>
      </w:pPr>
    </w:p>
    <w:p w14:paraId="4CD265CA">
      <w:pPr>
        <w:pStyle w:val="6"/>
        <w:rPr>
          <w:rFonts w:hint="eastAsia" w:ascii="宋体" w:hAnsi="宋体" w:eastAsia="宋体" w:cs="宋体"/>
          <w:b/>
          <w:color w:val="auto"/>
        </w:rPr>
      </w:pPr>
    </w:p>
    <w:p w14:paraId="1B7EEB8F">
      <w:pPr>
        <w:pStyle w:val="6"/>
        <w:rPr>
          <w:rFonts w:hint="eastAsia" w:ascii="宋体" w:hAnsi="宋体" w:eastAsia="宋体" w:cs="宋体"/>
          <w:b/>
          <w:color w:val="auto"/>
        </w:rPr>
      </w:pPr>
    </w:p>
    <w:p w14:paraId="182D4DEB">
      <w:pPr>
        <w:pStyle w:val="6"/>
        <w:rPr>
          <w:rFonts w:hint="eastAsia" w:ascii="宋体" w:hAnsi="宋体" w:eastAsia="宋体" w:cs="宋体"/>
          <w:b/>
          <w:color w:val="auto"/>
        </w:rPr>
      </w:pPr>
    </w:p>
    <w:p w14:paraId="7F49029E">
      <w:pPr>
        <w:pStyle w:val="6"/>
        <w:spacing w:before="5"/>
        <w:rPr>
          <w:rFonts w:hint="eastAsia" w:ascii="宋体" w:hAnsi="宋体" w:eastAsia="宋体" w:cs="宋体"/>
          <w:b/>
          <w:color w:val="auto"/>
          <w:sz w:val="21"/>
        </w:rPr>
      </w:pPr>
    </w:p>
    <w:p w14:paraId="001386CB">
      <w:pPr>
        <w:pStyle w:val="25"/>
        <w:spacing w:before="1" w:line="520" w:lineRule="auto"/>
        <w:ind w:right="2347"/>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rPr>
        <w:t>采</w:t>
      </w:r>
      <w:r>
        <w:rPr>
          <w:rFonts w:hint="eastAsia" w:ascii="宋体" w:hAnsi="宋体" w:eastAsia="宋体" w:cs="宋体"/>
          <w:color w:val="auto"/>
          <w:sz w:val="32"/>
          <w:szCs w:val="32"/>
        </w:rPr>
        <w:t xml:space="preserve">   </w:t>
      </w:r>
      <w:r>
        <w:rPr>
          <w:rFonts w:hint="eastAsia" w:ascii="宋体" w:hAnsi="宋体" w:eastAsia="宋体" w:cs="宋体"/>
          <w:color w:val="auto"/>
          <w:sz w:val="32"/>
          <w:szCs w:val="32"/>
          <w:lang w:val="en-US"/>
        </w:rPr>
        <w:t>购</w:t>
      </w:r>
      <w:r>
        <w:rPr>
          <w:rFonts w:hint="eastAsia" w:ascii="宋体" w:hAnsi="宋体" w:eastAsia="宋体" w:cs="宋体"/>
          <w:color w:val="auto"/>
          <w:sz w:val="32"/>
          <w:szCs w:val="32"/>
        </w:rPr>
        <w:t xml:space="preserve">   人：</w:t>
      </w:r>
      <w:r>
        <w:rPr>
          <w:rFonts w:hint="eastAsia" w:ascii="宋体" w:hAnsi="宋体" w:eastAsia="宋体" w:cs="宋体"/>
          <w:color w:val="auto"/>
          <w:sz w:val="32"/>
          <w:szCs w:val="32"/>
          <w:lang w:val="en-US" w:eastAsia="zh-CN"/>
        </w:rPr>
        <w:t>旬阳市水利局</w:t>
      </w:r>
    </w:p>
    <w:p w14:paraId="18A7715F">
      <w:pPr>
        <w:pStyle w:val="25"/>
        <w:spacing w:before="1" w:line="520" w:lineRule="auto"/>
        <w:ind w:right="2347"/>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rPr>
        <w:t>采购代理机构：</w:t>
      </w:r>
      <w:r>
        <w:rPr>
          <w:rFonts w:hint="eastAsia" w:ascii="宋体" w:hAnsi="宋体" w:eastAsia="宋体" w:cs="宋体"/>
          <w:color w:val="auto"/>
          <w:sz w:val="32"/>
          <w:szCs w:val="32"/>
          <w:lang w:val="en-US" w:eastAsia="zh-CN"/>
        </w:rPr>
        <w:t>兴意项目管理有限公司</w:t>
      </w:r>
    </w:p>
    <w:p w14:paraId="27FAF649">
      <w:pPr>
        <w:pStyle w:val="25"/>
        <w:spacing w:before="3"/>
        <w:ind w:right="708"/>
        <w:jc w:val="both"/>
        <w:rPr>
          <w:rFonts w:hint="eastAsia" w:ascii="宋体" w:hAnsi="宋体" w:eastAsia="宋体" w:cs="宋体"/>
          <w:color w:val="auto"/>
          <w:sz w:val="32"/>
          <w:szCs w:val="32"/>
        </w:rPr>
      </w:pPr>
      <w:r>
        <w:rPr>
          <w:rFonts w:hint="eastAsia" w:ascii="宋体" w:hAnsi="宋体" w:eastAsia="宋体" w:cs="宋体"/>
          <w:color w:val="auto"/>
          <w:sz w:val="32"/>
          <w:szCs w:val="32"/>
          <w:lang w:val="en-US" w:eastAsia="zh-CN"/>
        </w:rPr>
        <w:t>日        期：</w:t>
      </w:r>
      <w:r>
        <w:rPr>
          <w:rFonts w:hint="eastAsia" w:ascii="宋体" w:hAnsi="宋体" w:eastAsia="宋体" w:cs="宋体"/>
          <w:color w:val="auto"/>
          <w:sz w:val="32"/>
          <w:szCs w:val="32"/>
        </w:rPr>
        <w:t>二〇二</w:t>
      </w:r>
      <w:r>
        <w:rPr>
          <w:rFonts w:hint="eastAsia" w:ascii="宋体" w:hAnsi="宋体" w:eastAsia="宋体" w:cs="宋体"/>
          <w:color w:val="auto"/>
          <w:sz w:val="32"/>
          <w:szCs w:val="32"/>
          <w:lang w:val="en-US" w:eastAsia="zh-CN"/>
        </w:rPr>
        <w:t>六</w:t>
      </w:r>
      <w:r>
        <w:rPr>
          <w:rFonts w:hint="eastAsia" w:ascii="宋体" w:hAnsi="宋体" w:eastAsia="宋体" w:cs="宋体"/>
          <w:color w:val="auto"/>
          <w:sz w:val="32"/>
          <w:szCs w:val="32"/>
        </w:rPr>
        <w:t>年</w:t>
      </w:r>
      <w:r>
        <w:rPr>
          <w:rFonts w:hint="eastAsia" w:ascii="宋体" w:hAnsi="宋体" w:eastAsia="宋体" w:cs="宋体"/>
          <w:color w:val="auto"/>
          <w:sz w:val="32"/>
          <w:szCs w:val="32"/>
          <w:lang w:val="en-US" w:eastAsia="zh-CN"/>
        </w:rPr>
        <w:t>二</w:t>
      </w:r>
      <w:r>
        <w:rPr>
          <w:rFonts w:hint="eastAsia" w:ascii="宋体" w:hAnsi="宋体" w:eastAsia="宋体" w:cs="宋体"/>
          <w:color w:val="auto"/>
          <w:sz w:val="32"/>
          <w:szCs w:val="32"/>
        </w:rPr>
        <w:t>月</w:t>
      </w:r>
    </w:p>
    <w:p w14:paraId="5C9E9670">
      <w:pPr>
        <w:spacing w:line="328" w:lineRule="auto"/>
        <w:rPr>
          <w:rFonts w:ascii="Arial"/>
          <w:color w:val="auto"/>
          <w:sz w:val="21"/>
        </w:rPr>
      </w:pPr>
    </w:p>
    <w:p w14:paraId="480149D2">
      <w:pPr>
        <w:spacing w:line="329" w:lineRule="auto"/>
        <w:rPr>
          <w:rFonts w:ascii="Arial"/>
          <w:color w:val="auto"/>
          <w:sz w:val="21"/>
        </w:rPr>
      </w:pPr>
    </w:p>
    <w:p w14:paraId="10EBEF62">
      <w:pPr>
        <w:spacing w:line="329" w:lineRule="auto"/>
        <w:rPr>
          <w:rFonts w:ascii="Arial"/>
          <w:color w:val="auto"/>
          <w:sz w:val="21"/>
        </w:rPr>
      </w:pPr>
    </w:p>
    <w:p w14:paraId="2AFF5809">
      <w:pPr>
        <w:spacing w:line="329" w:lineRule="auto"/>
        <w:rPr>
          <w:rFonts w:ascii="Arial"/>
          <w:color w:val="auto"/>
          <w:sz w:val="21"/>
        </w:rPr>
      </w:pPr>
    </w:p>
    <w:p w14:paraId="00DEC986">
      <w:pPr>
        <w:spacing w:line="329" w:lineRule="auto"/>
        <w:rPr>
          <w:rFonts w:ascii="Arial"/>
          <w:color w:val="auto"/>
          <w:sz w:val="21"/>
        </w:rPr>
      </w:pPr>
    </w:p>
    <w:p w14:paraId="14A70C1E">
      <w:pPr>
        <w:spacing w:line="329" w:lineRule="auto"/>
        <w:rPr>
          <w:rFonts w:ascii="Arial"/>
          <w:color w:val="auto"/>
          <w:sz w:val="21"/>
        </w:rPr>
      </w:pPr>
    </w:p>
    <w:p w14:paraId="1DED1FF8">
      <w:pPr>
        <w:spacing w:line="329" w:lineRule="auto"/>
        <w:rPr>
          <w:rFonts w:ascii="Arial"/>
          <w:color w:val="auto"/>
          <w:sz w:val="21"/>
        </w:rPr>
      </w:pPr>
    </w:p>
    <w:p w14:paraId="7F6FDE71">
      <w:pPr>
        <w:spacing w:line="329" w:lineRule="auto"/>
        <w:rPr>
          <w:rFonts w:ascii="Arial"/>
          <w:color w:val="auto"/>
          <w:sz w:val="21"/>
        </w:rPr>
      </w:pPr>
    </w:p>
    <w:p w14:paraId="259C45D2">
      <w:pPr>
        <w:spacing w:line="329" w:lineRule="auto"/>
        <w:rPr>
          <w:rFonts w:ascii="Arial"/>
          <w:color w:val="auto"/>
          <w:sz w:val="21"/>
        </w:rPr>
        <w:sectPr>
          <w:headerReference r:id="rId5" w:type="default"/>
          <w:pgSz w:w="11906" w:h="16839"/>
          <w:pgMar w:top="1447" w:right="1231" w:bottom="0" w:left="1247" w:header="1170" w:footer="0" w:gutter="0"/>
          <w:cols w:space="720" w:num="1"/>
        </w:sectPr>
      </w:pPr>
    </w:p>
    <w:p w14:paraId="178156E9">
      <w:pPr>
        <w:spacing w:line="329" w:lineRule="auto"/>
        <w:rPr>
          <w:rFonts w:ascii="Arial"/>
          <w:color w:val="auto"/>
          <w:sz w:val="21"/>
        </w:rPr>
      </w:pPr>
    </w:p>
    <w:p w14:paraId="7D0DE53F">
      <w:pPr>
        <w:spacing w:line="329" w:lineRule="auto"/>
        <w:rPr>
          <w:rFonts w:ascii="Arial"/>
          <w:color w:val="auto"/>
          <w:sz w:val="21"/>
        </w:rPr>
      </w:pPr>
    </w:p>
    <w:sdt>
      <w:sdtPr>
        <w:rPr>
          <w:rFonts w:ascii="宋体" w:hAnsi="宋体" w:eastAsia="宋体" w:cs="宋体"/>
          <w:color w:val="auto"/>
          <w:sz w:val="31"/>
          <w:szCs w:val="31"/>
        </w:rPr>
        <w:id w:val="147474938"/>
        <w:docPartObj>
          <w:docPartGallery w:val="Table of Contents"/>
          <w:docPartUnique/>
        </w:docPartObj>
      </w:sdtPr>
      <w:sdtEndPr>
        <w:rPr>
          <w:rFonts w:ascii="宋体" w:hAnsi="宋体" w:eastAsia="宋体" w:cs="宋体"/>
          <w:color w:val="auto"/>
          <w:sz w:val="28"/>
          <w:szCs w:val="28"/>
        </w:rPr>
      </w:sdtEndPr>
      <w:sdtContent>
        <w:p w14:paraId="3B972458">
          <w:pPr>
            <w:pStyle w:val="6"/>
            <w:spacing w:before="101" w:line="228" w:lineRule="auto"/>
            <w:ind w:left="4456"/>
            <w:rPr>
              <w:color w:val="auto"/>
              <w:sz w:val="31"/>
              <w:szCs w:val="31"/>
            </w:rPr>
          </w:pPr>
          <w:r>
            <w:rPr>
              <w:b/>
              <w:bCs/>
              <w:color w:val="auto"/>
              <w:spacing w:val="-30"/>
              <w:sz w:val="31"/>
              <w:szCs w:val="31"/>
            </w:rPr>
            <w:t>目</w:t>
          </w:r>
          <w:r>
            <w:rPr>
              <w:rFonts w:hint="eastAsia"/>
              <w:b/>
              <w:bCs/>
              <w:color w:val="auto"/>
              <w:spacing w:val="-30"/>
              <w:sz w:val="31"/>
              <w:szCs w:val="31"/>
              <w:lang w:val="en-US" w:eastAsia="zh-CN"/>
            </w:rPr>
            <w:t xml:space="preserve"> </w:t>
          </w:r>
          <w:r>
            <w:rPr>
              <w:b/>
              <w:bCs/>
              <w:color w:val="auto"/>
              <w:spacing w:val="-30"/>
              <w:sz w:val="31"/>
              <w:szCs w:val="31"/>
            </w:rPr>
            <w:t>录</w:t>
          </w:r>
        </w:p>
        <w:p w14:paraId="141DDAFC">
          <w:pPr>
            <w:pStyle w:val="6"/>
            <w:tabs>
              <w:tab w:val="right" w:leader="dot" w:pos="9410"/>
            </w:tabs>
            <w:spacing w:before="259" w:line="186" w:lineRule="auto"/>
            <w:ind w:left="11"/>
            <w:rPr>
              <w:color w:val="auto"/>
            </w:rPr>
          </w:pPr>
          <w:r>
            <w:rPr>
              <w:color w:val="auto"/>
            </w:rPr>
            <w:fldChar w:fldCharType="begin"/>
          </w:r>
          <w:r>
            <w:rPr>
              <w:color w:val="auto"/>
            </w:rPr>
            <w:instrText xml:space="preserve"> HYPERLINK \l "bookmark2" </w:instrText>
          </w:r>
          <w:r>
            <w:rPr>
              <w:color w:val="auto"/>
            </w:rPr>
            <w:fldChar w:fldCharType="separate"/>
          </w:r>
          <w:r>
            <w:rPr>
              <w:b/>
              <w:bCs/>
              <w:color w:val="auto"/>
              <w:spacing w:val="-3"/>
            </w:rPr>
            <w:t>第一章</w:t>
          </w:r>
          <w:r>
            <w:rPr>
              <w:color w:val="auto"/>
              <w:spacing w:val="-3"/>
            </w:rPr>
            <w:t xml:space="preserve">  </w:t>
          </w:r>
          <w:r>
            <w:rPr>
              <w:b/>
              <w:bCs/>
              <w:color w:val="auto"/>
              <w:spacing w:val="-3"/>
            </w:rPr>
            <w:t>谈判公告</w:t>
          </w:r>
          <w:r>
            <w:rPr>
              <w:color w:val="auto"/>
              <w:spacing w:val="-51"/>
            </w:rPr>
            <w:t xml:space="preserve"> </w:t>
          </w:r>
          <w:r>
            <w:rPr>
              <w:color w:val="auto"/>
              <w14:textOutline w14:w="5103" w14:cap="flat" w14:cmpd="sng">
                <w14:solidFill>
                  <w14:srgbClr w14:val="000000"/>
                </w14:solidFill>
                <w14:prstDash w14:val="solid"/>
                <w14:miter w14:val="0"/>
              </w14:textOutline>
            </w:rPr>
            <w:tab/>
          </w:r>
          <w:r>
            <w:rPr>
              <w:color w:val="auto"/>
              <w14:textOutline w14:w="5103" w14:cap="flat" w14:cmpd="sng">
                <w14:solidFill>
                  <w14:srgbClr w14:val="000000"/>
                </w14:solidFill>
                <w14:prstDash w14:val="solid"/>
                <w14:miter w14:val="0"/>
              </w14:textOutline>
            </w:rPr>
            <w:fldChar w:fldCharType="end"/>
          </w:r>
        </w:p>
        <w:p w14:paraId="3F416ECC">
          <w:pPr>
            <w:spacing w:line="249" w:lineRule="auto"/>
            <w:rPr>
              <w:rFonts w:ascii="Arial"/>
              <w:color w:val="auto"/>
              <w:sz w:val="21"/>
            </w:rPr>
          </w:pPr>
        </w:p>
        <w:p w14:paraId="30299FD7">
          <w:pPr>
            <w:pStyle w:val="6"/>
            <w:tabs>
              <w:tab w:val="right" w:leader="dot" w:pos="9410"/>
            </w:tabs>
            <w:spacing w:before="91" w:line="186" w:lineRule="auto"/>
            <w:ind w:left="11"/>
            <w:rPr>
              <w:color w:val="auto"/>
            </w:rPr>
          </w:pPr>
          <w:r>
            <w:rPr>
              <w:color w:val="auto"/>
            </w:rPr>
            <w:fldChar w:fldCharType="begin"/>
          </w:r>
          <w:r>
            <w:rPr>
              <w:color w:val="auto"/>
            </w:rPr>
            <w:instrText xml:space="preserve"> HYPERLINK \l "bookmark4" </w:instrText>
          </w:r>
          <w:r>
            <w:rPr>
              <w:color w:val="auto"/>
            </w:rPr>
            <w:fldChar w:fldCharType="separate"/>
          </w:r>
          <w:r>
            <w:rPr>
              <w:b/>
              <w:bCs/>
              <w:color w:val="auto"/>
              <w:spacing w:val="-3"/>
            </w:rPr>
            <w:t>第二章</w:t>
          </w:r>
          <w:r>
            <w:rPr>
              <w:color w:val="auto"/>
              <w:spacing w:val="-3"/>
            </w:rPr>
            <w:t xml:space="preserve">  </w:t>
          </w:r>
          <w:r>
            <w:rPr>
              <w:b/>
              <w:bCs/>
              <w:color w:val="auto"/>
              <w:spacing w:val="-3"/>
            </w:rPr>
            <w:t>谈判须知</w:t>
          </w:r>
          <w:r>
            <w:rPr>
              <w:color w:val="auto"/>
              <w:spacing w:val="-51"/>
            </w:rPr>
            <w:t xml:space="preserve"> </w:t>
          </w:r>
          <w:r>
            <w:rPr>
              <w:color w:val="auto"/>
              <w14:textOutline w14:w="5103" w14:cap="flat" w14:cmpd="sng">
                <w14:solidFill>
                  <w14:srgbClr w14:val="000000"/>
                </w14:solidFill>
                <w14:prstDash w14:val="solid"/>
                <w14:miter w14:val="0"/>
              </w14:textOutline>
            </w:rPr>
            <w:tab/>
          </w:r>
          <w:r>
            <w:rPr>
              <w:color w:val="auto"/>
              <w14:textOutline w14:w="5103" w14:cap="flat" w14:cmpd="sng">
                <w14:solidFill>
                  <w14:srgbClr w14:val="000000"/>
                </w14:solidFill>
                <w14:prstDash w14:val="solid"/>
                <w14:miter w14:val="0"/>
              </w14:textOutline>
            </w:rPr>
            <w:fldChar w:fldCharType="end"/>
          </w:r>
          <w:r>
            <w:rPr>
              <w:color w:val="auto"/>
            </w:rPr>
            <w:fldChar w:fldCharType="begin"/>
          </w:r>
          <w:r>
            <w:rPr>
              <w:color w:val="auto"/>
            </w:rPr>
            <w:instrText xml:space="preserve"> HYPERLINK \l "bookmark3" </w:instrText>
          </w:r>
          <w:r>
            <w:rPr>
              <w:color w:val="auto"/>
            </w:rPr>
            <w:fldChar w:fldCharType="separate"/>
          </w:r>
          <w:r>
            <w:rPr>
              <w:color w:val="auto"/>
              <w:spacing w:val="-84"/>
            </w:rPr>
            <w:t xml:space="preserve"> </w:t>
          </w:r>
          <w:r>
            <w:rPr>
              <w:b/>
              <w:bCs/>
              <w:color w:val="auto"/>
              <w:spacing w:val="-3"/>
            </w:rPr>
            <w:fldChar w:fldCharType="end"/>
          </w:r>
        </w:p>
        <w:p w14:paraId="0B589DD5">
          <w:pPr>
            <w:spacing w:line="249" w:lineRule="auto"/>
            <w:rPr>
              <w:rFonts w:ascii="Arial"/>
              <w:color w:val="auto"/>
              <w:sz w:val="21"/>
            </w:rPr>
          </w:pPr>
        </w:p>
        <w:p w14:paraId="1C5522FE">
          <w:pPr>
            <w:pStyle w:val="6"/>
            <w:tabs>
              <w:tab w:val="right" w:leader="dot" w:pos="9412"/>
            </w:tabs>
            <w:spacing w:before="91" w:line="186" w:lineRule="auto"/>
            <w:ind w:left="11"/>
            <w:rPr>
              <w:color w:val="auto"/>
            </w:rPr>
          </w:pPr>
          <w:r>
            <w:rPr>
              <w:color w:val="auto"/>
            </w:rPr>
            <w:fldChar w:fldCharType="begin"/>
          </w:r>
          <w:r>
            <w:rPr>
              <w:color w:val="auto"/>
            </w:rPr>
            <w:instrText xml:space="preserve"> HYPERLINK \l "bookmark8" </w:instrText>
          </w:r>
          <w:r>
            <w:rPr>
              <w:color w:val="auto"/>
            </w:rPr>
            <w:fldChar w:fldCharType="separate"/>
          </w:r>
          <w:r>
            <w:rPr>
              <w:b/>
              <w:bCs/>
              <w:color w:val="auto"/>
              <w:spacing w:val="-3"/>
            </w:rPr>
            <w:t>第</w:t>
          </w:r>
          <w:r>
            <w:rPr>
              <w:rFonts w:hint="eastAsia"/>
              <w:b/>
              <w:bCs/>
              <w:color w:val="auto"/>
              <w:spacing w:val="-3"/>
              <w:lang w:eastAsia="zh-CN"/>
            </w:rPr>
            <w:t>三</w:t>
          </w:r>
          <w:r>
            <w:rPr>
              <w:b/>
              <w:bCs/>
              <w:color w:val="auto"/>
              <w:spacing w:val="-3"/>
            </w:rPr>
            <w:t>章</w:t>
          </w:r>
          <w:r>
            <w:rPr>
              <w:color w:val="auto"/>
              <w:spacing w:val="-3"/>
            </w:rPr>
            <w:t xml:space="preserve">  </w:t>
          </w:r>
          <w:r>
            <w:rPr>
              <w:b/>
              <w:bCs/>
              <w:color w:val="auto"/>
              <w:spacing w:val="-3"/>
            </w:rPr>
            <w:t>合同条款及格式</w:t>
          </w:r>
          <w:r>
            <w:rPr>
              <w:color w:val="auto"/>
              <w:spacing w:val="-47"/>
            </w:rPr>
            <w:t xml:space="preserve"> </w:t>
          </w:r>
          <w:r>
            <w:rPr>
              <w:color w:val="auto"/>
              <w14:textOutline w14:w="5103" w14:cap="flat" w14:cmpd="sng">
                <w14:solidFill>
                  <w14:srgbClr w14:val="000000"/>
                </w14:solidFill>
                <w14:prstDash w14:val="solid"/>
                <w14:miter w14:val="0"/>
              </w14:textOutline>
            </w:rPr>
            <w:tab/>
          </w:r>
          <w:r>
            <w:rPr>
              <w:color w:val="auto"/>
              <w14:textOutline w14:w="5103" w14:cap="flat" w14:cmpd="sng">
                <w14:solidFill>
                  <w14:srgbClr w14:val="000000"/>
                </w14:solidFill>
                <w14:prstDash w14:val="solid"/>
                <w14:miter w14:val="0"/>
              </w14:textOutline>
            </w:rPr>
            <w:fldChar w:fldCharType="end"/>
          </w:r>
        </w:p>
        <w:p w14:paraId="593514B4">
          <w:pPr>
            <w:spacing w:line="249" w:lineRule="auto"/>
            <w:rPr>
              <w:rFonts w:ascii="Arial"/>
              <w:color w:val="auto"/>
              <w:sz w:val="21"/>
            </w:rPr>
          </w:pPr>
        </w:p>
        <w:p w14:paraId="0149DCD6">
          <w:pPr>
            <w:pStyle w:val="6"/>
            <w:tabs>
              <w:tab w:val="right" w:leader="dot" w:pos="9412"/>
            </w:tabs>
            <w:spacing w:before="91" w:line="186" w:lineRule="auto"/>
            <w:ind w:left="11"/>
            <w:rPr>
              <w:color w:val="auto"/>
            </w:rPr>
          </w:pPr>
          <w:r>
            <w:rPr>
              <w:color w:val="auto"/>
            </w:rPr>
            <w:fldChar w:fldCharType="begin"/>
          </w:r>
          <w:r>
            <w:rPr>
              <w:color w:val="auto"/>
            </w:rPr>
            <w:instrText xml:space="preserve"> HYPERLINK \l "bookmark10" </w:instrText>
          </w:r>
          <w:r>
            <w:rPr>
              <w:color w:val="auto"/>
            </w:rPr>
            <w:fldChar w:fldCharType="separate"/>
          </w:r>
          <w:r>
            <w:rPr>
              <w:b/>
              <w:bCs/>
              <w:color w:val="auto"/>
              <w:spacing w:val="-3"/>
            </w:rPr>
            <w:t>第</w:t>
          </w:r>
          <w:r>
            <w:rPr>
              <w:rFonts w:hint="eastAsia"/>
              <w:b/>
              <w:bCs/>
              <w:color w:val="auto"/>
              <w:spacing w:val="-3"/>
              <w:lang w:eastAsia="zh-CN"/>
            </w:rPr>
            <w:t>四</w:t>
          </w:r>
          <w:r>
            <w:rPr>
              <w:b/>
              <w:bCs/>
              <w:color w:val="auto"/>
              <w:spacing w:val="-3"/>
            </w:rPr>
            <w:t>章</w:t>
          </w:r>
          <w:r>
            <w:rPr>
              <w:color w:val="auto"/>
              <w:spacing w:val="-3"/>
            </w:rPr>
            <w:t xml:space="preserve">  </w:t>
          </w:r>
          <w:r>
            <w:rPr>
              <w:b/>
              <w:bCs/>
              <w:color w:val="auto"/>
              <w:spacing w:val="-3"/>
            </w:rPr>
            <w:t>采购内容及技术要求</w:t>
          </w:r>
          <w:r>
            <w:rPr>
              <w:color w:val="auto"/>
              <w:spacing w:val="-43"/>
            </w:rPr>
            <w:t xml:space="preserve"> </w:t>
          </w:r>
          <w:r>
            <w:rPr>
              <w:color w:val="auto"/>
              <w14:textOutline w14:w="5103" w14:cap="flat" w14:cmpd="sng">
                <w14:solidFill>
                  <w14:srgbClr w14:val="000000"/>
                </w14:solidFill>
                <w14:prstDash w14:val="solid"/>
                <w14:miter w14:val="0"/>
              </w14:textOutline>
            </w:rPr>
            <w:tab/>
          </w:r>
          <w:r>
            <w:rPr>
              <w:color w:val="auto"/>
              <w14:textOutline w14:w="5103" w14:cap="flat" w14:cmpd="sng">
                <w14:solidFill>
                  <w14:srgbClr w14:val="000000"/>
                </w14:solidFill>
                <w14:prstDash w14:val="solid"/>
                <w14:miter w14:val="0"/>
              </w14:textOutline>
            </w:rPr>
            <w:fldChar w:fldCharType="end"/>
          </w:r>
          <w:r>
            <w:rPr>
              <w:color w:val="auto"/>
            </w:rPr>
            <w:fldChar w:fldCharType="begin"/>
          </w:r>
          <w:r>
            <w:rPr>
              <w:color w:val="auto"/>
            </w:rPr>
            <w:instrText xml:space="preserve"> HYPERLINK \l "bookmark9" </w:instrText>
          </w:r>
          <w:r>
            <w:rPr>
              <w:color w:val="auto"/>
            </w:rPr>
            <w:fldChar w:fldCharType="separate"/>
          </w:r>
          <w:r>
            <w:rPr>
              <w:color w:val="auto"/>
              <w:spacing w:val="-71"/>
            </w:rPr>
            <w:t xml:space="preserve"> </w:t>
          </w:r>
          <w:r>
            <w:rPr>
              <w:b/>
              <w:bCs/>
              <w:color w:val="auto"/>
              <w:spacing w:val="-11"/>
            </w:rPr>
            <w:fldChar w:fldCharType="end"/>
          </w:r>
        </w:p>
        <w:p w14:paraId="032D8071">
          <w:pPr>
            <w:spacing w:line="249" w:lineRule="auto"/>
            <w:rPr>
              <w:rFonts w:ascii="Arial"/>
              <w:color w:val="auto"/>
              <w:sz w:val="21"/>
            </w:rPr>
          </w:pPr>
        </w:p>
        <w:p w14:paraId="032B1DFA">
          <w:pPr>
            <w:pStyle w:val="6"/>
            <w:tabs>
              <w:tab w:val="right" w:leader="dot" w:pos="9410"/>
            </w:tabs>
            <w:spacing w:before="92" w:line="220" w:lineRule="auto"/>
            <w:ind w:left="11"/>
            <w:rPr>
              <w:color w:val="auto"/>
            </w:rPr>
          </w:pPr>
          <w:bookmarkStart w:id="0" w:name="bookmark1"/>
          <w:bookmarkEnd w:id="0"/>
          <w:bookmarkStart w:id="1" w:name="bookmark2"/>
          <w:bookmarkEnd w:id="1"/>
          <w:r>
            <w:rPr>
              <w:color w:val="auto"/>
            </w:rPr>
            <w:fldChar w:fldCharType="begin"/>
          </w:r>
          <w:r>
            <w:rPr>
              <w:color w:val="auto"/>
            </w:rPr>
            <w:instrText xml:space="preserve"> HYPERLINK \l "bookmark11" </w:instrText>
          </w:r>
          <w:r>
            <w:rPr>
              <w:color w:val="auto"/>
            </w:rPr>
            <w:fldChar w:fldCharType="separate"/>
          </w:r>
          <w:r>
            <w:rPr>
              <w:b/>
              <w:bCs/>
              <w:color w:val="auto"/>
              <w:spacing w:val="-3"/>
            </w:rPr>
            <w:t>第</w:t>
          </w:r>
          <w:r>
            <w:rPr>
              <w:rFonts w:hint="eastAsia"/>
              <w:b/>
              <w:bCs/>
              <w:color w:val="auto"/>
              <w:spacing w:val="-3"/>
              <w:lang w:eastAsia="zh-CN"/>
            </w:rPr>
            <w:t>五</w:t>
          </w:r>
          <w:r>
            <w:rPr>
              <w:b/>
              <w:bCs/>
              <w:color w:val="auto"/>
              <w:spacing w:val="-3"/>
            </w:rPr>
            <w:t>章</w:t>
          </w:r>
          <w:r>
            <w:rPr>
              <w:color w:val="auto"/>
              <w:spacing w:val="-3"/>
            </w:rPr>
            <w:t xml:space="preserve">  </w:t>
          </w:r>
          <w:r>
            <w:rPr>
              <w:b/>
              <w:bCs/>
              <w:color w:val="auto"/>
              <w:spacing w:val="-3"/>
            </w:rPr>
            <w:t>谈判响应文件基本格式</w:t>
          </w:r>
          <w:r>
            <w:rPr>
              <w:color w:val="auto"/>
              <w:spacing w:val="-44"/>
            </w:rPr>
            <w:t xml:space="preserve"> </w:t>
          </w:r>
          <w:r>
            <w:rPr>
              <w:color w:val="auto"/>
              <w14:textOutline w14:w="5103" w14:cap="flat" w14:cmpd="sng">
                <w14:solidFill>
                  <w14:srgbClr w14:val="000000"/>
                </w14:solidFill>
                <w14:prstDash w14:val="solid"/>
                <w14:miter w14:val="0"/>
              </w14:textOutline>
            </w:rPr>
            <w:tab/>
          </w:r>
          <w:r>
            <w:rPr>
              <w:b/>
              <w:bCs/>
              <w:color w:val="auto"/>
              <w:spacing w:val="-11"/>
            </w:rPr>
            <w:fldChar w:fldCharType="end"/>
          </w:r>
        </w:p>
      </w:sdtContent>
    </w:sdt>
    <w:p w14:paraId="3691D4C3">
      <w:pPr>
        <w:spacing w:line="246" w:lineRule="auto"/>
        <w:rPr>
          <w:rFonts w:ascii="Arial"/>
          <w:color w:val="auto"/>
          <w:sz w:val="21"/>
        </w:rPr>
      </w:pPr>
    </w:p>
    <w:p w14:paraId="637E47A6">
      <w:pPr>
        <w:spacing w:line="246" w:lineRule="auto"/>
        <w:rPr>
          <w:rFonts w:ascii="Arial"/>
          <w:color w:val="auto"/>
          <w:sz w:val="21"/>
        </w:rPr>
      </w:pPr>
    </w:p>
    <w:p w14:paraId="2034A884">
      <w:pPr>
        <w:spacing w:line="246" w:lineRule="auto"/>
        <w:rPr>
          <w:rFonts w:ascii="Arial"/>
          <w:color w:val="auto"/>
          <w:sz w:val="21"/>
        </w:rPr>
      </w:pPr>
    </w:p>
    <w:p w14:paraId="622D0219">
      <w:pPr>
        <w:spacing w:line="246" w:lineRule="auto"/>
        <w:rPr>
          <w:rFonts w:ascii="Arial"/>
          <w:color w:val="auto"/>
          <w:sz w:val="21"/>
        </w:rPr>
      </w:pPr>
    </w:p>
    <w:p w14:paraId="7810E44B">
      <w:pPr>
        <w:spacing w:line="246" w:lineRule="auto"/>
        <w:rPr>
          <w:rFonts w:ascii="Arial"/>
          <w:color w:val="auto"/>
          <w:sz w:val="21"/>
        </w:rPr>
      </w:pPr>
    </w:p>
    <w:p w14:paraId="6630DCF7">
      <w:pPr>
        <w:spacing w:line="246" w:lineRule="auto"/>
        <w:rPr>
          <w:rFonts w:ascii="Arial"/>
          <w:color w:val="auto"/>
          <w:sz w:val="21"/>
        </w:rPr>
      </w:pPr>
    </w:p>
    <w:p w14:paraId="0703FEEF">
      <w:pPr>
        <w:spacing w:line="246" w:lineRule="auto"/>
        <w:rPr>
          <w:rFonts w:ascii="Arial"/>
          <w:color w:val="auto"/>
          <w:sz w:val="21"/>
        </w:rPr>
      </w:pPr>
    </w:p>
    <w:p w14:paraId="2C3B9306">
      <w:pPr>
        <w:spacing w:line="246" w:lineRule="auto"/>
        <w:rPr>
          <w:rFonts w:ascii="Arial"/>
          <w:color w:val="auto"/>
          <w:sz w:val="21"/>
        </w:rPr>
      </w:pPr>
    </w:p>
    <w:p w14:paraId="2DDAAD64">
      <w:pPr>
        <w:spacing w:line="246" w:lineRule="auto"/>
        <w:rPr>
          <w:rFonts w:ascii="Arial"/>
          <w:color w:val="auto"/>
          <w:sz w:val="21"/>
        </w:rPr>
      </w:pPr>
    </w:p>
    <w:p w14:paraId="3CCE6D0F">
      <w:pPr>
        <w:spacing w:line="246" w:lineRule="auto"/>
        <w:rPr>
          <w:rFonts w:ascii="Arial"/>
          <w:color w:val="auto"/>
          <w:sz w:val="21"/>
        </w:rPr>
      </w:pPr>
    </w:p>
    <w:p w14:paraId="7641CF7D">
      <w:pPr>
        <w:spacing w:line="246" w:lineRule="auto"/>
        <w:rPr>
          <w:rFonts w:ascii="Arial"/>
          <w:color w:val="auto"/>
          <w:sz w:val="21"/>
        </w:rPr>
      </w:pPr>
    </w:p>
    <w:p w14:paraId="6E7C0BB8">
      <w:pPr>
        <w:spacing w:line="246" w:lineRule="auto"/>
        <w:rPr>
          <w:rFonts w:ascii="Arial"/>
          <w:color w:val="auto"/>
          <w:sz w:val="21"/>
        </w:rPr>
      </w:pPr>
    </w:p>
    <w:p w14:paraId="30A44595">
      <w:pPr>
        <w:spacing w:line="246" w:lineRule="auto"/>
        <w:rPr>
          <w:rFonts w:ascii="Arial"/>
          <w:color w:val="auto"/>
          <w:sz w:val="21"/>
        </w:rPr>
      </w:pPr>
    </w:p>
    <w:p w14:paraId="6AF0E72A">
      <w:pPr>
        <w:spacing w:line="246" w:lineRule="auto"/>
        <w:rPr>
          <w:rFonts w:ascii="Arial"/>
          <w:color w:val="auto"/>
          <w:sz w:val="21"/>
        </w:rPr>
      </w:pPr>
    </w:p>
    <w:p w14:paraId="2A19021B">
      <w:pPr>
        <w:spacing w:line="246" w:lineRule="auto"/>
        <w:rPr>
          <w:rFonts w:ascii="Arial"/>
          <w:color w:val="auto"/>
          <w:sz w:val="21"/>
        </w:rPr>
      </w:pPr>
    </w:p>
    <w:p w14:paraId="7C1D1063">
      <w:pPr>
        <w:spacing w:line="246" w:lineRule="auto"/>
        <w:rPr>
          <w:rFonts w:ascii="Arial"/>
          <w:color w:val="auto"/>
          <w:sz w:val="21"/>
        </w:rPr>
      </w:pPr>
    </w:p>
    <w:p w14:paraId="665BAA8E">
      <w:pPr>
        <w:spacing w:line="246" w:lineRule="auto"/>
        <w:rPr>
          <w:rFonts w:ascii="Arial"/>
          <w:color w:val="auto"/>
          <w:sz w:val="21"/>
        </w:rPr>
      </w:pPr>
    </w:p>
    <w:p w14:paraId="20B5BA9B">
      <w:pPr>
        <w:spacing w:line="246" w:lineRule="auto"/>
        <w:rPr>
          <w:rFonts w:ascii="Arial"/>
          <w:color w:val="auto"/>
          <w:sz w:val="21"/>
        </w:rPr>
      </w:pPr>
    </w:p>
    <w:p w14:paraId="5FA51D57">
      <w:pPr>
        <w:spacing w:line="246" w:lineRule="auto"/>
        <w:rPr>
          <w:rFonts w:ascii="Arial"/>
          <w:color w:val="auto"/>
          <w:sz w:val="21"/>
        </w:rPr>
      </w:pPr>
    </w:p>
    <w:p w14:paraId="77DF5091">
      <w:pPr>
        <w:spacing w:line="246" w:lineRule="auto"/>
        <w:rPr>
          <w:rFonts w:ascii="Arial"/>
          <w:color w:val="auto"/>
          <w:sz w:val="21"/>
        </w:rPr>
      </w:pPr>
    </w:p>
    <w:p w14:paraId="66242827">
      <w:pPr>
        <w:spacing w:line="246" w:lineRule="auto"/>
        <w:rPr>
          <w:rFonts w:ascii="Arial"/>
          <w:color w:val="auto"/>
          <w:sz w:val="21"/>
        </w:rPr>
      </w:pPr>
    </w:p>
    <w:p w14:paraId="72FC4C55">
      <w:pPr>
        <w:spacing w:line="246" w:lineRule="auto"/>
        <w:rPr>
          <w:rFonts w:ascii="Arial"/>
          <w:color w:val="auto"/>
          <w:sz w:val="21"/>
        </w:rPr>
      </w:pPr>
    </w:p>
    <w:p w14:paraId="2ABC815B">
      <w:pPr>
        <w:spacing w:line="246" w:lineRule="auto"/>
        <w:rPr>
          <w:rFonts w:ascii="Arial"/>
          <w:color w:val="auto"/>
          <w:sz w:val="21"/>
        </w:rPr>
      </w:pPr>
    </w:p>
    <w:p w14:paraId="1773C117">
      <w:pPr>
        <w:spacing w:line="246" w:lineRule="auto"/>
        <w:rPr>
          <w:rFonts w:ascii="Arial"/>
          <w:color w:val="auto"/>
          <w:sz w:val="21"/>
        </w:rPr>
      </w:pPr>
    </w:p>
    <w:p w14:paraId="544D6CE7">
      <w:pPr>
        <w:spacing w:line="246" w:lineRule="auto"/>
        <w:rPr>
          <w:rFonts w:ascii="Arial"/>
          <w:color w:val="auto"/>
          <w:sz w:val="21"/>
        </w:rPr>
      </w:pPr>
    </w:p>
    <w:p w14:paraId="0BCBBB5D">
      <w:pPr>
        <w:spacing w:line="246" w:lineRule="auto"/>
        <w:rPr>
          <w:rFonts w:ascii="Arial"/>
          <w:color w:val="auto"/>
          <w:sz w:val="21"/>
        </w:rPr>
      </w:pPr>
    </w:p>
    <w:p w14:paraId="27ACF130">
      <w:pPr>
        <w:spacing w:line="246" w:lineRule="auto"/>
        <w:rPr>
          <w:rFonts w:ascii="Arial"/>
          <w:color w:val="auto"/>
          <w:sz w:val="21"/>
        </w:rPr>
      </w:pPr>
    </w:p>
    <w:p w14:paraId="3A50D495">
      <w:pPr>
        <w:spacing w:line="246" w:lineRule="auto"/>
        <w:rPr>
          <w:rFonts w:ascii="Arial"/>
          <w:color w:val="auto"/>
          <w:sz w:val="21"/>
        </w:rPr>
      </w:pPr>
    </w:p>
    <w:p w14:paraId="2F56C76E">
      <w:pPr>
        <w:spacing w:line="246" w:lineRule="auto"/>
        <w:rPr>
          <w:rFonts w:ascii="Arial"/>
          <w:color w:val="auto"/>
          <w:sz w:val="21"/>
        </w:rPr>
      </w:pPr>
    </w:p>
    <w:p w14:paraId="666E6C29">
      <w:pPr>
        <w:spacing w:line="246" w:lineRule="auto"/>
        <w:rPr>
          <w:rFonts w:ascii="Arial"/>
          <w:color w:val="auto"/>
          <w:sz w:val="21"/>
        </w:rPr>
      </w:pPr>
    </w:p>
    <w:p w14:paraId="7F9BB2D5">
      <w:pPr>
        <w:spacing w:line="246" w:lineRule="auto"/>
        <w:rPr>
          <w:rFonts w:ascii="Arial"/>
          <w:color w:val="auto"/>
          <w:sz w:val="21"/>
        </w:rPr>
      </w:pPr>
    </w:p>
    <w:p w14:paraId="167D6238">
      <w:pPr>
        <w:spacing w:line="246" w:lineRule="auto"/>
        <w:rPr>
          <w:rFonts w:ascii="Arial"/>
          <w:color w:val="auto"/>
          <w:sz w:val="21"/>
        </w:rPr>
      </w:pPr>
    </w:p>
    <w:p w14:paraId="70BE377B">
      <w:pPr>
        <w:spacing w:line="246" w:lineRule="auto"/>
        <w:rPr>
          <w:rFonts w:ascii="Arial"/>
          <w:color w:val="auto"/>
          <w:sz w:val="21"/>
        </w:rPr>
      </w:pPr>
    </w:p>
    <w:p w14:paraId="5A56091B">
      <w:pPr>
        <w:spacing w:line="247" w:lineRule="auto"/>
        <w:rPr>
          <w:rFonts w:ascii="Arial"/>
          <w:color w:val="auto"/>
          <w:sz w:val="21"/>
        </w:rPr>
      </w:pPr>
    </w:p>
    <w:p w14:paraId="09A2CF45">
      <w:pPr>
        <w:spacing w:line="247" w:lineRule="auto"/>
        <w:rPr>
          <w:rFonts w:ascii="Arial"/>
          <w:color w:val="auto"/>
          <w:sz w:val="21"/>
        </w:rPr>
      </w:pPr>
    </w:p>
    <w:p w14:paraId="7FCEB001">
      <w:pPr>
        <w:spacing w:line="247" w:lineRule="auto"/>
        <w:rPr>
          <w:rFonts w:ascii="Arial"/>
          <w:color w:val="auto"/>
          <w:sz w:val="21"/>
        </w:rPr>
      </w:pPr>
    </w:p>
    <w:p w14:paraId="00545710">
      <w:pPr>
        <w:spacing w:line="247" w:lineRule="auto"/>
        <w:rPr>
          <w:rFonts w:ascii="Arial"/>
          <w:color w:val="auto"/>
          <w:sz w:val="21"/>
        </w:rPr>
      </w:pPr>
    </w:p>
    <w:p w14:paraId="06BC9AF0">
      <w:pPr>
        <w:pStyle w:val="6"/>
        <w:spacing w:before="59" w:line="270" w:lineRule="exact"/>
        <w:ind w:left="21"/>
        <w:rPr>
          <w:rFonts w:ascii="Times New Roman" w:hAnsi="Times New Roman" w:eastAsia="Times New Roman" w:cs="Times New Roman"/>
          <w:color w:val="auto"/>
          <w:sz w:val="18"/>
          <w:szCs w:val="18"/>
        </w:rPr>
      </w:pPr>
    </w:p>
    <w:p w14:paraId="302F915C">
      <w:pPr>
        <w:spacing w:line="270" w:lineRule="exact"/>
        <w:rPr>
          <w:rFonts w:ascii="Times New Roman" w:hAnsi="Times New Roman" w:eastAsia="Times New Roman" w:cs="Times New Roman"/>
          <w:color w:val="auto"/>
          <w:sz w:val="18"/>
          <w:szCs w:val="18"/>
        </w:rPr>
        <w:sectPr>
          <w:footerReference r:id="rId6" w:type="default"/>
          <w:pgSz w:w="11906" w:h="16839"/>
          <w:pgMar w:top="1447" w:right="1231" w:bottom="0" w:left="1247" w:header="1170" w:footer="0" w:gutter="0"/>
          <w:pgNumType w:fmt="decimal" w:start="1"/>
          <w:cols w:space="720" w:num="1"/>
        </w:sectPr>
      </w:pPr>
    </w:p>
    <w:p w14:paraId="7B9971CE">
      <w:pPr>
        <w:pStyle w:val="6"/>
        <w:spacing w:before="139" w:line="224" w:lineRule="auto"/>
        <w:ind w:left="3534"/>
        <w:outlineLvl w:val="0"/>
        <w:rPr>
          <w:color w:val="auto"/>
          <w:sz w:val="31"/>
          <w:szCs w:val="31"/>
        </w:rPr>
      </w:pPr>
      <w:bookmarkStart w:id="2" w:name="bookmark12"/>
      <w:bookmarkEnd w:id="2"/>
      <w:r>
        <w:rPr>
          <w:b/>
          <w:bCs/>
          <w:color w:val="auto"/>
          <w:spacing w:val="5"/>
          <w:sz w:val="31"/>
          <w:szCs w:val="31"/>
        </w:rPr>
        <w:t>第一章</w:t>
      </w:r>
      <w:r>
        <w:rPr>
          <w:color w:val="auto"/>
          <w:spacing w:val="5"/>
          <w:sz w:val="31"/>
          <w:szCs w:val="31"/>
        </w:rPr>
        <w:t xml:space="preserve">  </w:t>
      </w:r>
      <w:r>
        <w:rPr>
          <w:b/>
          <w:bCs/>
          <w:color w:val="auto"/>
          <w:spacing w:val="5"/>
          <w:sz w:val="31"/>
          <w:szCs w:val="31"/>
        </w:rPr>
        <w:t>谈判公告</w:t>
      </w:r>
    </w:p>
    <w:p w14:paraId="1BB6A1B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jc w:val="left"/>
        <w:textAlignment w:val="baseline"/>
        <w:rPr>
          <w:rFonts w:hint="eastAsia" w:ascii="宋体" w:hAnsi="宋体" w:eastAsia="宋体" w:cs="宋体"/>
          <w:b w:val="0"/>
          <w:bCs w:val="0"/>
          <w:color w:val="auto"/>
          <w:sz w:val="24"/>
          <w:szCs w:val="24"/>
        </w:rPr>
      </w:pPr>
      <w:r>
        <w:rPr>
          <w:rStyle w:val="20"/>
          <w:rFonts w:hint="eastAsia" w:ascii="宋体" w:hAnsi="宋体" w:eastAsia="宋体" w:cs="宋体"/>
          <w:b/>
          <w:bCs/>
          <w:i w:val="0"/>
          <w:iCs w:val="0"/>
          <w:caps w:val="0"/>
          <w:color w:val="auto"/>
          <w:spacing w:val="0"/>
          <w:sz w:val="24"/>
          <w:szCs w:val="24"/>
          <w:shd w:val="clear" w:fill="FFFFFF"/>
          <w:vertAlign w:val="baseline"/>
        </w:rPr>
        <w:t>项目概况</w:t>
      </w:r>
    </w:p>
    <w:p w14:paraId="14C04253">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旬阳市桐木镇水质提升项目采购项目的潜在供应商应在全国公共资源交易中心平台（陕西省.安康市）获取采购文件，并于 2026年02月06日09时00分（北京时间）前提交响应文件。</w:t>
      </w:r>
    </w:p>
    <w:p w14:paraId="5293E03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auto"/>
          <w:spacing w:val="0"/>
          <w:sz w:val="24"/>
          <w:szCs w:val="24"/>
        </w:rPr>
      </w:pPr>
      <w:r>
        <w:rPr>
          <w:rStyle w:val="20"/>
          <w:rFonts w:hint="eastAsia" w:ascii="宋体" w:hAnsi="宋体" w:eastAsia="宋体" w:cs="宋体"/>
          <w:b/>
          <w:bCs/>
          <w:i w:val="0"/>
          <w:iCs w:val="0"/>
          <w:caps w:val="0"/>
          <w:color w:val="auto"/>
          <w:spacing w:val="0"/>
          <w:sz w:val="24"/>
          <w:szCs w:val="24"/>
          <w:shd w:val="clear" w:fill="FFFFFF"/>
          <w:vertAlign w:val="baseline"/>
        </w:rPr>
        <w:t>一、项目基本情况</w:t>
      </w:r>
    </w:p>
    <w:p w14:paraId="3908B2BB">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vertAlign w:val="baseline"/>
        </w:rPr>
        <w:t>项目编号：ZFCG-旬阳市-2026-0130</w:t>
      </w:r>
    </w:p>
    <w:p w14:paraId="53EB4555">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vertAlign w:val="baseline"/>
        </w:rPr>
        <w:t>项目名称：旬阳市桐木镇水质提升项目</w:t>
      </w:r>
    </w:p>
    <w:p w14:paraId="6761B5F4">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vertAlign w:val="baseline"/>
        </w:rPr>
        <w:t>采购方式：竞争性谈判</w:t>
      </w:r>
    </w:p>
    <w:p w14:paraId="7CC4B234">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vertAlign w:val="baseline"/>
        </w:rPr>
        <w:t>预算金额：498,000.00元</w:t>
      </w:r>
    </w:p>
    <w:p w14:paraId="5AFBAC7A">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vertAlign w:val="baseline"/>
        </w:rPr>
        <w:t>采购需求：</w:t>
      </w:r>
    </w:p>
    <w:p w14:paraId="3B5DE863">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合同包1(旬阳市桐木镇水质提升项目):</w:t>
      </w:r>
    </w:p>
    <w:p w14:paraId="58901A17">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合同包预算金额：498,000.00元</w:t>
      </w:r>
    </w:p>
    <w:p w14:paraId="58798AA4">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合同包最高限价：498,000.00元</w:t>
      </w:r>
    </w:p>
    <w:tbl>
      <w:tblPr>
        <w:tblStyle w:val="18"/>
        <w:tblW w:w="98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02"/>
        <w:gridCol w:w="1691"/>
        <w:gridCol w:w="2490"/>
        <w:gridCol w:w="1275"/>
        <w:gridCol w:w="1890"/>
        <w:gridCol w:w="1468"/>
      </w:tblGrid>
      <w:tr w14:paraId="2FB1C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58" w:hRule="atLeast"/>
          <w:tblHeader/>
        </w:trPr>
        <w:tc>
          <w:tcPr>
            <w:tcW w:w="100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448724D">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6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9FC59A1">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24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9599209">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12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96FF0B1">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18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D55C32">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46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2AFAA21">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r>
      <w:tr w14:paraId="54539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0" w:hRule="atLeast"/>
        </w:trPr>
        <w:tc>
          <w:tcPr>
            <w:tcW w:w="100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E201569">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16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09C4033">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其他机械设备</w:t>
            </w:r>
          </w:p>
        </w:tc>
        <w:tc>
          <w:tcPr>
            <w:tcW w:w="24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C5CFD9F">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桐木镇水质提升项目</w:t>
            </w:r>
          </w:p>
        </w:tc>
        <w:tc>
          <w:tcPr>
            <w:tcW w:w="12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8EC1BED">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18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8AA79B1">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146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B8EA7C5">
            <w:pPr>
              <w:keepNext w:val="0"/>
              <w:keepLines w:val="0"/>
              <w:widowControl/>
              <w:suppressLineNumbers w:val="0"/>
              <w:wordWrap/>
              <w:spacing w:before="0" w:beforeAutospacing="0" w:after="0" w:afterAutospacing="0" w:line="360" w:lineRule="auto"/>
              <w:ind w:left="0" w:right="0"/>
              <w:jc w:val="righ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vertAlign w:val="baseline"/>
                <w:lang w:val="en-US" w:eastAsia="zh-CN" w:bidi="ar"/>
              </w:rPr>
              <w:t>498,000.00</w:t>
            </w:r>
          </w:p>
        </w:tc>
      </w:tr>
    </w:tbl>
    <w:p w14:paraId="7D91E5F6">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本合同包不接受联合体投标</w:t>
      </w:r>
    </w:p>
    <w:p w14:paraId="145BE303">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合同履行期限：7日历天</w:t>
      </w:r>
    </w:p>
    <w:p w14:paraId="023D00D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auto"/>
          <w:spacing w:val="0"/>
          <w:sz w:val="24"/>
          <w:szCs w:val="24"/>
        </w:rPr>
      </w:pPr>
      <w:r>
        <w:rPr>
          <w:rStyle w:val="20"/>
          <w:rFonts w:hint="eastAsia" w:ascii="宋体" w:hAnsi="宋体" w:eastAsia="宋体" w:cs="宋体"/>
          <w:b/>
          <w:bCs/>
          <w:i w:val="0"/>
          <w:iCs w:val="0"/>
          <w:caps w:val="0"/>
          <w:color w:val="auto"/>
          <w:spacing w:val="0"/>
          <w:sz w:val="24"/>
          <w:szCs w:val="24"/>
          <w:shd w:val="clear" w:fill="FFFFFF"/>
          <w:vertAlign w:val="baseline"/>
        </w:rPr>
        <w:t>二、申请人的资格要求：</w:t>
      </w:r>
    </w:p>
    <w:p w14:paraId="720CA6E6">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1.满足《中华人民共和国政府采购法》第二十二条规定;</w:t>
      </w:r>
    </w:p>
    <w:p w14:paraId="2681498D">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2.落实政府采购政策需满足的资格要求：</w:t>
      </w:r>
    </w:p>
    <w:p w14:paraId="2E5D409C">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合同包1(旬阳市桐木镇水质提升项目)落实政府采购政策需满足的资格要求如下:</w:t>
      </w:r>
    </w:p>
    <w:p w14:paraId="203D29FD">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本项目面向中小企业采购。</w:t>
      </w:r>
    </w:p>
    <w:p w14:paraId="7F472DF8">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3.本项目的特定资格要求：</w:t>
      </w:r>
    </w:p>
    <w:p w14:paraId="0AA29D0F">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合同包1(旬阳市桐木镇水质提升项目)特定资格要求如下:</w:t>
      </w:r>
    </w:p>
    <w:p w14:paraId="0C53A124">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（1）具有独立承担民事责任的能力，提供营业执照、税务登记证、组织机构代码证或登载有统一社会信用代码的营业执照（或《事业单位法人证书》或其他合法组织登记证书、自然人只须提交身份证）；</w:t>
      </w:r>
      <w:r>
        <w:rPr>
          <w:rFonts w:hint="eastAsia" w:ascii="宋体" w:hAnsi="宋体" w:eastAsia="宋体" w:cs="宋体"/>
          <w:i w:val="0"/>
          <w:iCs w:val="0"/>
          <w:caps w:val="0"/>
          <w:color w:val="auto"/>
          <w:spacing w:val="0"/>
          <w:sz w:val="24"/>
          <w:szCs w:val="24"/>
          <w:shd w:val="clear" w:fill="FFFFFF"/>
          <w:vertAlign w:val="baseline"/>
        </w:rPr>
        <w:br w:type="textWrapping"/>
      </w:r>
      <w:r>
        <w:rPr>
          <w:rFonts w:hint="eastAsia" w:ascii="宋体" w:hAnsi="宋体" w:eastAsia="宋体" w:cs="宋体"/>
          <w:i w:val="0"/>
          <w:iCs w:val="0"/>
          <w:caps w:val="0"/>
          <w:color w:val="auto"/>
          <w:spacing w:val="0"/>
          <w:sz w:val="24"/>
          <w:szCs w:val="24"/>
          <w:shd w:val="clear" w:fill="FFFFFF"/>
          <w:vertAlign w:val="baseline"/>
        </w:rPr>
        <w:t>（2）法定代表人委托授权书（法定代表人参加不需提供，但需要提供法定代表人身份证）及被授权人身份证；</w:t>
      </w:r>
      <w:r>
        <w:rPr>
          <w:rFonts w:hint="eastAsia" w:ascii="宋体" w:hAnsi="宋体" w:eastAsia="宋体" w:cs="宋体"/>
          <w:i w:val="0"/>
          <w:iCs w:val="0"/>
          <w:caps w:val="0"/>
          <w:color w:val="auto"/>
          <w:spacing w:val="0"/>
          <w:sz w:val="24"/>
          <w:szCs w:val="24"/>
          <w:shd w:val="clear" w:fill="FFFFFF"/>
          <w:vertAlign w:val="baseline"/>
        </w:rPr>
        <w:br w:type="textWrapping"/>
      </w:r>
      <w:r>
        <w:rPr>
          <w:rFonts w:hint="eastAsia" w:ascii="宋体" w:hAnsi="宋体" w:eastAsia="宋体" w:cs="宋体"/>
          <w:i w:val="0"/>
          <w:iCs w:val="0"/>
          <w:caps w:val="0"/>
          <w:color w:val="auto"/>
          <w:spacing w:val="0"/>
          <w:sz w:val="24"/>
          <w:szCs w:val="24"/>
          <w:shd w:val="clear" w:fill="FFFFFF"/>
          <w:vertAlign w:val="baseline"/>
        </w:rPr>
        <w:t>（3）供应商在递交投标文件截止时间前被“信用中国”网站（www.creditchina.gov.cn）和中国政府采购网（www.ccgp.gov.cn）上被列入失信被执行人、重大税收违法案件当事人名单、政府采购严重违法失信行为记录名单的，不得参加投标；</w:t>
      </w:r>
      <w:r>
        <w:rPr>
          <w:rFonts w:hint="eastAsia" w:ascii="宋体" w:hAnsi="宋体" w:eastAsia="宋体" w:cs="宋体"/>
          <w:i w:val="0"/>
          <w:iCs w:val="0"/>
          <w:caps w:val="0"/>
          <w:color w:val="auto"/>
          <w:spacing w:val="0"/>
          <w:sz w:val="24"/>
          <w:szCs w:val="24"/>
          <w:shd w:val="clear" w:fill="FFFFFF"/>
          <w:vertAlign w:val="baseline"/>
        </w:rPr>
        <w:br w:type="textWrapping"/>
      </w:r>
      <w:r>
        <w:rPr>
          <w:rFonts w:hint="eastAsia" w:ascii="宋体" w:hAnsi="宋体" w:eastAsia="宋体" w:cs="宋体"/>
          <w:i w:val="0"/>
          <w:iCs w:val="0"/>
          <w:caps w:val="0"/>
          <w:color w:val="auto"/>
          <w:spacing w:val="0"/>
          <w:sz w:val="24"/>
          <w:szCs w:val="24"/>
          <w:shd w:val="clear" w:fill="FFFFFF"/>
          <w:vertAlign w:val="baseline"/>
        </w:rPr>
        <w:t>（4）提供2023年度或2024年度经审计的财务审计报告或投标截止时间前六个月内基本开户银行出具的资信证明（成立时间至提交响应文件截止时间不足一年的可提供成立后任意时段的资产负债表）；</w:t>
      </w:r>
      <w:r>
        <w:rPr>
          <w:rFonts w:hint="eastAsia" w:ascii="宋体" w:hAnsi="宋体" w:eastAsia="宋体" w:cs="宋体"/>
          <w:i w:val="0"/>
          <w:iCs w:val="0"/>
          <w:caps w:val="0"/>
          <w:color w:val="auto"/>
          <w:spacing w:val="0"/>
          <w:sz w:val="24"/>
          <w:szCs w:val="24"/>
          <w:shd w:val="clear" w:fill="FFFFFF"/>
          <w:vertAlign w:val="baseline"/>
        </w:rPr>
        <w:br w:type="textWrapping"/>
      </w:r>
      <w:r>
        <w:rPr>
          <w:rFonts w:hint="eastAsia" w:ascii="宋体" w:hAnsi="宋体" w:eastAsia="宋体" w:cs="宋体"/>
          <w:i w:val="0"/>
          <w:iCs w:val="0"/>
          <w:caps w:val="0"/>
          <w:color w:val="auto"/>
          <w:spacing w:val="0"/>
          <w:sz w:val="24"/>
          <w:szCs w:val="24"/>
          <w:shd w:val="clear" w:fill="FFFFFF"/>
          <w:vertAlign w:val="baseline"/>
        </w:rPr>
        <w:t>（5）提供投标截止日前一年内已缴纳的至少三个月的纳税证明或完税证明（任意税种），依法免税的单位应提供相关证明材料；</w:t>
      </w:r>
      <w:r>
        <w:rPr>
          <w:rFonts w:hint="eastAsia" w:ascii="宋体" w:hAnsi="宋体" w:eastAsia="宋体" w:cs="宋体"/>
          <w:i w:val="0"/>
          <w:iCs w:val="0"/>
          <w:caps w:val="0"/>
          <w:color w:val="auto"/>
          <w:spacing w:val="0"/>
          <w:sz w:val="24"/>
          <w:szCs w:val="24"/>
          <w:shd w:val="clear" w:fill="FFFFFF"/>
          <w:vertAlign w:val="baseline"/>
        </w:rPr>
        <w:br w:type="textWrapping"/>
      </w:r>
      <w:r>
        <w:rPr>
          <w:rFonts w:hint="eastAsia" w:ascii="宋体" w:hAnsi="宋体" w:eastAsia="宋体" w:cs="宋体"/>
          <w:i w:val="0"/>
          <w:iCs w:val="0"/>
          <w:caps w:val="0"/>
          <w:color w:val="auto"/>
          <w:spacing w:val="0"/>
          <w:sz w:val="24"/>
          <w:szCs w:val="24"/>
          <w:shd w:val="clear" w:fill="FFFFFF"/>
          <w:vertAlign w:val="baseline"/>
        </w:rPr>
        <w:t>（6）提供投标截止日前一年内已缴存的至少三个月的社会保障资金缴存单据或社保机构开具的社会保险参保缴费情况证明，依法不需要缴纳社会保障资金的单位应提供相关证明材料；</w:t>
      </w:r>
      <w:r>
        <w:rPr>
          <w:rFonts w:hint="eastAsia" w:ascii="宋体" w:hAnsi="宋体" w:eastAsia="宋体" w:cs="宋体"/>
          <w:i w:val="0"/>
          <w:iCs w:val="0"/>
          <w:caps w:val="0"/>
          <w:color w:val="auto"/>
          <w:spacing w:val="0"/>
          <w:sz w:val="24"/>
          <w:szCs w:val="24"/>
          <w:shd w:val="clear" w:fill="FFFFFF"/>
          <w:vertAlign w:val="baseline"/>
        </w:rPr>
        <w:br w:type="textWrapping"/>
      </w:r>
      <w:r>
        <w:rPr>
          <w:rFonts w:hint="eastAsia" w:ascii="宋体" w:hAnsi="宋体" w:eastAsia="宋体" w:cs="宋体"/>
          <w:i w:val="0"/>
          <w:iCs w:val="0"/>
          <w:caps w:val="0"/>
          <w:color w:val="auto"/>
          <w:spacing w:val="0"/>
          <w:sz w:val="24"/>
          <w:szCs w:val="24"/>
          <w:shd w:val="clear" w:fill="FFFFFF"/>
          <w:vertAlign w:val="baseline"/>
        </w:rPr>
        <w:t>（7）提供参加政府采购活动前三年内，在经营活动中没有重大违法记录书面声明；</w:t>
      </w:r>
      <w:r>
        <w:rPr>
          <w:rFonts w:hint="eastAsia" w:ascii="宋体" w:hAnsi="宋体" w:eastAsia="宋体" w:cs="宋体"/>
          <w:i w:val="0"/>
          <w:iCs w:val="0"/>
          <w:caps w:val="0"/>
          <w:color w:val="auto"/>
          <w:spacing w:val="0"/>
          <w:sz w:val="24"/>
          <w:szCs w:val="24"/>
          <w:shd w:val="clear" w:fill="FFFFFF"/>
          <w:vertAlign w:val="baseline"/>
        </w:rPr>
        <w:br w:type="textWrapping"/>
      </w:r>
      <w:r>
        <w:rPr>
          <w:rFonts w:hint="eastAsia" w:ascii="宋体" w:hAnsi="宋体" w:eastAsia="宋体" w:cs="宋体"/>
          <w:i w:val="0"/>
          <w:iCs w:val="0"/>
          <w:caps w:val="0"/>
          <w:color w:val="auto"/>
          <w:spacing w:val="0"/>
          <w:sz w:val="24"/>
          <w:szCs w:val="24"/>
          <w:shd w:val="clear" w:fill="FFFFFF"/>
          <w:vertAlign w:val="baseline"/>
        </w:rPr>
        <w:t>（8）提供具有履行合同所必需的设备和专业技术能力的承诺书；</w:t>
      </w:r>
      <w:r>
        <w:rPr>
          <w:rFonts w:hint="eastAsia" w:ascii="宋体" w:hAnsi="宋体" w:eastAsia="宋体" w:cs="宋体"/>
          <w:i w:val="0"/>
          <w:iCs w:val="0"/>
          <w:caps w:val="0"/>
          <w:color w:val="auto"/>
          <w:spacing w:val="0"/>
          <w:sz w:val="24"/>
          <w:szCs w:val="24"/>
          <w:shd w:val="clear" w:fill="FFFFFF"/>
          <w:vertAlign w:val="baseline"/>
        </w:rPr>
        <w:br w:type="textWrapping"/>
      </w:r>
      <w:r>
        <w:rPr>
          <w:rFonts w:hint="eastAsia" w:ascii="宋体" w:hAnsi="宋体" w:eastAsia="宋体" w:cs="宋体"/>
          <w:i w:val="0"/>
          <w:iCs w:val="0"/>
          <w:caps w:val="0"/>
          <w:color w:val="auto"/>
          <w:spacing w:val="0"/>
          <w:sz w:val="24"/>
          <w:szCs w:val="24"/>
          <w:shd w:val="clear" w:fill="FFFFFF"/>
          <w:vertAlign w:val="baseline"/>
        </w:rPr>
        <w:t>（9）本项目专门面向中小企业采购，提供中小企业声明函；</w:t>
      </w:r>
      <w:r>
        <w:rPr>
          <w:rFonts w:hint="eastAsia" w:ascii="宋体" w:hAnsi="宋体" w:eastAsia="宋体" w:cs="宋体"/>
          <w:i w:val="0"/>
          <w:iCs w:val="0"/>
          <w:caps w:val="0"/>
          <w:color w:val="auto"/>
          <w:spacing w:val="0"/>
          <w:sz w:val="24"/>
          <w:szCs w:val="24"/>
          <w:shd w:val="clear" w:fill="FFFFFF"/>
          <w:vertAlign w:val="baseline"/>
        </w:rPr>
        <w:br w:type="textWrapping"/>
      </w:r>
      <w:r>
        <w:rPr>
          <w:rFonts w:hint="eastAsia" w:ascii="宋体" w:hAnsi="宋体" w:eastAsia="宋体" w:cs="宋体"/>
          <w:i w:val="0"/>
          <w:iCs w:val="0"/>
          <w:caps w:val="0"/>
          <w:color w:val="auto"/>
          <w:spacing w:val="0"/>
          <w:sz w:val="24"/>
          <w:szCs w:val="24"/>
          <w:shd w:val="clear" w:fill="FFFFFF"/>
          <w:vertAlign w:val="baseline"/>
        </w:rPr>
        <w:t>（10）本项目不接受联合体投标。</w:t>
      </w:r>
    </w:p>
    <w:p w14:paraId="20121C6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auto"/>
          <w:spacing w:val="0"/>
          <w:sz w:val="24"/>
          <w:szCs w:val="24"/>
        </w:rPr>
      </w:pPr>
      <w:r>
        <w:rPr>
          <w:rStyle w:val="20"/>
          <w:rFonts w:hint="eastAsia" w:ascii="宋体" w:hAnsi="宋体" w:eastAsia="宋体" w:cs="宋体"/>
          <w:b/>
          <w:bCs/>
          <w:i w:val="0"/>
          <w:iCs w:val="0"/>
          <w:caps w:val="0"/>
          <w:color w:val="auto"/>
          <w:spacing w:val="0"/>
          <w:sz w:val="24"/>
          <w:szCs w:val="24"/>
          <w:shd w:val="clear" w:fill="FFFFFF"/>
          <w:vertAlign w:val="baseline"/>
        </w:rPr>
        <w:t>三、获取采购文件</w:t>
      </w:r>
    </w:p>
    <w:p w14:paraId="7CFECCB8">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vertAlign w:val="baseline"/>
        </w:rPr>
        <w:t>时间：2026年02月03日至2026年02月05日，每天上午08:00:00至12:00:00，下午12:00:00至18:00:00（北京时间）</w:t>
      </w:r>
    </w:p>
    <w:p w14:paraId="1F232329">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vertAlign w:val="baseline"/>
        </w:rPr>
        <w:t>途径：全国公共资源交易中心平台（陕西省.安康市）</w:t>
      </w:r>
    </w:p>
    <w:p w14:paraId="49ED6F7A">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vertAlign w:val="baseline"/>
        </w:rPr>
        <w:t>方式：在线获取</w:t>
      </w:r>
    </w:p>
    <w:p w14:paraId="230E8DDD">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vertAlign w:val="baseline"/>
        </w:rPr>
        <w:t>售价：0元</w:t>
      </w:r>
    </w:p>
    <w:p w14:paraId="39394D4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auto"/>
          <w:spacing w:val="0"/>
          <w:sz w:val="24"/>
          <w:szCs w:val="24"/>
        </w:rPr>
      </w:pPr>
      <w:r>
        <w:rPr>
          <w:rStyle w:val="20"/>
          <w:rFonts w:hint="eastAsia" w:ascii="宋体" w:hAnsi="宋体" w:eastAsia="宋体" w:cs="宋体"/>
          <w:b/>
          <w:bCs/>
          <w:i w:val="0"/>
          <w:iCs w:val="0"/>
          <w:caps w:val="0"/>
          <w:color w:val="auto"/>
          <w:spacing w:val="0"/>
          <w:sz w:val="24"/>
          <w:szCs w:val="24"/>
          <w:shd w:val="clear" w:fill="FFFFFF"/>
          <w:vertAlign w:val="baseline"/>
        </w:rPr>
        <w:t>四、响应文件提交</w:t>
      </w:r>
    </w:p>
    <w:p w14:paraId="063437D0">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vertAlign w:val="baseline"/>
        </w:rPr>
        <w:t>截止时间：2026年02月06日09时00分00秒（北京时间）</w:t>
      </w:r>
    </w:p>
    <w:p w14:paraId="1214871C">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vertAlign w:val="baseline"/>
        </w:rPr>
        <w:t>地点：全国公共资源交易中心平台（陕西省.安康市）</w:t>
      </w:r>
    </w:p>
    <w:p w14:paraId="7314B63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auto"/>
          <w:spacing w:val="0"/>
          <w:sz w:val="24"/>
          <w:szCs w:val="24"/>
        </w:rPr>
      </w:pPr>
      <w:r>
        <w:rPr>
          <w:rStyle w:val="20"/>
          <w:rFonts w:hint="eastAsia" w:ascii="宋体" w:hAnsi="宋体" w:eastAsia="宋体" w:cs="宋体"/>
          <w:b/>
          <w:bCs/>
          <w:i w:val="0"/>
          <w:iCs w:val="0"/>
          <w:caps w:val="0"/>
          <w:color w:val="auto"/>
          <w:spacing w:val="0"/>
          <w:sz w:val="24"/>
          <w:szCs w:val="24"/>
          <w:shd w:val="clear" w:fill="FFFFFF"/>
          <w:vertAlign w:val="baseline"/>
        </w:rPr>
        <w:t>五、开启</w:t>
      </w:r>
    </w:p>
    <w:p w14:paraId="0EDC90D4">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vertAlign w:val="baseline"/>
        </w:rPr>
        <w:t>时间：2026年02月06日 09时00分00秒（北京时间）</w:t>
      </w:r>
    </w:p>
    <w:p w14:paraId="5CFD28AA">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vertAlign w:val="baseline"/>
        </w:rPr>
        <w:t>地点：安康市公共资源交易中心不见面开标大厅</w:t>
      </w:r>
    </w:p>
    <w:p w14:paraId="21F85E4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auto"/>
          <w:spacing w:val="0"/>
          <w:sz w:val="24"/>
          <w:szCs w:val="24"/>
        </w:rPr>
      </w:pPr>
      <w:r>
        <w:rPr>
          <w:rStyle w:val="20"/>
          <w:rFonts w:hint="eastAsia" w:ascii="宋体" w:hAnsi="宋体" w:eastAsia="宋体" w:cs="宋体"/>
          <w:b/>
          <w:bCs/>
          <w:i w:val="0"/>
          <w:iCs w:val="0"/>
          <w:caps w:val="0"/>
          <w:color w:val="auto"/>
          <w:spacing w:val="0"/>
          <w:sz w:val="24"/>
          <w:szCs w:val="24"/>
          <w:shd w:val="clear" w:fill="FFFFFF"/>
          <w:vertAlign w:val="baseline"/>
        </w:rPr>
        <w:t>六、公告期限</w:t>
      </w:r>
    </w:p>
    <w:p w14:paraId="77F35977">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vertAlign w:val="baseline"/>
        </w:rPr>
        <w:t>自本公告发布之日起3个工作日。</w:t>
      </w:r>
    </w:p>
    <w:p w14:paraId="3EC441B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auto"/>
          <w:spacing w:val="0"/>
          <w:sz w:val="24"/>
          <w:szCs w:val="24"/>
        </w:rPr>
      </w:pPr>
      <w:r>
        <w:rPr>
          <w:rStyle w:val="20"/>
          <w:rFonts w:hint="eastAsia" w:ascii="宋体" w:hAnsi="宋体" w:eastAsia="宋体" w:cs="宋体"/>
          <w:b/>
          <w:bCs/>
          <w:i w:val="0"/>
          <w:iCs w:val="0"/>
          <w:caps w:val="0"/>
          <w:color w:val="auto"/>
          <w:spacing w:val="0"/>
          <w:sz w:val="24"/>
          <w:szCs w:val="24"/>
          <w:shd w:val="clear" w:fill="FFFFFF"/>
          <w:vertAlign w:val="baseline"/>
        </w:rPr>
        <w:t>七、其他补充事宜</w:t>
      </w:r>
    </w:p>
    <w:p w14:paraId="5F55F073">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1、投标供应商使用捆绑陕西省公共资源交易平台的CA锁登录电子交易平台，通过政府采购系统企业端进入，点击“我要投标”并完善相关投标信息；</w:t>
      </w:r>
    </w:p>
    <w:p w14:paraId="64C57A8F">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2、投标供应商须在文件获取截止时间前登录电子交易平台下载采购文件，否则责任自负；</w:t>
      </w:r>
    </w:p>
    <w:p w14:paraId="770AA604">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3、本项目采用电子化投标及远程不见面开标方式，相关操作流程详见全国公共资源交易平台（陕西省）网站(服务指南-下载专区)中的《陕西省公共资源交易中心政府采购项目投标指南》，电子采购文件技术支持：4009280095/4009980000；</w:t>
      </w:r>
    </w:p>
    <w:p w14:paraId="462D6406">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4、未及时下载采购文件的将会影响后续开评标活动；</w:t>
      </w:r>
    </w:p>
    <w:p w14:paraId="2AF9B0FD">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5、请各投标人获取采购文件后，按照陕西省财政厅《关于政府采购供应商注册登记有关事项的通知》要求，通过陕西省政府采购网注册登记加入陕西省政府采购供应商库。</w:t>
      </w:r>
    </w:p>
    <w:p w14:paraId="536F0A03">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6、依据《中华人民共和国政府采购法》和《中华人民共和国政府采购法实施条例》的有关规定，落实政府采购政策。</w:t>
      </w:r>
    </w:p>
    <w:p w14:paraId="453DA4FF">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1)《财政部司法部关于政府采购支持监狱企业发展有关问题的通知》（财库〔2014〕68号）；</w:t>
      </w:r>
    </w:p>
    <w:p w14:paraId="330E6772">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2)《三部门联合发布关于促进残疾人就业政府采购政策的通知》（财库〔2017〕141号）；</w:t>
      </w:r>
    </w:p>
    <w:p w14:paraId="452B64CC">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3)《陕西省中小企业政府采购信用融资办法》（陕财办采〔2018〕23号）；</w:t>
      </w:r>
    </w:p>
    <w:p w14:paraId="5F1687A7">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4)《财政部发展改革委生态环境部市场监管总局关于调整优化节能产品、环境标志产品政府采购执行机制的通知》（财库〔2019〕9号）；</w:t>
      </w:r>
    </w:p>
    <w:p w14:paraId="19A6587F">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5)《关于印发环境标志产品政府采购品目清单的通知》(财库〔2019〕18号)；</w:t>
      </w:r>
    </w:p>
    <w:p w14:paraId="722E24DB">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6)《关于印发节能产品政府采购品目清单的通知》（财库〔2019〕19号）；</w:t>
      </w:r>
    </w:p>
    <w:p w14:paraId="78BFDF6A">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7)《陕西省财政厅关于加快推进我省中小企业政府采购信用融资工作的通知》（陕财办采〔2020〕15号）；</w:t>
      </w:r>
    </w:p>
    <w:p w14:paraId="67D540E4">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8)关于印发《政府采购促进中小企业发展管理办法》的通知（财库〔2020〕46号）；</w:t>
      </w:r>
    </w:p>
    <w:p w14:paraId="529FCC9D">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9)财政部关于进一步加大政府采购支持中小企业力度的通知（财库〔2022〕19号）；</w:t>
      </w:r>
    </w:p>
    <w:p w14:paraId="380C046D">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10)其他需要落实的政府采购政策。</w:t>
      </w:r>
    </w:p>
    <w:p w14:paraId="3F1AFF4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auto"/>
          <w:spacing w:val="0"/>
          <w:sz w:val="24"/>
          <w:szCs w:val="24"/>
        </w:rPr>
      </w:pPr>
      <w:r>
        <w:rPr>
          <w:rStyle w:val="20"/>
          <w:rFonts w:hint="eastAsia" w:ascii="宋体" w:hAnsi="宋体" w:eastAsia="宋体" w:cs="宋体"/>
          <w:b/>
          <w:bCs/>
          <w:i w:val="0"/>
          <w:iCs w:val="0"/>
          <w:caps w:val="0"/>
          <w:color w:val="auto"/>
          <w:spacing w:val="0"/>
          <w:sz w:val="24"/>
          <w:szCs w:val="24"/>
          <w:shd w:val="clear" w:fill="FFFFFF"/>
          <w:vertAlign w:val="baseline"/>
        </w:rPr>
        <w:t>八、对本次招标提出询问，请按以下方式联系。</w:t>
      </w:r>
    </w:p>
    <w:p w14:paraId="35D773F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baseline"/>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vertAlign w:val="baseline"/>
        </w:rPr>
        <w:t>1.采购人信息</w:t>
      </w:r>
    </w:p>
    <w:p w14:paraId="62C64208">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名称：旬阳市水利局</w:t>
      </w:r>
    </w:p>
    <w:p w14:paraId="2699A644">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地址：旬阳县城关镇观极路2号院</w:t>
      </w:r>
    </w:p>
    <w:p w14:paraId="376BF8C7">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联系方式：13891535253</w:t>
      </w:r>
    </w:p>
    <w:p w14:paraId="61B9980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baseline"/>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vertAlign w:val="baseline"/>
        </w:rPr>
        <w:t>2.采购代理机构信息</w:t>
      </w:r>
    </w:p>
    <w:p w14:paraId="2C055A5F">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名称：兴意项目管理有限公司</w:t>
      </w:r>
    </w:p>
    <w:p w14:paraId="2529FBB9">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地址：安康市安康大道兴科明珠西门36号楼15号商铺</w:t>
      </w:r>
    </w:p>
    <w:p w14:paraId="247FCDE5">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联系方式：18091516265</w:t>
      </w:r>
    </w:p>
    <w:p w14:paraId="6797B6E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baseline"/>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vertAlign w:val="baseline"/>
        </w:rPr>
        <w:t>3.项目联系方式</w:t>
      </w:r>
    </w:p>
    <w:p w14:paraId="513BA278">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项目联系人：唐引</w:t>
      </w:r>
    </w:p>
    <w:p w14:paraId="24C371AF">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电话：18091516265</w:t>
      </w:r>
    </w:p>
    <w:p w14:paraId="4AE8C4D0">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right"/>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vertAlign w:val="baseline"/>
        </w:rPr>
        <w:t>兴意项目管理有限公司</w:t>
      </w:r>
    </w:p>
    <w:p w14:paraId="4B410D03">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right"/>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vertAlign w:val="baseline"/>
        </w:rPr>
        <w:t>2026年02月02日</w:t>
      </w:r>
    </w:p>
    <w:p w14:paraId="196E696B">
      <w:pPr>
        <w:bidi w:val="0"/>
        <w:spacing w:line="360" w:lineRule="auto"/>
        <w:rPr>
          <w:color w:val="auto"/>
          <w:sz w:val="24"/>
          <w:szCs w:val="24"/>
        </w:rPr>
      </w:pPr>
    </w:p>
    <w:p w14:paraId="12F55D53">
      <w:pPr>
        <w:bidi w:val="0"/>
        <w:spacing w:line="360" w:lineRule="auto"/>
        <w:rPr>
          <w:color w:val="auto"/>
          <w:sz w:val="24"/>
          <w:szCs w:val="24"/>
        </w:rPr>
      </w:pPr>
    </w:p>
    <w:p w14:paraId="0D8D07C7">
      <w:pPr>
        <w:pStyle w:val="6"/>
        <w:spacing w:before="96" w:line="221" w:lineRule="auto"/>
        <w:ind w:left="4154"/>
        <w:rPr>
          <w:b/>
          <w:bCs/>
          <w:color w:val="auto"/>
          <w:spacing w:val="-5"/>
        </w:rPr>
      </w:pPr>
    </w:p>
    <w:p w14:paraId="683D366B">
      <w:pPr>
        <w:pStyle w:val="6"/>
        <w:spacing w:before="96" w:line="221" w:lineRule="auto"/>
        <w:ind w:left="4154"/>
        <w:rPr>
          <w:b/>
          <w:bCs/>
          <w:color w:val="auto"/>
          <w:spacing w:val="-5"/>
        </w:rPr>
      </w:pPr>
    </w:p>
    <w:p w14:paraId="293BC924">
      <w:pPr>
        <w:pStyle w:val="6"/>
        <w:spacing w:before="96" w:line="221" w:lineRule="auto"/>
        <w:ind w:left="4154"/>
        <w:rPr>
          <w:b/>
          <w:bCs/>
          <w:color w:val="auto"/>
          <w:spacing w:val="-5"/>
        </w:rPr>
      </w:pPr>
    </w:p>
    <w:p w14:paraId="1D40C354">
      <w:pPr>
        <w:pStyle w:val="6"/>
        <w:spacing w:before="96" w:line="221" w:lineRule="auto"/>
        <w:ind w:left="4154"/>
        <w:rPr>
          <w:b/>
          <w:bCs/>
          <w:color w:val="auto"/>
          <w:spacing w:val="-5"/>
        </w:rPr>
      </w:pPr>
    </w:p>
    <w:p w14:paraId="330204CB">
      <w:pPr>
        <w:pStyle w:val="6"/>
        <w:spacing w:before="96" w:line="221" w:lineRule="auto"/>
        <w:ind w:left="4154"/>
        <w:rPr>
          <w:b/>
          <w:bCs/>
          <w:color w:val="auto"/>
          <w:spacing w:val="-5"/>
        </w:rPr>
      </w:pPr>
    </w:p>
    <w:p w14:paraId="785B3F5E">
      <w:pPr>
        <w:pStyle w:val="6"/>
        <w:spacing w:before="96" w:line="221" w:lineRule="auto"/>
        <w:ind w:left="4154"/>
        <w:rPr>
          <w:b/>
          <w:bCs/>
          <w:color w:val="auto"/>
          <w:spacing w:val="-5"/>
        </w:rPr>
      </w:pPr>
    </w:p>
    <w:p w14:paraId="42ECA73D">
      <w:pPr>
        <w:pStyle w:val="6"/>
        <w:spacing w:before="96" w:line="221" w:lineRule="auto"/>
        <w:ind w:left="4154"/>
        <w:rPr>
          <w:b/>
          <w:bCs/>
          <w:color w:val="auto"/>
          <w:spacing w:val="-5"/>
        </w:rPr>
      </w:pPr>
    </w:p>
    <w:p w14:paraId="7D0D520F">
      <w:pPr>
        <w:pStyle w:val="6"/>
        <w:spacing w:before="96" w:line="221" w:lineRule="auto"/>
        <w:ind w:left="4154"/>
        <w:rPr>
          <w:b/>
          <w:bCs/>
          <w:color w:val="auto"/>
          <w:spacing w:val="-5"/>
        </w:rPr>
      </w:pPr>
    </w:p>
    <w:p w14:paraId="3CA64C99">
      <w:pPr>
        <w:pStyle w:val="6"/>
        <w:spacing w:before="96" w:line="221" w:lineRule="auto"/>
        <w:ind w:left="4154"/>
        <w:rPr>
          <w:b/>
          <w:bCs/>
          <w:color w:val="auto"/>
          <w:spacing w:val="-5"/>
        </w:rPr>
      </w:pPr>
    </w:p>
    <w:p w14:paraId="2D11DB52">
      <w:pPr>
        <w:pStyle w:val="6"/>
        <w:spacing w:before="96" w:line="221" w:lineRule="auto"/>
        <w:ind w:left="4154"/>
        <w:rPr>
          <w:b/>
          <w:bCs/>
          <w:color w:val="auto"/>
          <w:spacing w:val="-5"/>
        </w:rPr>
      </w:pPr>
    </w:p>
    <w:p w14:paraId="005B119B">
      <w:pPr>
        <w:pStyle w:val="6"/>
        <w:spacing w:before="96" w:line="221" w:lineRule="auto"/>
        <w:ind w:left="4154"/>
        <w:rPr>
          <w:b/>
          <w:bCs/>
          <w:color w:val="auto"/>
          <w:spacing w:val="-5"/>
        </w:rPr>
      </w:pPr>
    </w:p>
    <w:p w14:paraId="58A6BF75">
      <w:pPr>
        <w:pStyle w:val="16"/>
        <w:rPr>
          <w:b/>
          <w:bCs/>
          <w:color w:val="auto"/>
          <w:spacing w:val="-5"/>
        </w:rPr>
      </w:pPr>
    </w:p>
    <w:p w14:paraId="51A46CFD">
      <w:pPr>
        <w:pStyle w:val="6"/>
        <w:spacing w:before="96" w:line="221" w:lineRule="auto"/>
        <w:ind w:left="4154"/>
        <w:rPr>
          <w:color w:val="auto"/>
        </w:rPr>
      </w:pPr>
      <w:r>
        <w:rPr>
          <w:b/>
          <w:bCs/>
          <w:color w:val="auto"/>
          <w:spacing w:val="-5"/>
        </w:rPr>
        <w:t>特别提醒</w:t>
      </w:r>
    </w:p>
    <w:p w14:paraId="0AFFD873">
      <w:pPr>
        <w:spacing w:line="286" w:lineRule="auto"/>
        <w:rPr>
          <w:rFonts w:ascii="Arial"/>
          <w:color w:val="auto"/>
          <w:sz w:val="21"/>
        </w:rPr>
      </w:pPr>
    </w:p>
    <w:p w14:paraId="2097B6E4">
      <w:pPr>
        <w:spacing w:line="286" w:lineRule="auto"/>
        <w:rPr>
          <w:rFonts w:ascii="Arial"/>
          <w:color w:val="auto"/>
          <w:sz w:val="21"/>
        </w:rPr>
      </w:pPr>
    </w:p>
    <w:p w14:paraId="32C3BE65">
      <w:pPr>
        <w:pStyle w:val="6"/>
        <w:spacing w:before="78" w:line="219" w:lineRule="auto"/>
        <w:ind w:left="508"/>
        <w:rPr>
          <w:color w:val="auto"/>
          <w:sz w:val="24"/>
          <w:szCs w:val="24"/>
        </w:rPr>
      </w:pPr>
      <w:r>
        <w:rPr>
          <w:b/>
          <w:bCs/>
          <w:color w:val="auto"/>
          <w:spacing w:val="-4"/>
          <w:sz w:val="24"/>
          <w:szCs w:val="24"/>
        </w:rPr>
        <w:t>1、本项目采用电子化投标的方式</w:t>
      </w:r>
    </w:p>
    <w:p w14:paraId="7AA9948B">
      <w:pPr>
        <w:pStyle w:val="6"/>
        <w:spacing w:before="195" w:line="369" w:lineRule="auto"/>
        <w:ind w:left="10" w:right="235" w:firstLine="482"/>
        <w:jc w:val="both"/>
        <w:rPr>
          <w:color w:val="auto"/>
          <w:sz w:val="24"/>
          <w:szCs w:val="24"/>
        </w:rPr>
      </w:pPr>
      <w:r>
        <w:rPr>
          <w:b/>
          <w:bCs/>
          <w:color w:val="auto"/>
          <w:spacing w:val="-2"/>
          <w:sz w:val="24"/>
          <w:szCs w:val="24"/>
        </w:rPr>
        <w:t>投标供应商须使用数字认证证书对电子响应文件进行签章、加密、递交及开标时解密</w:t>
      </w:r>
      <w:r>
        <w:rPr>
          <w:b/>
          <w:bCs/>
          <w:color w:val="auto"/>
          <w:spacing w:val="-1"/>
          <w:sz w:val="24"/>
          <w:szCs w:val="24"/>
        </w:rPr>
        <w:t>等相关招投标事宜。开标时请务必携带数字</w:t>
      </w:r>
      <w:r>
        <w:rPr>
          <w:b/>
          <w:bCs/>
          <w:color w:val="auto"/>
          <w:spacing w:val="-2"/>
          <w:sz w:val="24"/>
          <w:szCs w:val="24"/>
        </w:rPr>
        <w:t>认证证书，如因供应商自身原因未携带数字认证证书造成无法解密投标文件，按无效投标</w:t>
      </w:r>
      <w:r>
        <w:rPr>
          <w:b/>
          <w:bCs/>
          <w:color w:val="auto"/>
          <w:spacing w:val="-3"/>
          <w:sz w:val="24"/>
          <w:szCs w:val="24"/>
        </w:rPr>
        <w:t>对待。</w:t>
      </w:r>
    </w:p>
    <w:p w14:paraId="459900FB">
      <w:pPr>
        <w:pStyle w:val="6"/>
        <w:spacing w:line="220" w:lineRule="auto"/>
        <w:ind w:left="493"/>
        <w:rPr>
          <w:color w:val="auto"/>
          <w:sz w:val="24"/>
          <w:szCs w:val="24"/>
        </w:rPr>
      </w:pPr>
      <w:r>
        <w:rPr>
          <w:b/>
          <w:bCs/>
          <w:color w:val="auto"/>
          <w:spacing w:val="-4"/>
          <w:sz w:val="24"/>
          <w:szCs w:val="24"/>
        </w:rPr>
        <w:t>2、制作电子响应文件</w:t>
      </w:r>
    </w:p>
    <w:p w14:paraId="136FA3C7">
      <w:pPr>
        <w:pStyle w:val="6"/>
        <w:spacing w:before="195" w:line="369" w:lineRule="auto"/>
        <w:ind w:left="10" w:firstLine="482"/>
        <w:jc w:val="both"/>
        <w:rPr>
          <w:color w:val="auto"/>
          <w:sz w:val="24"/>
          <w:szCs w:val="24"/>
        </w:rPr>
      </w:pPr>
      <w:r>
        <w:rPr>
          <w:b/>
          <w:bCs/>
          <w:color w:val="auto"/>
          <w:spacing w:val="-5"/>
          <w:sz w:val="24"/>
          <w:szCs w:val="24"/>
        </w:rPr>
        <w:t>投标供应商须在“全国公共资源交易中心平台（陕西省</w:t>
      </w:r>
      <w:r>
        <w:rPr>
          <w:b/>
          <w:bCs/>
          <w:color w:val="auto"/>
          <w:spacing w:val="-54"/>
          <w:w w:val="78"/>
          <w:sz w:val="24"/>
          <w:szCs w:val="24"/>
        </w:rPr>
        <w:t>）（</w:t>
      </w:r>
      <w:r>
        <w:rPr>
          <w:color w:val="auto"/>
        </w:rPr>
        <w:fldChar w:fldCharType="begin"/>
      </w:r>
      <w:r>
        <w:rPr>
          <w:color w:val="auto"/>
        </w:rPr>
        <w:instrText xml:space="preserve"> HYPERLINK "http://www.sxggzyjy.cn/" </w:instrText>
      </w:r>
      <w:r>
        <w:rPr>
          <w:color w:val="auto"/>
        </w:rPr>
        <w:fldChar w:fldCharType="separate"/>
      </w:r>
      <w:r>
        <w:rPr>
          <w:b/>
          <w:bCs/>
          <w:color w:val="auto"/>
          <w:spacing w:val="-5"/>
          <w:sz w:val="24"/>
          <w:szCs w:val="24"/>
        </w:rPr>
        <w:t>http://www.sxggzyjy.cn/</w:t>
      </w:r>
      <w:r>
        <w:rPr>
          <w:b/>
          <w:bCs/>
          <w:color w:val="auto"/>
          <w:spacing w:val="-5"/>
          <w:sz w:val="24"/>
          <w:szCs w:val="24"/>
        </w:rPr>
        <w:fldChar w:fldCharType="end"/>
      </w:r>
      <w:r>
        <w:rPr>
          <w:b/>
          <w:bCs/>
          <w:color w:val="auto"/>
          <w:spacing w:val="-5"/>
          <w:sz w:val="24"/>
          <w:szCs w:val="24"/>
        </w:rPr>
        <w:t>）”</w:t>
      </w:r>
      <w:r>
        <w:rPr>
          <w:b/>
          <w:bCs/>
          <w:color w:val="auto"/>
          <w:spacing w:val="-4"/>
          <w:sz w:val="24"/>
          <w:szCs w:val="24"/>
        </w:rPr>
        <w:t>的“服务指南</w:t>
      </w:r>
      <w:r>
        <w:rPr>
          <w:color w:val="auto"/>
          <w:spacing w:val="-84"/>
          <w:sz w:val="24"/>
          <w:szCs w:val="24"/>
        </w:rPr>
        <w:t xml:space="preserve"> </w:t>
      </w:r>
      <w:r>
        <w:rPr>
          <w:b/>
          <w:bCs/>
          <w:color w:val="auto"/>
          <w:spacing w:val="-4"/>
          <w:sz w:val="24"/>
          <w:szCs w:val="24"/>
        </w:rPr>
        <w:t>”栏目“下载专区</w:t>
      </w:r>
      <w:r>
        <w:rPr>
          <w:color w:val="auto"/>
          <w:spacing w:val="-88"/>
          <w:sz w:val="24"/>
          <w:szCs w:val="24"/>
        </w:rPr>
        <w:t xml:space="preserve"> </w:t>
      </w:r>
      <w:r>
        <w:rPr>
          <w:b/>
          <w:bCs/>
          <w:color w:val="auto"/>
          <w:spacing w:val="-4"/>
          <w:sz w:val="24"/>
          <w:szCs w:val="24"/>
        </w:rPr>
        <w:t>”中，免费下载“</w:t>
      </w:r>
      <w:r>
        <w:rPr>
          <w:color w:val="auto"/>
          <w:spacing w:val="-91"/>
          <w:sz w:val="24"/>
          <w:szCs w:val="24"/>
        </w:rPr>
        <w:t xml:space="preserve"> </w:t>
      </w:r>
      <w:r>
        <w:rPr>
          <w:b/>
          <w:bCs/>
          <w:color w:val="auto"/>
          <w:spacing w:val="-4"/>
          <w:sz w:val="24"/>
          <w:szCs w:val="24"/>
        </w:rPr>
        <w:t>陕西省公共资源交易平台政府采购电子</w:t>
      </w:r>
      <w:r>
        <w:rPr>
          <w:b/>
          <w:bCs/>
          <w:color w:val="auto"/>
          <w:spacing w:val="-2"/>
          <w:sz w:val="24"/>
          <w:szCs w:val="24"/>
        </w:rPr>
        <w:t>标书制作工具(V8.0.0.2)</w:t>
      </w:r>
      <w:r>
        <w:rPr>
          <w:color w:val="auto"/>
          <w:spacing w:val="-85"/>
          <w:sz w:val="24"/>
          <w:szCs w:val="24"/>
        </w:rPr>
        <w:t xml:space="preserve"> </w:t>
      </w:r>
      <w:r>
        <w:rPr>
          <w:b/>
          <w:bCs/>
          <w:color w:val="auto"/>
          <w:spacing w:val="-2"/>
          <w:sz w:val="24"/>
          <w:szCs w:val="24"/>
        </w:rPr>
        <w:t>”，并升级至最新版本</w:t>
      </w:r>
      <w:r>
        <w:rPr>
          <w:b/>
          <w:bCs/>
          <w:color w:val="auto"/>
          <w:spacing w:val="-3"/>
          <w:sz w:val="24"/>
          <w:szCs w:val="24"/>
        </w:rPr>
        <w:t>，使用该客户端制作电子响应文件，制作</w:t>
      </w:r>
      <w:r>
        <w:rPr>
          <w:b/>
          <w:bCs/>
          <w:color w:val="auto"/>
          <w:sz w:val="24"/>
          <w:szCs w:val="24"/>
        </w:rPr>
        <w:t>扩展名为“.SXSTF</w:t>
      </w:r>
      <w:r>
        <w:rPr>
          <w:color w:val="auto"/>
          <w:spacing w:val="-78"/>
          <w:sz w:val="24"/>
          <w:szCs w:val="24"/>
        </w:rPr>
        <w:t xml:space="preserve"> </w:t>
      </w:r>
      <w:r>
        <w:rPr>
          <w:b/>
          <w:bCs/>
          <w:color w:val="auto"/>
          <w:sz w:val="24"/>
          <w:szCs w:val="24"/>
        </w:rPr>
        <w:t>”的电子响应文件。</w:t>
      </w:r>
      <w:r>
        <w:rPr>
          <w:color w:val="auto"/>
          <w:spacing w:val="-89"/>
          <w:sz w:val="24"/>
          <w:szCs w:val="24"/>
        </w:rPr>
        <w:t xml:space="preserve"> </w:t>
      </w:r>
      <w:r>
        <w:rPr>
          <w:b/>
          <w:bCs/>
          <w:color w:val="auto"/>
          <w:sz w:val="24"/>
          <w:szCs w:val="24"/>
        </w:rPr>
        <w:t>”</w:t>
      </w:r>
    </w:p>
    <w:p w14:paraId="3D8780C7">
      <w:pPr>
        <w:pStyle w:val="6"/>
        <w:spacing w:line="220" w:lineRule="auto"/>
        <w:ind w:left="495"/>
        <w:rPr>
          <w:color w:val="auto"/>
          <w:sz w:val="24"/>
          <w:szCs w:val="24"/>
        </w:rPr>
      </w:pPr>
      <w:r>
        <w:rPr>
          <w:b/>
          <w:bCs/>
          <w:color w:val="auto"/>
          <w:spacing w:val="-4"/>
          <w:sz w:val="24"/>
          <w:szCs w:val="24"/>
        </w:rPr>
        <w:t>3、递交电子响应文件</w:t>
      </w:r>
    </w:p>
    <w:p w14:paraId="754133AA">
      <w:pPr>
        <w:pStyle w:val="6"/>
        <w:spacing w:before="194" w:line="369" w:lineRule="auto"/>
        <w:ind w:left="8" w:right="234" w:firstLine="486"/>
        <w:jc w:val="both"/>
        <w:rPr>
          <w:color w:val="auto"/>
          <w:sz w:val="24"/>
          <w:szCs w:val="24"/>
        </w:rPr>
      </w:pPr>
      <w:r>
        <w:rPr>
          <w:b/>
          <w:bCs/>
          <w:color w:val="auto"/>
          <w:spacing w:val="-2"/>
          <w:sz w:val="24"/>
          <w:szCs w:val="24"/>
        </w:rPr>
        <w:t>登录全国公共资源交易中心平台（陕西省</w:t>
      </w:r>
      <w:r>
        <w:rPr>
          <w:b/>
          <w:bCs/>
          <w:color w:val="auto"/>
          <w:spacing w:val="-28"/>
          <w:sz w:val="24"/>
          <w:szCs w:val="24"/>
        </w:rPr>
        <w:t>）（</w:t>
      </w:r>
      <w:r>
        <w:rPr>
          <w:color w:val="auto"/>
        </w:rPr>
        <w:fldChar w:fldCharType="begin"/>
      </w:r>
      <w:r>
        <w:rPr>
          <w:color w:val="auto"/>
        </w:rPr>
        <w:instrText xml:space="preserve"> HYPERLINK "http://www.sxggzyjy.cn/" </w:instrText>
      </w:r>
      <w:r>
        <w:rPr>
          <w:color w:val="auto"/>
        </w:rPr>
        <w:fldChar w:fldCharType="separate"/>
      </w:r>
      <w:r>
        <w:rPr>
          <w:b/>
          <w:bCs/>
          <w:color w:val="auto"/>
          <w:spacing w:val="-2"/>
          <w:sz w:val="24"/>
          <w:szCs w:val="24"/>
        </w:rPr>
        <w:t>http://www.sxggzy</w:t>
      </w:r>
      <w:r>
        <w:rPr>
          <w:b/>
          <w:bCs/>
          <w:color w:val="auto"/>
          <w:spacing w:val="-3"/>
          <w:sz w:val="24"/>
          <w:szCs w:val="24"/>
        </w:rPr>
        <w:t>jy.cn/</w:t>
      </w:r>
      <w:r>
        <w:rPr>
          <w:b/>
          <w:bCs/>
          <w:color w:val="auto"/>
          <w:spacing w:val="-3"/>
          <w:sz w:val="24"/>
          <w:szCs w:val="24"/>
        </w:rPr>
        <w:fldChar w:fldCharType="end"/>
      </w:r>
      <w:r>
        <w:rPr>
          <w:b/>
          <w:bCs/>
          <w:color w:val="auto"/>
          <w:spacing w:val="-28"/>
          <w:sz w:val="24"/>
          <w:szCs w:val="24"/>
        </w:rPr>
        <w:t>），</w:t>
      </w:r>
      <w:r>
        <w:rPr>
          <w:b/>
          <w:bCs/>
          <w:color w:val="auto"/>
          <w:spacing w:val="-3"/>
          <w:sz w:val="24"/>
          <w:szCs w:val="24"/>
        </w:rPr>
        <w:t>选择“电子交易平台—陕西政府采购交易系统—企业端</w:t>
      </w:r>
      <w:r>
        <w:rPr>
          <w:color w:val="auto"/>
          <w:spacing w:val="-88"/>
          <w:sz w:val="24"/>
          <w:szCs w:val="24"/>
        </w:rPr>
        <w:t xml:space="preserve"> </w:t>
      </w:r>
      <w:r>
        <w:rPr>
          <w:b/>
          <w:bCs/>
          <w:color w:val="auto"/>
          <w:spacing w:val="-3"/>
          <w:sz w:val="24"/>
          <w:szCs w:val="24"/>
        </w:rPr>
        <w:t>”进行登录，登录后选择“交易乙</w:t>
      </w:r>
      <w:r>
        <w:rPr>
          <w:b/>
          <w:bCs/>
          <w:color w:val="auto"/>
          <w:spacing w:val="-4"/>
          <w:sz w:val="24"/>
          <w:szCs w:val="24"/>
        </w:rPr>
        <w:t>方</w:t>
      </w:r>
      <w:r>
        <w:rPr>
          <w:color w:val="auto"/>
          <w:spacing w:val="-88"/>
          <w:sz w:val="24"/>
          <w:szCs w:val="24"/>
        </w:rPr>
        <w:t xml:space="preserve"> </w:t>
      </w:r>
      <w:r>
        <w:rPr>
          <w:b/>
          <w:bCs/>
          <w:color w:val="auto"/>
          <w:spacing w:val="-4"/>
          <w:sz w:val="24"/>
          <w:szCs w:val="24"/>
        </w:rPr>
        <w:t>”身份</w:t>
      </w:r>
      <w:r>
        <w:rPr>
          <w:b/>
          <w:bCs/>
          <w:color w:val="auto"/>
          <w:spacing w:val="-2"/>
          <w:sz w:val="24"/>
          <w:szCs w:val="24"/>
        </w:rPr>
        <w:t>进入，进入菜单“采购业务—我的项目——项目流程</w:t>
      </w:r>
      <w:r>
        <w:rPr>
          <w:b/>
          <w:bCs/>
          <w:color w:val="auto"/>
          <w:spacing w:val="-3"/>
          <w:sz w:val="24"/>
          <w:szCs w:val="24"/>
        </w:rPr>
        <w:t>——上传响应文件</w:t>
      </w:r>
      <w:r>
        <w:rPr>
          <w:color w:val="auto"/>
          <w:spacing w:val="-85"/>
          <w:sz w:val="24"/>
          <w:szCs w:val="24"/>
        </w:rPr>
        <w:t xml:space="preserve"> </w:t>
      </w:r>
      <w:r>
        <w:rPr>
          <w:b/>
          <w:bCs/>
          <w:color w:val="auto"/>
          <w:spacing w:val="-3"/>
          <w:sz w:val="24"/>
          <w:szCs w:val="24"/>
        </w:rPr>
        <w:t>”，上传加密的电</w:t>
      </w:r>
    </w:p>
    <w:p w14:paraId="1056770B">
      <w:pPr>
        <w:pStyle w:val="6"/>
        <w:spacing w:before="1" w:line="219" w:lineRule="auto"/>
        <w:ind w:left="11"/>
        <w:outlineLvl w:val="0"/>
        <w:rPr>
          <w:color w:val="auto"/>
          <w:sz w:val="24"/>
          <w:szCs w:val="24"/>
        </w:rPr>
      </w:pPr>
      <w:r>
        <w:rPr>
          <w:b/>
          <w:bCs/>
          <w:color w:val="auto"/>
          <w:spacing w:val="-2"/>
          <w:sz w:val="24"/>
          <w:szCs w:val="24"/>
        </w:rPr>
        <w:t>子电子响应文件。上传成功后，电子化平台</w:t>
      </w:r>
      <w:r>
        <w:rPr>
          <w:b/>
          <w:bCs/>
          <w:color w:val="auto"/>
          <w:spacing w:val="-3"/>
          <w:sz w:val="24"/>
          <w:szCs w:val="24"/>
        </w:rPr>
        <w:t>将予以记录。</w:t>
      </w:r>
    </w:p>
    <w:p w14:paraId="389D337E">
      <w:pPr>
        <w:spacing w:line="219" w:lineRule="auto"/>
        <w:rPr>
          <w:color w:val="auto"/>
          <w:sz w:val="24"/>
          <w:szCs w:val="24"/>
        </w:rPr>
        <w:sectPr>
          <w:headerReference r:id="rId7" w:type="default"/>
          <w:footerReference r:id="rId8" w:type="default"/>
          <w:pgSz w:w="11906" w:h="16839"/>
          <w:pgMar w:top="1447" w:right="1012" w:bottom="1310" w:left="1247" w:header="1170" w:footer="1039" w:gutter="0"/>
          <w:pgNumType w:fmt="decimal"/>
          <w:cols w:space="720" w:num="1"/>
        </w:sectPr>
      </w:pPr>
    </w:p>
    <w:p w14:paraId="7B137134">
      <w:pPr>
        <w:pStyle w:val="6"/>
        <w:spacing w:before="95" w:line="225" w:lineRule="auto"/>
        <w:ind w:left="3717"/>
        <w:outlineLvl w:val="0"/>
        <w:rPr>
          <w:color w:val="auto"/>
          <w:sz w:val="31"/>
          <w:szCs w:val="31"/>
        </w:rPr>
      </w:pPr>
      <w:bookmarkStart w:id="3" w:name="bookmark4"/>
      <w:bookmarkEnd w:id="3"/>
      <w:bookmarkStart w:id="4" w:name="bookmark3"/>
      <w:bookmarkEnd w:id="4"/>
      <w:r>
        <w:rPr>
          <w:b/>
          <w:bCs/>
          <w:color w:val="auto"/>
          <w:spacing w:val="5"/>
          <w:sz w:val="31"/>
          <w:szCs w:val="31"/>
        </w:rPr>
        <w:t>第二章</w:t>
      </w:r>
      <w:r>
        <w:rPr>
          <w:color w:val="auto"/>
          <w:spacing w:val="5"/>
          <w:sz w:val="31"/>
          <w:szCs w:val="31"/>
        </w:rPr>
        <w:t xml:space="preserve">  </w:t>
      </w:r>
      <w:r>
        <w:rPr>
          <w:b/>
          <w:bCs/>
          <w:color w:val="auto"/>
          <w:spacing w:val="5"/>
          <w:sz w:val="31"/>
          <w:szCs w:val="31"/>
        </w:rPr>
        <w:t>谈判须知</w:t>
      </w:r>
    </w:p>
    <w:p w14:paraId="0CA17143">
      <w:pPr>
        <w:pStyle w:val="6"/>
        <w:spacing w:before="118" w:line="221" w:lineRule="auto"/>
        <w:ind w:left="4273"/>
        <w:rPr>
          <w:color w:val="auto"/>
          <w:sz w:val="30"/>
          <w:szCs w:val="30"/>
        </w:rPr>
      </w:pPr>
      <w:r>
        <w:rPr>
          <w:b/>
          <w:bCs/>
          <w:color w:val="auto"/>
          <w:spacing w:val="-20"/>
          <w:sz w:val="30"/>
          <w:szCs w:val="30"/>
        </w:rPr>
        <w:t>一</w:t>
      </w:r>
      <w:r>
        <w:rPr>
          <w:color w:val="auto"/>
          <w:spacing w:val="-116"/>
          <w:sz w:val="30"/>
          <w:szCs w:val="30"/>
        </w:rPr>
        <w:t xml:space="preserve"> </w:t>
      </w:r>
      <w:r>
        <w:rPr>
          <w:b/>
          <w:bCs/>
          <w:color w:val="auto"/>
          <w:spacing w:val="-20"/>
          <w:sz w:val="30"/>
          <w:szCs w:val="30"/>
        </w:rPr>
        <w:t>、</w:t>
      </w:r>
      <w:r>
        <w:rPr>
          <w:color w:val="auto"/>
          <w:spacing w:val="17"/>
          <w:sz w:val="30"/>
          <w:szCs w:val="30"/>
        </w:rPr>
        <w:t xml:space="preserve"> </w:t>
      </w:r>
      <w:r>
        <w:rPr>
          <w:b/>
          <w:bCs/>
          <w:color w:val="auto"/>
          <w:spacing w:val="-20"/>
          <w:sz w:val="30"/>
          <w:szCs w:val="30"/>
        </w:rPr>
        <w:t>总</w:t>
      </w:r>
      <w:r>
        <w:rPr>
          <w:color w:val="auto"/>
          <w:spacing w:val="18"/>
          <w:sz w:val="30"/>
          <w:szCs w:val="30"/>
        </w:rPr>
        <w:t xml:space="preserve"> </w:t>
      </w:r>
      <w:r>
        <w:rPr>
          <w:b/>
          <w:bCs/>
          <w:color w:val="auto"/>
          <w:spacing w:val="-20"/>
          <w:sz w:val="30"/>
          <w:szCs w:val="30"/>
        </w:rPr>
        <w:t>则</w:t>
      </w:r>
    </w:p>
    <w:p w14:paraId="5A33EEEB">
      <w:pPr>
        <w:pStyle w:val="6"/>
        <w:spacing w:before="173" w:line="369" w:lineRule="auto"/>
        <w:ind w:left="16" w:firstLine="478"/>
        <w:jc w:val="both"/>
        <w:rPr>
          <w:color w:val="auto"/>
          <w:sz w:val="24"/>
          <w:szCs w:val="24"/>
        </w:rPr>
      </w:pPr>
      <w:r>
        <w:rPr>
          <w:color w:val="auto"/>
          <w:spacing w:val="1"/>
          <w:sz w:val="24"/>
          <w:szCs w:val="24"/>
        </w:rPr>
        <w:t>本次招标依据《中华人民共和国政府采购法》</w:t>
      </w:r>
      <w:r>
        <w:rPr>
          <w:color w:val="auto"/>
          <w:spacing w:val="-2"/>
          <w:sz w:val="24"/>
          <w:szCs w:val="24"/>
        </w:rPr>
        <w:t>及国家现行有关法律法规执行。</w:t>
      </w:r>
    </w:p>
    <w:p w14:paraId="2151C2C3">
      <w:pPr>
        <w:pStyle w:val="6"/>
        <w:spacing w:line="219" w:lineRule="auto"/>
        <w:ind w:left="511"/>
        <w:rPr>
          <w:color w:val="auto"/>
          <w:sz w:val="24"/>
          <w:szCs w:val="24"/>
        </w:rPr>
      </w:pPr>
      <w:r>
        <w:rPr>
          <w:b/>
          <w:bCs/>
          <w:color w:val="auto"/>
          <w:spacing w:val="-4"/>
          <w:sz w:val="24"/>
          <w:szCs w:val="24"/>
        </w:rPr>
        <w:t>1．采购人、采购代理机构、监督管理机构</w:t>
      </w:r>
    </w:p>
    <w:p w14:paraId="4CC6EC92">
      <w:pPr>
        <w:pStyle w:val="6"/>
        <w:spacing w:before="195" w:line="219" w:lineRule="auto"/>
        <w:ind w:left="511"/>
        <w:rPr>
          <w:rFonts w:hint="eastAsia" w:eastAsia="宋体"/>
          <w:color w:val="auto"/>
          <w:sz w:val="24"/>
          <w:szCs w:val="24"/>
          <w:lang w:eastAsia="zh-CN"/>
        </w:rPr>
      </w:pPr>
      <w:r>
        <w:rPr>
          <w:color w:val="auto"/>
          <w:spacing w:val="-2"/>
          <w:sz w:val="24"/>
          <w:szCs w:val="24"/>
        </w:rPr>
        <w:t>1.1 采购人：</w:t>
      </w:r>
      <w:r>
        <w:rPr>
          <w:rFonts w:hint="eastAsia"/>
          <w:color w:val="auto"/>
          <w:spacing w:val="-2"/>
          <w:sz w:val="24"/>
          <w:szCs w:val="24"/>
          <w:lang w:eastAsia="zh-CN"/>
        </w:rPr>
        <w:t>旬阳市水利局</w:t>
      </w:r>
    </w:p>
    <w:p w14:paraId="0676DFF1">
      <w:pPr>
        <w:pStyle w:val="6"/>
        <w:spacing w:before="195" w:line="219" w:lineRule="auto"/>
        <w:ind w:left="511"/>
        <w:rPr>
          <w:rFonts w:hint="eastAsia" w:eastAsia="宋体"/>
          <w:color w:val="auto"/>
          <w:sz w:val="24"/>
          <w:szCs w:val="24"/>
          <w:lang w:eastAsia="zh-CN"/>
        </w:rPr>
      </w:pPr>
      <w:r>
        <w:rPr>
          <w:color w:val="auto"/>
          <w:spacing w:val="-1"/>
          <w:sz w:val="24"/>
          <w:szCs w:val="24"/>
        </w:rPr>
        <w:t>1.2 采购代理机构：</w:t>
      </w:r>
      <w:r>
        <w:rPr>
          <w:rFonts w:hint="eastAsia"/>
          <w:color w:val="auto"/>
          <w:spacing w:val="-1"/>
          <w:sz w:val="24"/>
          <w:szCs w:val="24"/>
          <w:lang w:eastAsia="zh-CN"/>
        </w:rPr>
        <w:t>兴意项目管理有限公司</w:t>
      </w:r>
    </w:p>
    <w:p w14:paraId="1DDE777F">
      <w:pPr>
        <w:pStyle w:val="6"/>
        <w:spacing w:before="196" w:line="219" w:lineRule="auto"/>
        <w:ind w:left="511"/>
        <w:rPr>
          <w:rFonts w:hint="eastAsia" w:eastAsia="宋体"/>
          <w:color w:val="auto"/>
          <w:sz w:val="24"/>
          <w:szCs w:val="24"/>
          <w:lang w:eastAsia="zh-CN"/>
        </w:rPr>
      </w:pPr>
      <w:r>
        <w:rPr>
          <w:color w:val="auto"/>
          <w:spacing w:val="-2"/>
          <w:sz w:val="24"/>
          <w:szCs w:val="24"/>
        </w:rPr>
        <w:t>1.3 监督管理机构：</w:t>
      </w:r>
      <w:r>
        <w:rPr>
          <w:rFonts w:hint="eastAsia"/>
          <w:color w:val="auto"/>
          <w:spacing w:val="-2"/>
          <w:sz w:val="24"/>
          <w:szCs w:val="24"/>
          <w:lang w:eastAsia="zh-CN"/>
        </w:rPr>
        <w:t>旬阳市财政局</w:t>
      </w:r>
    </w:p>
    <w:p w14:paraId="57DF066E">
      <w:pPr>
        <w:pStyle w:val="6"/>
        <w:spacing w:before="195" w:line="219" w:lineRule="auto"/>
        <w:ind w:left="496"/>
        <w:rPr>
          <w:color w:val="auto"/>
          <w:sz w:val="24"/>
          <w:szCs w:val="24"/>
        </w:rPr>
      </w:pPr>
      <w:r>
        <w:rPr>
          <w:b/>
          <w:bCs/>
          <w:color w:val="auto"/>
          <w:spacing w:val="-3"/>
          <w:sz w:val="24"/>
          <w:szCs w:val="24"/>
        </w:rPr>
        <w:t>2．合格的供应商、合格的货物与服务</w:t>
      </w:r>
    </w:p>
    <w:p w14:paraId="78B0D12B">
      <w:pPr>
        <w:pStyle w:val="6"/>
        <w:spacing w:before="195" w:line="219" w:lineRule="auto"/>
        <w:ind w:left="496"/>
        <w:rPr>
          <w:color w:val="auto"/>
          <w:sz w:val="24"/>
          <w:szCs w:val="24"/>
        </w:rPr>
      </w:pPr>
      <w:r>
        <w:rPr>
          <w:b/>
          <w:bCs/>
          <w:color w:val="auto"/>
          <w:spacing w:val="-3"/>
          <w:sz w:val="24"/>
          <w:szCs w:val="24"/>
        </w:rPr>
        <w:t>2.1</w:t>
      </w:r>
      <w:r>
        <w:rPr>
          <w:color w:val="auto"/>
          <w:spacing w:val="-3"/>
          <w:sz w:val="24"/>
          <w:szCs w:val="24"/>
        </w:rPr>
        <w:t xml:space="preserve"> </w:t>
      </w:r>
      <w:r>
        <w:rPr>
          <w:b/>
          <w:bCs/>
          <w:color w:val="auto"/>
          <w:spacing w:val="-3"/>
          <w:sz w:val="24"/>
          <w:szCs w:val="24"/>
        </w:rPr>
        <w:t>合格的供应商</w:t>
      </w:r>
    </w:p>
    <w:p w14:paraId="4B443195">
      <w:pPr>
        <w:pStyle w:val="6"/>
        <w:spacing w:before="195" w:line="219" w:lineRule="auto"/>
        <w:ind w:left="496"/>
        <w:rPr>
          <w:color w:val="auto"/>
          <w:sz w:val="24"/>
          <w:szCs w:val="24"/>
        </w:rPr>
      </w:pPr>
      <w:r>
        <w:rPr>
          <w:color w:val="auto"/>
          <w:spacing w:val="-1"/>
          <w:sz w:val="24"/>
          <w:szCs w:val="24"/>
        </w:rPr>
        <w:t>2.1.1</w:t>
      </w:r>
      <w:r>
        <w:rPr>
          <w:color w:val="auto"/>
          <w:spacing w:val="-35"/>
          <w:sz w:val="24"/>
          <w:szCs w:val="24"/>
        </w:rPr>
        <w:t xml:space="preserve"> </w:t>
      </w:r>
      <w:r>
        <w:rPr>
          <w:color w:val="auto"/>
          <w:spacing w:val="-1"/>
          <w:sz w:val="24"/>
          <w:szCs w:val="24"/>
        </w:rPr>
        <w:t>基本资格条件：必须符合《中华人民共和国政府采购法》第二十二条之规定；</w:t>
      </w:r>
    </w:p>
    <w:p w14:paraId="6B85D1E3">
      <w:pPr>
        <w:pStyle w:val="6"/>
        <w:spacing w:before="195" w:line="220" w:lineRule="auto"/>
        <w:ind w:left="496"/>
        <w:rPr>
          <w:color w:val="auto"/>
          <w:sz w:val="24"/>
          <w:szCs w:val="24"/>
        </w:rPr>
      </w:pPr>
      <w:r>
        <w:rPr>
          <w:color w:val="auto"/>
          <w:spacing w:val="-2"/>
          <w:sz w:val="24"/>
          <w:szCs w:val="24"/>
        </w:rPr>
        <w:t>2.1.2</w:t>
      </w:r>
      <w:r>
        <w:rPr>
          <w:color w:val="auto"/>
          <w:spacing w:val="-50"/>
          <w:sz w:val="24"/>
          <w:szCs w:val="24"/>
        </w:rPr>
        <w:t xml:space="preserve"> </w:t>
      </w:r>
      <w:r>
        <w:rPr>
          <w:color w:val="auto"/>
          <w:spacing w:val="-2"/>
          <w:sz w:val="24"/>
          <w:szCs w:val="24"/>
        </w:rPr>
        <w:t>特定资格条件：</w:t>
      </w:r>
    </w:p>
    <w:p w14:paraId="5095C2E9">
      <w:pPr>
        <w:pStyle w:val="6"/>
        <w:spacing w:before="195" w:line="360" w:lineRule="auto"/>
        <w:ind w:left="496"/>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（1）具有独立承担民事责任的能力，提供营业执照、税务登记证、组织机构代码证或登载有统一社会信用代码的营业执照（或《事业单位法人证书》或其他合法组织登记证书、自然人只须提交身份证）；</w:t>
      </w:r>
      <w:r>
        <w:rPr>
          <w:rFonts w:hint="eastAsia" w:ascii="宋体" w:hAnsi="宋体" w:eastAsia="宋体" w:cs="宋体"/>
          <w:color w:val="auto"/>
          <w:spacing w:val="-1"/>
          <w:sz w:val="24"/>
          <w:szCs w:val="24"/>
        </w:rPr>
        <w:br w:type="textWrapping"/>
      </w:r>
      <w:r>
        <w:rPr>
          <w:rFonts w:hint="eastAsia" w:ascii="宋体" w:hAnsi="宋体" w:eastAsia="宋体" w:cs="宋体"/>
          <w:color w:val="auto"/>
          <w:spacing w:val="-1"/>
          <w:sz w:val="24"/>
          <w:szCs w:val="24"/>
        </w:rPr>
        <w:t>（2）法定代表人委托授权书（法定代表人参加不需提供，但需要提供法定代表人身份证）及被授权人身份证；</w:t>
      </w:r>
      <w:r>
        <w:rPr>
          <w:rFonts w:hint="eastAsia" w:ascii="宋体" w:hAnsi="宋体" w:eastAsia="宋体" w:cs="宋体"/>
          <w:color w:val="auto"/>
          <w:spacing w:val="-1"/>
          <w:sz w:val="24"/>
          <w:szCs w:val="24"/>
        </w:rPr>
        <w:br w:type="textWrapping"/>
      </w:r>
      <w:r>
        <w:rPr>
          <w:rFonts w:hint="eastAsia" w:ascii="宋体" w:hAnsi="宋体" w:eastAsia="宋体" w:cs="宋体"/>
          <w:color w:val="auto"/>
          <w:spacing w:val="-1"/>
          <w:sz w:val="24"/>
          <w:szCs w:val="24"/>
        </w:rPr>
        <w:t>（3）供应商在递交投标文件截止时间前被“信用中国”网站（www.creditchina.gov.cn）和中国政府采购网（www.ccgp.gov.cn）上被列入失信被执行人、重大税收违法案件当事人名单、政府采购严重违法失信行为记录名单的，不得参加投标；</w:t>
      </w:r>
      <w:r>
        <w:rPr>
          <w:rFonts w:hint="eastAsia" w:ascii="宋体" w:hAnsi="宋体" w:eastAsia="宋体" w:cs="宋体"/>
          <w:color w:val="auto"/>
          <w:spacing w:val="-1"/>
          <w:sz w:val="24"/>
          <w:szCs w:val="24"/>
        </w:rPr>
        <w:br w:type="textWrapping"/>
      </w:r>
      <w:r>
        <w:rPr>
          <w:rFonts w:hint="eastAsia" w:ascii="宋体" w:hAnsi="宋体" w:eastAsia="宋体" w:cs="宋体"/>
          <w:color w:val="auto"/>
          <w:spacing w:val="-1"/>
          <w:sz w:val="24"/>
          <w:szCs w:val="24"/>
        </w:rPr>
        <w:t>（4）提供2023年度或2024年度经审计的财务审计报告或投标截止时间前六个月内基本开户银行出具的资信证明（成立时间至提交响应文件截止时间不足一年的可提供成立后任意时段的资产负债表）；</w:t>
      </w:r>
      <w:r>
        <w:rPr>
          <w:rFonts w:hint="eastAsia" w:ascii="宋体" w:hAnsi="宋体" w:eastAsia="宋体" w:cs="宋体"/>
          <w:color w:val="auto"/>
          <w:spacing w:val="-1"/>
          <w:sz w:val="24"/>
          <w:szCs w:val="24"/>
        </w:rPr>
        <w:br w:type="textWrapping"/>
      </w:r>
      <w:r>
        <w:rPr>
          <w:rFonts w:hint="eastAsia" w:ascii="宋体" w:hAnsi="宋体" w:eastAsia="宋体" w:cs="宋体"/>
          <w:color w:val="auto"/>
          <w:spacing w:val="-1"/>
          <w:sz w:val="24"/>
          <w:szCs w:val="24"/>
        </w:rPr>
        <w:t>（5）提供投标截止日前一年内已缴纳的至少三个月的纳税证明或完税证明（任意税种），依法免税的单位应提供相关证明材料；</w:t>
      </w:r>
      <w:r>
        <w:rPr>
          <w:rFonts w:hint="eastAsia" w:ascii="宋体" w:hAnsi="宋体" w:eastAsia="宋体" w:cs="宋体"/>
          <w:color w:val="auto"/>
          <w:spacing w:val="-1"/>
          <w:sz w:val="24"/>
          <w:szCs w:val="24"/>
        </w:rPr>
        <w:br w:type="textWrapping"/>
      </w:r>
      <w:r>
        <w:rPr>
          <w:rFonts w:hint="eastAsia" w:ascii="宋体" w:hAnsi="宋体" w:eastAsia="宋体" w:cs="宋体"/>
          <w:color w:val="auto"/>
          <w:spacing w:val="-1"/>
          <w:sz w:val="24"/>
          <w:szCs w:val="24"/>
        </w:rPr>
        <w:t>（6）提供投标截止日前一年内已缴存的至少三个月的社会保障资金缴存单据或社保机构开具的社会保险参保缴费情况证明，依法不需要缴纳社会保障资金的单位应提供相关证明材料；</w:t>
      </w:r>
      <w:r>
        <w:rPr>
          <w:rFonts w:hint="eastAsia" w:ascii="宋体" w:hAnsi="宋体" w:eastAsia="宋体" w:cs="宋体"/>
          <w:color w:val="auto"/>
          <w:spacing w:val="-1"/>
          <w:sz w:val="24"/>
          <w:szCs w:val="24"/>
        </w:rPr>
        <w:br w:type="textWrapping"/>
      </w:r>
      <w:r>
        <w:rPr>
          <w:rFonts w:hint="eastAsia" w:ascii="宋体" w:hAnsi="宋体" w:eastAsia="宋体" w:cs="宋体"/>
          <w:color w:val="auto"/>
          <w:spacing w:val="-1"/>
          <w:sz w:val="24"/>
          <w:szCs w:val="24"/>
        </w:rPr>
        <w:t>（7）提供参加政府采购活动前三年内，在经营活动中没有重大违法记录书面声明；</w:t>
      </w:r>
      <w:r>
        <w:rPr>
          <w:rFonts w:hint="eastAsia" w:ascii="宋体" w:hAnsi="宋体" w:eastAsia="宋体" w:cs="宋体"/>
          <w:color w:val="auto"/>
          <w:spacing w:val="-1"/>
          <w:sz w:val="24"/>
          <w:szCs w:val="24"/>
        </w:rPr>
        <w:br w:type="textWrapping"/>
      </w:r>
      <w:r>
        <w:rPr>
          <w:rFonts w:hint="eastAsia" w:ascii="宋体" w:hAnsi="宋体" w:eastAsia="宋体" w:cs="宋体"/>
          <w:color w:val="auto"/>
          <w:spacing w:val="-1"/>
          <w:sz w:val="24"/>
          <w:szCs w:val="24"/>
        </w:rPr>
        <w:t>（8）提供具有履行合同所必需的设备和专业技术能力的承诺书；</w:t>
      </w:r>
      <w:r>
        <w:rPr>
          <w:rFonts w:hint="eastAsia" w:ascii="宋体" w:hAnsi="宋体" w:eastAsia="宋体" w:cs="宋体"/>
          <w:color w:val="auto"/>
          <w:spacing w:val="-1"/>
          <w:sz w:val="24"/>
          <w:szCs w:val="24"/>
        </w:rPr>
        <w:br w:type="textWrapping"/>
      </w:r>
      <w:r>
        <w:rPr>
          <w:rFonts w:hint="eastAsia" w:ascii="宋体" w:hAnsi="宋体" w:eastAsia="宋体" w:cs="宋体"/>
          <w:color w:val="auto"/>
          <w:spacing w:val="-1"/>
          <w:sz w:val="24"/>
          <w:szCs w:val="24"/>
        </w:rPr>
        <w:t>（9）本项目专门面向中小企业采购，提供中小企业声明函；</w:t>
      </w:r>
      <w:r>
        <w:rPr>
          <w:rFonts w:hint="eastAsia" w:ascii="宋体" w:hAnsi="宋体" w:eastAsia="宋体" w:cs="宋体"/>
          <w:color w:val="auto"/>
          <w:spacing w:val="-1"/>
          <w:sz w:val="24"/>
          <w:szCs w:val="24"/>
        </w:rPr>
        <w:br w:type="textWrapping"/>
      </w:r>
      <w:r>
        <w:rPr>
          <w:rFonts w:hint="eastAsia" w:ascii="宋体" w:hAnsi="宋体" w:eastAsia="宋体" w:cs="宋体"/>
          <w:color w:val="auto"/>
          <w:spacing w:val="-1"/>
          <w:sz w:val="24"/>
          <w:szCs w:val="24"/>
        </w:rPr>
        <w:t>（10）本项目不接受联合体投标。</w:t>
      </w:r>
    </w:p>
    <w:p w14:paraId="60FFA1C7">
      <w:pPr>
        <w:pStyle w:val="6"/>
        <w:spacing w:line="219" w:lineRule="auto"/>
        <w:ind w:left="500"/>
        <w:outlineLvl w:val="1"/>
        <w:rPr>
          <w:color w:val="auto"/>
          <w:sz w:val="24"/>
          <w:szCs w:val="24"/>
        </w:rPr>
      </w:pPr>
      <w:r>
        <w:rPr>
          <w:b/>
          <w:bCs/>
          <w:color w:val="auto"/>
          <w:spacing w:val="-2"/>
          <w:sz w:val="24"/>
          <w:szCs w:val="24"/>
        </w:rPr>
        <w:t>资质审查时，缺少其中任何一项，其资质无效。评审时，谈判小组对符合资格的供应</w:t>
      </w:r>
    </w:p>
    <w:p w14:paraId="2451197A">
      <w:pPr>
        <w:pStyle w:val="6"/>
        <w:spacing w:before="182" w:line="220" w:lineRule="auto"/>
        <w:jc w:val="right"/>
        <w:rPr>
          <w:color w:val="auto"/>
          <w:sz w:val="24"/>
          <w:szCs w:val="24"/>
        </w:rPr>
      </w:pPr>
      <w:r>
        <w:rPr>
          <w:b/>
          <w:bCs/>
          <w:color w:val="auto"/>
          <w:spacing w:val="-6"/>
          <w:sz w:val="24"/>
          <w:szCs w:val="24"/>
        </w:rPr>
        <w:t>商的响应文件进行符合性审查，不能满足竞争性谈判文件实质性要求的，其响应文件无效。</w:t>
      </w:r>
    </w:p>
    <w:p w14:paraId="0CF36A23">
      <w:pPr>
        <w:pStyle w:val="6"/>
        <w:spacing w:before="244" w:line="219" w:lineRule="auto"/>
        <w:ind w:left="433"/>
        <w:rPr>
          <w:color w:val="auto"/>
          <w:sz w:val="24"/>
          <w:szCs w:val="24"/>
        </w:rPr>
      </w:pPr>
      <w:r>
        <w:rPr>
          <w:b/>
          <w:bCs/>
          <w:color w:val="auto"/>
          <w:spacing w:val="-2"/>
          <w:sz w:val="24"/>
          <w:szCs w:val="24"/>
        </w:rPr>
        <w:t>2.1.3</w:t>
      </w:r>
      <w:r>
        <w:rPr>
          <w:color w:val="auto"/>
          <w:spacing w:val="-2"/>
          <w:sz w:val="24"/>
          <w:szCs w:val="24"/>
        </w:rPr>
        <w:t xml:space="preserve"> </w:t>
      </w:r>
      <w:r>
        <w:rPr>
          <w:b/>
          <w:bCs/>
          <w:color w:val="auto"/>
          <w:spacing w:val="-2"/>
          <w:sz w:val="24"/>
          <w:szCs w:val="24"/>
        </w:rPr>
        <w:t>根据《陕西省财政厅关于政府采购供应商注册登记有关事项的通知》的要求，</w:t>
      </w:r>
    </w:p>
    <w:p w14:paraId="0275CC40">
      <w:pPr>
        <w:pStyle w:val="6"/>
        <w:spacing w:before="196" w:line="369" w:lineRule="auto"/>
        <w:ind w:left="10" w:right="81" w:firstLine="1"/>
        <w:rPr>
          <w:color w:val="auto"/>
          <w:sz w:val="24"/>
          <w:szCs w:val="24"/>
        </w:rPr>
      </w:pPr>
      <w:r>
        <w:rPr>
          <w:b/>
          <w:bCs/>
          <w:color w:val="auto"/>
          <w:spacing w:val="-2"/>
          <w:sz w:val="24"/>
          <w:szCs w:val="24"/>
        </w:rPr>
        <w:t>参加本项目投标且符合《中华人民共和国政府采购法》第二十二条规定的合格供应商须通</w:t>
      </w:r>
      <w:r>
        <w:rPr>
          <w:b/>
          <w:bCs/>
          <w:color w:val="auto"/>
          <w:spacing w:val="-4"/>
          <w:sz w:val="24"/>
          <w:szCs w:val="24"/>
        </w:rPr>
        <w:t>过陕西省政府采购网（</w:t>
      </w:r>
      <w:r>
        <w:rPr>
          <w:color w:val="auto"/>
        </w:rPr>
        <w:fldChar w:fldCharType="begin"/>
      </w:r>
      <w:r>
        <w:rPr>
          <w:color w:val="auto"/>
        </w:rPr>
        <w:instrText xml:space="preserve"> HYPERLINK "http://www.ccgp-shaanxi.gov.cn/" </w:instrText>
      </w:r>
      <w:r>
        <w:rPr>
          <w:color w:val="auto"/>
        </w:rPr>
        <w:fldChar w:fldCharType="separate"/>
      </w:r>
      <w:r>
        <w:rPr>
          <w:b/>
          <w:bCs/>
          <w:color w:val="auto"/>
          <w:spacing w:val="-4"/>
          <w:sz w:val="24"/>
          <w:szCs w:val="24"/>
        </w:rPr>
        <w:t>http://www.ccgp-shaanxi.gov.cn/</w:t>
      </w:r>
      <w:r>
        <w:rPr>
          <w:b/>
          <w:bCs/>
          <w:color w:val="auto"/>
          <w:spacing w:val="-4"/>
          <w:sz w:val="24"/>
          <w:szCs w:val="24"/>
        </w:rPr>
        <w:fldChar w:fldCharType="end"/>
      </w:r>
      <w:r>
        <w:rPr>
          <w:b/>
          <w:bCs/>
          <w:color w:val="auto"/>
          <w:spacing w:val="-4"/>
          <w:sz w:val="24"/>
          <w:szCs w:val="24"/>
        </w:rPr>
        <w:t>）注册登记加入陕西省政府采购</w:t>
      </w:r>
      <w:r>
        <w:rPr>
          <w:b/>
          <w:bCs/>
          <w:color w:val="auto"/>
          <w:spacing w:val="-2"/>
          <w:sz w:val="24"/>
          <w:szCs w:val="24"/>
        </w:rPr>
        <w:t>供应商库，以便成交后能顺利录入成交单位信息，若未办理入库手续，造成不能发布成交</w:t>
      </w:r>
      <w:r>
        <w:rPr>
          <w:b/>
          <w:bCs/>
          <w:color w:val="auto"/>
          <w:spacing w:val="-4"/>
          <w:sz w:val="24"/>
          <w:szCs w:val="24"/>
        </w:rPr>
        <w:t>公告，责任自负。</w:t>
      </w:r>
    </w:p>
    <w:p w14:paraId="31533FE3">
      <w:pPr>
        <w:pStyle w:val="6"/>
        <w:spacing w:line="219" w:lineRule="auto"/>
        <w:ind w:left="493"/>
        <w:rPr>
          <w:color w:val="auto"/>
          <w:sz w:val="24"/>
          <w:szCs w:val="24"/>
        </w:rPr>
      </w:pPr>
      <w:r>
        <w:rPr>
          <w:b/>
          <w:bCs/>
          <w:color w:val="auto"/>
          <w:spacing w:val="-3"/>
          <w:sz w:val="24"/>
          <w:szCs w:val="24"/>
        </w:rPr>
        <w:t>2.2</w:t>
      </w:r>
      <w:r>
        <w:rPr>
          <w:color w:val="auto"/>
          <w:spacing w:val="-3"/>
          <w:sz w:val="24"/>
          <w:szCs w:val="24"/>
        </w:rPr>
        <w:t xml:space="preserve"> </w:t>
      </w:r>
      <w:r>
        <w:rPr>
          <w:b/>
          <w:bCs/>
          <w:color w:val="auto"/>
          <w:spacing w:val="-3"/>
          <w:sz w:val="24"/>
          <w:szCs w:val="24"/>
        </w:rPr>
        <w:t>合格的服务</w:t>
      </w:r>
    </w:p>
    <w:p w14:paraId="6B379DF5">
      <w:pPr>
        <w:pStyle w:val="6"/>
        <w:spacing w:before="196" w:line="219" w:lineRule="auto"/>
        <w:ind w:left="493"/>
        <w:rPr>
          <w:color w:val="auto"/>
          <w:sz w:val="24"/>
          <w:szCs w:val="24"/>
        </w:rPr>
      </w:pPr>
      <w:r>
        <w:rPr>
          <w:color w:val="auto"/>
          <w:spacing w:val="-1"/>
          <w:sz w:val="24"/>
          <w:szCs w:val="24"/>
        </w:rPr>
        <w:t>2.2.1 本次谈判采购的</w:t>
      </w:r>
      <w:r>
        <w:rPr>
          <w:rFonts w:hint="eastAsia"/>
          <w:color w:val="auto"/>
          <w:spacing w:val="-1"/>
          <w:sz w:val="24"/>
          <w:szCs w:val="24"/>
          <w:lang w:eastAsia="zh-CN"/>
        </w:rPr>
        <w:t>服务</w:t>
      </w:r>
      <w:r>
        <w:rPr>
          <w:color w:val="auto"/>
          <w:spacing w:val="-1"/>
          <w:sz w:val="24"/>
          <w:szCs w:val="24"/>
        </w:rPr>
        <w:t>，均应来自上述</w:t>
      </w:r>
      <w:r>
        <w:rPr>
          <w:color w:val="auto"/>
          <w:spacing w:val="-48"/>
          <w:sz w:val="24"/>
          <w:szCs w:val="24"/>
        </w:rPr>
        <w:t xml:space="preserve"> </w:t>
      </w:r>
      <w:r>
        <w:rPr>
          <w:color w:val="auto"/>
          <w:spacing w:val="-1"/>
          <w:sz w:val="24"/>
          <w:szCs w:val="24"/>
        </w:rPr>
        <w:t>2.1</w:t>
      </w:r>
      <w:r>
        <w:rPr>
          <w:color w:val="auto"/>
          <w:spacing w:val="-49"/>
          <w:sz w:val="24"/>
          <w:szCs w:val="24"/>
        </w:rPr>
        <w:t xml:space="preserve"> </w:t>
      </w:r>
      <w:r>
        <w:rPr>
          <w:color w:val="auto"/>
          <w:spacing w:val="-1"/>
          <w:sz w:val="24"/>
          <w:szCs w:val="24"/>
        </w:rPr>
        <w:t>条款所规定的合格供应商。</w:t>
      </w:r>
    </w:p>
    <w:p w14:paraId="00A5C0FF">
      <w:pPr>
        <w:pStyle w:val="6"/>
        <w:spacing w:before="195" w:line="294" w:lineRule="auto"/>
        <w:ind w:left="11" w:right="131" w:firstLine="481"/>
        <w:rPr>
          <w:color w:val="auto"/>
          <w:sz w:val="24"/>
          <w:szCs w:val="24"/>
        </w:rPr>
      </w:pPr>
      <w:r>
        <w:rPr>
          <w:color w:val="auto"/>
          <w:sz w:val="24"/>
          <w:szCs w:val="24"/>
        </w:rPr>
        <w:t xml:space="preserve">2.2.2 </w:t>
      </w:r>
      <w:r>
        <w:rPr>
          <w:rFonts w:hint="eastAsia"/>
          <w:color w:val="auto"/>
          <w:spacing w:val="-1"/>
          <w:sz w:val="24"/>
          <w:szCs w:val="24"/>
          <w:lang w:eastAsia="zh-CN"/>
        </w:rPr>
        <w:t>服务</w:t>
      </w:r>
      <w:r>
        <w:rPr>
          <w:color w:val="auto"/>
          <w:sz w:val="24"/>
          <w:szCs w:val="24"/>
        </w:rPr>
        <w:t>系指供应商按竞争性谈判文件规定，向采</w:t>
      </w:r>
      <w:r>
        <w:rPr>
          <w:color w:val="auto"/>
          <w:spacing w:val="-1"/>
          <w:sz w:val="24"/>
          <w:szCs w:val="24"/>
        </w:rPr>
        <w:t>购人提供的符合竞争性谈判文件</w:t>
      </w:r>
      <w:r>
        <w:rPr>
          <w:color w:val="auto"/>
          <w:spacing w:val="-2"/>
          <w:sz w:val="24"/>
          <w:szCs w:val="24"/>
        </w:rPr>
        <w:t>要求的相关的</w:t>
      </w:r>
      <w:r>
        <w:rPr>
          <w:rFonts w:hint="eastAsia"/>
          <w:color w:val="auto"/>
          <w:spacing w:val="-1"/>
          <w:sz w:val="24"/>
          <w:szCs w:val="24"/>
          <w:lang w:eastAsia="zh-CN"/>
        </w:rPr>
        <w:t>服务</w:t>
      </w:r>
      <w:r>
        <w:rPr>
          <w:color w:val="auto"/>
          <w:spacing w:val="-2"/>
          <w:sz w:val="24"/>
          <w:szCs w:val="24"/>
        </w:rPr>
        <w:t>。</w:t>
      </w:r>
    </w:p>
    <w:p w14:paraId="0B11EC16">
      <w:pPr>
        <w:pStyle w:val="6"/>
        <w:spacing w:before="194" w:line="221" w:lineRule="auto"/>
        <w:ind w:left="495"/>
        <w:rPr>
          <w:color w:val="auto"/>
          <w:sz w:val="24"/>
          <w:szCs w:val="24"/>
        </w:rPr>
      </w:pPr>
      <w:r>
        <w:rPr>
          <w:b/>
          <w:bCs/>
          <w:color w:val="auto"/>
          <w:spacing w:val="-5"/>
          <w:sz w:val="24"/>
          <w:szCs w:val="24"/>
        </w:rPr>
        <w:t>3．投标费用</w:t>
      </w:r>
    </w:p>
    <w:p w14:paraId="2C185B68">
      <w:pPr>
        <w:pStyle w:val="6"/>
        <w:spacing w:before="117" w:line="219" w:lineRule="auto"/>
        <w:ind w:left="495"/>
        <w:rPr>
          <w:color w:val="auto"/>
          <w:sz w:val="24"/>
          <w:szCs w:val="24"/>
        </w:rPr>
      </w:pPr>
      <w:r>
        <w:rPr>
          <w:color w:val="auto"/>
          <w:spacing w:val="-1"/>
          <w:sz w:val="24"/>
          <w:szCs w:val="24"/>
        </w:rPr>
        <w:t>3.1</w:t>
      </w:r>
      <w:r>
        <w:rPr>
          <w:color w:val="auto"/>
          <w:spacing w:val="-50"/>
          <w:sz w:val="24"/>
          <w:szCs w:val="24"/>
        </w:rPr>
        <w:t xml:space="preserve"> </w:t>
      </w:r>
      <w:r>
        <w:rPr>
          <w:color w:val="auto"/>
          <w:spacing w:val="-1"/>
          <w:sz w:val="24"/>
          <w:szCs w:val="24"/>
        </w:rPr>
        <w:t>供应商自行承担所有与准备和参加投标有关的费用。</w:t>
      </w:r>
    </w:p>
    <w:p w14:paraId="46733068">
      <w:pPr>
        <w:spacing w:line="288" w:lineRule="auto"/>
        <w:rPr>
          <w:rFonts w:ascii="Arial"/>
          <w:color w:val="auto"/>
          <w:sz w:val="21"/>
        </w:rPr>
      </w:pPr>
    </w:p>
    <w:p w14:paraId="64157923">
      <w:pPr>
        <w:pStyle w:val="6"/>
        <w:spacing w:before="98" w:line="220" w:lineRule="auto"/>
        <w:ind w:left="3665"/>
        <w:rPr>
          <w:color w:val="auto"/>
          <w:sz w:val="30"/>
          <w:szCs w:val="30"/>
        </w:rPr>
      </w:pPr>
      <w:r>
        <w:rPr>
          <w:b/>
          <w:bCs/>
          <w:color w:val="auto"/>
          <w:spacing w:val="-4"/>
          <w:sz w:val="30"/>
          <w:szCs w:val="30"/>
        </w:rPr>
        <w:t>二、竞争性谈判文件</w:t>
      </w:r>
    </w:p>
    <w:p w14:paraId="5B5784AC">
      <w:pPr>
        <w:pStyle w:val="6"/>
        <w:spacing w:before="174" w:line="220" w:lineRule="auto"/>
        <w:ind w:left="489"/>
        <w:rPr>
          <w:color w:val="auto"/>
          <w:sz w:val="24"/>
          <w:szCs w:val="24"/>
        </w:rPr>
      </w:pPr>
      <w:r>
        <w:rPr>
          <w:b/>
          <w:bCs/>
          <w:color w:val="auto"/>
          <w:spacing w:val="-3"/>
          <w:sz w:val="24"/>
          <w:szCs w:val="24"/>
        </w:rPr>
        <w:t>4．竞争性谈判文件构成</w:t>
      </w:r>
    </w:p>
    <w:p w14:paraId="68E08C32">
      <w:pPr>
        <w:pStyle w:val="6"/>
        <w:spacing w:before="194" w:line="220" w:lineRule="auto"/>
        <w:ind w:left="493"/>
        <w:rPr>
          <w:color w:val="auto"/>
          <w:sz w:val="24"/>
          <w:szCs w:val="24"/>
        </w:rPr>
      </w:pPr>
      <w:r>
        <w:rPr>
          <w:color w:val="auto"/>
          <w:spacing w:val="-1"/>
          <w:sz w:val="24"/>
          <w:szCs w:val="24"/>
        </w:rPr>
        <w:t>竞争性谈判文件包括下列内容：</w:t>
      </w:r>
    </w:p>
    <w:p w14:paraId="3FBEF2B3">
      <w:pPr>
        <w:pStyle w:val="6"/>
        <w:spacing w:before="193" w:line="219" w:lineRule="auto"/>
        <w:ind w:left="490"/>
        <w:rPr>
          <w:color w:val="auto"/>
          <w:sz w:val="24"/>
          <w:szCs w:val="24"/>
        </w:rPr>
      </w:pPr>
      <w:r>
        <w:rPr>
          <w:color w:val="auto"/>
          <w:spacing w:val="-1"/>
          <w:sz w:val="24"/>
          <w:szCs w:val="24"/>
        </w:rPr>
        <w:t>第一章  谈判公告；</w:t>
      </w:r>
    </w:p>
    <w:p w14:paraId="43DA53E7">
      <w:pPr>
        <w:pStyle w:val="6"/>
        <w:spacing w:before="197" w:line="219" w:lineRule="auto"/>
        <w:ind w:left="490"/>
        <w:rPr>
          <w:color w:val="auto"/>
          <w:sz w:val="24"/>
          <w:szCs w:val="24"/>
        </w:rPr>
      </w:pPr>
      <w:r>
        <w:rPr>
          <w:color w:val="auto"/>
          <w:spacing w:val="-1"/>
          <w:sz w:val="24"/>
          <w:szCs w:val="24"/>
        </w:rPr>
        <w:t>第二章  谈判须知；</w:t>
      </w:r>
    </w:p>
    <w:p w14:paraId="1D00C2FC">
      <w:pPr>
        <w:pStyle w:val="6"/>
        <w:spacing w:before="195" w:line="219" w:lineRule="auto"/>
        <w:ind w:left="490"/>
        <w:rPr>
          <w:color w:val="auto"/>
          <w:sz w:val="24"/>
          <w:szCs w:val="24"/>
        </w:rPr>
      </w:pPr>
      <w:r>
        <w:rPr>
          <w:color w:val="auto"/>
          <w:spacing w:val="-1"/>
          <w:sz w:val="24"/>
          <w:szCs w:val="24"/>
        </w:rPr>
        <w:t>第</w:t>
      </w:r>
      <w:r>
        <w:rPr>
          <w:rFonts w:hint="eastAsia"/>
          <w:color w:val="auto"/>
          <w:spacing w:val="-1"/>
          <w:sz w:val="24"/>
          <w:szCs w:val="24"/>
          <w:lang w:eastAsia="zh-CN"/>
        </w:rPr>
        <w:t>三</w:t>
      </w:r>
      <w:r>
        <w:rPr>
          <w:color w:val="auto"/>
          <w:spacing w:val="-1"/>
          <w:sz w:val="24"/>
          <w:szCs w:val="24"/>
        </w:rPr>
        <w:t>章  合同条款及格式；</w:t>
      </w:r>
    </w:p>
    <w:p w14:paraId="3E45A20B">
      <w:pPr>
        <w:pStyle w:val="6"/>
        <w:spacing w:before="196" w:line="219" w:lineRule="auto"/>
        <w:ind w:left="490"/>
        <w:rPr>
          <w:color w:val="auto"/>
          <w:sz w:val="24"/>
          <w:szCs w:val="24"/>
        </w:rPr>
      </w:pPr>
      <w:r>
        <w:rPr>
          <w:color w:val="auto"/>
          <w:spacing w:val="-1"/>
          <w:sz w:val="24"/>
          <w:szCs w:val="24"/>
        </w:rPr>
        <w:t>第</w:t>
      </w:r>
      <w:r>
        <w:rPr>
          <w:rFonts w:hint="eastAsia"/>
          <w:color w:val="auto"/>
          <w:spacing w:val="-1"/>
          <w:sz w:val="24"/>
          <w:szCs w:val="24"/>
          <w:lang w:eastAsia="zh-CN"/>
        </w:rPr>
        <w:t>四</w:t>
      </w:r>
      <w:r>
        <w:rPr>
          <w:color w:val="auto"/>
          <w:spacing w:val="-1"/>
          <w:sz w:val="24"/>
          <w:szCs w:val="24"/>
        </w:rPr>
        <w:t>章  采购内容及技术要求；</w:t>
      </w:r>
    </w:p>
    <w:p w14:paraId="2D613F54">
      <w:pPr>
        <w:pStyle w:val="6"/>
        <w:spacing w:before="164" w:line="219" w:lineRule="auto"/>
        <w:ind w:left="490"/>
        <w:rPr>
          <w:color w:val="auto"/>
          <w:sz w:val="24"/>
          <w:szCs w:val="24"/>
        </w:rPr>
      </w:pPr>
      <w:r>
        <w:rPr>
          <w:color w:val="auto"/>
          <w:spacing w:val="-1"/>
          <w:sz w:val="24"/>
          <w:szCs w:val="24"/>
        </w:rPr>
        <w:t>第</w:t>
      </w:r>
      <w:r>
        <w:rPr>
          <w:rFonts w:hint="eastAsia"/>
          <w:color w:val="auto"/>
          <w:spacing w:val="-1"/>
          <w:sz w:val="24"/>
          <w:szCs w:val="24"/>
          <w:lang w:eastAsia="zh-CN"/>
        </w:rPr>
        <w:t>五</w:t>
      </w:r>
      <w:r>
        <w:rPr>
          <w:color w:val="auto"/>
          <w:spacing w:val="-1"/>
          <w:sz w:val="24"/>
          <w:szCs w:val="24"/>
        </w:rPr>
        <w:t>章  谈判响应文件基本格式。</w:t>
      </w:r>
    </w:p>
    <w:p w14:paraId="277305FC">
      <w:pPr>
        <w:pStyle w:val="6"/>
        <w:spacing w:before="194" w:line="220" w:lineRule="auto"/>
        <w:ind w:left="495"/>
        <w:rPr>
          <w:color w:val="auto"/>
          <w:sz w:val="24"/>
          <w:szCs w:val="24"/>
        </w:rPr>
      </w:pPr>
      <w:r>
        <w:rPr>
          <w:b/>
          <w:bCs/>
          <w:color w:val="auto"/>
          <w:spacing w:val="-3"/>
          <w:sz w:val="24"/>
          <w:szCs w:val="24"/>
        </w:rPr>
        <w:t>5．竞争性谈判文件的澄清和修改</w:t>
      </w:r>
    </w:p>
    <w:p w14:paraId="69CA318D">
      <w:pPr>
        <w:pStyle w:val="6"/>
        <w:spacing w:before="195" w:line="339" w:lineRule="auto"/>
        <w:ind w:left="14" w:right="16" w:firstLine="480"/>
        <w:rPr>
          <w:color w:val="auto"/>
          <w:sz w:val="24"/>
          <w:szCs w:val="24"/>
        </w:rPr>
      </w:pPr>
      <w:r>
        <w:rPr>
          <w:color w:val="auto"/>
          <w:spacing w:val="2"/>
          <w:sz w:val="24"/>
          <w:szCs w:val="24"/>
        </w:rPr>
        <w:t>5.1</w:t>
      </w:r>
      <w:r>
        <w:rPr>
          <w:color w:val="auto"/>
          <w:spacing w:val="-41"/>
          <w:sz w:val="24"/>
          <w:szCs w:val="24"/>
        </w:rPr>
        <w:t xml:space="preserve"> </w:t>
      </w:r>
      <w:r>
        <w:rPr>
          <w:color w:val="auto"/>
          <w:spacing w:val="2"/>
          <w:sz w:val="24"/>
          <w:szCs w:val="24"/>
        </w:rPr>
        <w:t>提交首次响应文件截止之日前，采购人、采购代理机构或者谈判小组可以对已发</w:t>
      </w:r>
      <w:r>
        <w:rPr>
          <w:color w:val="auto"/>
          <w:spacing w:val="1"/>
          <w:sz w:val="24"/>
          <w:szCs w:val="24"/>
        </w:rPr>
        <w:t>出的竞争性谈判文件进行必要的澄清或者修改，澄清或者修改的内容作为竞</w:t>
      </w:r>
      <w:r>
        <w:rPr>
          <w:color w:val="auto"/>
          <w:sz w:val="24"/>
          <w:szCs w:val="24"/>
        </w:rPr>
        <w:t>争性谈判文件</w:t>
      </w:r>
      <w:r>
        <w:rPr>
          <w:color w:val="auto"/>
          <w:spacing w:val="1"/>
          <w:sz w:val="24"/>
          <w:szCs w:val="24"/>
        </w:rPr>
        <w:t>的组成部分。澄清或者修改的内容可能影响响应文件编制的，采购人、采购代理机</w:t>
      </w:r>
      <w:r>
        <w:rPr>
          <w:color w:val="auto"/>
          <w:sz w:val="24"/>
          <w:szCs w:val="24"/>
        </w:rPr>
        <w:t>构在提</w:t>
      </w:r>
      <w:r>
        <w:rPr>
          <w:color w:val="auto"/>
          <w:spacing w:val="-1"/>
          <w:sz w:val="24"/>
          <w:szCs w:val="24"/>
        </w:rPr>
        <w:t>交首次响应文件截止时间</w:t>
      </w:r>
      <w:r>
        <w:rPr>
          <w:color w:val="auto"/>
          <w:spacing w:val="-44"/>
          <w:sz w:val="24"/>
          <w:szCs w:val="24"/>
        </w:rPr>
        <w:t xml:space="preserve"> </w:t>
      </w:r>
      <w:r>
        <w:rPr>
          <w:color w:val="auto"/>
          <w:spacing w:val="-1"/>
          <w:sz w:val="24"/>
          <w:szCs w:val="24"/>
        </w:rPr>
        <w:t>3 日前，以书面形式通知所有获取竞争性谈判文件的供应商；不</w:t>
      </w:r>
      <w:r>
        <w:rPr>
          <w:color w:val="auto"/>
          <w:spacing w:val="-3"/>
          <w:sz w:val="24"/>
          <w:szCs w:val="24"/>
        </w:rPr>
        <w:t>足</w:t>
      </w:r>
      <w:r>
        <w:rPr>
          <w:color w:val="auto"/>
          <w:spacing w:val="-36"/>
          <w:sz w:val="24"/>
          <w:szCs w:val="24"/>
        </w:rPr>
        <w:t xml:space="preserve"> </w:t>
      </w:r>
      <w:r>
        <w:rPr>
          <w:color w:val="auto"/>
          <w:spacing w:val="-3"/>
          <w:sz w:val="24"/>
          <w:szCs w:val="24"/>
        </w:rPr>
        <w:t>3 日的，采购人、采购代理机构应当顺延提交首次响应文件截止时间。</w:t>
      </w:r>
    </w:p>
    <w:p w14:paraId="632C7231">
      <w:pPr>
        <w:pStyle w:val="6"/>
        <w:spacing w:before="196" w:line="339" w:lineRule="auto"/>
        <w:ind w:left="10" w:right="14" w:firstLine="484"/>
        <w:rPr>
          <w:color w:val="auto"/>
          <w:sz w:val="24"/>
          <w:szCs w:val="24"/>
        </w:rPr>
      </w:pPr>
      <w:r>
        <w:rPr>
          <w:color w:val="auto"/>
          <w:spacing w:val="-1"/>
          <w:sz w:val="24"/>
          <w:szCs w:val="24"/>
        </w:rPr>
        <w:t>5.2 任何要求对竞争性谈判文件进行澄清的供应商均应在响应文件递交截止期</w:t>
      </w:r>
      <w:r>
        <w:rPr>
          <w:color w:val="auto"/>
          <w:spacing w:val="-43"/>
          <w:sz w:val="24"/>
          <w:szCs w:val="24"/>
        </w:rPr>
        <w:t xml:space="preserve"> </w:t>
      </w:r>
      <w:r>
        <w:rPr>
          <w:color w:val="auto"/>
          <w:spacing w:val="-1"/>
          <w:sz w:val="24"/>
          <w:szCs w:val="24"/>
        </w:rPr>
        <w:t xml:space="preserve">3 </w:t>
      </w:r>
      <w:r>
        <w:rPr>
          <w:color w:val="auto"/>
          <w:spacing w:val="-2"/>
          <w:sz w:val="24"/>
          <w:szCs w:val="24"/>
        </w:rPr>
        <w:t>日前</w:t>
      </w:r>
      <w:r>
        <w:rPr>
          <w:color w:val="auto"/>
          <w:spacing w:val="1"/>
          <w:sz w:val="24"/>
          <w:szCs w:val="24"/>
        </w:rPr>
        <w:t>以书面形式通知采购代理机构，采购代理机构对供应商所要求澄清的内容以书面形式予以答复。供应商在规定的时间内未要求对竞争性谈判文件澄清或提出疑问的，将视其为无异议。对竞争性谈判文件中描述有歧义或前后不一致的地方，谈判小组有权进行评判，但对</w:t>
      </w:r>
      <w:r>
        <w:rPr>
          <w:color w:val="auto"/>
          <w:spacing w:val="-1"/>
          <w:sz w:val="24"/>
          <w:szCs w:val="24"/>
        </w:rPr>
        <w:t>同一条款的评判应适用于每个供应商。</w:t>
      </w:r>
    </w:p>
    <w:p w14:paraId="0E0413A1">
      <w:pPr>
        <w:pStyle w:val="6"/>
        <w:spacing w:before="195" w:line="293" w:lineRule="auto"/>
        <w:ind w:left="15" w:right="16" w:firstLine="480"/>
        <w:rPr>
          <w:color w:val="auto"/>
          <w:sz w:val="24"/>
          <w:szCs w:val="24"/>
        </w:rPr>
      </w:pPr>
      <w:r>
        <w:rPr>
          <w:color w:val="auto"/>
          <w:spacing w:val="1"/>
          <w:sz w:val="24"/>
          <w:szCs w:val="24"/>
        </w:rPr>
        <w:t>5.3 采购代理机构对竞争性谈判文件的修改将以书面形式发给所有竞争性谈</w:t>
      </w:r>
      <w:r>
        <w:rPr>
          <w:color w:val="auto"/>
          <w:sz w:val="24"/>
          <w:szCs w:val="24"/>
        </w:rPr>
        <w:t>判文件收</w:t>
      </w:r>
      <w:r>
        <w:rPr>
          <w:color w:val="auto"/>
          <w:spacing w:val="-1"/>
          <w:sz w:val="24"/>
          <w:szCs w:val="24"/>
        </w:rPr>
        <w:t>受人，该修改书将构成竞争性谈判文件的一部分,对供应商有约束力。</w:t>
      </w:r>
    </w:p>
    <w:p w14:paraId="7AA91B37">
      <w:pPr>
        <w:pStyle w:val="6"/>
        <w:spacing w:before="198" w:line="294" w:lineRule="auto"/>
        <w:ind w:left="15" w:right="16" w:firstLine="480"/>
        <w:rPr>
          <w:color w:val="auto"/>
          <w:sz w:val="24"/>
          <w:szCs w:val="24"/>
        </w:rPr>
      </w:pPr>
      <w:r>
        <w:rPr>
          <w:color w:val="auto"/>
          <w:spacing w:val="1"/>
          <w:sz w:val="24"/>
          <w:szCs w:val="24"/>
        </w:rPr>
        <w:t>5.4 在谈判过程中，竞争性谈判文件如有实质性变动的，谈判小组应当以书</w:t>
      </w:r>
      <w:r>
        <w:rPr>
          <w:color w:val="auto"/>
          <w:sz w:val="24"/>
          <w:szCs w:val="24"/>
        </w:rPr>
        <w:t>面形式通</w:t>
      </w:r>
      <w:r>
        <w:rPr>
          <w:color w:val="auto"/>
          <w:spacing w:val="-2"/>
          <w:sz w:val="24"/>
          <w:szCs w:val="24"/>
        </w:rPr>
        <w:t>知所有参加谈判的供应商。</w:t>
      </w:r>
    </w:p>
    <w:p w14:paraId="60D84A71">
      <w:pPr>
        <w:pStyle w:val="6"/>
        <w:spacing w:before="196" w:line="219" w:lineRule="auto"/>
        <w:ind w:left="492"/>
        <w:rPr>
          <w:color w:val="auto"/>
          <w:sz w:val="24"/>
          <w:szCs w:val="24"/>
        </w:rPr>
      </w:pPr>
      <w:r>
        <w:rPr>
          <w:b/>
          <w:bCs/>
          <w:color w:val="auto"/>
          <w:spacing w:val="-3"/>
          <w:sz w:val="24"/>
          <w:szCs w:val="24"/>
        </w:rPr>
        <w:t>6.竞争性谈判文件的解释权归采购人及采购代理机构。</w:t>
      </w:r>
    </w:p>
    <w:p w14:paraId="15CEFE74">
      <w:pPr>
        <w:spacing w:line="250" w:lineRule="auto"/>
        <w:rPr>
          <w:rFonts w:ascii="Arial"/>
          <w:color w:val="auto"/>
          <w:sz w:val="21"/>
        </w:rPr>
      </w:pPr>
    </w:p>
    <w:p w14:paraId="2C38C010">
      <w:pPr>
        <w:pStyle w:val="6"/>
        <w:spacing w:before="98" w:line="220" w:lineRule="auto"/>
        <w:ind w:left="3660"/>
        <w:rPr>
          <w:color w:val="auto"/>
          <w:sz w:val="30"/>
          <w:szCs w:val="30"/>
        </w:rPr>
      </w:pPr>
      <w:r>
        <w:rPr>
          <w:b/>
          <w:bCs/>
          <w:color w:val="auto"/>
          <w:spacing w:val="-4"/>
          <w:sz w:val="30"/>
          <w:szCs w:val="30"/>
        </w:rPr>
        <w:t>三、响应文件的编制</w:t>
      </w:r>
    </w:p>
    <w:p w14:paraId="1473867A">
      <w:pPr>
        <w:pStyle w:val="6"/>
        <w:spacing w:before="174" w:line="220" w:lineRule="auto"/>
        <w:ind w:left="496"/>
        <w:rPr>
          <w:color w:val="auto"/>
          <w:sz w:val="24"/>
          <w:szCs w:val="24"/>
        </w:rPr>
      </w:pPr>
      <w:r>
        <w:rPr>
          <w:b/>
          <w:bCs/>
          <w:color w:val="auto"/>
          <w:spacing w:val="-5"/>
          <w:sz w:val="24"/>
          <w:szCs w:val="24"/>
        </w:rPr>
        <w:t>7．编制要求</w:t>
      </w:r>
    </w:p>
    <w:p w14:paraId="2C47F882">
      <w:pPr>
        <w:pStyle w:val="6"/>
        <w:spacing w:before="194" w:line="332" w:lineRule="auto"/>
        <w:ind w:left="11" w:right="14" w:firstLine="484"/>
        <w:rPr>
          <w:color w:val="auto"/>
          <w:sz w:val="24"/>
          <w:szCs w:val="24"/>
        </w:rPr>
      </w:pPr>
      <w:r>
        <w:rPr>
          <w:color w:val="auto"/>
          <w:spacing w:val="1"/>
          <w:sz w:val="24"/>
          <w:szCs w:val="24"/>
        </w:rPr>
        <w:t>7.1 供应商应认真阅读竞争性谈判文件的所有内容，严格按照竞争性谈判</w:t>
      </w:r>
      <w:r>
        <w:rPr>
          <w:color w:val="auto"/>
          <w:sz w:val="24"/>
          <w:szCs w:val="24"/>
        </w:rPr>
        <w:t>文件的要求</w:t>
      </w:r>
      <w:r>
        <w:rPr>
          <w:color w:val="auto"/>
          <w:spacing w:val="1"/>
          <w:sz w:val="24"/>
          <w:szCs w:val="24"/>
        </w:rPr>
        <w:t>编制和提供响应文件，并保证所提供的全部资料的真实性，使响应文件对竞争性谈</w:t>
      </w:r>
      <w:r>
        <w:rPr>
          <w:color w:val="auto"/>
          <w:sz w:val="24"/>
          <w:szCs w:val="24"/>
        </w:rPr>
        <w:t>判文件</w:t>
      </w:r>
      <w:r>
        <w:rPr>
          <w:color w:val="auto"/>
          <w:spacing w:val="1"/>
          <w:sz w:val="24"/>
          <w:szCs w:val="24"/>
        </w:rPr>
        <w:t>作出实质性响应。如果供应商在响应文件中没有按照竞争性谈判文件要求提交全部资料或</w:t>
      </w:r>
      <w:r>
        <w:rPr>
          <w:color w:val="auto"/>
          <w:sz w:val="24"/>
          <w:szCs w:val="24"/>
        </w:rPr>
        <w:t>者响应文件没有对竞争性谈判文件在各方面都做出实质性响</w:t>
      </w:r>
      <w:r>
        <w:rPr>
          <w:color w:val="auto"/>
          <w:spacing w:val="-1"/>
          <w:sz w:val="24"/>
          <w:szCs w:val="24"/>
        </w:rPr>
        <w:t>应，其投标将按废标处理。</w:t>
      </w:r>
    </w:p>
    <w:p w14:paraId="4080C0FE">
      <w:pPr>
        <w:pStyle w:val="6"/>
        <w:spacing w:before="194" w:line="294" w:lineRule="auto"/>
        <w:ind w:left="10" w:right="16" w:firstLine="485"/>
        <w:rPr>
          <w:color w:val="auto"/>
          <w:sz w:val="24"/>
          <w:szCs w:val="24"/>
        </w:rPr>
      </w:pPr>
      <w:r>
        <w:rPr>
          <w:color w:val="auto"/>
          <w:spacing w:val="1"/>
          <w:sz w:val="24"/>
          <w:szCs w:val="24"/>
        </w:rPr>
        <w:t>7.2 供应商提交的响应文件以及供应商与采购代理机构就有关谈判的所有</w:t>
      </w:r>
      <w:r>
        <w:rPr>
          <w:color w:val="auto"/>
          <w:sz w:val="24"/>
          <w:szCs w:val="24"/>
        </w:rPr>
        <w:t>来往函电均</w:t>
      </w:r>
      <w:r>
        <w:rPr>
          <w:color w:val="auto"/>
          <w:spacing w:val="-2"/>
          <w:sz w:val="24"/>
          <w:szCs w:val="24"/>
        </w:rPr>
        <w:t>应以中文书写。</w:t>
      </w:r>
    </w:p>
    <w:p w14:paraId="1610C185">
      <w:pPr>
        <w:pStyle w:val="6"/>
        <w:spacing w:before="195" w:line="220" w:lineRule="auto"/>
        <w:ind w:left="491"/>
        <w:rPr>
          <w:color w:val="auto"/>
          <w:sz w:val="24"/>
          <w:szCs w:val="24"/>
        </w:rPr>
      </w:pPr>
      <w:r>
        <w:rPr>
          <w:b/>
          <w:bCs/>
          <w:color w:val="auto"/>
          <w:spacing w:val="-3"/>
          <w:sz w:val="24"/>
          <w:szCs w:val="24"/>
        </w:rPr>
        <w:t>8．谈判响应文件构成和格式</w:t>
      </w:r>
    </w:p>
    <w:p w14:paraId="1F95C00B">
      <w:pPr>
        <w:pStyle w:val="6"/>
        <w:spacing w:before="194" w:line="371" w:lineRule="auto"/>
        <w:ind w:left="10" w:right="16" w:firstLine="480"/>
        <w:rPr>
          <w:color w:val="auto"/>
          <w:sz w:val="24"/>
          <w:szCs w:val="24"/>
        </w:rPr>
      </w:pPr>
      <w:r>
        <w:rPr>
          <w:color w:val="auto"/>
          <w:spacing w:val="1"/>
          <w:sz w:val="24"/>
          <w:szCs w:val="24"/>
        </w:rPr>
        <w:t>8.1 供应商编写的谈判响应文件应包括，但不限于下列部分，请按竞争性谈判文件提</w:t>
      </w:r>
      <w:r>
        <w:rPr>
          <w:color w:val="auto"/>
          <w:spacing w:val="-1"/>
          <w:sz w:val="24"/>
          <w:szCs w:val="24"/>
        </w:rPr>
        <w:t>供的相应格式并依照下列顺序编写：</w:t>
      </w:r>
    </w:p>
    <w:p w14:paraId="3732E1F4">
      <w:pPr>
        <w:pStyle w:val="6"/>
        <w:spacing w:before="192" w:line="332" w:lineRule="auto"/>
        <w:ind w:left="9" w:firstLine="498"/>
        <w:rPr>
          <w:rFonts w:hint="eastAsia" w:ascii="宋体" w:hAnsi="宋体" w:eastAsia="宋体" w:cs="宋体"/>
          <w:color w:val="auto"/>
          <w:spacing w:val="-6"/>
          <w:sz w:val="24"/>
          <w:szCs w:val="24"/>
          <w:lang w:val="zh-CN"/>
        </w:rPr>
      </w:pPr>
      <w:r>
        <w:rPr>
          <w:rFonts w:hint="eastAsia" w:ascii="宋体" w:hAnsi="宋体" w:eastAsia="宋体" w:cs="宋体"/>
          <w:color w:val="auto"/>
          <w:spacing w:val="-6"/>
          <w:sz w:val="24"/>
          <w:szCs w:val="24"/>
          <w:lang w:val="zh-CN"/>
        </w:rPr>
        <w:t>第一部分：谈判响应函</w:t>
      </w:r>
    </w:p>
    <w:p w14:paraId="250DC93E">
      <w:pPr>
        <w:pStyle w:val="6"/>
        <w:spacing w:before="192" w:line="332" w:lineRule="auto"/>
        <w:ind w:left="9" w:firstLine="498"/>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lang w:val="zh-CN"/>
        </w:rPr>
        <w:t>第二部分：首次谈判报价表</w:t>
      </w:r>
    </w:p>
    <w:p w14:paraId="4154ABF4">
      <w:pPr>
        <w:pStyle w:val="6"/>
        <w:spacing w:before="192" w:line="332" w:lineRule="auto"/>
        <w:ind w:left="9" w:firstLine="498"/>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lang w:val="zh-CN"/>
        </w:rPr>
        <w:t>第三部分：谈判方案说明</w:t>
      </w:r>
    </w:p>
    <w:p w14:paraId="2DEE2E92">
      <w:pPr>
        <w:pStyle w:val="6"/>
        <w:spacing w:before="192" w:line="332" w:lineRule="auto"/>
        <w:ind w:left="9" w:firstLine="498"/>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lang w:val="zh-CN"/>
        </w:rPr>
        <w:t>第四部分：供应商承诺书</w:t>
      </w:r>
    </w:p>
    <w:p w14:paraId="2184E614">
      <w:pPr>
        <w:pStyle w:val="6"/>
        <w:spacing w:before="192" w:line="332" w:lineRule="auto"/>
        <w:ind w:left="9" w:firstLine="498"/>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lang w:val="zh-CN"/>
        </w:rPr>
        <w:t>第五部分：合格供应商要求证明文件</w:t>
      </w:r>
    </w:p>
    <w:p w14:paraId="5DC248E9">
      <w:pPr>
        <w:pStyle w:val="6"/>
        <w:spacing w:before="192" w:line="332" w:lineRule="auto"/>
        <w:ind w:left="9" w:firstLine="498"/>
        <w:rPr>
          <w:rFonts w:hint="eastAsia" w:ascii="宋体" w:hAnsi="宋体" w:eastAsia="宋体" w:cs="宋体"/>
          <w:color w:val="auto"/>
          <w:spacing w:val="-6"/>
          <w:sz w:val="24"/>
          <w:szCs w:val="24"/>
          <w:lang w:val="zh-CN"/>
        </w:rPr>
      </w:pPr>
      <w:r>
        <w:rPr>
          <w:rFonts w:hint="eastAsia" w:ascii="宋体" w:hAnsi="宋体" w:eastAsia="宋体" w:cs="宋体"/>
          <w:color w:val="auto"/>
          <w:spacing w:val="-6"/>
          <w:sz w:val="24"/>
          <w:szCs w:val="24"/>
          <w:lang w:val="en-US" w:eastAsia="zh-CN"/>
        </w:rPr>
        <w:t>第六部分</w:t>
      </w:r>
      <w:r>
        <w:rPr>
          <w:rFonts w:hint="eastAsia" w:ascii="宋体" w:hAnsi="宋体" w:eastAsia="宋体" w:cs="宋体"/>
          <w:color w:val="auto"/>
          <w:spacing w:val="-6"/>
          <w:sz w:val="24"/>
          <w:szCs w:val="24"/>
          <w:lang w:val="zh-CN"/>
        </w:rPr>
        <w:t>：法定代表人授权书</w:t>
      </w:r>
    </w:p>
    <w:p w14:paraId="54F9965B">
      <w:pPr>
        <w:pStyle w:val="6"/>
        <w:spacing w:before="192" w:line="332" w:lineRule="auto"/>
        <w:ind w:left="9" w:firstLine="498"/>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第七部分：商务、技术响应偏离表</w:t>
      </w:r>
    </w:p>
    <w:p w14:paraId="4125318F">
      <w:pPr>
        <w:pStyle w:val="6"/>
        <w:spacing w:before="192" w:line="332" w:lineRule="auto"/>
        <w:ind w:left="9" w:firstLine="498"/>
        <w:rPr>
          <w:rFonts w:hint="eastAsia" w:ascii="宋体" w:hAnsi="宋体" w:eastAsia="宋体" w:cs="宋体"/>
          <w:b/>
          <w:bCs/>
          <w:color w:val="auto"/>
          <w:sz w:val="32"/>
          <w:szCs w:val="32"/>
          <w:lang w:val="en-US" w:eastAsia="zh-CN"/>
        </w:rPr>
      </w:pPr>
      <w:r>
        <w:rPr>
          <w:rFonts w:hint="eastAsia" w:ascii="宋体" w:hAnsi="宋体" w:eastAsia="宋体" w:cs="宋体"/>
          <w:color w:val="auto"/>
          <w:spacing w:val="-6"/>
          <w:sz w:val="24"/>
          <w:szCs w:val="24"/>
          <w:lang w:val="en-US" w:eastAsia="zh-CN"/>
        </w:rPr>
        <w:t>第八部分：其他需要补充的内容</w:t>
      </w:r>
      <w:r>
        <w:rPr>
          <w:rFonts w:hint="eastAsia" w:ascii="宋体" w:hAnsi="宋体" w:eastAsia="宋体" w:cs="宋体"/>
          <w:b/>
          <w:bCs/>
          <w:color w:val="auto"/>
          <w:sz w:val="32"/>
          <w:szCs w:val="32"/>
          <w:lang w:val="en-US" w:eastAsia="zh-CN"/>
        </w:rPr>
        <w:t xml:space="preserve"> </w:t>
      </w:r>
    </w:p>
    <w:p w14:paraId="15A247ED">
      <w:pPr>
        <w:pStyle w:val="6"/>
        <w:spacing w:before="194" w:line="295" w:lineRule="auto"/>
        <w:ind w:left="11" w:right="16" w:firstLine="480"/>
        <w:rPr>
          <w:color w:val="auto"/>
          <w:sz w:val="24"/>
          <w:szCs w:val="24"/>
        </w:rPr>
      </w:pPr>
      <w:r>
        <w:rPr>
          <w:color w:val="auto"/>
          <w:spacing w:val="2"/>
          <w:sz w:val="24"/>
          <w:szCs w:val="24"/>
        </w:rPr>
        <w:t>8.2 供应商应按照本须知第8.1</w:t>
      </w:r>
      <w:r>
        <w:rPr>
          <w:color w:val="auto"/>
          <w:spacing w:val="-41"/>
          <w:sz w:val="24"/>
          <w:szCs w:val="24"/>
        </w:rPr>
        <w:t xml:space="preserve"> </w:t>
      </w:r>
      <w:r>
        <w:rPr>
          <w:color w:val="auto"/>
          <w:spacing w:val="2"/>
          <w:sz w:val="24"/>
          <w:szCs w:val="24"/>
        </w:rPr>
        <w:t>条的内容及第</w:t>
      </w:r>
      <w:r>
        <w:rPr>
          <w:rFonts w:hint="eastAsia"/>
          <w:color w:val="auto"/>
          <w:spacing w:val="2"/>
          <w:sz w:val="24"/>
          <w:szCs w:val="24"/>
          <w:lang w:eastAsia="zh-CN"/>
        </w:rPr>
        <w:t>五</w:t>
      </w:r>
      <w:r>
        <w:rPr>
          <w:color w:val="auto"/>
          <w:spacing w:val="2"/>
          <w:sz w:val="24"/>
          <w:szCs w:val="24"/>
        </w:rPr>
        <w:t>章提供的格式编写谈判响应文件，不</w:t>
      </w:r>
      <w:r>
        <w:rPr>
          <w:color w:val="auto"/>
          <w:spacing w:val="-1"/>
          <w:sz w:val="24"/>
          <w:szCs w:val="24"/>
        </w:rPr>
        <w:t>得缺少竞争性谈判文件要求填写的表格或提交的资料。</w:t>
      </w:r>
    </w:p>
    <w:p w14:paraId="26032DFA">
      <w:pPr>
        <w:pStyle w:val="6"/>
        <w:spacing w:before="194" w:line="219" w:lineRule="auto"/>
        <w:ind w:left="491"/>
        <w:rPr>
          <w:color w:val="auto"/>
          <w:sz w:val="24"/>
          <w:szCs w:val="24"/>
        </w:rPr>
      </w:pPr>
      <w:r>
        <w:rPr>
          <w:color w:val="auto"/>
          <w:spacing w:val="1"/>
          <w:sz w:val="24"/>
          <w:szCs w:val="24"/>
        </w:rPr>
        <w:t>8.3 供应商应将谈判响应文件按本须知第8.1</w:t>
      </w:r>
      <w:r>
        <w:rPr>
          <w:color w:val="auto"/>
          <w:spacing w:val="-49"/>
          <w:sz w:val="24"/>
          <w:szCs w:val="24"/>
        </w:rPr>
        <w:t xml:space="preserve"> </w:t>
      </w:r>
      <w:r>
        <w:rPr>
          <w:color w:val="auto"/>
          <w:spacing w:val="1"/>
          <w:sz w:val="24"/>
          <w:szCs w:val="24"/>
        </w:rPr>
        <w:t>条规定的顺序编排、并应编制目</w:t>
      </w:r>
      <w:r>
        <w:rPr>
          <w:color w:val="auto"/>
          <w:sz w:val="24"/>
          <w:szCs w:val="24"/>
        </w:rPr>
        <w:t>录。</w:t>
      </w:r>
    </w:p>
    <w:p w14:paraId="6895C847">
      <w:pPr>
        <w:pStyle w:val="6"/>
        <w:spacing w:before="194" w:line="219" w:lineRule="auto"/>
        <w:ind w:left="491"/>
        <w:rPr>
          <w:color w:val="auto"/>
          <w:sz w:val="24"/>
          <w:szCs w:val="24"/>
        </w:rPr>
      </w:pPr>
      <w:r>
        <w:rPr>
          <w:b/>
          <w:bCs/>
          <w:color w:val="auto"/>
          <w:spacing w:val="-4"/>
          <w:sz w:val="24"/>
          <w:szCs w:val="24"/>
        </w:rPr>
        <w:t>9．谈判报价</w:t>
      </w:r>
    </w:p>
    <w:p w14:paraId="5B93FD72">
      <w:pPr>
        <w:pStyle w:val="6"/>
        <w:spacing w:before="196" w:line="295" w:lineRule="auto"/>
        <w:ind w:left="9" w:right="16" w:firstLine="481"/>
        <w:rPr>
          <w:color w:val="auto"/>
          <w:sz w:val="24"/>
          <w:szCs w:val="24"/>
        </w:rPr>
      </w:pPr>
      <w:r>
        <w:rPr>
          <w:color w:val="auto"/>
          <w:spacing w:val="2"/>
          <w:sz w:val="24"/>
          <w:szCs w:val="24"/>
        </w:rPr>
        <w:t>9.1</w:t>
      </w:r>
      <w:r>
        <w:rPr>
          <w:color w:val="auto"/>
          <w:spacing w:val="-38"/>
          <w:sz w:val="24"/>
          <w:szCs w:val="24"/>
        </w:rPr>
        <w:t xml:space="preserve"> </w:t>
      </w:r>
      <w:r>
        <w:rPr>
          <w:color w:val="auto"/>
          <w:spacing w:val="2"/>
          <w:sz w:val="24"/>
          <w:szCs w:val="24"/>
        </w:rPr>
        <w:t>谈判报价应为完成本项目所要求</w:t>
      </w:r>
      <w:r>
        <w:rPr>
          <w:rFonts w:hint="eastAsia"/>
          <w:color w:val="auto"/>
          <w:spacing w:val="2"/>
          <w:sz w:val="24"/>
          <w:szCs w:val="24"/>
          <w:lang w:eastAsia="zh-CN"/>
        </w:rPr>
        <w:t>服务</w:t>
      </w:r>
      <w:r>
        <w:rPr>
          <w:color w:val="auto"/>
          <w:spacing w:val="2"/>
          <w:sz w:val="24"/>
          <w:szCs w:val="24"/>
        </w:rPr>
        <w:t>的全部内容及国家按现行税收政策征收的一</w:t>
      </w:r>
      <w:r>
        <w:rPr>
          <w:color w:val="auto"/>
          <w:spacing w:val="-3"/>
          <w:sz w:val="24"/>
          <w:szCs w:val="24"/>
        </w:rPr>
        <w:t>切税费。</w:t>
      </w:r>
    </w:p>
    <w:p w14:paraId="28750425">
      <w:pPr>
        <w:pStyle w:val="6"/>
        <w:spacing w:before="193" w:line="319" w:lineRule="auto"/>
        <w:ind w:left="9" w:right="16" w:firstLine="481"/>
        <w:rPr>
          <w:color w:val="auto"/>
          <w:sz w:val="24"/>
          <w:szCs w:val="24"/>
        </w:rPr>
      </w:pPr>
      <w:r>
        <w:rPr>
          <w:color w:val="auto"/>
          <w:spacing w:val="2"/>
          <w:sz w:val="24"/>
          <w:szCs w:val="24"/>
        </w:rPr>
        <w:t>9.2</w:t>
      </w:r>
      <w:r>
        <w:rPr>
          <w:color w:val="auto"/>
          <w:spacing w:val="-38"/>
          <w:sz w:val="24"/>
          <w:szCs w:val="24"/>
        </w:rPr>
        <w:t xml:space="preserve"> </w:t>
      </w:r>
      <w:r>
        <w:rPr>
          <w:color w:val="auto"/>
          <w:spacing w:val="2"/>
          <w:sz w:val="24"/>
          <w:szCs w:val="24"/>
        </w:rPr>
        <w:t>供应商必须对采购内容进行完整报价。</w:t>
      </w:r>
    </w:p>
    <w:p w14:paraId="5988E7E7">
      <w:pPr>
        <w:pStyle w:val="6"/>
        <w:spacing w:before="196" w:line="294" w:lineRule="auto"/>
        <w:ind w:left="10" w:right="16" w:firstLine="480"/>
        <w:rPr>
          <w:color w:val="auto"/>
          <w:sz w:val="24"/>
          <w:szCs w:val="24"/>
        </w:rPr>
      </w:pPr>
      <w:r>
        <w:rPr>
          <w:color w:val="auto"/>
          <w:spacing w:val="2"/>
          <w:sz w:val="24"/>
          <w:szCs w:val="24"/>
        </w:rPr>
        <w:t>9.3</w:t>
      </w:r>
      <w:r>
        <w:rPr>
          <w:color w:val="auto"/>
          <w:spacing w:val="-38"/>
          <w:sz w:val="24"/>
          <w:szCs w:val="24"/>
        </w:rPr>
        <w:t xml:space="preserve"> </w:t>
      </w:r>
      <w:r>
        <w:rPr>
          <w:color w:val="auto"/>
          <w:spacing w:val="2"/>
          <w:sz w:val="24"/>
          <w:szCs w:val="24"/>
        </w:rPr>
        <w:t>所有根据合同或其它原因应由供应商支付的税款和其它应交纳的费用都要包括在</w:t>
      </w:r>
      <w:r>
        <w:rPr>
          <w:color w:val="auto"/>
          <w:spacing w:val="-1"/>
          <w:sz w:val="24"/>
          <w:szCs w:val="24"/>
        </w:rPr>
        <w:t>供应商提交的谈判报价中。</w:t>
      </w:r>
    </w:p>
    <w:p w14:paraId="7A1B8F4E">
      <w:pPr>
        <w:pStyle w:val="6"/>
        <w:spacing w:before="195" w:line="219" w:lineRule="auto"/>
        <w:ind w:left="491"/>
        <w:rPr>
          <w:color w:val="auto"/>
          <w:sz w:val="24"/>
          <w:szCs w:val="24"/>
        </w:rPr>
      </w:pPr>
      <w:r>
        <w:rPr>
          <w:b/>
          <w:bCs/>
          <w:color w:val="auto"/>
          <w:spacing w:val="-3"/>
          <w:sz w:val="24"/>
          <w:szCs w:val="24"/>
        </w:rPr>
        <w:t>9.4</w:t>
      </w:r>
      <w:r>
        <w:rPr>
          <w:color w:val="auto"/>
          <w:spacing w:val="-3"/>
          <w:sz w:val="24"/>
          <w:szCs w:val="24"/>
        </w:rPr>
        <w:t xml:space="preserve"> </w:t>
      </w:r>
      <w:r>
        <w:rPr>
          <w:b/>
          <w:bCs/>
          <w:color w:val="auto"/>
          <w:spacing w:val="-3"/>
          <w:sz w:val="24"/>
          <w:szCs w:val="24"/>
        </w:rPr>
        <w:t>本项目谈判报价超过采购预算则视为废标。</w:t>
      </w:r>
    </w:p>
    <w:p w14:paraId="3A2E625D">
      <w:pPr>
        <w:pStyle w:val="6"/>
        <w:spacing w:before="194" w:line="332" w:lineRule="auto"/>
        <w:ind w:left="11" w:right="18" w:firstLine="480"/>
        <w:rPr>
          <w:color w:val="auto"/>
          <w:sz w:val="24"/>
          <w:szCs w:val="24"/>
        </w:rPr>
      </w:pPr>
      <w:r>
        <w:rPr>
          <w:b/>
          <w:bCs/>
          <w:color w:val="auto"/>
          <w:spacing w:val="6"/>
          <w:sz w:val="24"/>
          <w:szCs w:val="24"/>
        </w:rPr>
        <w:t>9.5</w:t>
      </w:r>
      <w:r>
        <w:rPr>
          <w:color w:val="auto"/>
          <w:spacing w:val="-39"/>
          <w:sz w:val="24"/>
          <w:szCs w:val="24"/>
        </w:rPr>
        <w:t xml:space="preserve"> </w:t>
      </w:r>
      <w:r>
        <w:rPr>
          <w:b/>
          <w:bCs/>
          <w:color w:val="auto"/>
          <w:spacing w:val="6"/>
          <w:sz w:val="24"/>
          <w:szCs w:val="24"/>
        </w:rPr>
        <w:t>谈判小组认为投标供应商的报价明显低于其他通过符合性审查的投标供应商报</w:t>
      </w:r>
      <w:r>
        <w:rPr>
          <w:b/>
          <w:bCs/>
          <w:color w:val="auto"/>
          <w:spacing w:val="-2"/>
          <w:sz w:val="24"/>
          <w:szCs w:val="24"/>
        </w:rPr>
        <w:t>价，有可能影响</w:t>
      </w:r>
      <w:r>
        <w:rPr>
          <w:rFonts w:hint="eastAsia"/>
          <w:b/>
          <w:bCs/>
          <w:color w:val="auto"/>
          <w:spacing w:val="-2"/>
          <w:sz w:val="24"/>
          <w:szCs w:val="24"/>
          <w:lang w:eastAsia="zh-CN"/>
        </w:rPr>
        <w:t>服务</w:t>
      </w:r>
      <w:r>
        <w:rPr>
          <w:b/>
          <w:bCs/>
          <w:color w:val="auto"/>
          <w:spacing w:val="-2"/>
          <w:sz w:val="24"/>
          <w:szCs w:val="24"/>
        </w:rPr>
        <w:t>质量或者不能诚信履约的，应当要求其在谈判现场合理的时间内提供书面说明，必要时提交相关证明材料。投标供应商不能证明其报价合理性的或谈判小组确</w:t>
      </w:r>
      <w:r>
        <w:rPr>
          <w:b/>
          <w:bCs/>
          <w:color w:val="auto"/>
          <w:spacing w:val="-3"/>
          <w:sz w:val="24"/>
          <w:szCs w:val="24"/>
        </w:rPr>
        <w:t>定其理由不成立的，其报价无效。</w:t>
      </w:r>
    </w:p>
    <w:p w14:paraId="0D252329">
      <w:pPr>
        <w:pStyle w:val="6"/>
        <w:spacing w:before="196" w:line="219" w:lineRule="auto"/>
        <w:ind w:left="508"/>
        <w:rPr>
          <w:color w:val="auto"/>
          <w:sz w:val="24"/>
          <w:szCs w:val="24"/>
        </w:rPr>
      </w:pPr>
      <w:r>
        <w:rPr>
          <w:b/>
          <w:bCs/>
          <w:color w:val="auto"/>
          <w:spacing w:val="-7"/>
          <w:sz w:val="24"/>
          <w:szCs w:val="24"/>
        </w:rPr>
        <w:t>10.谈判货币</w:t>
      </w:r>
    </w:p>
    <w:p w14:paraId="43B40398">
      <w:pPr>
        <w:pStyle w:val="6"/>
        <w:spacing w:before="194" w:line="219" w:lineRule="auto"/>
        <w:ind w:left="508"/>
        <w:rPr>
          <w:color w:val="auto"/>
          <w:sz w:val="24"/>
          <w:szCs w:val="24"/>
        </w:rPr>
      </w:pPr>
      <w:r>
        <w:rPr>
          <w:color w:val="auto"/>
          <w:spacing w:val="-2"/>
          <w:sz w:val="24"/>
          <w:szCs w:val="24"/>
        </w:rPr>
        <w:t>10.1 一律以人民币报价。</w:t>
      </w:r>
    </w:p>
    <w:p w14:paraId="7AB527BD">
      <w:pPr>
        <w:pStyle w:val="6"/>
        <w:spacing w:before="196" w:line="221" w:lineRule="auto"/>
        <w:ind w:left="508"/>
        <w:rPr>
          <w:color w:val="auto"/>
          <w:sz w:val="24"/>
          <w:szCs w:val="24"/>
        </w:rPr>
      </w:pPr>
      <w:r>
        <w:rPr>
          <w:b/>
          <w:bCs/>
          <w:color w:val="auto"/>
          <w:spacing w:val="-6"/>
          <w:sz w:val="24"/>
          <w:szCs w:val="24"/>
        </w:rPr>
        <w:t>11.谈判保证金</w:t>
      </w:r>
    </w:p>
    <w:p w14:paraId="1DB855F6">
      <w:pPr>
        <w:pStyle w:val="6"/>
        <w:spacing w:before="193" w:line="219" w:lineRule="auto"/>
        <w:ind w:left="491"/>
        <w:rPr>
          <w:color w:val="auto"/>
          <w:sz w:val="24"/>
          <w:szCs w:val="24"/>
        </w:rPr>
      </w:pPr>
      <w:r>
        <w:rPr>
          <w:color w:val="auto"/>
          <w:spacing w:val="-2"/>
          <w:sz w:val="24"/>
          <w:szCs w:val="24"/>
        </w:rPr>
        <w:t>本项目不缴纳保证金。</w:t>
      </w:r>
    </w:p>
    <w:p w14:paraId="1B45600F">
      <w:pPr>
        <w:pStyle w:val="6"/>
        <w:spacing w:before="163" w:line="220" w:lineRule="auto"/>
        <w:ind w:left="508"/>
        <w:rPr>
          <w:color w:val="auto"/>
          <w:sz w:val="24"/>
          <w:szCs w:val="24"/>
        </w:rPr>
      </w:pPr>
      <w:r>
        <w:rPr>
          <w:b/>
          <w:bCs/>
          <w:color w:val="auto"/>
          <w:spacing w:val="-5"/>
          <w:sz w:val="24"/>
          <w:szCs w:val="24"/>
        </w:rPr>
        <w:t>12．谈判响应文件有效期</w:t>
      </w:r>
    </w:p>
    <w:p w14:paraId="1A550118">
      <w:pPr>
        <w:pStyle w:val="6"/>
        <w:spacing w:before="192" w:line="332" w:lineRule="auto"/>
        <w:ind w:left="9" w:firstLine="498"/>
        <w:rPr>
          <w:color w:val="auto"/>
          <w:sz w:val="24"/>
          <w:szCs w:val="24"/>
        </w:rPr>
      </w:pPr>
      <w:r>
        <w:rPr>
          <w:color w:val="auto"/>
          <w:spacing w:val="-6"/>
          <w:sz w:val="24"/>
          <w:szCs w:val="24"/>
        </w:rPr>
        <w:t>12.1</w:t>
      </w:r>
      <w:r>
        <w:rPr>
          <w:color w:val="auto"/>
          <w:spacing w:val="-48"/>
          <w:sz w:val="24"/>
          <w:szCs w:val="24"/>
        </w:rPr>
        <w:t xml:space="preserve"> </w:t>
      </w:r>
      <w:r>
        <w:rPr>
          <w:color w:val="auto"/>
          <w:spacing w:val="-6"/>
          <w:sz w:val="24"/>
          <w:szCs w:val="24"/>
        </w:rPr>
        <w:t>“谈判响应文件</w:t>
      </w:r>
      <w:r>
        <w:rPr>
          <w:color w:val="auto"/>
          <w:spacing w:val="-88"/>
          <w:sz w:val="24"/>
          <w:szCs w:val="24"/>
        </w:rPr>
        <w:t xml:space="preserve"> </w:t>
      </w:r>
      <w:r>
        <w:rPr>
          <w:color w:val="auto"/>
          <w:spacing w:val="-6"/>
          <w:sz w:val="24"/>
          <w:szCs w:val="24"/>
        </w:rPr>
        <w:t>”从开启谈判响应文件之日起，谈判有</w:t>
      </w:r>
      <w:r>
        <w:rPr>
          <w:color w:val="auto"/>
          <w:spacing w:val="-7"/>
          <w:sz w:val="24"/>
          <w:szCs w:val="24"/>
        </w:rPr>
        <w:t>效期为90天。特殊情况下，</w:t>
      </w:r>
      <w:r>
        <w:rPr>
          <w:color w:val="auto"/>
          <w:spacing w:val="1"/>
          <w:sz w:val="24"/>
          <w:szCs w:val="24"/>
        </w:rPr>
        <w:t>采购代理机构可于谈判有效期期满之前，要求供应商同意延长应答有效期。供应商可以拒绝或同意上述要求，但要求与答复均须是书面文件。对于同意该要求的供应商，采购代理</w:t>
      </w:r>
      <w:r>
        <w:rPr>
          <w:color w:val="auto"/>
          <w:spacing w:val="-1"/>
          <w:sz w:val="24"/>
          <w:szCs w:val="24"/>
        </w:rPr>
        <w:t>机构既不要求也不允许其修改“谈判响应文件</w:t>
      </w:r>
      <w:r>
        <w:rPr>
          <w:color w:val="auto"/>
          <w:spacing w:val="-75"/>
          <w:sz w:val="24"/>
          <w:szCs w:val="24"/>
        </w:rPr>
        <w:t xml:space="preserve"> </w:t>
      </w:r>
      <w:r>
        <w:rPr>
          <w:color w:val="auto"/>
          <w:spacing w:val="-1"/>
          <w:sz w:val="24"/>
          <w:szCs w:val="24"/>
        </w:rPr>
        <w:t>”。</w:t>
      </w:r>
    </w:p>
    <w:p w14:paraId="29D1303C">
      <w:pPr>
        <w:pStyle w:val="6"/>
        <w:spacing w:before="194" w:line="220" w:lineRule="auto"/>
        <w:ind w:left="508"/>
        <w:rPr>
          <w:color w:val="auto"/>
          <w:sz w:val="24"/>
          <w:szCs w:val="24"/>
        </w:rPr>
      </w:pPr>
      <w:r>
        <w:rPr>
          <w:color w:val="auto"/>
          <w:spacing w:val="-1"/>
          <w:sz w:val="24"/>
          <w:szCs w:val="24"/>
        </w:rPr>
        <w:t>12.2 谈判有效期比规定期限短的将被视为非响应谈判而予以拒绝。</w:t>
      </w:r>
    </w:p>
    <w:p w14:paraId="55437701">
      <w:pPr>
        <w:pStyle w:val="6"/>
        <w:spacing w:before="194" w:line="220" w:lineRule="auto"/>
        <w:ind w:left="508"/>
        <w:rPr>
          <w:color w:val="auto"/>
          <w:sz w:val="24"/>
          <w:szCs w:val="24"/>
        </w:rPr>
      </w:pPr>
      <w:r>
        <w:rPr>
          <w:b/>
          <w:bCs/>
          <w:color w:val="auto"/>
          <w:spacing w:val="-4"/>
          <w:sz w:val="24"/>
          <w:szCs w:val="24"/>
        </w:rPr>
        <w:t>13．谈判响应文件的制作和签署</w:t>
      </w:r>
    </w:p>
    <w:p w14:paraId="05D2C3D8">
      <w:pPr>
        <w:pStyle w:val="6"/>
        <w:spacing w:before="194" w:line="369" w:lineRule="auto"/>
        <w:ind w:left="21" w:right="65" w:firstLine="469"/>
        <w:rPr>
          <w:color w:val="auto"/>
          <w:sz w:val="24"/>
          <w:szCs w:val="24"/>
        </w:rPr>
      </w:pPr>
      <w:r>
        <w:rPr>
          <w:b/>
          <w:bCs/>
          <w:color w:val="auto"/>
          <w:spacing w:val="16"/>
          <w:sz w:val="24"/>
          <w:szCs w:val="24"/>
        </w:rPr>
        <w:t>本项</w:t>
      </w:r>
      <w:r>
        <w:rPr>
          <w:color w:val="auto"/>
          <w:spacing w:val="-41"/>
          <w:sz w:val="24"/>
          <w:szCs w:val="24"/>
        </w:rPr>
        <w:t xml:space="preserve"> </w:t>
      </w:r>
      <w:r>
        <w:rPr>
          <w:b/>
          <w:bCs/>
          <w:color w:val="auto"/>
          <w:spacing w:val="16"/>
          <w:sz w:val="24"/>
          <w:szCs w:val="24"/>
        </w:rPr>
        <w:t>目采用电子谈判响应文件的方式</w:t>
      </w:r>
      <w:r>
        <w:rPr>
          <w:color w:val="auto"/>
          <w:spacing w:val="-70"/>
          <w:sz w:val="24"/>
          <w:szCs w:val="24"/>
        </w:rPr>
        <w:t xml:space="preserve"> </w:t>
      </w:r>
      <w:r>
        <w:rPr>
          <w:color w:val="auto"/>
          <w:spacing w:val="16"/>
          <w:sz w:val="24"/>
          <w:szCs w:val="24"/>
        </w:rPr>
        <w:t>，</w:t>
      </w:r>
      <w:r>
        <w:rPr>
          <w:b/>
          <w:bCs/>
          <w:color w:val="auto"/>
          <w:spacing w:val="16"/>
          <w:sz w:val="24"/>
          <w:szCs w:val="24"/>
        </w:rPr>
        <w:t>供应商在投标时提供电子谈判响应文件</w:t>
      </w:r>
      <w:r>
        <w:rPr>
          <w:b/>
          <w:bCs/>
          <w:color w:val="auto"/>
          <w:spacing w:val="-5"/>
          <w:sz w:val="24"/>
          <w:szCs w:val="24"/>
        </w:rPr>
        <w:t>（*.SXSTF）。</w:t>
      </w:r>
    </w:p>
    <w:p w14:paraId="2B31A5CF">
      <w:pPr>
        <w:pStyle w:val="6"/>
        <w:spacing w:before="1" w:line="220" w:lineRule="auto"/>
        <w:ind w:left="508"/>
        <w:rPr>
          <w:color w:val="auto"/>
          <w:sz w:val="24"/>
          <w:szCs w:val="24"/>
        </w:rPr>
      </w:pPr>
      <w:r>
        <w:rPr>
          <w:b/>
          <w:bCs/>
          <w:color w:val="auto"/>
          <w:spacing w:val="-8"/>
          <w:sz w:val="24"/>
          <w:szCs w:val="24"/>
        </w:rPr>
        <w:t>13.1</w:t>
      </w:r>
      <w:r>
        <w:rPr>
          <w:color w:val="auto"/>
          <w:spacing w:val="44"/>
          <w:sz w:val="24"/>
          <w:szCs w:val="24"/>
        </w:rPr>
        <w:t xml:space="preserve"> </w:t>
      </w:r>
      <w:r>
        <w:rPr>
          <w:b/>
          <w:bCs/>
          <w:color w:val="auto"/>
          <w:spacing w:val="-8"/>
          <w:sz w:val="24"/>
          <w:szCs w:val="24"/>
        </w:rPr>
        <w:t>电子谈判响应文件</w:t>
      </w:r>
    </w:p>
    <w:p w14:paraId="66C4BE52">
      <w:pPr>
        <w:pStyle w:val="6"/>
        <w:spacing w:before="195" w:line="369" w:lineRule="auto"/>
        <w:ind w:left="9" w:right="63" w:firstLine="482"/>
        <w:jc w:val="both"/>
        <w:rPr>
          <w:color w:val="auto"/>
          <w:sz w:val="24"/>
          <w:szCs w:val="24"/>
        </w:rPr>
      </w:pPr>
      <w:r>
        <w:rPr>
          <w:color w:val="auto"/>
          <w:spacing w:val="1"/>
          <w:sz w:val="24"/>
          <w:szCs w:val="24"/>
        </w:rPr>
        <w:t>编制电子谈判响应文件时，应使用最新发布的电子竞争性谈判文件及专用制作工具进行编制。并使用数字认证证书（</w:t>
      </w:r>
      <w:r>
        <w:rPr>
          <w:color w:val="auto"/>
          <w:sz w:val="24"/>
          <w:szCs w:val="24"/>
        </w:rPr>
        <w:t>CA</w:t>
      </w:r>
      <w:r>
        <w:rPr>
          <w:color w:val="auto"/>
          <w:spacing w:val="1"/>
          <w:sz w:val="24"/>
          <w:szCs w:val="24"/>
        </w:rPr>
        <w:t>）对电子谈判响应文件进行签署、加密、递交及开标时</w:t>
      </w:r>
      <w:r>
        <w:rPr>
          <w:color w:val="auto"/>
          <w:spacing w:val="-3"/>
          <w:sz w:val="24"/>
          <w:szCs w:val="24"/>
        </w:rPr>
        <w:t>解密等相关操作。谈判响应文件中需要加盖法定代表人私章的地方，请使用“法人 CA</w:t>
      </w:r>
      <w:r>
        <w:rPr>
          <w:color w:val="auto"/>
          <w:spacing w:val="-77"/>
          <w:sz w:val="24"/>
          <w:szCs w:val="24"/>
        </w:rPr>
        <w:t xml:space="preserve"> </w:t>
      </w:r>
      <w:r>
        <w:rPr>
          <w:color w:val="auto"/>
          <w:spacing w:val="-3"/>
          <w:sz w:val="24"/>
          <w:szCs w:val="24"/>
        </w:rPr>
        <w:t>”进行签章；需要加盖供应商公章的地方，请使用“企业 CA</w:t>
      </w:r>
      <w:r>
        <w:rPr>
          <w:color w:val="auto"/>
          <w:spacing w:val="-77"/>
          <w:sz w:val="24"/>
          <w:szCs w:val="24"/>
        </w:rPr>
        <w:t xml:space="preserve"> </w:t>
      </w:r>
      <w:r>
        <w:rPr>
          <w:color w:val="auto"/>
          <w:spacing w:val="-3"/>
          <w:sz w:val="24"/>
          <w:szCs w:val="24"/>
        </w:rPr>
        <w:t>”进行盖章。加密和解密应当使用</w:t>
      </w:r>
      <w:r>
        <w:rPr>
          <w:color w:val="auto"/>
          <w:spacing w:val="-1"/>
          <w:sz w:val="24"/>
          <w:szCs w:val="24"/>
        </w:rPr>
        <w:t>同一CA，否则将会导致解密失败。</w:t>
      </w:r>
    </w:p>
    <w:p w14:paraId="0832B564">
      <w:pPr>
        <w:pStyle w:val="6"/>
        <w:spacing w:line="220" w:lineRule="auto"/>
        <w:ind w:left="501"/>
        <w:rPr>
          <w:color w:val="auto"/>
          <w:sz w:val="24"/>
          <w:szCs w:val="24"/>
        </w:rPr>
      </w:pPr>
      <w:r>
        <w:rPr>
          <w:b/>
          <w:bCs/>
          <w:color w:val="auto"/>
          <w:spacing w:val="-4"/>
          <w:sz w:val="24"/>
          <w:szCs w:val="24"/>
        </w:rPr>
        <w:t>（1）电子竞争性谈判文件下载</w:t>
      </w:r>
    </w:p>
    <w:p w14:paraId="7CDB82D0">
      <w:pPr>
        <w:pStyle w:val="6"/>
        <w:spacing w:before="195" w:line="369" w:lineRule="auto"/>
        <w:ind w:left="10" w:right="3" w:firstLine="480"/>
        <w:jc w:val="both"/>
        <w:rPr>
          <w:color w:val="auto"/>
          <w:sz w:val="24"/>
          <w:szCs w:val="24"/>
        </w:rPr>
      </w:pPr>
      <w:r>
        <w:rPr>
          <w:color w:val="auto"/>
          <w:spacing w:val="1"/>
          <w:sz w:val="24"/>
          <w:szCs w:val="24"/>
        </w:rPr>
        <w:t>供应商登录全国公共资源交易平台（陕西省）网站[电子交易平台-企业端]后，在[我</w:t>
      </w:r>
      <w:r>
        <w:rPr>
          <w:color w:val="auto"/>
          <w:spacing w:val="-3"/>
          <w:sz w:val="24"/>
          <w:szCs w:val="24"/>
        </w:rPr>
        <w:t>的项目]中点击“项目流程-交易文件下载</w:t>
      </w:r>
      <w:r>
        <w:rPr>
          <w:color w:val="auto"/>
          <w:spacing w:val="-87"/>
          <w:sz w:val="24"/>
          <w:szCs w:val="24"/>
        </w:rPr>
        <w:t xml:space="preserve"> </w:t>
      </w:r>
      <w:r>
        <w:rPr>
          <w:color w:val="auto"/>
          <w:spacing w:val="-3"/>
          <w:sz w:val="24"/>
          <w:szCs w:val="24"/>
        </w:rPr>
        <w:t>”下载电子竞争性谈判文件</w:t>
      </w:r>
      <w:r>
        <w:rPr>
          <w:b/>
          <w:bCs/>
          <w:color w:val="auto"/>
          <w:spacing w:val="-3"/>
          <w:sz w:val="24"/>
          <w:szCs w:val="24"/>
        </w:rPr>
        <w:t>（*.SXSZF</w:t>
      </w:r>
      <w:r>
        <w:rPr>
          <w:b/>
          <w:bCs/>
          <w:color w:val="auto"/>
          <w:spacing w:val="-10"/>
          <w:sz w:val="24"/>
          <w:szCs w:val="24"/>
        </w:rPr>
        <w:t>）；</w:t>
      </w:r>
      <w:r>
        <w:rPr>
          <w:b/>
          <w:bCs/>
          <w:color w:val="auto"/>
          <w:spacing w:val="-3"/>
          <w:sz w:val="24"/>
          <w:szCs w:val="24"/>
        </w:rPr>
        <w:t>投标供</w:t>
      </w:r>
      <w:r>
        <w:rPr>
          <w:b/>
          <w:bCs/>
          <w:color w:val="auto"/>
          <w:spacing w:val="-6"/>
          <w:sz w:val="24"/>
          <w:szCs w:val="24"/>
        </w:rPr>
        <w:t>应商须在谈判响应文件截止日期前登录电子交易平台下载竞争性谈判文件，否则责任自负；</w:t>
      </w:r>
    </w:p>
    <w:p w14:paraId="4A95376A">
      <w:pPr>
        <w:pStyle w:val="6"/>
        <w:spacing w:line="220" w:lineRule="auto"/>
        <w:ind w:left="490"/>
        <w:rPr>
          <w:color w:val="auto"/>
          <w:sz w:val="24"/>
          <w:szCs w:val="24"/>
        </w:rPr>
      </w:pPr>
      <w:r>
        <w:rPr>
          <w:b/>
          <w:bCs/>
          <w:color w:val="auto"/>
          <w:spacing w:val="-4"/>
          <w:sz w:val="24"/>
          <w:szCs w:val="24"/>
        </w:rPr>
        <w:t>特别注意：</w:t>
      </w:r>
    </w:p>
    <w:p w14:paraId="75A4B7A6">
      <w:pPr>
        <w:pStyle w:val="6"/>
        <w:spacing w:before="195" w:line="369" w:lineRule="auto"/>
        <w:ind w:left="9" w:right="63" w:firstLine="484"/>
        <w:rPr>
          <w:color w:val="auto"/>
          <w:sz w:val="24"/>
          <w:szCs w:val="24"/>
        </w:rPr>
      </w:pPr>
      <w:r>
        <w:rPr>
          <w:color w:val="auto"/>
          <w:spacing w:val="-3"/>
          <w:sz w:val="24"/>
          <w:szCs w:val="24"/>
        </w:rPr>
        <w:t>该项目如有变更文件，则应点击“项目流程&gt;答疑文件下载</w:t>
      </w:r>
      <w:r>
        <w:rPr>
          <w:color w:val="auto"/>
          <w:spacing w:val="-88"/>
          <w:sz w:val="24"/>
          <w:szCs w:val="24"/>
        </w:rPr>
        <w:t xml:space="preserve"> </w:t>
      </w:r>
      <w:r>
        <w:rPr>
          <w:color w:val="auto"/>
          <w:spacing w:val="-3"/>
          <w:sz w:val="24"/>
          <w:szCs w:val="24"/>
        </w:rPr>
        <w:t>”下载更新后的电子竞</w:t>
      </w:r>
      <w:r>
        <w:rPr>
          <w:color w:val="auto"/>
          <w:spacing w:val="-4"/>
          <w:sz w:val="24"/>
          <w:szCs w:val="24"/>
        </w:rPr>
        <w:t>争性</w:t>
      </w:r>
      <w:r>
        <w:rPr>
          <w:color w:val="auto"/>
          <w:spacing w:val="-2"/>
          <w:sz w:val="24"/>
          <w:szCs w:val="24"/>
        </w:rPr>
        <w:t>谈判文件</w:t>
      </w:r>
      <w:r>
        <w:rPr>
          <w:b/>
          <w:bCs/>
          <w:color w:val="auto"/>
          <w:spacing w:val="-2"/>
          <w:sz w:val="24"/>
          <w:szCs w:val="24"/>
        </w:rPr>
        <w:t>（*.SXSCF</w:t>
      </w:r>
      <w:r>
        <w:rPr>
          <w:b/>
          <w:bCs/>
          <w:color w:val="auto"/>
          <w:spacing w:val="-10"/>
          <w:sz w:val="24"/>
          <w:szCs w:val="24"/>
        </w:rPr>
        <w:t>）</w:t>
      </w:r>
      <w:r>
        <w:rPr>
          <w:color w:val="auto"/>
          <w:spacing w:val="-10"/>
          <w:sz w:val="24"/>
          <w:szCs w:val="24"/>
        </w:rPr>
        <w:t>，</w:t>
      </w:r>
      <w:r>
        <w:rPr>
          <w:color w:val="auto"/>
          <w:spacing w:val="-2"/>
          <w:sz w:val="24"/>
          <w:szCs w:val="24"/>
        </w:rPr>
        <w:t>使用旧版电子竞争性谈判文件制作的电子谈判响应文件，系统将拒</w:t>
      </w:r>
      <w:r>
        <w:rPr>
          <w:color w:val="auto"/>
          <w:spacing w:val="-3"/>
          <w:sz w:val="24"/>
          <w:szCs w:val="24"/>
        </w:rPr>
        <w:t>绝接收。</w:t>
      </w:r>
    </w:p>
    <w:p w14:paraId="229D7885">
      <w:pPr>
        <w:pStyle w:val="6"/>
        <w:spacing w:line="220" w:lineRule="auto"/>
        <w:ind w:left="501"/>
        <w:rPr>
          <w:color w:val="auto"/>
          <w:sz w:val="24"/>
          <w:szCs w:val="24"/>
        </w:rPr>
      </w:pPr>
      <w:r>
        <w:rPr>
          <w:b/>
          <w:bCs/>
          <w:color w:val="auto"/>
          <w:spacing w:val="-3"/>
          <w:sz w:val="24"/>
          <w:szCs w:val="24"/>
        </w:rPr>
        <w:t>（2）电子竞争性谈判文件需要使用专用软件打开、浏览</w:t>
      </w:r>
    </w:p>
    <w:p w14:paraId="1BDE7B3A">
      <w:pPr>
        <w:pStyle w:val="6"/>
        <w:spacing w:before="195" w:line="367" w:lineRule="auto"/>
        <w:ind w:left="11" w:right="63" w:firstLine="479"/>
        <w:jc w:val="both"/>
        <w:rPr>
          <w:color w:val="auto"/>
          <w:sz w:val="24"/>
          <w:szCs w:val="24"/>
        </w:rPr>
      </w:pPr>
      <w:r>
        <w:rPr>
          <w:color w:val="auto"/>
          <w:spacing w:val="-2"/>
          <w:sz w:val="24"/>
          <w:szCs w:val="24"/>
        </w:rPr>
        <w:t>供应商登录全国公共资源交易平台（陕西省）网站[服务指南-下载专区]免费下载</w:t>
      </w:r>
      <w:r>
        <w:rPr>
          <w:color w:val="auto"/>
          <w:spacing w:val="-3"/>
          <w:sz w:val="24"/>
          <w:szCs w:val="24"/>
        </w:rPr>
        <w:t>《陕</w:t>
      </w:r>
      <w:r>
        <w:rPr>
          <w:color w:val="auto"/>
          <w:spacing w:val="1"/>
          <w:sz w:val="24"/>
          <w:szCs w:val="24"/>
        </w:rPr>
        <w:t>西省公共资源交易平台政府采购电子标书制作工具(V8.0.0.2)》，并升级至最</w:t>
      </w:r>
      <w:r>
        <w:rPr>
          <w:color w:val="auto"/>
          <w:sz w:val="24"/>
          <w:szCs w:val="24"/>
        </w:rPr>
        <w:t>新版本，使</w:t>
      </w:r>
      <w:r>
        <w:rPr>
          <w:color w:val="auto"/>
          <w:spacing w:val="1"/>
          <w:sz w:val="24"/>
          <w:szCs w:val="24"/>
        </w:rPr>
        <w:t>用该客户端可以打开电子竞争性谈判文件。软件操作手册详见全国公共资源交易平台（陕</w:t>
      </w:r>
      <w:r>
        <w:rPr>
          <w:color w:val="auto"/>
          <w:spacing w:val="-2"/>
          <w:sz w:val="24"/>
          <w:szCs w:val="24"/>
        </w:rPr>
        <w:t>西省）网站[服务指南-下载专区]中的《陕西省公共资源交易（政府采购类）谈判响应文件制作软件操作手册》；</w:t>
      </w:r>
    </w:p>
    <w:p w14:paraId="3EA6BE5D">
      <w:pPr>
        <w:pStyle w:val="6"/>
        <w:spacing w:before="163" w:line="220" w:lineRule="auto"/>
        <w:ind w:left="501"/>
        <w:rPr>
          <w:color w:val="auto"/>
          <w:sz w:val="24"/>
          <w:szCs w:val="24"/>
        </w:rPr>
      </w:pPr>
      <w:r>
        <w:rPr>
          <w:b/>
          <w:bCs/>
          <w:color w:val="auto"/>
          <w:spacing w:val="-4"/>
          <w:sz w:val="24"/>
          <w:szCs w:val="24"/>
        </w:rPr>
        <w:t>（3）制作电子谈判响应文件</w:t>
      </w:r>
    </w:p>
    <w:p w14:paraId="31A70F55">
      <w:pPr>
        <w:pStyle w:val="6"/>
        <w:spacing w:before="194" w:line="369" w:lineRule="auto"/>
        <w:ind w:left="8" w:firstLine="510"/>
        <w:rPr>
          <w:color w:val="auto"/>
          <w:sz w:val="24"/>
          <w:szCs w:val="24"/>
        </w:rPr>
      </w:pPr>
      <w:r>
        <w:rPr>
          <w:color w:val="auto"/>
          <w:spacing w:val="-4"/>
          <w:sz w:val="24"/>
          <w:szCs w:val="24"/>
        </w:rPr>
        <w:t>电子谈判响应文件同样需要使用上述软件进行编制。在编</w:t>
      </w:r>
      <w:r>
        <w:rPr>
          <w:color w:val="auto"/>
          <w:spacing w:val="-5"/>
          <w:sz w:val="24"/>
          <w:szCs w:val="24"/>
        </w:rPr>
        <w:t>制过程中，如有技术性问题，</w:t>
      </w:r>
      <w:r>
        <w:rPr>
          <w:color w:val="auto"/>
          <w:sz w:val="24"/>
          <w:szCs w:val="24"/>
        </w:rPr>
        <w:t>请先翻阅操作手册或致电软件开发商，技术支持热线：4009280095、40</w:t>
      </w:r>
      <w:r>
        <w:rPr>
          <w:color w:val="auto"/>
          <w:spacing w:val="-1"/>
          <w:sz w:val="24"/>
          <w:szCs w:val="24"/>
        </w:rPr>
        <w:t>09980000。</w:t>
      </w:r>
    </w:p>
    <w:p w14:paraId="7240377B">
      <w:pPr>
        <w:pStyle w:val="6"/>
        <w:spacing w:line="220" w:lineRule="auto"/>
        <w:ind w:left="508"/>
        <w:rPr>
          <w:color w:val="auto"/>
          <w:sz w:val="24"/>
          <w:szCs w:val="24"/>
        </w:rPr>
      </w:pPr>
      <w:r>
        <w:rPr>
          <w:b/>
          <w:bCs/>
          <w:color w:val="auto"/>
          <w:spacing w:val="-5"/>
          <w:sz w:val="24"/>
          <w:szCs w:val="24"/>
        </w:rPr>
        <w:t>13.2</w:t>
      </w:r>
      <w:r>
        <w:rPr>
          <w:color w:val="auto"/>
          <w:spacing w:val="-5"/>
          <w:sz w:val="24"/>
          <w:szCs w:val="24"/>
        </w:rPr>
        <w:t xml:space="preserve"> </w:t>
      </w:r>
      <w:r>
        <w:rPr>
          <w:b/>
          <w:bCs/>
          <w:color w:val="auto"/>
          <w:spacing w:val="-5"/>
          <w:sz w:val="24"/>
          <w:szCs w:val="24"/>
        </w:rPr>
        <w:t>纸质投标文件</w:t>
      </w:r>
    </w:p>
    <w:p w14:paraId="7D4086AA">
      <w:pPr>
        <w:pStyle w:val="6"/>
        <w:spacing w:before="194" w:line="219" w:lineRule="auto"/>
        <w:ind w:left="491"/>
        <w:rPr>
          <w:color w:val="auto"/>
          <w:sz w:val="24"/>
          <w:szCs w:val="24"/>
        </w:rPr>
      </w:pPr>
      <w:r>
        <w:rPr>
          <w:color w:val="auto"/>
          <w:spacing w:val="-1"/>
          <w:sz w:val="24"/>
          <w:szCs w:val="24"/>
        </w:rPr>
        <w:t>本项目不提供纸质投标文件</w:t>
      </w:r>
    </w:p>
    <w:p w14:paraId="4FA98B12">
      <w:pPr>
        <w:pStyle w:val="6"/>
        <w:spacing w:before="335" w:line="220" w:lineRule="auto"/>
        <w:ind w:left="3388"/>
        <w:rPr>
          <w:color w:val="auto"/>
          <w:sz w:val="30"/>
          <w:szCs w:val="30"/>
        </w:rPr>
      </w:pPr>
      <w:r>
        <w:rPr>
          <w:b/>
          <w:bCs/>
          <w:color w:val="auto"/>
          <w:spacing w:val="-6"/>
          <w:sz w:val="30"/>
          <w:szCs w:val="30"/>
        </w:rPr>
        <w:t>四、谈判响应文件的递交</w:t>
      </w:r>
    </w:p>
    <w:p w14:paraId="1A4A2BBF">
      <w:pPr>
        <w:pStyle w:val="6"/>
        <w:spacing w:before="152" w:line="220" w:lineRule="auto"/>
        <w:ind w:left="508"/>
        <w:rPr>
          <w:color w:val="auto"/>
          <w:sz w:val="24"/>
          <w:szCs w:val="24"/>
        </w:rPr>
      </w:pPr>
      <w:r>
        <w:rPr>
          <w:b/>
          <w:bCs/>
          <w:color w:val="auto"/>
          <w:spacing w:val="-4"/>
          <w:sz w:val="24"/>
          <w:szCs w:val="24"/>
        </w:rPr>
        <w:t>14．电子响应文件的提交</w:t>
      </w:r>
    </w:p>
    <w:p w14:paraId="411FFF28">
      <w:pPr>
        <w:pStyle w:val="6"/>
        <w:spacing w:before="173" w:line="354" w:lineRule="auto"/>
        <w:ind w:left="11" w:right="63" w:firstLine="496"/>
        <w:jc w:val="both"/>
        <w:rPr>
          <w:color w:val="auto"/>
          <w:sz w:val="24"/>
          <w:szCs w:val="24"/>
        </w:rPr>
      </w:pPr>
      <w:r>
        <w:rPr>
          <w:b/>
          <w:bCs/>
          <w:color w:val="auto"/>
          <w:sz w:val="24"/>
          <w:szCs w:val="24"/>
        </w:rPr>
        <w:t>14.1</w:t>
      </w:r>
      <w:r>
        <w:rPr>
          <w:color w:val="auto"/>
          <w:spacing w:val="44"/>
          <w:sz w:val="24"/>
          <w:szCs w:val="24"/>
        </w:rPr>
        <w:t xml:space="preserve"> </w:t>
      </w:r>
      <w:r>
        <w:rPr>
          <w:b/>
          <w:bCs/>
          <w:color w:val="auto"/>
          <w:sz w:val="24"/>
          <w:szCs w:val="24"/>
        </w:rPr>
        <w:t>电子谈判响应文件应于谈判响应截止时间前任意时段登录全国公共资源交易平</w:t>
      </w:r>
      <w:r>
        <w:rPr>
          <w:b/>
          <w:bCs/>
          <w:color w:val="auto"/>
          <w:spacing w:val="-5"/>
          <w:sz w:val="24"/>
          <w:szCs w:val="24"/>
        </w:rPr>
        <w:t>台（陕西省）网站[电子交易平台-企业端]进行提交，逾期系统将拒绝接收。提交时，供应</w:t>
      </w:r>
      <w:r>
        <w:rPr>
          <w:b/>
          <w:bCs/>
          <w:color w:val="auto"/>
          <w:spacing w:val="-2"/>
          <w:sz w:val="24"/>
          <w:szCs w:val="24"/>
        </w:rPr>
        <w:t>商应登录全国公共资源交易中心平台（陕西省</w:t>
      </w:r>
      <w:r>
        <w:rPr>
          <w:b/>
          <w:bCs/>
          <w:color w:val="auto"/>
          <w:spacing w:val="6"/>
          <w:sz w:val="24"/>
          <w:szCs w:val="24"/>
        </w:rPr>
        <w:t>），</w:t>
      </w:r>
      <w:r>
        <w:rPr>
          <w:b/>
          <w:bCs/>
          <w:color w:val="auto"/>
          <w:spacing w:val="-2"/>
          <w:sz w:val="24"/>
          <w:szCs w:val="24"/>
        </w:rPr>
        <w:t>选择[“首页&gt;电子交易平台&gt;企业端&gt;我的项目</w:t>
      </w:r>
      <w:r>
        <w:rPr>
          <w:color w:val="auto"/>
          <w:spacing w:val="-88"/>
          <w:sz w:val="24"/>
          <w:szCs w:val="24"/>
        </w:rPr>
        <w:t xml:space="preserve"> </w:t>
      </w:r>
      <w:r>
        <w:rPr>
          <w:b/>
          <w:bCs/>
          <w:color w:val="auto"/>
          <w:spacing w:val="-2"/>
          <w:sz w:val="24"/>
          <w:szCs w:val="24"/>
        </w:rPr>
        <w:t>”，点击[项目流程]，在打开的[项目管理]对话框</w:t>
      </w:r>
      <w:r>
        <w:rPr>
          <w:b/>
          <w:bCs/>
          <w:color w:val="auto"/>
          <w:spacing w:val="-3"/>
          <w:sz w:val="24"/>
          <w:szCs w:val="24"/>
        </w:rPr>
        <w:t>中选择[上传响应文件]，上传加</w:t>
      </w:r>
      <w:r>
        <w:rPr>
          <w:b/>
          <w:bCs/>
          <w:color w:val="auto"/>
          <w:spacing w:val="-2"/>
          <w:sz w:val="24"/>
          <w:szCs w:val="24"/>
        </w:rPr>
        <w:t>密的电子谈判响应文件（*.SXSTF</w:t>
      </w:r>
      <w:r>
        <w:rPr>
          <w:b/>
          <w:bCs/>
          <w:color w:val="auto"/>
          <w:spacing w:val="3"/>
          <w:sz w:val="24"/>
          <w:szCs w:val="24"/>
        </w:rPr>
        <w:t>），</w:t>
      </w:r>
      <w:r>
        <w:rPr>
          <w:b/>
          <w:bCs/>
          <w:color w:val="auto"/>
          <w:spacing w:val="-2"/>
          <w:sz w:val="24"/>
          <w:szCs w:val="24"/>
        </w:rPr>
        <w:t>上传成功后，电</w:t>
      </w:r>
      <w:r>
        <w:rPr>
          <w:b/>
          <w:bCs/>
          <w:color w:val="auto"/>
          <w:spacing w:val="-3"/>
          <w:sz w:val="24"/>
          <w:szCs w:val="24"/>
        </w:rPr>
        <w:t>子化平台将予以记录。</w:t>
      </w:r>
    </w:p>
    <w:p w14:paraId="462CB948">
      <w:pPr>
        <w:pStyle w:val="6"/>
        <w:spacing w:before="1" w:line="220" w:lineRule="auto"/>
        <w:ind w:left="508"/>
        <w:rPr>
          <w:color w:val="auto"/>
          <w:sz w:val="24"/>
          <w:szCs w:val="24"/>
        </w:rPr>
      </w:pPr>
      <w:r>
        <w:rPr>
          <w:b/>
          <w:bCs/>
          <w:color w:val="auto"/>
          <w:spacing w:val="-6"/>
          <w:sz w:val="24"/>
          <w:szCs w:val="24"/>
        </w:rPr>
        <w:t>15．谈判截止日期</w:t>
      </w:r>
    </w:p>
    <w:p w14:paraId="516B99E6">
      <w:pPr>
        <w:pStyle w:val="6"/>
        <w:spacing w:before="174" w:line="219" w:lineRule="auto"/>
        <w:ind w:left="508"/>
        <w:rPr>
          <w:color w:val="auto"/>
          <w:sz w:val="24"/>
          <w:szCs w:val="24"/>
        </w:rPr>
      </w:pPr>
      <w:r>
        <w:rPr>
          <w:color w:val="auto"/>
          <w:spacing w:val="-1"/>
          <w:sz w:val="24"/>
          <w:szCs w:val="24"/>
        </w:rPr>
        <w:t>15.1 供应商应在响应文件提交截止时间前，将响应文件上传至交易平台。</w:t>
      </w:r>
    </w:p>
    <w:p w14:paraId="50332609">
      <w:pPr>
        <w:pStyle w:val="6"/>
        <w:spacing w:before="176" w:line="309" w:lineRule="auto"/>
        <w:ind w:left="11" w:right="61" w:firstLine="496"/>
        <w:rPr>
          <w:color w:val="auto"/>
          <w:sz w:val="24"/>
          <w:szCs w:val="24"/>
        </w:rPr>
      </w:pPr>
      <w:r>
        <w:rPr>
          <w:color w:val="auto"/>
          <w:spacing w:val="-3"/>
          <w:sz w:val="24"/>
          <w:szCs w:val="24"/>
        </w:rPr>
        <w:t>15.2 采购代理机构可以按本须知第</w:t>
      </w:r>
      <w:r>
        <w:rPr>
          <w:color w:val="auto"/>
          <w:spacing w:val="-46"/>
          <w:sz w:val="24"/>
          <w:szCs w:val="24"/>
        </w:rPr>
        <w:t xml:space="preserve"> </w:t>
      </w:r>
      <w:r>
        <w:rPr>
          <w:color w:val="auto"/>
          <w:spacing w:val="-3"/>
          <w:sz w:val="24"/>
          <w:szCs w:val="24"/>
        </w:rPr>
        <w:t>5.3</w:t>
      </w:r>
      <w:r>
        <w:rPr>
          <w:color w:val="auto"/>
          <w:spacing w:val="-49"/>
          <w:sz w:val="24"/>
          <w:szCs w:val="24"/>
        </w:rPr>
        <w:t xml:space="preserve"> </w:t>
      </w:r>
      <w:r>
        <w:rPr>
          <w:color w:val="auto"/>
          <w:spacing w:val="-3"/>
          <w:sz w:val="24"/>
          <w:szCs w:val="24"/>
        </w:rPr>
        <w:t>条规定，通知因修改竞争性谈判文件而适当延</w:t>
      </w:r>
      <w:r>
        <w:rPr>
          <w:color w:val="auto"/>
          <w:spacing w:val="1"/>
          <w:sz w:val="24"/>
          <w:szCs w:val="24"/>
        </w:rPr>
        <w:t>长谈判截止期。在此情况下，采购人、采购代理机构和供应商受谈判截止期制约的所有权</w:t>
      </w:r>
      <w:r>
        <w:rPr>
          <w:color w:val="auto"/>
          <w:spacing w:val="-1"/>
          <w:sz w:val="24"/>
          <w:szCs w:val="24"/>
        </w:rPr>
        <w:t>利和义务均应延长至新的截止期。</w:t>
      </w:r>
    </w:p>
    <w:p w14:paraId="79D4CF17">
      <w:pPr>
        <w:pStyle w:val="6"/>
        <w:spacing w:before="175" w:line="220" w:lineRule="auto"/>
        <w:ind w:left="508"/>
        <w:rPr>
          <w:color w:val="auto"/>
          <w:sz w:val="24"/>
          <w:szCs w:val="24"/>
        </w:rPr>
      </w:pPr>
      <w:r>
        <w:rPr>
          <w:b/>
          <w:bCs/>
          <w:color w:val="auto"/>
          <w:spacing w:val="-5"/>
          <w:sz w:val="24"/>
          <w:szCs w:val="24"/>
        </w:rPr>
        <w:t>16．迟交的谈判响应文件</w:t>
      </w:r>
    </w:p>
    <w:p w14:paraId="2A9A5AAA">
      <w:pPr>
        <w:pStyle w:val="6"/>
        <w:spacing w:before="173" w:line="354" w:lineRule="auto"/>
        <w:ind w:left="9" w:right="93" w:firstLine="498"/>
        <w:rPr>
          <w:color w:val="auto"/>
          <w:sz w:val="24"/>
          <w:szCs w:val="24"/>
        </w:rPr>
      </w:pPr>
      <w:r>
        <w:rPr>
          <w:color w:val="auto"/>
          <w:spacing w:val="-3"/>
          <w:sz w:val="24"/>
          <w:szCs w:val="24"/>
        </w:rPr>
        <w:t>16.1</w:t>
      </w:r>
      <w:r>
        <w:rPr>
          <w:color w:val="auto"/>
          <w:spacing w:val="-11"/>
          <w:sz w:val="24"/>
          <w:szCs w:val="24"/>
        </w:rPr>
        <w:t xml:space="preserve"> </w:t>
      </w:r>
      <w:r>
        <w:rPr>
          <w:color w:val="auto"/>
          <w:spacing w:val="-3"/>
          <w:sz w:val="24"/>
          <w:szCs w:val="24"/>
        </w:rPr>
        <w:t>电子谈判响应文件在响应文件提交截止时间后提交，系统将拒绝接收；采购人、</w:t>
      </w:r>
      <w:r>
        <w:rPr>
          <w:color w:val="auto"/>
          <w:sz w:val="24"/>
          <w:szCs w:val="24"/>
        </w:rPr>
        <w:t>采购代理机构及谈判小组将拒绝接收谈判截止期后</w:t>
      </w:r>
      <w:r>
        <w:rPr>
          <w:color w:val="auto"/>
          <w:spacing w:val="-1"/>
          <w:sz w:val="24"/>
          <w:szCs w:val="24"/>
        </w:rPr>
        <w:t>送达的任何响应文件。</w:t>
      </w:r>
    </w:p>
    <w:p w14:paraId="3667A101">
      <w:pPr>
        <w:pStyle w:val="6"/>
        <w:spacing w:before="1" w:line="220" w:lineRule="auto"/>
        <w:ind w:left="508"/>
        <w:rPr>
          <w:color w:val="auto"/>
          <w:sz w:val="24"/>
          <w:szCs w:val="24"/>
        </w:rPr>
      </w:pPr>
      <w:r>
        <w:rPr>
          <w:b/>
          <w:bCs/>
          <w:color w:val="auto"/>
          <w:spacing w:val="-4"/>
          <w:sz w:val="24"/>
          <w:szCs w:val="24"/>
        </w:rPr>
        <w:t>17．谈判响应文件的修改和撤回</w:t>
      </w:r>
    </w:p>
    <w:p w14:paraId="4457A65A">
      <w:pPr>
        <w:pStyle w:val="6"/>
        <w:spacing w:before="173" w:line="287" w:lineRule="auto"/>
        <w:ind w:left="9" w:right="63" w:firstLine="498"/>
        <w:rPr>
          <w:color w:val="auto"/>
          <w:sz w:val="24"/>
          <w:szCs w:val="24"/>
        </w:rPr>
      </w:pPr>
      <w:r>
        <w:rPr>
          <w:color w:val="auto"/>
          <w:spacing w:val="-2"/>
          <w:sz w:val="24"/>
          <w:szCs w:val="24"/>
        </w:rPr>
        <w:t>17.1 在响应文件提交截止时间前，可对电子</w:t>
      </w:r>
      <w:r>
        <w:rPr>
          <w:color w:val="auto"/>
          <w:spacing w:val="-3"/>
          <w:sz w:val="24"/>
          <w:szCs w:val="24"/>
        </w:rPr>
        <w:t>谈判响应文件进行撤回操作。撤回后，可</w:t>
      </w:r>
      <w:r>
        <w:rPr>
          <w:color w:val="auto"/>
          <w:spacing w:val="-1"/>
          <w:sz w:val="24"/>
          <w:szCs w:val="24"/>
        </w:rPr>
        <w:t>在响应文件提交截止时间前重新提交。</w:t>
      </w:r>
    </w:p>
    <w:p w14:paraId="372EC531">
      <w:pPr>
        <w:pStyle w:val="6"/>
        <w:spacing w:before="174" w:line="286" w:lineRule="auto"/>
        <w:ind w:left="13" w:right="63" w:firstLine="494"/>
        <w:rPr>
          <w:color w:val="auto"/>
          <w:sz w:val="24"/>
          <w:szCs w:val="24"/>
        </w:rPr>
      </w:pPr>
      <w:r>
        <w:rPr>
          <w:color w:val="auto"/>
          <w:spacing w:val="-2"/>
          <w:sz w:val="24"/>
          <w:szCs w:val="24"/>
        </w:rPr>
        <w:t>17.2 响应文件提交截止时间后，不能进行撤</w:t>
      </w:r>
      <w:r>
        <w:rPr>
          <w:color w:val="auto"/>
          <w:spacing w:val="-3"/>
          <w:sz w:val="24"/>
          <w:szCs w:val="24"/>
        </w:rPr>
        <w:t>回文件操作。是否进行撤回文件操作，由</w:t>
      </w:r>
      <w:r>
        <w:rPr>
          <w:color w:val="auto"/>
          <w:spacing w:val="-1"/>
          <w:sz w:val="24"/>
          <w:szCs w:val="24"/>
        </w:rPr>
        <w:t>投标供应商决定，责任由投标供应商自行承担。</w:t>
      </w:r>
    </w:p>
    <w:p w14:paraId="60462064">
      <w:pPr>
        <w:pStyle w:val="6"/>
        <w:spacing w:before="124" w:line="221" w:lineRule="auto"/>
        <w:ind w:left="3967"/>
        <w:rPr>
          <w:color w:val="auto"/>
          <w:sz w:val="30"/>
          <w:szCs w:val="30"/>
        </w:rPr>
      </w:pPr>
      <w:r>
        <w:rPr>
          <w:b/>
          <w:bCs/>
          <w:color w:val="auto"/>
          <w:spacing w:val="-5"/>
          <w:sz w:val="30"/>
          <w:szCs w:val="30"/>
        </w:rPr>
        <w:t>五、谈判与评审</w:t>
      </w:r>
    </w:p>
    <w:p w14:paraId="29DD0F57">
      <w:pPr>
        <w:pStyle w:val="6"/>
        <w:spacing w:before="153" w:line="221" w:lineRule="auto"/>
        <w:ind w:left="508"/>
        <w:rPr>
          <w:color w:val="auto"/>
          <w:sz w:val="24"/>
          <w:szCs w:val="24"/>
        </w:rPr>
      </w:pPr>
      <w:r>
        <w:rPr>
          <w:b/>
          <w:bCs/>
          <w:color w:val="auto"/>
          <w:spacing w:val="-8"/>
          <w:sz w:val="24"/>
          <w:szCs w:val="24"/>
        </w:rPr>
        <w:t>18.谈判</w:t>
      </w:r>
    </w:p>
    <w:p w14:paraId="70FE7810">
      <w:pPr>
        <w:pStyle w:val="6"/>
        <w:spacing w:before="172" w:line="357" w:lineRule="auto"/>
        <w:ind w:left="15" w:right="63" w:firstLine="492"/>
        <w:rPr>
          <w:color w:val="auto"/>
          <w:sz w:val="24"/>
          <w:szCs w:val="24"/>
        </w:rPr>
      </w:pPr>
      <w:r>
        <w:rPr>
          <w:color w:val="auto"/>
          <w:spacing w:val="-2"/>
          <w:sz w:val="24"/>
          <w:szCs w:val="24"/>
        </w:rPr>
        <w:t>18.1 采购代理机构组织谈判、文件开启、评</w:t>
      </w:r>
      <w:r>
        <w:rPr>
          <w:color w:val="auto"/>
          <w:spacing w:val="-3"/>
          <w:sz w:val="24"/>
          <w:szCs w:val="24"/>
        </w:rPr>
        <w:t>审工作</w:t>
      </w:r>
      <w:r>
        <w:rPr>
          <w:color w:val="auto"/>
          <w:spacing w:val="-8"/>
          <w:sz w:val="24"/>
          <w:szCs w:val="24"/>
        </w:rPr>
        <w:t>。</w:t>
      </w:r>
    </w:p>
    <w:p w14:paraId="3B78CB8E">
      <w:pPr>
        <w:pStyle w:val="6"/>
        <w:spacing w:before="149" w:line="353" w:lineRule="auto"/>
        <w:ind w:left="2" w:right="16" w:firstLine="505"/>
        <w:jc w:val="both"/>
        <w:rPr>
          <w:color w:val="auto"/>
          <w:sz w:val="24"/>
          <w:szCs w:val="24"/>
        </w:rPr>
      </w:pPr>
      <w:r>
        <w:rPr>
          <w:color w:val="auto"/>
          <w:spacing w:val="-1"/>
          <w:sz w:val="24"/>
          <w:szCs w:val="24"/>
        </w:rPr>
        <w:t>18.2 采购代理机构在规定的时间和地点组织谈判，参加谈判的供应商在</w:t>
      </w:r>
      <w:r>
        <w:rPr>
          <w:color w:val="auto"/>
          <w:spacing w:val="-2"/>
          <w:sz w:val="24"/>
          <w:szCs w:val="24"/>
        </w:rPr>
        <w:t>开标前使用</w:t>
      </w:r>
      <w:r>
        <w:rPr>
          <w:color w:val="auto"/>
          <w:spacing w:val="-52"/>
          <w:sz w:val="24"/>
          <w:szCs w:val="24"/>
        </w:rPr>
        <w:t xml:space="preserve"> </w:t>
      </w:r>
      <w:r>
        <w:rPr>
          <w:color w:val="auto"/>
          <w:spacing w:val="-2"/>
          <w:sz w:val="24"/>
          <w:szCs w:val="24"/>
        </w:rPr>
        <w:t>C</w:t>
      </w:r>
      <w:r>
        <w:rPr>
          <w:color w:val="auto"/>
          <w:sz w:val="24"/>
          <w:szCs w:val="24"/>
        </w:rPr>
        <w:t xml:space="preserve"> A</w:t>
      </w:r>
      <w:r>
        <w:rPr>
          <w:color w:val="auto"/>
          <w:spacing w:val="-51"/>
          <w:sz w:val="24"/>
          <w:szCs w:val="24"/>
        </w:rPr>
        <w:t xml:space="preserve"> </w:t>
      </w:r>
      <w:r>
        <w:rPr>
          <w:color w:val="auto"/>
          <w:sz w:val="24"/>
          <w:szCs w:val="24"/>
        </w:rPr>
        <w:t>锁登录不见面开标系统（</w:t>
      </w:r>
      <w:r>
        <w:rPr>
          <w:color w:val="auto"/>
        </w:rPr>
        <w:fldChar w:fldCharType="begin"/>
      </w:r>
      <w:r>
        <w:rPr>
          <w:color w:val="auto"/>
        </w:rPr>
        <w:instrText xml:space="preserve"> HYPERLINK "http://219.145.206.209/BidOpeningHall/bidopeninghallaction/hall/login" </w:instrText>
      </w:r>
      <w:r>
        <w:rPr>
          <w:color w:val="auto"/>
        </w:rPr>
        <w:fldChar w:fldCharType="separate"/>
      </w:r>
      <w:r>
        <w:rPr>
          <w:color w:val="auto"/>
          <w:sz w:val="24"/>
          <w:szCs w:val="24"/>
        </w:rPr>
        <w:t>http://219.145.206.209/BidOpening</w:t>
      </w:r>
      <w:r>
        <w:rPr>
          <w:color w:val="auto"/>
          <w:spacing w:val="-1"/>
          <w:sz w:val="24"/>
          <w:szCs w:val="24"/>
        </w:rPr>
        <w:t>Hall/bidopeninghallact</w:t>
      </w:r>
      <w:r>
        <w:rPr>
          <w:color w:val="auto"/>
          <w:spacing w:val="-1"/>
          <w:sz w:val="24"/>
          <w:szCs w:val="24"/>
        </w:rPr>
        <w:fldChar w:fldCharType="end"/>
      </w:r>
      <w:r>
        <w:rPr>
          <w:color w:val="auto"/>
          <w:sz w:val="24"/>
          <w:szCs w:val="24"/>
        </w:rPr>
        <w:t xml:space="preserve"> </w:t>
      </w:r>
      <w:r>
        <w:rPr>
          <w:color w:val="auto"/>
        </w:rPr>
        <w:fldChar w:fldCharType="begin"/>
      </w:r>
      <w:r>
        <w:rPr>
          <w:color w:val="auto"/>
        </w:rPr>
        <w:instrText xml:space="preserve"> HYPERLINK "http://219.145.206.209/BidOpeningHall/bidopeninghallaction/hall/login" </w:instrText>
      </w:r>
      <w:r>
        <w:rPr>
          <w:color w:val="auto"/>
        </w:rPr>
        <w:fldChar w:fldCharType="separate"/>
      </w:r>
      <w:r>
        <w:rPr>
          <w:color w:val="auto"/>
          <w:sz w:val="24"/>
          <w:szCs w:val="24"/>
        </w:rPr>
        <w:t>ion/hall/login</w:t>
      </w:r>
      <w:r>
        <w:rPr>
          <w:color w:val="auto"/>
          <w:sz w:val="24"/>
          <w:szCs w:val="24"/>
        </w:rPr>
        <w:fldChar w:fldCharType="end"/>
      </w:r>
      <w:r>
        <w:rPr>
          <w:color w:val="auto"/>
          <w:sz w:val="24"/>
          <w:szCs w:val="24"/>
        </w:rPr>
        <w:t>）签到以证明其</w:t>
      </w:r>
      <w:r>
        <w:rPr>
          <w:color w:val="auto"/>
          <w:spacing w:val="-1"/>
          <w:sz w:val="24"/>
          <w:szCs w:val="24"/>
        </w:rPr>
        <w:t>出席。</w:t>
      </w:r>
    </w:p>
    <w:p w14:paraId="6D3B8CA4">
      <w:pPr>
        <w:pStyle w:val="6"/>
        <w:spacing w:before="2" w:line="354" w:lineRule="auto"/>
        <w:ind w:left="11" w:right="16" w:firstLine="479"/>
        <w:rPr>
          <w:color w:val="auto"/>
          <w:sz w:val="24"/>
          <w:szCs w:val="24"/>
        </w:rPr>
      </w:pPr>
      <w:r>
        <w:rPr>
          <w:b/>
          <w:bCs/>
          <w:color w:val="auto"/>
          <w:spacing w:val="-1"/>
          <w:sz w:val="24"/>
          <w:szCs w:val="24"/>
        </w:rPr>
        <w:t>注：请各供应商提前进行系统等调试工作，以</w:t>
      </w:r>
      <w:r>
        <w:rPr>
          <w:b/>
          <w:bCs/>
          <w:color w:val="auto"/>
          <w:spacing w:val="-2"/>
          <w:sz w:val="24"/>
          <w:szCs w:val="24"/>
        </w:rPr>
        <w:t>免影响开标。因系统原因导致签到及开</w:t>
      </w:r>
      <w:r>
        <w:rPr>
          <w:b/>
          <w:bCs/>
          <w:color w:val="auto"/>
          <w:spacing w:val="-3"/>
          <w:sz w:val="24"/>
          <w:szCs w:val="24"/>
        </w:rPr>
        <w:t>标失败的由供应商自行承担相应责任。</w:t>
      </w:r>
    </w:p>
    <w:p w14:paraId="6C662DE6">
      <w:pPr>
        <w:pStyle w:val="6"/>
        <w:spacing w:line="219" w:lineRule="auto"/>
        <w:ind w:left="508"/>
        <w:rPr>
          <w:color w:val="auto"/>
          <w:sz w:val="24"/>
          <w:szCs w:val="24"/>
        </w:rPr>
      </w:pPr>
      <w:r>
        <w:rPr>
          <w:color w:val="auto"/>
          <w:spacing w:val="-1"/>
          <w:sz w:val="24"/>
          <w:szCs w:val="24"/>
        </w:rPr>
        <w:t>18.3</w:t>
      </w:r>
      <w:r>
        <w:rPr>
          <w:color w:val="auto"/>
          <w:spacing w:val="-52"/>
          <w:sz w:val="24"/>
          <w:szCs w:val="24"/>
        </w:rPr>
        <w:t xml:space="preserve"> </w:t>
      </w:r>
      <w:r>
        <w:rPr>
          <w:color w:val="auto"/>
          <w:spacing w:val="-1"/>
          <w:sz w:val="24"/>
          <w:szCs w:val="24"/>
        </w:rPr>
        <w:t>解密谈判响应文件前，供应商上传的电子谈判响应文件仍为加密状</w:t>
      </w:r>
      <w:r>
        <w:rPr>
          <w:color w:val="auto"/>
          <w:spacing w:val="-2"/>
          <w:sz w:val="24"/>
          <w:szCs w:val="24"/>
        </w:rPr>
        <w:t>态。</w:t>
      </w:r>
    </w:p>
    <w:p w14:paraId="0656E66F">
      <w:pPr>
        <w:pStyle w:val="6"/>
        <w:spacing w:before="174" w:line="309" w:lineRule="auto"/>
        <w:ind w:left="9" w:right="16" w:firstLine="498"/>
        <w:rPr>
          <w:color w:val="auto"/>
          <w:sz w:val="24"/>
          <w:szCs w:val="24"/>
        </w:rPr>
      </w:pPr>
      <w:r>
        <w:rPr>
          <w:color w:val="auto"/>
          <w:spacing w:val="-3"/>
          <w:sz w:val="24"/>
          <w:szCs w:val="24"/>
        </w:rPr>
        <w:t>18.4</w:t>
      </w:r>
      <w:r>
        <w:rPr>
          <w:color w:val="auto"/>
          <w:spacing w:val="-45"/>
          <w:sz w:val="24"/>
          <w:szCs w:val="24"/>
        </w:rPr>
        <w:t xml:space="preserve"> </w:t>
      </w:r>
      <w:r>
        <w:rPr>
          <w:color w:val="auto"/>
          <w:spacing w:val="-3"/>
          <w:sz w:val="24"/>
          <w:szCs w:val="24"/>
        </w:rPr>
        <w:t>开标时，供应商须使用电子谈判响应文件加密时所用的数字认证证书(CA</w:t>
      </w:r>
      <w:r>
        <w:rPr>
          <w:color w:val="auto"/>
          <w:spacing w:val="-50"/>
          <w:sz w:val="24"/>
          <w:szCs w:val="24"/>
        </w:rPr>
        <w:t xml:space="preserve"> </w:t>
      </w:r>
      <w:r>
        <w:rPr>
          <w:color w:val="auto"/>
          <w:spacing w:val="-3"/>
          <w:sz w:val="24"/>
          <w:szCs w:val="24"/>
        </w:rPr>
        <w:t>锁)自行</w:t>
      </w:r>
      <w:r>
        <w:rPr>
          <w:color w:val="auto"/>
          <w:spacing w:val="2"/>
          <w:sz w:val="24"/>
          <w:szCs w:val="24"/>
        </w:rPr>
        <w:t>解密，供应商需在解密时间内输入密码，完成标书解密。所</w:t>
      </w:r>
      <w:r>
        <w:rPr>
          <w:color w:val="auto"/>
          <w:spacing w:val="-1"/>
          <w:sz w:val="24"/>
          <w:szCs w:val="24"/>
        </w:rPr>
        <w:t>有供应商解密完成后，由开标人员将响应文件导入开评标系统。</w:t>
      </w:r>
    </w:p>
    <w:p w14:paraId="15BDB6EC">
      <w:pPr>
        <w:pStyle w:val="6"/>
        <w:spacing w:before="176" w:line="219" w:lineRule="auto"/>
        <w:ind w:left="508"/>
        <w:rPr>
          <w:color w:val="auto"/>
          <w:sz w:val="24"/>
          <w:szCs w:val="24"/>
        </w:rPr>
      </w:pPr>
      <w:r>
        <w:rPr>
          <w:color w:val="auto"/>
          <w:spacing w:val="-1"/>
          <w:sz w:val="24"/>
          <w:szCs w:val="24"/>
        </w:rPr>
        <w:t>18.5 采购代理机构将在开标会议现场做开</w:t>
      </w:r>
      <w:r>
        <w:rPr>
          <w:color w:val="auto"/>
          <w:spacing w:val="-2"/>
          <w:sz w:val="24"/>
          <w:szCs w:val="24"/>
        </w:rPr>
        <w:t>标记录。</w:t>
      </w:r>
    </w:p>
    <w:p w14:paraId="4C531B2C">
      <w:pPr>
        <w:pStyle w:val="6"/>
        <w:spacing w:before="173" w:line="220" w:lineRule="auto"/>
        <w:ind w:left="508"/>
        <w:rPr>
          <w:color w:val="auto"/>
          <w:sz w:val="24"/>
          <w:szCs w:val="24"/>
        </w:rPr>
      </w:pPr>
      <w:r>
        <w:rPr>
          <w:color w:val="auto"/>
          <w:spacing w:val="-2"/>
          <w:sz w:val="24"/>
          <w:szCs w:val="24"/>
        </w:rPr>
        <w:t>18.6</w:t>
      </w:r>
      <w:r>
        <w:rPr>
          <w:color w:val="auto"/>
          <w:spacing w:val="-30"/>
          <w:sz w:val="24"/>
          <w:szCs w:val="24"/>
        </w:rPr>
        <w:t xml:space="preserve"> </w:t>
      </w:r>
      <w:r>
        <w:rPr>
          <w:color w:val="auto"/>
          <w:spacing w:val="-2"/>
          <w:sz w:val="24"/>
          <w:szCs w:val="24"/>
        </w:rPr>
        <w:t>出现下列情况之一的，其响应文件</w:t>
      </w:r>
      <w:r>
        <w:rPr>
          <w:color w:val="auto"/>
          <w:spacing w:val="-3"/>
          <w:sz w:val="24"/>
          <w:szCs w:val="24"/>
        </w:rPr>
        <w:t>视为无效文件：</w:t>
      </w:r>
    </w:p>
    <w:p w14:paraId="59EB7B64">
      <w:pPr>
        <w:pStyle w:val="6"/>
        <w:spacing w:before="175" w:line="219" w:lineRule="auto"/>
        <w:ind w:left="501"/>
        <w:rPr>
          <w:color w:val="auto"/>
          <w:sz w:val="24"/>
          <w:szCs w:val="24"/>
        </w:rPr>
      </w:pPr>
      <w:r>
        <w:rPr>
          <w:color w:val="auto"/>
          <w:spacing w:val="-2"/>
          <w:sz w:val="24"/>
          <w:szCs w:val="24"/>
        </w:rPr>
        <w:t>（1）供应商拒绝对响应文件进行解密的；</w:t>
      </w:r>
    </w:p>
    <w:p w14:paraId="05E9CF85">
      <w:pPr>
        <w:pStyle w:val="6"/>
        <w:spacing w:before="176" w:line="309" w:lineRule="auto"/>
        <w:ind w:left="10" w:right="16" w:firstLine="491"/>
        <w:rPr>
          <w:color w:val="auto"/>
          <w:sz w:val="24"/>
          <w:szCs w:val="24"/>
        </w:rPr>
      </w:pPr>
      <w:r>
        <w:rPr>
          <w:color w:val="auto"/>
          <w:spacing w:val="1"/>
          <w:sz w:val="24"/>
          <w:szCs w:val="24"/>
        </w:rPr>
        <w:t>（2）因供应商自身原因（如未带</w:t>
      </w:r>
      <w:r>
        <w:rPr>
          <w:color w:val="auto"/>
          <w:spacing w:val="-45"/>
          <w:sz w:val="24"/>
          <w:szCs w:val="24"/>
        </w:rPr>
        <w:t xml:space="preserve"> </w:t>
      </w:r>
      <w:r>
        <w:rPr>
          <w:color w:val="auto"/>
          <w:sz w:val="24"/>
          <w:szCs w:val="24"/>
        </w:rPr>
        <w:t>CA</w:t>
      </w:r>
      <w:r>
        <w:rPr>
          <w:color w:val="auto"/>
          <w:spacing w:val="-51"/>
          <w:sz w:val="24"/>
          <w:szCs w:val="24"/>
        </w:rPr>
        <w:t xml:space="preserve"> </w:t>
      </w:r>
      <w:r>
        <w:rPr>
          <w:color w:val="auto"/>
          <w:spacing w:val="1"/>
          <w:sz w:val="24"/>
          <w:szCs w:val="24"/>
        </w:rPr>
        <w:t>锁、或所带</w:t>
      </w:r>
      <w:r>
        <w:rPr>
          <w:color w:val="auto"/>
          <w:spacing w:val="-50"/>
          <w:sz w:val="24"/>
          <w:szCs w:val="24"/>
        </w:rPr>
        <w:t xml:space="preserve"> </w:t>
      </w:r>
      <w:r>
        <w:rPr>
          <w:color w:val="auto"/>
          <w:sz w:val="24"/>
          <w:szCs w:val="24"/>
        </w:rPr>
        <w:t>CA</w:t>
      </w:r>
      <w:r>
        <w:rPr>
          <w:color w:val="auto"/>
          <w:spacing w:val="-48"/>
          <w:sz w:val="24"/>
          <w:szCs w:val="24"/>
        </w:rPr>
        <w:t xml:space="preserve"> </w:t>
      </w:r>
      <w:r>
        <w:rPr>
          <w:color w:val="auto"/>
          <w:spacing w:val="1"/>
          <w:sz w:val="24"/>
          <w:szCs w:val="24"/>
        </w:rPr>
        <w:t>锁与制作响应文件使用的</w:t>
      </w:r>
      <w:r>
        <w:rPr>
          <w:color w:val="auto"/>
          <w:sz w:val="24"/>
          <w:szCs w:val="24"/>
        </w:rPr>
        <w:t>CA</w:t>
      </w:r>
      <w:r>
        <w:rPr>
          <w:color w:val="auto"/>
          <w:spacing w:val="-51"/>
          <w:sz w:val="24"/>
          <w:szCs w:val="24"/>
        </w:rPr>
        <w:t xml:space="preserve"> </w:t>
      </w:r>
      <w:r>
        <w:rPr>
          <w:color w:val="auto"/>
          <w:spacing w:val="1"/>
          <w:sz w:val="24"/>
          <w:szCs w:val="24"/>
        </w:rPr>
        <w:t>锁不一致、或沿用旧版竞争性谈判文件编制响应</w:t>
      </w:r>
      <w:r>
        <w:rPr>
          <w:color w:val="auto"/>
          <w:sz w:val="24"/>
          <w:szCs w:val="24"/>
        </w:rPr>
        <w:t>文件等情形</w:t>
      </w:r>
      <w:r>
        <w:rPr>
          <w:color w:val="auto"/>
          <w:spacing w:val="10"/>
          <w:sz w:val="24"/>
          <w:szCs w:val="24"/>
        </w:rPr>
        <w:t>），</w:t>
      </w:r>
      <w:r>
        <w:rPr>
          <w:color w:val="auto"/>
          <w:sz w:val="24"/>
          <w:szCs w:val="24"/>
        </w:rPr>
        <w:t>导致在规定时间内无法解密响</w:t>
      </w:r>
      <w:r>
        <w:rPr>
          <w:color w:val="auto"/>
          <w:spacing w:val="-2"/>
          <w:sz w:val="24"/>
          <w:szCs w:val="24"/>
        </w:rPr>
        <w:t>应文件的；</w:t>
      </w:r>
    </w:p>
    <w:p w14:paraId="20D7816D">
      <w:pPr>
        <w:pStyle w:val="6"/>
        <w:spacing w:before="175" w:line="219" w:lineRule="auto"/>
        <w:ind w:left="501"/>
        <w:rPr>
          <w:color w:val="auto"/>
          <w:sz w:val="24"/>
          <w:szCs w:val="24"/>
        </w:rPr>
      </w:pPr>
      <w:r>
        <w:rPr>
          <w:color w:val="auto"/>
          <w:spacing w:val="-2"/>
          <w:sz w:val="24"/>
          <w:szCs w:val="24"/>
        </w:rPr>
        <w:t>（3）上传的响应文件无法打开的；</w:t>
      </w:r>
    </w:p>
    <w:p w14:paraId="5BF597CA">
      <w:pPr>
        <w:pStyle w:val="6"/>
        <w:spacing w:before="174" w:line="219" w:lineRule="auto"/>
        <w:ind w:left="501"/>
        <w:rPr>
          <w:color w:val="auto"/>
          <w:sz w:val="24"/>
          <w:szCs w:val="24"/>
        </w:rPr>
      </w:pPr>
      <w:r>
        <w:rPr>
          <w:color w:val="auto"/>
          <w:spacing w:val="-1"/>
          <w:sz w:val="24"/>
          <w:szCs w:val="24"/>
        </w:rPr>
        <w:t>（4）政府采购法律法规规定的其他无效情形。</w:t>
      </w:r>
    </w:p>
    <w:p w14:paraId="2807FD13">
      <w:pPr>
        <w:pStyle w:val="6"/>
        <w:spacing w:before="175" w:line="221" w:lineRule="auto"/>
        <w:ind w:left="508"/>
        <w:rPr>
          <w:color w:val="auto"/>
          <w:sz w:val="24"/>
          <w:szCs w:val="24"/>
        </w:rPr>
      </w:pPr>
      <w:r>
        <w:rPr>
          <w:b/>
          <w:bCs/>
          <w:color w:val="auto"/>
          <w:spacing w:val="-7"/>
          <w:sz w:val="24"/>
          <w:szCs w:val="24"/>
        </w:rPr>
        <w:t>19.谈判小组</w:t>
      </w:r>
    </w:p>
    <w:p w14:paraId="33625866">
      <w:pPr>
        <w:pStyle w:val="6"/>
        <w:spacing w:before="175" w:line="286" w:lineRule="auto"/>
        <w:ind w:left="11" w:right="16" w:firstLine="496"/>
        <w:rPr>
          <w:color w:val="auto"/>
          <w:sz w:val="24"/>
          <w:szCs w:val="24"/>
        </w:rPr>
      </w:pPr>
      <w:r>
        <w:rPr>
          <w:color w:val="auto"/>
          <w:spacing w:val="-2"/>
          <w:sz w:val="24"/>
          <w:szCs w:val="24"/>
        </w:rPr>
        <w:t>19.1 采购人将按照《中华人民共和国政府采</w:t>
      </w:r>
      <w:r>
        <w:rPr>
          <w:color w:val="auto"/>
          <w:spacing w:val="-3"/>
          <w:sz w:val="24"/>
          <w:szCs w:val="24"/>
        </w:rPr>
        <w:t>购法实施条例》及《政府采购货物和服务</w:t>
      </w:r>
      <w:r>
        <w:rPr>
          <w:color w:val="auto"/>
          <w:spacing w:val="-1"/>
          <w:sz w:val="24"/>
          <w:szCs w:val="24"/>
        </w:rPr>
        <w:t>招标投标管理办法》等有关规定组建谈判小组。</w:t>
      </w:r>
    </w:p>
    <w:p w14:paraId="79F9C779">
      <w:pPr>
        <w:pStyle w:val="6"/>
        <w:spacing w:before="175" w:line="287" w:lineRule="auto"/>
        <w:ind w:left="13" w:right="16" w:firstLine="494"/>
        <w:rPr>
          <w:color w:val="auto"/>
          <w:sz w:val="24"/>
          <w:szCs w:val="24"/>
        </w:rPr>
      </w:pPr>
      <w:r>
        <w:rPr>
          <w:color w:val="auto"/>
          <w:spacing w:val="-2"/>
          <w:sz w:val="24"/>
          <w:szCs w:val="24"/>
        </w:rPr>
        <w:t>19.2 谈判小组由采购人及有关专家组成，评</w:t>
      </w:r>
      <w:r>
        <w:rPr>
          <w:color w:val="auto"/>
          <w:spacing w:val="-3"/>
          <w:sz w:val="24"/>
          <w:szCs w:val="24"/>
        </w:rPr>
        <w:t>审专家从陕西省政府采购专家库中随机抽</w:t>
      </w:r>
      <w:r>
        <w:rPr>
          <w:color w:val="auto"/>
          <w:spacing w:val="-4"/>
          <w:sz w:val="24"/>
          <w:szCs w:val="24"/>
        </w:rPr>
        <w:t>取产生。</w:t>
      </w:r>
    </w:p>
    <w:p w14:paraId="22AC10EA">
      <w:pPr>
        <w:pStyle w:val="6"/>
        <w:spacing w:before="171" w:line="287" w:lineRule="auto"/>
        <w:ind w:left="11" w:right="16" w:firstLine="496"/>
        <w:rPr>
          <w:color w:val="auto"/>
          <w:sz w:val="24"/>
          <w:szCs w:val="24"/>
        </w:rPr>
      </w:pPr>
      <w:r>
        <w:rPr>
          <w:color w:val="auto"/>
          <w:spacing w:val="-2"/>
          <w:sz w:val="24"/>
          <w:szCs w:val="24"/>
        </w:rPr>
        <w:t>19.3 谈判小组负责谈判工作，对谈判响应文</w:t>
      </w:r>
      <w:r>
        <w:rPr>
          <w:color w:val="auto"/>
          <w:spacing w:val="-3"/>
          <w:sz w:val="24"/>
          <w:szCs w:val="24"/>
        </w:rPr>
        <w:t>件进行审查和评估，并向采购人提交书面</w:t>
      </w:r>
      <w:r>
        <w:rPr>
          <w:color w:val="auto"/>
          <w:spacing w:val="-1"/>
          <w:sz w:val="24"/>
          <w:szCs w:val="24"/>
        </w:rPr>
        <w:t>提交评审报告，推荐成交候选人。</w:t>
      </w:r>
    </w:p>
    <w:p w14:paraId="495A46DE">
      <w:pPr>
        <w:pStyle w:val="6"/>
        <w:spacing w:before="178" w:line="309" w:lineRule="auto"/>
        <w:ind w:left="10" w:right="16" w:firstLine="497"/>
        <w:rPr>
          <w:color w:val="auto"/>
          <w:sz w:val="24"/>
          <w:szCs w:val="24"/>
        </w:rPr>
      </w:pPr>
      <w:r>
        <w:rPr>
          <w:color w:val="auto"/>
          <w:spacing w:val="-2"/>
          <w:sz w:val="24"/>
          <w:szCs w:val="24"/>
        </w:rPr>
        <w:t>19.4 文件开启后，直到向成交的供应商授予</w:t>
      </w:r>
      <w:r>
        <w:rPr>
          <w:color w:val="auto"/>
          <w:spacing w:val="-3"/>
          <w:sz w:val="24"/>
          <w:szCs w:val="24"/>
        </w:rPr>
        <w:t>承包合同为止，凡与审查、澄清、评价和</w:t>
      </w:r>
      <w:r>
        <w:rPr>
          <w:color w:val="auto"/>
          <w:spacing w:val="1"/>
          <w:sz w:val="24"/>
          <w:szCs w:val="24"/>
        </w:rPr>
        <w:t>比较谈判的有关资料及授标意见等内容，谈判小组均不得向其他供应商及与谈判无关的其</w:t>
      </w:r>
      <w:r>
        <w:rPr>
          <w:color w:val="auto"/>
          <w:spacing w:val="-2"/>
          <w:sz w:val="24"/>
          <w:szCs w:val="24"/>
        </w:rPr>
        <w:t>他人透露。</w:t>
      </w:r>
    </w:p>
    <w:p w14:paraId="0466A375">
      <w:pPr>
        <w:pStyle w:val="6"/>
        <w:spacing w:before="174" w:line="220" w:lineRule="auto"/>
        <w:ind w:left="493"/>
        <w:rPr>
          <w:color w:val="auto"/>
          <w:sz w:val="24"/>
          <w:szCs w:val="24"/>
        </w:rPr>
      </w:pPr>
      <w:r>
        <w:rPr>
          <w:b/>
          <w:bCs/>
          <w:color w:val="auto"/>
          <w:spacing w:val="-4"/>
          <w:sz w:val="24"/>
          <w:szCs w:val="24"/>
        </w:rPr>
        <w:t>20.谈判办法及内容</w:t>
      </w:r>
    </w:p>
    <w:p w14:paraId="1772EB12">
      <w:pPr>
        <w:pStyle w:val="6"/>
        <w:spacing w:before="172" w:line="221" w:lineRule="auto"/>
        <w:ind w:left="493"/>
        <w:rPr>
          <w:color w:val="auto"/>
          <w:sz w:val="24"/>
          <w:szCs w:val="24"/>
        </w:rPr>
      </w:pPr>
      <w:r>
        <w:rPr>
          <w:b/>
          <w:bCs/>
          <w:color w:val="auto"/>
          <w:spacing w:val="-4"/>
          <w:sz w:val="24"/>
          <w:szCs w:val="24"/>
        </w:rPr>
        <w:t>20.1</w:t>
      </w:r>
      <w:r>
        <w:rPr>
          <w:color w:val="auto"/>
          <w:spacing w:val="-4"/>
          <w:sz w:val="24"/>
          <w:szCs w:val="24"/>
        </w:rPr>
        <w:t xml:space="preserve"> </w:t>
      </w:r>
      <w:r>
        <w:rPr>
          <w:b/>
          <w:bCs/>
          <w:color w:val="auto"/>
          <w:spacing w:val="-4"/>
          <w:sz w:val="24"/>
          <w:szCs w:val="24"/>
        </w:rPr>
        <w:t>谈判原则：</w:t>
      </w:r>
    </w:p>
    <w:p w14:paraId="09A9DF23">
      <w:pPr>
        <w:pStyle w:val="6"/>
        <w:spacing w:before="174" w:line="219" w:lineRule="auto"/>
        <w:ind w:left="501"/>
        <w:rPr>
          <w:color w:val="auto"/>
          <w:sz w:val="24"/>
          <w:szCs w:val="24"/>
        </w:rPr>
      </w:pPr>
      <w:r>
        <w:rPr>
          <w:color w:val="auto"/>
          <w:spacing w:val="-1"/>
          <w:sz w:val="24"/>
          <w:szCs w:val="24"/>
        </w:rPr>
        <w:t>（1）坚持谈判机会均等，信息公开，公平竞争的原则。</w:t>
      </w:r>
    </w:p>
    <w:p w14:paraId="3A32D49E">
      <w:pPr>
        <w:pStyle w:val="6"/>
        <w:spacing w:before="149" w:line="220" w:lineRule="auto"/>
        <w:ind w:left="501"/>
        <w:rPr>
          <w:color w:val="auto"/>
          <w:sz w:val="24"/>
          <w:szCs w:val="24"/>
        </w:rPr>
      </w:pPr>
      <w:r>
        <w:rPr>
          <w:color w:val="auto"/>
          <w:spacing w:val="-1"/>
          <w:sz w:val="24"/>
          <w:szCs w:val="24"/>
        </w:rPr>
        <w:t>（2）坚持竞争性、经济实效性和公平性原则。</w:t>
      </w:r>
    </w:p>
    <w:p w14:paraId="01D29658">
      <w:pPr>
        <w:pStyle w:val="6"/>
        <w:spacing w:before="172" w:line="221" w:lineRule="auto"/>
        <w:ind w:left="493"/>
        <w:rPr>
          <w:color w:val="auto"/>
          <w:sz w:val="24"/>
          <w:szCs w:val="24"/>
        </w:rPr>
      </w:pPr>
      <w:r>
        <w:rPr>
          <w:b/>
          <w:bCs/>
          <w:color w:val="auto"/>
          <w:spacing w:val="-4"/>
          <w:sz w:val="24"/>
          <w:szCs w:val="24"/>
        </w:rPr>
        <w:t>20.2</w:t>
      </w:r>
      <w:r>
        <w:rPr>
          <w:color w:val="auto"/>
          <w:spacing w:val="-4"/>
          <w:sz w:val="24"/>
          <w:szCs w:val="24"/>
        </w:rPr>
        <w:t xml:space="preserve"> </w:t>
      </w:r>
      <w:r>
        <w:rPr>
          <w:b/>
          <w:bCs/>
          <w:color w:val="auto"/>
          <w:spacing w:val="-4"/>
          <w:sz w:val="24"/>
          <w:szCs w:val="24"/>
        </w:rPr>
        <w:t>谈判程序：</w:t>
      </w:r>
    </w:p>
    <w:p w14:paraId="037A72AC">
      <w:pPr>
        <w:pStyle w:val="6"/>
        <w:spacing w:before="173" w:line="354" w:lineRule="auto"/>
        <w:ind w:left="9" w:firstLine="480"/>
        <w:jc w:val="both"/>
        <w:rPr>
          <w:color w:val="auto"/>
          <w:sz w:val="24"/>
          <w:szCs w:val="24"/>
        </w:rPr>
      </w:pPr>
      <w:r>
        <w:rPr>
          <w:b/>
          <w:bCs/>
          <w:color w:val="auto"/>
          <w:spacing w:val="-2"/>
          <w:sz w:val="24"/>
          <w:szCs w:val="24"/>
        </w:rPr>
        <w:t>谈判的全过程分为资格审查、标书报价、符合性评审、谈判、第二次报价、最终评审</w:t>
      </w:r>
      <w:r>
        <w:rPr>
          <w:b/>
          <w:bCs/>
          <w:color w:val="auto"/>
          <w:spacing w:val="1"/>
          <w:sz w:val="24"/>
          <w:szCs w:val="24"/>
        </w:rPr>
        <w:t>6</w:t>
      </w:r>
      <w:r>
        <w:rPr>
          <w:color w:val="auto"/>
          <w:spacing w:val="-44"/>
          <w:sz w:val="24"/>
          <w:szCs w:val="24"/>
        </w:rPr>
        <w:t xml:space="preserve"> </w:t>
      </w:r>
      <w:r>
        <w:rPr>
          <w:b/>
          <w:bCs/>
          <w:color w:val="auto"/>
          <w:spacing w:val="1"/>
          <w:sz w:val="24"/>
          <w:szCs w:val="24"/>
        </w:rPr>
        <w:t>个阶段。最后报价均采取电子报价形式</w:t>
      </w:r>
      <w:r>
        <w:rPr>
          <w:color w:val="auto"/>
          <w:spacing w:val="1"/>
          <w:sz w:val="24"/>
          <w:szCs w:val="24"/>
        </w:rPr>
        <w:t>。通过资质审查合格的各供应商，只有在谈判响</w:t>
      </w:r>
      <w:r>
        <w:rPr>
          <w:color w:val="auto"/>
          <w:spacing w:val="-3"/>
          <w:sz w:val="24"/>
          <w:szCs w:val="24"/>
        </w:rPr>
        <w:t>应文件及谈判承诺符合谈判文件要求和满足技术、商务需要的才有最终报价和评审的机会。</w:t>
      </w:r>
      <w:r>
        <w:rPr>
          <w:color w:val="auto"/>
          <w:spacing w:val="-1"/>
          <w:sz w:val="24"/>
          <w:szCs w:val="24"/>
        </w:rPr>
        <w:t>谈判小组按其最终承诺和报价内容，推荐成交候选单位排序。</w:t>
      </w:r>
    </w:p>
    <w:p w14:paraId="6046810D">
      <w:pPr>
        <w:pStyle w:val="6"/>
        <w:spacing w:line="218" w:lineRule="auto"/>
        <w:ind w:left="493"/>
        <w:rPr>
          <w:color w:val="auto"/>
          <w:sz w:val="24"/>
          <w:szCs w:val="24"/>
        </w:rPr>
      </w:pPr>
      <w:r>
        <w:rPr>
          <w:color w:val="auto"/>
          <w:spacing w:val="-1"/>
          <w:sz w:val="24"/>
          <w:szCs w:val="24"/>
        </w:rPr>
        <w:t>20.2.1 谈判报价依据规定均不予以公布。</w:t>
      </w:r>
    </w:p>
    <w:p w14:paraId="416100A5">
      <w:pPr>
        <w:pStyle w:val="6"/>
        <w:spacing w:before="174" w:line="287" w:lineRule="auto"/>
        <w:ind w:left="14" w:right="81" w:firstLine="479"/>
        <w:rPr>
          <w:color w:val="auto"/>
          <w:sz w:val="24"/>
          <w:szCs w:val="24"/>
        </w:rPr>
      </w:pPr>
      <w:r>
        <w:rPr>
          <w:color w:val="auto"/>
          <w:spacing w:val="-1"/>
          <w:sz w:val="24"/>
          <w:szCs w:val="24"/>
        </w:rPr>
        <w:t>20.2.2</w:t>
      </w:r>
      <w:r>
        <w:rPr>
          <w:color w:val="auto"/>
          <w:spacing w:val="-40"/>
          <w:sz w:val="24"/>
          <w:szCs w:val="24"/>
        </w:rPr>
        <w:t xml:space="preserve"> </w:t>
      </w:r>
      <w:r>
        <w:rPr>
          <w:b/>
          <w:bCs/>
          <w:color w:val="auto"/>
          <w:spacing w:val="-1"/>
          <w:sz w:val="24"/>
          <w:szCs w:val="24"/>
        </w:rPr>
        <w:t>资质有效性评审</w:t>
      </w:r>
      <w:r>
        <w:rPr>
          <w:color w:val="auto"/>
          <w:spacing w:val="-1"/>
          <w:sz w:val="24"/>
          <w:szCs w:val="24"/>
        </w:rPr>
        <w:t>：本次谈判所</w:t>
      </w:r>
      <w:r>
        <w:rPr>
          <w:color w:val="auto"/>
          <w:spacing w:val="-2"/>
          <w:sz w:val="24"/>
          <w:szCs w:val="24"/>
        </w:rPr>
        <w:t>要求的必备资质证明文件，缺其中一项或某项达</w:t>
      </w:r>
      <w:r>
        <w:rPr>
          <w:color w:val="auto"/>
          <w:spacing w:val="-1"/>
          <w:sz w:val="24"/>
          <w:szCs w:val="24"/>
        </w:rPr>
        <w:t>不到谈判要求，均按无效文件处理。</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787"/>
        <w:gridCol w:w="2090"/>
        <w:gridCol w:w="6042"/>
      </w:tblGrid>
      <w:tr w14:paraId="5E6B2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37" w:hRule="exact"/>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14:paraId="53AD7FD3">
            <w:pPr>
              <w:spacing w:line="240" w:lineRule="exact"/>
              <w:jc w:val="center"/>
              <w:rPr>
                <w:b/>
                <w:color w:val="auto"/>
                <w:sz w:val="21"/>
                <w:szCs w:val="21"/>
              </w:rPr>
            </w:pPr>
            <w:r>
              <w:rPr>
                <w:rFonts w:hint="eastAsia"/>
                <w:b/>
                <w:color w:val="auto"/>
                <w:sz w:val="21"/>
                <w:szCs w:val="21"/>
              </w:rPr>
              <w:t>序号</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325710B5">
            <w:pPr>
              <w:spacing w:line="240" w:lineRule="exact"/>
              <w:jc w:val="center"/>
              <w:rPr>
                <w:b/>
                <w:color w:val="auto"/>
                <w:sz w:val="21"/>
                <w:szCs w:val="21"/>
              </w:rPr>
            </w:pPr>
            <w:r>
              <w:rPr>
                <w:rFonts w:hint="eastAsia"/>
                <w:b/>
                <w:color w:val="auto"/>
                <w:sz w:val="21"/>
                <w:szCs w:val="21"/>
              </w:rPr>
              <w:t>审查因素</w:t>
            </w:r>
          </w:p>
        </w:tc>
        <w:tc>
          <w:tcPr>
            <w:tcW w:w="6042" w:type="dxa"/>
            <w:tcBorders>
              <w:top w:val="single" w:color="auto" w:sz="4" w:space="0"/>
              <w:left w:val="single" w:color="auto" w:sz="4" w:space="0"/>
              <w:bottom w:val="single" w:color="auto" w:sz="4" w:space="0"/>
              <w:right w:val="single" w:color="auto" w:sz="4" w:space="0"/>
            </w:tcBorders>
            <w:noWrap w:val="0"/>
            <w:vAlign w:val="center"/>
          </w:tcPr>
          <w:p w14:paraId="10F787FE">
            <w:pPr>
              <w:spacing w:line="240" w:lineRule="exact"/>
              <w:jc w:val="center"/>
              <w:rPr>
                <w:b/>
                <w:color w:val="auto"/>
                <w:sz w:val="21"/>
                <w:szCs w:val="21"/>
              </w:rPr>
            </w:pPr>
            <w:r>
              <w:rPr>
                <w:rFonts w:hint="eastAsia"/>
                <w:b/>
                <w:color w:val="auto"/>
                <w:sz w:val="21"/>
                <w:szCs w:val="21"/>
              </w:rPr>
              <w:t>审查标准</w:t>
            </w:r>
          </w:p>
        </w:tc>
      </w:tr>
      <w:tr w14:paraId="59C18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97" w:hRule="exact"/>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14:paraId="283647A8">
            <w:pPr>
              <w:pStyle w:val="23"/>
              <w:spacing w:before="36" w:line="220" w:lineRule="auto"/>
              <w:ind w:left="112" w:right="7" w:firstLine="25"/>
              <w:jc w:val="both"/>
              <w:rPr>
                <w:rFonts w:hint="eastAsia" w:ascii="宋体" w:hAnsi="宋体" w:eastAsia="宋体" w:cs="宋体"/>
                <w:color w:val="auto"/>
                <w:spacing w:val="3"/>
              </w:rPr>
            </w:pPr>
            <w:r>
              <w:rPr>
                <w:rFonts w:hint="eastAsia" w:ascii="宋体" w:hAnsi="宋体" w:eastAsia="宋体" w:cs="宋体"/>
                <w:color w:val="auto"/>
                <w:spacing w:val="3"/>
              </w:rPr>
              <w:t>1</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73359F1B">
            <w:pPr>
              <w:pStyle w:val="23"/>
              <w:spacing w:before="36" w:line="220" w:lineRule="auto"/>
              <w:ind w:left="112" w:right="7" w:firstLine="25"/>
              <w:jc w:val="both"/>
              <w:rPr>
                <w:rFonts w:hint="eastAsia" w:ascii="宋体" w:hAnsi="宋体" w:eastAsia="宋体" w:cs="宋体"/>
                <w:color w:val="auto"/>
                <w:spacing w:val="3"/>
              </w:rPr>
            </w:pPr>
            <w:r>
              <w:rPr>
                <w:rFonts w:hint="eastAsia" w:ascii="宋体" w:hAnsi="宋体" w:eastAsia="宋体" w:cs="宋体"/>
                <w:color w:val="auto"/>
                <w:spacing w:val="3"/>
              </w:rPr>
              <w:t>有效的主体资格证明</w:t>
            </w:r>
          </w:p>
        </w:tc>
        <w:tc>
          <w:tcPr>
            <w:tcW w:w="6042" w:type="dxa"/>
            <w:tcBorders>
              <w:top w:val="single" w:color="auto" w:sz="4" w:space="0"/>
              <w:left w:val="single" w:color="auto" w:sz="4" w:space="0"/>
              <w:bottom w:val="single" w:color="auto" w:sz="4" w:space="0"/>
              <w:right w:val="single" w:color="auto" w:sz="4" w:space="0"/>
            </w:tcBorders>
            <w:noWrap w:val="0"/>
            <w:vAlign w:val="center"/>
          </w:tcPr>
          <w:p w14:paraId="47341D67">
            <w:pPr>
              <w:pStyle w:val="23"/>
              <w:spacing w:before="36" w:line="220" w:lineRule="auto"/>
              <w:ind w:left="112" w:right="7" w:firstLine="25"/>
              <w:jc w:val="both"/>
              <w:rPr>
                <w:rFonts w:hint="eastAsia" w:ascii="宋体" w:hAnsi="宋体" w:eastAsia="宋体" w:cs="宋体"/>
                <w:color w:val="auto"/>
                <w:spacing w:val="3"/>
              </w:rPr>
            </w:pPr>
            <w:r>
              <w:rPr>
                <w:rFonts w:hint="eastAsia" w:ascii="宋体" w:hAnsi="宋体" w:eastAsia="宋体" w:cs="宋体"/>
                <w:color w:val="auto"/>
                <w:spacing w:val="3"/>
              </w:rPr>
              <w:t>具有独立承担民事责任的能力，提供营业执照、税务登记证、组织机构代码证或登载有统一社会信用代码的营业执照（或《事业单位法人证书》或其他合法组织登记证书、自然人只须提交身份证）</w:t>
            </w:r>
          </w:p>
        </w:tc>
      </w:tr>
      <w:tr w14:paraId="16F52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08" w:hRule="exact"/>
          <w:jc w:val="center"/>
        </w:trPr>
        <w:tc>
          <w:tcPr>
            <w:tcW w:w="787" w:type="dxa"/>
            <w:tcBorders>
              <w:top w:val="single" w:color="auto" w:sz="4" w:space="0"/>
              <w:left w:val="single" w:color="auto" w:sz="4" w:space="0"/>
              <w:right w:val="single" w:color="auto" w:sz="4" w:space="0"/>
            </w:tcBorders>
            <w:noWrap w:val="0"/>
            <w:vAlign w:val="center"/>
          </w:tcPr>
          <w:p w14:paraId="3C76B16F">
            <w:pPr>
              <w:pStyle w:val="23"/>
              <w:spacing w:before="36" w:line="220" w:lineRule="auto"/>
              <w:ind w:left="112" w:right="7" w:firstLine="25"/>
              <w:jc w:val="both"/>
              <w:rPr>
                <w:rFonts w:hint="eastAsia" w:ascii="宋体" w:hAnsi="宋体" w:eastAsia="宋体" w:cs="宋体"/>
                <w:color w:val="auto"/>
                <w:spacing w:val="3"/>
              </w:rPr>
            </w:pPr>
            <w:r>
              <w:rPr>
                <w:rFonts w:hint="eastAsia" w:ascii="宋体" w:hAnsi="宋体" w:eastAsia="宋体" w:cs="宋体"/>
                <w:color w:val="auto"/>
                <w:spacing w:val="3"/>
              </w:rPr>
              <w:t>2</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0AC7AC18">
            <w:pPr>
              <w:pStyle w:val="23"/>
              <w:spacing w:before="36" w:line="220" w:lineRule="auto"/>
              <w:ind w:left="112" w:right="7" w:firstLine="25"/>
              <w:jc w:val="both"/>
              <w:rPr>
                <w:rFonts w:hint="eastAsia" w:ascii="宋体" w:hAnsi="宋体" w:eastAsia="宋体" w:cs="宋体"/>
                <w:color w:val="auto"/>
                <w:spacing w:val="3"/>
              </w:rPr>
            </w:pPr>
            <w:r>
              <w:rPr>
                <w:rFonts w:hint="eastAsia" w:ascii="宋体" w:hAnsi="宋体" w:eastAsia="宋体" w:cs="宋体"/>
                <w:color w:val="auto"/>
                <w:spacing w:val="3"/>
              </w:rPr>
              <w:t>法定代表人授权委托书</w:t>
            </w:r>
          </w:p>
        </w:tc>
        <w:tc>
          <w:tcPr>
            <w:tcW w:w="6042" w:type="dxa"/>
            <w:tcBorders>
              <w:top w:val="single" w:color="auto" w:sz="4" w:space="0"/>
              <w:left w:val="single" w:color="auto" w:sz="4" w:space="0"/>
              <w:bottom w:val="single" w:color="auto" w:sz="4" w:space="0"/>
              <w:right w:val="single" w:color="auto" w:sz="4" w:space="0"/>
            </w:tcBorders>
            <w:noWrap w:val="0"/>
            <w:vAlign w:val="center"/>
          </w:tcPr>
          <w:p w14:paraId="1CB18737">
            <w:pPr>
              <w:pStyle w:val="23"/>
              <w:spacing w:before="36" w:line="220" w:lineRule="auto"/>
              <w:ind w:left="112" w:right="7" w:firstLine="25"/>
              <w:jc w:val="both"/>
              <w:rPr>
                <w:rFonts w:hint="eastAsia" w:ascii="宋体" w:hAnsi="宋体" w:eastAsia="宋体" w:cs="宋体"/>
                <w:color w:val="auto"/>
                <w:spacing w:val="3"/>
              </w:rPr>
            </w:pPr>
            <w:r>
              <w:rPr>
                <w:rFonts w:hint="eastAsia" w:ascii="宋体" w:hAnsi="宋体" w:eastAsia="宋体" w:cs="宋体"/>
                <w:color w:val="auto"/>
                <w:spacing w:val="3"/>
              </w:rPr>
              <w:t>法定代表人委托授权书（法定代表人参加不需提供，但需要提供法定代表人身份证）及被授权人身份证；</w:t>
            </w:r>
          </w:p>
        </w:tc>
      </w:tr>
      <w:tr w14:paraId="11F12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68" w:hRule="atLeast"/>
          <w:jc w:val="center"/>
        </w:trPr>
        <w:tc>
          <w:tcPr>
            <w:tcW w:w="787" w:type="dxa"/>
            <w:tcBorders>
              <w:left w:val="single" w:color="auto" w:sz="4" w:space="0"/>
              <w:right w:val="single" w:color="auto" w:sz="4" w:space="0"/>
            </w:tcBorders>
            <w:noWrap w:val="0"/>
            <w:vAlign w:val="center"/>
          </w:tcPr>
          <w:p w14:paraId="6D57DEF7">
            <w:pPr>
              <w:pStyle w:val="23"/>
              <w:spacing w:before="36" w:line="220" w:lineRule="auto"/>
              <w:ind w:left="112" w:right="7" w:firstLine="25"/>
              <w:jc w:val="both"/>
              <w:rPr>
                <w:rFonts w:hint="eastAsia" w:ascii="宋体" w:hAnsi="宋体" w:eastAsia="宋体" w:cs="宋体"/>
                <w:color w:val="auto"/>
                <w:spacing w:val="3"/>
              </w:rPr>
            </w:pPr>
            <w:r>
              <w:rPr>
                <w:rFonts w:hint="eastAsia" w:ascii="宋体" w:hAnsi="宋体" w:eastAsia="宋体" w:cs="宋体"/>
                <w:color w:val="auto"/>
                <w:spacing w:val="3"/>
              </w:rPr>
              <w:t>3</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0B020DB4">
            <w:pPr>
              <w:pStyle w:val="23"/>
              <w:spacing w:before="36" w:line="220" w:lineRule="auto"/>
              <w:ind w:left="112" w:right="7" w:firstLine="25"/>
              <w:jc w:val="center"/>
              <w:rPr>
                <w:rFonts w:hint="eastAsia" w:ascii="宋体" w:hAnsi="宋体" w:eastAsia="宋体" w:cs="宋体"/>
                <w:color w:val="auto"/>
                <w:spacing w:val="3"/>
                <w:lang w:eastAsia="zh-CN"/>
              </w:rPr>
            </w:pPr>
            <w:r>
              <w:rPr>
                <w:rFonts w:hint="eastAsia" w:ascii="宋体" w:hAnsi="宋体" w:eastAsia="宋体" w:cs="宋体"/>
                <w:color w:val="auto"/>
                <w:spacing w:val="3"/>
                <w:lang w:val="en-US" w:eastAsia="zh-CN"/>
              </w:rPr>
              <w:t>信誉</w:t>
            </w:r>
          </w:p>
        </w:tc>
        <w:tc>
          <w:tcPr>
            <w:tcW w:w="6042" w:type="dxa"/>
            <w:tcBorders>
              <w:top w:val="single" w:color="auto" w:sz="4" w:space="0"/>
              <w:left w:val="single" w:color="auto" w:sz="4" w:space="0"/>
              <w:bottom w:val="single" w:color="auto" w:sz="4" w:space="0"/>
              <w:right w:val="single" w:color="auto" w:sz="4" w:space="0"/>
            </w:tcBorders>
            <w:noWrap w:val="0"/>
            <w:vAlign w:val="center"/>
          </w:tcPr>
          <w:p w14:paraId="26FB0DC3">
            <w:pPr>
              <w:pStyle w:val="23"/>
              <w:spacing w:before="36" w:line="220" w:lineRule="auto"/>
              <w:ind w:left="112" w:right="7" w:firstLine="25"/>
              <w:jc w:val="both"/>
              <w:rPr>
                <w:rFonts w:hint="eastAsia" w:ascii="宋体" w:hAnsi="宋体" w:eastAsia="宋体" w:cs="宋体"/>
                <w:color w:val="auto"/>
                <w:spacing w:val="3"/>
              </w:rPr>
            </w:pPr>
            <w:r>
              <w:rPr>
                <w:rFonts w:hint="eastAsia" w:ascii="宋体" w:hAnsi="宋体" w:eastAsia="宋体" w:cs="宋体"/>
                <w:color w:val="auto"/>
                <w:spacing w:val="3"/>
              </w:rPr>
              <w:t>供应商在递交投标文件截止时间前被“信用中国”网站（www.creditchina.gov.cn）和中国政府采购网（www.ccgp.gov.cn）上被列入失信被执行人、重大税收违法案件当事人名单、政府采购严重违法失信行为记录名单的，不得参加投标；</w:t>
            </w:r>
          </w:p>
        </w:tc>
      </w:tr>
      <w:tr w14:paraId="52848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68" w:hRule="atLeast"/>
          <w:jc w:val="center"/>
        </w:trPr>
        <w:tc>
          <w:tcPr>
            <w:tcW w:w="787" w:type="dxa"/>
            <w:tcBorders>
              <w:left w:val="single" w:color="auto" w:sz="4" w:space="0"/>
              <w:right w:val="single" w:color="auto" w:sz="4" w:space="0"/>
            </w:tcBorders>
            <w:noWrap w:val="0"/>
            <w:vAlign w:val="center"/>
          </w:tcPr>
          <w:p w14:paraId="74CFB439">
            <w:pPr>
              <w:pStyle w:val="23"/>
              <w:spacing w:before="36" w:line="220" w:lineRule="auto"/>
              <w:ind w:left="112" w:right="7" w:firstLine="25"/>
              <w:jc w:val="both"/>
              <w:rPr>
                <w:rFonts w:hint="eastAsia" w:ascii="宋体" w:hAnsi="宋体" w:eastAsia="宋体" w:cs="宋体"/>
                <w:color w:val="auto"/>
                <w:spacing w:val="3"/>
              </w:rPr>
            </w:pPr>
            <w:r>
              <w:rPr>
                <w:rFonts w:hint="eastAsia" w:ascii="宋体" w:hAnsi="宋体" w:eastAsia="宋体" w:cs="宋体"/>
                <w:color w:val="auto"/>
                <w:spacing w:val="3"/>
              </w:rPr>
              <w:t>4</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7B3B5B27">
            <w:pPr>
              <w:pStyle w:val="23"/>
              <w:spacing w:before="36" w:line="220" w:lineRule="auto"/>
              <w:ind w:left="112" w:right="7" w:firstLine="25"/>
              <w:jc w:val="both"/>
              <w:rPr>
                <w:rFonts w:hint="eastAsia" w:ascii="宋体" w:hAnsi="宋体" w:eastAsia="宋体" w:cs="宋体"/>
                <w:color w:val="auto"/>
                <w:spacing w:val="3"/>
              </w:rPr>
            </w:pPr>
            <w:r>
              <w:rPr>
                <w:rFonts w:hint="eastAsia" w:ascii="宋体" w:hAnsi="宋体" w:eastAsia="宋体" w:cs="宋体"/>
                <w:color w:val="auto"/>
                <w:spacing w:val="3"/>
              </w:rPr>
              <w:t>财务状况报告</w:t>
            </w:r>
          </w:p>
        </w:tc>
        <w:tc>
          <w:tcPr>
            <w:tcW w:w="6042" w:type="dxa"/>
            <w:tcBorders>
              <w:top w:val="single" w:color="auto" w:sz="4" w:space="0"/>
              <w:left w:val="single" w:color="auto" w:sz="4" w:space="0"/>
              <w:bottom w:val="single" w:color="auto" w:sz="4" w:space="0"/>
              <w:right w:val="single" w:color="auto" w:sz="4" w:space="0"/>
            </w:tcBorders>
            <w:noWrap w:val="0"/>
            <w:vAlign w:val="center"/>
          </w:tcPr>
          <w:p w14:paraId="0F6F74CB">
            <w:pPr>
              <w:pStyle w:val="23"/>
              <w:spacing w:before="36" w:line="220" w:lineRule="auto"/>
              <w:ind w:left="112" w:right="7" w:firstLine="25"/>
              <w:jc w:val="both"/>
              <w:rPr>
                <w:rFonts w:hint="eastAsia" w:ascii="宋体" w:hAnsi="宋体" w:eastAsia="宋体" w:cs="宋体"/>
                <w:color w:val="auto"/>
                <w:spacing w:val="3"/>
              </w:rPr>
            </w:pPr>
            <w:r>
              <w:rPr>
                <w:rFonts w:hint="eastAsia" w:ascii="宋体" w:hAnsi="宋体" w:eastAsia="宋体" w:cs="宋体"/>
                <w:i w:val="0"/>
                <w:iCs w:val="0"/>
                <w:caps w:val="0"/>
                <w:color w:val="auto"/>
                <w:spacing w:val="0"/>
                <w:sz w:val="24"/>
                <w:szCs w:val="24"/>
                <w:shd w:val="clear" w:fill="FFFFFF"/>
                <w:vertAlign w:val="baseline"/>
              </w:rPr>
              <w:t>提供2023年度或2024年度经审计的财务审计报告或投标截止时间前六个月内基本开户银行出具的资信证明（成立时间至提交响应文件截止时间不足一年的可提供成立后任意时段的资产负债表）；</w:t>
            </w:r>
          </w:p>
        </w:tc>
      </w:tr>
      <w:tr w14:paraId="0116A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67" w:hRule="atLeast"/>
          <w:jc w:val="center"/>
        </w:trPr>
        <w:tc>
          <w:tcPr>
            <w:tcW w:w="787" w:type="dxa"/>
            <w:tcBorders>
              <w:left w:val="single" w:color="auto" w:sz="4" w:space="0"/>
              <w:right w:val="single" w:color="auto" w:sz="4" w:space="0"/>
            </w:tcBorders>
            <w:noWrap w:val="0"/>
            <w:vAlign w:val="center"/>
          </w:tcPr>
          <w:p w14:paraId="3B61A83A">
            <w:pPr>
              <w:pStyle w:val="23"/>
              <w:spacing w:before="36" w:line="220" w:lineRule="auto"/>
              <w:ind w:left="112" w:right="7" w:firstLine="25"/>
              <w:jc w:val="both"/>
              <w:rPr>
                <w:rFonts w:hint="eastAsia" w:ascii="宋体" w:hAnsi="宋体" w:eastAsia="宋体" w:cs="宋体"/>
                <w:color w:val="auto"/>
                <w:spacing w:val="3"/>
              </w:rPr>
            </w:pPr>
            <w:r>
              <w:rPr>
                <w:rFonts w:hint="eastAsia" w:ascii="宋体" w:hAnsi="宋体" w:eastAsia="宋体" w:cs="宋体"/>
                <w:color w:val="auto"/>
                <w:spacing w:val="3"/>
              </w:rPr>
              <w:t>5</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59CE206E">
            <w:pPr>
              <w:pStyle w:val="23"/>
              <w:spacing w:before="36" w:line="220" w:lineRule="auto"/>
              <w:ind w:left="112" w:right="7" w:firstLine="25"/>
              <w:jc w:val="both"/>
              <w:rPr>
                <w:rFonts w:hint="eastAsia" w:ascii="宋体" w:hAnsi="宋体" w:eastAsia="宋体" w:cs="宋体"/>
                <w:color w:val="auto"/>
                <w:spacing w:val="3"/>
              </w:rPr>
            </w:pPr>
            <w:r>
              <w:rPr>
                <w:rFonts w:hint="eastAsia" w:ascii="宋体" w:hAnsi="宋体" w:eastAsia="宋体" w:cs="宋体"/>
                <w:color w:val="auto"/>
                <w:spacing w:val="3"/>
              </w:rPr>
              <w:t>税收缴纳证明</w:t>
            </w:r>
          </w:p>
        </w:tc>
        <w:tc>
          <w:tcPr>
            <w:tcW w:w="6042" w:type="dxa"/>
            <w:tcBorders>
              <w:top w:val="single" w:color="auto" w:sz="4" w:space="0"/>
              <w:left w:val="single" w:color="auto" w:sz="4" w:space="0"/>
              <w:bottom w:val="single" w:color="auto" w:sz="4" w:space="0"/>
              <w:right w:val="single" w:color="auto" w:sz="4" w:space="0"/>
            </w:tcBorders>
            <w:noWrap w:val="0"/>
            <w:vAlign w:val="center"/>
          </w:tcPr>
          <w:p w14:paraId="11F1C11D">
            <w:pPr>
              <w:pStyle w:val="23"/>
              <w:spacing w:before="36" w:line="220" w:lineRule="auto"/>
              <w:ind w:left="112" w:right="7" w:firstLine="25"/>
              <w:jc w:val="both"/>
              <w:rPr>
                <w:rFonts w:hint="eastAsia" w:ascii="宋体" w:hAnsi="宋体" w:eastAsia="宋体" w:cs="宋体"/>
                <w:color w:val="auto"/>
                <w:spacing w:val="3"/>
              </w:rPr>
            </w:pPr>
            <w:r>
              <w:rPr>
                <w:rFonts w:hint="eastAsia" w:ascii="宋体" w:hAnsi="宋体" w:eastAsia="宋体" w:cs="宋体"/>
                <w:i w:val="0"/>
                <w:iCs w:val="0"/>
                <w:caps w:val="0"/>
                <w:color w:val="auto"/>
                <w:spacing w:val="0"/>
                <w:sz w:val="24"/>
                <w:szCs w:val="24"/>
                <w:shd w:val="clear" w:fill="FFFFFF"/>
                <w:vertAlign w:val="baseline"/>
              </w:rPr>
              <w:t>提供投标截止日前一年内已缴纳的至少三个月的纳税证明或完税证明（任意税种），依法免税的单位应提供相关证明材料；</w:t>
            </w:r>
          </w:p>
        </w:tc>
      </w:tr>
      <w:tr w14:paraId="3E566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68" w:hRule="atLeast"/>
          <w:jc w:val="center"/>
        </w:trPr>
        <w:tc>
          <w:tcPr>
            <w:tcW w:w="787" w:type="dxa"/>
            <w:tcBorders>
              <w:left w:val="single" w:color="auto" w:sz="4" w:space="0"/>
              <w:right w:val="single" w:color="auto" w:sz="4" w:space="0"/>
            </w:tcBorders>
            <w:noWrap w:val="0"/>
            <w:vAlign w:val="center"/>
          </w:tcPr>
          <w:p w14:paraId="4F4A0DDF">
            <w:pPr>
              <w:pStyle w:val="23"/>
              <w:spacing w:before="36" w:line="220" w:lineRule="auto"/>
              <w:ind w:left="112" w:right="7" w:firstLine="25"/>
              <w:jc w:val="both"/>
              <w:rPr>
                <w:rFonts w:hint="eastAsia" w:ascii="宋体" w:hAnsi="宋体" w:eastAsia="宋体" w:cs="宋体"/>
                <w:color w:val="auto"/>
                <w:spacing w:val="3"/>
                <w:lang w:val="en-US" w:eastAsia="zh-CN"/>
              </w:rPr>
            </w:pPr>
            <w:r>
              <w:rPr>
                <w:rFonts w:hint="eastAsia" w:ascii="宋体" w:hAnsi="宋体" w:eastAsia="宋体" w:cs="宋体"/>
                <w:color w:val="auto"/>
                <w:spacing w:val="3"/>
                <w:lang w:val="en-US" w:eastAsia="zh-CN"/>
              </w:rPr>
              <w:t>6</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4399B049">
            <w:pPr>
              <w:pStyle w:val="23"/>
              <w:spacing w:before="36" w:line="220" w:lineRule="auto"/>
              <w:ind w:left="112" w:right="7" w:firstLine="25"/>
              <w:jc w:val="both"/>
              <w:rPr>
                <w:rFonts w:hint="eastAsia" w:ascii="宋体" w:hAnsi="宋体" w:eastAsia="宋体" w:cs="宋体"/>
                <w:color w:val="auto"/>
                <w:spacing w:val="3"/>
                <w:lang w:val="en-US" w:eastAsia="zh-CN"/>
              </w:rPr>
            </w:pPr>
            <w:r>
              <w:rPr>
                <w:rFonts w:hint="eastAsia" w:ascii="宋体" w:hAnsi="宋体" w:eastAsia="宋体" w:cs="宋体"/>
                <w:color w:val="auto"/>
                <w:spacing w:val="3"/>
              </w:rPr>
              <w:t>社会保障资金缴纳证明</w:t>
            </w:r>
          </w:p>
        </w:tc>
        <w:tc>
          <w:tcPr>
            <w:tcW w:w="6042" w:type="dxa"/>
            <w:tcBorders>
              <w:top w:val="single" w:color="auto" w:sz="4" w:space="0"/>
              <w:left w:val="single" w:color="auto" w:sz="4" w:space="0"/>
              <w:bottom w:val="single" w:color="auto" w:sz="4" w:space="0"/>
              <w:right w:val="single" w:color="auto" w:sz="4" w:space="0"/>
            </w:tcBorders>
            <w:noWrap w:val="0"/>
            <w:vAlign w:val="center"/>
          </w:tcPr>
          <w:p w14:paraId="5D74D828">
            <w:pPr>
              <w:pStyle w:val="23"/>
              <w:spacing w:before="36" w:line="220" w:lineRule="auto"/>
              <w:ind w:left="112" w:right="7" w:firstLine="25"/>
              <w:jc w:val="both"/>
              <w:rPr>
                <w:rFonts w:hint="eastAsia" w:ascii="宋体" w:hAnsi="宋体" w:eastAsia="宋体" w:cs="宋体"/>
                <w:color w:val="auto"/>
                <w:spacing w:val="3"/>
                <w:lang w:val="en-US" w:eastAsia="zh-CN"/>
              </w:rPr>
            </w:pPr>
            <w:r>
              <w:rPr>
                <w:rFonts w:hint="eastAsia" w:ascii="宋体" w:hAnsi="宋体" w:eastAsia="宋体" w:cs="宋体"/>
                <w:i w:val="0"/>
                <w:iCs w:val="0"/>
                <w:caps w:val="0"/>
                <w:color w:val="auto"/>
                <w:spacing w:val="0"/>
                <w:sz w:val="24"/>
                <w:szCs w:val="24"/>
                <w:shd w:val="clear" w:fill="FFFFFF"/>
                <w:vertAlign w:val="baseline"/>
              </w:rPr>
              <w:t>提供投标截止日前一年内已缴存的至少三个月的社会保障资金缴存单据或社保机构开具的社会保险参保缴费情况证明，依法不需要缴纳社会保障资金的单位应提供相关证明材料；</w:t>
            </w:r>
          </w:p>
        </w:tc>
      </w:tr>
      <w:tr w14:paraId="1B30A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7" w:hRule="atLeast"/>
          <w:jc w:val="center"/>
        </w:trPr>
        <w:tc>
          <w:tcPr>
            <w:tcW w:w="787" w:type="dxa"/>
            <w:tcBorders>
              <w:left w:val="single" w:color="auto" w:sz="4" w:space="0"/>
              <w:right w:val="single" w:color="auto" w:sz="4" w:space="0"/>
            </w:tcBorders>
            <w:noWrap w:val="0"/>
            <w:vAlign w:val="center"/>
          </w:tcPr>
          <w:p w14:paraId="737C099A">
            <w:pPr>
              <w:pStyle w:val="23"/>
              <w:spacing w:before="36" w:line="220" w:lineRule="auto"/>
              <w:ind w:left="112" w:right="7" w:firstLine="25"/>
              <w:jc w:val="both"/>
              <w:rPr>
                <w:rFonts w:hint="default" w:ascii="宋体" w:hAnsi="宋体" w:eastAsia="宋体" w:cs="宋体"/>
                <w:color w:val="auto"/>
                <w:spacing w:val="3"/>
                <w:lang w:val="en-US" w:eastAsia="zh-CN"/>
              </w:rPr>
            </w:pPr>
            <w:r>
              <w:rPr>
                <w:rFonts w:hint="eastAsia" w:ascii="宋体" w:hAnsi="宋体" w:eastAsia="宋体" w:cs="宋体"/>
                <w:color w:val="auto"/>
                <w:spacing w:val="3"/>
                <w:lang w:val="en-US" w:eastAsia="zh-CN"/>
              </w:rPr>
              <w:t>7</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70AC8857">
            <w:pPr>
              <w:pStyle w:val="23"/>
              <w:spacing w:before="36" w:line="220" w:lineRule="auto"/>
              <w:ind w:left="112" w:right="7" w:firstLine="25"/>
              <w:jc w:val="both"/>
              <w:rPr>
                <w:rFonts w:hint="eastAsia" w:ascii="宋体" w:hAnsi="宋体" w:eastAsia="宋体" w:cs="宋体"/>
                <w:color w:val="auto"/>
                <w:spacing w:val="3"/>
              </w:rPr>
            </w:pPr>
            <w:r>
              <w:rPr>
                <w:rFonts w:hint="eastAsia" w:ascii="宋体" w:hAnsi="宋体" w:eastAsia="宋体" w:cs="宋体"/>
                <w:color w:val="auto"/>
                <w:spacing w:val="3"/>
                <w:lang w:val="en-US" w:eastAsia="zh-CN"/>
              </w:rPr>
              <w:t>无</w:t>
            </w:r>
            <w:r>
              <w:rPr>
                <w:rFonts w:hint="eastAsia" w:ascii="宋体" w:hAnsi="宋体" w:eastAsia="宋体" w:cs="宋体"/>
                <w:color w:val="auto"/>
                <w:spacing w:val="3"/>
              </w:rPr>
              <w:t>违法记录的书面声明</w:t>
            </w:r>
          </w:p>
        </w:tc>
        <w:tc>
          <w:tcPr>
            <w:tcW w:w="6042" w:type="dxa"/>
            <w:tcBorders>
              <w:top w:val="single" w:color="auto" w:sz="4" w:space="0"/>
              <w:left w:val="single" w:color="auto" w:sz="4" w:space="0"/>
              <w:bottom w:val="single" w:color="auto" w:sz="4" w:space="0"/>
              <w:right w:val="single" w:color="auto" w:sz="4" w:space="0"/>
            </w:tcBorders>
            <w:noWrap w:val="0"/>
            <w:vAlign w:val="center"/>
          </w:tcPr>
          <w:p w14:paraId="513D3906">
            <w:pPr>
              <w:pStyle w:val="23"/>
              <w:spacing w:before="36" w:line="220" w:lineRule="auto"/>
              <w:ind w:left="112" w:right="7" w:firstLine="25"/>
              <w:jc w:val="both"/>
              <w:rPr>
                <w:rFonts w:hint="eastAsia" w:ascii="宋体" w:hAnsi="宋体" w:eastAsia="宋体" w:cs="宋体"/>
                <w:color w:val="auto"/>
                <w:spacing w:val="3"/>
              </w:rPr>
            </w:pPr>
            <w:r>
              <w:rPr>
                <w:rFonts w:hint="eastAsia" w:ascii="宋体" w:hAnsi="宋体" w:eastAsia="宋体" w:cs="宋体"/>
                <w:i w:val="0"/>
                <w:iCs w:val="0"/>
                <w:caps w:val="0"/>
                <w:color w:val="auto"/>
                <w:spacing w:val="0"/>
                <w:sz w:val="24"/>
                <w:szCs w:val="24"/>
                <w:shd w:val="clear" w:fill="FFFFFF"/>
                <w:vertAlign w:val="baseline"/>
              </w:rPr>
              <w:t>提供参加政府采购活动前三年内，在经营活动中没有重大违法记录书面声明；</w:t>
            </w:r>
          </w:p>
        </w:tc>
      </w:tr>
      <w:tr w14:paraId="6A5EA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7" w:hRule="atLeast"/>
          <w:jc w:val="center"/>
        </w:trPr>
        <w:tc>
          <w:tcPr>
            <w:tcW w:w="787" w:type="dxa"/>
            <w:tcBorders>
              <w:left w:val="single" w:color="auto" w:sz="4" w:space="0"/>
              <w:right w:val="single" w:color="auto" w:sz="4" w:space="0"/>
            </w:tcBorders>
            <w:noWrap w:val="0"/>
            <w:vAlign w:val="center"/>
          </w:tcPr>
          <w:p w14:paraId="57311BA8">
            <w:pPr>
              <w:pStyle w:val="23"/>
              <w:spacing w:before="36" w:line="220" w:lineRule="auto"/>
              <w:ind w:left="112" w:right="7" w:firstLine="25"/>
              <w:jc w:val="both"/>
              <w:rPr>
                <w:rFonts w:hint="eastAsia" w:ascii="宋体" w:hAnsi="宋体" w:eastAsia="宋体" w:cs="宋体"/>
                <w:color w:val="auto"/>
                <w:spacing w:val="3"/>
                <w:lang w:eastAsia="zh-CN"/>
              </w:rPr>
            </w:pPr>
            <w:r>
              <w:rPr>
                <w:rFonts w:hint="eastAsia" w:ascii="宋体" w:hAnsi="宋体" w:eastAsia="宋体" w:cs="宋体"/>
                <w:color w:val="auto"/>
                <w:spacing w:val="3"/>
                <w:lang w:val="en-US" w:eastAsia="zh-CN"/>
              </w:rPr>
              <w:t>8</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766840B4">
            <w:pPr>
              <w:pStyle w:val="23"/>
              <w:spacing w:before="36" w:line="220" w:lineRule="auto"/>
              <w:ind w:left="112" w:right="7" w:firstLine="25"/>
              <w:jc w:val="both"/>
              <w:rPr>
                <w:rFonts w:hint="eastAsia" w:ascii="宋体" w:hAnsi="宋体" w:eastAsia="宋体" w:cs="宋体"/>
                <w:color w:val="auto"/>
                <w:spacing w:val="3"/>
              </w:rPr>
            </w:pPr>
            <w:r>
              <w:rPr>
                <w:rFonts w:hint="eastAsia" w:ascii="宋体" w:hAnsi="宋体" w:eastAsia="宋体" w:cs="宋体"/>
                <w:color w:val="auto"/>
                <w:spacing w:val="3"/>
              </w:rPr>
              <w:t>承诺书</w:t>
            </w:r>
          </w:p>
        </w:tc>
        <w:tc>
          <w:tcPr>
            <w:tcW w:w="6042" w:type="dxa"/>
            <w:tcBorders>
              <w:top w:val="single" w:color="auto" w:sz="4" w:space="0"/>
              <w:left w:val="single" w:color="auto" w:sz="4" w:space="0"/>
              <w:bottom w:val="single" w:color="auto" w:sz="4" w:space="0"/>
              <w:right w:val="single" w:color="auto" w:sz="4" w:space="0"/>
            </w:tcBorders>
            <w:noWrap w:val="0"/>
            <w:vAlign w:val="center"/>
          </w:tcPr>
          <w:p w14:paraId="4055B3CF">
            <w:pPr>
              <w:pStyle w:val="23"/>
              <w:spacing w:before="36" w:line="220" w:lineRule="auto"/>
              <w:ind w:left="112" w:right="7" w:firstLine="25"/>
              <w:jc w:val="both"/>
              <w:rPr>
                <w:rFonts w:hint="eastAsia" w:ascii="宋体" w:hAnsi="宋体" w:eastAsia="宋体" w:cs="宋体"/>
                <w:color w:val="auto"/>
                <w:spacing w:val="3"/>
              </w:rPr>
            </w:pPr>
            <w:r>
              <w:rPr>
                <w:rFonts w:hint="eastAsia" w:ascii="宋体" w:hAnsi="宋体" w:eastAsia="宋体" w:cs="宋体"/>
                <w:color w:val="auto"/>
                <w:spacing w:val="3"/>
              </w:rPr>
              <w:t>提供具有履行合同所必需的设备和专业技术能力的承诺书；</w:t>
            </w:r>
          </w:p>
        </w:tc>
      </w:tr>
      <w:tr w14:paraId="411DF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7" w:hRule="atLeast"/>
          <w:jc w:val="center"/>
        </w:trPr>
        <w:tc>
          <w:tcPr>
            <w:tcW w:w="787" w:type="dxa"/>
            <w:tcBorders>
              <w:left w:val="single" w:color="auto" w:sz="4" w:space="0"/>
              <w:right w:val="single" w:color="auto" w:sz="4" w:space="0"/>
            </w:tcBorders>
            <w:noWrap w:val="0"/>
            <w:vAlign w:val="center"/>
          </w:tcPr>
          <w:p w14:paraId="4391129A">
            <w:pPr>
              <w:pStyle w:val="23"/>
              <w:spacing w:before="36" w:line="220" w:lineRule="auto"/>
              <w:ind w:left="112" w:right="7" w:firstLine="25"/>
              <w:jc w:val="both"/>
              <w:rPr>
                <w:rFonts w:hint="eastAsia" w:ascii="宋体" w:hAnsi="宋体" w:eastAsia="宋体" w:cs="宋体"/>
                <w:color w:val="auto"/>
                <w:spacing w:val="3"/>
                <w:lang w:val="en-US" w:eastAsia="zh-CN"/>
              </w:rPr>
            </w:pPr>
            <w:r>
              <w:rPr>
                <w:rFonts w:hint="eastAsia" w:ascii="宋体" w:hAnsi="宋体" w:eastAsia="宋体" w:cs="宋体"/>
                <w:color w:val="auto"/>
                <w:spacing w:val="3"/>
                <w:lang w:val="en-US" w:eastAsia="zh-CN"/>
              </w:rPr>
              <w:t>9</w:t>
            </w:r>
          </w:p>
        </w:tc>
        <w:tc>
          <w:tcPr>
            <w:tcW w:w="20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04FC93">
            <w:pPr>
              <w:pStyle w:val="23"/>
              <w:spacing w:before="36" w:line="220" w:lineRule="auto"/>
              <w:ind w:left="112" w:right="7" w:firstLine="25"/>
              <w:jc w:val="both"/>
              <w:rPr>
                <w:rFonts w:hint="eastAsia" w:ascii="宋体" w:hAnsi="宋体" w:eastAsia="宋体" w:cs="宋体"/>
                <w:color w:val="auto"/>
                <w:spacing w:val="3"/>
                <w:lang w:val="en-US" w:eastAsia="en-US"/>
              </w:rPr>
            </w:pPr>
            <w:r>
              <w:rPr>
                <w:rFonts w:hint="eastAsia" w:ascii="宋体" w:hAnsi="宋体" w:eastAsia="宋体" w:cs="宋体"/>
                <w:color w:val="auto"/>
                <w:spacing w:val="3"/>
              </w:rPr>
              <w:t>本项目专门面向中小企业</w:t>
            </w:r>
          </w:p>
        </w:tc>
        <w:tc>
          <w:tcPr>
            <w:tcW w:w="60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8523C7">
            <w:pPr>
              <w:pStyle w:val="23"/>
              <w:spacing w:before="36" w:line="220" w:lineRule="auto"/>
              <w:ind w:left="112" w:right="7" w:firstLine="25"/>
              <w:jc w:val="both"/>
              <w:rPr>
                <w:rFonts w:hint="eastAsia" w:ascii="宋体" w:hAnsi="宋体" w:eastAsia="宋体" w:cs="宋体"/>
                <w:color w:val="auto"/>
                <w:spacing w:val="3"/>
                <w:lang w:val="en-US" w:eastAsia="zh-CN"/>
              </w:rPr>
            </w:pPr>
            <w:r>
              <w:rPr>
                <w:rFonts w:hint="eastAsia" w:ascii="宋体" w:hAnsi="宋体" w:eastAsia="宋体" w:cs="宋体"/>
                <w:i w:val="0"/>
                <w:iCs w:val="0"/>
                <w:caps w:val="0"/>
                <w:color w:val="auto"/>
                <w:spacing w:val="0"/>
                <w:sz w:val="24"/>
                <w:szCs w:val="24"/>
                <w:shd w:val="clear" w:fill="FFFFFF"/>
                <w:vertAlign w:val="baseline"/>
              </w:rPr>
              <w:t>本项目专门面向中小企业采购，提供中小企业声明函；</w:t>
            </w:r>
          </w:p>
        </w:tc>
      </w:tr>
      <w:tr w14:paraId="28E5C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7" w:hRule="atLeast"/>
          <w:jc w:val="center"/>
        </w:trPr>
        <w:tc>
          <w:tcPr>
            <w:tcW w:w="787" w:type="dxa"/>
            <w:tcBorders>
              <w:left w:val="single" w:color="auto" w:sz="4" w:space="0"/>
              <w:right w:val="single" w:color="auto" w:sz="4" w:space="0"/>
            </w:tcBorders>
            <w:noWrap w:val="0"/>
            <w:vAlign w:val="center"/>
          </w:tcPr>
          <w:p w14:paraId="6E75F2BE">
            <w:pPr>
              <w:pStyle w:val="23"/>
              <w:spacing w:before="36" w:line="220" w:lineRule="auto"/>
              <w:ind w:left="112" w:right="7" w:firstLine="25"/>
              <w:jc w:val="both"/>
              <w:rPr>
                <w:rFonts w:hint="default" w:ascii="宋体" w:hAnsi="宋体" w:eastAsia="宋体" w:cs="宋体"/>
                <w:color w:val="auto"/>
                <w:spacing w:val="3"/>
                <w:lang w:val="en-US" w:eastAsia="zh-CN"/>
              </w:rPr>
            </w:pPr>
            <w:r>
              <w:rPr>
                <w:rFonts w:hint="eastAsia" w:ascii="宋体" w:hAnsi="宋体" w:eastAsia="宋体" w:cs="宋体"/>
                <w:color w:val="auto"/>
                <w:spacing w:val="3"/>
                <w:lang w:val="en-US" w:eastAsia="zh-CN"/>
              </w:rPr>
              <w:t>10</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5B206582">
            <w:pPr>
              <w:pStyle w:val="23"/>
              <w:spacing w:before="36" w:line="220" w:lineRule="auto"/>
              <w:ind w:left="112" w:right="7" w:firstLine="25"/>
              <w:jc w:val="both"/>
              <w:rPr>
                <w:rFonts w:hint="eastAsia" w:ascii="宋体" w:hAnsi="宋体" w:eastAsia="宋体" w:cs="宋体"/>
                <w:color w:val="auto"/>
                <w:spacing w:val="3"/>
              </w:rPr>
            </w:pPr>
            <w:r>
              <w:rPr>
                <w:rFonts w:hint="eastAsia" w:ascii="宋体" w:hAnsi="宋体" w:eastAsia="宋体" w:cs="宋体"/>
                <w:color w:val="auto"/>
                <w:spacing w:val="3"/>
              </w:rPr>
              <w:t>本项目不接受联合体投标</w:t>
            </w:r>
          </w:p>
        </w:tc>
        <w:tc>
          <w:tcPr>
            <w:tcW w:w="6042" w:type="dxa"/>
            <w:tcBorders>
              <w:top w:val="single" w:color="auto" w:sz="4" w:space="0"/>
              <w:left w:val="single" w:color="auto" w:sz="4" w:space="0"/>
              <w:bottom w:val="single" w:color="auto" w:sz="4" w:space="0"/>
              <w:right w:val="single" w:color="auto" w:sz="4" w:space="0"/>
            </w:tcBorders>
            <w:noWrap w:val="0"/>
            <w:vAlign w:val="center"/>
          </w:tcPr>
          <w:p w14:paraId="58A9276E">
            <w:pPr>
              <w:pStyle w:val="23"/>
              <w:spacing w:before="36" w:line="220" w:lineRule="auto"/>
              <w:ind w:left="112" w:right="7" w:firstLine="25"/>
              <w:jc w:val="both"/>
              <w:rPr>
                <w:rFonts w:hint="eastAsia" w:ascii="宋体" w:hAnsi="宋体" w:eastAsia="宋体" w:cs="宋体"/>
                <w:color w:val="auto"/>
                <w:spacing w:val="3"/>
                <w:lang w:eastAsia="zh-CN"/>
              </w:rPr>
            </w:pPr>
            <w:r>
              <w:rPr>
                <w:rFonts w:hint="eastAsia" w:ascii="宋体" w:hAnsi="宋体" w:eastAsia="宋体" w:cs="宋体"/>
                <w:i w:val="0"/>
                <w:iCs w:val="0"/>
                <w:caps w:val="0"/>
                <w:color w:val="auto"/>
                <w:spacing w:val="0"/>
                <w:sz w:val="24"/>
                <w:szCs w:val="24"/>
                <w:shd w:val="clear" w:fill="FFFFFF"/>
                <w:vertAlign w:val="baseline"/>
              </w:rPr>
              <w:t>本项目不接受联合体投标。</w:t>
            </w:r>
          </w:p>
        </w:tc>
      </w:tr>
      <w:tr w14:paraId="05EEF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52" w:hRule="atLeast"/>
          <w:jc w:val="center"/>
        </w:trPr>
        <w:tc>
          <w:tcPr>
            <w:tcW w:w="8919" w:type="dxa"/>
            <w:gridSpan w:val="3"/>
            <w:tcBorders>
              <w:left w:val="single" w:color="auto" w:sz="4" w:space="0"/>
              <w:right w:val="single" w:color="auto" w:sz="4" w:space="0"/>
            </w:tcBorders>
            <w:noWrap w:val="0"/>
            <w:vAlign w:val="center"/>
          </w:tcPr>
          <w:p w14:paraId="4F1FDA29">
            <w:pPr>
              <w:spacing w:line="240" w:lineRule="exact"/>
              <w:rPr>
                <w:rFonts w:hint="eastAsia" w:ascii="宋体" w:hAnsi="宋体" w:eastAsia="宋体" w:cs="宋体"/>
                <w:b w:val="0"/>
                <w:bCs w:val="0"/>
                <w:color w:val="auto"/>
                <w:sz w:val="24"/>
                <w:szCs w:val="24"/>
                <w:lang w:eastAsia="zh-CN"/>
              </w:rPr>
            </w:pPr>
            <w:r>
              <w:rPr>
                <w:b/>
                <w:bCs/>
                <w:color w:val="auto"/>
                <w:spacing w:val="-2"/>
              </w:rPr>
              <w:t>注：审查不合格的投标供应商将视为非响应投标，不再进入后续评标阶段。</w:t>
            </w:r>
          </w:p>
        </w:tc>
      </w:tr>
    </w:tbl>
    <w:p w14:paraId="59105D6C">
      <w:pPr>
        <w:pStyle w:val="6"/>
        <w:spacing w:before="174" w:line="287" w:lineRule="auto"/>
        <w:ind w:left="14" w:right="81" w:firstLine="479"/>
        <w:rPr>
          <w:color w:val="auto"/>
          <w:sz w:val="24"/>
          <w:szCs w:val="24"/>
        </w:rPr>
      </w:pPr>
    </w:p>
    <w:p w14:paraId="20E0242D">
      <w:pPr>
        <w:spacing w:line="129" w:lineRule="auto"/>
        <w:rPr>
          <w:rFonts w:ascii="Arial"/>
          <w:color w:val="auto"/>
          <w:sz w:val="2"/>
        </w:rPr>
      </w:pPr>
    </w:p>
    <w:p w14:paraId="01C738FA">
      <w:pPr>
        <w:pStyle w:val="6"/>
        <w:spacing w:before="147" w:line="282" w:lineRule="auto"/>
        <w:ind w:left="15" w:firstLine="478"/>
        <w:rPr>
          <w:color w:val="auto"/>
          <w:sz w:val="24"/>
          <w:szCs w:val="24"/>
        </w:rPr>
      </w:pPr>
      <w:r>
        <w:rPr>
          <w:color w:val="auto"/>
          <w:spacing w:val="-1"/>
          <w:sz w:val="24"/>
          <w:szCs w:val="24"/>
        </w:rPr>
        <w:t>20.2.3</w:t>
      </w:r>
      <w:r>
        <w:rPr>
          <w:color w:val="auto"/>
          <w:spacing w:val="-49"/>
          <w:sz w:val="24"/>
          <w:szCs w:val="24"/>
        </w:rPr>
        <w:t xml:space="preserve"> </w:t>
      </w:r>
      <w:r>
        <w:rPr>
          <w:b/>
          <w:bCs/>
          <w:color w:val="auto"/>
          <w:spacing w:val="-1"/>
          <w:sz w:val="24"/>
          <w:szCs w:val="24"/>
        </w:rPr>
        <w:t>符合性评审</w:t>
      </w:r>
      <w:r>
        <w:rPr>
          <w:color w:val="auto"/>
          <w:spacing w:val="-1"/>
          <w:sz w:val="24"/>
          <w:szCs w:val="24"/>
        </w:rPr>
        <w:t>：依据竞争性谈判文件规定，从响应文件的有效性</w:t>
      </w:r>
      <w:r>
        <w:rPr>
          <w:color w:val="auto"/>
          <w:spacing w:val="-2"/>
          <w:sz w:val="24"/>
          <w:szCs w:val="24"/>
        </w:rPr>
        <w:t>、完整性和对竞</w:t>
      </w:r>
      <w:r>
        <w:rPr>
          <w:color w:val="auto"/>
          <w:spacing w:val="-4"/>
          <w:sz w:val="24"/>
          <w:szCs w:val="24"/>
        </w:rPr>
        <w:t>争性谈判文件的响应程度进行审查。审查要求如下，有一项不满足，不得进入下一轮评审：</w:t>
      </w:r>
    </w:p>
    <w:tbl>
      <w:tblPr>
        <w:tblStyle w:val="22"/>
        <w:tblW w:w="9218" w:type="dxa"/>
        <w:tblInd w:w="11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6"/>
        <w:gridCol w:w="2408"/>
        <w:gridCol w:w="6084"/>
      </w:tblGrid>
      <w:tr w14:paraId="7BE09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726" w:type="dxa"/>
            <w:vAlign w:val="top"/>
          </w:tcPr>
          <w:p w14:paraId="604E72AB">
            <w:pPr>
              <w:pStyle w:val="23"/>
              <w:spacing w:before="172" w:line="222" w:lineRule="auto"/>
              <w:ind w:left="125"/>
              <w:rPr>
                <w:color w:val="auto"/>
              </w:rPr>
            </w:pPr>
            <w:r>
              <w:rPr>
                <w:b/>
                <w:bCs/>
                <w:color w:val="auto"/>
                <w:spacing w:val="-7"/>
              </w:rPr>
              <w:t>序号</w:t>
            </w:r>
          </w:p>
        </w:tc>
        <w:tc>
          <w:tcPr>
            <w:tcW w:w="2408" w:type="dxa"/>
            <w:vAlign w:val="top"/>
          </w:tcPr>
          <w:p w14:paraId="30C41ECE">
            <w:pPr>
              <w:pStyle w:val="23"/>
              <w:spacing w:before="172" w:line="221" w:lineRule="auto"/>
              <w:ind w:left="721"/>
              <w:rPr>
                <w:color w:val="auto"/>
              </w:rPr>
            </w:pPr>
            <w:r>
              <w:rPr>
                <w:b/>
                <w:bCs/>
                <w:color w:val="auto"/>
                <w:spacing w:val="-5"/>
              </w:rPr>
              <w:t>评审项目</w:t>
            </w:r>
          </w:p>
        </w:tc>
        <w:tc>
          <w:tcPr>
            <w:tcW w:w="6084" w:type="dxa"/>
            <w:vAlign w:val="top"/>
          </w:tcPr>
          <w:p w14:paraId="39EDB605">
            <w:pPr>
              <w:pStyle w:val="23"/>
              <w:spacing w:before="172" w:line="221" w:lineRule="auto"/>
              <w:ind w:left="2554"/>
              <w:rPr>
                <w:color w:val="auto"/>
              </w:rPr>
            </w:pPr>
            <w:r>
              <w:rPr>
                <w:b/>
                <w:bCs/>
                <w:color w:val="auto"/>
                <w:spacing w:val="-5"/>
              </w:rPr>
              <w:t>评审标准</w:t>
            </w:r>
          </w:p>
        </w:tc>
      </w:tr>
      <w:tr w14:paraId="422913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26" w:type="dxa"/>
            <w:vAlign w:val="top"/>
          </w:tcPr>
          <w:p w14:paraId="3C1D477C">
            <w:pPr>
              <w:pStyle w:val="23"/>
              <w:spacing w:before="134" w:line="242" w:lineRule="auto"/>
              <w:ind w:left="327"/>
              <w:rPr>
                <w:color w:val="auto"/>
              </w:rPr>
            </w:pPr>
            <w:r>
              <w:rPr>
                <w:color w:val="auto"/>
              </w:rPr>
              <w:t>1</w:t>
            </w:r>
          </w:p>
        </w:tc>
        <w:tc>
          <w:tcPr>
            <w:tcW w:w="2408" w:type="dxa"/>
            <w:vAlign w:val="top"/>
          </w:tcPr>
          <w:p w14:paraId="794BC32C">
            <w:pPr>
              <w:pStyle w:val="23"/>
              <w:spacing w:before="134" w:line="220" w:lineRule="auto"/>
              <w:ind w:left="497"/>
              <w:rPr>
                <w:color w:val="auto"/>
              </w:rPr>
            </w:pPr>
            <w:r>
              <w:rPr>
                <w:color w:val="auto"/>
                <w:spacing w:val="-4"/>
              </w:rPr>
              <w:t>响应文件组成</w:t>
            </w:r>
          </w:p>
        </w:tc>
        <w:tc>
          <w:tcPr>
            <w:tcW w:w="6084" w:type="dxa"/>
            <w:vAlign w:val="top"/>
          </w:tcPr>
          <w:p w14:paraId="674A6CF4">
            <w:pPr>
              <w:pStyle w:val="23"/>
              <w:spacing w:before="134" w:line="220" w:lineRule="auto"/>
              <w:ind w:left="126"/>
              <w:rPr>
                <w:color w:val="auto"/>
              </w:rPr>
            </w:pPr>
            <w:r>
              <w:rPr>
                <w:color w:val="auto"/>
                <w:spacing w:val="-2"/>
              </w:rPr>
              <w:t>响应文件组成符合竞争性谈判文件要求；</w:t>
            </w:r>
          </w:p>
        </w:tc>
      </w:tr>
      <w:tr w14:paraId="7E172C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726" w:type="dxa"/>
            <w:vAlign w:val="top"/>
          </w:tcPr>
          <w:p w14:paraId="53262D56">
            <w:pPr>
              <w:pStyle w:val="23"/>
              <w:spacing w:before="120" w:line="242" w:lineRule="auto"/>
              <w:ind w:left="312"/>
              <w:rPr>
                <w:color w:val="auto"/>
              </w:rPr>
            </w:pPr>
            <w:r>
              <w:rPr>
                <w:color w:val="auto"/>
              </w:rPr>
              <w:t>2</w:t>
            </w:r>
          </w:p>
        </w:tc>
        <w:tc>
          <w:tcPr>
            <w:tcW w:w="2408" w:type="dxa"/>
            <w:vAlign w:val="top"/>
          </w:tcPr>
          <w:p w14:paraId="43AEDD9D">
            <w:pPr>
              <w:pStyle w:val="23"/>
              <w:spacing w:before="121" w:line="219" w:lineRule="auto"/>
              <w:ind w:left="137"/>
              <w:rPr>
                <w:color w:val="auto"/>
              </w:rPr>
            </w:pPr>
            <w:r>
              <w:rPr>
                <w:color w:val="auto"/>
                <w:spacing w:val="-3"/>
              </w:rPr>
              <w:t>响应文件签署、盖章</w:t>
            </w:r>
          </w:p>
        </w:tc>
        <w:tc>
          <w:tcPr>
            <w:tcW w:w="6084" w:type="dxa"/>
            <w:vAlign w:val="top"/>
          </w:tcPr>
          <w:p w14:paraId="43D2804F">
            <w:pPr>
              <w:pStyle w:val="23"/>
              <w:spacing w:before="121" w:line="219" w:lineRule="auto"/>
              <w:ind w:left="114"/>
              <w:rPr>
                <w:color w:val="auto"/>
              </w:rPr>
            </w:pPr>
            <w:r>
              <w:rPr>
                <w:color w:val="auto"/>
                <w:spacing w:val="-1"/>
              </w:rPr>
              <w:t>签署、盖章符合竞争性谈判文件要求，且无遗漏；</w:t>
            </w:r>
          </w:p>
        </w:tc>
      </w:tr>
      <w:tr w14:paraId="063367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8" w:hRule="atLeast"/>
        </w:trPr>
        <w:tc>
          <w:tcPr>
            <w:tcW w:w="726" w:type="dxa"/>
            <w:vAlign w:val="top"/>
          </w:tcPr>
          <w:p w14:paraId="04D06A7D">
            <w:pPr>
              <w:spacing w:line="244" w:lineRule="auto"/>
              <w:rPr>
                <w:rFonts w:ascii="Arial"/>
                <w:color w:val="auto"/>
                <w:sz w:val="21"/>
              </w:rPr>
            </w:pPr>
          </w:p>
          <w:p w14:paraId="3BE1B880">
            <w:pPr>
              <w:pStyle w:val="23"/>
              <w:spacing w:before="78"/>
              <w:ind w:left="314"/>
              <w:rPr>
                <w:color w:val="auto"/>
              </w:rPr>
            </w:pPr>
            <w:r>
              <w:rPr>
                <w:color w:val="auto"/>
              </w:rPr>
              <w:t>3</w:t>
            </w:r>
          </w:p>
        </w:tc>
        <w:tc>
          <w:tcPr>
            <w:tcW w:w="2408" w:type="dxa"/>
            <w:vAlign w:val="top"/>
          </w:tcPr>
          <w:p w14:paraId="76C68001">
            <w:pPr>
              <w:pStyle w:val="23"/>
              <w:spacing w:before="173" w:line="233" w:lineRule="auto"/>
              <w:ind w:left="844" w:right="118" w:hanging="707"/>
              <w:rPr>
                <w:color w:val="auto"/>
              </w:rPr>
            </w:pPr>
            <w:r>
              <w:rPr>
                <w:color w:val="auto"/>
                <w:spacing w:val="-3"/>
              </w:rPr>
              <w:t>响应文件有效期、响</w:t>
            </w:r>
            <w:r>
              <w:rPr>
                <w:color w:val="auto"/>
                <w:spacing w:val="-4"/>
              </w:rPr>
              <w:t>应情况</w:t>
            </w:r>
          </w:p>
        </w:tc>
        <w:tc>
          <w:tcPr>
            <w:tcW w:w="6084" w:type="dxa"/>
            <w:vAlign w:val="top"/>
          </w:tcPr>
          <w:p w14:paraId="2E076CC1">
            <w:pPr>
              <w:pStyle w:val="23"/>
              <w:spacing w:before="172" w:line="233" w:lineRule="auto"/>
              <w:ind w:left="113" w:right="107" w:firstLine="2"/>
              <w:rPr>
                <w:color w:val="auto"/>
              </w:rPr>
            </w:pPr>
            <w:r>
              <w:rPr>
                <w:color w:val="auto"/>
                <w:spacing w:val="3"/>
              </w:rPr>
              <w:t>符合竞争性谈判文件的要求；响应文件按竞争性谈判文</w:t>
            </w:r>
            <w:r>
              <w:rPr>
                <w:color w:val="auto"/>
                <w:spacing w:val="-1"/>
              </w:rPr>
              <w:t>件要求逐条响应、无缺项；</w:t>
            </w:r>
          </w:p>
        </w:tc>
      </w:tr>
      <w:tr w14:paraId="058C82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726" w:type="dxa"/>
            <w:vAlign w:val="top"/>
          </w:tcPr>
          <w:p w14:paraId="3C76AE61">
            <w:pPr>
              <w:spacing w:line="257" w:lineRule="auto"/>
              <w:rPr>
                <w:rFonts w:ascii="Arial"/>
                <w:color w:val="auto"/>
                <w:sz w:val="21"/>
              </w:rPr>
            </w:pPr>
          </w:p>
          <w:p w14:paraId="595443B9">
            <w:pPr>
              <w:pStyle w:val="23"/>
              <w:spacing w:before="78" w:line="242" w:lineRule="auto"/>
              <w:ind w:left="308"/>
              <w:rPr>
                <w:color w:val="auto"/>
              </w:rPr>
            </w:pPr>
            <w:r>
              <w:rPr>
                <w:color w:val="auto"/>
              </w:rPr>
              <w:t>4</w:t>
            </w:r>
          </w:p>
        </w:tc>
        <w:tc>
          <w:tcPr>
            <w:tcW w:w="2408" w:type="dxa"/>
            <w:vAlign w:val="top"/>
          </w:tcPr>
          <w:p w14:paraId="0E0A7B4F">
            <w:pPr>
              <w:spacing w:line="256" w:lineRule="auto"/>
              <w:rPr>
                <w:rFonts w:ascii="Arial"/>
                <w:color w:val="auto"/>
                <w:sz w:val="21"/>
              </w:rPr>
            </w:pPr>
          </w:p>
          <w:p w14:paraId="7E3490BC">
            <w:pPr>
              <w:pStyle w:val="23"/>
              <w:spacing w:before="78" w:line="219" w:lineRule="auto"/>
              <w:ind w:left="724"/>
              <w:rPr>
                <w:color w:val="auto"/>
              </w:rPr>
            </w:pPr>
            <w:r>
              <w:rPr>
                <w:color w:val="auto"/>
                <w:spacing w:val="-3"/>
              </w:rPr>
              <w:t>谈判报价</w:t>
            </w:r>
          </w:p>
        </w:tc>
        <w:tc>
          <w:tcPr>
            <w:tcW w:w="6084" w:type="dxa"/>
            <w:vAlign w:val="top"/>
          </w:tcPr>
          <w:p w14:paraId="02AA579B">
            <w:pPr>
              <w:pStyle w:val="23"/>
              <w:spacing w:before="36" w:line="220" w:lineRule="auto"/>
              <w:ind w:left="112" w:right="7" w:firstLine="25"/>
              <w:jc w:val="both"/>
              <w:rPr>
                <w:color w:val="auto"/>
              </w:rPr>
            </w:pPr>
            <w:r>
              <w:rPr>
                <w:color w:val="auto"/>
                <w:spacing w:val="-2"/>
              </w:rPr>
              <w:t>同时满足以下条款</w:t>
            </w:r>
            <w:r>
              <w:rPr>
                <w:color w:val="auto"/>
                <w:spacing w:val="-61"/>
                <w:w w:val="95"/>
              </w:rPr>
              <w:t>：（</w:t>
            </w:r>
            <w:r>
              <w:rPr>
                <w:color w:val="auto"/>
                <w:spacing w:val="-2"/>
              </w:rPr>
              <w:t>1）投标报价符合唯一性要求</w:t>
            </w:r>
            <w:r>
              <w:rPr>
                <w:color w:val="auto"/>
                <w:spacing w:val="-61"/>
                <w:w w:val="95"/>
              </w:rPr>
              <w:t>；（</w:t>
            </w:r>
            <w:r>
              <w:rPr>
                <w:color w:val="auto"/>
                <w:spacing w:val="-2"/>
              </w:rPr>
              <w:t>2）</w:t>
            </w:r>
            <w:r>
              <w:rPr>
                <w:color w:val="auto"/>
                <w:spacing w:val="3"/>
              </w:rPr>
              <w:t>报价未超过采购预算且没有被评审小组认定为不合理低</w:t>
            </w:r>
            <w:r>
              <w:rPr>
                <w:color w:val="auto"/>
                <w:spacing w:val="-4"/>
              </w:rPr>
              <w:t>价；</w:t>
            </w:r>
          </w:p>
        </w:tc>
      </w:tr>
      <w:tr w14:paraId="15A64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726" w:type="dxa"/>
            <w:vAlign w:val="top"/>
          </w:tcPr>
          <w:p w14:paraId="18DC663A">
            <w:pPr>
              <w:pStyle w:val="23"/>
              <w:spacing w:before="179"/>
              <w:ind w:left="314"/>
              <w:rPr>
                <w:color w:val="auto"/>
              </w:rPr>
            </w:pPr>
            <w:r>
              <w:rPr>
                <w:color w:val="auto"/>
              </w:rPr>
              <w:t>5</w:t>
            </w:r>
          </w:p>
        </w:tc>
        <w:tc>
          <w:tcPr>
            <w:tcW w:w="2408" w:type="dxa"/>
            <w:vAlign w:val="top"/>
          </w:tcPr>
          <w:p w14:paraId="70AA3FF0">
            <w:pPr>
              <w:pStyle w:val="23"/>
              <w:spacing w:before="178" w:line="221" w:lineRule="auto"/>
              <w:ind w:left="726"/>
              <w:rPr>
                <w:color w:val="auto"/>
              </w:rPr>
            </w:pPr>
            <w:r>
              <w:rPr>
                <w:color w:val="auto"/>
                <w:spacing w:val="-3"/>
              </w:rPr>
              <w:t>其他情况</w:t>
            </w:r>
          </w:p>
        </w:tc>
        <w:tc>
          <w:tcPr>
            <w:tcW w:w="6084" w:type="dxa"/>
            <w:vAlign w:val="top"/>
          </w:tcPr>
          <w:p w14:paraId="12C24D7B">
            <w:pPr>
              <w:pStyle w:val="23"/>
              <w:spacing w:before="179" w:line="220" w:lineRule="auto"/>
              <w:ind w:left="116"/>
              <w:rPr>
                <w:color w:val="auto"/>
              </w:rPr>
            </w:pPr>
            <w:r>
              <w:rPr>
                <w:color w:val="auto"/>
                <w:spacing w:val="-1"/>
              </w:rPr>
              <w:t>符合竞争性谈判文件或法律法规有关规定的其他情形；</w:t>
            </w:r>
          </w:p>
        </w:tc>
      </w:tr>
      <w:tr w14:paraId="3B996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9218" w:type="dxa"/>
            <w:gridSpan w:val="3"/>
            <w:vAlign w:val="top"/>
          </w:tcPr>
          <w:p w14:paraId="161F31BA">
            <w:pPr>
              <w:pStyle w:val="23"/>
              <w:spacing w:before="205" w:line="219" w:lineRule="auto"/>
              <w:ind w:left="1589"/>
              <w:rPr>
                <w:color w:val="auto"/>
              </w:rPr>
            </w:pPr>
            <w:r>
              <w:rPr>
                <w:b/>
                <w:bCs/>
                <w:color w:val="auto"/>
                <w:spacing w:val="-2"/>
              </w:rPr>
              <w:t>备注：符合性审查不合格的供应商不得进入下一评</w:t>
            </w:r>
            <w:r>
              <w:rPr>
                <w:b/>
                <w:bCs/>
                <w:color w:val="auto"/>
                <w:spacing w:val="-3"/>
              </w:rPr>
              <w:t>审环节</w:t>
            </w:r>
          </w:p>
        </w:tc>
      </w:tr>
    </w:tbl>
    <w:p w14:paraId="3943401B">
      <w:pPr>
        <w:pStyle w:val="6"/>
        <w:spacing w:before="179" w:line="220" w:lineRule="auto"/>
        <w:ind w:left="493"/>
        <w:rPr>
          <w:color w:val="auto"/>
          <w:sz w:val="24"/>
          <w:szCs w:val="24"/>
        </w:rPr>
      </w:pPr>
      <w:r>
        <w:rPr>
          <w:color w:val="auto"/>
          <w:spacing w:val="-1"/>
          <w:sz w:val="24"/>
          <w:szCs w:val="24"/>
        </w:rPr>
        <w:t>20.2.4</w:t>
      </w:r>
      <w:r>
        <w:rPr>
          <w:color w:val="auto"/>
          <w:spacing w:val="-46"/>
          <w:sz w:val="24"/>
          <w:szCs w:val="24"/>
        </w:rPr>
        <w:t xml:space="preserve"> </w:t>
      </w:r>
      <w:r>
        <w:rPr>
          <w:color w:val="auto"/>
          <w:spacing w:val="-1"/>
          <w:sz w:val="24"/>
          <w:szCs w:val="24"/>
        </w:rPr>
        <w:t>谈判时，响应文件中出现下列情况，修正原则为：</w:t>
      </w:r>
    </w:p>
    <w:p w14:paraId="5B1809C2">
      <w:pPr>
        <w:pStyle w:val="6"/>
        <w:spacing w:before="193" w:line="219" w:lineRule="auto"/>
        <w:jc w:val="right"/>
        <w:rPr>
          <w:color w:val="auto"/>
          <w:sz w:val="24"/>
          <w:szCs w:val="24"/>
        </w:rPr>
      </w:pPr>
      <w:r>
        <w:rPr>
          <w:color w:val="auto"/>
          <w:spacing w:val="-2"/>
          <w:sz w:val="24"/>
          <w:szCs w:val="24"/>
        </w:rPr>
        <w:t>A、响应文件中响应报价表内容与响应文件中明细内容不一致的，以响应报价表为准；</w:t>
      </w:r>
    </w:p>
    <w:p w14:paraId="5AB2331B">
      <w:pPr>
        <w:pStyle w:val="6"/>
        <w:spacing w:before="195" w:line="220" w:lineRule="auto"/>
        <w:ind w:left="484"/>
        <w:rPr>
          <w:color w:val="auto"/>
          <w:sz w:val="24"/>
          <w:szCs w:val="24"/>
        </w:rPr>
      </w:pPr>
      <w:r>
        <w:rPr>
          <w:color w:val="auto"/>
          <w:sz w:val="24"/>
          <w:szCs w:val="24"/>
        </w:rPr>
        <w:t>B、大写金额和小写金额不一致的，以大写</w:t>
      </w:r>
      <w:r>
        <w:rPr>
          <w:color w:val="auto"/>
          <w:spacing w:val="-1"/>
          <w:sz w:val="24"/>
          <w:szCs w:val="24"/>
        </w:rPr>
        <w:t>金额为准；</w:t>
      </w:r>
    </w:p>
    <w:p w14:paraId="08F2D2B2">
      <w:pPr>
        <w:pStyle w:val="6"/>
        <w:spacing w:before="193" w:line="219" w:lineRule="auto"/>
        <w:jc w:val="right"/>
        <w:rPr>
          <w:color w:val="auto"/>
          <w:sz w:val="24"/>
          <w:szCs w:val="24"/>
        </w:rPr>
      </w:pPr>
      <w:r>
        <w:rPr>
          <w:color w:val="auto"/>
          <w:spacing w:val="-7"/>
          <w:sz w:val="24"/>
          <w:szCs w:val="24"/>
        </w:rPr>
        <w:t>C、单价金额小数点或者百分比有明显错位的，以响应报价表的总价为准，并修改单价；</w:t>
      </w:r>
    </w:p>
    <w:p w14:paraId="476B7BB1">
      <w:pPr>
        <w:pStyle w:val="6"/>
        <w:spacing w:before="195" w:line="219" w:lineRule="auto"/>
        <w:ind w:left="485"/>
        <w:rPr>
          <w:color w:val="auto"/>
          <w:sz w:val="24"/>
          <w:szCs w:val="24"/>
        </w:rPr>
      </w:pPr>
      <w:r>
        <w:rPr>
          <w:color w:val="auto"/>
          <w:sz w:val="24"/>
          <w:szCs w:val="24"/>
        </w:rPr>
        <w:t>D、总价金额与按单价汇总金额不一致的，以单价金额计</w:t>
      </w:r>
      <w:r>
        <w:rPr>
          <w:color w:val="auto"/>
          <w:spacing w:val="-1"/>
          <w:sz w:val="24"/>
          <w:szCs w:val="24"/>
        </w:rPr>
        <w:t>算结果为准；</w:t>
      </w:r>
    </w:p>
    <w:p w14:paraId="339232CB">
      <w:pPr>
        <w:pStyle w:val="6"/>
        <w:spacing w:before="196" w:line="220" w:lineRule="auto"/>
        <w:ind w:left="487"/>
        <w:rPr>
          <w:color w:val="auto"/>
          <w:sz w:val="24"/>
          <w:szCs w:val="24"/>
        </w:rPr>
      </w:pPr>
      <w:r>
        <w:rPr>
          <w:color w:val="auto"/>
          <w:spacing w:val="-1"/>
          <w:sz w:val="24"/>
          <w:szCs w:val="24"/>
        </w:rPr>
        <w:t>E、多处内容交叉不符时，以谈判小组评审结果为准；</w:t>
      </w:r>
    </w:p>
    <w:p w14:paraId="164C9471">
      <w:pPr>
        <w:pStyle w:val="6"/>
        <w:spacing w:before="194" w:line="220" w:lineRule="auto"/>
        <w:ind w:left="486"/>
        <w:rPr>
          <w:color w:val="auto"/>
          <w:sz w:val="24"/>
          <w:szCs w:val="24"/>
        </w:rPr>
      </w:pPr>
      <w:r>
        <w:rPr>
          <w:color w:val="auto"/>
          <w:spacing w:val="-1"/>
          <w:sz w:val="24"/>
          <w:szCs w:val="24"/>
        </w:rPr>
        <w:t>F、文字与图表不符的，以文字为准。</w:t>
      </w:r>
    </w:p>
    <w:p w14:paraId="03FC3665">
      <w:pPr>
        <w:pStyle w:val="6"/>
        <w:spacing w:before="161" w:line="366" w:lineRule="auto"/>
        <w:ind w:left="11" w:right="110" w:firstLine="502"/>
        <w:jc w:val="both"/>
        <w:rPr>
          <w:color w:val="auto"/>
          <w:sz w:val="24"/>
          <w:szCs w:val="24"/>
        </w:rPr>
      </w:pPr>
      <w:r>
        <w:rPr>
          <w:color w:val="auto"/>
          <w:spacing w:val="-1"/>
          <w:sz w:val="24"/>
          <w:szCs w:val="24"/>
        </w:rPr>
        <w:t>同时出现两种以上不一致的，按照前款规定的顺序修正。按上述修正错误的原则及方</w:t>
      </w:r>
      <w:r>
        <w:rPr>
          <w:color w:val="auto"/>
          <w:sz w:val="24"/>
          <w:szCs w:val="24"/>
        </w:rPr>
        <w:t>法调整或修正响应文件的报价和内容，供应商同意后，调整后</w:t>
      </w:r>
      <w:r>
        <w:rPr>
          <w:color w:val="auto"/>
          <w:spacing w:val="-1"/>
          <w:sz w:val="24"/>
          <w:szCs w:val="24"/>
        </w:rPr>
        <w:t>的报价和内容对供应商起约</w:t>
      </w:r>
      <w:r>
        <w:rPr>
          <w:color w:val="auto"/>
          <w:sz w:val="24"/>
          <w:szCs w:val="24"/>
        </w:rPr>
        <w:t>束作用。如果供应商不接受修正后的报价和</w:t>
      </w:r>
      <w:r>
        <w:rPr>
          <w:color w:val="auto"/>
          <w:spacing w:val="-1"/>
          <w:sz w:val="24"/>
          <w:szCs w:val="24"/>
        </w:rPr>
        <w:t>内容，则其响应文件无效。</w:t>
      </w:r>
    </w:p>
    <w:p w14:paraId="66FA59C9">
      <w:pPr>
        <w:pStyle w:val="6"/>
        <w:spacing w:before="1" w:line="353" w:lineRule="auto"/>
        <w:ind w:left="16" w:right="59" w:firstLine="477"/>
        <w:rPr>
          <w:color w:val="auto"/>
          <w:sz w:val="24"/>
          <w:szCs w:val="24"/>
        </w:rPr>
      </w:pPr>
      <w:r>
        <w:rPr>
          <w:color w:val="auto"/>
          <w:spacing w:val="-1"/>
          <w:sz w:val="24"/>
          <w:szCs w:val="24"/>
        </w:rPr>
        <w:t>20.2.5</w:t>
      </w:r>
      <w:r>
        <w:rPr>
          <w:color w:val="auto"/>
          <w:spacing w:val="-43"/>
          <w:sz w:val="24"/>
          <w:szCs w:val="24"/>
        </w:rPr>
        <w:t xml:space="preserve"> </w:t>
      </w:r>
      <w:r>
        <w:rPr>
          <w:color w:val="auto"/>
          <w:spacing w:val="-1"/>
          <w:sz w:val="24"/>
          <w:szCs w:val="24"/>
        </w:rPr>
        <w:t>谈判小组对谈判响应文件进行审查时，出现下列情况之一者（但不限于）按无</w:t>
      </w:r>
      <w:r>
        <w:rPr>
          <w:color w:val="auto"/>
          <w:spacing w:val="-3"/>
          <w:sz w:val="24"/>
          <w:szCs w:val="24"/>
        </w:rPr>
        <w:t>效文件处理。</w:t>
      </w:r>
    </w:p>
    <w:p w14:paraId="3FC6D8DB">
      <w:pPr>
        <w:pStyle w:val="6"/>
        <w:spacing w:line="218" w:lineRule="auto"/>
        <w:ind w:left="501"/>
        <w:rPr>
          <w:color w:val="auto"/>
          <w:sz w:val="24"/>
          <w:szCs w:val="24"/>
        </w:rPr>
      </w:pPr>
      <w:r>
        <w:rPr>
          <w:color w:val="auto"/>
          <w:spacing w:val="-1"/>
          <w:sz w:val="24"/>
          <w:szCs w:val="24"/>
        </w:rPr>
        <w:t>（1）供应商的响应报价不符合竞争性谈判文件要求的；</w:t>
      </w:r>
    </w:p>
    <w:p w14:paraId="1B7FA9C5">
      <w:pPr>
        <w:pStyle w:val="6"/>
        <w:spacing w:before="177" w:line="286" w:lineRule="auto"/>
        <w:ind w:left="13" w:right="59" w:firstLine="488"/>
        <w:rPr>
          <w:color w:val="auto"/>
          <w:sz w:val="24"/>
          <w:szCs w:val="24"/>
        </w:rPr>
      </w:pPr>
      <w:r>
        <w:rPr>
          <w:color w:val="auto"/>
          <w:spacing w:val="-2"/>
          <w:sz w:val="24"/>
          <w:szCs w:val="24"/>
        </w:rPr>
        <w:t>（2）各供应商未经过正常渠道获取竞争性谈判文</w:t>
      </w:r>
      <w:r>
        <w:rPr>
          <w:color w:val="auto"/>
          <w:spacing w:val="-3"/>
          <w:sz w:val="24"/>
          <w:szCs w:val="24"/>
        </w:rPr>
        <w:t>件，或参加谈判的各供应商名称与获</w:t>
      </w:r>
      <w:r>
        <w:rPr>
          <w:color w:val="auto"/>
          <w:spacing w:val="-1"/>
          <w:sz w:val="24"/>
          <w:szCs w:val="24"/>
        </w:rPr>
        <w:t>取竞争性谈判文件时登记的单位名称不符。</w:t>
      </w:r>
    </w:p>
    <w:p w14:paraId="046AB5A3">
      <w:pPr>
        <w:pStyle w:val="6"/>
        <w:spacing w:before="175" w:line="219" w:lineRule="auto"/>
        <w:ind w:left="501"/>
        <w:rPr>
          <w:color w:val="auto"/>
          <w:sz w:val="24"/>
          <w:szCs w:val="24"/>
        </w:rPr>
      </w:pPr>
      <w:r>
        <w:rPr>
          <w:color w:val="auto"/>
          <w:spacing w:val="-1"/>
          <w:sz w:val="24"/>
          <w:szCs w:val="24"/>
        </w:rPr>
        <w:t>（3）不同供应商单位负责人为同一人或者存在控股、管理关系的；</w:t>
      </w:r>
    </w:p>
    <w:p w14:paraId="7C186FA5">
      <w:pPr>
        <w:pStyle w:val="6"/>
        <w:spacing w:before="176" w:line="220" w:lineRule="auto"/>
        <w:ind w:left="501"/>
        <w:rPr>
          <w:color w:val="auto"/>
          <w:sz w:val="24"/>
          <w:szCs w:val="24"/>
        </w:rPr>
      </w:pPr>
      <w:r>
        <w:rPr>
          <w:color w:val="auto"/>
          <w:spacing w:val="-1"/>
          <w:sz w:val="24"/>
          <w:szCs w:val="24"/>
        </w:rPr>
        <w:t>（4）响应文件的有效性和符合性不符合要求的；</w:t>
      </w:r>
    </w:p>
    <w:p w14:paraId="5EED6636">
      <w:pPr>
        <w:pStyle w:val="6"/>
        <w:spacing w:before="172" w:line="287" w:lineRule="auto"/>
        <w:ind w:left="10" w:right="59" w:firstLine="491"/>
        <w:rPr>
          <w:color w:val="auto"/>
          <w:sz w:val="24"/>
          <w:szCs w:val="24"/>
        </w:rPr>
      </w:pPr>
      <w:r>
        <w:rPr>
          <w:color w:val="auto"/>
          <w:spacing w:val="-2"/>
          <w:sz w:val="24"/>
          <w:szCs w:val="24"/>
        </w:rPr>
        <w:t>（5）供应商未提供法定代表人授权委托书（法定</w:t>
      </w:r>
      <w:r>
        <w:rPr>
          <w:color w:val="auto"/>
          <w:spacing w:val="-3"/>
          <w:sz w:val="24"/>
          <w:szCs w:val="24"/>
        </w:rPr>
        <w:t>代表人投标时，提供法定代表人身份</w:t>
      </w:r>
      <w:r>
        <w:rPr>
          <w:color w:val="auto"/>
          <w:spacing w:val="-1"/>
          <w:sz w:val="24"/>
          <w:szCs w:val="24"/>
        </w:rPr>
        <w:t>证明)或提供的文件不符合竞争性谈判文件要求的。</w:t>
      </w:r>
    </w:p>
    <w:p w14:paraId="56BF39EE">
      <w:pPr>
        <w:pStyle w:val="6"/>
        <w:spacing w:before="176" w:line="220" w:lineRule="auto"/>
        <w:ind w:left="501"/>
        <w:rPr>
          <w:color w:val="auto"/>
          <w:sz w:val="24"/>
          <w:szCs w:val="24"/>
        </w:rPr>
      </w:pPr>
      <w:r>
        <w:rPr>
          <w:color w:val="auto"/>
          <w:spacing w:val="-2"/>
          <w:sz w:val="24"/>
          <w:szCs w:val="24"/>
        </w:rPr>
        <w:t>（6）实质性内容不满足或未响应的；</w:t>
      </w:r>
    </w:p>
    <w:p w14:paraId="49F404C8">
      <w:pPr>
        <w:pStyle w:val="6"/>
        <w:spacing w:before="173" w:line="287" w:lineRule="auto"/>
        <w:ind w:left="13" w:right="59" w:firstLine="488"/>
        <w:rPr>
          <w:color w:val="auto"/>
          <w:sz w:val="24"/>
          <w:szCs w:val="24"/>
        </w:rPr>
      </w:pPr>
      <w:r>
        <w:rPr>
          <w:color w:val="auto"/>
          <w:spacing w:val="-2"/>
          <w:sz w:val="24"/>
          <w:szCs w:val="24"/>
        </w:rPr>
        <w:t>（7）谈判响应文件要求加盖供应商公章或签字处</w:t>
      </w:r>
      <w:r>
        <w:rPr>
          <w:color w:val="auto"/>
          <w:spacing w:val="-3"/>
          <w:sz w:val="24"/>
          <w:szCs w:val="24"/>
        </w:rPr>
        <w:t>未执行文件规定、谈判响应文件有效</w:t>
      </w:r>
      <w:r>
        <w:rPr>
          <w:color w:val="auto"/>
          <w:spacing w:val="-1"/>
          <w:sz w:val="24"/>
          <w:szCs w:val="24"/>
        </w:rPr>
        <w:t>期或有效期未能达到竞争性谈判文件的要求的。</w:t>
      </w:r>
    </w:p>
    <w:p w14:paraId="5B9D5B2E">
      <w:pPr>
        <w:pStyle w:val="6"/>
        <w:spacing w:before="174" w:line="286" w:lineRule="auto"/>
        <w:ind w:left="11" w:right="59" w:firstLine="490"/>
        <w:rPr>
          <w:color w:val="auto"/>
          <w:sz w:val="24"/>
          <w:szCs w:val="24"/>
        </w:rPr>
      </w:pPr>
      <w:r>
        <w:rPr>
          <w:color w:val="auto"/>
          <w:spacing w:val="-2"/>
          <w:sz w:val="24"/>
          <w:szCs w:val="24"/>
        </w:rPr>
        <w:t>（8）供应商针对同一项目递交两份或多份内容不</w:t>
      </w:r>
      <w:r>
        <w:rPr>
          <w:color w:val="auto"/>
          <w:spacing w:val="-3"/>
          <w:sz w:val="24"/>
          <w:szCs w:val="24"/>
        </w:rPr>
        <w:t>同的响应文件，未书面声明哪一份是</w:t>
      </w:r>
      <w:r>
        <w:rPr>
          <w:color w:val="auto"/>
          <w:spacing w:val="-1"/>
          <w:sz w:val="24"/>
          <w:szCs w:val="24"/>
        </w:rPr>
        <w:t>有效的或出现选择性报价的；</w:t>
      </w:r>
    </w:p>
    <w:p w14:paraId="47402156">
      <w:pPr>
        <w:pStyle w:val="6"/>
        <w:spacing w:before="175" w:line="288" w:lineRule="auto"/>
        <w:ind w:left="11" w:right="59" w:firstLine="490"/>
        <w:rPr>
          <w:color w:val="auto"/>
          <w:sz w:val="24"/>
          <w:szCs w:val="24"/>
        </w:rPr>
      </w:pPr>
      <w:r>
        <w:rPr>
          <w:color w:val="auto"/>
          <w:spacing w:val="-3"/>
          <w:sz w:val="24"/>
          <w:szCs w:val="24"/>
        </w:rPr>
        <w:t>（9）提供虚假证明（包括第三方提供的虚假证明、证件</w:t>
      </w:r>
      <w:r>
        <w:rPr>
          <w:color w:val="auto"/>
          <w:spacing w:val="8"/>
          <w:sz w:val="24"/>
          <w:szCs w:val="24"/>
        </w:rPr>
        <w:t>），</w:t>
      </w:r>
      <w:r>
        <w:rPr>
          <w:color w:val="auto"/>
          <w:spacing w:val="-3"/>
          <w:sz w:val="24"/>
          <w:szCs w:val="24"/>
        </w:rPr>
        <w:t>除按无效文件处理外，按</w:t>
      </w:r>
      <w:r>
        <w:rPr>
          <w:color w:val="auto"/>
          <w:spacing w:val="-1"/>
          <w:sz w:val="24"/>
          <w:szCs w:val="24"/>
        </w:rPr>
        <w:t>有关规定进行相应的处罚。</w:t>
      </w:r>
    </w:p>
    <w:p w14:paraId="67207B86">
      <w:pPr>
        <w:pStyle w:val="6"/>
        <w:spacing w:before="172" w:line="219" w:lineRule="auto"/>
        <w:ind w:left="501"/>
        <w:rPr>
          <w:color w:val="auto"/>
          <w:sz w:val="24"/>
          <w:szCs w:val="24"/>
        </w:rPr>
      </w:pPr>
      <w:r>
        <w:rPr>
          <w:color w:val="auto"/>
          <w:spacing w:val="-1"/>
          <w:sz w:val="24"/>
          <w:szCs w:val="24"/>
        </w:rPr>
        <w:t>（10）响应文件在商务响应方面附加了采购人难以接受的条件或条款的；</w:t>
      </w:r>
    </w:p>
    <w:p w14:paraId="7BBDF624">
      <w:pPr>
        <w:pStyle w:val="6"/>
        <w:spacing w:before="176" w:line="220" w:lineRule="auto"/>
        <w:ind w:left="501"/>
        <w:rPr>
          <w:color w:val="auto"/>
          <w:sz w:val="24"/>
          <w:szCs w:val="24"/>
        </w:rPr>
      </w:pPr>
      <w:r>
        <w:rPr>
          <w:color w:val="auto"/>
          <w:spacing w:val="-1"/>
          <w:sz w:val="24"/>
          <w:szCs w:val="24"/>
        </w:rPr>
        <w:t>（11）在重大项目履约过程中有不良记录，不能按期履约的。</w:t>
      </w:r>
    </w:p>
    <w:p w14:paraId="6B9D0E9E">
      <w:pPr>
        <w:pStyle w:val="6"/>
        <w:spacing w:before="174" w:line="219" w:lineRule="auto"/>
        <w:ind w:left="501"/>
        <w:rPr>
          <w:color w:val="auto"/>
          <w:sz w:val="24"/>
          <w:szCs w:val="24"/>
        </w:rPr>
      </w:pPr>
      <w:r>
        <w:rPr>
          <w:color w:val="auto"/>
          <w:spacing w:val="-1"/>
          <w:sz w:val="24"/>
          <w:szCs w:val="24"/>
        </w:rPr>
        <w:t>（12）谈判报价与市场价格偏离较大、低于成本、形成不正当竞争的；</w:t>
      </w:r>
    </w:p>
    <w:p w14:paraId="7E9A53ED">
      <w:pPr>
        <w:pStyle w:val="6"/>
        <w:spacing w:before="174" w:line="219" w:lineRule="auto"/>
        <w:ind w:left="501"/>
        <w:rPr>
          <w:color w:val="auto"/>
          <w:sz w:val="24"/>
          <w:szCs w:val="24"/>
        </w:rPr>
      </w:pPr>
      <w:r>
        <w:rPr>
          <w:color w:val="auto"/>
          <w:spacing w:val="-1"/>
          <w:sz w:val="24"/>
          <w:szCs w:val="24"/>
        </w:rPr>
        <w:t>（13）报价子目出现漏项或报价数量与要求不符的；</w:t>
      </w:r>
    </w:p>
    <w:p w14:paraId="54C02126">
      <w:pPr>
        <w:pStyle w:val="6"/>
        <w:spacing w:before="176" w:line="220" w:lineRule="auto"/>
        <w:ind w:left="501"/>
        <w:rPr>
          <w:color w:val="auto"/>
          <w:sz w:val="24"/>
          <w:szCs w:val="24"/>
        </w:rPr>
      </w:pPr>
      <w:r>
        <w:rPr>
          <w:color w:val="auto"/>
          <w:spacing w:val="-1"/>
          <w:sz w:val="24"/>
          <w:szCs w:val="24"/>
        </w:rPr>
        <w:t>（14）响应文件的技术要求与竞争性谈判文件出现重大负偏差的；</w:t>
      </w:r>
    </w:p>
    <w:p w14:paraId="660FECB7">
      <w:pPr>
        <w:pStyle w:val="6"/>
        <w:spacing w:before="175" w:line="219" w:lineRule="auto"/>
        <w:ind w:left="501"/>
        <w:rPr>
          <w:color w:val="auto"/>
          <w:sz w:val="24"/>
          <w:szCs w:val="24"/>
        </w:rPr>
      </w:pPr>
      <w:r>
        <w:rPr>
          <w:color w:val="auto"/>
          <w:spacing w:val="-2"/>
          <w:sz w:val="24"/>
          <w:szCs w:val="24"/>
        </w:rPr>
        <w:t>（15）提供虚假技术指标的。</w:t>
      </w:r>
    </w:p>
    <w:p w14:paraId="06E6BEA1">
      <w:pPr>
        <w:pStyle w:val="6"/>
        <w:spacing w:before="173" w:line="287" w:lineRule="auto"/>
        <w:ind w:left="501" w:hanging="8"/>
        <w:rPr>
          <w:color w:val="auto"/>
          <w:sz w:val="24"/>
          <w:szCs w:val="24"/>
        </w:rPr>
      </w:pPr>
      <w:r>
        <w:rPr>
          <w:color w:val="auto"/>
          <w:spacing w:val="-5"/>
          <w:sz w:val="24"/>
          <w:szCs w:val="24"/>
        </w:rPr>
        <w:t>20.2.6</w:t>
      </w:r>
      <w:r>
        <w:rPr>
          <w:color w:val="auto"/>
          <w:spacing w:val="-50"/>
          <w:sz w:val="24"/>
          <w:szCs w:val="24"/>
        </w:rPr>
        <w:t xml:space="preserve"> </w:t>
      </w:r>
      <w:r>
        <w:rPr>
          <w:color w:val="auto"/>
          <w:spacing w:val="-5"/>
          <w:sz w:val="24"/>
          <w:szCs w:val="24"/>
        </w:rPr>
        <w:t>有下列情形之一的，视为供应商串通投标，谈判小组应当认</w:t>
      </w:r>
      <w:r>
        <w:rPr>
          <w:color w:val="auto"/>
          <w:spacing w:val="-6"/>
          <w:sz w:val="24"/>
          <w:szCs w:val="24"/>
        </w:rPr>
        <w:t>定其响应文件无效：</w:t>
      </w:r>
      <w:r>
        <w:rPr>
          <w:color w:val="auto"/>
          <w:sz w:val="24"/>
          <w:szCs w:val="24"/>
        </w:rPr>
        <w:t xml:space="preserve"> </w:t>
      </w:r>
      <w:r>
        <w:rPr>
          <w:color w:val="auto"/>
          <w:spacing w:val="-1"/>
          <w:sz w:val="24"/>
          <w:szCs w:val="24"/>
        </w:rPr>
        <w:t>（1）不同供应商的响应文件由同一单位或者个人编制；</w:t>
      </w:r>
    </w:p>
    <w:p w14:paraId="17406522">
      <w:pPr>
        <w:pStyle w:val="6"/>
        <w:spacing w:before="177" w:line="219" w:lineRule="auto"/>
        <w:ind w:left="501"/>
        <w:rPr>
          <w:color w:val="auto"/>
          <w:sz w:val="24"/>
          <w:szCs w:val="24"/>
        </w:rPr>
      </w:pPr>
      <w:r>
        <w:rPr>
          <w:color w:val="auto"/>
          <w:spacing w:val="-1"/>
          <w:sz w:val="24"/>
          <w:szCs w:val="24"/>
        </w:rPr>
        <w:t>（2）不同供应商委托同一单位或者个人办理谈判事宜；</w:t>
      </w:r>
    </w:p>
    <w:p w14:paraId="2983CC9F">
      <w:pPr>
        <w:pStyle w:val="6"/>
        <w:spacing w:before="173" w:line="219" w:lineRule="auto"/>
        <w:ind w:left="501"/>
        <w:rPr>
          <w:color w:val="auto"/>
          <w:sz w:val="24"/>
          <w:szCs w:val="24"/>
        </w:rPr>
      </w:pPr>
      <w:r>
        <w:rPr>
          <w:color w:val="auto"/>
          <w:spacing w:val="-1"/>
          <w:sz w:val="24"/>
          <w:szCs w:val="24"/>
        </w:rPr>
        <w:t>（3）不同供应商的响应文件载明的项目管理成员或者联系人员为同一人；</w:t>
      </w:r>
    </w:p>
    <w:p w14:paraId="4BEA36F7">
      <w:pPr>
        <w:pStyle w:val="6"/>
        <w:spacing w:before="175" w:line="219" w:lineRule="auto"/>
        <w:ind w:left="501"/>
        <w:rPr>
          <w:color w:val="auto"/>
          <w:sz w:val="24"/>
          <w:szCs w:val="24"/>
        </w:rPr>
      </w:pPr>
      <w:r>
        <w:rPr>
          <w:color w:val="auto"/>
          <w:spacing w:val="-1"/>
          <w:sz w:val="24"/>
          <w:szCs w:val="24"/>
        </w:rPr>
        <w:t>（4）不同供应商的响应文件异常一致或者谈判报价呈规律性差异；</w:t>
      </w:r>
    </w:p>
    <w:p w14:paraId="34129186">
      <w:pPr>
        <w:pStyle w:val="6"/>
        <w:spacing w:before="149" w:line="219" w:lineRule="auto"/>
        <w:ind w:left="501"/>
        <w:rPr>
          <w:color w:val="auto"/>
          <w:sz w:val="24"/>
          <w:szCs w:val="24"/>
        </w:rPr>
      </w:pPr>
      <w:r>
        <w:rPr>
          <w:color w:val="auto"/>
          <w:spacing w:val="-2"/>
          <w:sz w:val="24"/>
          <w:szCs w:val="24"/>
        </w:rPr>
        <w:t>（5）不同供应商的响应文件相互混淆；</w:t>
      </w:r>
    </w:p>
    <w:p w14:paraId="4CF41099">
      <w:pPr>
        <w:pStyle w:val="6"/>
        <w:spacing w:before="173" w:line="354" w:lineRule="auto"/>
        <w:ind w:left="10" w:right="48" w:firstLine="482"/>
        <w:jc w:val="both"/>
        <w:rPr>
          <w:color w:val="auto"/>
          <w:sz w:val="24"/>
          <w:szCs w:val="24"/>
        </w:rPr>
      </w:pPr>
      <w:r>
        <w:rPr>
          <w:color w:val="auto"/>
          <w:spacing w:val="-2"/>
          <w:sz w:val="24"/>
          <w:szCs w:val="24"/>
        </w:rPr>
        <w:t>20.2.7 谈判小组在对谈判响应文件的有效性、完整性和响应程度进行审查时，可以要</w:t>
      </w:r>
      <w:r>
        <w:rPr>
          <w:color w:val="auto"/>
          <w:sz w:val="24"/>
          <w:szCs w:val="24"/>
        </w:rPr>
        <w:t>求供应商对谈判响应文件中含义不明确、同类问题表述不一致或</w:t>
      </w:r>
      <w:r>
        <w:rPr>
          <w:color w:val="auto"/>
          <w:spacing w:val="-1"/>
          <w:sz w:val="24"/>
          <w:szCs w:val="24"/>
        </w:rPr>
        <w:t>者有明显文字和计算错误</w:t>
      </w:r>
      <w:r>
        <w:rPr>
          <w:color w:val="auto"/>
          <w:sz w:val="24"/>
          <w:szCs w:val="24"/>
        </w:rPr>
        <w:t>的内容等做出必要的澄清、说明或者更正。供应商的澄清、说明</w:t>
      </w:r>
      <w:r>
        <w:rPr>
          <w:color w:val="auto"/>
          <w:spacing w:val="-1"/>
          <w:sz w:val="24"/>
          <w:szCs w:val="24"/>
        </w:rPr>
        <w:t>或者更正不得超出谈判响应文件的范围或者改变谈判响应文件的实质性内容。</w:t>
      </w:r>
    </w:p>
    <w:p w14:paraId="3AC5A3F5">
      <w:pPr>
        <w:pStyle w:val="6"/>
        <w:spacing w:before="5" w:line="353" w:lineRule="auto"/>
        <w:ind w:left="10" w:right="99" w:firstLine="479"/>
        <w:jc w:val="both"/>
        <w:rPr>
          <w:color w:val="auto"/>
          <w:sz w:val="24"/>
          <w:szCs w:val="24"/>
        </w:rPr>
      </w:pPr>
      <w:r>
        <w:rPr>
          <w:color w:val="auto"/>
          <w:sz w:val="24"/>
          <w:szCs w:val="24"/>
        </w:rPr>
        <w:t>谈判小组要求供应商澄清、说明或者更正谈判响应文件应当以</w:t>
      </w:r>
      <w:r>
        <w:rPr>
          <w:color w:val="auto"/>
          <w:spacing w:val="-1"/>
          <w:sz w:val="24"/>
          <w:szCs w:val="24"/>
        </w:rPr>
        <w:t>书面形式做出。供应商</w:t>
      </w:r>
      <w:r>
        <w:rPr>
          <w:color w:val="auto"/>
          <w:sz w:val="24"/>
          <w:szCs w:val="24"/>
        </w:rPr>
        <w:t>的澄清、说明或者更正应当由法定代表人或委托代理人签字或者</w:t>
      </w:r>
      <w:r>
        <w:rPr>
          <w:color w:val="auto"/>
          <w:spacing w:val="-1"/>
          <w:sz w:val="24"/>
          <w:szCs w:val="24"/>
        </w:rPr>
        <w:t>加盖公章。由委托代理人</w:t>
      </w:r>
      <w:r>
        <w:rPr>
          <w:color w:val="auto"/>
          <w:sz w:val="24"/>
          <w:szCs w:val="24"/>
        </w:rPr>
        <w:t>签字的，应当附法定代表人授权委托书。供应商为自然人的，应</w:t>
      </w:r>
      <w:r>
        <w:rPr>
          <w:color w:val="auto"/>
          <w:spacing w:val="-1"/>
          <w:sz w:val="24"/>
          <w:szCs w:val="24"/>
        </w:rPr>
        <w:t>当由本人签字并附身份证</w:t>
      </w:r>
      <w:r>
        <w:rPr>
          <w:color w:val="auto"/>
          <w:spacing w:val="-5"/>
          <w:sz w:val="24"/>
          <w:szCs w:val="24"/>
        </w:rPr>
        <w:t>明。</w:t>
      </w:r>
    </w:p>
    <w:p w14:paraId="74CC9A51">
      <w:pPr>
        <w:pStyle w:val="6"/>
        <w:spacing w:before="1" w:line="220" w:lineRule="auto"/>
        <w:ind w:left="493"/>
        <w:rPr>
          <w:color w:val="auto"/>
          <w:sz w:val="24"/>
          <w:szCs w:val="24"/>
        </w:rPr>
      </w:pPr>
      <w:r>
        <w:rPr>
          <w:b/>
          <w:bCs/>
          <w:color w:val="auto"/>
          <w:spacing w:val="-5"/>
          <w:sz w:val="24"/>
          <w:szCs w:val="24"/>
        </w:rPr>
        <w:t>20.3</w:t>
      </w:r>
      <w:r>
        <w:rPr>
          <w:color w:val="auto"/>
          <w:spacing w:val="-49"/>
          <w:sz w:val="24"/>
          <w:szCs w:val="24"/>
        </w:rPr>
        <w:t xml:space="preserve"> </w:t>
      </w:r>
      <w:r>
        <w:rPr>
          <w:b/>
          <w:bCs/>
          <w:color w:val="auto"/>
          <w:spacing w:val="-5"/>
          <w:sz w:val="24"/>
          <w:szCs w:val="24"/>
        </w:rPr>
        <w:t>谈判过程</w:t>
      </w:r>
    </w:p>
    <w:p w14:paraId="12AC3747">
      <w:pPr>
        <w:pStyle w:val="6"/>
        <w:spacing w:before="171" w:line="287" w:lineRule="auto"/>
        <w:ind w:left="10" w:right="48" w:firstLine="491"/>
        <w:rPr>
          <w:color w:val="auto"/>
          <w:sz w:val="24"/>
          <w:szCs w:val="24"/>
        </w:rPr>
      </w:pPr>
      <w:r>
        <w:rPr>
          <w:color w:val="auto"/>
          <w:spacing w:val="-2"/>
          <w:sz w:val="24"/>
          <w:szCs w:val="24"/>
        </w:rPr>
        <w:t>（1）谈判小组所有成员应当集中与单一供应商分</w:t>
      </w:r>
      <w:r>
        <w:rPr>
          <w:color w:val="auto"/>
          <w:spacing w:val="-3"/>
          <w:sz w:val="24"/>
          <w:szCs w:val="24"/>
        </w:rPr>
        <w:t>别进行谈判，并给予所有参加谈判的</w:t>
      </w:r>
      <w:r>
        <w:rPr>
          <w:color w:val="auto"/>
          <w:spacing w:val="-1"/>
          <w:sz w:val="24"/>
          <w:szCs w:val="24"/>
        </w:rPr>
        <w:t>供应商平等的谈判机会。</w:t>
      </w:r>
    </w:p>
    <w:p w14:paraId="202AC58C">
      <w:pPr>
        <w:pStyle w:val="6"/>
        <w:spacing w:before="174" w:line="309" w:lineRule="auto"/>
        <w:ind w:left="11" w:right="48" w:firstLine="490"/>
        <w:rPr>
          <w:color w:val="auto"/>
          <w:sz w:val="24"/>
          <w:szCs w:val="24"/>
        </w:rPr>
      </w:pPr>
      <w:r>
        <w:rPr>
          <w:color w:val="auto"/>
          <w:spacing w:val="-2"/>
          <w:sz w:val="24"/>
          <w:szCs w:val="24"/>
        </w:rPr>
        <w:t>（2）在谈判过程中，谈判小组可以根据谈判文件</w:t>
      </w:r>
      <w:r>
        <w:rPr>
          <w:color w:val="auto"/>
          <w:spacing w:val="-3"/>
          <w:sz w:val="24"/>
          <w:szCs w:val="24"/>
        </w:rPr>
        <w:t>和谈判情况实质性变动采购需求中的</w:t>
      </w:r>
      <w:r>
        <w:rPr>
          <w:color w:val="auto"/>
          <w:sz w:val="24"/>
          <w:szCs w:val="24"/>
        </w:rPr>
        <w:t>技术、服务要求以及合同草案条款，但不得变动谈判文件中的</w:t>
      </w:r>
      <w:r>
        <w:rPr>
          <w:color w:val="auto"/>
          <w:spacing w:val="-1"/>
          <w:sz w:val="24"/>
          <w:szCs w:val="24"/>
        </w:rPr>
        <w:t>其他内容。实质性变动的内容，须经采购人代表确认。</w:t>
      </w:r>
    </w:p>
    <w:p w14:paraId="52D5B6AB">
      <w:pPr>
        <w:pStyle w:val="6"/>
        <w:spacing w:before="175" w:line="286" w:lineRule="auto"/>
        <w:ind w:left="15" w:right="48" w:firstLine="486"/>
        <w:rPr>
          <w:color w:val="auto"/>
          <w:sz w:val="24"/>
          <w:szCs w:val="24"/>
        </w:rPr>
      </w:pPr>
      <w:r>
        <w:rPr>
          <w:color w:val="auto"/>
          <w:spacing w:val="-2"/>
          <w:sz w:val="24"/>
          <w:szCs w:val="24"/>
        </w:rPr>
        <w:t>（3）对谈判文件作出的实质性变动是谈判文件的</w:t>
      </w:r>
      <w:r>
        <w:rPr>
          <w:color w:val="auto"/>
          <w:spacing w:val="-3"/>
          <w:sz w:val="24"/>
          <w:szCs w:val="24"/>
        </w:rPr>
        <w:t>有效组成部分，谈判小组应当及时以</w:t>
      </w:r>
      <w:r>
        <w:rPr>
          <w:color w:val="auto"/>
          <w:spacing w:val="-1"/>
          <w:sz w:val="24"/>
          <w:szCs w:val="24"/>
        </w:rPr>
        <w:t>书面形式同时通知所有参加谈判的供应商。</w:t>
      </w:r>
    </w:p>
    <w:p w14:paraId="68370360">
      <w:pPr>
        <w:pStyle w:val="6"/>
        <w:spacing w:before="175" w:line="309" w:lineRule="auto"/>
        <w:ind w:left="9" w:right="35" w:firstLine="492"/>
        <w:rPr>
          <w:color w:val="auto"/>
          <w:sz w:val="24"/>
          <w:szCs w:val="24"/>
        </w:rPr>
      </w:pPr>
      <w:r>
        <w:rPr>
          <w:color w:val="auto"/>
          <w:spacing w:val="-2"/>
          <w:sz w:val="24"/>
          <w:szCs w:val="24"/>
        </w:rPr>
        <w:t>（4）供应商应当按照谈判文件的变动情况和谈判小组的要求重新提交谈判响应</w:t>
      </w:r>
      <w:r>
        <w:rPr>
          <w:color w:val="auto"/>
          <w:spacing w:val="-3"/>
          <w:sz w:val="24"/>
          <w:szCs w:val="24"/>
        </w:rPr>
        <w:t>文件，</w:t>
      </w:r>
      <w:r>
        <w:rPr>
          <w:color w:val="auto"/>
          <w:sz w:val="24"/>
          <w:szCs w:val="24"/>
        </w:rPr>
        <w:t>并由其法定代表人或授权代表签字或者加盖公章。由授权代表签字</w:t>
      </w:r>
      <w:r>
        <w:rPr>
          <w:color w:val="auto"/>
          <w:spacing w:val="-1"/>
          <w:sz w:val="24"/>
          <w:szCs w:val="24"/>
        </w:rPr>
        <w:t>的，应当附法定代表人授权书。供应商为自然人的，应当由本人签字并附身份证明。</w:t>
      </w:r>
    </w:p>
    <w:p w14:paraId="6F92D06C">
      <w:pPr>
        <w:pStyle w:val="6"/>
        <w:spacing w:before="175" w:line="219" w:lineRule="auto"/>
        <w:ind w:left="493"/>
        <w:rPr>
          <w:color w:val="auto"/>
          <w:sz w:val="24"/>
          <w:szCs w:val="24"/>
        </w:rPr>
      </w:pPr>
      <w:r>
        <w:rPr>
          <w:b/>
          <w:bCs/>
          <w:color w:val="auto"/>
          <w:spacing w:val="-5"/>
          <w:sz w:val="24"/>
          <w:szCs w:val="24"/>
        </w:rPr>
        <w:t>20.4</w:t>
      </w:r>
      <w:r>
        <w:rPr>
          <w:color w:val="auto"/>
          <w:spacing w:val="-48"/>
          <w:sz w:val="24"/>
          <w:szCs w:val="24"/>
        </w:rPr>
        <w:t xml:space="preserve"> </w:t>
      </w:r>
      <w:r>
        <w:rPr>
          <w:b/>
          <w:bCs/>
          <w:color w:val="auto"/>
          <w:spacing w:val="-5"/>
          <w:sz w:val="24"/>
          <w:szCs w:val="24"/>
        </w:rPr>
        <w:t>最后报价</w:t>
      </w:r>
    </w:p>
    <w:p w14:paraId="272E1D11">
      <w:pPr>
        <w:pStyle w:val="6"/>
        <w:spacing w:before="176" w:line="354" w:lineRule="auto"/>
        <w:ind w:left="10" w:right="99" w:firstLine="482"/>
        <w:rPr>
          <w:color w:val="auto"/>
          <w:sz w:val="24"/>
          <w:szCs w:val="24"/>
        </w:rPr>
      </w:pPr>
      <w:r>
        <w:rPr>
          <w:color w:val="auto"/>
          <w:sz w:val="24"/>
          <w:szCs w:val="24"/>
        </w:rPr>
        <w:t>竞争性谈判文件能够详细列明采购标的的技术、服务</w:t>
      </w:r>
      <w:r>
        <w:rPr>
          <w:color w:val="auto"/>
          <w:spacing w:val="-1"/>
          <w:sz w:val="24"/>
          <w:szCs w:val="24"/>
        </w:rPr>
        <w:t>要求的，谈判结束后，谈判小组应当要求所有实质性响应的供应商在规定时间内提交最后报价。</w:t>
      </w:r>
    </w:p>
    <w:p w14:paraId="1B821627">
      <w:pPr>
        <w:pStyle w:val="6"/>
        <w:spacing w:before="5" w:line="353" w:lineRule="auto"/>
        <w:ind w:left="11" w:right="99" w:firstLine="481"/>
        <w:jc w:val="both"/>
        <w:rPr>
          <w:color w:val="auto"/>
          <w:sz w:val="24"/>
          <w:szCs w:val="24"/>
        </w:rPr>
      </w:pPr>
      <w:r>
        <w:rPr>
          <w:color w:val="auto"/>
          <w:sz w:val="24"/>
          <w:szCs w:val="24"/>
        </w:rPr>
        <w:t>竞争性谈判文件不能详细列明采购标的的技术、服务</w:t>
      </w:r>
      <w:r>
        <w:rPr>
          <w:color w:val="auto"/>
          <w:spacing w:val="-1"/>
          <w:sz w:val="24"/>
          <w:szCs w:val="24"/>
        </w:rPr>
        <w:t>要求，需经谈判由供应商提供最</w:t>
      </w:r>
      <w:r>
        <w:rPr>
          <w:color w:val="auto"/>
          <w:sz w:val="24"/>
          <w:szCs w:val="24"/>
        </w:rPr>
        <w:t>终设计方案或解决方案的，谈判结束后，谈判小组应当按照少</w:t>
      </w:r>
      <w:r>
        <w:rPr>
          <w:color w:val="auto"/>
          <w:spacing w:val="-1"/>
          <w:sz w:val="24"/>
          <w:szCs w:val="24"/>
        </w:rPr>
        <w:t>数服从多数的原则投票推荐3</w:t>
      </w:r>
      <w:r>
        <w:rPr>
          <w:color w:val="auto"/>
          <w:spacing w:val="-33"/>
          <w:sz w:val="24"/>
          <w:szCs w:val="24"/>
        </w:rPr>
        <w:t xml:space="preserve"> </w:t>
      </w:r>
      <w:r>
        <w:rPr>
          <w:color w:val="auto"/>
          <w:spacing w:val="-1"/>
          <w:sz w:val="24"/>
          <w:szCs w:val="24"/>
        </w:rPr>
        <w:t>家以上供应商的设计方案或者解决方案，并要求其在规定时间内提交最后报价。最后报价是供应商谈判响应文件的有效组成部分。</w:t>
      </w:r>
    </w:p>
    <w:p w14:paraId="48A812CB">
      <w:pPr>
        <w:pStyle w:val="6"/>
        <w:spacing w:before="2" w:line="354" w:lineRule="auto"/>
        <w:ind w:left="14" w:firstLine="475"/>
        <w:jc w:val="both"/>
        <w:rPr>
          <w:color w:val="auto"/>
          <w:sz w:val="24"/>
          <w:szCs w:val="24"/>
        </w:rPr>
      </w:pPr>
      <w:r>
        <w:rPr>
          <w:color w:val="auto"/>
          <w:spacing w:val="-1"/>
          <w:sz w:val="24"/>
          <w:szCs w:val="24"/>
        </w:rPr>
        <w:t>谈判结束后，所有实质性响应的投标人应使用企业</w:t>
      </w:r>
      <w:r>
        <w:rPr>
          <w:color w:val="auto"/>
          <w:spacing w:val="-53"/>
          <w:sz w:val="24"/>
          <w:szCs w:val="24"/>
        </w:rPr>
        <w:t xml:space="preserve"> </w:t>
      </w:r>
      <w:r>
        <w:rPr>
          <w:color w:val="auto"/>
          <w:spacing w:val="-1"/>
          <w:sz w:val="24"/>
          <w:szCs w:val="24"/>
        </w:rPr>
        <w:t>CA</w:t>
      </w:r>
      <w:r>
        <w:rPr>
          <w:color w:val="auto"/>
          <w:spacing w:val="-49"/>
          <w:sz w:val="24"/>
          <w:szCs w:val="24"/>
        </w:rPr>
        <w:t xml:space="preserve"> </w:t>
      </w:r>
      <w:r>
        <w:rPr>
          <w:color w:val="auto"/>
          <w:spacing w:val="-1"/>
          <w:sz w:val="24"/>
          <w:szCs w:val="24"/>
        </w:rPr>
        <w:t>主锁（</w:t>
      </w:r>
      <w:r>
        <w:rPr>
          <w:color w:val="auto"/>
          <w:spacing w:val="-2"/>
          <w:sz w:val="24"/>
          <w:szCs w:val="24"/>
        </w:rPr>
        <w:t>否则无法完成网络报价）</w:t>
      </w:r>
      <w:r>
        <w:rPr>
          <w:color w:val="auto"/>
          <w:spacing w:val="-1"/>
          <w:sz w:val="24"/>
          <w:szCs w:val="24"/>
        </w:rPr>
        <w:t>登录全国公共资源交易中心平台(陕西省·安康市)(</w:t>
      </w:r>
      <w:r>
        <w:rPr>
          <w:color w:val="auto"/>
        </w:rPr>
        <w:fldChar w:fldCharType="begin"/>
      </w:r>
      <w:r>
        <w:rPr>
          <w:color w:val="auto"/>
        </w:rPr>
        <w:instrText xml:space="preserve"> HYPERLINK "https://ggzyjy.ankang.gov.cn/" </w:instrText>
      </w:r>
      <w:r>
        <w:rPr>
          <w:color w:val="auto"/>
        </w:rPr>
        <w:fldChar w:fldCharType="separate"/>
      </w:r>
      <w:r>
        <w:rPr>
          <w:color w:val="auto"/>
          <w:spacing w:val="-1"/>
          <w:sz w:val="24"/>
          <w:szCs w:val="24"/>
        </w:rPr>
        <w:t>http</w:t>
      </w:r>
      <w:r>
        <w:rPr>
          <w:color w:val="auto"/>
          <w:spacing w:val="-2"/>
          <w:sz w:val="24"/>
          <w:szCs w:val="24"/>
        </w:rPr>
        <w:t>s://ggzyjy.ankang.gov.cn/</w:t>
      </w:r>
      <w:r>
        <w:rPr>
          <w:color w:val="auto"/>
          <w:spacing w:val="-2"/>
          <w:sz w:val="24"/>
          <w:szCs w:val="24"/>
        </w:rPr>
        <w:fldChar w:fldCharType="end"/>
      </w:r>
      <w:r>
        <w:rPr>
          <w:color w:val="auto"/>
          <w:spacing w:val="-2"/>
          <w:sz w:val="24"/>
          <w:szCs w:val="24"/>
        </w:rPr>
        <w:t>)，进</w:t>
      </w:r>
      <w:r>
        <w:rPr>
          <w:color w:val="auto"/>
          <w:spacing w:val="-1"/>
          <w:sz w:val="24"/>
          <w:szCs w:val="24"/>
        </w:rPr>
        <w:t xml:space="preserve">行二次报价，系统按照评标规则自动排序。 </w:t>
      </w:r>
      <w:r>
        <w:rPr>
          <w:b/>
          <w:bCs/>
          <w:color w:val="auto"/>
          <w:spacing w:val="-1"/>
          <w:sz w:val="24"/>
          <w:szCs w:val="24"/>
        </w:rPr>
        <w:t>二次报价网上操作流</w:t>
      </w:r>
      <w:r>
        <w:rPr>
          <w:b/>
          <w:bCs/>
          <w:color w:val="auto"/>
          <w:spacing w:val="-2"/>
          <w:sz w:val="24"/>
          <w:szCs w:val="24"/>
        </w:rPr>
        <w:t>程：</w:t>
      </w:r>
    </w:p>
    <w:p w14:paraId="66432210">
      <w:pPr>
        <w:pStyle w:val="6"/>
        <w:spacing w:before="127" w:line="221" w:lineRule="auto"/>
        <w:ind w:left="499"/>
        <w:rPr>
          <w:color w:val="auto"/>
          <w:sz w:val="24"/>
          <w:szCs w:val="24"/>
        </w:rPr>
      </w:pPr>
      <w:r>
        <w:rPr>
          <w:color w:val="auto"/>
          <w:spacing w:val="-2"/>
          <w:sz w:val="24"/>
          <w:szCs w:val="24"/>
        </w:rPr>
        <w:t>（1）插入 CA 锁，登录</w:t>
      </w:r>
      <w:r>
        <w:rPr>
          <w:b/>
          <w:bCs/>
          <w:color w:val="auto"/>
          <w:spacing w:val="-2"/>
          <w:sz w:val="24"/>
          <w:szCs w:val="24"/>
        </w:rPr>
        <w:t>交易平台</w:t>
      </w:r>
      <w:r>
        <w:rPr>
          <w:color w:val="auto"/>
          <w:spacing w:val="-2"/>
          <w:sz w:val="24"/>
          <w:szCs w:val="24"/>
        </w:rPr>
        <w:t>；</w:t>
      </w:r>
    </w:p>
    <w:p w14:paraId="6C70A59D">
      <w:pPr>
        <w:pStyle w:val="6"/>
        <w:spacing w:before="150" w:line="219" w:lineRule="auto"/>
        <w:ind w:left="499"/>
        <w:rPr>
          <w:color w:val="auto"/>
          <w:sz w:val="24"/>
          <w:szCs w:val="24"/>
        </w:rPr>
      </w:pPr>
      <w:r>
        <w:rPr>
          <w:color w:val="auto"/>
          <w:spacing w:val="-1"/>
          <w:sz w:val="24"/>
          <w:szCs w:val="24"/>
        </w:rPr>
        <w:t>（2）点击右上角</w:t>
      </w:r>
      <w:r>
        <w:rPr>
          <w:b/>
          <w:bCs/>
          <w:color w:val="auto"/>
          <w:spacing w:val="-1"/>
          <w:sz w:val="24"/>
          <w:szCs w:val="24"/>
        </w:rPr>
        <w:t>我的项目</w:t>
      </w:r>
      <w:r>
        <w:rPr>
          <w:color w:val="auto"/>
          <w:spacing w:val="-1"/>
          <w:sz w:val="24"/>
          <w:szCs w:val="24"/>
        </w:rPr>
        <w:t>，选择本次开标项</w:t>
      </w:r>
      <w:r>
        <w:rPr>
          <w:color w:val="auto"/>
          <w:spacing w:val="-2"/>
          <w:sz w:val="24"/>
          <w:szCs w:val="24"/>
        </w:rPr>
        <w:t>目，点击</w:t>
      </w:r>
      <w:r>
        <w:rPr>
          <w:b/>
          <w:bCs/>
          <w:color w:val="auto"/>
          <w:spacing w:val="-2"/>
          <w:sz w:val="24"/>
          <w:szCs w:val="24"/>
        </w:rPr>
        <w:t>项目流程</w:t>
      </w:r>
      <w:r>
        <w:rPr>
          <w:color w:val="auto"/>
          <w:spacing w:val="-2"/>
          <w:sz w:val="24"/>
          <w:szCs w:val="24"/>
        </w:rPr>
        <w:t>；</w:t>
      </w:r>
    </w:p>
    <w:p w14:paraId="56F348EB">
      <w:pPr>
        <w:pStyle w:val="6"/>
        <w:spacing w:before="151" w:line="219" w:lineRule="auto"/>
        <w:ind w:left="499"/>
        <w:rPr>
          <w:color w:val="auto"/>
          <w:sz w:val="24"/>
          <w:szCs w:val="24"/>
        </w:rPr>
      </w:pPr>
      <w:r>
        <w:rPr>
          <w:color w:val="auto"/>
          <w:spacing w:val="-3"/>
          <w:sz w:val="24"/>
          <w:szCs w:val="24"/>
        </w:rPr>
        <w:t>（3）点击</w:t>
      </w:r>
      <w:r>
        <w:rPr>
          <w:b/>
          <w:bCs/>
          <w:color w:val="auto"/>
          <w:spacing w:val="-3"/>
          <w:sz w:val="24"/>
          <w:szCs w:val="24"/>
        </w:rPr>
        <w:t>网上报价</w:t>
      </w:r>
      <w:r>
        <w:rPr>
          <w:color w:val="auto"/>
          <w:spacing w:val="-3"/>
          <w:sz w:val="24"/>
          <w:szCs w:val="24"/>
        </w:rPr>
        <w:t>；</w:t>
      </w:r>
    </w:p>
    <w:p w14:paraId="4ED0290C">
      <w:pPr>
        <w:pStyle w:val="6"/>
        <w:spacing w:before="9" w:line="425" w:lineRule="exact"/>
        <w:ind w:left="499"/>
        <w:rPr>
          <w:color w:val="auto"/>
          <w:sz w:val="24"/>
          <w:szCs w:val="24"/>
        </w:rPr>
      </w:pPr>
      <w:r>
        <w:rPr>
          <w:color w:val="auto"/>
          <w:spacing w:val="-1"/>
          <w:position w:val="-3"/>
          <w:sz w:val="24"/>
          <w:szCs w:val="24"/>
        </w:rPr>
        <w:t>（4）</w:t>
      </w:r>
      <w:r>
        <w:rPr>
          <w:b/>
          <w:bCs/>
          <w:color w:val="auto"/>
          <w:spacing w:val="-1"/>
          <w:position w:val="-3"/>
          <w:sz w:val="24"/>
          <w:szCs w:val="24"/>
        </w:rPr>
        <w:t>报价</w:t>
      </w:r>
      <w:r>
        <w:rPr>
          <w:color w:val="auto"/>
          <w:spacing w:val="-1"/>
          <w:position w:val="-3"/>
          <w:sz w:val="24"/>
          <w:szCs w:val="24"/>
        </w:rPr>
        <w:t xml:space="preserve">：点击 </w:t>
      </w:r>
      <w:r>
        <w:rPr>
          <w:color w:val="auto"/>
          <w:position w:val="-3"/>
          <w:sz w:val="24"/>
          <w:szCs w:val="24"/>
        </w:rPr>
        <w:drawing>
          <wp:inline distT="0" distB="0" distL="0" distR="0">
            <wp:extent cx="220345" cy="22098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21"/>
                    <a:stretch>
                      <a:fillRect/>
                    </a:stretch>
                  </pic:blipFill>
                  <pic:spPr>
                    <a:xfrm>
                      <a:off x="0" y="0"/>
                      <a:ext cx="220979" cy="220980"/>
                    </a:xfrm>
                    <a:prstGeom prst="rect">
                      <a:avLst/>
                    </a:prstGeom>
                  </pic:spPr>
                </pic:pic>
              </a:graphicData>
            </a:graphic>
          </wp:inline>
        </w:drawing>
      </w:r>
      <w:r>
        <w:rPr>
          <w:color w:val="auto"/>
          <w:spacing w:val="-1"/>
          <w:position w:val="-3"/>
          <w:sz w:val="24"/>
          <w:szCs w:val="24"/>
        </w:rPr>
        <w:t>报价，输入金额（注意大小写一致</w:t>
      </w:r>
      <w:r>
        <w:rPr>
          <w:color w:val="auto"/>
          <w:position w:val="-3"/>
          <w:sz w:val="24"/>
          <w:szCs w:val="24"/>
        </w:rPr>
        <w:t>）；</w:t>
      </w:r>
    </w:p>
    <w:p w14:paraId="23CCE8F7">
      <w:pPr>
        <w:pStyle w:val="6"/>
        <w:spacing w:before="8" w:line="428" w:lineRule="exact"/>
        <w:ind w:left="499"/>
        <w:rPr>
          <w:color w:val="auto"/>
          <w:sz w:val="24"/>
          <w:szCs w:val="24"/>
        </w:rPr>
      </w:pPr>
      <w:r>
        <w:rPr>
          <w:color w:val="auto"/>
        </w:rPr>
        <w:drawing>
          <wp:anchor distT="0" distB="0" distL="0" distR="0" simplePos="0" relativeHeight="251660288" behindDoc="1" locked="0" layoutInCell="1" allowOverlap="1">
            <wp:simplePos x="0" y="0"/>
            <wp:positionH relativeFrom="column">
              <wp:posOffset>1865630</wp:posOffset>
            </wp:positionH>
            <wp:positionV relativeFrom="paragraph">
              <wp:posOffset>321310</wp:posOffset>
            </wp:positionV>
            <wp:extent cx="4067810" cy="68580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22"/>
                    <a:stretch>
                      <a:fillRect/>
                    </a:stretch>
                  </pic:blipFill>
                  <pic:spPr>
                    <a:xfrm>
                      <a:off x="0" y="0"/>
                      <a:ext cx="4067555" cy="685800"/>
                    </a:xfrm>
                    <a:prstGeom prst="rect">
                      <a:avLst/>
                    </a:prstGeom>
                  </pic:spPr>
                </pic:pic>
              </a:graphicData>
            </a:graphic>
          </wp:anchor>
        </w:drawing>
      </w:r>
      <w:r>
        <w:rPr>
          <w:color w:val="auto"/>
          <w:spacing w:val="-2"/>
          <w:position w:val="-3"/>
          <w:sz w:val="24"/>
          <w:szCs w:val="24"/>
        </w:rPr>
        <w:t>（5）</w:t>
      </w:r>
      <w:r>
        <w:rPr>
          <w:b/>
          <w:bCs/>
          <w:color w:val="auto"/>
          <w:spacing w:val="-2"/>
          <w:position w:val="-3"/>
          <w:sz w:val="24"/>
          <w:szCs w:val="24"/>
        </w:rPr>
        <w:t>签章查看</w:t>
      </w:r>
      <w:r>
        <w:rPr>
          <w:color w:val="auto"/>
          <w:spacing w:val="-2"/>
          <w:position w:val="-3"/>
          <w:sz w:val="24"/>
          <w:szCs w:val="24"/>
        </w:rPr>
        <w:t xml:space="preserve">：点击 </w:t>
      </w:r>
      <w:r>
        <w:rPr>
          <w:color w:val="auto"/>
          <w:position w:val="-3"/>
          <w:sz w:val="24"/>
          <w:szCs w:val="24"/>
        </w:rPr>
        <w:drawing>
          <wp:inline distT="0" distB="0" distL="0" distR="0">
            <wp:extent cx="269240" cy="22352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23"/>
                    <a:stretch>
                      <a:fillRect/>
                    </a:stretch>
                  </pic:blipFill>
                  <pic:spPr>
                    <a:xfrm>
                      <a:off x="0" y="0"/>
                      <a:ext cx="269748" cy="223520"/>
                    </a:xfrm>
                    <a:prstGeom prst="rect">
                      <a:avLst/>
                    </a:prstGeom>
                  </pic:spPr>
                </pic:pic>
              </a:graphicData>
            </a:graphic>
          </wp:inline>
        </w:drawing>
      </w:r>
      <w:r>
        <w:rPr>
          <w:color w:val="auto"/>
          <w:spacing w:val="-90"/>
          <w:position w:val="-3"/>
          <w:sz w:val="24"/>
          <w:szCs w:val="24"/>
        </w:rPr>
        <w:t xml:space="preserve"> </w:t>
      </w:r>
      <w:r>
        <w:rPr>
          <w:color w:val="auto"/>
          <w:spacing w:val="-2"/>
          <w:position w:val="-3"/>
          <w:sz w:val="24"/>
          <w:szCs w:val="24"/>
        </w:rPr>
        <w:t>，选择单页签章，点击报价表右下角签章；</w:t>
      </w:r>
    </w:p>
    <w:p w14:paraId="6E6426D9">
      <w:pPr>
        <w:pStyle w:val="6"/>
        <w:spacing w:before="152" w:line="221" w:lineRule="auto"/>
        <w:ind w:left="499"/>
        <w:rPr>
          <w:color w:val="auto"/>
          <w:sz w:val="24"/>
          <w:szCs w:val="24"/>
        </w:rPr>
      </w:pPr>
      <w:r>
        <w:rPr>
          <w:color w:val="auto"/>
          <w:spacing w:val="-3"/>
          <w:sz w:val="24"/>
          <w:szCs w:val="24"/>
        </w:rPr>
        <w:t>（6）确认无误如图：</w:t>
      </w:r>
    </w:p>
    <w:p w14:paraId="2BB630BB">
      <w:pPr>
        <w:spacing w:line="272" w:lineRule="auto"/>
        <w:rPr>
          <w:rFonts w:ascii="Arial"/>
          <w:color w:val="auto"/>
          <w:sz w:val="21"/>
        </w:rPr>
      </w:pPr>
    </w:p>
    <w:p w14:paraId="4E933C4B">
      <w:pPr>
        <w:spacing w:line="273" w:lineRule="auto"/>
        <w:rPr>
          <w:rFonts w:ascii="Arial"/>
          <w:color w:val="auto"/>
          <w:sz w:val="21"/>
        </w:rPr>
      </w:pPr>
    </w:p>
    <w:p w14:paraId="03895669">
      <w:pPr>
        <w:pStyle w:val="6"/>
        <w:spacing w:before="79" w:line="221" w:lineRule="auto"/>
        <w:ind w:left="499"/>
        <w:rPr>
          <w:color w:val="auto"/>
          <w:sz w:val="24"/>
          <w:szCs w:val="24"/>
        </w:rPr>
      </w:pPr>
      <w:r>
        <w:rPr>
          <w:color w:val="auto"/>
          <w:spacing w:val="-5"/>
          <w:sz w:val="24"/>
          <w:szCs w:val="24"/>
        </w:rPr>
        <w:t>（7）</w:t>
      </w:r>
      <w:r>
        <w:rPr>
          <w:b/>
          <w:bCs/>
          <w:color w:val="auto"/>
          <w:spacing w:val="-5"/>
          <w:sz w:val="24"/>
          <w:szCs w:val="24"/>
        </w:rPr>
        <w:t>提交</w:t>
      </w:r>
      <w:r>
        <w:rPr>
          <w:color w:val="auto"/>
          <w:spacing w:val="-5"/>
          <w:sz w:val="24"/>
          <w:szCs w:val="24"/>
        </w:rPr>
        <w:t>。</w:t>
      </w:r>
    </w:p>
    <w:p w14:paraId="79EFFECC">
      <w:pPr>
        <w:pStyle w:val="6"/>
        <w:spacing w:before="153" w:line="275" w:lineRule="auto"/>
        <w:ind w:left="8" w:right="16" w:firstLine="484"/>
        <w:rPr>
          <w:color w:val="auto"/>
          <w:sz w:val="24"/>
          <w:szCs w:val="24"/>
        </w:rPr>
      </w:pPr>
      <w:r>
        <w:rPr>
          <w:b/>
          <w:bCs/>
          <w:color w:val="auto"/>
          <w:spacing w:val="-5"/>
          <w:sz w:val="24"/>
          <w:szCs w:val="24"/>
        </w:rPr>
        <w:t>21.谈判小组根据质量和服务均能满足谈判文件实质性响应要求的供应商中，按照最后</w:t>
      </w:r>
      <w:r>
        <w:rPr>
          <w:b/>
          <w:bCs/>
          <w:color w:val="auto"/>
          <w:spacing w:val="-2"/>
          <w:sz w:val="24"/>
          <w:szCs w:val="24"/>
        </w:rPr>
        <w:t>报价由低到高的顺序推荐成交候选人，并编写评审报告。</w:t>
      </w:r>
    </w:p>
    <w:p w14:paraId="725534F1">
      <w:pPr>
        <w:pStyle w:val="6"/>
        <w:spacing w:before="148" w:line="219" w:lineRule="auto"/>
        <w:ind w:left="493"/>
        <w:rPr>
          <w:color w:val="auto"/>
          <w:sz w:val="24"/>
          <w:szCs w:val="24"/>
        </w:rPr>
      </w:pPr>
      <w:r>
        <w:rPr>
          <w:b/>
          <w:bCs/>
          <w:color w:val="auto"/>
          <w:spacing w:val="-3"/>
          <w:sz w:val="24"/>
          <w:szCs w:val="24"/>
        </w:rPr>
        <w:t>22.本项目需要落实的政府采购政策</w:t>
      </w:r>
    </w:p>
    <w:p w14:paraId="6B38D30E">
      <w:pPr>
        <w:pStyle w:val="6"/>
        <w:spacing w:before="148" w:line="219" w:lineRule="auto"/>
        <w:ind w:left="493"/>
        <w:rPr>
          <w:color w:val="auto"/>
          <w:sz w:val="24"/>
          <w:szCs w:val="24"/>
        </w:rPr>
      </w:pPr>
      <w:r>
        <w:rPr>
          <w:b/>
          <w:bCs/>
          <w:color w:val="auto"/>
          <w:spacing w:val="-3"/>
          <w:sz w:val="24"/>
          <w:szCs w:val="24"/>
        </w:rPr>
        <w:t>22.1</w:t>
      </w:r>
      <w:r>
        <w:rPr>
          <w:color w:val="auto"/>
          <w:spacing w:val="-47"/>
          <w:sz w:val="24"/>
          <w:szCs w:val="24"/>
        </w:rPr>
        <w:t xml:space="preserve"> </w:t>
      </w:r>
      <w:r>
        <w:rPr>
          <w:b/>
          <w:bCs/>
          <w:color w:val="auto"/>
          <w:spacing w:val="-3"/>
          <w:sz w:val="24"/>
          <w:szCs w:val="24"/>
        </w:rPr>
        <w:t>落实政府采购信用融资有关政策要求</w:t>
      </w:r>
    </w:p>
    <w:p w14:paraId="1FFE765F">
      <w:pPr>
        <w:pStyle w:val="6"/>
        <w:spacing w:before="147" w:line="332" w:lineRule="auto"/>
        <w:ind w:left="9" w:right="14" w:firstLine="482"/>
        <w:rPr>
          <w:color w:val="auto"/>
          <w:sz w:val="24"/>
          <w:szCs w:val="24"/>
        </w:rPr>
      </w:pPr>
      <w:r>
        <w:rPr>
          <w:color w:val="auto"/>
          <w:spacing w:val="1"/>
          <w:sz w:val="24"/>
          <w:szCs w:val="24"/>
        </w:rPr>
        <w:t>落实政府采购信用融资有关政策要求执行陕西省财政厅关于印发《陕西省中小企业政</w:t>
      </w:r>
      <w:r>
        <w:rPr>
          <w:color w:val="auto"/>
          <w:spacing w:val="-1"/>
          <w:sz w:val="24"/>
          <w:szCs w:val="24"/>
        </w:rPr>
        <w:t>府采购信用融资办法》（陕财办采〔2018〕23</w:t>
      </w:r>
      <w:r>
        <w:rPr>
          <w:color w:val="auto"/>
          <w:spacing w:val="-40"/>
          <w:sz w:val="24"/>
          <w:szCs w:val="24"/>
        </w:rPr>
        <w:t xml:space="preserve"> </w:t>
      </w:r>
      <w:r>
        <w:rPr>
          <w:color w:val="auto"/>
          <w:spacing w:val="-1"/>
          <w:sz w:val="24"/>
          <w:szCs w:val="24"/>
        </w:rPr>
        <w:t>号）文件规定；</w:t>
      </w:r>
    </w:p>
    <w:p w14:paraId="45A9261A">
      <w:pPr>
        <w:pStyle w:val="6"/>
        <w:spacing w:before="1" w:line="219" w:lineRule="auto"/>
        <w:ind w:left="493"/>
        <w:rPr>
          <w:color w:val="auto"/>
          <w:sz w:val="24"/>
          <w:szCs w:val="24"/>
        </w:rPr>
      </w:pPr>
      <w:r>
        <w:rPr>
          <w:b/>
          <w:bCs/>
          <w:color w:val="auto"/>
          <w:spacing w:val="-3"/>
          <w:sz w:val="24"/>
          <w:szCs w:val="24"/>
        </w:rPr>
        <w:t>22.2</w:t>
      </w:r>
      <w:r>
        <w:rPr>
          <w:color w:val="auto"/>
          <w:spacing w:val="-3"/>
          <w:sz w:val="24"/>
          <w:szCs w:val="24"/>
        </w:rPr>
        <w:t xml:space="preserve"> </w:t>
      </w:r>
      <w:r>
        <w:rPr>
          <w:b/>
          <w:bCs/>
          <w:color w:val="auto"/>
          <w:spacing w:val="-3"/>
          <w:sz w:val="24"/>
          <w:szCs w:val="24"/>
        </w:rPr>
        <w:t>政府采购政策</w:t>
      </w:r>
    </w:p>
    <w:p w14:paraId="35DAF1EE">
      <w:pPr>
        <w:pStyle w:val="6"/>
        <w:spacing w:before="147" w:line="219" w:lineRule="auto"/>
        <w:ind w:left="501"/>
        <w:rPr>
          <w:color w:val="auto"/>
          <w:sz w:val="24"/>
          <w:szCs w:val="24"/>
        </w:rPr>
      </w:pPr>
      <w:r>
        <w:rPr>
          <w:color w:val="auto"/>
          <w:spacing w:val="-2"/>
          <w:sz w:val="24"/>
          <w:szCs w:val="24"/>
        </w:rPr>
        <w:t>（1）中小企业落实政府采购政策</w:t>
      </w:r>
    </w:p>
    <w:p w14:paraId="0BA42440">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①财政部、工业和信息化部关于印发《政府采购促进中小企业发展管理办法》的通知--财库〔2020〕46号。提供本企业制造的货物、承担的工程或者服务，或者提供其他中小企业制造的货物。（本项所称货物不包括使用大型企业注册商标的货物）。</w:t>
      </w:r>
    </w:p>
    <w:p w14:paraId="3128C563">
      <w:pPr>
        <w:spacing w:line="360" w:lineRule="auto"/>
        <w:ind w:firstLine="480" w:firstLineChars="200"/>
        <w:rPr>
          <w:rFonts w:hint="eastAsia" w:ascii="宋体" w:hAnsi="宋体" w:cs="宋体"/>
          <w:b/>
          <w:bCs/>
          <w:color w:val="auto"/>
          <w:sz w:val="24"/>
          <w:szCs w:val="24"/>
        </w:rPr>
      </w:pPr>
      <w:r>
        <w:rPr>
          <w:rFonts w:hint="eastAsia" w:ascii="宋体" w:hAnsi="宋体" w:cs="宋体"/>
          <w:color w:val="auto"/>
          <w:sz w:val="24"/>
          <w:szCs w:val="24"/>
        </w:rPr>
        <w:t>②投标人须提供《中小企业声明函》，以此为依据享受政府采购政策，开标时提供原件备查。</w:t>
      </w:r>
    </w:p>
    <w:p w14:paraId="1167C6CE">
      <w:pPr>
        <w:spacing w:line="360" w:lineRule="auto"/>
        <w:ind w:firstLine="480" w:firstLineChars="200"/>
        <w:rPr>
          <w:rFonts w:hint="eastAsia" w:ascii="宋体" w:hAnsi="宋体" w:eastAsia="宋体" w:cs="宋体"/>
          <w:color w:val="auto"/>
          <w:sz w:val="24"/>
          <w:szCs w:val="24"/>
        </w:rPr>
      </w:pPr>
      <w:r>
        <w:rPr>
          <w:rFonts w:hint="eastAsia" w:ascii="宋体" w:hAnsi="宋体" w:cs="宋体"/>
          <w:b/>
          <w:bCs/>
          <w:color w:val="auto"/>
          <w:sz w:val="24"/>
          <w:szCs w:val="24"/>
        </w:rPr>
        <w:t>本项目采购标的对应的中小企业划分标准所属行业为：</w:t>
      </w:r>
      <w:r>
        <w:rPr>
          <w:rFonts w:hint="eastAsia" w:ascii="宋体" w:hAnsi="宋体" w:cs="宋体"/>
          <w:b/>
          <w:bCs/>
          <w:color w:val="auto"/>
          <w:sz w:val="24"/>
          <w:szCs w:val="24"/>
          <w:lang w:val="en-US" w:eastAsia="zh-CN"/>
        </w:rPr>
        <w:t>工</w:t>
      </w:r>
      <w:r>
        <w:rPr>
          <w:rFonts w:hint="eastAsia" w:ascii="宋体" w:hAnsi="宋体" w:cs="宋体"/>
          <w:b/>
          <w:bCs/>
          <w:color w:val="auto"/>
          <w:sz w:val="24"/>
          <w:szCs w:val="24"/>
          <w:lang w:eastAsia="zh-CN"/>
        </w:rPr>
        <w:t>业</w:t>
      </w:r>
      <w:r>
        <w:rPr>
          <w:rFonts w:hint="eastAsia" w:ascii="宋体" w:hAnsi="宋体" w:cs="宋体"/>
          <w:b/>
          <w:bCs/>
          <w:color w:val="auto"/>
          <w:sz w:val="24"/>
          <w:szCs w:val="24"/>
        </w:rPr>
        <w:t>。</w:t>
      </w:r>
    </w:p>
    <w:p w14:paraId="69AF14AD">
      <w:pPr>
        <w:tabs>
          <w:tab w:val="left" w:pos="6984"/>
        </w:tabs>
        <w:spacing w:line="360" w:lineRule="auto"/>
        <w:ind w:firstLine="480" w:firstLineChars="200"/>
        <w:rPr>
          <w:rFonts w:hint="eastAsia" w:ascii="宋体" w:hAnsi="宋体" w:cs="宋体"/>
          <w:color w:val="auto"/>
          <w:sz w:val="24"/>
          <w:szCs w:val="24"/>
        </w:rPr>
      </w:pPr>
      <w:r>
        <w:rPr>
          <w:rFonts w:hint="eastAsia" w:ascii="宋体" w:hAnsi="宋体" w:eastAsia="宋体" w:cs="宋体"/>
          <w:color w:val="auto"/>
          <w:sz w:val="24"/>
          <w:szCs w:val="24"/>
        </w:rPr>
        <w:t>（2）</w:t>
      </w:r>
      <w:r>
        <w:rPr>
          <w:rFonts w:hint="eastAsia" w:ascii="宋体" w:hAnsi="宋体" w:cs="宋体"/>
          <w:color w:val="auto"/>
          <w:sz w:val="24"/>
          <w:szCs w:val="24"/>
        </w:rPr>
        <w:t>监狱和戒毒企业落实政府采购政策</w:t>
      </w:r>
      <w:r>
        <w:rPr>
          <w:rFonts w:hint="eastAsia" w:ascii="宋体" w:hAnsi="宋体" w:cs="宋体"/>
          <w:color w:val="auto"/>
          <w:sz w:val="24"/>
          <w:szCs w:val="24"/>
        </w:rPr>
        <w:tab/>
      </w:r>
    </w:p>
    <w:p w14:paraId="0C19DBAB">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监狱和戒毒企业应符合《财政部、司法部关于政府采购支持监狱企业发展有关问题的通知》--财库[2014]68号，并提供由省级以上监狱管理局、戒毒管理局(含新疆生产建设兵团)出具的属于监狱企业的证明。</w:t>
      </w:r>
    </w:p>
    <w:p w14:paraId="29ED11EC">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（3）残疾人福利性单位落实政府采购政策</w:t>
      </w:r>
    </w:p>
    <w:p w14:paraId="7A55A91F">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①残疾人福利性单位应符合财库〔2018〕141号规定，提供本单位制造的货物、承担的工程或者服务（以下简称产品），或者提供其他残疾人福利性单位制造的货物（不包括使用非残疾人福利性单位注册商标的货物）。</w:t>
      </w:r>
    </w:p>
    <w:p w14:paraId="4C17B8E6">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②投标投标人须按照财库〔2018〕141号规定，提供《残疾人福利性单位声明函》，并对声明的真实性负责。以此为依据享受政府采购政策。</w:t>
      </w:r>
    </w:p>
    <w:p w14:paraId="7C641B51">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③中标、成交投标人为残疾人福利性单位的，采购人或者其委托的采购代理机构应当随中标、成交结果同时公告其《残疾人福利性单位声明函》，接受社会监督。</w:t>
      </w:r>
    </w:p>
    <w:p w14:paraId="3E161467">
      <w:pPr>
        <w:numPr>
          <w:ilvl w:val="0"/>
          <w:numId w:val="1"/>
        </w:numPr>
        <w:spacing w:line="360" w:lineRule="auto"/>
        <w:ind w:firstLine="480" w:firstLineChars="200"/>
        <w:rPr>
          <w:rFonts w:hint="eastAsia" w:ascii="宋体" w:hAnsi="宋体" w:eastAsia="宋体" w:cs="宋体"/>
          <w:color w:val="auto"/>
          <w:sz w:val="24"/>
          <w:szCs w:val="24"/>
          <w:lang w:val="zh-CN"/>
        </w:rPr>
      </w:pPr>
      <w:r>
        <w:rPr>
          <w:rFonts w:hint="eastAsia" w:ascii="宋体" w:hAnsi="宋体" w:cs="宋体"/>
          <w:color w:val="auto"/>
          <w:sz w:val="24"/>
          <w:szCs w:val="24"/>
        </w:rPr>
        <w:t>投标投标人应如实提供以上证明文件，如存在虚假应标，将取消其投标资格。</w:t>
      </w:r>
    </w:p>
    <w:p w14:paraId="590B5CC6">
      <w:pPr>
        <w:pStyle w:val="6"/>
        <w:spacing w:line="219" w:lineRule="auto"/>
        <w:ind w:left="493"/>
        <w:rPr>
          <w:color w:val="auto"/>
          <w:sz w:val="24"/>
          <w:szCs w:val="24"/>
        </w:rPr>
      </w:pPr>
      <w:r>
        <w:rPr>
          <w:b/>
          <w:bCs/>
          <w:color w:val="auto"/>
          <w:spacing w:val="-3"/>
          <w:sz w:val="24"/>
          <w:szCs w:val="24"/>
        </w:rPr>
        <w:t>22.3</w:t>
      </w:r>
      <w:r>
        <w:rPr>
          <w:color w:val="auto"/>
          <w:spacing w:val="-3"/>
          <w:sz w:val="24"/>
          <w:szCs w:val="24"/>
        </w:rPr>
        <w:t xml:space="preserve"> </w:t>
      </w:r>
      <w:r>
        <w:rPr>
          <w:b/>
          <w:bCs/>
          <w:color w:val="auto"/>
          <w:spacing w:val="-3"/>
          <w:sz w:val="24"/>
          <w:szCs w:val="24"/>
        </w:rPr>
        <w:t>投标产品政府采购政策</w:t>
      </w:r>
    </w:p>
    <w:p w14:paraId="42F9403C">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（1）节能产品根据《国务院办公厅关于建立政府强制采购节能产品制度的通知》 （国办发[2007]51号）的规定，以中国政府采购网（http://www.ccgp.gov.cn/）公布的最新一期节能产品政府采购清单为准。</w:t>
      </w:r>
    </w:p>
    <w:p w14:paraId="2A6DA9DA">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（2）环境标志产品根据《环境标志产品政府采购实施的意见》 （财库[2006]90号）的规定，以中国政府采购网（http://www.ccgp.gov.cn/）公布的最新一期环境标志产品政府采购清单为准。</w:t>
      </w:r>
    </w:p>
    <w:p w14:paraId="4D8DEB81">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3）投标投标人在投标文件中对所投标产品为节能、环保、环境标志产品清单中的产品，在投标报价时必须对此类产品单独分项报价，计算出小计及占投标报价总金额的百分比，并提供属于清单内产品的证明资料（从中国政府采购网上下载的网页公告等），未提供节能、环保、环境标志产品优惠明细表及属于清单内产品的证明资料的不给予优惠。</w:t>
      </w:r>
    </w:p>
    <w:p w14:paraId="70FD7045">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（4）若节能、环保、环境标志清单内的产品仅是构成投标产品的部件、组件或零件的，则该投标产品不享受鼓励优惠政策。</w:t>
      </w:r>
    </w:p>
    <w:p w14:paraId="1F247727">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（5）同一标段的节能、环保、环境标志产品部分优惠只对属于清单内的非强制类产品进行优惠，强制类产品不给予优惠。</w:t>
      </w:r>
    </w:p>
    <w:p w14:paraId="15C9F206">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（6）节能、环保、环境标志产品不重复优惠；同时列入国家级清单和省级清单的产品不重复优惠。</w:t>
      </w:r>
    </w:p>
    <w:p w14:paraId="2787B761">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（7）获得上述认证的产品在投标时应提供有效证明材料。以上所有证明文件复印件须加盖投标人公章并注明“与原件一致”，否则不予优惠。</w:t>
      </w:r>
    </w:p>
    <w:p w14:paraId="47EDDAEA">
      <w:pPr>
        <w:pStyle w:val="6"/>
        <w:spacing w:before="137" w:line="219" w:lineRule="auto"/>
        <w:ind w:left="493"/>
        <w:rPr>
          <w:color w:val="auto"/>
          <w:sz w:val="24"/>
          <w:szCs w:val="24"/>
        </w:rPr>
      </w:pPr>
      <w:r>
        <w:rPr>
          <w:b/>
          <w:bCs/>
          <w:color w:val="auto"/>
          <w:spacing w:val="-3"/>
          <w:sz w:val="24"/>
          <w:szCs w:val="24"/>
        </w:rPr>
        <w:t>22.4</w:t>
      </w:r>
      <w:r>
        <w:rPr>
          <w:color w:val="auto"/>
          <w:spacing w:val="-3"/>
          <w:sz w:val="24"/>
          <w:szCs w:val="24"/>
        </w:rPr>
        <w:t xml:space="preserve"> </w:t>
      </w:r>
      <w:r>
        <w:rPr>
          <w:b/>
          <w:bCs/>
          <w:color w:val="auto"/>
          <w:spacing w:val="-3"/>
          <w:sz w:val="24"/>
          <w:szCs w:val="24"/>
        </w:rPr>
        <w:t>价格优惠比例</w:t>
      </w:r>
    </w:p>
    <w:p w14:paraId="70169CAB">
      <w:pPr>
        <w:pStyle w:val="6"/>
        <w:spacing w:before="169" w:line="219" w:lineRule="auto"/>
        <w:ind w:left="491"/>
        <w:rPr>
          <w:color w:val="auto"/>
          <w:sz w:val="24"/>
          <w:szCs w:val="24"/>
        </w:rPr>
      </w:pPr>
      <w:r>
        <w:rPr>
          <w:b/>
          <w:bCs/>
          <w:color w:val="auto"/>
          <w:spacing w:val="-2"/>
          <w:sz w:val="24"/>
          <w:szCs w:val="24"/>
        </w:rPr>
        <w:t>本项目专门面向中小企业采购，不执行价格评审优惠的扶持政策。</w:t>
      </w:r>
    </w:p>
    <w:p w14:paraId="4B78C7B9">
      <w:pPr>
        <w:pStyle w:val="6"/>
        <w:spacing w:before="148" w:line="221" w:lineRule="auto"/>
        <w:ind w:left="493"/>
        <w:rPr>
          <w:color w:val="auto"/>
          <w:sz w:val="24"/>
          <w:szCs w:val="24"/>
        </w:rPr>
      </w:pPr>
      <w:r>
        <w:rPr>
          <w:b/>
          <w:bCs/>
          <w:color w:val="auto"/>
          <w:spacing w:val="-3"/>
          <w:sz w:val="24"/>
          <w:szCs w:val="24"/>
        </w:rPr>
        <w:t>23.</w:t>
      </w:r>
      <w:r>
        <w:rPr>
          <w:color w:val="auto"/>
          <w:spacing w:val="-3"/>
          <w:sz w:val="24"/>
          <w:szCs w:val="24"/>
        </w:rPr>
        <w:t xml:space="preserve"> </w:t>
      </w:r>
      <w:r>
        <w:rPr>
          <w:b/>
          <w:bCs/>
          <w:color w:val="auto"/>
          <w:spacing w:val="-3"/>
          <w:sz w:val="24"/>
          <w:szCs w:val="24"/>
        </w:rPr>
        <w:t>确定成交单位</w:t>
      </w:r>
    </w:p>
    <w:p w14:paraId="1845A26D">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谈判小组（按包）从质量和服务均能满足谈判文件实质性响应要求的供应商中，按照最后报价由低到高的顺序推荐成交候选人，并编写评审报告。</w:t>
      </w:r>
    </w:p>
    <w:p w14:paraId="33B7C0B3">
      <w:pPr>
        <w:pStyle w:val="6"/>
        <w:spacing w:before="140" w:line="221" w:lineRule="auto"/>
        <w:ind w:left="493"/>
        <w:rPr>
          <w:color w:val="auto"/>
          <w:sz w:val="24"/>
          <w:szCs w:val="24"/>
        </w:rPr>
      </w:pPr>
      <w:r>
        <w:rPr>
          <w:b/>
          <w:bCs/>
          <w:color w:val="auto"/>
          <w:spacing w:val="-4"/>
          <w:sz w:val="24"/>
          <w:szCs w:val="24"/>
        </w:rPr>
        <w:t>24.质疑及投诉</w:t>
      </w:r>
    </w:p>
    <w:p w14:paraId="01B1AD40">
      <w:pPr>
        <w:pStyle w:val="6"/>
        <w:spacing w:before="137" w:line="221" w:lineRule="auto"/>
        <w:ind w:left="493"/>
        <w:rPr>
          <w:color w:val="auto"/>
          <w:sz w:val="24"/>
          <w:szCs w:val="24"/>
        </w:rPr>
      </w:pPr>
      <w:r>
        <w:rPr>
          <w:color w:val="auto"/>
          <w:spacing w:val="-4"/>
          <w:sz w:val="24"/>
          <w:szCs w:val="24"/>
        </w:rPr>
        <w:t>24.1</w:t>
      </w:r>
      <w:r>
        <w:rPr>
          <w:color w:val="auto"/>
          <w:spacing w:val="10"/>
          <w:sz w:val="24"/>
          <w:szCs w:val="24"/>
        </w:rPr>
        <w:t xml:space="preserve"> </w:t>
      </w:r>
      <w:r>
        <w:rPr>
          <w:color w:val="auto"/>
          <w:spacing w:val="-4"/>
          <w:sz w:val="24"/>
          <w:szCs w:val="24"/>
        </w:rPr>
        <w:t>质疑</w:t>
      </w:r>
    </w:p>
    <w:p w14:paraId="7C977851">
      <w:pPr>
        <w:pStyle w:val="6"/>
        <w:spacing w:before="135" w:line="305" w:lineRule="auto"/>
        <w:ind w:left="9" w:right="50" w:firstLine="492"/>
        <w:rPr>
          <w:color w:val="auto"/>
          <w:sz w:val="24"/>
          <w:szCs w:val="24"/>
        </w:rPr>
      </w:pPr>
      <w:r>
        <w:rPr>
          <w:color w:val="auto"/>
          <w:spacing w:val="-2"/>
          <w:sz w:val="24"/>
          <w:szCs w:val="24"/>
        </w:rPr>
        <w:t>（1）供应商认为采购文件、采购过程、中标或者成交结果使自己的权益受到损</w:t>
      </w:r>
      <w:r>
        <w:rPr>
          <w:color w:val="auto"/>
          <w:spacing w:val="-3"/>
          <w:sz w:val="24"/>
          <w:szCs w:val="24"/>
        </w:rPr>
        <w:t>害的，</w:t>
      </w:r>
      <w:r>
        <w:rPr>
          <w:color w:val="auto"/>
          <w:sz w:val="24"/>
          <w:szCs w:val="24"/>
        </w:rPr>
        <w:t>可以在知道或者应知其权益受到损害之日起</w:t>
      </w:r>
      <w:r>
        <w:rPr>
          <w:color w:val="auto"/>
          <w:spacing w:val="-31"/>
          <w:sz w:val="24"/>
          <w:szCs w:val="24"/>
        </w:rPr>
        <w:t xml:space="preserve"> </w:t>
      </w:r>
      <w:r>
        <w:rPr>
          <w:color w:val="auto"/>
          <w:sz w:val="24"/>
          <w:szCs w:val="24"/>
        </w:rPr>
        <w:t>7</w:t>
      </w:r>
      <w:r>
        <w:rPr>
          <w:color w:val="auto"/>
          <w:spacing w:val="-49"/>
          <w:sz w:val="24"/>
          <w:szCs w:val="24"/>
        </w:rPr>
        <w:t xml:space="preserve"> </w:t>
      </w:r>
      <w:r>
        <w:rPr>
          <w:color w:val="auto"/>
          <w:sz w:val="24"/>
          <w:szCs w:val="24"/>
        </w:rPr>
        <w:t>个工作日内，以书面形式向采购人、采购代</w:t>
      </w:r>
      <w:r>
        <w:rPr>
          <w:color w:val="auto"/>
          <w:spacing w:val="1"/>
          <w:sz w:val="24"/>
          <w:szCs w:val="24"/>
        </w:rPr>
        <w:t>理机构提出质疑。针对同一采购程序环节的质疑应在法定质疑期内一次性提出。属于采购程序问题的，向采购代理机构提出质疑；属于采购需求的（包括资质要求、技术指标、参</w:t>
      </w:r>
      <w:r>
        <w:rPr>
          <w:color w:val="auto"/>
          <w:spacing w:val="-2"/>
          <w:sz w:val="24"/>
          <w:szCs w:val="24"/>
        </w:rPr>
        <w:t>数、评分办法等</w:t>
      </w:r>
      <w:r>
        <w:rPr>
          <w:color w:val="auto"/>
          <w:spacing w:val="12"/>
          <w:sz w:val="24"/>
          <w:szCs w:val="24"/>
        </w:rPr>
        <w:t>），</w:t>
      </w:r>
      <w:r>
        <w:rPr>
          <w:color w:val="auto"/>
          <w:spacing w:val="-2"/>
          <w:sz w:val="24"/>
          <w:szCs w:val="24"/>
        </w:rPr>
        <w:t>应向采购人提出质疑；</w:t>
      </w:r>
    </w:p>
    <w:p w14:paraId="7FD37620">
      <w:pPr>
        <w:pStyle w:val="6"/>
        <w:spacing w:before="140" w:line="219" w:lineRule="auto"/>
        <w:ind w:left="501"/>
        <w:rPr>
          <w:color w:val="auto"/>
          <w:sz w:val="24"/>
          <w:szCs w:val="24"/>
        </w:rPr>
      </w:pPr>
      <w:r>
        <w:rPr>
          <w:color w:val="auto"/>
          <w:spacing w:val="-1"/>
          <w:sz w:val="24"/>
          <w:szCs w:val="24"/>
        </w:rPr>
        <w:t>（2）提出质疑的供应商应当是参与本项目采购活动的供应商。</w:t>
      </w:r>
    </w:p>
    <w:p w14:paraId="220734AA">
      <w:pPr>
        <w:pStyle w:val="6"/>
        <w:spacing w:before="138" w:line="291" w:lineRule="auto"/>
        <w:ind w:left="11" w:right="63" w:firstLine="490"/>
        <w:rPr>
          <w:color w:val="auto"/>
          <w:sz w:val="24"/>
          <w:szCs w:val="24"/>
        </w:rPr>
      </w:pPr>
      <w:r>
        <w:rPr>
          <w:color w:val="auto"/>
          <w:spacing w:val="-2"/>
          <w:sz w:val="24"/>
          <w:szCs w:val="24"/>
        </w:rPr>
        <w:t>（3）潜在供应商已依法获取其可质疑的采购文件</w:t>
      </w:r>
      <w:r>
        <w:rPr>
          <w:color w:val="auto"/>
          <w:spacing w:val="-3"/>
          <w:sz w:val="24"/>
          <w:szCs w:val="24"/>
        </w:rPr>
        <w:t>的，可以对该文件提出质疑。对采购</w:t>
      </w:r>
      <w:r>
        <w:rPr>
          <w:color w:val="auto"/>
          <w:sz w:val="24"/>
          <w:szCs w:val="24"/>
        </w:rPr>
        <w:t>文件提出质疑的，应当在获取采购文件（以供应商填写报名登记表的时间为准）起</w:t>
      </w:r>
      <w:r>
        <w:rPr>
          <w:color w:val="auto"/>
          <w:spacing w:val="-31"/>
          <w:sz w:val="24"/>
          <w:szCs w:val="24"/>
        </w:rPr>
        <w:t xml:space="preserve"> </w:t>
      </w:r>
      <w:r>
        <w:rPr>
          <w:color w:val="auto"/>
          <w:sz w:val="24"/>
          <w:szCs w:val="24"/>
        </w:rPr>
        <w:t>7</w:t>
      </w:r>
      <w:r>
        <w:rPr>
          <w:color w:val="auto"/>
          <w:spacing w:val="-50"/>
          <w:sz w:val="24"/>
          <w:szCs w:val="24"/>
        </w:rPr>
        <w:t xml:space="preserve"> </w:t>
      </w:r>
      <w:r>
        <w:rPr>
          <w:color w:val="auto"/>
          <w:sz w:val="24"/>
          <w:szCs w:val="24"/>
        </w:rPr>
        <w:t>个工</w:t>
      </w:r>
      <w:r>
        <w:rPr>
          <w:color w:val="auto"/>
          <w:spacing w:val="-2"/>
          <w:sz w:val="24"/>
          <w:szCs w:val="24"/>
        </w:rPr>
        <w:t>作日内提出。</w:t>
      </w:r>
    </w:p>
    <w:p w14:paraId="5D8A82EB">
      <w:pPr>
        <w:pStyle w:val="6"/>
        <w:spacing w:before="137" w:line="219" w:lineRule="auto"/>
        <w:ind w:left="501"/>
        <w:rPr>
          <w:color w:val="auto"/>
          <w:sz w:val="24"/>
          <w:szCs w:val="24"/>
        </w:rPr>
      </w:pPr>
      <w:r>
        <w:rPr>
          <w:color w:val="auto"/>
          <w:spacing w:val="-1"/>
          <w:sz w:val="24"/>
          <w:szCs w:val="24"/>
        </w:rPr>
        <w:t>（4）供应商提出质疑应当提交质疑函和必要的证明材料，质疑函应包括下列内容：</w:t>
      </w:r>
    </w:p>
    <w:p w14:paraId="3E4CEC1C">
      <w:pPr>
        <w:pStyle w:val="6"/>
        <w:spacing w:before="140" w:line="218" w:lineRule="auto"/>
        <w:ind w:left="489"/>
        <w:rPr>
          <w:color w:val="auto"/>
          <w:sz w:val="24"/>
          <w:szCs w:val="24"/>
        </w:rPr>
      </w:pPr>
      <w:r>
        <w:rPr>
          <w:color w:val="auto"/>
          <w:spacing w:val="-1"/>
          <w:sz w:val="24"/>
          <w:szCs w:val="24"/>
        </w:rPr>
        <w:t>① 供应商的姓名或者名称、地址、邮编、联系人及联系电话；</w:t>
      </w:r>
    </w:p>
    <w:p w14:paraId="54994717">
      <w:pPr>
        <w:pStyle w:val="6"/>
        <w:spacing w:before="141" w:line="218" w:lineRule="auto"/>
        <w:ind w:left="488"/>
        <w:rPr>
          <w:color w:val="auto"/>
          <w:sz w:val="24"/>
          <w:szCs w:val="24"/>
        </w:rPr>
      </w:pPr>
      <w:r>
        <w:rPr>
          <w:color w:val="auto"/>
          <w:spacing w:val="-1"/>
          <w:sz w:val="24"/>
          <w:szCs w:val="24"/>
        </w:rPr>
        <w:t>② 质疑项目的名称、编号；</w:t>
      </w:r>
    </w:p>
    <w:p w14:paraId="5BD725B1">
      <w:pPr>
        <w:pStyle w:val="6"/>
        <w:spacing w:before="139" w:line="218" w:lineRule="auto"/>
        <w:ind w:left="488"/>
        <w:rPr>
          <w:color w:val="auto"/>
          <w:sz w:val="24"/>
          <w:szCs w:val="24"/>
        </w:rPr>
      </w:pPr>
      <w:r>
        <w:rPr>
          <w:color w:val="auto"/>
          <w:spacing w:val="-1"/>
          <w:sz w:val="24"/>
          <w:szCs w:val="24"/>
        </w:rPr>
        <w:t>③ 具体、明确的质疑事项和与质疑事项相关的请求；</w:t>
      </w:r>
    </w:p>
    <w:p w14:paraId="5E99B1B9">
      <w:pPr>
        <w:pStyle w:val="6"/>
        <w:spacing w:before="141" w:line="218" w:lineRule="auto"/>
        <w:ind w:left="488"/>
        <w:rPr>
          <w:color w:val="auto"/>
          <w:sz w:val="24"/>
          <w:szCs w:val="24"/>
        </w:rPr>
      </w:pPr>
      <w:r>
        <w:rPr>
          <w:color w:val="auto"/>
          <w:spacing w:val="-2"/>
          <w:sz w:val="24"/>
          <w:szCs w:val="24"/>
        </w:rPr>
        <w:t>④ 事实依据；</w:t>
      </w:r>
    </w:p>
    <w:p w14:paraId="37238EB5">
      <w:pPr>
        <w:pStyle w:val="6"/>
        <w:spacing w:before="142" w:line="218" w:lineRule="auto"/>
        <w:ind w:left="488"/>
        <w:rPr>
          <w:color w:val="auto"/>
          <w:sz w:val="24"/>
          <w:szCs w:val="24"/>
        </w:rPr>
      </w:pPr>
      <w:r>
        <w:rPr>
          <w:color w:val="auto"/>
          <w:spacing w:val="-1"/>
          <w:sz w:val="24"/>
          <w:szCs w:val="24"/>
        </w:rPr>
        <w:t>⑤ 必要的法律依据；</w:t>
      </w:r>
    </w:p>
    <w:p w14:paraId="449FE448">
      <w:pPr>
        <w:pStyle w:val="6"/>
        <w:spacing w:before="139" w:line="218" w:lineRule="auto"/>
        <w:ind w:left="488"/>
        <w:rPr>
          <w:color w:val="auto"/>
          <w:sz w:val="24"/>
          <w:szCs w:val="24"/>
        </w:rPr>
      </w:pPr>
      <w:r>
        <w:rPr>
          <w:color w:val="auto"/>
          <w:spacing w:val="-1"/>
          <w:sz w:val="24"/>
          <w:szCs w:val="24"/>
        </w:rPr>
        <w:t>⑥ 提出质疑的日期。</w:t>
      </w:r>
    </w:p>
    <w:p w14:paraId="7DCF1050">
      <w:pPr>
        <w:pStyle w:val="6"/>
        <w:spacing w:before="141" w:line="273" w:lineRule="auto"/>
        <w:ind w:left="16" w:right="63" w:firstLine="485"/>
        <w:rPr>
          <w:color w:val="auto"/>
          <w:sz w:val="24"/>
          <w:szCs w:val="24"/>
        </w:rPr>
      </w:pPr>
      <w:r>
        <w:rPr>
          <w:color w:val="auto"/>
          <w:spacing w:val="-2"/>
          <w:sz w:val="24"/>
          <w:szCs w:val="24"/>
        </w:rPr>
        <w:t>（5）供应商为自然人的，应当由本人签字；供应</w:t>
      </w:r>
      <w:r>
        <w:rPr>
          <w:color w:val="auto"/>
          <w:spacing w:val="-3"/>
          <w:sz w:val="24"/>
          <w:szCs w:val="24"/>
        </w:rPr>
        <w:t>商为法人或者其他组织的，应当由法</w:t>
      </w:r>
      <w:r>
        <w:rPr>
          <w:color w:val="auto"/>
          <w:spacing w:val="-1"/>
          <w:sz w:val="24"/>
          <w:szCs w:val="24"/>
        </w:rPr>
        <w:t>定代表人、主要负责人，或者委托代理人签字或者盖章并加盖公章。</w:t>
      </w:r>
    </w:p>
    <w:p w14:paraId="0B1FE1A6">
      <w:pPr>
        <w:pStyle w:val="6"/>
        <w:spacing w:before="138" w:line="219" w:lineRule="auto"/>
        <w:ind w:left="501"/>
        <w:rPr>
          <w:color w:val="auto"/>
          <w:sz w:val="24"/>
          <w:szCs w:val="24"/>
        </w:rPr>
      </w:pPr>
      <w:r>
        <w:rPr>
          <w:color w:val="auto"/>
          <w:spacing w:val="-2"/>
          <w:sz w:val="24"/>
          <w:szCs w:val="24"/>
        </w:rPr>
        <w:t>（6）供应商可以委托代理人进行质疑和投诉。其</w:t>
      </w:r>
      <w:r>
        <w:rPr>
          <w:color w:val="auto"/>
          <w:spacing w:val="-3"/>
          <w:sz w:val="24"/>
          <w:szCs w:val="24"/>
        </w:rPr>
        <w:t>法定代表人授权委托书应当载明委托</w:t>
      </w:r>
    </w:p>
    <w:p w14:paraId="1ABEA046">
      <w:pPr>
        <w:pStyle w:val="6"/>
        <w:spacing w:before="121" w:line="326" w:lineRule="auto"/>
        <w:ind w:left="10" w:right="96" w:hanging="1"/>
        <w:jc w:val="both"/>
        <w:rPr>
          <w:color w:val="auto"/>
          <w:sz w:val="24"/>
          <w:szCs w:val="24"/>
        </w:rPr>
      </w:pPr>
      <w:r>
        <w:rPr>
          <w:color w:val="auto"/>
          <w:spacing w:val="1"/>
          <w:sz w:val="24"/>
          <w:szCs w:val="24"/>
        </w:rPr>
        <w:t>代理人的姓名或者名称、代理事项、具体权限、期限和相关事项。供应商为自然人的，应当由本人签字；供应商为法人或者其他组织的，应当由法定代表人、主要负责人签字或者</w:t>
      </w:r>
      <w:r>
        <w:rPr>
          <w:color w:val="auto"/>
          <w:spacing w:val="-2"/>
          <w:sz w:val="24"/>
          <w:szCs w:val="24"/>
        </w:rPr>
        <w:t>盖章并加盖公章。</w:t>
      </w:r>
    </w:p>
    <w:p w14:paraId="1B125C14">
      <w:pPr>
        <w:pStyle w:val="6"/>
        <w:spacing w:before="1" w:line="272" w:lineRule="auto"/>
        <w:ind w:left="9" w:right="99" w:firstLine="492"/>
        <w:rPr>
          <w:color w:val="auto"/>
          <w:sz w:val="24"/>
          <w:szCs w:val="24"/>
        </w:rPr>
      </w:pPr>
      <w:r>
        <w:rPr>
          <w:color w:val="auto"/>
          <w:spacing w:val="-2"/>
          <w:sz w:val="24"/>
          <w:szCs w:val="24"/>
        </w:rPr>
        <w:t>（7）采购人负责供应商质疑答复。采购人委托采</w:t>
      </w:r>
      <w:r>
        <w:rPr>
          <w:color w:val="auto"/>
          <w:spacing w:val="-3"/>
          <w:sz w:val="24"/>
          <w:szCs w:val="24"/>
        </w:rPr>
        <w:t>购代理机构采购的，采购代理机构在</w:t>
      </w:r>
      <w:r>
        <w:rPr>
          <w:color w:val="auto"/>
          <w:spacing w:val="-1"/>
          <w:sz w:val="24"/>
          <w:szCs w:val="24"/>
        </w:rPr>
        <w:t>委托授权范围内作出答复。</w:t>
      </w:r>
    </w:p>
    <w:p w14:paraId="0E5D29FA">
      <w:pPr>
        <w:pStyle w:val="6"/>
        <w:spacing w:before="138" w:line="220" w:lineRule="auto"/>
        <w:ind w:left="501"/>
        <w:rPr>
          <w:color w:val="auto"/>
          <w:sz w:val="24"/>
          <w:szCs w:val="24"/>
        </w:rPr>
      </w:pPr>
      <w:r>
        <w:rPr>
          <w:color w:val="auto"/>
          <w:spacing w:val="-2"/>
          <w:sz w:val="24"/>
          <w:szCs w:val="24"/>
        </w:rPr>
        <w:t>（8）接收质疑函的方式：</w:t>
      </w:r>
    </w:p>
    <w:p w14:paraId="3229FB44">
      <w:pPr>
        <w:pStyle w:val="6"/>
        <w:spacing w:before="139" w:line="327" w:lineRule="auto"/>
        <w:ind w:left="8" w:firstLine="486"/>
        <w:rPr>
          <w:color w:val="auto"/>
          <w:sz w:val="24"/>
          <w:szCs w:val="24"/>
        </w:rPr>
      </w:pPr>
      <w:r>
        <w:rPr>
          <w:color w:val="auto"/>
          <w:spacing w:val="-3"/>
          <w:sz w:val="24"/>
          <w:szCs w:val="24"/>
        </w:rPr>
        <w:t>书面质疑函应按照财政部国库司制定的《政府采购服务商质疑函范本》（见下方链接）</w:t>
      </w:r>
      <w:r>
        <w:rPr>
          <w:color w:val="auto"/>
          <w:spacing w:val="-2"/>
          <w:sz w:val="24"/>
          <w:szCs w:val="24"/>
        </w:rPr>
        <w:t>进行填写，签字、盖章后提交至采购人或采购代</w:t>
      </w:r>
      <w:r>
        <w:rPr>
          <w:color w:val="auto"/>
          <w:spacing w:val="-3"/>
          <w:sz w:val="24"/>
          <w:szCs w:val="24"/>
        </w:rPr>
        <w:t>理机构。（联系方式见投标人须知前附表）</w:t>
      </w:r>
    </w:p>
    <w:p w14:paraId="096BEA31">
      <w:pPr>
        <w:pStyle w:val="6"/>
        <w:spacing w:line="214" w:lineRule="auto"/>
        <w:ind w:left="496"/>
        <w:rPr>
          <w:color w:val="auto"/>
          <w:sz w:val="24"/>
          <w:szCs w:val="24"/>
        </w:rPr>
      </w:pPr>
      <w:r>
        <w:rPr>
          <w:color w:val="auto"/>
          <w:sz w:val="24"/>
          <w:szCs w:val="24"/>
        </w:rPr>
        <w:t>范本地址：</w:t>
      </w:r>
      <w:r>
        <w:rPr>
          <w:color w:val="auto"/>
        </w:rPr>
        <w:fldChar w:fldCharType="begin"/>
      </w:r>
      <w:r>
        <w:rPr>
          <w:color w:val="auto"/>
        </w:rPr>
        <w:instrText xml:space="preserve"> HYPERLINK "http://download.ccgp.gov.cn/2018/zhiyihanfanben.zip" </w:instrText>
      </w:r>
      <w:r>
        <w:rPr>
          <w:color w:val="auto"/>
        </w:rPr>
        <w:fldChar w:fldCharType="separate"/>
      </w:r>
      <w:r>
        <w:rPr>
          <w:color w:val="auto"/>
          <w:sz w:val="24"/>
          <w:szCs w:val="24"/>
        </w:rPr>
        <w:t>http://download.ccgp.gov.cn/2018/zh</w:t>
      </w:r>
      <w:r>
        <w:rPr>
          <w:color w:val="auto"/>
          <w:spacing w:val="-1"/>
          <w:sz w:val="24"/>
          <w:szCs w:val="24"/>
        </w:rPr>
        <w:t>iyihanfanben.zip</w:t>
      </w:r>
      <w:r>
        <w:rPr>
          <w:color w:val="auto"/>
          <w:spacing w:val="-1"/>
          <w:sz w:val="24"/>
          <w:szCs w:val="24"/>
        </w:rPr>
        <w:fldChar w:fldCharType="end"/>
      </w:r>
      <w:r>
        <w:rPr>
          <w:color w:val="auto"/>
          <w:spacing w:val="-1"/>
          <w:sz w:val="24"/>
          <w:szCs w:val="24"/>
        </w:rPr>
        <w:t>。</w:t>
      </w:r>
    </w:p>
    <w:p w14:paraId="72B079AF">
      <w:pPr>
        <w:pStyle w:val="6"/>
        <w:spacing w:before="143" w:line="221" w:lineRule="auto"/>
        <w:ind w:left="493"/>
        <w:rPr>
          <w:color w:val="auto"/>
          <w:sz w:val="24"/>
          <w:szCs w:val="24"/>
        </w:rPr>
      </w:pPr>
      <w:r>
        <w:rPr>
          <w:color w:val="auto"/>
          <w:spacing w:val="-5"/>
          <w:sz w:val="24"/>
          <w:szCs w:val="24"/>
        </w:rPr>
        <w:t>24.2</w:t>
      </w:r>
      <w:r>
        <w:rPr>
          <w:color w:val="auto"/>
          <w:spacing w:val="16"/>
          <w:sz w:val="24"/>
          <w:szCs w:val="24"/>
        </w:rPr>
        <w:t xml:space="preserve"> </w:t>
      </w:r>
      <w:r>
        <w:rPr>
          <w:color w:val="auto"/>
          <w:spacing w:val="-5"/>
          <w:sz w:val="24"/>
          <w:szCs w:val="24"/>
        </w:rPr>
        <w:t>投诉</w:t>
      </w:r>
    </w:p>
    <w:p w14:paraId="0E80E0B7">
      <w:pPr>
        <w:pStyle w:val="6"/>
        <w:spacing w:before="139" w:line="273" w:lineRule="auto"/>
        <w:ind w:left="14" w:right="68" w:firstLine="487"/>
        <w:rPr>
          <w:color w:val="auto"/>
          <w:sz w:val="24"/>
          <w:szCs w:val="24"/>
        </w:rPr>
      </w:pPr>
      <w:r>
        <w:rPr>
          <w:color w:val="auto"/>
          <w:spacing w:val="-2"/>
          <w:sz w:val="24"/>
          <w:szCs w:val="24"/>
        </w:rPr>
        <w:t>（1）质疑供应商对采购人、采购代理机构的答复</w:t>
      </w:r>
      <w:r>
        <w:rPr>
          <w:color w:val="auto"/>
          <w:spacing w:val="-3"/>
          <w:sz w:val="24"/>
          <w:szCs w:val="24"/>
        </w:rPr>
        <w:t>不满意，或者采购人、采购代理机构</w:t>
      </w:r>
      <w:r>
        <w:rPr>
          <w:color w:val="auto"/>
          <w:spacing w:val="-2"/>
          <w:sz w:val="24"/>
          <w:szCs w:val="24"/>
        </w:rPr>
        <w:t>未在规定时间内作出答复的，可以在答复期满后</w:t>
      </w:r>
      <w:r>
        <w:rPr>
          <w:color w:val="auto"/>
          <w:spacing w:val="-33"/>
          <w:sz w:val="24"/>
          <w:szCs w:val="24"/>
        </w:rPr>
        <w:t xml:space="preserve"> </w:t>
      </w:r>
      <w:r>
        <w:rPr>
          <w:color w:val="auto"/>
          <w:spacing w:val="-2"/>
          <w:sz w:val="24"/>
          <w:szCs w:val="24"/>
        </w:rPr>
        <w:t>15</w:t>
      </w:r>
      <w:r>
        <w:rPr>
          <w:color w:val="auto"/>
          <w:spacing w:val="-51"/>
          <w:sz w:val="24"/>
          <w:szCs w:val="24"/>
        </w:rPr>
        <w:t xml:space="preserve"> </w:t>
      </w:r>
      <w:r>
        <w:rPr>
          <w:color w:val="auto"/>
          <w:spacing w:val="-2"/>
          <w:sz w:val="24"/>
          <w:szCs w:val="24"/>
        </w:rPr>
        <w:t>个工作日内向同</w:t>
      </w:r>
      <w:r>
        <w:rPr>
          <w:color w:val="auto"/>
          <w:spacing w:val="-3"/>
          <w:sz w:val="24"/>
          <w:szCs w:val="24"/>
        </w:rPr>
        <w:t>级财政部门提起投诉。</w:t>
      </w:r>
    </w:p>
    <w:p w14:paraId="2289FB87">
      <w:pPr>
        <w:pStyle w:val="6"/>
        <w:spacing w:before="136" w:line="291" w:lineRule="auto"/>
        <w:ind w:left="9" w:right="96" w:firstLine="492"/>
        <w:rPr>
          <w:color w:val="auto"/>
          <w:sz w:val="24"/>
          <w:szCs w:val="24"/>
        </w:rPr>
      </w:pPr>
      <w:r>
        <w:rPr>
          <w:color w:val="auto"/>
          <w:spacing w:val="1"/>
          <w:sz w:val="24"/>
          <w:szCs w:val="24"/>
        </w:rPr>
        <w:t>（2）投诉人投诉时,应当提交投诉书和必要的证明材料，并按</w:t>
      </w:r>
      <w:r>
        <w:rPr>
          <w:color w:val="auto"/>
          <w:sz w:val="24"/>
          <w:szCs w:val="24"/>
        </w:rPr>
        <w:t>照被投诉采购人、采购</w:t>
      </w:r>
      <w:r>
        <w:rPr>
          <w:color w:val="auto"/>
          <w:spacing w:val="1"/>
          <w:sz w:val="24"/>
          <w:szCs w:val="24"/>
        </w:rPr>
        <w:t>代理机构（以下简称被投诉人）和与投诉事项有关的供应商数量提供投诉书的副本。投诉</w:t>
      </w:r>
      <w:r>
        <w:rPr>
          <w:color w:val="auto"/>
          <w:spacing w:val="-1"/>
          <w:sz w:val="24"/>
          <w:szCs w:val="24"/>
        </w:rPr>
        <w:t>书应当包括下列内容：</w:t>
      </w:r>
    </w:p>
    <w:p w14:paraId="31DC3EE2">
      <w:pPr>
        <w:pStyle w:val="6"/>
        <w:spacing w:before="138" w:line="218" w:lineRule="auto"/>
        <w:ind w:left="489"/>
        <w:rPr>
          <w:color w:val="auto"/>
          <w:sz w:val="24"/>
          <w:szCs w:val="24"/>
        </w:rPr>
      </w:pPr>
      <w:r>
        <w:rPr>
          <w:color w:val="auto"/>
          <w:sz w:val="24"/>
          <w:szCs w:val="24"/>
        </w:rPr>
        <w:t>① 投诉人和被投诉人的姓名或者名称、通讯地址、邮编</w:t>
      </w:r>
      <w:r>
        <w:rPr>
          <w:color w:val="auto"/>
          <w:spacing w:val="-1"/>
          <w:sz w:val="24"/>
          <w:szCs w:val="24"/>
        </w:rPr>
        <w:t>、联系人及联系电话；</w:t>
      </w:r>
    </w:p>
    <w:p w14:paraId="482E1317">
      <w:pPr>
        <w:pStyle w:val="6"/>
        <w:spacing w:before="141" w:line="218" w:lineRule="auto"/>
        <w:ind w:left="488"/>
        <w:rPr>
          <w:color w:val="auto"/>
          <w:sz w:val="24"/>
          <w:szCs w:val="24"/>
        </w:rPr>
      </w:pPr>
      <w:r>
        <w:rPr>
          <w:color w:val="auto"/>
          <w:spacing w:val="-1"/>
          <w:sz w:val="24"/>
          <w:szCs w:val="24"/>
        </w:rPr>
        <w:t>② 质疑和质疑答复情况说明及相关证明材料；</w:t>
      </w:r>
    </w:p>
    <w:p w14:paraId="03D2A890">
      <w:pPr>
        <w:pStyle w:val="6"/>
        <w:spacing w:before="141" w:line="218" w:lineRule="auto"/>
        <w:ind w:left="488"/>
        <w:rPr>
          <w:color w:val="auto"/>
          <w:sz w:val="24"/>
          <w:szCs w:val="24"/>
        </w:rPr>
      </w:pPr>
      <w:r>
        <w:rPr>
          <w:color w:val="auto"/>
          <w:spacing w:val="-1"/>
          <w:sz w:val="24"/>
          <w:szCs w:val="24"/>
        </w:rPr>
        <w:t>③ 具体、明确的投诉事项和与投诉事项相关的投诉请求；</w:t>
      </w:r>
    </w:p>
    <w:p w14:paraId="23591DB7">
      <w:pPr>
        <w:pStyle w:val="6"/>
        <w:spacing w:before="139" w:line="218" w:lineRule="auto"/>
        <w:ind w:left="488"/>
        <w:rPr>
          <w:color w:val="auto"/>
          <w:sz w:val="24"/>
          <w:szCs w:val="24"/>
        </w:rPr>
      </w:pPr>
      <w:r>
        <w:rPr>
          <w:color w:val="auto"/>
          <w:spacing w:val="-2"/>
          <w:sz w:val="24"/>
          <w:szCs w:val="24"/>
        </w:rPr>
        <w:t>④ 事实依据；</w:t>
      </w:r>
    </w:p>
    <w:p w14:paraId="5B2F8465">
      <w:pPr>
        <w:pStyle w:val="6"/>
        <w:spacing w:before="142" w:line="218" w:lineRule="auto"/>
        <w:ind w:left="488"/>
        <w:rPr>
          <w:color w:val="auto"/>
          <w:sz w:val="24"/>
          <w:szCs w:val="24"/>
        </w:rPr>
      </w:pPr>
      <w:r>
        <w:rPr>
          <w:color w:val="auto"/>
          <w:spacing w:val="-2"/>
          <w:sz w:val="24"/>
          <w:szCs w:val="24"/>
        </w:rPr>
        <w:t>⑤ 法律依据；</w:t>
      </w:r>
    </w:p>
    <w:p w14:paraId="6732A3DF">
      <w:pPr>
        <w:pStyle w:val="6"/>
        <w:spacing w:before="141" w:line="218" w:lineRule="auto"/>
        <w:ind w:left="488"/>
        <w:rPr>
          <w:color w:val="auto"/>
          <w:sz w:val="24"/>
          <w:szCs w:val="24"/>
        </w:rPr>
      </w:pPr>
      <w:r>
        <w:rPr>
          <w:color w:val="auto"/>
          <w:spacing w:val="-1"/>
          <w:sz w:val="24"/>
          <w:szCs w:val="24"/>
        </w:rPr>
        <w:t>⑥ 提起投诉的日期。</w:t>
      </w:r>
    </w:p>
    <w:p w14:paraId="16669273">
      <w:pPr>
        <w:pStyle w:val="6"/>
        <w:spacing w:before="139" w:line="273" w:lineRule="auto"/>
        <w:ind w:left="16" w:right="99" w:firstLine="485"/>
        <w:rPr>
          <w:color w:val="auto"/>
          <w:sz w:val="24"/>
          <w:szCs w:val="24"/>
        </w:rPr>
      </w:pPr>
      <w:r>
        <w:rPr>
          <w:color w:val="auto"/>
          <w:spacing w:val="-2"/>
          <w:sz w:val="24"/>
          <w:szCs w:val="24"/>
        </w:rPr>
        <w:t>（3）投诉人为自然人的，应当由本人签字；投诉</w:t>
      </w:r>
      <w:r>
        <w:rPr>
          <w:color w:val="auto"/>
          <w:spacing w:val="-3"/>
          <w:sz w:val="24"/>
          <w:szCs w:val="24"/>
        </w:rPr>
        <w:t>人为法人或者其他组织的，应当由法</w:t>
      </w:r>
      <w:r>
        <w:rPr>
          <w:color w:val="auto"/>
          <w:spacing w:val="-1"/>
          <w:sz w:val="24"/>
          <w:szCs w:val="24"/>
        </w:rPr>
        <w:t>定代表人、主要负责人，或者委托代理人签字或者盖章，并加盖公章。</w:t>
      </w:r>
    </w:p>
    <w:p w14:paraId="3020A447">
      <w:pPr>
        <w:pStyle w:val="6"/>
        <w:spacing w:before="140" w:line="220" w:lineRule="auto"/>
        <w:ind w:left="501"/>
        <w:rPr>
          <w:color w:val="auto"/>
          <w:sz w:val="24"/>
          <w:szCs w:val="24"/>
        </w:rPr>
      </w:pPr>
      <w:r>
        <w:rPr>
          <w:color w:val="auto"/>
          <w:spacing w:val="-2"/>
          <w:sz w:val="24"/>
          <w:szCs w:val="24"/>
        </w:rPr>
        <w:t>（4）投诉人提起投诉应当符合下列条件：</w:t>
      </w:r>
    </w:p>
    <w:p w14:paraId="3A5E659E">
      <w:pPr>
        <w:pStyle w:val="6"/>
        <w:spacing w:before="136" w:line="218" w:lineRule="auto"/>
        <w:ind w:left="489"/>
        <w:rPr>
          <w:color w:val="auto"/>
          <w:sz w:val="24"/>
          <w:szCs w:val="24"/>
        </w:rPr>
      </w:pPr>
      <w:r>
        <w:rPr>
          <w:color w:val="auto"/>
          <w:spacing w:val="-1"/>
          <w:sz w:val="24"/>
          <w:szCs w:val="24"/>
        </w:rPr>
        <w:t>① 提起投诉前已依法进行质疑；</w:t>
      </w:r>
    </w:p>
    <w:p w14:paraId="3224215A">
      <w:pPr>
        <w:pStyle w:val="6"/>
        <w:spacing w:before="142" w:line="218" w:lineRule="auto"/>
        <w:ind w:left="488"/>
        <w:rPr>
          <w:color w:val="auto"/>
          <w:sz w:val="24"/>
          <w:szCs w:val="24"/>
        </w:rPr>
      </w:pPr>
      <w:r>
        <w:rPr>
          <w:color w:val="auto"/>
          <w:spacing w:val="-1"/>
          <w:sz w:val="24"/>
          <w:szCs w:val="24"/>
        </w:rPr>
        <w:t>② 投诉书内容符合《政府采购质疑和投诉办法》（财政部令第</w:t>
      </w:r>
      <w:r>
        <w:rPr>
          <w:color w:val="auto"/>
          <w:spacing w:val="-47"/>
          <w:sz w:val="24"/>
          <w:szCs w:val="24"/>
        </w:rPr>
        <w:t xml:space="preserve"> </w:t>
      </w:r>
      <w:r>
        <w:rPr>
          <w:color w:val="auto"/>
          <w:spacing w:val="-1"/>
          <w:sz w:val="24"/>
          <w:szCs w:val="24"/>
        </w:rPr>
        <w:t>94</w:t>
      </w:r>
      <w:r>
        <w:rPr>
          <w:color w:val="auto"/>
          <w:spacing w:val="-45"/>
          <w:sz w:val="24"/>
          <w:szCs w:val="24"/>
        </w:rPr>
        <w:t xml:space="preserve"> </w:t>
      </w:r>
      <w:r>
        <w:rPr>
          <w:color w:val="auto"/>
          <w:spacing w:val="-1"/>
          <w:sz w:val="24"/>
          <w:szCs w:val="24"/>
        </w:rPr>
        <w:t>号令）的规定；</w:t>
      </w:r>
    </w:p>
    <w:p w14:paraId="6890EB25">
      <w:pPr>
        <w:pStyle w:val="6"/>
        <w:spacing w:before="141" w:line="218" w:lineRule="auto"/>
        <w:ind w:left="488"/>
        <w:rPr>
          <w:color w:val="auto"/>
          <w:sz w:val="24"/>
          <w:szCs w:val="24"/>
        </w:rPr>
      </w:pPr>
      <w:r>
        <w:rPr>
          <w:color w:val="auto"/>
          <w:spacing w:val="-1"/>
          <w:sz w:val="24"/>
          <w:szCs w:val="24"/>
        </w:rPr>
        <w:t>③ 在投诉有效期限内提起投诉；</w:t>
      </w:r>
    </w:p>
    <w:p w14:paraId="440BF4BF">
      <w:pPr>
        <w:pStyle w:val="6"/>
        <w:spacing w:before="139" w:line="218" w:lineRule="auto"/>
        <w:ind w:left="488"/>
        <w:rPr>
          <w:color w:val="auto"/>
          <w:sz w:val="24"/>
          <w:szCs w:val="24"/>
        </w:rPr>
      </w:pPr>
      <w:r>
        <w:rPr>
          <w:color w:val="auto"/>
          <w:spacing w:val="-3"/>
          <w:sz w:val="24"/>
          <w:szCs w:val="24"/>
        </w:rPr>
        <w:t>④</w:t>
      </w:r>
      <w:r>
        <w:rPr>
          <w:color w:val="auto"/>
          <w:spacing w:val="45"/>
          <w:sz w:val="24"/>
          <w:szCs w:val="24"/>
        </w:rPr>
        <w:t xml:space="preserve"> </w:t>
      </w:r>
      <w:r>
        <w:rPr>
          <w:color w:val="auto"/>
          <w:spacing w:val="-3"/>
          <w:sz w:val="24"/>
          <w:szCs w:val="24"/>
        </w:rPr>
        <w:t>同一投诉事项未经财政部门投诉处理；</w:t>
      </w:r>
    </w:p>
    <w:p w14:paraId="603A3950">
      <w:pPr>
        <w:pStyle w:val="6"/>
        <w:spacing w:before="120" w:line="218" w:lineRule="auto"/>
        <w:ind w:left="488"/>
        <w:rPr>
          <w:color w:val="auto"/>
          <w:sz w:val="24"/>
          <w:szCs w:val="24"/>
        </w:rPr>
      </w:pPr>
      <w:r>
        <w:rPr>
          <w:color w:val="auto"/>
          <w:spacing w:val="-1"/>
          <w:sz w:val="24"/>
          <w:szCs w:val="24"/>
        </w:rPr>
        <w:t>⑤ 财政部规定的其他条件。</w:t>
      </w:r>
    </w:p>
    <w:p w14:paraId="383911A9">
      <w:pPr>
        <w:pStyle w:val="6"/>
        <w:spacing w:before="138" w:line="307" w:lineRule="auto"/>
        <w:ind w:left="10" w:right="16" w:firstLine="491"/>
        <w:rPr>
          <w:color w:val="auto"/>
          <w:spacing w:val="-2"/>
          <w:sz w:val="24"/>
          <w:szCs w:val="24"/>
        </w:rPr>
      </w:pPr>
      <w:r>
        <w:rPr>
          <w:color w:val="auto"/>
          <w:spacing w:val="-2"/>
          <w:sz w:val="24"/>
          <w:szCs w:val="24"/>
        </w:rPr>
        <w:t>（5）供应商投诉的事项不得超出已质疑事项的范</w:t>
      </w:r>
      <w:r>
        <w:rPr>
          <w:color w:val="auto"/>
          <w:spacing w:val="-3"/>
          <w:sz w:val="24"/>
          <w:szCs w:val="24"/>
        </w:rPr>
        <w:t>围，但基于质疑答复内容提出的投诉</w:t>
      </w:r>
      <w:r>
        <w:rPr>
          <w:color w:val="auto"/>
          <w:spacing w:val="-2"/>
          <w:sz w:val="24"/>
          <w:szCs w:val="24"/>
        </w:rPr>
        <w:t>事项除外。</w:t>
      </w:r>
    </w:p>
    <w:p w14:paraId="5276337B">
      <w:pPr>
        <w:pStyle w:val="6"/>
        <w:spacing w:before="138" w:line="307" w:lineRule="auto"/>
        <w:ind w:left="10" w:right="16" w:firstLine="491"/>
        <w:jc w:val="center"/>
        <w:rPr>
          <w:color w:val="auto"/>
          <w:sz w:val="30"/>
          <w:szCs w:val="30"/>
        </w:rPr>
      </w:pPr>
      <w:r>
        <w:rPr>
          <w:b/>
          <w:bCs/>
          <w:color w:val="auto"/>
          <w:spacing w:val="-5"/>
          <w:sz w:val="30"/>
          <w:szCs w:val="30"/>
        </w:rPr>
        <w:t>六、授予合同</w:t>
      </w:r>
    </w:p>
    <w:p w14:paraId="3DB6ABB9">
      <w:pPr>
        <w:pStyle w:val="6"/>
        <w:spacing w:before="114" w:line="219" w:lineRule="auto"/>
        <w:ind w:left="493"/>
        <w:rPr>
          <w:color w:val="auto"/>
          <w:sz w:val="24"/>
          <w:szCs w:val="24"/>
        </w:rPr>
      </w:pPr>
      <w:r>
        <w:rPr>
          <w:b/>
          <w:bCs/>
          <w:color w:val="auto"/>
          <w:spacing w:val="-4"/>
          <w:sz w:val="24"/>
          <w:szCs w:val="24"/>
        </w:rPr>
        <w:t>25.成交通知书</w:t>
      </w:r>
    </w:p>
    <w:p w14:paraId="4D87F433">
      <w:pPr>
        <w:pStyle w:val="6"/>
        <w:spacing w:before="140" w:line="273" w:lineRule="auto"/>
        <w:ind w:left="15" w:right="16" w:firstLine="478"/>
        <w:rPr>
          <w:color w:val="auto"/>
          <w:sz w:val="24"/>
          <w:szCs w:val="24"/>
        </w:rPr>
      </w:pPr>
      <w:r>
        <w:rPr>
          <w:color w:val="auto"/>
          <w:spacing w:val="-2"/>
          <w:sz w:val="24"/>
          <w:szCs w:val="24"/>
        </w:rPr>
        <w:t>25.1 采购代理机构在收到采购人的成交复函后，将在陕西省政府采购网</w:t>
      </w:r>
      <w:r>
        <w:rPr>
          <w:rFonts w:hint="eastAsia"/>
          <w:color w:val="auto"/>
          <w:spacing w:val="-2"/>
          <w:sz w:val="24"/>
          <w:szCs w:val="24"/>
          <w:lang w:eastAsia="zh-CN"/>
        </w:rPr>
        <w:t>、</w:t>
      </w:r>
      <w:r>
        <w:rPr>
          <w:rFonts w:hint="eastAsia" w:ascii="宋体" w:hAnsi="宋体" w:eastAsia="宋体" w:cs="宋体"/>
          <w:color w:val="auto"/>
          <w:spacing w:val="-2"/>
          <w:sz w:val="24"/>
          <w:szCs w:val="24"/>
          <w:lang w:eastAsia="zh-CN"/>
        </w:rPr>
        <w:t>安康市公共资源交易网</w:t>
      </w:r>
      <w:r>
        <w:rPr>
          <w:color w:val="auto"/>
          <w:spacing w:val="-2"/>
          <w:sz w:val="24"/>
          <w:szCs w:val="24"/>
        </w:rPr>
        <w:t>上</w:t>
      </w:r>
      <w:r>
        <w:rPr>
          <w:rFonts w:hint="eastAsia" w:ascii="宋体" w:hAnsi="宋体" w:eastAsia="宋体" w:cs="宋体"/>
          <w:color w:val="auto"/>
          <w:spacing w:val="-2"/>
          <w:sz w:val="24"/>
          <w:szCs w:val="24"/>
        </w:rPr>
        <w:t>发布</w:t>
      </w:r>
      <w:r>
        <w:rPr>
          <w:color w:val="auto"/>
          <w:spacing w:val="-3"/>
          <w:sz w:val="24"/>
          <w:szCs w:val="24"/>
        </w:rPr>
        <w:t>成交结</w:t>
      </w:r>
      <w:r>
        <w:rPr>
          <w:color w:val="auto"/>
          <w:spacing w:val="-1"/>
          <w:sz w:val="24"/>
          <w:szCs w:val="24"/>
        </w:rPr>
        <w:t>果</w:t>
      </w:r>
      <w:r>
        <w:rPr>
          <w:rFonts w:hint="eastAsia"/>
          <w:color w:val="auto"/>
          <w:spacing w:val="-1"/>
          <w:sz w:val="24"/>
          <w:szCs w:val="24"/>
          <w:lang w:eastAsia="zh-CN"/>
        </w:rPr>
        <w:t>公告</w:t>
      </w:r>
      <w:r>
        <w:rPr>
          <w:color w:val="auto"/>
          <w:spacing w:val="-1"/>
          <w:sz w:val="24"/>
          <w:szCs w:val="24"/>
        </w:rPr>
        <w:t>，同时向成交供应商发出成交通知书。</w:t>
      </w:r>
    </w:p>
    <w:p w14:paraId="03223221">
      <w:pPr>
        <w:pStyle w:val="6"/>
        <w:spacing w:before="138" w:line="219" w:lineRule="auto"/>
        <w:ind w:left="493"/>
        <w:rPr>
          <w:color w:val="auto"/>
          <w:sz w:val="24"/>
          <w:szCs w:val="24"/>
        </w:rPr>
      </w:pPr>
      <w:r>
        <w:rPr>
          <w:color w:val="auto"/>
          <w:spacing w:val="-1"/>
          <w:sz w:val="24"/>
          <w:szCs w:val="24"/>
        </w:rPr>
        <w:t>25.2 成交通知书是合同的组成部分。</w:t>
      </w:r>
    </w:p>
    <w:p w14:paraId="23B2FE1B">
      <w:pPr>
        <w:pStyle w:val="6"/>
        <w:spacing w:before="139" w:line="220" w:lineRule="auto"/>
        <w:ind w:left="493"/>
        <w:rPr>
          <w:color w:val="auto"/>
          <w:sz w:val="24"/>
          <w:szCs w:val="24"/>
        </w:rPr>
      </w:pPr>
      <w:r>
        <w:rPr>
          <w:b/>
          <w:bCs/>
          <w:color w:val="auto"/>
          <w:spacing w:val="-4"/>
          <w:sz w:val="24"/>
          <w:szCs w:val="24"/>
        </w:rPr>
        <w:t>26．成交服务费</w:t>
      </w:r>
    </w:p>
    <w:p w14:paraId="7184B921">
      <w:pPr>
        <w:pStyle w:val="6"/>
        <w:spacing w:before="139" w:line="326" w:lineRule="auto"/>
        <w:ind w:left="23" w:right="16" w:firstLine="469"/>
        <w:rPr>
          <w:color w:val="auto"/>
          <w:sz w:val="24"/>
          <w:szCs w:val="24"/>
        </w:rPr>
      </w:pPr>
      <w:r>
        <w:rPr>
          <w:color w:val="auto"/>
          <w:spacing w:val="-1"/>
          <w:sz w:val="24"/>
          <w:szCs w:val="24"/>
        </w:rPr>
        <w:t>26.1</w:t>
      </w:r>
      <w:r>
        <w:rPr>
          <w:color w:val="auto"/>
          <w:spacing w:val="-44"/>
          <w:sz w:val="24"/>
          <w:szCs w:val="24"/>
        </w:rPr>
        <w:t xml:space="preserve"> </w:t>
      </w:r>
      <w:r>
        <w:rPr>
          <w:rFonts w:hint="eastAsia" w:ascii="宋体" w:hAnsi="宋体" w:eastAsia="宋体" w:cs="宋体"/>
          <w:color w:val="auto"/>
          <w:sz w:val="24"/>
          <w:szCs w:val="24"/>
        </w:rPr>
        <w:t>成交人参照《招标代理服务收费管理暂行办法》计价格[2002]1980号文和发改价格[2011]534号文件规定的收取标准及相应的计算办法,向兴意项目管理有限公司缴纳招标代理服务费。</w:t>
      </w:r>
    </w:p>
    <w:p w14:paraId="35FB146C">
      <w:pPr>
        <w:pStyle w:val="6"/>
        <w:spacing w:line="222" w:lineRule="auto"/>
        <w:ind w:left="493"/>
        <w:rPr>
          <w:color w:val="auto"/>
          <w:sz w:val="24"/>
          <w:szCs w:val="24"/>
        </w:rPr>
      </w:pPr>
      <w:r>
        <w:rPr>
          <w:b/>
          <w:bCs/>
          <w:color w:val="auto"/>
          <w:spacing w:val="-4"/>
          <w:sz w:val="24"/>
          <w:szCs w:val="24"/>
        </w:rPr>
        <w:t>27．签订合同</w:t>
      </w:r>
    </w:p>
    <w:p w14:paraId="62B0640F">
      <w:pPr>
        <w:pStyle w:val="6"/>
        <w:spacing w:before="136" w:line="219" w:lineRule="auto"/>
        <w:ind w:left="493"/>
        <w:rPr>
          <w:color w:val="auto"/>
          <w:sz w:val="24"/>
          <w:szCs w:val="24"/>
        </w:rPr>
      </w:pPr>
      <w:r>
        <w:rPr>
          <w:color w:val="auto"/>
          <w:spacing w:val="-4"/>
          <w:sz w:val="24"/>
          <w:szCs w:val="24"/>
        </w:rPr>
        <w:t xml:space="preserve">27.1 </w:t>
      </w:r>
      <w:r>
        <w:rPr>
          <w:b/>
          <w:bCs/>
          <w:color w:val="auto"/>
          <w:spacing w:val="-4"/>
          <w:sz w:val="24"/>
          <w:szCs w:val="24"/>
        </w:rPr>
        <w:t>成交供应商在收到成交通知书后</w:t>
      </w:r>
      <w:r>
        <w:rPr>
          <w:rFonts w:hint="eastAsia"/>
          <w:b/>
          <w:bCs/>
          <w:color w:val="auto"/>
          <w:spacing w:val="-4"/>
          <w:sz w:val="24"/>
          <w:szCs w:val="24"/>
          <w:lang w:val="en-US" w:eastAsia="zh-CN"/>
        </w:rPr>
        <w:t>25</w:t>
      </w:r>
      <w:r>
        <w:rPr>
          <w:b/>
          <w:bCs/>
          <w:color w:val="auto"/>
          <w:spacing w:val="-4"/>
          <w:sz w:val="24"/>
          <w:szCs w:val="24"/>
        </w:rPr>
        <w:t>日内，与采购人签订合同。</w:t>
      </w:r>
    </w:p>
    <w:p w14:paraId="60E28510">
      <w:pPr>
        <w:pStyle w:val="6"/>
        <w:spacing w:before="139" w:line="291" w:lineRule="auto"/>
        <w:ind w:left="11" w:right="16" w:firstLine="481"/>
        <w:rPr>
          <w:color w:val="auto"/>
          <w:sz w:val="24"/>
          <w:szCs w:val="24"/>
        </w:rPr>
      </w:pPr>
      <w:r>
        <w:rPr>
          <w:color w:val="auto"/>
          <w:sz w:val="24"/>
          <w:szCs w:val="24"/>
        </w:rPr>
        <w:t>27.2 如果成交供应商没有按照上述第</w:t>
      </w:r>
      <w:r>
        <w:rPr>
          <w:color w:val="auto"/>
          <w:spacing w:val="-37"/>
          <w:sz w:val="24"/>
          <w:szCs w:val="24"/>
        </w:rPr>
        <w:t xml:space="preserve"> </w:t>
      </w:r>
      <w:r>
        <w:rPr>
          <w:color w:val="auto"/>
          <w:sz w:val="24"/>
          <w:szCs w:val="24"/>
        </w:rPr>
        <w:t>27.1</w:t>
      </w:r>
      <w:r>
        <w:rPr>
          <w:color w:val="auto"/>
          <w:spacing w:val="-46"/>
          <w:sz w:val="24"/>
          <w:szCs w:val="24"/>
        </w:rPr>
        <w:t xml:space="preserve"> </w:t>
      </w:r>
      <w:r>
        <w:rPr>
          <w:color w:val="auto"/>
          <w:sz w:val="24"/>
          <w:szCs w:val="24"/>
        </w:rPr>
        <w:t>条规定执行，采购人将有充分理由取消该</w:t>
      </w:r>
      <w:r>
        <w:rPr>
          <w:color w:val="auto"/>
          <w:spacing w:val="1"/>
          <w:sz w:val="24"/>
          <w:szCs w:val="24"/>
        </w:rPr>
        <w:t>成交决定。在此情况下，采购人可将合同授予综合得分排序名列下一个的供应商，或重新</w:t>
      </w:r>
      <w:r>
        <w:rPr>
          <w:color w:val="auto"/>
          <w:spacing w:val="-4"/>
          <w:sz w:val="24"/>
          <w:szCs w:val="24"/>
        </w:rPr>
        <w:t>招标。</w:t>
      </w:r>
    </w:p>
    <w:p w14:paraId="1AAE6844">
      <w:pPr>
        <w:pStyle w:val="6"/>
        <w:spacing w:before="135" w:line="221" w:lineRule="auto"/>
        <w:ind w:left="493"/>
        <w:outlineLvl w:val="0"/>
        <w:rPr>
          <w:color w:val="auto"/>
          <w:sz w:val="24"/>
          <w:szCs w:val="24"/>
        </w:rPr>
      </w:pPr>
      <w:r>
        <w:rPr>
          <w:b/>
          <w:bCs/>
          <w:color w:val="auto"/>
          <w:spacing w:val="-4"/>
          <w:sz w:val="24"/>
          <w:szCs w:val="24"/>
        </w:rPr>
        <w:t>28．拒绝商业贿赂</w:t>
      </w:r>
    </w:p>
    <w:p w14:paraId="1BD13834">
      <w:pPr>
        <w:pStyle w:val="6"/>
        <w:spacing w:before="138" w:line="329" w:lineRule="auto"/>
        <w:ind w:left="11" w:right="14" w:firstLine="479"/>
        <w:rPr>
          <w:color w:val="auto"/>
          <w:sz w:val="24"/>
          <w:szCs w:val="24"/>
        </w:rPr>
        <w:sectPr>
          <w:headerReference r:id="rId9" w:type="default"/>
          <w:footerReference r:id="rId10" w:type="default"/>
          <w:pgSz w:w="11906" w:h="16839"/>
          <w:pgMar w:top="1447" w:right="1231" w:bottom="1310" w:left="1247" w:header="1170" w:footer="1039" w:gutter="0"/>
          <w:pgNumType w:fmt="decimal"/>
          <w:cols w:space="720" w:num="1"/>
        </w:sectPr>
      </w:pPr>
      <w:r>
        <w:rPr>
          <w:color w:val="auto"/>
          <w:spacing w:val="1"/>
          <w:sz w:val="24"/>
          <w:szCs w:val="24"/>
        </w:rPr>
        <w:t>供应商必须填写一份《拒绝政府采购领域商业贿赂承诺书》（格式见第</w:t>
      </w:r>
      <w:r>
        <w:rPr>
          <w:rFonts w:hint="eastAsia"/>
          <w:color w:val="auto"/>
          <w:spacing w:val="1"/>
          <w:sz w:val="24"/>
          <w:szCs w:val="24"/>
          <w:lang w:eastAsia="zh-CN"/>
        </w:rPr>
        <w:t>五</w:t>
      </w:r>
      <w:r>
        <w:rPr>
          <w:color w:val="auto"/>
          <w:spacing w:val="1"/>
          <w:sz w:val="24"/>
          <w:szCs w:val="24"/>
        </w:rPr>
        <w:t>章附件）编</w:t>
      </w:r>
      <w:r>
        <w:rPr>
          <w:color w:val="auto"/>
          <w:spacing w:val="-2"/>
          <w:sz w:val="24"/>
          <w:szCs w:val="24"/>
        </w:rPr>
        <w:t>制在谈判响应文件中。</w:t>
      </w:r>
      <w:bookmarkStart w:id="5" w:name="bookmark5"/>
      <w:bookmarkEnd w:id="5"/>
      <w:bookmarkStart w:id="6" w:name="bookmark6"/>
      <w:bookmarkEnd w:id="6"/>
    </w:p>
    <w:p w14:paraId="6FF917A6">
      <w:pPr>
        <w:pStyle w:val="6"/>
        <w:spacing w:before="138" w:line="225" w:lineRule="auto"/>
        <w:jc w:val="center"/>
        <w:outlineLvl w:val="0"/>
        <w:rPr>
          <w:color w:val="auto"/>
          <w:sz w:val="31"/>
          <w:szCs w:val="31"/>
        </w:rPr>
      </w:pPr>
      <w:bookmarkStart w:id="7" w:name="bookmark13"/>
      <w:bookmarkEnd w:id="7"/>
      <w:r>
        <w:rPr>
          <w:b/>
          <w:bCs/>
          <w:color w:val="auto"/>
          <w:spacing w:val="6"/>
          <w:sz w:val="31"/>
          <w:szCs w:val="31"/>
        </w:rPr>
        <w:t>第</w:t>
      </w:r>
      <w:r>
        <w:rPr>
          <w:rFonts w:hint="eastAsia"/>
          <w:b/>
          <w:bCs/>
          <w:color w:val="auto"/>
          <w:spacing w:val="6"/>
          <w:sz w:val="31"/>
          <w:szCs w:val="31"/>
          <w:lang w:eastAsia="zh-CN"/>
        </w:rPr>
        <w:t>三</w:t>
      </w:r>
      <w:r>
        <w:rPr>
          <w:b/>
          <w:bCs/>
          <w:color w:val="auto"/>
          <w:spacing w:val="6"/>
          <w:sz w:val="31"/>
          <w:szCs w:val="31"/>
        </w:rPr>
        <w:t>章</w:t>
      </w:r>
      <w:r>
        <w:rPr>
          <w:color w:val="auto"/>
          <w:spacing w:val="6"/>
          <w:sz w:val="31"/>
          <w:szCs w:val="31"/>
        </w:rPr>
        <w:t xml:space="preserve">  </w:t>
      </w:r>
      <w:r>
        <w:rPr>
          <w:b/>
          <w:bCs/>
          <w:color w:val="auto"/>
          <w:spacing w:val="6"/>
          <w:sz w:val="31"/>
          <w:szCs w:val="31"/>
        </w:rPr>
        <w:t>合同条款及格式</w:t>
      </w:r>
    </w:p>
    <w:p w14:paraId="74DAC10A">
      <w:pPr>
        <w:spacing w:line="336" w:lineRule="auto"/>
        <w:rPr>
          <w:rFonts w:ascii="Arial"/>
          <w:color w:val="auto"/>
          <w:sz w:val="21"/>
        </w:rPr>
      </w:pPr>
    </w:p>
    <w:p w14:paraId="3742C633">
      <w:pPr>
        <w:spacing w:line="337" w:lineRule="auto"/>
        <w:rPr>
          <w:rFonts w:ascii="Arial"/>
          <w:color w:val="auto"/>
          <w:sz w:val="21"/>
        </w:rPr>
      </w:pPr>
    </w:p>
    <w:p w14:paraId="5372B0A4">
      <w:pPr>
        <w:pStyle w:val="26"/>
        <w:tabs>
          <w:tab w:val="left" w:pos="1287"/>
        </w:tabs>
        <w:spacing w:before="39" w:line="360" w:lineRule="auto"/>
        <w:ind w:right="0"/>
        <w:rPr>
          <w:rFonts w:hint="eastAsia" w:ascii="宋体" w:hAnsi="宋体" w:eastAsia="宋体" w:cs="宋体"/>
          <w:color w:val="auto"/>
          <w:w w:val="95"/>
          <w:sz w:val="24"/>
          <w:szCs w:val="24"/>
        </w:rPr>
      </w:pPr>
      <w:r>
        <w:rPr>
          <w:rFonts w:hint="eastAsia" w:ascii="宋体" w:hAnsi="宋体" w:eastAsia="宋体" w:cs="宋体"/>
          <w:color w:val="auto"/>
          <w:w w:val="95"/>
          <w:sz w:val="24"/>
          <w:szCs w:val="24"/>
        </w:rPr>
        <w:t>（</w:t>
      </w:r>
      <w:r>
        <w:rPr>
          <w:rFonts w:hint="eastAsia" w:ascii="宋体" w:hAnsi="宋体" w:eastAsia="宋体" w:cs="宋体"/>
          <w:color w:val="auto"/>
          <w:w w:val="95"/>
          <w:sz w:val="24"/>
          <w:szCs w:val="24"/>
          <w:lang w:val="en-US"/>
        </w:rPr>
        <w:t>本合同格式仅供参考，具体合同已中标方中标后与采购人签订合同为准</w:t>
      </w:r>
      <w:r>
        <w:rPr>
          <w:rFonts w:hint="eastAsia" w:ascii="宋体" w:hAnsi="宋体" w:eastAsia="宋体" w:cs="宋体"/>
          <w:color w:val="auto"/>
          <w:w w:val="95"/>
          <w:sz w:val="24"/>
          <w:szCs w:val="24"/>
        </w:rPr>
        <w:t>）</w:t>
      </w:r>
    </w:p>
    <w:p w14:paraId="4DF3EB14">
      <w:pPr>
        <w:spacing w:line="360" w:lineRule="auto"/>
        <w:jc w:val="center"/>
        <w:rPr>
          <w:rFonts w:hint="eastAsia" w:ascii="宋体" w:hAnsi="宋体" w:eastAsia="宋体" w:cs="宋体"/>
          <w:b/>
          <w:bCs w:val="0"/>
          <w:color w:val="auto"/>
          <w:sz w:val="36"/>
          <w:szCs w:val="36"/>
          <w:highlight w:val="none"/>
          <w:lang w:val="en-US" w:eastAsia="zh-CN"/>
        </w:rPr>
      </w:pPr>
    </w:p>
    <w:p w14:paraId="006BE46C">
      <w:pPr>
        <w:spacing w:line="360" w:lineRule="auto"/>
        <w:jc w:val="center"/>
        <w:rPr>
          <w:rFonts w:hint="eastAsia" w:ascii="宋体" w:hAnsi="宋体" w:eastAsia="宋体" w:cs="宋体"/>
          <w:color w:val="auto"/>
          <w:sz w:val="36"/>
          <w:szCs w:val="36"/>
        </w:rPr>
      </w:pPr>
      <w:r>
        <w:rPr>
          <w:rFonts w:hint="eastAsia" w:ascii="宋体" w:hAnsi="宋体" w:eastAsia="宋体" w:cs="宋体"/>
          <w:b/>
          <w:bCs w:val="0"/>
          <w:color w:val="auto"/>
          <w:sz w:val="36"/>
          <w:szCs w:val="36"/>
          <w:highlight w:val="none"/>
          <w:lang w:val="en-US" w:eastAsia="zh-CN"/>
        </w:rPr>
        <w:t>旬阳市桐木镇水质提升项目</w:t>
      </w:r>
    </w:p>
    <w:p w14:paraId="7A8CAA5B">
      <w:pPr>
        <w:shd w:val="clear" w:color="auto" w:fill="auto"/>
        <w:jc w:val="center"/>
        <w:rPr>
          <w:rFonts w:hint="eastAsia" w:ascii="宋体" w:hAnsi="宋体" w:eastAsia="宋体" w:cs="宋体"/>
          <w:b/>
          <w:bCs w:val="0"/>
          <w:color w:val="auto"/>
          <w:sz w:val="36"/>
          <w:szCs w:val="36"/>
          <w:highlight w:val="none"/>
          <w:lang w:val="en-US" w:eastAsia="zh-CN"/>
        </w:rPr>
      </w:pPr>
    </w:p>
    <w:p w14:paraId="6A9CD1AE">
      <w:pPr>
        <w:shd w:val="clear" w:color="auto" w:fill="auto"/>
        <w:jc w:val="center"/>
        <w:rPr>
          <w:rFonts w:hint="eastAsia" w:ascii="宋体" w:hAnsi="宋体" w:eastAsia="宋体" w:cs="宋体"/>
          <w:b/>
          <w:bCs w:val="0"/>
          <w:color w:val="auto"/>
          <w:sz w:val="36"/>
          <w:szCs w:val="36"/>
          <w:highlight w:val="none"/>
          <w:lang w:val="en-US" w:eastAsia="zh-CN"/>
        </w:rPr>
      </w:pPr>
    </w:p>
    <w:p w14:paraId="7040F819">
      <w:pPr>
        <w:pStyle w:val="6"/>
        <w:rPr>
          <w:rFonts w:hint="eastAsia" w:ascii="宋体" w:hAnsi="宋体" w:eastAsia="宋体" w:cs="宋体"/>
          <w:b/>
          <w:bCs w:val="0"/>
          <w:color w:val="auto"/>
          <w:sz w:val="36"/>
          <w:szCs w:val="36"/>
          <w:highlight w:val="none"/>
          <w:lang w:val="en-US" w:eastAsia="zh-CN"/>
        </w:rPr>
      </w:pPr>
    </w:p>
    <w:p w14:paraId="71D7EC4C">
      <w:pPr>
        <w:rPr>
          <w:rFonts w:hint="eastAsia" w:ascii="宋体" w:hAnsi="宋体" w:eastAsia="宋体" w:cs="宋体"/>
          <w:b/>
          <w:bCs w:val="0"/>
          <w:color w:val="auto"/>
          <w:sz w:val="36"/>
          <w:szCs w:val="36"/>
          <w:highlight w:val="none"/>
          <w:lang w:val="en-US" w:eastAsia="zh-CN"/>
        </w:rPr>
      </w:pPr>
    </w:p>
    <w:p w14:paraId="73EB468A">
      <w:pPr>
        <w:pStyle w:val="6"/>
        <w:rPr>
          <w:rFonts w:hint="eastAsia" w:ascii="宋体" w:hAnsi="宋体" w:eastAsia="宋体" w:cs="宋体"/>
          <w:b/>
          <w:bCs w:val="0"/>
          <w:color w:val="auto"/>
          <w:sz w:val="36"/>
          <w:szCs w:val="36"/>
          <w:highlight w:val="none"/>
          <w:lang w:val="en-US" w:eastAsia="zh-CN"/>
        </w:rPr>
      </w:pPr>
    </w:p>
    <w:p w14:paraId="7BA78ADA">
      <w:pPr>
        <w:rPr>
          <w:rFonts w:hint="eastAsia" w:ascii="宋体" w:hAnsi="宋体" w:eastAsia="宋体" w:cs="宋体"/>
          <w:color w:val="auto"/>
          <w:lang w:val="en-US" w:eastAsia="zh-CN"/>
        </w:rPr>
      </w:pPr>
    </w:p>
    <w:p w14:paraId="6F6B5803">
      <w:pPr>
        <w:shd w:val="clear" w:color="auto" w:fill="auto"/>
        <w:jc w:val="center"/>
        <w:rPr>
          <w:rFonts w:hint="eastAsia" w:ascii="宋体" w:hAnsi="宋体" w:eastAsia="宋体" w:cs="宋体"/>
          <w:b/>
          <w:bCs w:val="0"/>
          <w:color w:val="auto"/>
          <w:sz w:val="36"/>
          <w:szCs w:val="36"/>
          <w:highlight w:val="none"/>
        </w:rPr>
      </w:pPr>
      <w:r>
        <w:rPr>
          <w:rFonts w:hint="eastAsia" w:ascii="宋体" w:hAnsi="宋体" w:eastAsia="宋体" w:cs="宋体"/>
          <w:b/>
          <w:bCs w:val="0"/>
          <w:color w:val="auto"/>
          <w:sz w:val="36"/>
          <w:szCs w:val="36"/>
          <w:highlight w:val="none"/>
          <w:lang w:val="en-US" w:eastAsia="zh-CN"/>
        </w:rPr>
        <w:t>采购</w:t>
      </w:r>
      <w:r>
        <w:rPr>
          <w:rFonts w:hint="eastAsia" w:ascii="宋体" w:hAnsi="宋体" w:eastAsia="宋体" w:cs="宋体"/>
          <w:b/>
          <w:bCs w:val="0"/>
          <w:color w:val="auto"/>
          <w:sz w:val="36"/>
          <w:szCs w:val="36"/>
          <w:highlight w:val="none"/>
        </w:rPr>
        <w:t>合同</w:t>
      </w:r>
    </w:p>
    <w:p w14:paraId="4B27C496">
      <w:pPr>
        <w:shd w:val="clear" w:color="auto" w:fill="auto"/>
        <w:ind w:firstLine="482" w:firstLineChars="200"/>
        <w:jc w:val="center"/>
        <w:rPr>
          <w:rFonts w:hint="eastAsia" w:ascii="宋体" w:hAnsi="宋体" w:eastAsia="宋体" w:cs="宋体"/>
          <w:b/>
          <w:bCs/>
          <w:color w:val="auto"/>
          <w:sz w:val="24"/>
          <w:szCs w:val="24"/>
          <w:highlight w:val="none"/>
        </w:rPr>
      </w:pPr>
    </w:p>
    <w:p w14:paraId="4AC696C3">
      <w:pPr>
        <w:shd w:val="clear" w:color="auto" w:fill="auto"/>
        <w:ind w:firstLine="482" w:firstLineChars="200"/>
        <w:jc w:val="center"/>
        <w:rPr>
          <w:rFonts w:hint="eastAsia" w:ascii="宋体" w:hAnsi="宋体" w:eastAsia="宋体" w:cs="宋体"/>
          <w:b/>
          <w:bCs/>
          <w:color w:val="auto"/>
          <w:sz w:val="24"/>
          <w:szCs w:val="24"/>
          <w:highlight w:val="none"/>
        </w:rPr>
      </w:pPr>
    </w:p>
    <w:p w14:paraId="0929FCFD">
      <w:pPr>
        <w:pStyle w:val="6"/>
        <w:rPr>
          <w:rFonts w:hint="eastAsia" w:ascii="宋体" w:hAnsi="宋体" w:eastAsia="宋体" w:cs="宋体"/>
          <w:b/>
          <w:bCs/>
          <w:color w:val="auto"/>
          <w:sz w:val="24"/>
          <w:szCs w:val="24"/>
          <w:highlight w:val="none"/>
        </w:rPr>
      </w:pPr>
    </w:p>
    <w:p w14:paraId="2498DD0B">
      <w:pPr>
        <w:rPr>
          <w:rFonts w:hint="eastAsia" w:ascii="宋体" w:hAnsi="宋体" w:eastAsia="宋体" w:cs="宋体"/>
          <w:b/>
          <w:bCs/>
          <w:color w:val="auto"/>
          <w:sz w:val="24"/>
          <w:szCs w:val="24"/>
          <w:highlight w:val="none"/>
        </w:rPr>
      </w:pPr>
    </w:p>
    <w:p w14:paraId="0389F28E">
      <w:pPr>
        <w:pStyle w:val="6"/>
        <w:rPr>
          <w:rFonts w:hint="eastAsia" w:ascii="宋体" w:hAnsi="宋体" w:eastAsia="宋体" w:cs="宋体"/>
          <w:b/>
          <w:bCs/>
          <w:color w:val="auto"/>
          <w:sz w:val="24"/>
          <w:szCs w:val="24"/>
          <w:highlight w:val="none"/>
        </w:rPr>
      </w:pPr>
    </w:p>
    <w:p w14:paraId="3263D97F">
      <w:pPr>
        <w:rPr>
          <w:rFonts w:hint="eastAsia" w:ascii="宋体" w:hAnsi="宋体" w:eastAsia="宋体" w:cs="宋体"/>
          <w:b/>
          <w:bCs/>
          <w:color w:val="auto"/>
          <w:sz w:val="24"/>
          <w:szCs w:val="24"/>
          <w:highlight w:val="none"/>
        </w:rPr>
      </w:pPr>
    </w:p>
    <w:p w14:paraId="1048FC61">
      <w:pPr>
        <w:pStyle w:val="6"/>
        <w:rPr>
          <w:rFonts w:hint="eastAsia" w:ascii="宋体" w:hAnsi="宋体" w:eastAsia="宋体" w:cs="宋体"/>
          <w:color w:val="auto"/>
        </w:rPr>
      </w:pPr>
    </w:p>
    <w:p w14:paraId="4EDEAB74">
      <w:pPr>
        <w:rPr>
          <w:rFonts w:hint="eastAsia" w:ascii="宋体" w:hAnsi="宋体" w:eastAsia="宋体" w:cs="宋体"/>
          <w:b/>
          <w:bCs/>
          <w:color w:val="auto"/>
          <w:sz w:val="24"/>
          <w:szCs w:val="24"/>
          <w:highlight w:val="none"/>
        </w:rPr>
      </w:pPr>
    </w:p>
    <w:p w14:paraId="46D035D5">
      <w:pPr>
        <w:pStyle w:val="6"/>
        <w:rPr>
          <w:rFonts w:hint="eastAsia" w:ascii="宋体" w:hAnsi="宋体" w:eastAsia="宋体" w:cs="宋体"/>
          <w:color w:val="auto"/>
          <w:sz w:val="24"/>
          <w:szCs w:val="24"/>
        </w:rPr>
      </w:pPr>
    </w:p>
    <w:p w14:paraId="76230BD9">
      <w:pPr>
        <w:pStyle w:val="6"/>
        <w:rPr>
          <w:rFonts w:hint="eastAsia" w:ascii="宋体" w:hAnsi="宋体" w:eastAsia="宋体" w:cs="宋体"/>
          <w:color w:val="auto"/>
          <w:sz w:val="24"/>
          <w:szCs w:val="24"/>
        </w:rPr>
      </w:pPr>
    </w:p>
    <w:p w14:paraId="75604F3F">
      <w:pPr>
        <w:shd w:val="clear" w:color="auto" w:fill="auto"/>
        <w:spacing w:line="480" w:lineRule="auto"/>
        <w:ind w:left="0" w:leftChars="0" w:firstLine="2198" w:firstLineChars="916"/>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甲</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旬阳市水利局         </w:t>
      </w:r>
    </w:p>
    <w:p w14:paraId="7C3A8E4C">
      <w:pPr>
        <w:shd w:val="clear" w:color="auto" w:fill="auto"/>
        <w:spacing w:line="480" w:lineRule="auto"/>
        <w:ind w:left="0" w:leftChars="0" w:firstLine="2198" w:firstLineChars="916"/>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乙</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p>
    <w:p w14:paraId="3068A5C7">
      <w:pPr>
        <w:keepNext w:val="0"/>
        <w:keepLines w:val="0"/>
        <w:pageBreakBefore w:val="0"/>
        <w:widowControl w:val="0"/>
        <w:shd w:val="clear" w:color="auto" w:fill="auto"/>
        <w:wordWrap/>
        <w:overflowPunct/>
        <w:topLinePunct w:val="0"/>
        <w:autoSpaceDE/>
        <w:autoSpaceDN/>
        <w:bidi w:val="0"/>
        <w:adjustRightInd w:val="0"/>
        <w:snapToGrid w:val="0"/>
        <w:spacing w:line="360" w:lineRule="auto"/>
        <w:ind w:firstLine="2160" w:firstLineChars="9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日  期：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日</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br w:type="page"/>
      </w:r>
    </w:p>
    <w:p w14:paraId="7F78399A">
      <w:pPr>
        <w:spacing w:line="360" w:lineRule="auto"/>
        <w:ind w:firstLine="480" w:firstLineChars="200"/>
        <w:rPr>
          <w:rFonts w:hint="eastAsia" w:ascii="宋体" w:hAnsi="宋体" w:eastAsia="宋体" w:cs="宋体"/>
          <w:color w:val="auto"/>
          <w:sz w:val="24"/>
          <w:szCs w:val="24"/>
          <w:highlight w:val="none"/>
        </w:rPr>
      </w:pPr>
    </w:p>
    <w:p w14:paraId="2A569A5F">
      <w:pPr>
        <w:pStyle w:val="3"/>
        <w:keepNext w:val="0"/>
        <w:keepLines w:val="0"/>
        <w:widowControl/>
        <w:suppressLineNumbers w:val="0"/>
        <w:spacing w:line="360" w:lineRule="auto"/>
        <w:rPr>
          <w:rFonts w:hint="eastAsia" w:ascii="宋体" w:hAnsi="宋体" w:eastAsia="宋体" w:cs="宋体"/>
          <w:color w:val="auto"/>
        </w:rPr>
      </w:pPr>
      <w:r>
        <w:rPr>
          <w:rFonts w:hint="eastAsia" w:ascii="宋体" w:hAnsi="宋体" w:eastAsia="宋体" w:cs="宋体"/>
          <w:color w:val="auto"/>
        </w:rPr>
        <w:t>1.货物与价款</w:t>
      </w:r>
    </w:p>
    <w:p w14:paraId="7C51F1B8">
      <w:pPr>
        <w:pStyle w:val="15"/>
        <w:keepNext w:val="0"/>
        <w:keepLines w:val="0"/>
        <w:widowControl/>
        <w:suppressLineNumbers w:val="0"/>
        <w:wordWrap w:val="0"/>
        <w:spacing w:before="0" w:beforeAutospacing="0" w:after="0" w:afterAutospacing="0" w:line="360" w:lineRule="auto"/>
        <w:ind w:left="0" w:right="0"/>
        <w:rPr>
          <w:rFonts w:hint="eastAsia" w:ascii="宋体" w:hAnsi="宋体" w:eastAsia="宋体" w:cs="宋体"/>
          <w:color w:val="auto"/>
        </w:rPr>
      </w:pPr>
      <w:r>
        <w:rPr>
          <w:rFonts w:hint="eastAsia" w:ascii="宋体" w:hAnsi="宋体" w:eastAsia="宋体" w:cs="宋体"/>
          <w:color w:val="auto"/>
        </w:rPr>
        <w:t>1.1.货物信息与价款如下：</w:t>
      </w:r>
    </w:p>
    <w:tbl>
      <w:tblPr>
        <w:tblStyle w:val="18"/>
        <w:tblW w:w="91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05"/>
        <w:gridCol w:w="1801"/>
        <w:gridCol w:w="945"/>
        <w:gridCol w:w="1995"/>
        <w:gridCol w:w="1822"/>
        <w:gridCol w:w="848"/>
      </w:tblGrid>
      <w:tr w14:paraId="3BC7C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7" w:hRule="atLeast"/>
        </w:trPr>
        <w:tc>
          <w:tcPr>
            <w:tcW w:w="1705"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20" w:type="dxa"/>
              <w:right w:w="20" w:type="dxa"/>
            </w:tcMar>
            <w:vAlign w:val="center"/>
          </w:tcPr>
          <w:p w14:paraId="2E619E97">
            <w:pPr>
              <w:pStyle w:val="15"/>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货物名称</w:t>
            </w:r>
          </w:p>
        </w:tc>
        <w:tc>
          <w:tcPr>
            <w:tcW w:w="1801"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20" w:type="dxa"/>
              <w:right w:w="20" w:type="dxa"/>
            </w:tcMar>
            <w:vAlign w:val="center"/>
          </w:tcPr>
          <w:p w14:paraId="1C95D384">
            <w:pPr>
              <w:pStyle w:val="15"/>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规格、产地等</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20" w:type="dxa"/>
              <w:right w:w="20" w:type="dxa"/>
            </w:tcMar>
            <w:vAlign w:val="center"/>
          </w:tcPr>
          <w:p w14:paraId="0E8B9B5F">
            <w:pPr>
              <w:pStyle w:val="15"/>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20" w:type="dxa"/>
              <w:right w:w="20" w:type="dxa"/>
            </w:tcMar>
            <w:vAlign w:val="center"/>
          </w:tcPr>
          <w:p w14:paraId="231A9CD9">
            <w:pPr>
              <w:pStyle w:val="15"/>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单价（元）</w:t>
            </w:r>
          </w:p>
        </w:tc>
        <w:tc>
          <w:tcPr>
            <w:tcW w:w="1822"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20" w:type="dxa"/>
              <w:right w:w="20" w:type="dxa"/>
            </w:tcMar>
            <w:vAlign w:val="center"/>
          </w:tcPr>
          <w:p w14:paraId="6372F4AB">
            <w:pPr>
              <w:pStyle w:val="15"/>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总价（元）</w:t>
            </w: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20" w:type="dxa"/>
              <w:right w:w="20" w:type="dxa"/>
            </w:tcMar>
            <w:vAlign w:val="center"/>
          </w:tcPr>
          <w:p w14:paraId="4F4D86BE">
            <w:pPr>
              <w:pStyle w:val="15"/>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14:paraId="4E3E7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6" w:hRule="atLeast"/>
        </w:trPr>
        <w:tc>
          <w:tcPr>
            <w:tcW w:w="1705"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20" w:type="dxa"/>
              <w:right w:w="20" w:type="dxa"/>
            </w:tcMar>
            <w:vAlign w:val="center"/>
          </w:tcPr>
          <w:p w14:paraId="135EA1F7">
            <w:pPr>
              <w:pStyle w:val="15"/>
              <w:keepNext w:val="0"/>
              <w:keepLines w:val="0"/>
              <w:widowControl/>
              <w:suppressLineNumbers w:val="0"/>
              <w:wordWrap w:val="0"/>
              <w:spacing w:before="0" w:beforeAutospacing="0" w:after="0" w:afterAutospacing="0" w:line="360" w:lineRule="auto"/>
              <w:ind w:left="0" w:right="0"/>
              <w:rPr>
                <w:rFonts w:hint="eastAsia" w:ascii="宋体" w:hAnsi="宋体" w:eastAsia="宋体" w:cs="宋体"/>
                <w:color w:val="auto"/>
                <w:sz w:val="24"/>
                <w:szCs w:val="24"/>
                <w:lang w:val="en-US" w:eastAsia="zh-CN"/>
              </w:rPr>
            </w:pPr>
          </w:p>
        </w:tc>
        <w:tc>
          <w:tcPr>
            <w:tcW w:w="1801"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20" w:type="dxa"/>
              <w:right w:w="20" w:type="dxa"/>
            </w:tcMar>
            <w:vAlign w:val="center"/>
          </w:tcPr>
          <w:p w14:paraId="614844F7">
            <w:pPr>
              <w:pStyle w:val="15"/>
              <w:keepNext w:val="0"/>
              <w:keepLines w:val="0"/>
              <w:widowControl/>
              <w:suppressLineNumbers w:val="0"/>
              <w:wordWrap w:val="0"/>
              <w:spacing w:before="0" w:beforeAutospacing="0" w:after="0" w:afterAutospacing="0" w:line="360" w:lineRule="auto"/>
              <w:ind w:left="0" w:right="0"/>
              <w:rPr>
                <w:rFonts w:hint="eastAsia" w:ascii="宋体" w:hAnsi="宋体" w:eastAsia="宋体" w:cs="宋体"/>
                <w:color w:val="auto"/>
                <w:sz w:val="24"/>
                <w:szCs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20" w:type="dxa"/>
              <w:right w:w="20" w:type="dxa"/>
            </w:tcMar>
            <w:vAlign w:val="center"/>
          </w:tcPr>
          <w:p w14:paraId="65FAE7C9">
            <w:pPr>
              <w:pStyle w:val="15"/>
              <w:keepNext w:val="0"/>
              <w:keepLines w:val="0"/>
              <w:widowControl/>
              <w:suppressLineNumbers w:val="0"/>
              <w:wordWrap w:val="0"/>
              <w:spacing w:before="0" w:beforeAutospacing="0" w:after="0" w:afterAutospacing="0" w:line="360" w:lineRule="auto"/>
              <w:ind w:left="0" w:right="0"/>
              <w:rPr>
                <w:rFonts w:hint="eastAsia" w:ascii="宋体" w:hAnsi="宋体" w:eastAsia="宋体" w:cs="宋体"/>
                <w:color w:val="auto"/>
                <w:sz w:val="24"/>
                <w:szCs w:val="24"/>
                <w:lang w:val="en-US" w:eastAsia="zh-CN"/>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20" w:type="dxa"/>
              <w:right w:w="20" w:type="dxa"/>
            </w:tcMar>
            <w:vAlign w:val="center"/>
          </w:tcPr>
          <w:p w14:paraId="4929B5F4">
            <w:pPr>
              <w:pStyle w:val="15"/>
              <w:keepNext w:val="0"/>
              <w:keepLines w:val="0"/>
              <w:widowControl/>
              <w:suppressLineNumbers w:val="0"/>
              <w:wordWrap w:val="0"/>
              <w:spacing w:before="0" w:beforeAutospacing="0" w:after="0" w:afterAutospacing="0" w:line="360" w:lineRule="auto"/>
              <w:ind w:left="0" w:right="0"/>
              <w:rPr>
                <w:rFonts w:hint="eastAsia" w:ascii="宋体" w:hAnsi="宋体" w:eastAsia="宋体" w:cs="宋体"/>
                <w:color w:val="auto"/>
                <w:sz w:val="24"/>
                <w:szCs w:val="24"/>
                <w:lang w:val="en-US" w:eastAsia="zh-CN"/>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20" w:type="dxa"/>
              <w:right w:w="20" w:type="dxa"/>
            </w:tcMar>
            <w:vAlign w:val="center"/>
          </w:tcPr>
          <w:p w14:paraId="4B49C970">
            <w:pPr>
              <w:pStyle w:val="15"/>
              <w:keepNext w:val="0"/>
              <w:keepLines w:val="0"/>
              <w:widowControl/>
              <w:suppressLineNumbers w:val="0"/>
              <w:wordWrap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20" w:type="dxa"/>
              <w:right w:w="20" w:type="dxa"/>
            </w:tcMar>
            <w:vAlign w:val="center"/>
          </w:tcPr>
          <w:p w14:paraId="206E30C0">
            <w:pPr>
              <w:pStyle w:val="15"/>
              <w:keepNext w:val="0"/>
              <w:keepLines w:val="0"/>
              <w:widowControl/>
              <w:suppressLineNumbers w:val="0"/>
              <w:wordWrap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1A735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6" w:hRule="atLeast"/>
        </w:trPr>
        <w:tc>
          <w:tcPr>
            <w:tcW w:w="1705"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20" w:type="dxa"/>
              <w:right w:w="20" w:type="dxa"/>
            </w:tcMar>
            <w:vAlign w:val="center"/>
          </w:tcPr>
          <w:p w14:paraId="2A43369C">
            <w:pPr>
              <w:pStyle w:val="15"/>
              <w:keepNext w:val="0"/>
              <w:keepLines w:val="0"/>
              <w:widowControl/>
              <w:suppressLineNumbers w:val="0"/>
              <w:wordWrap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801"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20" w:type="dxa"/>
              <w:right w:w="20" w:type="dxa"/>
            </w:tcMar>
            <w:vAlign w:val="center"/>
          </w:tcPr>
          <w:p w14:paraId="1C76BE9F">
            <w:pPr>
              <w:pStyle w:val="15"/>
              <w:keepNext w:val="0"/>
              <w:keepLines w:val="0"/>
              <w:widowControl/>
              <w:suppressLineNumbers w:val="0"/>
              <w:wordWrap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20" w:type="dxa"/>
              <w:right w:w="20" w:type="dxa"/>
            </w:tcMar>
            <w:vAlign w:val="center"/>
          </w:tcPr>
          <w:p w14:paraId="15081707">
            <w:pPr>
              <w:pStyle w:val="15"/>
              <w:keepNext w:val="0"/>
              <w:keepLines w:val="0"/>
              <w:widowControl/>
              <w:suppressLineNumbers w:val="0"/>
              <w:wordWrap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20" w:type="dxa"/>
              <w:right w:w="20" w:type="dxa"/>
            </w:tcMar>
            <w:vAlign w:val="center"/>
          </w:tcPr>
          <w:p w14:paraId="53727C3E">
            <w:pPr>
              <w:pStyle w:val="15"/>
              <w:keepNext w:val="0"/>
              <w:keepLines w:val="0"/>
              <w:widowControl/>
              <w:suppressLineNumbers w:val="0"/>
              <w:wordWrap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822"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20" w:type="dxa"/>
              <w:right w:w="20" w:type="dxa"/>
            </w:tcMar>
            <w:vAlign w:val="center"/>
          </w:tcPr>
          <w:p w14:paraId="3162CC29">
            <w:pPr>
              <w:pStyle w:val="15"/>
              <w:keepNext w:val="0"/>
              <w:keepLines w:val="0"/>
              <w:widowControl/>
              <w:suppressLineNumbers w:val="0"/>
              <w:wordWrap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20" w:type="dxa"/>
              <w:right w:w="20" w:type="dxa"/>
            </w:tcMar>
            <w:vAlign w:val="center"/>
          </w:tcPr>
          <w:p w14:paraId="64E24712">
            <w:pPr>
              <w:pStyle w:val="15"/>
              <w:keepNext w:val="0"/>
              <w:keepLines w:val="0"/>
              <w:widowControl/>
              <w:suppressLineNumbers w:val="0"/>
              <w:wordWrap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75BAA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6" w:hRule="atLeast"/>
        </w:trPr>
        <w:tc>
          <w:tcPr>
            <w:tcW w:w="1705"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20" w:type="dxa"/>
              <w:right w:w="20" w:type="dxa"/>
            </w:tcMar>
            <w:vAlign w:val="center"/>
          </w:tcPr>
          <w:p w14:paraId="3E358CA4">
            <w:pPr>
              <w:pStyle w:val="15"/>
              <w:keepNext w:val="0"/>
              <w:keepLines w:val="0"/>
              <w:widowControl/>
              <w:suppressLineNumbers w:val="0"/>
              <w:wordWrap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801"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20" w:type="dxa"/>
              <w:right w:w="20" w:type="dxa"/>
            </w:tcMar>
            <w:vAlign w:val="center"/>
          </w:tcPr>
          <w:p w14:paraId="659CF655">
            <w:pPr>
              <w:pStyle w:val="15"/>
              <w:keepNext w:val="0"/>
              <w:keepLines w:val="0"/>
              <w:widowControl/>
              <w:suppressLineNumbers w:val="0"/>
              <w:wordWrap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20" w:type="dxa"/>
              <w:right w:w="20" w:type="dxa"/>
            </w:tcMar>
            <w:vAlign w:val="center"/>
          </w:tcPr>
          <w:p w14:paraId="04A33205">
            <w:pPr>
              <w:pStyle w:val="15"/>
              <w:keepNext w:val="0"/>
              <w:keepLines w:val="0"/>
              <w:widowControl/>
              <w:suppressLineNumbers w:val="0"/>
              <w:wordWrap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20" w:type="dxa"/>
              <w:right w:w="20" w:type="dxa"/>
            </w:tcMar>
            <w:vAlign w:val="center"/>
          </w:tcPr>
          <w:p w14:paraId="09EFD613">
            <w:pPr>
              <w:pStyle w:val="15"/>
              <w:keepNext w:val="0"/>
              <w:keepLines w:val="0"/>
              <w:widowControl/>
              <w:suppressLineNumbers w:val="0"/>
              <w:wordWrap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822"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20" w:type="dxa"/>
              <w:right w:w="20" w:type="dxa"/>
            </w:tcMar>
            <w:vAlign w:val="center"/>
          </w:tcPr>
          <w:p w14:paraId="0EEAB474">
            <w:pPr>
              <w:pStyle w:val="15"/>
              <w:keepNext w:val="0"/>
              <w:keepLines w:val="0"/>
              <w:widowControl/>
              <w:suppressLineNumbers w:val="0"/>
              <w:wordWrap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20" w:type="dxa"/>
              <w:right w:w="20" w:type="dxa"/>
            </w:tcMar>
            <w:vAlign w:val="center"/>
          </w:tcPr>
          <w:p w14:paraId="0B748A65">
            <w:pPr>
              <w:pStyle w:val="15"/>
              <w:keepNext w:val="0"/>
              <w:keepLines w:val="0"/>
              <w:widowControl/>
              <w:suppressLineNumbers w:val="0"/>
              <w:wordWrap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1801E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6" w:hRule="atLeast"/>
        </w:trPr>
        <w:tc>
          <w:tcPr>
            <w:tcW w:w="1705"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20" w:type="dxa"/>
              <w:right w:w="20" w:type="dxa"/>
            </w:tcMar>
            <w:vAlign w:val="center"/>
          </w:tcPr>
          <w:p w14:paraId="521DED56">
            <w:pPr>
              <w:pStyle w:val="15"/>
              <w:keepNext w:val="0"/>
              <w:keepLines w:val="0"/>
              <w:widowControl/>
              <w:suppressLineNumbers w:val="0"/>
              <w:wordWrap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801"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20" w:type="dxa"/>
              <w:right w:w="20" w:type="dxa"/>
            </w:tcMar>
            <w:vAlign w:val="center"/>
          </w:tcPr>
          <w:p w14:paraId="1C1411F9">
            <w:pPr>
              <w:pStyle w:val="15"/>
              <w:keepNext w:val="0"/>
              <w:keepLines w:val="0"/>
              <w:widowControl/>
              <w:suppressLineNumbers w:val="0"/>
              <w:wordWrap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20" w:type="dxa"/>
              <w:right w:w="20" w:type="dxa"/>
            </w:tcMar>
            <w:vAlign w:val="center"/>
          </w:tcPr>
          <w:p w14:paraId="6C784879">
            <w:pPr>
              <w:pStyle w:val="15"/>
              <w:keepNext w:val="0"/>
              <w:keepLines w:val="0"/>
              <w:widowControl/>
              <w:suppressLineNumbers w:val="0"/>
              <w:wordWrap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20" w:type="dxa"/>
              <w:right w:w="20" w:type="dxa"/>
            </w:tcMar>
            <w:vAlign w:val="center"/>
          </w:tcPr>
          <w:p w14:paraId="7D139CF4">
            <w:pPr>
              <w:pStyle w:val="15"/>
              <w:keepNext w:val="0"/>
              <w:keepLines w:val="0"/>
              <w:widowControl/>
              <w:suppressLineNumbers w:val="0"/>
              <w:wordWrap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822"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20" w:type="dxa"/>
              <w:right w:w="20" w:type="dxa"/>
            </w:tcMar>
            <w:vAlign w:val="center"/>
          </w:tcPr>
          <w:p w14:paraId="52116939">
            <w:pPr>
              <w:pStyle w:val="15"/>
              <w:keepNext w:val="0"/>
              <w:keepLines w:val="0"/>
              <w:widowControl/>
              <w:suppressLineNumbers w:val="0"/>
              <w:wordWrap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20" w:type="dxa"/>
              <w:right w:w="20" w:type="dxa"/>
            </w:tcMar>
            <w:vAlign w:val="center"/>
          </w:tcPr>
          <w:p w14:paraId="0D36DA42">
            <w:pPr>
              <w:pStyle w:val="15"/>
              <w:keepNext w:val="0"/>
              <w:keepLines w:val="0"/>
              <w:widowControl/>
              <w:suppressLineNumbers w:val="0"/>
              <w:wordWrap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4A730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2" w:hRule="atLeast"/>
        </w:trPr>
        <w:tc>
          <w:tcPr>
            <w:tcW w:w="9116" w:type="dxa"/>
            <w:gridSpan w:val="6"/>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20" w:type="dxa"/>
              <w:right w:w="20" w:type="dxa"/>
            </w:tcMar>
            <w:vAlign w:val="center"/>
          </w:tcPr>
          <w:p w14:paraId="565361A7">
            <w:pPr>
              <w:pStyle w:val="15"/>
              <w:keepNext w:val="0"/>
              <w:keepLines w:val="0"/>
              <w:widowControl/>
              <w:suppressLineNumbers w:val="0"/>
              <w:wordWrap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总计（合同总价款）：人民币（大写）</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元）</w:t>
            </w:r>
          </w:p>
        </w:tc>
      </w:tr>
    </w:tbl>
    <w:p w14:paraId="242B4704">
      <w:pPr>
        <w:pStyle w:val="15"/>
        <w:keepNext w:val="0"/>
        <w:keepLines w:val="0"/>
        <w:widowControl/>
        <w:suppressLineNumbers w:val="0"/>
        <w:wordWrap w:val="0"/>
        <w:spacing w:before="0" w:beforeAutospacing="0" w:after="0" w:afterAutospacing="0" w:line="360" w:lineRule="auto"/>
        <w:ind w:left="0" w:right="0"/>
        <w:rPr>
          <w:rFonts w:hint="eastAsia" w:ascii="宋体" w:hAnsi="宋体" w:eastAsia="宋体" w:cs="宋体"/>
          <w:color w:val="auto"/>
        </w:rPr>
      </w:pPr>
      <w:r>
        <w:rPr>
          <w:rFonts w:hint="eastAsia" w:ascii="宋体" w:hAnsi="宋体" w:eastAsia="宋体" w:cs="宋体"/>
          <w:color w:val="auto"/>
        </w:rPr>
        <w:t>1.2.本合同约定价格为含税价。</w:t>
      </w:r>
    </w:p>
    <w:p w14:paraId="35917664">
      <w:pPr>
        <w:pStyle w:val="15"/>
        <w:keepNext w:val="0"/>
        <w:keepLines w:val="0"/>
        <w:widowControl/>
        <w:suppressLineNumbers w:val="0"/>
        <w:wordWrap w:val="0"/>
        <w:spacing w:before="0" w:beforeAutospacing="0" w:after="0" w:afterAutospacing="0" w:line="360" w:lineRule="auto"/>
        <w:ind w:left="0" w:right="0"/>
        <w:rPr>
          <w:rFonts w:hint="eastAsia" w:ascii="宋体" w:hAnsi="宋体" w:eastAsia="宋体" w:cs="宋体"/>
          <w:color w:val="auto"/>
        </w:rPr>
      </w:pPr>
      <w:r>
        <w:rPr>
          <w:rFonts w:hint="eastAsia" w:ascii="宋体" w:hAnsi="宋体" w:eastAsia="宋体" w:cs="宋体"/>
          <w:color w:val="auto"/>
        </w:rPr>
        <w:t>1.3.付款方式</w:t>
      </w:r>
    </w:p>
    <w:p w14:paraId="72BF86BD">
      <w:pPr>
        <w:pStyle w:val="15"/>
        <w:keepNext w:val="0"/>
        <w:keepLines w:val="0"/>
        <w:widowControl/>
        <w:suppressLineNumbers w:val="0"/>
        <w:wordWrap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首笔款：</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元，于本合同签订后5个工作日内支付</w:t>
      </w:r>
      <w:r>
        <w:rPr>
          <w:rFonts w:hint="eastAsia" w:ascii="宋体" w:hAnsi="宋体" w:eastAsia="宋体" w:cs="宋体"/>
          <w:color w:val="auto"/>
          <w:sz w:val="24"/>
          <w:szCs w:val="24"/>
        </w:rPr>
        <w:t>。</w:t>
      </w:r>
    </w:p>
    <w:p w14:paraId="02E4775F">
      <w:pPr>
        <w:pStyle w:val="15"/>
        <w:keepNext w:val="0"/>
        <w:keepLines w:val="0"/>
        <w:widowControl/>
        <w:suppressLineNumbers w:val="0"/>
        <w:wordWrap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尾款：乙方交付货物并经甲方验收通过后的5个工作日内，甲方付清全部合同价款。</w:t>
      </w:r>
    </w:p>
    <w:p w14:paraId="3830339C">
      <w:pPr>
        <w:pStyle w:val="15"/>
        <w:keepNext w:val="0"/>
        <w:keepLines w:val="0"/>
        <w:widowControl/>
        <w:suppressLineNumbers w:val="0"/>
        <w:wordWrap w:val="0"/>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1.4.除本合同明确约定的以外，甲方无需就本合同的履行向乙方支付其他价款或费用。</w:t>
      </w:r>
    </w:p>
    <w:p w14:paraId="6F179D23">
      <w:pPr>
        <w:pStyle w:val="3"/>
        <w:keepNext w:val="0"/>
        <w:keepLines w:val="0"/>
        <w:widowControl/>
        <w:suppressLineNumbers w:val="0"/>
        <w:spacing w:line="360" w:lineRule="auto"/>
        <w:rPr>
          <w:rFonts w:hint="eastAsia" w:ascii="宋体" w:hAnsi="宋体" w:eastAsia="宋体" w:cs="宋体"/>
          <w:color w:val="auto"/>
        </w:rPr>
      </w:pPr>
      <w:r>
        <w:rPr>
          <w:rFonts w:hint="eastAsia" w:ascii="宋体" w:hAnsi="宋体" w:eastAsia="宋体" w:cs="宋体"/>
          <w:i w:val="0"/>
          <w:iCs w:val="0"/>
          <w:caps w:val="0"/>
          <w:color w:val="auto"/>
          <w:spacing w:val="0"/>
        </w:rPr>
        <w:t>2.质量</w:t>
      </w:r>
    </w:p>
    <w:p w14:paraId="6355B268">
      <w:pPr>
        <w:pStyle w:val="15"/>
        <w:keepNext w:val="0"/>
        <w:keepLines w:val="0"/>
        <w:widowControl/>
        <w:suppressLineNumbers w:val="0"/>
        <w:wordWrap w:val="0"/>
        <w:spacing w:before="0" w:beforeAutospacing="0" w:after="0" w:afterAutospacing="0" w:line="360" w:lineRule="auto"/>
        <w:ind w:left="0" w:right="0"/>
        <w:rPr>
          <w:rFonts w:hint="eastAsia" w:ascii="宋体" w:hAnsi="宋体" w:eastAsia="宋体" w:cs="宋体"/>
          <w:color w:val="auto"/>
        </w:rPr>
      </w:pPr>
      <w:r>
        <w:rPr>
          <w:rFonts w:hint="eastAsia" w:ascii="宋体" w:hAnsi="宋体" w:eastAsia="宋体" w:cs="宋体"/>
          <w:color w:val="auto"/>
        </w:rPr>
        <w:t>2.1.按该货物所适用的国家标准（强制性或推荐性标准）、行业标准、地方标准、生产企业标准执行，并以其中最高的标准为准。</w:t>
      </w:r>
    </w:p>
    <w:p w14:paraId="597BEB62">
      <w:pPr>
        <w:pStyle w:val="15"/>
        <w:keepNext w:val="0"/>
        <w:keepLines w:val="0"/>
        <w:widowControl/>
        <w:suppressLineNumbers w:val="0"/>
        <w:wordWrap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虽有上述标准，但双方对质量有特殊或更高要求的，应按特殊或更高要求执行，无特别要求的，按上述标准执行。 </w:t>
      </w:r>
    </w:p>
    <w:p w14:paraId="6FEE572D">
      <w:pPr>
        <w:pStyle w:val="15"/>
        <w:keepNext w:val="0"/>
        <w:keepLines w:val="0"/>
        <w:widowControl/>
        <w:suppressLineNumbers w:val="0"/>
        <w:wordWrap w:val="0"/>
        <w:spacing w:before="0" w:beforeAutospacing="0" w:after="0" w:afterAutospacing="0" w:line="360" w:lineRule="auto"/>
        <w:ind w:left="0" w:right="0"/>
        <w:rPr>
          <w:rFonts w:hint="eastAsia" w:ascii="宋体" w:hAnsi="宋体" w:eastAsia="宋体" w:cs="宋体"/>
          <w:color w:val="auto"/>
        </w:rPr>
      </w:pPr>
      <w:r>
        <w:rPr>
          <w:rFonts w:hint="eastAsia" w:ascii="宋体" w:hAnsi="宋体" w:eastAsia="宋体" w:cs="宋体"/>
          <w:color w:val="auto"/>
        </w:rPr>
        <w:t>2.2.质量应同时符合乙方所提供的产品说明书或相关说明文档中所列明的标准。</w:t>
      </w:r>
    </w:p>
    <w:p w14:paraId="24BA627B">
      <w:pPr>
        <w:pStyle w:val="3"/>
        <w:keepNext w:val="0"/>
        <w:keepLines w:val="0"/>
        <w:widowControl/>
        <w:suppressLineNumbers w:val="0"/>
        <w:spacing w:line="360" w:lineRule="auto"/>
        <w:rPr>
          <w:rFonts w:hint="eastAsia" w:ascii="宋体" w:hAnsi="宋体" w:eastAsia="宋体" w:cs="宋体"/>
          <w:color w:val="auto"/>
        </w:rPr>
      </w:pPr>
      <w:r>
        <w:rPr>
          <w:rFonts w:hint="eastAsia" w:ascii="宋体" w:hAnsi="宋体" w:eastAsia="宋体" w:cs="宋体"/>
          <w:i w:val="0"/>
          <w:iCs w:val="0"/>
          <w:caps w:val="0"/>
          <w:color w:val="auto"/>
          <w:spacing w:val="0"/>
        </w:rPr>
        <w:t>3.交货</w:t>
      </w:r>
    </w:p>
    <w:p w14:paraId="23A26D97">
      <w:pPr>
        <w:pStyle w:val="15"/>
        <w:keepNext w:val="0"/>
        <w:keepLines w:val="0"/>
        <w:widowControl/>
        <w:suppressLineNumbers w:val="0"/>
        <w:wordWrap w:val="0"/>
        <w:spacing w:before="0" w:beforeAutospacing="0" w:after="0" w:afterAutospacing="0" w:line="360" w:lineRule="auto"/>
        <w:ind w:left="0" w:right="0"/>
        <w:rPr>
          <w:rFonts w:hint="eastAsia" w:ascii="宋体" w:hAnsi="宋体" w:eastAsia="宋体" w:cs="宋体"/>
          <w:color w:val="auto"/>
        </w:rPr>
      </w:pPr>
      <w:r>
        <w:rPr>
          <w:rFonts w:hint="eastAsia" w:ascii="宋体" w:hAnsi="宋体" w:eastAsia="宋体" w:cs="宋体"/>
          <w:color w:val="auto"/>
        </w:rPr>
        <w:t>3.1.交货时间：</w:t>
      </w:r>
      <w:r>
        <w:rPr>
          <w:rFonts w:hint="eastAsia" w:ascii="宋体" w:hAnsi="宋体" w:eastAsia="宋体" w:cs="宋体"/>
          <w:color w:val="auto"/>
          <w:u w:val="single"/>
        </w:rPr>
        <w:t> </w:t>
      </w:r>
      <w:r>
        <w:rPr>
          <w:rFonts w:hint="eastAsia" w:ascii="宋体" w:hAnsi="宋体" w:eastAsia="宋体" w:cs="宋体"/>
          <w:color w:val="auto"/>
          <w:u w:val="single"/>
          <w:lang w:val="en-US" w:eastAsia="zh-CN"/>
        </w:rPr>
        <w:t xml:space="preserve">7日历天  </w:t>
      </w:r>
      <w:r>
        <w:rPr>
          <w:rFonts w:hint="eastAsia" w:ascii="宋体" w:hAnsi="宋体" w:eastAsia="宋体" w:cs="宋体"/>
          <w:color w:val="auto"/>
        </w:rPr>
        <w:t>；乙方不得提前交货；确需提前交货的且征得甲方同意的，乙方应赔偿甲方因此增加的费用。</w:t>
      </w:r>
    </w:p>
    <w:p w14:paraId="5D797CEB">
      <w:pPr>
        <w:pStyle w:val="15"/>
        <w:keepNext w:val="0"/>
        <w:keepLines w:val="0"/>
        <w:widowControl/>
        <w:suppressLineNumbers w:val="0"/>
        <w:wordWrap w:val="0"/>
        <w:spacing w:before="0" w:beforeAutospacing="0" w:after="0" w:afterAutospacing="0" w:line="360" w:lineRule="auto"/>
        <w:ind w:left="0" w:right="0"/>
        <w:rPr>
          <w:rFonts w:hint="eastAsia" w:ascii="宋体" w:hAnsi="宋体" w:eastAsia="宋体" w:cs="宋体"/>
          <w:color w:val="auto"/>
        </w:rPr>
      </w:pPr>
      <w:r>
        <w:rPr>
          <w:rFonts w:hint="eastAsia" w:ascii="宋体" w:hAnsi="宋体" w:eastAsia="宋体" w:cs="宋体"/>
          <w:color w:val="auto"/>
        </w:rPr>
        <w:t>3.2.交货地点：甲方所在地。</w:t>
      </w:r>
    </w:p>
    <w:p w14:paraId="3420F3F2">
      <w:pPr>
        <w:pStyle w:val="3"/>
        <w:keepNext w:val="0"/>
        <w:keepLines w:val="0"/>
        <w:widowControl/>
        <w:suppressLineNumbers w:val="0"/>
        <w:spacing w:line="360" w:lineRule="auto"/>
        <w:rPr>
          <w:rFonts w:hint="eastAsia" w:ascii="宋体" w:hAnsi="宋体" w:eastAsia="宋体" w:cs="宋体"/>
          <w:color w:val="auto"/>
        </w:rPr>
      </w:pPr>
      <w:r>
        <w:rPr>
          <w:rFonts w:hint="eastAsia" w:ascii="宋体" w:hAnsi="宋体" w:eastAsia="宋体" w:cs="宋体"/>
          <w:i w:val="0"/>
          <w:iCs w:val="0"/>
          <w:caps w:val="0"/>
          <w:color w:val="auto"/>
          <w:spacing w:val="0"/>
        </w:rPr>
        <w:t>4.质保期</w:t>
      </w:r>
    </w:p>
    <w:p w14:paraId="35CC9D40">
      <w:pPr>
        <w:pStyle w:val="15"/>
        <w:keepNext w:val="0"/>
        <w:keepLines w:val="0"/>
        <w:widowControl/>
        <w:suppressLineNumbers w:val="0"/>
        <w:wordWrap w:val="0"/>
        <w:spacing w:before="0" w:beforeAutospacing="0" w:after="0" w:afterAutospacing="0" w:line="360" w:lineRule="auto"/>
        <w:ind w:left="0" w:right="0"/>
        <w:rPr>
          <w:rFonts w:hint="eastAsia" w:ascii="宋体" w:hAnsi="宋体" w:eastAsia="宋体" w:cs="宋体"/>
          <w:color w:val="auto"/>
        </w:rPr>
      </w:pPr>
      <w:r>
        <w:rPr>
          <w:rFonts w:hint="eastAsia" w:ascii="宋体" w:hAnsi="宋体" w:eastAsia="宋体" w:cs="宋体"/>
          <w:color w:val="auto"/>
        </w:rPr>
        <w:t>4.1.质保期为：</w:t>
      </w:r>
      <w:r>
        <w:rPr>
          <w:rFonts w:hint="eastAsia" w:ascii="宋体" w:hAnsi="宋体" w:eastAsia="宋体" w:cs="宋体"/>
          <w:color w:val="auto"/>
          <w:u w:val="single"/>
          <w:lang w:val="en-US" w:eastAsia="zh-CN"/>
        </w:rPr>
        <w:t xml:space="preserve"> 12 </w:t>
      </w:r>
      <w:r>
        <w:rPr>
          <w:rFonts w:hint="eastAsia" w:ascii="宋体" w:hAnsi="宋体" w:eastAsia="宋体" w:cs="宋体"/>
          <w:color w:val="auto"/>
          <w:u w:val="single"/>
        </w:rPr>
        <w:t>个月</w:t>
      </w:r>
      <w:r>
        <w:rPr>
          <w:rFonts w:hint="eastAsia" w:ascii="宋体" w:hAnsi="宋体" w:eastAsia="宋体" w:cs="宋体"/>
          <w:color w:val="auto"/>
          <w:u w:val="single"/>
          <w:lang w:val="en-US" w:eastAsia="zh-CN"/>
        </w:rPr>
        <w:t xml:space="preserve"> </w:t>
      </w:r>
      <w:r>
        <w:rPr>
          <w:rFonts w:hint="eastAsia" w:ascii="宋体" w:hAnsi="宋体" w:eastAsia="宋体" w:cs="宋体"/>
          <w:color w:val="auto"/>
        </w:rPr>
        <w:t>；自验收通过之日起算。</w:t>
      </w:r>
    </w:p>
    <w:p w14:paraId="3B5E9EF6">
      <w:pPr>
        <w:pStyle w:val="15"/>
        <w:keepNext w:val="0"/>
        <w:keepLines w:val="0"/>
        <w:widowControl/>
        <w:suppressLineNumbers w:val="0"/>
        <w:wordWrap w:val="0"/>
        <w:spacing w:before="0" w:beforeAutospacing="0" w:after="0" w:afterAutospacing="0" w:line="360" w:lineRule="auto"/>
        <w:ind w:left="0" w:right="0"/>
        <w:rPr>
          <w:rFonts w:hint="eastAsia" w:ascii="宋体" w:hAnsi="宋体" w:eastAsia="宋体" w:cs="宋体"/>
          <w:color w:val="auto"/>
        </w:rPr>
      </w:pPr>
      <w:r>
        <w:rPr>
          <w:rFonts w:hint="eastAsia" w:ascii="宋体" w:hAnsi="宋体" w:eastAsia="宋体" w:cs="宋体"/>
          <w:color w:val="auto"/>
        </w:rPr>
        <w:t>4.2.质保期内，乙方应承担如下责任：</w:t>
      </w:r>
    </w:p>
    <w:p w14:paraId="2FB19425">
      <w:pPr>
        <w:pStyle w:val="15"/>
        <w:keepNext w:val="0"/>
        <w:keepLines w:val="0"/>
        <w:widowControl/>
        <w:suppressLineNumbers w:val="0"/>
        <w:wordWrap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质保期内，如货物不能正常使用，乙方应按甲方要求免费为其更换或修理并承担相应费用。质保期自更换或修理完毕后重新计算。本合同约定质保期的期限与责任低于乙方承诺或国家、行业标准的，以较高要求为准。</w:t>
      </w:r>
    </w:p>
    <w:p w14:paraId="607DC449">
      <w:pPr>
        <w:pStyle w:val="3"/>
        <w:keepNext w:val="0"/>
        <w:keepLines w:val="0"/>
        <w:widowControl/>
        <w:suppressLineNumbers w:val="0"/>
        <w:spacing w:line="360" w:lineRule="auto"/>
        <w:rPr>
          <w:rFonts w:hint="eastAsia" w:ascii="宋体" w:hAnsi="宋体" w:eastAsia="宋体" w:cs="宋体"/>
          <w:color w:val="auto"/>
        </w:rPr>
      </w:pPr>
      <w:r>
        <w:rPr>
          <w:rFonts w:hint="eastAsia" w:ascii="宋体" w:hAnsi="宋体" w:eastAsia="宋体" w:cs="宋体"/>
          <w:i w:val="0"/>
          <w:iCs w:val="0"/>
          <w:caps w:val="0"/>
          <w:color w:val="auto"/>
          <w:spacing w:val="0"/>
        </w:rPr>
        <w:t>5. 违约责任</w:t>
      </w:r>
    </w:p>
    <w:p w14:paraId="1095AA92">
      <w:pPr>
        <w:pStyle w:val="15"/>
        <w:keepNext w:val="0"/>
        <w:keepLines w:val="0"/>
        <w:widowControl/>
        <w:suppressLineNumbers w:val="0"/>
        <w:wordWrap w:val="0"/>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5.1.</w:t>
      </w:r>
    </w:p>
    <w:p w14:paraId="71FCFC53">
      <w:pPr>
        <w:pStyle w:val="15"/>
        <w:keepNext w:val="0"/>
        <w:keepLines w:val="0"/>
        <w:widowControl/>
        <w:suppressLineNumbers w:val="0"/>
        <w:wordWrap w:val="0"/>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5.2.乙方逾期交货的，每逾期一天，应按相应货款金额的</w:t>
      </w:r>
      <w:r>
        <w:rPr>
          <w:rFonts w:hint="eastAsia" w:ascii="宋体" w:hAnsi="宋体" w:eastAsia="宋体" w:cs="宋体"/>
          <w:color w:val="auto"/>
          <w:sz w:val="24"/>
          <w:szCs w:val="24"/>
          <w:lang w:val="en-US" w:eastAsia="zh-CN"/>
        </w:rPr>
        <w:t>千</w:t>
      </w:r>
      <w:r>
        <w:rPr>
          <w:rFonts w:hint="eastAsia" w:ascii="宋体" w:hAnsi="宋体" w:eastAsia="宋体" w:cs="宋体"/>
          <w:color w:val="auto"/>
          <w:sz w:val="24"/>
          <w:szCs w:val="24"/>
        </w:rPr>
        <w:t>分之</w:t>
      </w:r>
      <w:r>
        <w:rPr>
          <w:rFonts w:hint="eastAsia" w:cs="宋体"/>
          <w:color w:val="auto"/>
          <w:sz w:val="24"/>
          <w:szCs w:val="24"/>
          <w:lang w:val="en-US" w:eastAsia="zh-CN"/>
        </w:rPr>
        <w:t>五</w:t>
      </w:r>
      <w:r>
        <w:rPr>
          <w:rFonts w:hint="eastAsia" w:ascii="宋体" w:hAnsi="宋体" w:eastAsia="宋体" w:cs="宋体"/>
          <w:color w:val="auto"/>
          <w:sz w:val="24"/>
          <w:szCs w:val="24"/>
        </w:rPr>
        <w:t>向甲方支付违约金，同时仍应履行交货义务。甲方有权从应向乙方支付的货款金额中扣除该违约金。逾期超过15天的，甲方有权解除本合同，并要求乙方按照合同价款的20%向甲方支付违约金。</w:t>
      </w:r>
    </w:p>
    <w:p w14:paraId="6F2F15D5">
      <w:pPr>
        <w:pStyle w:val="15"/>
        <w:keepNext w:val="0"/>
        <w:keepLines w:val="0"/>
        <w:widowControl/>
        <w:suppressLineNumbers w:val="0"/>
        <w:wordWrap w:val="0"/>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乙方违约提前解除本合同或因乙方违约导致甲方解除本合同的，甲方有权要求乙方退还甲方支付的全部款项，并要求乙方按照合同价款的20%向甲方支付违约金。违约金不足以赔偿甲方损失的，乙方还应赔偿甲方全部损失。</w:t>
      </w:r>
    </w:p>
    <w:p w14:paraId="01EBD887">
      <w:pPr>
        <w:pStyle w:val="15"/>
        <w:keepNext w:val="0"/>
        <w:keepLines w:val="0"/>
        <w:widowControl/>
        <w:suppressLineNumbers w:val="0"/>
        <w:wordWrap w:val="0"/>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.任何一方有其他违反本合同情形的，应赔偿守约方全部损失。</w:t>
      </w:r>
    </w:p>
    <w:p w14:paraId="12958030">
      <w:pPr>
        <w:pStyle w:val="15"/>
        <w:keepNext w:val="0"/>
        <w:keepLines w:val="0"/>
        <w:widowControl/>
        <w:suppressLineNumbers w:val="0"/>
        <w:wordWrap w:val="0"/>
        <w:spacing w:before="0" w:beforeAutospacing="0" w:after="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本合同中的全部损失包括但不限于对守约方所造成的直接损失、可得利益损失、守约方支付给第三方的赔偿费用/违约金/罚款、调查取证费用/公证费、诉讼费用、律师费用、维权费用以及其他合理费用。</w:t>
      </w:r>
    </w:p>
    <w:p w14:paraId="72BC1723">
      <w:pPr>
        <w:pStyle w:val="3"/>
        <w:keepNext w:val="0"/>
        <w:keepLines w:val="0"/>
        <w:widowControl/>
        <w:suppressLineNumbers w:val="0"/>
        <w:spacing w:line="360" w:lineRule="auto"/>
        <w:rPr>
          <w:rFonts w:hint="eastAsia" w:ascii="宋体" w:hAnsi="宋体" w:eastAsia="宋体" w:cs="宋体"/>
          <w:color w:val="auto"/>
        </w:rPr>
      </w:pPr>
      <w:r>
        <w:rPr>
          <w:rFonts w:hint="eastAsia" w:ascii="宋体" w:hAnsi="宋体" w:eastAsia="宋体" w:cs="宋体"/>
          <w:color w:val="auto"/>
          <w:lang w:val="en-US" w:eastAsia="zh-CN"/>
        </w:rPr>
        <w:t>6</w:t>
      </w:r>
      <w:r>
        <w:rPr>
          <w:rFonts w:hint="eastAsia" w:ascii="宋体" w:hAnsi="宋体" w:eastAsia="宋体" w:cs="宋体"/>
          <w:color w:val="auto"/>
        </w:rPr>
        <w:t>.</w:t>
      </w:r>
      <w:r>
        <w:rPr>
          <w:rStyle w:val="20"/>
          <w:rFonts w:hint="eastAsia" w:ascii="宋体" w:hAnsi="宋体" w:eastAsia="宋体" w:cs="宋体"/>
          <w:b/>
          <w:color w:val="auto"/>
        </w:rPr>
        <w:t>合同联系方式</w:t>
      </w:r>
    </w:p>
    <w:p w14:paraId="6B39399D">
      <w:pPr>
        <w:pStyle w:val="15"/>
        <w:keepNext w:val="0"/>
        <w:keepLines w:val="0"/>
        <w:widowControl/>
        <w:suppressLineNumbers w:val="0"/>
        <w:wordWrap w:val="0"/>
        <w:spacing w:before="0" w:beforeAutospacing="0" w:after="0" w:afterAutospacing="0" w:line="360" w:lineRule="auto"/>
        <w:ind w:left="0" w:right="0"/>
        <w:rPr>
          <w:rFonts w:hint="eastAsia" w:ascii="宋体" w:hAnsi="宋体" w:eastAsia="宋体" w:cs="宋体"/>
          <w:color w:val="auto"/>
        </w:rPr>
      </w:pPr>
      <w:r>
        <w:rPr>
          <w:rFonts w:hint="eastAsia" w:ascii="宋体" w:hAnsi="宋体" w:eastAsia="宋体" w:cs="宋体"/>
          <w:color w:val="auto"/>
          <w:lang w:val="en-US" w:eastAsia="zh-CN"/>
        </w:rPr>
        <w:t>6</w:t>
      </w:r>
      <w:r>
        <w:rPr>
          <w:rFonts w:hint="eastAsia" w:ascii="宋体" w:hAnsi="宋体" w:eastAsia="宋体" w:cs="宋体"/>
          <w:color w:val="auto"/>
        </w:rPr>
        <w:t>.1.为更好的履行本合同，双方提供如下联系方式：</w:t>
      </w:r>
    </w:p>
    <w:p w14:paraId="48355E4E">
      <w:pPr>
        <w:pStyle w:val="15"/>
        <w:keepNext w:val="0"/>
        <w:keepLines w:val="0"/>
        <w:widowControl/>
        <w:suppressLineNumbers w:val="0"/>
        <w:wordWrap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（1）甲方联系方式</w:t>
      </w:r>
    </w:p>
    <w:p w14:paraId="53127C62">
      <w:pPr>
        <w:pStyle w:val="15"/>
        <w:keepNext w:val="0"/>
        <w:keepLines w:val="0"/>
        <w:widowControl/>
        <w:suppressLineNumbers w:val="0"/>
        <w:wordWrap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联系人：</w:t>
      </w:r>
      <w:r>
        <w:rPr>
          <w:rFonts w:hint="eastAsia" w:ascii="宋体" w:hAnsi="宋体" w:eastAsia="宋体" w:cs="宋体"/>
          <w:color w:val="auto"/>
          <w:sz w:val="24"/>
          <w:szCs w:val="24"/>
          <w:u w:val="single"/>
        </w:rPr>
        <w:t>  </w:t>
      </w:r>
    </w:p>
    <w:p w14:paraId="549EEBBB">
      <w:pPr>
        <w:pStyle w:val="15"/>
        <w:keepNext w:val="0"/>
        <w:keepLines w:val="0"/>
        <w:widowControl/>
        <w:suppressLineNumbers w:val="0"/>
        <w:wordWrap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地址：</w:t>
      </w:r>
      <w:r>
        <w:rPr>
          <w:rFonts w:hint="eastAsia" w:ascii="宋体" w:hAnsi="宋体" w:eastAsia="宋体" w:cs="宋体"/>
          <w:color w:val="auto"/>
          <w:sz w:val="24"/>
          <w:szCs w:val="24"/>
          <w:u w:val="single"/>
        </w:rPr>
        <w:t>  </w:t>
      </w:r>
    </w:p>
    <w:p w14:paraId="2D4FDD0C">
      <w:pPr>
        <w:pStyle w:val="15"/>
        <w:keepNext w:val="0"/>
        <w:keepLines w:val="0"/>
        <w:widowControl/>
        <w:suppressLineNumbers w:val="0"/>
        <w:wordWrap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手机：</w:t>
      </w:r>
      <w:r>
        <w:rPr>
          <w:rFonts w:hint="eastAsia" w:ascii="宋体" w:hAnsi="宋体" w:eastAsia="宋体" w:cs="宋体"/>
          <w:color w:val="auto"/>
          <w:sz w:val="24"/>
          <w:szCs w:val="24"/>
          <w:u w:val="single"/>
        </w:rPr>
        <w:t>  </w:t>
      </w:r>
    </w:p>
    <w:p w14:paraId="30330456">
      <w:pPr>
        <w:pStyle w:val="15"/>
        <w:keepNext w:val="0"/>
        <w:keepLines w:val="0"/>
        <w:widowControl/>
        <w:suppressLineNumbers w:val="0"/>
        <w:wordWrap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（2）乙方联系方式</w:t>
      </w:r>
    </w:p>
    <w:p w14:paraId="2DD00425">
      <w:pPr>
        <w:pStyle w:val="15"/>
        <w:keepNext w:val="0"/>
        <w:keepLines w:val="0"/>
        <w:widowControl/>
        <w:suppressLineNumbers w:val="0"/>
        <w:wordWrap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联系人：</w:t>
      </w:r>
      <w:r>
        <w:rPr>
          <w:rFonts w:hint="eastAsia" w:ascii="宋体" w:hAnsi="宋体" w:eastAsia="宋体" w:cs="宋体"/>
          <w:color w:val="auto"/>
          <w:sz w:val="24"/>
          <w:szCs w:val="24"/>
          <w:u w:val="single"/>
        </w:rPr>
        <w:t>  </w:t>
      </w:r>
    </w:p>
    <w:p w14:paraId="26531C75">
      <w:pPr>
        <w:pStyle w:val="15"/>
        <w:keepNext w:val="0"/>
        <w:keepLines w:val="0"/>
        <w:widowControl/>
        <w:suppressLineNumbers w:val="0"/>
        <w:wordWrap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地址：</w:t>
      </w:r>
      <w:r>
        <w:rPr>
          <w:rFonts w:hint="eastAsia" w:ascii="宋体" w:hAnsi="宋体" w:eastAsia="宋体" w:cs="宋体"/>
          <w:color w:val="auto"/>
          <w:sz w:val="24"/>
          <w:szCs w:val="24"/>
          <w:u w:val="single"/>
        </w:rPr>
        <w:t>  </w:t>
      </w:r>
    </w:p>
    <w:p w14:paraId="544E095F">
      <w:pPr>
        <w:pStyle w:val="15"/>
        <w:keepNext w:val="0"/>
        <w:keepLines w:val="0"/>
        <w:widowControl/>
        <w:suppressLineNumbers w:val="0"/>
        <w:wordWrap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手机：</w:t>
      </w:r>
      <w:r>
        <w:rPr>
          <w:rFonts w:hint="eastAsia" w:ascii="宋体" w:hAnsi="宋体" w:eastAsia="宋体" w:cs="宋体"/>
          <w:color w:val="auto"/>
          <w:sz w:val="24"/>
          <w:szCs w:val="24"/>
          <w:u w:val="single"/>
        </w:rPr>
        <w:t>  </w:t>
      </w:r>
    </w:p>
    <w:p w14:paraId="08A72988">
      <w:pPr>
        <w:pStyle w:val="15"/>
        <w:keepNext w:val="0"/>
        <w:keepLines w:val="0"/>
        <w:widowControl/>
        <w:suppressLineNumbers w:val="0"/>
        <w:wordWrap w:val="0"/>
        <w:spacing w:before="0" w:beforeAutospacing="0" w:after="0" w:afterAutospacing="0" w:line="360" w:lineRule="auto"/>
        <w:ind w:left="0" w:right="0"/>
        <w:rPr>
          <w:rFonts w:hint="eastAsia" w:ascii="宋体" w:hAnsi="宋体" w:eastAsia="宋体" w:cs="宋体"/>
          <w:color w:val="auto"/>
        </w:rPr>
      </w:pPr>
      <w:r>
        <w:rPr>
          <w:rFonts w:hint="eastAsia" w:ascii="宋体" w:hAnsi="宋体" w:eastAsia="宋体" w:cs="宋体"/>
          <w:color w:val="auto"/>
          <w:lang w:val="en-US" w:eastAsia="zh-CN"/>
        </w:rPr>
        <w:t>6</w:t>
      </w:r>
      <w:r>
        <w:rPr>
          <w:rFonts w:hint="eastAsia" w:ascii="宋体" w:hAnsi="宋体" w:eastAsia="宋体" w:cs="宋体"/>
          <w:color w:val="auto"/>
        </w:rPr>
        <w:t>.</w:t>
      </w:r>
      <w:r>
        <w:rPr>
          <w:rFonts w:hint="eastAsia" w:ascii="宋体" w:hAnsi="宋体" w:eastAsia="宋体" w:cs="宋体"/>
          <w:color w:val="auto"/>
          <w:lang w:val="en-US" w:eastAsia="zh-CN"/>
        </w:rPr>
        <w:t>2</w:t>
      </w:r>
      <w:r>
        <w:rPr>
          <w:rFonts w:hint="eastAsia" w:ascii="宋体" w:hAnsi="宋体" w:eastAsia="宋体" w:cs="宋体"/>
          <w:color w:val="auto"/>
        </w:rPr>
        <w:t>.通过快递等方式送达时，对方签收之日视为有效送达；对方拒收或退回的，视为签收。</w:t>
      </w:r>
    </w:p>
    <w:p w14:paraId="0D6E43D4">
      <w:pPr>
        <w:pStyle w:val="15"/>
        <w:keepNext w:val="0"/>
        <w:keepLines w:val="0"/>
        <w:widowControl/>
        <w:suppressLineNumbers w:val="0"/>
        <w:wordWrap w:val="0"/>
        <w:spacing w:before="0" w:beforeAutospacing="0" w:after="0" w:afterAutospacing="0" w:line="360" w:lineRule="auto"/>
        <w:ind w:left="0" w:right="0"/>
        <w:rPr>
          <w:rFonts w:hint="eastAsia" w:ascii="宋体" w:hAnsi="宋体" w:eastAsia="宋体" w:cs="宋体"/>
          <w:color w:val="auto"/>
        </w:rPr>
      </w:pPr>
      <w:r>
        <w:rPr>
          <w:rFonts w:hint="eastAsia" w:ascii="宋体" w:hAnsi="宋体" w:eastAsia="宋体" w:cs="宋体"/>
          <w:color w:val="auto"/>
          <w:lang w:val="en-US" w:eastAsia="zh-CN"/>
        </w:rPr>
        <w:t>6</w:t>
      </w:r>
      <w:r>
        <w:rPr>
          <w:rFonts w:hint="eastAsia" w:ascii="宋体" w:hAnsi="宋体" w:eastAsia="宋体" w:cs="宋体"/>
          <w:color w:val="auto"/>
        </w:rPr>
        <w:t>.</w:t>
      </w:r>
      <w:r>
        <w:rPr>
          <w:rFonts w:hint="eastAsia" w:ascii="宋体" w:hAnsi="宋体" w:eastAsia="宋体" w:cs="宋体"/>
          <w:color w:val="auto"/>
          <w:lang w:val="en-US" w:eastAsia="zh-CN"/>
        </w:rPr>
        <w:t>3</w:t>
      </w:r>
      <w:r>
        <w:rPr>
          <w:rFonts w:hint="eastAsia" w:ascii="宋体" w:hAnsi="宋体" w:eastAsia="宋体" w:cs="宋体"/>
          <w:color w:val="auto"/>
        </w:rPr>
        <w:t>.上述联系方式同时作为有效司法送达地址。</w:t>
      </w:r>
    </w:p>
    <w:p w14:paraId="5FE6D9AD">
      <w:pPr>
        <w:pStyle w:val="15"/>
        <w:keepNext w:val="0"/>
        <w:keepLines w:val="0"/>
        <w:widowControl/>
        <w:suppressLineNumbers w:val="0"/>
        <w:wordWrap w:val="0"/>
        <w:spacing w:before="0" w:beforeAutospacing="0" w:after="0" w:afterAutospacing="0" w:line="360" w:lineRule="auto"/>
        <w:ind w:left="0" w:right="0"/>
        <w:rPr>
          <w:rFonts w:hint="eastAsia" w:ascii="宋体" w:hAnsi="宋体" w:eastAsia="宋体" w:cs="宋体"/>
          <w:color w:val="auto"/>
        </w:rPr>
      </w:pPr>
      <w:r>
        <w:rPr>
          <w:rFonts w:hint="eastAsia" w:ascii="宋体" w:hAnsi="宋体" w:eastAsia="宋体" w:cs="宋体"/>
          <w:color w:val="auto"/>
          <w:lang w:val="en-US" w:eastAsia="zh-CN"/>
        </w:rPr>
        <w:t>6</w:t>
      </w:r>
      <w:r>
        <w:rPr>
          <w:rFonts w:hint="eastAsia" w:ascii="宋体" w:hAnsi="宋体" w:eastAsia="宋体" w:cs="宋体"/>
          <w:color w:val="auto"/>
        </w:rPr>
        <w:t>.</w:t>
      </w:r>
      <w:r>
        <w:rPr>
          <w:rFonts w:hint="eastAsia" w:ascii="宋体" w:hAnsi="宋体" w:eastAsia="宋体" w:cs="宋体"/>
          <w:color w:val="auto"/>
          <w:lang w:val="en-US" w:eastAsia="zh-CN"/>
        </w:rPr>
        <w:t>4</w:t>
      </w:r>
      <w:r>
        <w:rPr>
          <w:rFonts w:hint="eastAsia" w:ascii="宋体" w:hAnsi="宋体" w:eastAsia="宋体" w:cs="宋体"/>
          <w:color w:val="auto"/>
        </w:rPr>
        <w:t>.一方变更联系方式，应以书面形式通知对方；否则，该联系方式仍视为有效，由未通知方承担由此而引起的相关责任。</w:t>
      </w:r>
    </w:p>
    <w:p w14:paraId="13A21E67">
      <w:pPr>
        <w:pStyle w:val="15"/>
        <w:keepNext w:val="0"/>
        <w:keepLines w:val="0"/>
        <w:widowControl/>
        <w:suppressLineNumbers w:val="0"/>
        <w:wordWrap w:val="0"/>
        <w:spacing w:before="0" w:beforeAutospacing="0" w:after="0" w:afterAutospacing="0" w:line="360" w:lineRule="auto"/>
        <w:ind w:left="0" w:right="0"/>
        <w:rPr>
          <w:rFonts w:hint="eastAsia" w:ascii="宋体" w:hAnsi="宋体" w:eastAsia="宋体" w:cs="宋体"/>
          <w:color w:val="auto"/>
        </w:rPr>
      </w:pPr>
      <w:r>
        <w:rPr>
          <w:rFonts w:hint="eastAsia" w:ascii="宋体" w:hAnsi="宋体" w:eastAsia="宋体" w:cs="宋体"/>
          <w:color w:val="auto"/>
          <w:lang w:val="en-US" w:eastAsia="zh-CN"/>
        </w:rPr>
        <w:t>6</w:t>
      </w:r>
      <w:r>
        <w:rPr>
          <w:rFonts w:hint="eastAsia" w:ascii="宋体" w:hAnsi="宋体" w:eastAsia="宋体" w:cs="宋体"/>
          <w:color w:val="auto"/>
        </w:rPr>
        <w:t>.</w:t>
      </w:r>
      <w:r>
        <w:rPr>
          <w:rFonts w:hint="eastAsia" w:ascii="宋体" w:hAnsi="宋体" w:eastAsia="宋体" w:cs="宋体"/>
          <w:color w:val="auto"/>
          <w:lang w:val="en-US" w:eastAsia="zh-CN"/>
        </w:rPr>
        <w:t>5</w:t>
      </w:r>
      <w:r>
        <w:rPr>
          <w:rFonts w:hint="eastAsia" w:ascii="宋体" w:hAnsi="宋体" w:eastAsia="宋体" w:cs="宋体"/>
          <w:color w:val="auto"/>
        </w:rPr>
        <w:t>.本联系方式条款为独立条款，不受合同整体或其他条款的效力影响，始终有效。</w:t>
      </w:r>
    </w:p>
    <w:p w14:paraId="1E690653">
      <w:pPr>
        <w:pStyle w:val="3"/>
        <w:keepNext w:val="0"/>
        <w:keepLines w:val="0"/>
        <w:widowControl/>
        <w:suppressLineNumbers w:val="0"/>
        <w:spacing w:line="360" w:lineRule="auto"/>
        <w:rPr>
          <w:rFonts w:hint="eastAsia" w:ascii="宋体" w:hAnsi="宋体" w:eastAsia="宋体" w:cs="宋体"/>
          <w:color w:val="auto"/>
        </w:rPr>
      </w:pPr>
      <w:r>
        <w:rPr>
          <w:rFonts w:hint="eastAsia" w:ascii="宋体" w:hAnsi="宋体" w:eastAsia="宋体" w:cs="宋体"/>
          <w:color w:val="auto"/>
          <w:lang w:val="en-US" w:eastAsia="zh-CN"/>
        </w:rPr>
        <w:t>7</w:t>
      </w:r>
      <w:r>
        <w:rPr>
          <w:rFonts w:hint="eastAsia" w:ascii="宋体" w:hAnsi="宋体" w:eastAsia="宋体" w:cs="宋体"/>
          <w:color w:val="auto"/>
        </w:rPr>
        <w:t>.争议解决</w:t>
      </w:r>
    </w:p>
    <w:p w14:paraId="2C8BC45C">
      <w:pPr>
        <w:pStyle w:val="15"/>
        <w:keepNext w:val="0"/>
        <w:keepLines w:val="0"/>
        <w:widowControl/>
        <w:suppressLineNumbers w:val="0"/>
        <w:wordWrap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因本合同引起的或与本合同有关的任何争议，由合同各方协商解决，也可由有关部门调解。协商或调解不成的，应向</w:t>
      </w:r>
      <w:r>
        <w:rPr>
          <w:rFonts w:hint="eastAsia" w:ascii="宋体" w:hAnsi="宋体" w:eastAsia="宋体" w:cs="宋体"/>
          <w:color w:val="auto"/>
          <w:sz w:val="24"/>
          <w:szCs w:val="24"/>
          <w:u w:val="single"/>
          <w:lang w:val="en-US" w:eastAsia="zh-CN"/>
        </w:rPr>
        <w:t>甲方</w:t>
      </w:r>
      <w:r>
        <w:rPr>
          <w:rFonts w:hint="eastAsia" w:ascii="宋体" w:hAnsi="宋体" w:eastAsia="宋体" w:cs="宋体"/>
          <w:color w:val="auto"/>
          <w:sz w:val="24"/>
          <w:szCs w:val="24"/>
          <w:u w:val="single"/>
        </w:rPr>
        <w:t>所在地</w:t>
      </w:r>
      <w:r>
        <w:rPr>
          <w:rFonts w:hint="eastAsia" w:ascii="宋体" w:hAnsi="宋体" w:eastAsia="宋体" w:cs="宋体"/>
          <w:color w:val="auto"/>
          <w:sz w:val="24"/>
          <w:szCs w:val="24"/>
        </w:rPr>
        <w:t>有管辖权的人民法院起诉。</w:t>
      </w:r>
    </w:p>
    <w:p w14:paraId="7277659D">
      <w:pPr>
        <w:pStyle w:val="3"/>
        <w:keepNext w:val="0"/>
        <w:keepLines w:val="0"/>
        <w:widowControl/>
        <w:suppressLineNumbers w:val="0"/>
        <w:spacing w:line="360" w:lineRule="auto"/>
        <w:rPr>
          <w:rFonts w:hint="eastAsia" w:ascii="宋体" w:hAnsi="宋体" w:eastAsia="宋体" w:cs="宋体"/>
          <w:color w:val="auto"/>
        </w:rPr>
      </w:pPr>
      <w:r>
        <w:rPr>
          <w:rFonts w:hint="eastAsia" w:ascii="宋体" w:hAnsi="宋体" w:eastAsia="宋体" w:cs="宋体"/>
          <w:color w:val="auto"/>
          <w:lang w:val="en-US" w:eastAsia="zh-CN"/>
        </w:rPr>
        <w:t>8</w:t>
      </w:r>
      <w:r>
        <w:rPr>
          <w:rFonts w:hint="eastAsia" w:ascii="宋体" w:hAnsi="宋体" w:eastAsia="宋体" w:cs="宋体"/>
          <w:color w:val="auto"/>
        </w:rPr>
        <w:t>.附则</w:t>
      </w:r>
    </w:p>
    <w:p w14:paraId="410C4474">
      <w:pPr>
        <w:pStyle w:val="15"/>
        <w:keepNext w:val="0"/>
        <w:keepLines w:val="0"/>
        <w:widowControl/>
        <w:suppressLineNumbers w:val="0"/>
        <w:wordWrap w:val="0"/>
        <w:spacing w:before="0" w:beforeAutospacing="0" w:after="0" w:afterAutospacing="0" w:line="360" w:lineRule="auto"/>
        <w:ind w:left="0" w:right="0"/>
        <w:rPr>
          <w:rFonts w:hint="eastAsia" w:ascii="宋体" w:hAnsi="宋体" w:eastAsia="宋体" w:cs="宋体"/>
          <w:color w:val="auto"/>
        </w:rPr>
      </w:pPr>
      <w:r>
        <w:rPr>
          <w:rFonts w:hint="eastAsia" w:ascii="宋体" w:hAnsi="宋体" w:eastAsia="宋体" w:cs="宋体"/>
          <w:color w:val="auto"/>
          <w:lang w:val="en-US" w:eastAsia="zh-CN"/>
        </w:rPr>
        <w:t>8</w:t>
      </w:r>
      <w:r>
        <w:rPr>
          <w:rFonts w:hint="eastAsia" w:ascii="宋体" w:hAnsi="宋体" w:eastAsia="宋体" w:cs="宋体"/>
          <w:color w:val="auto"/>
        </w:rPr>
        <w:t>.1.本合同一式二份，合同各方各执一份。各份合同文本具有同等法律效力。</w:t>
      </w:r>
    </w:p>
    <w:p w14:paraId="25B17359">
      <w:pPr>
        <w:pStyle w:val="15"/>
        <w:keepNext w:val="0"/>
        <w:keepLines w:val="0"/>
        <w:widowControl/>
        <w:suppressLineNumbers w:val="0"/>
        <w:wordWrap w:val="0"/>
        <w:spacing w:before="0" w:beforeAutospacing="0" w:after="0" w:afterAutospacing="0" w:line="360" w:lineRule="auto"/>
        <w:ind w:left="0" w:right="0"/>
        <w:rPr>
          <w:rFonts w:hint="eastAsia" w:ascii="宋体" w:hAnsi="宋体" w:eastAsia="宋体" w:cs="宋体"/>
          <w:color w:val="auto"/>
        </w:rPr>
      </w:pPr>
      <w:r>
        <w:rPr>
          <w:rFonts w:hint="eastAsia" w:ascii="宋体" w:hAnsi="宋体" w:eastAsia="宋体" w:cs="宋体"/>
          <w:color w:val="auto"/>
          <w:lang w:val="en-US" w:eastAsia="zh-CN"/>
        </w:rPr>
        <w:t>8</w:t>
      </w:r>
      <w:r>
        <w:rPr>
          <w:rFonts w:hint="eastAsia" w:ascii="宋体" w:hAnsi="宋体" w:eastAsia="宋体" w:cs="宋体"/>
          <w:color w:val="auto"/>
        </w:rPr>
        <w:t>.2.本合同经各方签名或盖章后生效。</w:t>
      </w:r>
    </w:p>
    <w:p w14:paraId="4D8BFF48">
      <w:pPr>
        <w:rPr>
          <w:rFonts w:hint="eastAsia" w:ascii="宋体" w:hAnsi="宋体" w:eastAsia="宋体" w:cs="宋体"/>
          <w:color w:val="auto"/>
          <w:sz w:val="24"/>
          <w:szCs w:val="24"/>
        </w:rPr>
      </w:pPr>
    </w:p>
    <w:tbl>
      <w:tblPr>
        <w:tblStyle w:val="18"/>
        <w:tblpPr w:leftFromText="180" w:rightFromText="180" w:vertAnchor="text" w:horzAnchor="margin" w:tblpXSpec="center" w:tblpY="145"/>
        <w:tblOverlap w:val="never"/>
        <w:tblW w:w="9852" w:type="dxa"/>
        <w:tblInd w:w="620" w:type="dxa"/>
        <w:tblLayout w:type="fixed"/>
        <w:tblCellMar>
          <w:top w:w="0" w:type="dxa"/>
          <w:left w:w="108" w:type="dxa"/>
          <w:bottom w:w="0" w:type="dxa"/>
          <w:right w:w="108" w:type="dxa"/>
        </w:tblCellMar>
      </w:tblPr>
      <w:tblGrid>
        <w:gridCol w:w="4712"/>
        <w:gridCol w:w="5140"/>
      </w:tblGrid>
      <w:tr w14:paraId="3CF11EDF">
        <w:tblPrEx>
          <w:tblCellMar>
            <w:top w:w="0" w:type="dxa"/>
            <w:left w:w="108" w:type="dxa"/>
            <w:bottom w:w="0" w:type="dxa"/>
            <w:right w:w="108" w:type="dxa"/>
          </w:tblCellMar>
        </w:tblPrEx>
        <w:trPr>
          <w:trHeight w:val="3980" w:hRule="atLeast"/>
        </w:trPr>
        <w:tc>
          <w:tcPr>
            <w:tcW w:w="4712" w:type="dxa"/>
            <w:noWrap w:val="0"/>
            <w:vAlign w:val="top"/>
          </w:tcPr>
          <w:p w14:paraId="7BC0D22D">
            <w:pPr>
              <w:spacing w:line="50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甲 方</w:t>
            </w:r>
          </w:p>
          <w:p w14:paraId="6AAB95EC">
            <w:pPr>
              <w:spacing w:line="500" w:lineRule="exact"/>
              <w:ind w:left="1650" w:hanging="1800" w:hangingChars="75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单位名称（章）：</w:t>
            </w:r>
            <w:r>
              <w:rPr>
                <w:rFonts w:hint="eastAsia" w:ascii="宋体" w:hAnsi="宋体" w:eastAsia="宋体" w:cs="宋体"/>
                <w:color w:val="auto"/>
                <w:sz w:val="24"/>
                <w:szCs w:val="24"/>
                <w:lang w:val="en-US" w:eastAsia="zh-CN"/>
              </w:rPr>
              <w:t xml:space="preserve">  </w:t>
            </w:r>
          </w:p>
          <w:p w14:paraId="76E94999">
            <w:pPr>
              <w:spacing w:line="500" w:lineRule="exact"/>
              <w:ind w:left="1650" w:hanging="1800" w:hangingChars="750"/>
              <w:rPr>
                <w:rFonts w:hint="eastAsia" w:ascii="宋体" w:hAnsi="宋体" w:eastAsia="宋体" w:cs="宋体"/>
                <w:color w:val="auto"/>
                <w:sz w:val="24"/>
                <w:szCs w:val="24"/>
              </w:rPr>
            </w:pPr>
            <w:r>
              <w:rPr>
                <w:rFonts w:hint="eastAsia" w:ascii="宋体" w:hAnsi="宋体" w:eastAsia="宋体" w:cs="宋体"/>
                <w:color w:val="auto"/>
                <w:sz w:val="24"/>
                <w:szCs w:val="24"/>
              </w:rPr>
              <w:t>法人代表或委托代理人：</w:t>
            </w:r>
          </w:p>
          <w:p w14:paraId="15F32DD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电话：</w:t>
            </w:r>
            <w:r>
              <w:rPr>
                <w:rFonts w:hint="eastAsia" w:ascii="宋体" w:hAnsi="宋体" w:eastAsia="宋体" w:cs="宋体"/>
                <w:color w:val="auto"/>
                <w:sz w:val="24"/>
                <w:szCs w:val="24"/>
                <w:lang w:val="en-US" w:eastAsia="zh-CN"/>
              </w:rPr>
              <w:t xml:space="preserve"> </w:t>
            </w:r>
          </w:p>
          <w:p w14:paraId="57B60A62">
            <w:pPr>
              <w:spacing w:line="500" w:lineRule="exact"/>
              <w:ind w:left="1650" w:hanging="1800" w:hangingChars="75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地址：</w:t>
            </w:r>
            <w:r>
              <w:rPr>
                <w:rFonts w:hint="eastAsia" w:ascii="宋体" w:hAnsi="宋体" w:eastAsia="宋体" w:cs="宋体"/>
                <w:color w:val="auto"/>
                <w:sz w:val="24"/>
                <w:szCs w:val="24"/>
                <w:lang w:val="en-US" w:eastAsia="zh-CN"/>
              </w:rPr>
              <w:t xml:space="preserve"> </w:t>
            </w:r>
          </w:p>
          <w:p w14:paraId="6D517A64">
            <w:pPr>
              <w:spacing w:line="500" w:lineRule="exact"/>
              <w:ind w:left="1650" w:hanging="1800" w:hangingChars="750"/>
              <w:rPr>
                <w:rFonts w:hint="eastAsia" w:ascii="宋体" w:hAnsi="宋体" w:eastAsia="宋体" w:cs="宋体"/>
                <w:color w:val="auto"/>
                <w:sz w:val="24"/>
                <w:szCs w:val="24"/>
              </w:rPr>
            </w:pPr>
            <w:r>
              <w:rPr>
                <w:rFonts w:hint="eastAsia" w:ascii="宋体" w:hAnsi="宋体" w:eastAsia="宋体" w:cs="宋体"/>
                <w:color w:val="auto"/>
                <w:sz w:val="24"/>
                <w:szCs w:val="24"/>
              </w:rPr>
              <w:t>开户银行：</w:t>
            </w:r>
          </w:p>
          <w:p w14:paraId="68BCF3CD">
            <w:pPr>
              <w:spacing w:line="500" w:lineRule="exact"/>
              <w:ind w:left="1650" w:hanging="1800" w:hangingChars="750"/>
              <w:rPr>
                <w:rFonts w:hint="eastAsia" w:ascii="宋体" w:hAnsi="宋体" w:eastAsia="宋体" w:cs="宋体"/>
                <w:color w:val="auto"/>
                <w:sz w:val="24"/>
                <w:szCs w:val="24"/>
              </w:rPr>
            </w:pPr>
            <w:r>
              <w:rPr>
                <w:rFonts w:hint="eastAsia" w:ascii="宋体" w:hAnsi="宋体" w:eastAsia="宋体" w:cs="宋体"/>
                <w:color w:val="auto"/>
                <w:sz w:val="24"/>
                <w:szCs w:val="24"/>
              </w:rPr>
              <w:t>账号：</w:t>
            </w:r>
          </w:p>
          <w:p w14:paraId="62DFDF8C">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签订日期：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tc>
        <w:tc>
          <w:tcPr>
            <w:tcW w:w="5140" w:type="dxa"/>
            <w:noWrap w:val="0"/>
            <w:vAlign w:val="top"/>
          </w:tcPr>
          <w:p w14:paraId="672365A5">
            <w:pPr>
              <w:spacing w:line="50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乙 方</w:t>
            </w:r>
          </w:p>
          <w:p w14:paraId="405FE482">
            <w:pPr>
              <w:spacing w:line="5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单位名称（章）：</w:t>
            </w:r>
            <w:r>
              <w:rPr>
                <w:rFonts w:hint="eastAsia" w:ascii="宋体" w:hAnsi="宋体" w:eastAsia="宋体" w:cs="宋体"/>
                <w:color w:val="auto"/>
                <w:sz w:val="24"/>
                <w:szCs w:val="24"/>
                <w:lang w:val="en-US" w:eastAsia="zh-CN"/>
              </w:rPr>
              <w:t xml:space="preserve">  </w:t>
            </w:r>
          </w:p>
          <w:p w14:paraId="1E4AE041">
            <w:pPr>
              <w:spacing w:line="500" w:lineRule="exact"/>
              <w:ind w:left="1650" w:hanging="1800" w:hangingChars="750"/>
              <w:rPr>
                <w:rFonts w:hint="eastAsia" w:ascii="宋体" w:hAnsi="宋体" w:eastAsia="宋体" w:cs="宋体"/>
                <w:color w:val="auto"/>
                <w:sz w:val="24"/>
                <w:szCs w:val="24"/>
              </w:rPr>
            </w:pPr>
            <w:r>
              <w:rPr>
                <w:rFonts w:hint="eastAsia" w:ascii="宋体" w:hAnsi="宋体" w:eastAsia="宋体" w:cs="宋体"/>
                <w:color w:val="auto"/>
                <w:sz w:val="24"/>
                <w:szCs w:val="24"/>
              </w:rPr>
              <w:t>法人代表或委托代理人：</w:t>
            </w:r>
          </w:p>
          <w:p w14:paraId="444D7C9D">
            <w:pPr>
              <w:spacing w:line="5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电话：</w:t>
            </w:r>
            <w:r>
              <w:rPr>
                <w:rFonts w:hint="eastAsia" w:ascii="宋体" w:hAnsi="宋体" w:eastAsia="宋体" w:cs="宋体"/>
                <w:color w:val="auto"/>
                <w:sz w:val="24"/>
                <w:szCs w:val="24"/>
                <w:lang w:val="en-US" w:eastAsia="zh-CN"/>
              </w:rPr>
              <w:t xml:space="preserve"> </w:t>
            </w:r>
          </w:p>
          <w:p w14:paraId="0BE3CA09">
            <w:pPr>
              <w:tabs>
                <w:tab w:val="left" w:pos="1245"/>
              </w:tabs>
              <w:spacing w:line="5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地址：</w:t>
            </w:r>
            <w:r>
              <w:rPr>
                <w:rFonts w:hint="eastAsia" w:ascii="宋体" w:hAnsi="宋体" w:eastAsia="宋体" w:cs="宋体"/>
                <w:color w:val="auto"/>
                <w:sz w:val="24"/>
                <w:szCs w:val="24"/>
                <w:lang w:val="en-US" w:eastAsia="zh-CN"/>
              </w:rPr>
              <w:t xml:space="preserve"> </w:t>
            </w:r>
          </w:p>
          <w:p w14:paraId="25EE0745">
            <w:pPr>
              <w:spacing w:line="5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开户银行：</w:t>
            </w:r>
            <w:r>
              <w:rPr>
                <w:rFonts w:hint="eastAsia" w:ascii="宋体" w:hAnsi="宋体" w:eastAsia="宋体" w:cs="宋体"/>
                <w:color w:val="auto"/>
                <w:sz w:val="24"/>
                <w:szCs w:val="24"/>
                <w:lang w:val="en-US" w:eastAsia="zh-CN"/>
              </w:rPr>
              <w:t xml:space="preserve"> </w:t>
            </w:r>
          </w:p>
          <w:p w14:paraId="0E1326EC">
            <w:pPr>
              <w:spacing w:line="5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账号：</w:t>
            </w:r>
          </w:p>
          <w:p w14:paraId="5AEBDDBD">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签订日期：</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tc>
      </w:tr>
    </w:tbl>
    <w:p w14:paraId="21C77337">
      <w:pPr>
        <w:rPr>
          <w:rFonts w:hint="eastAsia" w:ascii="宋体" w:hAnsi="宋体" w:eastAsia="宋体" w:cs="宋体"/>
          <w:color w:val="auto"/>
          <w:szCs w:val="24"/>
        </w:rPr>
      </w:pPr>
      <w:r>
        <w:rPr>
          <w:rFonts w:hint="eastAsia" w:ascii="宋体" w:hAnsi="宋体" w:eastAsia="宋体" w:cs="宋体"/>
          <w:color w:val="auto"/>
          <w:szCs w:val="24"/>
        </w:rPr>
        <w:br w:type="page"/>
      </w:r>
    </w:p>
    <w:p w14:paraId="190F690A">
      <w:pPr>
        <w:pStyle w:val="6"/>
        <w:spacing w:before="31" w:line="225" w:lineRule="auto"/>
        <w:ind w:left="2351"/>
        <w:outlineLvl w:val="0"/>
        <w:rPr>
          <w:color w:val="auto"/>
          <w:sz w:val="31"/>
          <w:szCs w:val="31"/>
        </w:rPr>
      </w:pPr>
      <w:r>
        <w:rPr>
          <w:b/>
          <w:bCs/>
          <w:color w:val="auto"/>
          <w:spacing w:val="6"/>
          <w:sz w:val="31"/>
          <w:szCs w:val="31"/>
        </w:rPr>
        <w:t>第</w:t>
      </w:r>
      <w:r>
        <w:rPr>
          <w:rFonts w:hint="eastAsia"/>
          <w:b/>
          <w:bCs/>
          <w:color w:val="auto"/>
          <w:spacing w:val="6"/>
          <w:sz w:val="31"/>
          <w:szCs w:val="31"/>
          <w:lang w:eastAsia="zh-CN"/>
        </w:rPr>
        <w:t>四</w:t>
      </w:r>
      <w:r>
        <w:rPr>
          <w:b/>
          <w:bCs/>
          <w:color w:val="auto"/>
          <w:spacing w:val="6"/>
          <w:sz w:val="31"/>
          <w:szCs w:val="31"/>
        </w:rPr>
        <w:t>章</w:t>
      </w:r>
      <w:r>
        <w:rPr>
          <w:color w:val="auto"/>
          <w:spacing w:val="6"/>
          <w:sz w:val="31"/>
          <w:szCs w:val="31"/>
        </w:rPr>
        <w:t xml:space="preserve">  </w:t>
      </w:r>
      <w:r>
        <w:rPr>
          <w:b/>
          <w:bCs/>
          <w:color w:val="auto"/>
          <w:spacing w:val="6"/>
          <w:sz w:val="31"/>
          <w:szCs w:val="31"/>
        </w:rPr>
        <w:t>采购内容及要求</w:t>
      </w:r>
    </w:p>
    <w:p w14:paraId="7B3BD459">
      <w:pPr>
        <w:pStyle w:val="26"/>
        <w:numPr>
          <w:ilvl w:val="0"/>
          <w:numId w:val="0"/>
        </w:numPr>
        <w:tabs>
          <w:tab w:val="left" w:pos="1287"/>
        </w:tabs>
        <w:spacing w:before="39"/>
        <w:ind w:leftChars="0" w:right="0" w:rightChars="0"/>
        <w:jc w:val="both"/>
        <w:rPr>
          <w:rFonts w:hint="eastAsia" w:ascii="宋体" w:hAnsi="宋体" w:eastAsia="宋体" w:cs="宋体"/>
          <w:b/>
          <w:color w:val="auto"/>
          <w:sz w:val="28"/>
          <w:szCs w:val="28"/>
        </w:rPr>
      </w:pPr>
      <w:r>
        <w:rPr>
          <w:rFonts w:hint="eastAsia" w:ascii="宋体" w:hAnsi="宋体" w:eastAsia="宋体" w:cs="宋体"/>
          <w:color w:val="auto"/>
          <w:w w:val="95"/>
          <w:sz w:val="28"/>
          <w:szCs w:val="28"/>
          <w:lang w:val="en-US" w:eastAsia="zh-CN"/>
        </w:rPr>
        <w:t>一、一体化集成净水设备技术要求</w:t>
      </w:r>
    </w:p>
    <w:p w14:paraId="3C571640">
      <w:pPr>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（一）、一体化集成净水设备工艺结构部分技术要求:</w:t>
      </w:r>
    </w:p>
    <w:p w14:paraId="114C11D9">
      <w:pPr>
        <w:spacing w:line="50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严格遵守国家及地方有关环保法律法规和技术政策，确保各项出水指标均符合现行的国家《生活饮用水卫生标准》（GB5749-2022）要求。</w:t>
      </w:r>
    </w:p>
    <w:p w14:paraId="4D1E3BA4">
      <w:pPr>
        <w:pStyle w:val="27"/>
        <w:tabs>
          <w:tab w:val="left" w:pos="851"/>
        </w:tabs>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处理水量：日处理规模为</w:t>
      </w:r>
      <w:r>
        <w:rPr>
          <w:rFonts w:hint="eastAsia" w:ascii="宋体" w:hAnsi="宋体" w:eastAsia="宋体" w:cs="宋体"/>
          <w:color w:val="auto"/>
          <w:sz w:val="24"/>
          <w:szCs w:val="24"/>
          <w:highlight w:val="none"/>
          <w:lang w:val="en-US" w:eastAsia="zh-CN"/>
        </w:rPr>
        <w:t>100</w:t>
      </w:r>
      <w:r>
        <w:rPr>
          <w:rFonts w:hint="eastAsia" w:ascii="宋体" w:hAnsi="宋体" w:eastAsia="宋体" w:cs="宋体"/>
          <w:color w:val="auto"/>
          <w:sz w:val="24"/>
          <w:szCs w:val="24"/>
          <w:highlight w:val="none"/>
        </w:rPr>
        <w:t>m³/d，采用一体化</w:t>
      </w:r>
      <w:r>
        <w:rPr>
          <w:rFonts w:hint="eastAsia" w:ascii="宋体" w:hAnsi="宋体" w:eastAsia="宋体" w:cs="宋体"/>
          <w:color w:val="auto"/>
          <w:sz w:val="24"/>
          <w:szCs w:val="24"/>
          <w:highlight w:val="none"/>
          <w:lang w:val="en-US" w:eastAsia="zh-CN"/>
        </w:rPr>
        <w:t>集成净水设备</w:t>
      </w:r>
      <w:r>
        <w:rPr>
          <w:rFonts w:hint="eastAsia" w:ascii="宋体" w:hAnsi="宋体" w:eastAsia="宋体" w:cs="宋体"/>
          <w:color w:val="auto"/>
          <w:sz w:val="24"/>
          <w:szCs w:val="24"/>
          <w:highlight w:val="none"/>
        </w:rPr>
        <w:t>整体材质采用食品级304不锈钢。设备为集成式、一体化产品，需工厂模块化生产、测试，设备整体运输、安装，降低现场安装负荷。</w:t>
      </w:r>
    </w:p>
    <w:p w14:paraId="0AA4B539">
      <w:pPr>
        <w:spacing w:line="500" w:lineRule="exact"/>
        <w:ind w:firstLine="470" w:firstLineChars="196"/>
        <w:rPr>
          <w:rFonts w:hint="eastAsia" w:ascii="宋体" w:hAnsi="宋体" w:eastAsia="宋体" w:cs="宋体"/>
          <w:color w:val="auto"/>
          <w:sz w:val="24"/>
          <w:szCs w:val="24"/>
          <w:highlight w:val="none"/>
          <w:lang w:eastAsia="zh-CN"/>
        </w:rPr>
      </w:pPr>
      <w:bookmarkStart w:id="8" w:name="_Toc179632806"/>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为保证一体化</w:t>
      </w:r>
      <w:r>
        <w:rPr>
          <w:rFonts w:hint="eastAsia" w:ascii="宋体" w:hAnsi="宋体" w:eastAsia="宋体" w:cs="宋体"/>
          <w:color w:val="auto"/>
          <w:sz w:val="24"/>
          <w:szCs w:val="24"/>
          <w:highlight w:val="none"/>
          <w:lang w:val="en-US" w:eastAsia="zh-CN"/>
        </w:rPr>
        <w:t>集成净水设备</w:t>
      </w:r>
      <w:r>
        <w:rPr>
          <w:rFonts w:hint="eastAsia" w:ascii="宋体" w:hAnsi="宋体" w:eastAsia="宋体" w:cs="宋体"/>
          <w:color w:val="auto"/>
          <w:sz w:val="24"/>
          <w:szCs w:val="24"/>
          <w:highlight w:val="none"/>
        </w:rPr>
        <w:t>的使用寿命，一体化</w:t>
      </w:r>
      <w:r>
        <w:rPr>
          <w:rFonts w:hint="eastAsia" w:ascii="宋体" w:hAnsi="宋体" w:eastAsia="宋体" w:cs="宋体"/>
          <w:color w:val="auto"/>
          <w:sz w:val="24"/>
          <w:szCs w:val="24"/>
          <w:highlight w:val="none"/>
          <w:lang w:val="en-US" w:eastAsia="zh-CN"/>
        </w:rPr>
        <w:t>集成净水设备</w:t>
      </w:r>
      <w:r>
        <w:rPr>
          <w:rFonts w:hint="eastAsia" w:ascii="宋体" w:hAnsi="宋体" w:eastAsia="宋体" w:cs="宋体"/>
          <w:color w:val="auto"/>
          <w:sz w:val="24"/>
          <w:szCs w:val="24"/>
          <w:highlight w:val="none"/>
        </w:rPr>
        <w:t>应采用不锈钢管路、板材及附件，不锈钢管路、不锈钢法兰、不锈钢弯头和不锈钢板材等必须具备以下性能：中性盐雾试验至少 500 小时以上或铜加速乙酸盐雾试验至少 96 小时以上，表面质量仍达到国标 10 级或以上标准</w:t>
      </w:r>
      <w:r>
        <w:rPr>
          <w:rFonts w:hint="eastAsia" w:ascii="宋体" w:hAnsi="宋体" w:eastAsia="宋体" w:cs="宋体"/>
          <w:color w:val="auto"/>
          <w:sz w:val="24"/>
          <w:szCs w:val="24"/>
          <w:highlight w:val="none"/>
          <w:lang w:eastAsia="zh-CN"/>
        </w:rPr>
        <w:t>。</w:t>
      </w:r>
    </w:p>
    <w:p w14:paraId="3DF89931">
      <w:pPr>
        <w:spacing w:line="500" w:lineRule="exact"/>
        <w:ind w:firstLine="470" w:firstLineChars="196"/>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为提高絮凝效率，增强絮凝效果，絮凝池应采用立体网格絮凝池。</w:t>
      </w:r>
    </w:p>
    <w:p w14:paraId="04D33CD4">
      <w:pPr>
        <w:spacing w:line="500" w:lineRule="exact"/>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为提高沉淀效率，加强设备耐腐蚀性，提高使用寿命和维护周期，保证水质安全，应采用斜管沉淀池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斜管采用不锈钢304材质。</w:t>
      </w:r>
    </w:p>
    <w:p w14:paraId="3D7A5EB5">
      <w:pPr>
        <w:spacing w:line="50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需采用气动阀，控制部分与阀体分离，</w:t>
      </w:r>
      <w:r>
        <w:rPr>
          <w:rFonts w:hint="eastAsia" w:ascii="宋体" w:hAnsi="宋体" w:eastAsia="宋体" w:cs="宋体"/>
          <w:color w:val="auto"/>
          <w:sz w:val="24"/>
          <w:szCs w:val="24"/>
          <w:highlight w:val="none"/>
          <w:lang w:val="en-US" w:eastAsia="zh-CN"/>
        </w:rPr>
        <w:t>并且配备气源系统</w:t>
      </w:r>
      <w:r>
        <w:rPr>
          <w:rFonts w:hint="eastAsia" w:ascii="宋体" w:hAnsi="宋体" w:eastAsia="宋体" w:cs="宋体"/>
          <w:color w:val="auto"/>
          <w:sz w:val="24"/>
          <w:szCs w:val="24"/>
          <w:highlight w:val="none"/>
        </w:rPr>
        <w:t>。</w:t>
      </w:r>
      <w:bookmarkEnd w:id="8"/>
    </w:p>
    <w:p w14:paraId="108855B1">
      <w:pPr>
        <w:spacing w:line="50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水处理设施在运行上有较大灵活性，能适应水质水量变化。</w:t>
      </w:r>
    </w:p>
    <w:p w14:paraId="50A6FE33">
      <w:pPr>
        <w:spacing w:line="50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充分考虑水处理设备减振、降噪、排污等措施，从而防止对环境的二次污染。</w:t>
      </w:r>
    </w:p>
    <w:p w14:paraId="2B85EDE4">
      <w:pPr>
        <w:spacing w:line="50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贯彻节能的原则，考虑可以利用场地的实际情况，总体设计布局合理。</w:t>
      </w:r>
    </w:p>
    <w:p w14:paraId="75DE2B9A">
      <w:pPr>
        <w:spacing w:line="50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集中布置、减少设备单体、节约用地原则；本项目水厂用地十分紧张，采用 集中布置絮凝池，沉淀池模块、过滤池模块于一体的集成净水</w:t>
      </w:r>
      <w:r>
        <w:rPr>
          <w:rFonts w:hint="eastAsia" w:ascii="宋体" w:hAnsi="宋体" w:eastAsia="宋体" w:cs="宋体"/>
          <w:color w:val="auto"/>
          <w:sz w:val="24"/>
          <w:szCs w:val="24"/>
          <w:highlight w:val="none"/>
          <w:lang w:val="en-US" w:eastAsia="zh-CN"/>
        </w:rPr>
        <w:t>设备</w:t>
      </w:r>
      <w:r>
        <w:rPr>
          <w:rFonts w:hint="eastAsia" w:ascii="宋体" w:hAnsi="宋体" w:eastAsia="宋体" w:cs="宋体"/>
          <w:color w:val="auto"/>
          <w:sz w:val="24"/>
          <w:szCs w:val="24"/>
          <w:highlight w:val="none"/>
        </w:rPr>
        <w:t>，最大程度减少占地、简化管线。</w:t>
      </w:r>
    </w:p>
    <w:p w14:paraId="2764892D">
      <w:pPr>
        <w:spacing w:line="50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 xml:space="preserve"> 水处理工艺成熟先进、水处理参数优良安全原则；突出实用性、安全性、先 进性。网格絮凝时间、斜管沉淀表面负荷、滤池过滤速度、反冲洗强度等关键参数，均在规范要求的范围内择优选用，加大安全系数，增强水处理系统对水质变化的应对能力，提高出水水质，确保供水安全。</w:t>
      </w:r>
    </w:p>
    <w:p w14:paraId="275A3F30">
      <w:pPr>
        <w:spacing w:line="500" w:lineRule="exact"/>
        <w:ind w:firstLine="470" w:firstLineChars="196"/>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12、一体化集成净水设备工艺设备结构尺寸</w:t>
      </w:r>
    </w:p>
    <w:p w14:paraId="794D6FF4">
      <w:pPr>
        <w:spacing w:line="500" w:lineRule="exact"/>
        <w:ind w:firstLine="470" w:firstLineChars="196"/>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24"/>
          <w:szCs w:val="24"/>
          <w:highlight w:val="none"/>
          <w:lang w:val="en-US" w:eastAsia="zh-CN"/>
        </w:rPr>
        <w:t>絮凝模块1.03m*0.53m*4.26m，整体304不锈钢材质，含絮凝网格组件、配套阀门、管路等附件。沉淀模块1.03m×2.59m×4.26m，整体304不锈钢材质，含斜板装置、出水堰、配套阀门、管路等附件。过滤模块1.03m×1.03m×4.26m，整体304不锈钢材质，含滤料、反冲洗系统、配套阀门、管路等附件。反冲洗系统阀门要求气动阀门并且配备气源系统。</w:t>
      </w:r>
    </w:p>
    <w:p w14:paraId="68633AF6">
      <w:pPr>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（二）、一体化集成净水设备仪表部分技术要求：</w:t>
      </w:r>
    </w:p>
    <w:p w14:paraId="6EA00389">
      <w:pPr>
        <w:pStyle w:val="12"/>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1、多参数水质监测</w:t>
      </w:r>
    </w:p>
    <w:p w14:paraId="15D89B61">
      <w:pPr>
        <w:spacing w:line="500" w:lineRule="exact"/>
        <w:ind w:firstLine="470" w:firstLineChars="196"/>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多参数水质在线检测仪具备出厂水余氯、浊度、PH等参数检测，共计1台，详细参数如下：</w:t>
      </w:r>
    </w:p>
    <w:p w14:paraId="2F546B62">
      <w:pPr>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1.1、</w:t>
      </w:r>
      <w:r>
        <w:rPr>
          <w:rFonts w:hint="eastAsia" w:ascii="宋体" w:hAnsi="宋体" w:eastAsia="宋体" w:cs="宋体"/>
          <w:b/>
          <w:bCs/>
          <w:color w:val="auto"/>
          <w:sz w:val="24"/>
          <w:szCs w:val="24"/>
        </w:rPr>
        <w:t>设备参数</w:t>
      </w:r>
    </w:p>
    <w:p w14:paraId="1EA7ECC7">
      <w:pPr>
        <w:pStyle w:val="28"/>
        <w:keepNext w:val="0"/>
        <w:keepLines w:val="0"/>
        <w:pageBreakBefore w:val="0"/>
        <w:widowControl w:val="0"/>
        <w:numPr>
          <w:ilvl w:val="0"/>
          <w:numId w:val="2"/>
        </w:numPr>
        <w:kinsoku/>
        <w:wordWrap/>
        <w:overflowPunct/>
        <w:topLinePunct w:val="0"/>
        <w:autoSpaceDE/>
        <w:autoSpaceDN/>
        <w:bidi w:val="0"/>
        <w:adjustRightInd/>
        <w:snapToGrid/>
        <w:spacing w:line="480" w:lineRule="auto"/>
        <w:ind w:firstLine="240" w:firstLineChars="1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分析仪同时支持220VAC，24VDC两种供电模式</w:t>
      </w:r>
    </w:p>
    <w:p w14:paraId="1EF00F64">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系统集管网水质监测传感器，数据处理单元，内部水流管路单元为一体，一体化设计，占用空间小；</w:t>
      </w:r>
    </w:p>
    <w:p w14:paraId="2E656983">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lang w:eastAsia="zh-CN"/>
        </w:rPr>
        <w:t>）</w:t>
      </w:r>
      <w:r>
        <w:rPr>
          <w:rFonts w:hint="eastAsia" w:ascii="宋体" w:hAnsi="宋体" w:eastAsia="宋体" w:cs="宋体"/>
          <w:bCs/>
          <w:color w:val="auto"/>
          <w:sz w:val="24"/>
          <w:szCs w:val="24"/>
          <w:highlight w:val="none"/>
          <w:lang w:val="en-US" w:eastAsia="zh-CN"/>
        </w:rPr>
        <w:t>设备配置RS485串口及以太网通讯，RS485支持Mudbus-RTU协议，以太网口支持Moubus-TCP协议</w:t>
      </w:r>
    </w:p>
    <w:p w14:paraId="6FAEF0CB">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内部接线及水路集成度高，用户只需接通电源和进出水,设备现场安装便捷；</w:t>
      </w:r>
    </w:p>
    <w:p w14:paraId="020A85DE">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内部水路设计可尽量保证设备内部测量过程中水流稳定，确保数据准确无误；</w:t>
      </w:r>
    </w:p>
    <w:p w14:paraId="0F0A083C">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6</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浊度内置消泡装置，可消除液体中的气泡干扰。</w:t>
      </w:r>
    </w:p>
    <w:p w14:paraId="7D12304E">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余氯支持一点、两点校准模式</w:t>
      </w:r>
      <w:r>
        <w:rPr>
          <w:rFonts w:hint="eastAsia" w:ascii="宋体" w:hAnsi="宋体" w:eastAsia="宋体" w:cs="宋体"/>
          <w:color w:val="auto"/>
          <w:sz w:val="24"/>
          <w:szCs w:val="24"/>
          <w:lang w:eastAsia="zh-CN"/>
        </w:rPr>
        <w:t>。</w:t>
      </w:r>
    </w:p>
    <w:p w14:paraId="715D0EF8">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仪器内置流量计，能监测流量，具备缺水状态信号输出功能</w:t>
      </w:r>
      <w:r>
        <w:rPr>
          <w:rFonts w:hint="eastAsia" w:ascii="宋体" w:hAnsi="宋体" w:eastAsia="宋体" w:cs="宋体"/>
          <w:color w:val="auto"/>
          <w:sz w:val="24"/>
          <w:szCs w:val="24"/>
          <w:lang w:eastAsia="zh-CN"/>
        </w:rPr>
        <w:t>。</w:t>
      </w:r>
    </w:p>
    <w:p w14:paraId="42805BF8">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分析仪带有密码权限管理功能</w:t>
      </w:r>
      <w:r>
        <w:rPr>
          <w:rFonts w:hint="eastAsia" w:ascii="宋体" w:hAnsi="宋体" w:eastAsia="宋体" w:cs="宋体"/>
          <w:color w:val="auto"/>
          <w:sz w:val="24"/>
          <w:szCs w:val="24"/>
          <w:lang w:eastAsia="zh-CN"/>
        </w:rPr>
        <w:t>，管理员可根据权限现场修改设置各分界面及菜单密码。</w:t>
      </w:r>
    </w:p>
    <w:p w14:paraId="57690E78">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分析仪具备扩展功能，可同时监测显示</w:t>
      </w:r>
      <w:r>
        <w:rPr>
          <w:rFonts w:hint="eastAsia" w:ascii="宋体" w:hAnsi="宋体" w:eastAsia="宋体" w:cs="宋体"/>
          <w:color w:val="auto"/>
          <w:sz w:val="24"/>
          <w:szCs w:val="24"/>
          <w:lang w:val="en-US" w:eastAsia="zh-CN"/>
        </w:rPr>
        <w:t>多</w:t>
      </w:r>
      <w:r>
        <w:rPr>
          <w:rFonts w:hint="eastAsia" w:ascii="宋体" w:hAnsi="宋体" w:eastAsia="宋体" w:cs="宋体"/>
          <w:color w:val="auto"/>
          <w:sz w:val="24"/>
          <w:szCs w:val="24"/>
        </w:rPr>
        <w:t>个参数</w:t>
      </w:r>
      <w:r>
        <w:rPr>
          <w:rFonts w:hint="eastAsia" w:ascii="宋体" w:hAnsi="宋体" w:eastAsia="宋体" w:cs="宋体"/>
          <w:color w:val="auto"/>
          <w:sz w:val="24"/>
          <w:szCs w:val="24"/>
          <w:lang w:eastAsia="zh-CN"/>
        </w:rPr>
        <w:t>。</w:t>
      </w:r>
    </w:p>
    <w:p w14:paraId="24ABC70A">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b/>
          <w:bCs/>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具备数据显示、采集、储存、断电保存、处理和输出的功能，其中数据处理功能应包括报表统计、图形曲线分析及超标和异常数据报警等，可在设备上编辑因子名称、分辨率及单位</w:t>
      </w:r>
      <w:r>
        <w:rPr>
          <w:rFonts w:hint="eastAsia" w:ascii="宋体" w:hAnsi="宋体" w:eastAsia="宋体" w:cs="宋体"/>
          <w:color w:val="auto"/>
          <w:sz w:val="24"/>
          <w:szCs w:val="24"/>
          <w:lang w:eastAsia="zh-CN"/>
        </w:rPr>
        <w:t>。</w:t>
      </w:r>
    </w:p>
    <w:p w14:paraId="2D53FC82">
      <w:pPr>
        <w:pageBreakBefore w:val="0"/>
        <w:widowControl w:val="0"/>
        <w:kinsoku/>
        <w:wordWrap/>
        <w:overflowPunct/>
        <w:topLinePunct w:val="0"/>
        <w:autoSpaceDE/>
        <w:autoSpaceDN/>
        <w:bidi w:val="0"/>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1.2、柜体技术指标</w:t>
      </w:r>
    </w:p>
    <w:p w14:paraId="2E05E979">
      <w:pPr>
        <w:pageBreakBefore w:val="0"/>
        <w:widowControl w:val="0"/>
        <w:kinsoku/>
        <w:wordWrap/>
        <w:overflowPunct/>
        <w:topLinePunct w:val="0"/>
        <w:autoSpaceDE/>
        <w:autoSpaceDN/>
        <w:bidi w:val="0"/>
        <w:snapToGrid/>
        <w:spacing w:line="360" w:lineRule="auto"/>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 xml:space="preserve">工作电源：(220±10%)VAC，50/60 Hz  </w:t>
      </w:r>
    </w:p>
    <w:p w14:paraId="7AA16867">
      <w:pPr>
        <w:pageBreakBefore w:val="0"/>
        <w:widowControl w:val="0"/>
        <w:kinsoku/>
        <w:wordWrap/>
        <w:overflowPunct/>
        <w:topLinePunct w:val="0"/>
        <w:autoSpaceDE/>
        <w:autoSpaceDN/>
        <w:bidi w:val="0"/>
        <w:snapToGrid/>
        <w:spacing w:line="360" w:lineRule="auto"/>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功率：＜</w:t>
      </w:r>
      <w:r>
        <w:rPr>
          <w:rFonts w:hint="eastAsia" w:ascii="宋体" w:hAnsi="宋体" w:eastAsia="宋体" w:cs="宋体"/>
          <w:b w:val="0"/>
          <w:bCs w:val="0"/>
          <w:color w:val="auto"/>
          <w:sz w:val="24"/>
          <w:szCs w:val="24"/>
          <w:lang w:val="en-US" w:eastAsia="zh-CN"/>
        </w:rPr>
        <w:t>20</w:t>
      </w:r>
      <w:r>
        <w:rPr>
          <w:rFonts w:hint="eastAsia" w:ascii="宋体" w:hAnsi="宋体" w:eastAsia="宋体" w:cs="宋体"/>
          <w:b w:val="0"/>
          <w:bCs w:val="0"/>
          <w:color w:val="auto"/>
          <w:sz w:val="24"/>
          <w:szCs w:val="24"/>
        </w:rPr>
        <w:t>W</w:t>
      </w:r>
      <w:r>
        <w:rPr>
          <w:rFonts w:hint="eastAsia" w:ascii="宋体" w:hAnsi="宋体" w:eastAsia="宋体" w:cs="宋体"/>
          <w:b w:val="0"/>
          <w:bCs w:val="0"/>
          <w:color w:val="auto"/>
          <w:sz w:val="24"/>
          <w:szCs w:val="24"/>
          <w:lang w:val="en-US" w:eastAsia="zh-CN"/>
        </w:rPr>
        <w:t xml:space="preserve"> </w:t>
      </w:r>
    </w:p>
    <w:p w14:paraId="2232502F">
      <w:pPr>
        <w:pageBreakBefore w:val="0"/>
        <w:widowControl w:val="0"/>
        <w:kinsoku/>
        <w:wordWrap/>
        <w:overflowPunct/>
        <w:topLinePunct w:val="0"/>
        <w:autoSpaceDE/>
        <w:autoSpaceDN/>
        <w:bidi w:val="0"/>
        <w:snapToGrid/>
        <w:spacing w:line="360" w:lineRule="auto"/>
        <w:textAlignment w:val="auto"/>
        <w:rPr>
          <w:rFonts w:hint="eastAsia" w:ascii="宋体" w:hAnsi="宋体" w:eastAsia="宋体" w:cs="宋体"/>
          <w:b w:val="0"/>
          <w:bCs w:val="0"/>
          <w:color w:val="auto"/>
          <w:sz w:val="24"/>
          <w:szCs w:val="24"/>
          <w:lang w:val="en-US"/>
        </w:rPr>
      </w:pP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机柜尺寸：</w:t>
      </w:r>
      <w:r>
        <w:rPr>
          <w:rFonts w:hint="eastAsia" w:ascii="宋体" w:hAnsi="宋体" w:eastAsia="宋体" w:cs="宋体"/>
          <w:b w:val="0"/>
          <w:bCs w:val="0"/>
          <w:color w:val="auto"/>
          <w:sz w:val="24"/>
          <w:szCs w:val="24"/>
          <w:lang w:val="en-US" w:eastAsia="zh-CN"/>
        </w:rPr>
        <w:t>1200*600*400</w:t>
      </w:r>
    </w:p>
    <w:p w14:paraId="7B753BE9">
      <w:pPr>
        <w:pageBreakBefore w:val="0"/>
        <w:widowControl w:val="0"/>
        <w:kinsoku/>
        <w:wordWrap/>
        <w:overflowPunct/>
        <w:topLinePunct w:val="0"/>
        <w:autoSpaceDE/>
        <w:autoSpaceDN/>
        <w:bidi w:val="0"/>
        <w:snapToGrid/>
        <w:spacing w:line="360" w:lineRule="auto"/>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lang w:eastAsia="zh-CN"/>
        </w:rPr>
        <w:t>）</w:t>
      </w:r>
      <w:r>
        <w:rPr>
          <w:rFonts w:hint="eastAsia" w:ascii="宋体" w:hAnsi="宋体" w:eastAsia="宋体" w:cs="宋体"/>
          <w:color w:val="auto"/>
          <w:sz w:val="24"/>
          <w:szCs w:val="24"/>
          <w:lang w:val="en-US" w:eastAsia="zh-CN"/>
        </w:rPr>
        <w:t>PLC</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具备PLC可编程控制器</w:t>
      </w:r>
    </w:p>
    <w:p w14:paraId="69248746">
      <w:pPr>
        <w:pStyle w:val="28"/>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防护等级</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IP</w:t>
      </w:r>
      <w:r>
        <w:rPr>
          <w:rFonts w:hint="eastAsia" w:ascii="宋体" w:hAnsi="宋体" w:eastAsia="宋体" w:cs="宋体"/>
          <w:b w:val="0"/>
          <w:bCs w:val="0"/>
          <w:color w:val="auto"/>
          <w:sz w:val="24"/>
          <w:szCs w:val="24"/>
          <w:lang w:val="en-US" w:eastAsia="zh-CN"/>
        </w:rPr>
        <w:t>68</w:t>
      </w:r>
    </w:p>
    <w:p w14:paraId="571B34E5">
      <w:pPr>
        <w:pageBreakBefore w:val="0"/>
        <w:widowControl w:val="0"/>
        <w:kinsoku/>
        <w:wordWrap/>
        <w:overflowPunct/>
        <w:topLinePunct w:val="0"/>
        <w:autoSpaceDE/>
        <w:autoSpaceDN/>
        <w:bidi w:val="0"/>
        <w:snapToGrid/>
        <w:spacing w:line="360" w:lineRule="auto"/>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6</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柜体材料：304不锈钢</w:t>
      </w:r>
    </w:p>
    <w:p w14:paraId="06CA80BA">
      <w:pPr>
        <w:pageBreakBefore w:val="0"/>
        <w:widowControl w:val="0"/>
        <w:kinsoku/>
        <w:wordWrap/>
        <w:overflowPunct/>
        <w:topLinePunct w:val="0"/>
        <w:autoSpaceDE/>
        <w:autoSpaceDN/>
        <w:bidi w:val="0"/>
        <w:snapToGrid/>
        <w:spacing w:line="360" w:lineRule="auto"/>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7</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 xml:space="preserve">工作温度：4℃～40℃ </w:t>
      </w:r>
    </w:p>
    <w:p w14:paraId="2066315B">
      <w:pPr>
        <w:pageBreakBefore w:val="0"/>
        <w:widowControl w:val="0"/>
        <w:kinsoku/>
        <w:wordWrap/>
        <w:overflowPunct/>
        <w:topLinePunct w:val="0"/>
        <w:autoSpaceDE/>
        <w:autoSpaceDN/>
        <w:bidi w:val="0"/>
        <w:snapToGrid/>
        <w:spacing w:line="360" w:lineRule="auto"/>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8</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工作湿度：≤95%RH（无冷凝）</w:t>
      </w:r>
    </w:p>
    <w:p w14:paraId="02E20EFF">
      <w:pPr>
        <w:pageBreakBefore w:val="0"/>
        <w:widowControl w:val="0"/>
        <w:kinsoku/>
        <w:wordWrap/>
        <w:overflowPunct/>
        <w:topLinePunct w:val="0"/>
        <w:autoSpaceDE/>
        <w:autoSpaceDN/>
        <w:bidi w:val="0"/>
        <w:snapToGrid/>
        <w:spacing w:line="360" w:lineRule="auto"/>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9</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进水流量：250～300mL/min（配有流量计）</w:t>
      </w:r>
    </w:p>
    <w:p w14:paraId="6B569591">
      <w:pPr>
        <w:pageBreakBefore w:val="0"/>
        <w:widowControl w:val="0"/>
        <w:kinsoku/>
        <w:wordWrap/>
        <w:overflowPunct/>
        <w:topLinePunct w:val="0"/>
        <w:autoSpaceDE/>
        <w:autoSpaceDN/>
        <w:bidi w:val="0"/>
        <w:snapToGrid/>
        <w:spacing w:line="360" w:lineRule="auto"/>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10</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进水压力：≤4bar（配有减压阀）</w:t>
      </w:r>
    </w:p>
    <w:p w14:paraId="7B20BBE2">
      <w:pPr>
        <w:pageBreakBefore w:val="0"/>
        <w:widowControl w:val="0"/>
        <w:kinsoku/>
        <w:wordWrap/>
        <w:overflowPunct/>
        <w:topLinePunct w:val="0"/>
        <w:autoSpaceDE/>
        <w:autoSpaceDN/>
        <w:bidi w:val="0"/>
        <w:snapToGrid/>
        <w:spacing w:line="360" w:lineRule="auto"/>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11</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通讯接口：RS485 Modbus RTU 通讯协议</w:t>
      </w:r>
    </w:p>
    <w:p w14:paraId="4F665483">
      <w:pPr>
        <w:pageBreakBefore w:val="0"/>
        <w:widowControl w:val="0"/>
        <w:kinsoku/>
        <w:wordWrap/>
        <w:overflowPunct/>
        <w:topLinePunct w:val="0"/>
        <w:autoSpaceDE/>
        <w:autoSpaceDN/>
        <w:bidi w:val="0"/>
        <w:snapToGrid/>
        <w:spacing w:line="360" w:lineRule="auto"/>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12</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显示屏：</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rPr>
        <w:t>7寸彩色触摸屏,LED背光</w:t>
      </w:r>
    </w:p>
    <w:p w14:paraId="2B878E4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1.3、传感器</w:t>
      </w:r>
      <w:r>
        <w:rPr>
          <w:rFonts w:hint="eastAsia" w:ascii="宋体" w:hAnsi="宋体" w:eastAsia="宋体" w:cs="宋体"/>
          <w:b/>
          <w:bCs/>
          <w:color w:val="auto"/>
          <w:sz w:val="24"/>
          <w:szCs w:val="24"/>
        </w:rPr>
        <w:t>技术参数</w:t>
      </w:r>
    </w:p>
    <w:p w14:paraId="483EA6B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余氯传感器技术参数：</w:t>
      </w:r>
    </w:p>
    <w:p w14:paraId="56AEF5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测量系统： 微电子MEMS技术，特殊膜结构</w:t>
      </w:r>
    </w:p>
    <w:p w14:paraId="5C419F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测量范围：0-2mg/L/0-5mg/L</w:t>
      </w:r>
    </w:p>
    <w:p w14:paraId="7C2869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测量精度：0-2mg/L：0.1mg/L时，绝对误差±0.01mg/L</w:t>
      </w:r>
    </w:p>
    <w:p w14:paraId="127AC3C1">
      <w:pPr>
        <w:keepNext w:val="0"/>
        <w:keepLines w:val="0"/>
        <w:pageBreakBefore w:val="0"/>
        <w:widowControl w:val="0"/>
        <w:kinsoku/>
        <w:wordWrap/>
        <w:overflowPunct/>
        <w:topLinePunct w:val="0"/>
        <w:autoSpaceDE/>
        <w:autoSpaceDN/>
        <w:bidi w:val="0"/>
        <w:adjustRightInd/>
        <w:snapToGrid/>
        <w:spacing w:line="360" w:lineRule="auto"/>
        <w:ind w:firstLine="1680" w:firstLineChars="7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0.1≤X≤2mg/L时，测量值的±5%或±0.03mg/L（取较大值）</w:t>
      </w:r>
    </w:p>
    <w:p w14:paraId="4C8B32E7">
      <w:pPr>
        <w:keepNext w:val="0"/>
        <w:keepLines w:val="0"/>
        <w:pageBreakBefore w:val="0"/>
        <w:widowControl w:val="0"/>
        <w:kinsoku/>
        <w:wordWrap/>
        <w:overflowPunct/>
        <w:topLinePunct w:val="0"/>
        <w:autoSpaceDE/>
        <w:autoSpaceDN/>
        <w:bidi w:val="0"/>
        <w:adjustRightInd/>
        <w:snapToGrid/>
        <w:spacing w:line="360" w:lineRule="auto"/>
        <w:ind w:firstLine="1680" w:firstLineChars="7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2-5mg/L ：测量值的±5%或±0.25mg/L（取较大值）</w:t>
      </w:r>
    </w:p>
    <w:p w14:paraId="6B4277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分辨率( mg/L) ：0.01</w:t>
      </w:r>
    </w:p>
    <w:p w14:paraId="308DB8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极化时间： 首次使用，含氯水中先通水2小时，再通电半小时</w:t>
      </w:r>
    </w:p>
    <w:p w14:paraId="74207C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6</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响应时间: 极化完成后小于30s</w:t>
      </w:r>
    </w:p>
    <w:p w14:paraId="348301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7</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最小电导率: ≥100μS /cm，不能用于超纯水</w:t>
      </w:r>
    </w:p>
    <w:p w14:paraId="63FDAD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8</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工作温度: 0~40℃（无冷凝）</w:t>
      </w:r>
    </w:p>
    <w:p w14:paraId="11F568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9</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温度补偿: PT1000，内置集成自动补偿</w:t>
      </w:r>
    </w:p>
    <w:p w14:paraId="012A47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10</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最大压力： 10bar</w:t>
      </w:r>
    </w:p>
    <w:p w14:paraId="43FC96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11</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流量： ≥10L/h，（在FCL-2流通池中）</w:t>
      </w:r>
    </w:p>
    <w:p w14:paraId="11253F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12</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供电电压: 12V DC±2V (可定制）；选配：24VDC</w:t>
      </w:r>
    </w:p>
    <w:p w14:paraId="2DBE1A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13</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功耗: 最小功耗0.5W，建议电源容量1.5W</w:t>
      </w:r>
    </w:p>
    <w:p w14:paraId="089935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14</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数字通讯: MODBUS RS485 通讯功能</w:t>
      </w:r>
    </w:p>
    <w:p w14:paraId="299559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15</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连接方式： 5芯防水航空插头</w:t>
      </w:r>
    </w:p>
    <w:p w14:paraId="175D53C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浊度传感器技术参数：</w:t>
      </w:r>
    </w:p>
    <w:p w14:paraId="0DE9357B">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测量方法</w:t>
      </w:r>
      <w:r>
        <w:rPr>
          <w:rFonts w:hint="eastAsia" w:ascii="宋体" w:hAnsi="宋体" w:eastAsia="宋体" w:cs="宋体"/>
          <w:b w:val="0"/>
          <w:bCs w:val="0"/>
          <w:color w:val="auto"/>
          <w:sz w:val="24"/>
          <w:szCs w:val="24"/>
        </w:rPr>
        <w:t>：90度光散射法，专门用于低量程范围的浊度监测</w:t>
      </w:r>
    </w:p>
    <w:p w14:paraId="16923E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color w:val="auto"/>
          <w:sz w:val="24"/>
          <w:szCs w:val="24"/>
          <w:lang w:val="en-US" w:eastAsia="zh-CN"/>
        </w:rPr>
        <w:t>2）</w:t>
      </w:r>
      <w:r>
        <w:rPr>
          <w:rFonts w:hint="eastAsia" w:ascii="宋体" w:hAnsi="宋体" w:eastAsia="宋体" w:cs="宋体"/>
          <w:b w:val="0"/>
          <w:bCs w:val="0"/>
          <w:color w:val="auto"/>
          <w:sz w:val="24"/>
          <w:szCs w:val="24"/>
          <w:lang w:val="en-US" w:eastAsia="zh-CN"/>
        </w:rPr>
        <w:t>双路光源：</w:t>
      </w:r>
      <w:r>
        <w:rPr>
          <w:rFonts w:hint="eastAsia" w:ascii="宋体" w:hAnsi="宋体" w:eastAsia="宋体" w:cs="宋体"/>
          <w:b w:val="0"/>
          <w:bCs/>
          <w:color w:val="auto"/>
          <w:sz w:val="24"/>
          <w:szCs w:val="24"/>
          <w:lang w:val="en-US" w:eastAsia="zh-CN"/>
        </w:rPr>
        <w:t>传感器满足双路冗余检测原理</w:t>
      </w:r>
    </w:p>
    <w:p w14:paraId="090813BA">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光源:</w:t>
      </w:r>
      <w:r>
        <w:rPr>
          <w:rFonts w:hint="eastAsia" w:ascii="宋体" w:hAnsi="宋体" w:eastAsia="宋体" w:cs="宋体"/>
          <w:b w:val="0"/>
          <w:bCs w:val="0"/>
          <w:color w:val="auto"/>
          <w:sz w:val="24"/>
          <w:szCs w:val="24"/>
        </w:rPr>
        <w:t>采用</w:t>
      </w:r>
      <w:r>
        <w:rPr>
          <w:rFonts w:hint="eastAsia" w:ascii="宋体" w:hAnsi="宋体" w:eastAsia="宋体" w:cs="宋体"/>
          <w:b w:val="0"/>
          <w:bCs w:val="0"/>
          <w:color w:val="auto"/>
          <w:sz w:val="24"/>
          <w:szCs w:val="24"/>
          <w:lang w:val="en-US" w:eastAsia="zh-CN"/>
        </w:rPr>
        <w:t>红外</w:t>
      </w:r>
      <w:r>
        <w:rPr>
          <w:rFonts w:hint="eastAsia" w:ascii="宋体" w:hAnsi="宋体" w:eastAsia="宋体" w:cs="宋体"/>
          <w:b w:val="0"/>
          <w:bCs w:val="0"/>
          <w:color w:val="auto"/>
          <w:sz w:val="24"/>
          <w:szCs w:val="24"/>
        </w:rPr>
        <w:t>灯源，寿命长，功耗低，灯光衰小，稳定性强</w:t>
      </w:r>
    </w:p>
    <w:p w14:paraId="3021DC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量程</w:t>
      </w:r>
      <w:r>
        <w:rPr>
          <w:rFonts w:hint="eastAsia" w:ascii="宋体" w:hAnsi="宋体" w:eastAsia="宋体" w:cs="宋体"/>
          <w:b w:val="0"/>
          <w:bCs w:val="0"/>
          <w:color w:val="auto"/>
          <w:sz w:val="24"/>
          <w:szCs w:val="24"/>
        </w:rPr>
        <w:t>：</w:t>
      </w:r>
      <w:r>
        <w:rPr>
          <w:rFonts w:hint="eastAsia" w:ascii="宋体" w:hAnsi="宋体" w:eastAsia="宋体" w:cs="宋体"/>
          <w:color w:val="auto"/>
          <w:sz w:val="24"/>
          <w:szCs w:val="24"/>
          <w:highlight w:val="none"/>
        </w:rPr>
        <w:t xml:space="preserve">0-20NTU </w:t>
      </w:r>
    </w:p>
    <w:p w14:paraId="19FE38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分辨</w:t>
      </w:r>
      <w:r>
        <w:rPr>
          <w:rFonts w:hint="eastAsia" w:ascii="宋体" w:hAnsi="宋体" w:eastAsia="宋体" w:cs="宋体"/>
          <w:b w:val="0"/>
          <w:bCs w:val="0"/>
          <w:color w:val="auto"/>
          <w:sz w:val="24"/>
          <w:szCs w:val="24"/>
          <w:lang w:val="en-US" w:eastAsia="zh-CN"/>
        </w:rPr>
        <w:t>率：</w:t>
      </w:r>
      <w:r>
        <w:rPr>
          <w:rFonts w:hint="eastAsia" w:ascii="宋体" w:hAnsi="宋体" w:eastAsia="宋体" w:cs="宋体"/>
          <w:color w:val="auto"/>
          <w:sz w:val="24"/>
          <w:szCs w:val="24"/>
          <w:highlight w:val="none"/>
        </w:rPr>
        <w:t>0.001NTU</w:t>
      </w:r>
    </w:p>
    <w:p w14:paraId="5192AC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lang w:val="en-US" w:eastAsia="zh-CN"/>
        </w:rPr>
        <w:t>6）检测下限：</w:t>
      </w:r>
      <w:r>
        <w:rPr>
          <w:rFonts w:hint="eastAsia" w:ascii="宋体" w:hAnsi="宋体" w:eastAsia="宋体" w:cs="宋体"/>
          <w:b w:val="0"/>
          <w:bCs w:val="0"/>
          <w:color w:val="auto"/>
          <w:sz w:val="24"/>
          <w:szCs w:val="24"/>
          <w:highlight w:val="none"/>
        </w:rPr>
        <w:t>0.02NTU</w:t>
      </w:r>
    </w:p>
    <w:p w14:paraId="194082C0">
      <w:pPr>
        <w:pStyle w:val="16"/>
        <w:keepNext w:val="0"/>
        <w:keepLines w:val="0"/>
        <w:pageBreakBefore w:val="0"/>
        <w:widowControl w:val="0"/>
        <w:tabs>
          <w:tab w:val="left" w:pos="208"/>
        </w:tabs>
        <w:kinsoku/>
        <w:wordWrap/>
        <w:overflowPunct/>
        <w:topLinePunct w:val="0"/>
        <w:autoSpaceDE/>
        <w:autoSpaceDN/>
        <w:bidi w:val="0"/>
        <w:snapToGrid/>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7）零点漂移：</w:t>
      </w:r>
      <w:r>
        <w:rPr>
          <w:rFonts w:hint="eastAsia" w:ascii="宋体" w:hAnsi="宋体" w:eastAsia="宋体" w:cs="宋体"/>
          <w:b w:val="0"/>
          <w:bCs w:val="0"/>
          <w:color w:val="auto"/>
          <w:sz w:val="24"/>
          <w:szCs w:val="24"/>
          <w:highlight w:val="none"/>
        </w:rPr>
        <w:t>≤1.5%</w:t>
      </w:r>
    </w:p>
    <w:p w14:paraId="16B079F9">
      <w:pPr>
        <w:pStyle w:val="16"/>
        <w:keepNext w:val="0"/>
        <w:keepLines w:val="0"/>
        <w:pageBreakBefore w:val="0"/>
        <w:widowControl w:val="0"/>
        <w:tabs>
          <w:tab w:val="left" w:pos="208"/>
        </w:tabs>
        <w:kinsoku/>
        <w:wordWrap/>
        <w:overflowPunct/>
        <w:topLinePunct w:val="0"/>
        <w:autoSpaceDE/>
        <w:autoSpaceDN/>
        <w:bidi w:val="0"/>
        <w:snapToGrid/>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rPr>
        <w:t>示值稳定性</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≤1.5%</w:t>
      </w:r>
    </w:p>
    <w:p w14:paraId="28BEBB5F">
      <w:pPr>
        <w:pStyle w:val="16"/>
        <w:keepNext w:val="0"/>
        <w:keepLines w:val="0"/>
        <w:pageBreakBefore w:val="0"/>
        <w:widowControl w:val="0"/>
        <w:tabs>
          <w:tab w:val="left" w:pos="208"/>
        </w:tabs>
        <w:kinsoku/>
        <w:wordWrap/>
        <w:overflowPunct/>
        <w:topLinePunct w:val="0"/>
        <w:autoSpaceDE/>
        <w:autoSpaceDN/>
        <w:bidi w:val="0"/>
        <w:snapToGrid/>
        <w:spacing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rPr>
        <w:t>精度</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0.4%</w:t>
      </w:r>
    </w:p>
    <w:p w14:paraId="4874AB2B">
      <w:pPr>
        <w:pStyle w:val="16"/>
        <w:keepNext w:val="0"/>
        <w:keepLines w:val="0"/>
        <w:pageBreakBefore w:val="0"/>
        <w:widowControl w:val="0"/>
        <w:tabs>
          <w:tab w:val="left" w:pos="208"/>
        </w:tabs>
        <w:kinsoku/>
        <w:wordWrap/>
        <w:overflowPunct/>
        <w:topLinePunct w:val="0"/>
        <w:autoSpaceDE/>
        <w:autoSpaceDN/>
        <w:bidi w:val="0"/>
        <w:snapToGrid/>
        <w:spacing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10)重复性：≤0.1%</w:t>
      </w:r>
      <w:r>
        <w:rPr>
          <w:rFonts w:hint="eastAsia" w:ascii="宋体" w:hAnsi="宋体" w:eastAsia="宋体" w:cs="宋体"/>
          <w:b w:val="0"/>
          <w:bCs w:val="0"/>
          <w:color w:val="auto"/>
          <w:sz w:val="24"/>
          <w:szCs w:val="24"/>
          <w:lang w:val="en-US" w:eastAsia="zh-CN"/>
        </w:rPr>
        <w:t xml:space="preserve"> </w:t>
      </w:r>
    </w:p>
    <w:p w14:paraId="77187490">
      <w:pPr>
        <w:pStyle w:val="16"/>
        <w:keepNext w:val="0"/>
        <w:keepLines w:val="0"/>
        <w:pageBreakBefore w:val="0"/>
        <w:widowControl w:val="0"/>
        <w:tabs>
          <w:tab w:val="left" w:pos="208"/>
        </w:tabs>
        <w:kinsoku/>
        <w:wordWrap/>
        <w:overflowPunct/>
        <w:topLinePunct w:val="0"/>
        <w:autoSpaceDE/>
        <w:autoSpaceDN/>
        <w:bidi w:val="0"/>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11)响应时间：</w:t>
      </w:r>
      <w:r>
        <w:rPr>
          <w:rFonts w:hint="eastAsia" w:ascii="宋体" w:hAnsi="宋体" w:eastAsia="宋体" w:cs="宋体"/>
          <w:color w:val="auto"/>
          <w:sz w:val="24"/>
          <w:szCs w:val="24"/>
          <w:highlight w:val="none"/>
        </w:rPr>
        <w:t>T90≤120秒</w:t>
      </w:r>
    </w:p>
    <w:p w14:paraId="464537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传感器电源正负极反接保护</w:t>
      </w:r>
    </w:p>
    <w:p w14:paraId="3D1884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13</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传感器RS485 A/B端错接电源保护</w:t>
      </w:r>
    </w:p>
    <w:p w14:paraId="15FE67A6">
      <w:pPr>
        <w:pStyle w:val="11"/>
        <w:tabs>
          <w:tab w:val="right" w:leader="dot" w:pos="8296"/>
        </w:tabs>
        <w:ind w:firstLine="480" w:firstLineChars="200"/>
        <w:jc w:val="both"/>
        <w:rPr>
          <w:rFonts w:hint="eastAsia"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14）防护等级：IP68</w:t>
      </w:r>
    </w:p>
    <w:p w14:paraId="7BCA65D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rPr>
        <w:t>pH传感器技术参数：</w:t>
      </w:r>
    </w:p>
    <w:p w14:paraId="5459AF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1）测量方法</w:t>
      </w:r>
      <w:r>
        <w:rPr>
          <w:rFonts w:hint="eastAsia" w:ascii="宋体" w:hAnsi="宋体" w:eastAsia="宋体" w:cs="宋体"/>
          <w:b w:val="0"/>
          <w:bCs w:val="0"/>
          <w:color w:val="auto"/>
          <w:sz w:val="24"/>
          <w:szCs w:val="24"/>
        </w:rPr>
        <w:t>：复合电极，有PT1000温度补偿功能</w:t>
      </w:r>
    </w:p>
    <w:p w14:paraId="7AC2E4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量程：0~14pH</w:t>
      </w:r>
    </w:p>
    <w:p w14:paraId="6D7B44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rPr>
        <w:t>分辨率：0.01</w:t>
      </w:r>
      <w:r>
        <w:rPr>
          <w:rFonts w:hint="eastAsia" w:ascii="宋体" w:hAnsi="宋体" w:eastAsia="宋体" w:cs="宋体"/>
          <w:b w:val="0"/>
          <w:bCs w:val="0"/>
          <w:color w:val="auto"/>
          <w:sz w:val="24"/>
          <w:szCs w:val="24"/>
          <w:lang w:val="en-US" w:eastAsia="zh-CN"/>
        </w:rPr>
        <w:t>pH</w:t>
      </w:r>
    </w:p>
    <w:p w14:paraId="594B33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rPr>
        <w:t>精度：</w:t>
      </w:r>
      <w:r>
        <w:rPr>
          <w:rFonts w:hint="eastAsia" w:ascii="宋体" w:hAnsi="宋体" w:eastAsia="宋体" w:cs="宋体"/>
          <w:b w:val="0"/>
          <w:bCs w:val="0"/>
          <w:color w:val="auto"/>
          <w:sz w:val="24"/>
          <w:szCs w:val="24"/>
          <w:lang w:val="en-US" w:eastAsia="zh-CN"/>
        </w:rPr>
        <w:t>＋0.01pH</w:t>
      </w:r>
    </w:p>
    <w:p w14:paraId="34555A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测量不确定度(K=2)</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0.02pH</w:t>
      </w:r>
    </w:p>
    <w:p w14:paraId="6666BA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6</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响应时间：≤</w:t>
      </w:r>
      <w:r>
        <w:rPr>
          <w:rFonts w:hint="eastAsia" w:ascii="宋体" w:hAnsi="宋体" w:eastAsia="宋体" w:cs="宋体"/>
          <w:b w:val="0"/>
          <w:bCs w:val="0"/>
          <w:color w:val="auto"/>
          <w:sz w:val="24"/>
          <w:szCs w:val="24"/>
          <w:lang w:val="en-US" w:eastAsia="zh-CN"/>
        </w:rPr>
        <w:t>6</w:t>
      </w:r>
      <w:r>
        <w:rPr>
          <w:rFonts w:hint="eastAsia" w:ascii="宋体" w:hAnsi="宋体" w:eastAsia="宋体" w:cs="宋体"/>
          <w:b w:val="0"/>
          <w:bCs w:val="0"/>
          <w:color w:val="auto"/>
          <w:sz w:val="24"/>
          <w:szCs w:val="24"/>
        </w:rPr>
        <w:t>0 秒</w:t>
      </w:r>
    </w:p>
    <w:p w14:paraId="7C460CCE">
      <w:pPr>
        <w:pStyle w:val="16"/>
        <w:keepNext w:val="0"/>
        <w:keepLines w:val="0"/>
        <w:pageBreakBefore w:val="0"/>
        <w:numPr>
          <w:ilvl w:val="0"/>
          <w:numId w:val="0"/>
        </w:numPr>
        <w:tabs>
          <w:tab w:val="left" w:pos="208"/>
        </w:tabs>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7）响应时间：</w:t>
      </w:r>
      <w:r>
        <w:rPr>
          <w:rFonts w:hint="eastAsia" w:ascii="宋体" w:hAnsi="宋体" w:eastAsia="宋体" w:cs="宋体"/>
          <w:color w:val="auto"/>
          <w:sz w:val="24"/>
          <w:szCs w:val="24"/>
          <w:highlight w:val="none"/>
        </w:rPr>
        <w:t>≤25秒</w:t>
      </w:r>
    </w:p>
    <w:p w14:paraId="58CDD37B">
      <w:pPr>
        <w:pStyle w:val="11"/>
        <w:tabs>
          <w:tab w:val="right" w:leader="dot" w:pos="8296"/>
        </w:tabs>
        <w:ind w:firstLine="480" w:firstLineChars="200"/>
        <w:jc w:val="both"/>
        <w:rPr>
          <w:rFonts w:hint="eastAsia"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 xml:space="preserve">8）防护等级：IP68 </w:t>
      </w:r>
    </w:p>
    <w:p w14:paraId="60C69F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（4）、电导率</w:t>
      </w:r>
      <w:r>
        <w:rPr>
          <w:rFonts w:hint="eastAsia" w:ascii="宋体" w:hAnsi="宋体" w:eastAsia="宋体" w:cs="宋体"/>
          <w:b/>
          <w:bCs/>
          <w:color w:val="auto"/>
          <w:sz w:val="24"/>
          <w:szCs w:val="24"/>
        </w:rPr>
        <w:t>传感器技术参数：</w:t>
      </w:r>
    </w:p>
    <w:p w14:paraId="073438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1）测量方法</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白金电极法</w:t>
      </w:r>
    </w:p>
    <w:p w14:paraId="48B2CE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量程：0~</w:t>
      </w:r>
      <w:r>
        <w:rPr>
          <w:rFonts w:hint="eastAsia" w:ascii="宋体" w:hAnsi="宋体" w:eastAsia="宋体" w:cs="宋体"/>
          <w:b w:val="0"/>
          <w:bCs w:val="0"/>
          <w:color w:val="auto"/>
          <w:sz w:val="24"/>
          <w:szCs w:val="24"/>
          <w:lang w:val="en-US" w:eastAsia="zh-CN"/>
        </w:rPr>
        <w:t>2000μS/cm</w:t>
      </w:r>
    </w:p>
    <w:p w14:paraId="493113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rPr>
        <w:t>分辨率：0.01</w:t>
      </w:r>
      <w:r>
        <w:rPr>
          <w:rFonts w:hint="eastAsia" w:ascii="宋体" w:hAnsi="宋体" w:eastAsia="宋体" w:cs="宋体"/>
          <w:b w:val="0"/>
          <w:bCs w:val="0"/>
          <w:color w:val="auto"/>
          <w:sz w:val="24"/>
          <w:szCs w:val="24"/>
          <w:lang w:val="en-US" w:eastAsia="zh-CN"/>
        </w:rPr>
        <w:t>μS/cm</w:t>
      </w:r>
    </w:p>
    <w:p w14:paraId="01A8A0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rPr>
        <w:t>精度：</w:t>
      </w:r>
      <w:r>
        <w:rPr>
          <w:rFonts w:hint="eastAsia" w:ascii="宋体" w:hAnsi="宋体" w:eastAsia="宋体" w:cs="宋体"/>
          <w:b w:val="0"/>
          <w:bCs w:val="0"/>
          <w:color w:val="auto"/>
          <w:sz w:val="24"/>
          <w:szCs w:val="24"/>
          <w:lang w:val="en-US" w:eastAsia="zh-CN"/>
        </w:rPr>
        <w:t xml:space="preserve">-0.1% </w:t>
      </w:r>
    </w:p>
    <w:p w14:paraId="65E2FE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重复性</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 xml:space="preserve">0.03% </w:t>
      </w:r>
    </w:p>
    <w:p w14:paraId="365FF6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6</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响应时间：≤</w:t>
      </w:r>
      <w:r>
        <w:rPr>
          <w:rFonts w:hint="eastAsia" w:ascii="宋体" w:hAnsi="宋体" w:eastAsia="宋体" w:cs="宋体"/>
          <w:b w:val="0"/>
          <w:bCs w:val="0"/>
          <w:color w:val="auto"/>
          <w:sz w:val="24"/>
          <w:szCs w:val="24"/>
          <w:lang w:val="en-US" w:eastAsia="zh-CN"/>
        </w:rPr>
        <w:t>6</w:t>
      </w:r>
      <w:r>
        <w:rPr>
          <w:rFonts w:hint="eastAsia" w:ascii="宋体" w:hAnsi="宋体" w:eastAsia="宋体" w:cs="宋体"/>
          <w:b w:val="0"/>
          <w:bCs w:val="0"/>
          <w:color w:val="auto"/>
          <w:sz w:val="24"/>
          <w:szCs w:val="24"/>
        </w:rPr>
        <w:t>0 秒</w:t>
      </w:r>
    </w:p>
    <w:p w14:paraId="7C7864ED">
      <w:pPr>
        <w:pStyle w:val="11"/>
        <w:tabs>
          <w:tab w:val="right" w:leader="dot" w:pos="8296"/>
        </w:tabs>
        <w:ind w:firstLine="480" w:firstLineChars="200"/>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7）防护等级：IP68 </w:t>
      </w:r>
    </w:p>
    <w:p w14:paraId="31783137">
      <w:pPr>
        <w:pStyle w:val="11"/>
        <w:tabs>
          <w:tab w:val="right" w:leader="dot" w:pos="8296"/>
        </w:tabs>
        <w:jc w:val="both"/>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（5）、</w:t>
      </w:r>
      <w:r>
        <w:rPr>
          <w:rFonts w:hint="eastAsia" w:ascii="宋体" w:hAnsi="宋体" w:eastAsia="宋体" w:cs="宋体"/>
          <w:b/>
          <w:bCs/>
          <w:color w:val="auto"/>
          <w:sz w:val="24"/>
          <w:szCs w:val="24"/>
        </w:rPr>
        <w:t>盐度</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由电导率传感器同时检测</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w:t>
      </w:r>
    </w:p>
    <w:p w14:paraId="290304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1）测量范围：0...</w:t>
      </w:r>
      <w:r>
        <w:rPr>
          <w:rFonts w:hint="eastAsia" w:ascii="宋体" w:hAnsi="宋体" w:eastAsia="宋体" w:cs="宋体"/>
          <w:color w:val="auto"/>
          <w:sz w:val="24"/>
          <w:szCs w:val="24"/>
          <w:lang w:val="en-US" w:eastAsia="zh-CN"/>
        </w:rPr>
        <w:t>1000pp</w:t>
      </w:r>
      <w:r>
        <w:rPr>
          <w:rFonts w:hint="eastAsia" w:ascii="宋体" w:hAnsi="宋体" w:eastAsia="宋体" w:cs="宋体"/>
          <w:color w:val="auto"/>
          <w:sz w:val="24"/>
          <w:szCs w:val="24"/>
        </w:rPr>
        <w:t>m；</w:t>
      </w:r>
    </w:p>
    <w:p w14:paraId="5EF557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2）精度：小于等于±3%</w:t>
      </w:r>
    </w:p>
    <w:p w14:paraId="0733B6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3）分辨率：0.01</w:t>
      </w:r>
      <w:r>
        <w:rPr>
          <w:rFonts w:hint="eastAsia" w:ascii="宋体" w:hAnsi="宋体" w:eastAsia="宋体" w:cs="宋体"/>
          <w:color w:val="auto"/>
          <w:sz w:val="24"/>
          <w:szCs w:val="24"/>
          <w:lang w:val="en-US" w:eastAsia="zh-CN"/>
        </w:rPr>
        <w:t>mg/L</w:t>
      </w:r>
      <w:r>
        <w:rPr>
          <w:rFonts w:hint="eastAsia" w:ascii="宋体" w:hAnsi="宋体" w:eastAsia="宋体" w:cs="宋体"/>
          <w:color w:val="auto"/>
          <w:sz w:val="24"/>
          <w:szCs w:val="24"/>
        </w:rPr>
        <w:t>；</w:t>
      </w:r>
    </w:p>
    <w:p w14:paraId="67A70D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4）输出负载：&lt;750Ω；</w:t>
      </w:r>
    </w:p>
    <w:p w14:paraId="473C51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5）测量温度范围：0-60℃；</w:t>
      </w:r>
    </w:p>
    <w:p w14:paraId="39FF59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6）防护等级：Ip68；</w:t>
      </w:r>
    </w:p>
    <w:p w14:paraId="3D4079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7）耐压范围：0-4bar；</w:t>
      </w:r>
    </w:p>
    <w:p w14:paraId="2C9B8A5D">
      <w:pPr>
        <w:pStyle w:val="11"/>
        <w:tabs>
          <w:tab w:val="right" w:leader="dot" w:pos="8296"/>
        </w:tabs>
        <w:ind w:firstLine="480" w:firstLineChars="200"/>
        <w:jc w:val="both"/>
        <w:rPr>
          <w:rFonts w:hint="eastAsia"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 xml:space="preserve">8）防护等级：IP68 </w:t>
      </w:r>
    </w:p>
    <w:p w14:paraId="6BBE7BE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（6）、</w:t>
      </w:r>
      <w:r>
        <w:rPr>
          <w:rFonts w:hint="eastAsia" w:ascii="宋体" w:hAnsi="宋体" w:eastAsia="宋体" w:cs="宋体"/>
          <w:b/>
          <w:bCs/>
          <w:color w:val="auto"/>
          <w:sz w:val="24"/>
          <w:szCs w:val="24"/>
        </w:rPr>
        <w:t>TDS</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由电导率传感器同时检测</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w:t>
      </w:r>
    </w:p>
    <w:p w14:paraId="711B82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1）测量范围：0...</w:t>
      </w:r>
      <w:r>
        <w:rPr>
          <w:rFonts w:hint="eastAsia" w:ascii="宋体" w:hAnsi="宋体" w:eastAsia="宋体" w:cs="宋体"/>
          <w:color w:val="auto"/>
          <w:sz w:val="24"/>
          <w:szCs w:val="24"/>
          <w:lang w:val="en-US" w:eastAsia="zh-CN"/>
        </w:rPr>
        <w:t>1000pp</w:t>
      </w:r>
      <w:r>
        <w:rPr>
          <w:rFonts w:hint="eastAsia" w:ascii="宋体" w:hAnsi="宋体" w:eastAsia="宋体" w:cs="宋体"/>
          <w:color w:val="auto"/>
          <w:sz w:val="24"/>
          <w:szCs w:val="24"/>
        </w:rPr>
        <w:t>m；</w:t>
      </w:r>
    </w:p>
    <w:p w14:paraId="66E4D5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2）精度：小于等于±3%</w:t>
      </w:r>
    </w:p>
    <w:p w14:paraId="31E16F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3）分辨率：0.01</w:t>
      </w:r>
      <w:r>
        <w:rPr>
          <w:rFonts w:hint="eastAsia" w:ascii="宋体" w:hAnsi="宋体" w:eastAsia="宋体" w:cs="宋体"/>
          <w:color w:val="auto"/>
          <w:sz w:val="24"/>
          <w:szCs w:val="24"/>
          <w:lang w:val="en-US" w:eastAsia="zh-CN"/>
        </w:rPr>
        <w:t>mg/L</w:t>
      </w:r>
      <w:r>
        <w:rPr>
          <w:rFonts w:hint="eastAsia" w:ascii="宋体" w:hAnsi="宋体" w:eastAsia="宋体" w:cs="宋体"/>
          <w:color w:val="auto"/>
          <w:sz w:val="24"/>
          <w:szCs w:val="24"/>
        </w:rPr>
        <w:t>；</w:t>
      </w:r>
    </w:p>
    <w:p w14:paraId="6DDDB5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4）输出负载：&lt;750Ω；</w:t>
      </w:r>
    </w:p>
    <w:p w14:paraId="1C3BA1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5）测量温度范围：0-60℃；</w:t>
      </w:r>
    </w:p>
    <w:p w14:paraId="1C251D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6）防护等级：Ip68；</w:t>
      </w:r>
    </w:p>
    <w:p w14:paraId="58DD30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7）耐压范围：0-4bar；</w:t>
      </w:r>
    </w:p>
    <w:p w14:paraId="02AFEC6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（7）、温度</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由pH传感器同时检测</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w:t>
      </w:r>
    </w:p>
    <w:p w14:paraId="0E642F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1）温度测量范围：-10℃～75℃；</w:t>
      </w:r>
    </w:p>
    <w:p w14:paraId="43457E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2）工作原理</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热敏电阻法</w:t>
      </w:r>
      <w:r>
        <w:rPr>
          <w:rFonts w:hint="eastAsia" w:ascii="宋体" w:hAnsi="宋体" w:eastAsia="宋体" w:cs="宋体"/>
          <w:color w:val="auto"/>
          <w:sz w:val="24"/>
          <w:szCs w:val="24"/>
        </w:rPr>
        <w:t>；</w:t>
      </w:r>
    </w:p>
    <w:p w14:paraId="35D3A9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3）分辨率</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0.01℃</w:t>
      </w:r>
      <w:r>
        <w:rPr>
          <w:rFonts w:hint="eastAsia" w:ascii="宋体" w:hAnsi="宋体" w:eastAsia="宋体" w:cs="宋体"/>
          <w:color w:val="auto"/>
          <w:sz w:val="24"/>
          <w:szCs w:val="24"/>
        </w:rPr>
        <w:t>；</w:t>
      </w:r>
    </w:p>
    <w:p w14:paraId="765ECB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4）示值误差：</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0.5℃ </w:t>
      </w:r>
      <w:r>
        <w:rPr>
          <w:rFonts w:hint="eastAsia" w:ascii="宋体" w:hAnsi="宋体" w:eastAsia="宋体" w:cs="宋体"/>
          <w:b w:val="0"/>
          <w:bCs w:val="0"/>
          <w:color w:val="auto"/>
          <w:sz w:val="24"/>
          <w:szCs w:val="24"/>
          <w:lang w:val="en-US" w:eastAsia="zh-CN"/>
        </w:rPr>
        <w:t xml:space="preserve"> </w:t>
      </w:r>
    </w:p>
    <w:p w14:paraId="5D112513">
      <w:pPr>
        <w:pStyle w:val="11"/>
        <w:tabs>
          <w:tab w:val="right" w:leader="dot" w:pos="8296"/>
        </w:tabs>
        <w:ind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b w:val="0"/>
          <w:bCs w:val="0"/>
          <w:color w:val="auto"/>
          <w:sz w:val="24"/>
          <w:szCs w:val="24"/>
          <w:lang w:val="en-US" w:eastAsia="zh-CN"/>
        </w:rPr>
        <w:t>5）防护等级：IP68</w:t>
      </w:r>
    </w:p>
    <w:p w14:paraId="427D6D64">
      <w:pPr>
        <w:pStyle w:val="12"/>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2、电磁流量计</w:t>
      </w:r>
    </w:p>
    <w:p w14:paraId="458B81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电磁流量计设备本体自带1台，详细参数如下：</w:t>
      </w:r>
    </w:p>
    <w:p w14:paraId="6F4CD8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设备口径：DN50</w:t>
      </w:r>
    </w:p>
    <w:p w14:paraId="21D699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测量介质：自来水</w:t>
      </w:r>
    </w:p>
    <w:p w14:paraId="2DCB77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结构型式：分体型</w:t>
      </w:r>
    </w:p>
    <w:p w14:paraId="1D84B9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防护等级：IP68</w:t>
      </w:r>
    </w:p>
    <w:p w14:paraId="0E253C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供电方式：24VDC</w:t>
      </w:r>
    </w:p>
    <w:p w14:paraId="3E1854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压力等级：1.6MPa</w:t>
      </w:r>
    </w:p>
    <w:p w14:paraId="53C247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衬里材质：聚四氟乙烯（≤120℃）</w:t>
      </w:r>
    </w:p>
    <w:p w14:paraId="38AB92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介质温度：≤80℃</w:t>
      </w:r>
    </w:p>
    <w:p w14:paraId="2FCE06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电极材料：不锈钢316L</w:t>
      </w:r>
    </w:p>
    <w:p w14:paraId="4EC23F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通讯方式：4-20mA+脉冲+RS485</w:t>
      </w:r>
    </w:p>
    <w:p w14:paraId="6741E0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接地方式：接地电极+本地法兰接地保护</w:t>
      </w:r>
    </w:p>
    <w:p w14:paraId="0AA93B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配套线缆：10米</w:t>
      </w:r>
    </w:p>
    <w:p w14:paraId="18DB66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准确度：  0.5级</w:t>
      </w:r>
    </w:p>
    <w:p w14:paraId="49B870D1">
      <w:pPr>
        <w:pStyle w:val="12"/>
        <w:numPr>
          <w:ilvl w:val="0"/>
          <w:numId w:val="3"/>
        </w:num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lang w:val="en-US" w:eastAsia="zh-CN"/>
        </w:rPr>
        <w:t>一体化集成净水设备</w:t>
      </w:r>
      <w:r>
        <w:rPr>
          <w:rFonts w:hint="eastAsia" w:ascii="宋体" w:hAnsi="宋体" w:eastAsia="宋体" w:cs="宋体"/>
          <w:b/>
          <w:bCs/>
          <w:color w:val="auto"/>
          <w:sz w:val="24"/>
          <w:szCs w:val="24"/>
          <w:highlight w:val="none"/>
          <w:lang w:val="en-US" w:eastAsia="zh-CN"/>
        </w:rPr>
        <w:t>PAC加药模块技术要求</w:t>
      </w:r>
    </w:p>
    <w:p w14:paraId="6290A3E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PAC絮凝投加设备采用液体投加法，即将絮凝剂溶解后，再投加到进水管道内。与干投法相比，絮凝剂更容易与水充分混合；投量易于调节；不易堵塞入口，运行管理方便。</w:t>
      </w:r>
    </w:p>
    <w:p w14:paraId="04F39E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val="en-US" w:eastAsia="zh-CN"/>
        </w:rPr>
        <w:t>设备本体自带PAC加药设备1套；</w:t>
      </w:r>
    </w:p>
    <w:p w14:paraId="2E6F407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药剂投加方式采用计量泵压力投加，即采用加药计量泵直接从溶药箱里吸取药液，加入原水入水管内，可实现精确的定量投加，而不受压力管压力所限。</w:t>
      </w:r>
    </w:p>
    <w:p w14:paraId="7946A22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PAC絮凝制配投加设备主要由以下部分组成：</w:t>
      </w:r>
    </w:p>
    <w:p w14:paraId="31621C73">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b/>
          <w:snapToGrid/>
          <w:color w:val="auto"/>
          <w:kern w:val="2"/>
          <w:sz w:val="24"/>
          <w:szCs w:val="24"/>
          <w:lang w:eastAsia="zh-CN"/>
        </w:rPr>
      </w:pPr>
      <w:r>
        <w:rPr>
          <w:rFonts w:hint="eastAsia" w:ascii="宋体" w:hAnsi="宋体" w:eastAsia="宋体" w:cs="宋体"/>
          <w:b/>
          <w:snapToGrid/>
          <w:color w:val="auto"/>
          <w:kern w:val="2"/>
          <w:sz w:val="24"/>
          <w:szCs w:val="24"/>
          <w:lang w:val="en-US" w:eastAsia="zh-CN"/>
        </w:rPr>
        <w:t>储</w:t>
      </w:r>
      <w:r>
        <w:rPr>
          <w:rFonts w:hint="eastAsia" w:ascii="宋体" w:hAnsi="宋体" w:eastAsia="宋体" w:cs="宋体"/>
          <w:b/>
          <w:snapToGrid/>
          <w:color w:val="auto"/>
          <w:kern w:val="2"/>
          <w:sz w:val="24"/>
          <w:szCs w:val="24"/>
          <w:lang w:eastAsia="zh-CN"/>
        </w:rPr>
        <w:t>药系统</w:t>
      </w:r>
    </w:p>
    <w:p w14:paraId="662FCEF8">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b/>
          <w:snapToGrid/>
          <w:color w:val="auto"/>
          <w:kern w:val="2"/>
          <w:sz w:val="24"/>
          <w:szCs w:val="24"/>
          <w:lang w:eastAsia="zh-CN"/>
        </w:rPr>
        <w:t>溶药</w:t>
      </w:r>
      <w:r>
        <w:rPr>
          <w:rFonts w:hint="eastAsia" w:ascii="宋体" w:hAnsi="宋体" w:eastAsia="宋体" w:cs="宋体"/>
          <w:b/>
          <w:snapToGrid/>
          <w:color w:val="auto"/>
          <w:kern w:val="2"/>
          <w:sz w:val="24"/>
          <w:szCs w:val="24"/>
          <w:lang w:val="en-US" w:eastAsia="zh-CN"/>
        </w:rPr>
        <w:t>罐</w:t>
      </w:r>
      <w:r>
        <w:rPr>
          <w:rFonts w:hint="eastAsia" w:ascii="宋体" w:hAnsi="宋体" w:eastAsia="宋体" w:cs="宋体"/>
          <w:b/>
          <w:snapToGrid/>
          <w:color w:val="auto"/>
          <w:kern w:val="2"/>
          <w:sz w:val="24"/>
          <w:szCs w:val="24"/>
          <w:lang w:eastAsia="zh-CN"/>
        </w:rPr>
        <w:t>：</w:t>
      </w:r>
      <w:r>
        <w:rPr>
          <w:rFonts w:hint="eastAsia" w:ascii="宋体" w:hAnsi="宋体" w:eastAsia="宋体" w:cs="宋体"/>
          <w:b/>
          <w:snapToGrid/>
          <w:color w:val="auto"/>
          <w:kern w:val="2"/>
          <w:sz w:val="24"/>
          <w:szCs w:val="24"/>
          <w:lang w:val="en-US" w:eastAsia="zh-CN"/>
        </w:rPr>
        <w:t>2</w:t>
      </w:r>
      <w:r>
        <w:rPr>
          <w:rFonts w:hint="eastAsia" w:ascii="宋体" w:hAnsi="宋体" w:eastAsia="宋体" w:cs="宋体"/>
          <w:snapToGrid/>
          <w:color w:val="auto"/>
          <w:kern w:val="2"/>
          <w:sz w:val="24"/>
          <w:szCs w:val="24"/>
          <w:lang w:eastAsia="zh-CN"/>
        </w:rPr>
        <w:t>套，采用PVC材质，容积</w:t>
      </w:r>
      <w:r>
        <w:rPr>
          <w:rFonts w:hint="eastAsia" w:ascii="宋体" w:hAnsi="宋体" w:eastAsia="宋体" w:cs="宋体"/>
          <w:snapToGrid/>
          <w:color w:val="auto"/>
          <w:kern w:val="2"/>
          <w:sz w:val="24"/>
          <w:szCs w:val="24"/>
          <w:lang w:val="en-US" w:eastAsia="zh-CN"/>
        </w:rPr>
        <w:t>100L</w:t>
      </w:r>
      <w:r>
        <w:rPr>
          <w:rFonts w:hint="eastAsia" w:ascii="宋体" w:hAnsi="宋体" w:eastAsia="宋体" w:cs="宋体"/>
          <w:snapToGrid/>
          <w:color w:val="auto"/>
          <w:kern w:val="2"/>
          <w:sz w:val="24"/>
          <w:szCs w:val="24"/>
          <w:lang w:eastAsia="zh-CN"/>
        </w:rPr>
        <w:t>，底部设有排</w:t>
      </w:r>
      <w:r>
        <w:rPr>
          <w:rFonts w:hint="eastAsia" w:ascii="宋体" w:hAnsi="宋体" w:eastAsia="宋体" w:cs="宋体"/>
          <w:snapToGrid/>
          <w:color w:val="auto"/>
          <w:kern w:val="2"/>
          <w:sz w:val="24"/>
          <w:szCs w:val="24"/>
          <w:lang w:val="en-US" w:eastAsia="zh-CN"/>
        </w:rPr>
        <w:t>空</w:t>
      </w:r>
      <w:r>
        <w:rPr>
          <w:rFonts w:hint="eastAsia" w:ascii="宋体" w:hAnsi="宋体" w:eastAsia="宋体" w:cs="宋体"/>
          <w:snapToGrid/>
          <w:color w:val="auto"/>
          <w:kern w:val="2"/>
          <w:sz w:val="24"/>
          <w:szCs w:val="24"/>
          <w:lang w:eastAsia="zh-CN"/>
        </w:rPr>
        <w:t>管，并在最高工作水位处设有溢流装置。</w:t>
      </w:r>
    </w:p>
    <w:p w14:paraId="7AF08314">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b/>
          <w:snapToGrid/>
          <w:color w:val="auto"/>
          <w:kern w:val="2"/>
          <w:sz w:val="24"/>
          <w:szCs w:val="24"/>
          <w:lang w:eastAsia="zh-CN"/>
        </w:rPr>
      </w:pPr>
      <w:r>
        <w:rPr>
          <w:rFonts w:hint="eastAsia" w:ascii="宋体" w:hAnsi="宋体" w:eastAsia="宋体" w:cs="宋体"/>
          <w:b/>
          <w:snapToGrid/>
          <w:color w:val="auto"/>
          <w:kern w:val="2"/>
          <w:sz w:val="24"/>
          <w:szCs w:val="24"/>
          <w:lang w:eastAsia="zh-CN"/>
        </w:rPr>
        <w:t>定量投加系统：</w:t>
      </w:r>
    </w:p>
    <w:p w14:paraId="1571CFC4">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b/>
          <w:snapToGrid/>
          <w:color w:val="auto"/>
          <w:kern w:val="2"/>
          <w:sz w:val="24"/>
          <w:szCs w:val="24"/>
          <w:lang w:eastAsia="zh-CN"/>
        </w:rPr>
        <w:t>加药计量泵：</w:t>
      </w:r>
      <w:r>
        <w:rPr>
          <w:rFonts w:hint="eastAsia" w:ascii="宋体" w:hAnsi="宋体" w:eastAsia="宋体" w:cs="宋体"/>
          <w:snapToGrid/>
          <w:color w:val="auto"/>
          <w:kern w:val="2"/>
          <w:sz w:val="24"/>
          <w:szCs w:val="24"/>
          <w:lang w:eastAsia="zh-CN"/>
        </w:rPr>
        <w:t>采用隔膜计量泵，根据原水浊度调节冲程长度来调节投药量。</w:t>
      </w:r>
      <w:r>
        <w:rPr>
          <w:rFonts w:hint="eastAsia" w:ascii="宋体" w:hAnsi="宋体" w:eastAsia="宋体" w:cs="宋体"/>
          <w:snapToGrid/>
          <w:color w:val="auto"/>
          <w:kern w:val="2"/>
          <w:sz w:val="24"/>
          <w:szCs w:val="24"/>
          <w:lang w:val="en-US" w:eastAsia="zh-CN"/>
        </w:rPr>
        <w:t>计量泵规格（Q=10L/h，H=50m），计量泵共计2台，采用1用1备方式运行。</w:t>
      </w:r>
    </w:p>
    <w:p w14:paraId="109A638B">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b/>
          <w:snapToGrid/>
          <w:color w:val="auto"/>
          <w:kern w:val="2"/>
          <w:sz w:val="24"/>
          <w:szCs w:val="24"/>
          <w:lang w:eastAsia="zh-CN"/>
        </w:rPr>
        <w:t>Y型过滤器：</w:t>
      </w:r>
      <w:r>
        <w:rPr>
          <w:rFonts w:hint="eastAsia" w:ascii="宋体" w:hAnsi="宋体" w:eastAsia="宋体" w:cs="宋体"/>
          <w:snapToGrid/>
          <w:color w:val="auto"/>
          <w:kern w:val="2"/>
          <w:sz w:val="24"/>
          <w:szCs w:val="24"/>
          <w:lang w:eastAsia="zh-CN"/>
        </w:rPr>
        <w:t>过滤溶液中的杂质，保证计量泵安全和正常运行。</w:t>
      </w:r>
    </w:p>
    <w:p w14:paraId="4B4F3EF6">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b/>
          <w:snapToGrid/>
          <w:color w:val="auto"/>
          <w:kern w:val="2"/>
          <w:sz w:val="24"/>
          <w:szCs w:val="24"/>
          <w:lang w:eastAsia="zh-CN"/>
        </w:rPr>
        <w:t>脉冲阻尼器：</w:t>
      </w:r>
      <w:r>
        <w:rPr>
          <w:rFonts w:hint="eastAsia" w:ascii="宋体" w:hAnsi="宋体" w:eastAsia="宋体" w:cs="宋体"/>
          <w:snapToGrid/>
          <w:color w:val="auto"/>
          <w:kern w:val="2"/>
          <w:sz w:val="24"/>
          <w:szCs w:val="24"/>
          <w:lang w:eastAsia="zh-CN"/>
        </w:rPr>
        <w:t>将计量泵输出的脉冲流转化成稳定的连续流。</w:t>
      </w:r>
    </w:p>
    <w:p w14:paraId="1B52B1B7">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b/>
          <w:snapToGrid/>
          <w:color w:val="auto"/>
          <w:kern w:val="2"/>
          <w:sz w:val="24"/>
          <w:szCs w:val="24"/>
          <w:lang w:eastAsia="zh-CN"/>
        </w:rPr>
        <w:t>背压阀：</w:t>
      </w:r>
      <w:r>
        <w:rPr>
          <w:rFonts w:hint="eastAsia" w:ascii="宋体" w:hAnsi="宋体" w:eastAsia="宋体" w:cs="宋体"/>
          <w:snapToGrid/>
          <w:color w:val="auto"/>
          <w:kern w:val="2"/>
          <w:sz w:val="24"/>
          <w:szCs w:val="24"/>
          <w:lang w:eastAsia="zh-CN"/>
        </w:rPr>
        <w:t>在投加点的背压小于0.1MPa情况下，使计量泵保持一定的输出压力，保证正常运行。</w:t>
      </w:r>
    </w:p>
    <w:p w14:paraId="24DA62FA">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b/>
          <w:snapToGrid/>
          <w:color w:val="auto"/>
          <w:kern w:val="2"/>
          <w:sz w:val="24"/>
          <w:szCs w:val="24"/>
          <w:lang w:eastAsia="zh-CN"/>
        </w:rPr>
        <w:t>安全释放阀：</w:t>
      </w:r>
      <w:r>
        <w:rPr>
          <w:rFonts w:hint="eastAsia" w:ascii="宋体" w:hAnsi="宋体" w:eastAsia="宋体" w:cs="宋体"/>
          <w:snapToGrid/>
          <w:color w:val="auto"/>
          <w:kern w:val="2"/>
          <w:sz w:val="24"/>
          <w:szCs w:val="24"/>
          <w:lang w:eastAsia="zh-CN"/>
        </w:rPr>
        <w:t>当由于投加管路发生阻塞等原因引起投加压力过高时，可通过释放阀自动将药液释放回流至溶液池，保证计量泵的安全。</w:t>
      </w:r>
    </w:p>
    <w:p w14:paraId="0EB34115">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b/>
          <w:snapToGrid/>
          <w:color w:val="auto"/>
          <w:kern w:val="2"/>
          <w:sz w:val="24"/>
          <w:szCs w:val="24"/>
          <w:lang w:eastAsia="zh-CN"/>
        </w:rPr>
      </w:pPr>
      <w:r>
        <w:rPr>
          <w:rFonts w:hint="eastAsia" w:ascii="宋体" w:hAnsi="宋体" w:eastAsia="宋体" w:cs="宋体"/>
          <w:b/>
          <w:snapToGrid/>
          <w:color w:val="auto"/>
          <w:kern w:val="2"/>
          <w:sz w:val="24"/>
          <w:szCs w:val="24"/>
          <w:lang w:eastAsia="zh-CN"/>
        </w:rPr>
        <w:t>控制系统：</w:t>
      </w:r>
    </w:p>
    <w:p w14:paraId="4DF41ED4">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snapToGrid/>
          <w:color w:val="auto"/>
          <w:kern w:val="2"/>
          <w:sz w:val="24"/>
          <w:szCs w:val="24"/>
          <w:lang w:eastAsia="zh-CN"/>
        </w:rPr>
        <w:t>自动控制设备：</w:t>
      </w:r>
      <w:r>
        <w:rPr>
          <w:rFonts w:hint="eastAsia" w:ascii="宋体" w:hAnsi="宋体" w:eastAsia="宋体" w:cs="宋体"/>
          <w:snapToGrid/>
          <w:color w:val="auto"/>
          <w:kern w:val="2"/>
          <w:sz w:val="24"/>
          <w:szCs w:val="24"/>
          <w:lang w:eastAsia="zh-CN"/>
        </w:rPr>
        <w:t>整套投加设备设有完整的控制箱，控制箱内设</w:t>
      </w:r>
      <w:r>
        <w:rPr>
          <w:rFonts w:hint="eastAsia" w:ascii="宋体" w:hAnsi="宋体" w:eastAsia="宋体" w:cs="宋体"/>
          <w:snapToGrid/>
          <w:color w:val="auto"/>
          <w:kern w:val="2"/>
          <w:sz w:val="24"/>
          <w:szCs w:val="24"/>
          <w:lang w:val="en-US" w:eastAsia="zh-CN"/>
        </w:rPr>
        <w:t>有</w:t>
      </w:r>
      <w:r>
        <w:rPr>
          <w:rFonts w:hint="eastAsia" w:ascii="宋体" w:hAnsi="宋体" w:eastAsia="宋体" w:cs="宋体"/>
          <w:snapToGrid/>
          <w:color w:val="auto"/>
          <w:kern w:val="2"/>
          <w:sz w:val="24"/>
          <w:szCs w:val="24"/>
          <w:lang w:eastAsia="zh-CN"/>
        </w:rPr>
        <w:t>加药计量泵的控制操作开关，实现自动运行，并设有超低液位报警，低位自动停机的功能，保证设备安全运行。</w:t>
      </w:r>
    </w:p>
    <w:p w14:paraId="7206BD67">
      <w:pPr>
        <w:pStyle w:val="12"/>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lang w:val="en-US" w:eastAsia="zh-CN"/>
        </w:rPr>
        <w:t>一体化集成净水设备</w:t>
      </w:r>
      <w:r>
        <w:rPr>
          <w:rFonts w:hint="eastAsia" w:ascii="宋体" w:hAnsi="宋体" w:eastAsia="宋体" w:cs="宋体"/>
          <w:b/>
          <w:bCs/>
          <w:color w:val="auto"/>
          <w:sz w:val="24"/>
          <w:szCs w:val="24"/>
          <w:highlight w:val="none"/>
          <w:lang w:val="en-US" w:eastAsia="zh-CN"/>
        </w:rPr>
        <w:t>加氯模块技术要求</w:t>
      </w:r>
    </w:p>
    <w:p w14:paraId="4C7D19AF">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napToGrid/>
          <w:color w:val="auto"/>
          <w:kern w:val="2"/>
          <w:sz w:val="24"/>
          <w:szCs w:val="24"/>
          <w:lang w:val="en-US" w:eastAsia="zh-CN"/>
        </w:rPr>
      </w:pPr>
      <w:r>
        <w:rPr>
          <w:rFonts w:hint="eastAsia" w:ascii="宋体" w:hAnsi="宋体" w:eastAsia="宋体" w:cs="宋体"/>
          <w:snapToGrid/>
          <w:color w:val="auto"/>
          <w:kern w:val="2"/>
          <w:sz w:val="24"/>
          <w:szCs w:val="24"/>
          <w:lang w:val="en-US" w:eastAsia="zh-CN"/>
        </w:rPr>
        <w:t>单台次氯酸钠发生器有效氯产量：50g/h</w:t>
      </w:r>
    </w:p>
    <w:p w14:paraId="05B7F9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color w:val="auto"/>
          <w:kern w:val="2"/>
          <w:sz w:val="24"/>
          <w:szCs w:val="24"/>
          <w:lang w:val="en-US" w:eastAsia="zh-CN"/>
        </w:rPr>
      </w:pPr>
      <w:r>
        <w:rPr>
          <w:rFonts w:hint="eastAsia" w:ascii="宋体" w:hAnsi="宋体" w:eastAsia="宋体" w:cs="宋体"/>
          <w:snapToGrid/>
          <w:color w:val="auto"/>
          <w:kern w:val="2"/>
          <w:sz w:val="24"/>
          <w:szCs w:val="24"/>
          <w:lang w:val="en-US" w:eastAsia="zh-CN"/>
        </w:rPr>
        <w:t>数量：1套；</w:t>
      </w:r>
    </w:p>
    <w:p w14:paraId="0AA02A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color w:val="auto"/>
          <w:kern w:val="2"/>
          <w:sz w:val="24"/>
          <w:szCs w:val="24"/>
          <w:lang w:val="en-US" w:eastAsia="zh-CN"/>
        </w:rPr>
      </w:pPr>
      <w:r>
        <w:rPr>
          <w:rFonts w:hint="eastAsia" w:ascii="宋体" w:hAnsi="宋体" w:eastAsia="宋体" w:cs="宋体"/>
          <w:snapToGrid/>
          <w:color w:val="auto"/>
          <w:kern w:val="2"/>
          <w:sz w:val="24"/>
          <w:szCs w:val="24"/>
          <w:lang w:val="en-US" w:eastAsia="zh-CN"/>
        </w:rPr>
        <w:t>有效氯浓度：7000~9000ppm;</w:t>
      </w:r>
    </w:p>
    <w:p w14:paraId="683643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color w:val="auto"/>
          <w:kern w:val="2"/>
          <w:sz w:val="24"/>
          <w:szCs w:val="24"/>
          <w:lang w:val="en-US" w:eastAsia="zh-CN"/>
        </w:rPr>
      </w:pPr>
      <w:r>
        <w:rPr>
          <w:rFonts w:hint="eastAsia" w:ascii="宋体" w:hAnsi="宋体" w:eastAsia="宋体" w:cs="宋体"/>
          <w:snapToGrid/>
          <w:color w:val="auto"/>
          <w:kern w:val="2"/>
          <w:sz w:val="24"/>
          <w:szCs w:val="24"/>
          <w:lang w:val="en-US" w:eastAsia="zh-CN"/>
        </w:rPr>
        <w:t>电耗：≤4.5kW·h/kgC12</w:t>
      </w:r>
    </w:p>
    <w:p w14:paraId="3459A6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color w:val="auto"/>
          <w:kern w:val="2"/>
          <w:sz w:val="24"/>
          <w:szCs w:val="24"/>
          <w:lang w:val="en-US" w:eastAsia="zh-CN"/>
        </w:rPr>
      </w:pPr>
      <w:r>
        <w:rPr>
          <w:rFonts w:hint="eastAsia" w:ascii="宋体" w:hAnsi="宋体" w:eastAsia="宋体" w:cs="宋体"/>
          <w:snapToGrid/>
          <w:color w:val="auto"/>
          <w:kern w:val="2"/>
          <w:sz w:val="24"/>
          <w:szCs w:val="24"/>
          <w:lang w:val="en-US" w:eastAsia="zh-CN"/>
        </w:rPr>
        <w:t>盐耗：≤3.2Kg/KgC12</w:t>
      </w:r>
    </w:p>
    <w:p w14:paraId="0466A13B">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napToGrid/>
          <w:color w:val="auto"/>
          <w:kern w:val="2"/>
          <w:sz w:val="24"/>
          <w:szCs w:val="24"/>
          <w:lang w:val="en-US" w:eastAsia="zh-CN"/>
        </w:rPr>
      </w:pPr>
      <w:r>
        <w:rPr>
          <w:rFonts w:hint="eastAsia" w:ascii="宋体" w:hAnsi="宋体" w:eastAsia="宋体" w:cs="宋体"/>
          <w:snapToGrid/>
          <w:color w:val="auto"/>
          <w:kern w:val="2"/>
          <w:sz w:val="24"/>
          <w:szCs w:val="24"/>
          <w:lang w:val="en-US" w:eastAsia="zh-CN"/>
        </w:rPr>
        <w:t>性能要求</w:t>
      </w:r>
    </w:p>
    <w:p w14:paraId="21807ABB">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napToGrid/>
          <w:color w:val="auto"/>
          <w:kern w:val="2"/>
          <w:sz w:val="24"/>
          <w:szCs w:val="24"/>
          <w:lang w:val="en-US" w:eastAsia="zh-CN"/>
        </w:rPr>
      </w:pPr>
      <w:r>
        <w:rPr>
          <w:rFonts w:hint="eastAsia" w:ascii="宋体" w:hAnsi="宋体" w:eastAsia="宋体" w:cs="宋体"/>
          <w:snapToGrid/>
          <w:color w:val="auto"/>
          <w:kern w:val="2"/>
          <w:sz w:val="24"/>
          <w:szCs w:val="24"/>
          <w:lang w:val="en-US" w:eastAsia="zh-CN"/>
        </w:rPr>
        <w:t>1)次氯酸钠发生器系统的设计、制造、安装、调试、技术培训。</w:t>
      </w:r>
    </w:p>
    <w:p w14:paraId="0DB49E65">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napToGrid/>
          <w:color w:val="auto"/>
          <w:kern w:val="2"/>
          <w:sz w:val="24"/>
          <w:szCs w:val="24"/>
          <w:lang w:val="en-US" w:eastAsia="zh-CN"/>
        </w:rPr>
      </w:pPr>
      <w:r>
        <w:rPr>
          <w:rFonts w:hint="eastAsia" w:ascii="宋体" w:hAnsi="宋体" w:eastAsia="宋体" w:cs="宋体"/>
          <w:snapToGrid/>
          <w:color w:val="auto"/>
          <w:kern w:val="2"/>
          <w:sz w:val="24"/>
          <w:szCs w:val="24"/>
          <w:lang w:val="en-US" w:eastAsia="zh-CN"/>
        </w:rPr>
        <w:t>2）次氯酸钠发生器系统的电解槽、电解电源、控制单元需集成于一体化。</w:t>
      </w:r>
    </w:p>
    <w:p w14:paraId="059C5A8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napToGrid/>
          <w:color w:val="auto"/>
          <w:kern w:val="2"/>
          <w:sz w:val="24"/>
          <w:szCs w:val="24"/>
          <w:lang w:val="en-US" w:eastAsia="zh-CN"/>
        </w:rPr>
      </w:pPr>
      <w:r>
        <w:rPr>
          <w:rFonts w:hint="eastAsia" w:ascii="宋体" w:hAnsi="宋体" w:eastAsia="宋体" w:cs="宋体"/>
          <w:snapToGrid/>
          <w:color w:val="auto"/>
          <w:kern w:val="2"/>
          <w:sz w:val="24"/>
          <w:szCs w:val="24"/>
          <w:lang w:val="en-US" w:eastAsia="zh-CN"/>
        </w:rPr>
        <w:t>3）次氯酸钠发生装置安装在消毒间内。所有与次氯酸钠接触的材质、管道、</w:t>
      </w:r>
    </w:p>
    <w:p w14:paraId="59B11FE7">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napToGrid/>
          <w:color w:val="auto"/>
          <w:kern w:val="2"/>
          <w:sz w:val="24"/>
          <w:szCs w:val="24"/>
          <w:lang w:val="en-US" w:eastAsia="zh-CN"/>
        </w:rPr>
      </w:pPr>
      <w:r>
        <w:rPr>
          <w:rFonts w:hint="eastAsia" w:ascii="宋体" w:hAnsi="宋体" w:eastAsia="宋体" w:cs="宋体"/>
          <w:snapToGrid/>
          <w:color w:val="auto"/>
          <w:kern w:val="2"/>
          <w:sz w:val="24"/>
          <w:szCs w:val="24"/>
          <w:lang w:val="en-US" w:eastAsia="zh-CN"/>
        </w:rPr>
        <w:t>设备、装置等应具有防腐功能。</w:t>
      </w:r>
    </w:p>
    <w:p w14:paraId="38BE4095">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napToGrid/>
          <w:color w:val="auto"/>
          <w:kern w:val="2"/>
          <w:sz w:val="24"/>
          <w:szCs w:val="24"/>
          <w:lang w:val="en-US" w:eastAsia="zh-CN"/>
        </w:rPr>
      </w:pPr>
      <w:r>
        <w:rPr>
          <w:rFonts w:hint="eastAsia" w:ascii="宋体" w:hAnsi="宋体" w:eastAsia="宋体" w:cs="宋体"/>
          <w:snapToGrid/>
          <w:color w:val="auto"/>
          <w:kern w:val="2"/>
          <w:sz w:val="24"/>
          <w:szCs w:val="24"/>
          <w:lang w:val="en-US" w:eastAsia="zh-CN"/>
        </w:rPr>
        <w:t>4）次氯酸钠系统具有远程/就地控制功能，系统设计应体现出自动化程度高，</w:t>
      </w:r>
    </w:p>
    <w:p w14:paraId="5CC9A4A1">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napToGrid/>
          <w:color w:val="auto"/>
          <w:kern w:val="2"/>
          <w:sz w:val="24"/>
          <w:szCs w:val="24"/>
          <w:lang w:val="en-US" w:eastAsia="zh-CN"/>
        </w:rPr>
      </w:pPr>
      <w:r>
        <w:rPr>
          <w:rFonts w:hint="eastAsia" w:ascii="宋体" w:hAnsi="宋体" w:eastAsia="宋体" w:cs="宋体"/>
          <w:snapToGrid/>
          <w:color w:val="auto"/>
          <w:kern w:val="2"/>
          <w:sz w:val="24"/>
          <w:szCs w:val="24"/>
          <w:lang w:val="en-US" w:eastAsia="zh-CN"/>
        </w:rPr>
        <w:t>安全性好，操作方便等特点。次氯酸钠发生器应按每天24小时运行设计，水温</w:t>
      </w:r>
    </w:p>
    <w:p w14:paraId="2C327081">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napToGrid/>
          <w:color w:val="auto"/>
          <w:kern w:val="2"/>
          <w:sz w:val="24"/>
          <w:szCs w:val="24"/>
          <w:lang w:val="en-US" w:eastAsia="zh-CN"/>
        </w:rPr>
        <w:t>10℃一27℃、使用精制食用盐、使用软化水，阳极寿命应不低于五年。</w:t>
      </w:r>
    </w:p>
    <w:p w14:paraId="73C1D4EF">
      <w:pPr>
        <w:pStyle w:val="12"/>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二、自动化控制系统技术要求</w:t>
      </w:r>
    </w:p>
    <w:p w14:paraId="4533407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1、自动化控制</w:t>
      </w:r>
      <w:r>
        <w:rPr>
          <w:rFonts w:hint="eastAsia" w:ascii="宋体" w:hAnsi="宋体" w:eastAsia="宋体" w:cs="宋体"/>
          <w:color w:val="auto"/>
          <w:sz w:val="24"/>
          <w:szCs w:val="24"/>
          <w:highlight w:val="none"/>
        </w:rPr>
        <w:t>系统设置有PLC控制柜，PLC控制柜主要元器件如编程器、触摸屏、开关、交流接触器、热继电器等均需采用施耐德、西门子</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ABB</w:t>
      </w:r>
      <w:r>
        <w:rPr>
          <w:rFonts w:hint="eastAsia" w:ascii="宋体" w:hAnsi="宋体" w:eastAsia="宋体" w:cs="宋体"/>
          <w:color w:val="auto"/>
          <w:sz w:val="24"/>
          <w:szCs w:val="24"/>
          <w:highlight w:val="none"/>
        </w:rPr>
        <w:t>等国际著名品牌，以确保控制系统的运行稳定性、可靠性；控制站负责处理各模块的数据采集和控制任务。</w:t>
      </w:r>
    </w:p>
    <w:p w14:paraId="59AE30B9">
      <w:pPr>
        <w:spacing w:line="500" w:lineRule="exact"/>
        <w:ind w:firstLine="472" w:firstLineChars="196"/>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）控制方式</w:t>
      </w:r>
    </w:p>
    <w:p w14:paraId="5D726FA9">
      <w:pPr>
        <w:spacing w:line="50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①</w:t>
      </w:r>
      <w:r>
        <w:rPr>
          <w:rFonts w:hint="eastAsia" w:ascii="宋体" w:hAnsi="宋体" w:eastAsia="宋体" w:cs="宋体"/>
          <w:color w:val="auto"/>
          <w:sz w:val="24"/>
          <w:szCs w:val="24"/>
          <w:highlight w:val="none"/>
        </w:rPr>
        <w:t>需具有</w:t>
      </w:r>
      <w:r>
        <w:rPr>
          <w:rFonts w:hint="eastAsia" w:ascii="宋体" w:hAnsi="宋体" w:eastAsia="宋体" w:cs="宋体"/>
          <w:color w:val="auto"/>
          <w:sz w:val="24"/>
          <w:szCs w:val="24"/>
          <w:highlight w:val="none"/>
          <w:lang w:val="en-US" w:eastAsia="zh-CN"/>
        </w:rPr>
        <w:t>两</w:t>
      </w:r>
      <w:r>
        <w:rPr>
          <w:rFonts w:hint="eastAsia" w:ascii="宋体" w:hAnsi="宋体" w:eastAsia="宋体" w:cs="宋体"/>
          <w:color w:val="auto"/>
          <w:sz w:val="24"/>
          <w:szCs w:val="24"/>
          <w:highlight w:val="none"/>
        </w:rPr>
        <w:t>种控制方式：</w:t>
      </w:r>
      <w:r>
        <w:rPr>
          <w:rFonts w:hint="eastAsia" w:ascii="宋体" w:hAnsi="宋体" w:eastAsia="宋体" w:cs="宋体"/>
          <w:color w:val="auto"/>
          <w:sz w:val="24"/>
          <w:szCs w:val="24"/>
          <w:highlight w:val="none"/>
          <w:lang w:val="en-US" w:eastAsia="zh-CN"/>
        </w:rPr>
        <w:t>远程、</w:t>
      </w:r>
      <w:r>
        <w:rPr>
          <w:rFonts w:hint="eastAsia" w:ascii="宋体" w:hAnsi="宋体" w:eastAsia="宋体" w:cs="宋体"/>
          <w:color w:val="auto"/>
          <w:sz w:val="24"/>
          <w:szCs w:val="24"/>
          <w:highlight w:val="none"/>
        </w:rPr>
        <w:t>自动、本地手动。在"自动"方式下，PLC基于相关的控制逻辑及控制要求对某个设备进行控制；在"本地手动"方式下，通过相关电气柜或现场按钮箱上的控制按钮对现场设备进行操作</w:t>
      </w:r>
      <w:r>
        <w:rPr>
          <w:rFonts w:hint="eastAsia" w:ascii="宋体" w:hAnsi="宋体" w:eastAsia="宋体" w:cs="宋体"/>
          <w:color w:val="auto"/>
          <w:sz w:val="24"/>
          <w:szCs w:val="24"/>
          <w:highlight w:val="none"/>
          <w:lang w:val="en-US" w:eastAsia="zh-CN"/>
        </w:rPr>
        <w:t>，具有远程接入端口</w:t>
      </w:r>
      <w:r>
        <w:rPr>
          <w:rFonts w:hint="eastAsia" w:ascii="宋体" w:hAnsi="宋体" w:eastAsia="宋体" w:cs="宋体"/>
          <w:color w:val="auto"/>
          <w:sz w:val="24"/>
          <w:szCs w:val="24"/>
          <w:highlight w:val="none"/>
        </w:rPr>
        <w:t>。</w:t>
      </w:r>
    </w:p>
    <w:p w14:paraId="4C494AA9">
      <w:pPr>
        <w:spacing w:line="500" w:lineRule="exact"/>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②</w:t>
      </w:r>
      <w:r>
        <w:rPr>
          <w:rFonts w:hint="eastAsia" w:ascii="宋体" w:hAnsi="宋体" w:eastAsia="宋体" w:cs="宋体"/>
          <w:color w:val="auto"/>
          <w:sz w:val="24"/>
          <w:szCs w:val="24"/>
          <w:highlight w:val="none"/>
        </w:rPr>
        <w:t>设备和仪表采用硬接线或RS485总线通讯方式进行控制和信号采集，编程语言采用主流梯形图或SCL语言，采用模块化、标准化设计的理念，可读性强，便于工程师进行维护和程序扩展。</w:t>
      </w:r>
    </w:p>
    <w:p w14:paraId="4F526EF0">
      <w:pPr>
        <w:spacing w:line="500" w:lineRule="exact"/>
        <w:ind w:firstLine="472" w:firstLineChars="196"/>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2）功能要求</w:t>
      </w:r>
    </w:p>
    <w:p w14:paraId="52C3C6D3">
      <w:pPr>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液位计控制反冲洗功能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控制系统宜具有液位计控制反洗功能。</w:t>
      </w:r>
    </w:p>
    <w:p w14:paraId="5FD7AB9F">
      <w:pPr>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定时自动反冲洗功能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控制系统宜具有定自动反洗控制功能。</w:t>
      </w:r>
    </w:p>
    <w:p w14:paraId="67E03AAE">
      <w:pPr>
        <w:spacing w:line="360" w:lineRule="auto"/>
        <w:ind w:firstLine="470" w:firstLineChars="196"/>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3、全自动运行功能：控制系统应能实现集成水厂的一键全自动运行功能。</w:t>
      </w:r>
    </w:p>
    <w:p w14:paraId="2C3F4080">
      <w:pPr>
        <w:spacing w:line="360" w:lineRule="auto"/>
        <w:ind w:firstLine="470" w:firstLineChars="196"/>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HMI监控系统：设备应具有HMI触摸屏，操作员可在此HMI界面上监视运行过程，下发操作指令。统应能动态显示水厂工艺流程、各工艺设备的实时运行工况，各工艺运行数据的显示，使管理人员实时掌握全厂的设备运行情况，能从总图到详图多层次监视。</w:t>
      </w:r>
    </w:p>
    <w:p w14:paraId="3B5088EF">
      <w:pPr>
        <w:spacing w:line="360" w:lineRule="auto"/>
        <w:ind w:firstLine="470" w:firstLineChars="196"/>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5、参数设置功能：系统应能对水厂各参数进行设置，对于错误的设定和超范围的设定给出错误设置提示，便于操作人员予以改正。</w:t>
      </w:r>
    </w:p>
    <w:p w14:paraId="7DAC596E">
      <w:pPr>
        <w:spacing w:line="360" w:lineRule="auto"/>
        <w:ind w:firstLine="470" w:firstLineChars="196"/>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6、故障报警功能：系统应能对运行故障进行准确、及时的报警。</w:t>
      </w:r>
    </w:p>
    <w:p w14:paraId="5AFB2CC8">
      <w:pPr>
        <w:spacing w:line="360" w:lineRule="auto"/>
        <w:ind w:firstLine="470" w:firstLineChars="196"/>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7、通讯功能：系统应具有开放性功能，可与其他系统进行通讯。</w:t>
      </w:r>
    </w:p>
    <w:p w14:paraId="5E532E9A">
      <w:pPr>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lang w:val="en-US" w:eastAsia="zh-CN"/>
        </w:rPr>
        <w:t>8、远程监测模块：设备应能够提供无线或有线形式的远程监测方式，实现远程监测功能。</w:t>
      </w:r>
    </w:p>
    <w:tbl>
      <w:tblPr>
        <w:tblStyle w:val="18"/>
        <w:tblW w:w="500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7"/>
        <w:gridCol w:w="1590"/>
        <w:gridCol w:w="4696"/>
        <w:gridCol w:w="637"/>
        <w:gridCol w:w="709"/>
        <w:gridCol w:w="782"/>
        <w:gridCol w:w="788"/>
      </w:tblGrid>
      <w:tr w14:paraId="3B2D2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5000" w:type="pct"/>
            <w:gridSpan w:val="7"/>
            <w:tcBorders>
              <w:top w:val="single" w:color="000000" w:sz="4" w:space="0"/>
              <w:left w:val="single" w:color="000000" w:sz="4" w:space="0"/>
              <w:bottom w:val="single" w:color="000000" w:sz="4" w:space="0"/>
              <w:right w:val="single" w:color="000000" w:sz="4" w:space="0"/>
            </w:tcBorders>
            <w:noWrap/>
            <w:vAlign w:val="center"/>
          </w:tcPr>
          <w:p w14:paraId="3DF811B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招标清单</w:t>
            </w:r>
          </w:p>
        </w:tc>
      </w:tr>
      <w:tr w14:paraId="406E6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36" w:type="pct"/>
            <w:tcBorders>
              <w:top w:val="single" w:color="000000" w:sz="4" w:space="0"/>
              <w:left w:val="single" w:color="000000" w:sz="4" w:space="0"/>
              <w:bottom w:val="single" w:color="000000" w:sz="4" w:space="0"/>
              <w:right w:val="single" w:color="000000" w:sz="4" w:space="0"/>
            </w:tcBorders>
            <w:noWrap/>
            <w:vAlign w:val="center"/>
          </w:tcPr>
          <w:p w14:paraId="380E8AC2">
            <w:pPr>
              <w:jc w:val="center"/>
              <w:rPr>
                <w:rFonts w:hint="eastAsia" w:ascii="宋体" w:hAnsi="宋体" w:eastAsia="宋体" w:cs="宋体"/>
                <w:b/>
                <w:bCs/>
                <w:i w:val="0"/>
                <w:iCs w:val="0"/>
                <w:color w:val="auto"/>
                <w:sz w:val="24"/>
                <w:szCs w:val="24"/>
                <w:u w:val="none"/>
              </w:rPr>
            </w:pP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0D46FF61">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名称</w:t>
            </w:r>
          </w:p>
        </w:tc>
        <w:tc>
          <w:tcPr>
            <w:tcW w:w="2431" w:type="pct"/>
            <w:tcBorders>
              <w:top w:val="single" w:color="000000" w:sz="4" w:space="0"/>
              <w:left w:val="single" w:color="000000" w:sz="4" w:space="0"/>
              <w:bottom w:val="single" w:color="000000" w:sz="4" w:space="0"/>
              <w:right w:val="single" w:color="000000" w:sz="4" w:space="0"/>
            </w:tcBorders>
            <w:noWrap w:val="0"/>
            <w:vAlign w:val="center"/>
          </w:tcPr>
          <w:p w14:paraId="0EB38D17">
            <w:pPr>
              <w:keepNext w:val="0"/>
              <w:keepLines w:val="0"/>
              <w:widowControl/>
              <w:suppressLineNumbers w:val="0"/>
              <w:jc w:val="center"/>
              <w:textAlignment w:val="center"/>
              <w:rPr>
                <w:rFonts w:hint="default" w:ascii="宋体" w:hAnsi="宋体" w:eastAsia="宋体" w:cs="宋体"/>
                <w:b/>
                <w:bCs/>
                <w:i w:val="0"/>
                <w:iCs w:val="0"/>
                <w:color w:val="auto"/>
                <w:sz w:val="24"/>
                <w:szCs w:val="24"/>
                <w:u w:val="none"/>
                <w:lang w:val="en-US"/>
              </w:rPr>
            </w:pPr>
            <w:r>
              <w:rPr>
                <w:rFonts w:hint="eastAsia" w:ascii="宋体" w:hAnsi="宋体" w:eastAsia="宋体" w:cs="宋体"/>
                <w:b/>
                <w:bCs/>
                <w:i w:val="0"/>
                <w:iCs w:val="0"/>
                <w:color w:val="auto"/>
                <w:kern w:val="0"/>
                <w:sz w:val="24"/>
                <w:szCs w:val="24"/>
                <w:u w:val="none"/>
                <w:lang w:val="en-US" w:eastAsia="zh-CN" w:bidi="ar"/>
              </w:rPr>
              <w:t>参数要求</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062BE08E">
            <w:pPr>
              <w:keepNext w:val="0"/>
              <w:keepLines w:val="0"/>
              <w:widowControl/>
              <w:suppressLineNumbers w:val="0"/>
              <w:jc w:val="center"/>
              <w:textAlignment w:val="center"/>
              <w:rPr>
                <w:rFonts w:hint="default"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单位</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14:paraId="75D1B7C2">
            <w:pPr>
              <w:keepNext w:val="0"/>
              <w:keepLines w:val="0"/>
              <w:widowControl/>
              <w:suppressLineNumbers w:val="0"/>
              <w:jc w:val="center"/>
              <w:textAlignment w:val="center"/>
              <w:rPr>
                <w:rFonts w:hint="default"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数量</w:t>
            </w:r>
          </w:p>
        </w:tc>
        <w:tc>
          <w:tcPr>
            <w:tcW w:w="405" w:type="pct"/>
            <w:tcBorders>
              <w:top w:val="single" w:color="000000" w:sz="4" w:space="0"/>
              <w:left w:val="single" w:color="000000" w:sz="4" w:space="0"/>
              <w:bottom w:val="single" w:color="000000" w:sz="4" w:space="0"/>
              <w:right w:val="single" w:color="000000" w:sz="4" w:space="0"/>
            </w:tcBorders>
            <w:noWrap w:val="0"/>
            <w:vAlign w:val="center"/>
          </w:tcPr>
          <w:p w14:paraId="1DC50CE9">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单价</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70B59C7F">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总价</w:t>
            </w:r>
          </w:p>
        </w:tc>
      </w:tr>
      <w:tr w14:paraId="57BCD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236" w:type="pct"/>
            <w:tcBorders>
              <w:top w:val="single" w:color="000000" w:sz="4" w:space="0"/>
              <w:left w:val="single" w:color="000000" w:sz="4" w:space="0"/>
              <w:bottom w:val="single" w:color="000000" w:sz="4" w:space="0"/>
              <w:right w:val="single" w:color="000000" w:sz="4" w:space="0"/>
            </w:tcBorders>
            <w:noWrap w:val="0"/>
            <w:vAlign w:val="center"/>
          </w:tcPr>
          <w:p w14:paraId="42DDEAFF">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一</w:t>
            </w:r>
          </w:p>
        </w:tc>
        <w:tc>
          <w:tcPr>
            <w:tcW w:w="823" w:type="pct"/>
            <w:tcBorders>
              <w:top w:val="single" w:color="000000" w:sz="4" w:space="0"/>
              <w:left w:val="single" w:color="000000" w:sz="4" w:space="0"/>
              <w:bottom w:val="single" w:color="000000" w:sz="4" w:space="0"/>
              <w:right w:val="single" w:color="000000" w:sz="4" w:space="0"/>
            </w:tcBorders>
            <w:noWrap w:val="0"/>
            <w:vAlign w:val="center"/>
          </w:tcPr>
          <w:p w14:paraId="54A8DDA9">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旬阳市村镇供水提标改造项目</w:t>
            </w:r>
          </w:p>
        </w:tc>
        <w:tc>
          <w:tcPr>
            <w:tcW w:w="2431" w:type="pct"/>
            <w:tcBorders>
              <w:top w:val="single" w:color="000000" w:sz="4" w:space="0"/>
              <w:left w:val="single" w:color="000000" w:sz="4" w:space="0"/>
              <w:bottom w:val="single" w:color="000000" w:sz="4" w:space="0"/>
              <w:right w:val="single" w:color="000000" w:sz="4" w:space="0"/>
            </w:tcBorders>
            <w:noWrap w:val="0"/>
            <w:vAlign w:val="center"/>
          </w:tcPr>
          <w:p w14:paraId="74D58314">
            <w:pPr>
              <w:jc w:val="center"/>
              <w:rPr>
                <w:rFonts w:hint="eastAsia" w:ascii="宋体" w:hAnsi="宋体" w:eastAsia="宋体" w:cs="宋体"/>
                <w:i w:val="0"/>
                <w:iCs w:val="0"/>
                <w:color w:val="auto"/>
                <w:sz w:val="24"/>
                <w:szCs w:val="24"/>
                <w:u w:val="none"/>
              </w:rPr>
            </w:pP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02CB2D4F">
            <w:pPr>
              <w:jc w:val="center"/>
              <w:rPr>
                <w:rFonts w:hint="eastAsia" w:ascii="宋体" w:hAnsi="宋体" w:eastAsia="宋体" w:cs="宋体"/>
                <w:i w:val="0"/>
                <w:iCs w:val="0"/>
                <w:color w:val="auto"/>
                <w:sz w:val="24"/>
                <w:szCs w:val="24"/>
                <w:u w:val="none"/>
              </w:rPr>
            </w:pPr>
          </w:p>
        </w:tc>
        <w:tc>
          <w:tcPr>
            <w:tcW w:w="367" w:type="pct"/>
            <w:tcBorders>
              <w:top w:val="single" w:color="000000" w:sz="4" w:space="0"/>
              <w:left w:val="single" w:color="000000" w:sz="4" w:space="0"/>
              <w:bottom w:val="single" w:color="000000" w:sz="4" w:space="0"/>
              <w:right w:val="single" w:color="000000" w:sz="4" w:space="0"/>
            </w:tcBorders>
            <w:noWrap w:val="0"/>
            <w:vAlign w:val="center"/>
          </w:tcPr>
          <w:p w14:paraId="2EC77A14">
            <w:pPr>
              <w:jc w:val="center"/>
              <w:rPr>
                <w:rFonts w:hint="eastAsia" w:ascii="宋体" w:hAnsi="宋体" w:eastAsia="宋体" w:cs="宋体"/>
                <w:i w:val="0"/>
                <w:iCs w:val="0"/>
                <w:color w:val="auto"/>
                <w:sz w:val="24"/>
                <w:szCs w:val="24"/>
                <w:u w:val="none"/>
              </w:rPr>
            </w:pPr>
          </w:p>
        </w:tc>
        <w:tc>
          <w:tcPr>
            <w:tcW w:w="405" w:type="pct"/>
            <w:tcBorders>
              <w:top w:val="single" w:color="000000" w:sz="4" w:space="0"/>
              <w:left w:val="single" w:color="000000" w:sz="4" w:space="0"/>
              <w:bottom w:val="single" w:color="000000" w:sz="4" w:space="0"/>
              <w:right w:val="single" w:color="000000" w:sz="4" w:space="0"/>
            </w:tcBorders>
            <w:noWrap/>
            <w:vAlign w:val="center"/>
          </w:tcPr>
          <w:p w14:paraId="38BA363A">
            <w:pPr>
              <w:jc w:val="center"/>
              <w:rPr>
                <w:rFonts w:hint="eastAsia" w:ascii="宋体" w:hAnsi="宋体" w:eastAsia="宋体" w:cs="宋体"/>
                <w:i w:val="0"/>
                <w:iCs w:val="0"/>
                <w:color w:val="auto"/>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noWrap/>
            <w:vAlign w:val="center"/>
          </w:tcPr>
          <w:p w14:paraId="499875F4">
            <w:pPr>
              <w:jc w:val="center"/>
              <w:rPr>
                <w:rFonts w:hint="eastAsia" w:ascii="宋体" w:hAnsi="宋体" w:eastAsia="宋体" w:cs="宋体"/>
                <w:i w:val="0"/>
                <w:iCs w:val="0"/>
                <w:color w:val="auto"/>
                <w:sz w:val="24"/>
                <w:szCs w:val="24"/>
                <w:u w:val="none"/>
              </w:rPr>
            </w:pPr>
          </w:p>
        </w:tc>
      </w:tr>
      <w:tr w14:paraId="1247B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236" w:type="pct"/>
            <w:tcBorders>
              <w:top w:val="single" w:color="000000" w:sz="4" w:space="0"/>
              <w:left w:val="single" w:color="000000" w:sz="4" w:space="0"/>
              <w:bottom w:val="single" w:color="000000" w:sz="4" w:space="0"/>
              <w:right w:val="single" w:color="000000" w:sz="4" w:space="0"/>
            </w:tcBorders>
            <w:noWrap w:val="0"/>
            <w:vAlign w:val="center"/>
          </w:tcPr>
          <w:p w14:paraId="2CD826BB">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lang w:val="en-US" w:eastAsia="zh-CN"/>
              </w:rPr>
            </w:pPr>
            <w:r>
              <w:rPr>
                <w:rFonts w:hint="eastAsia" w:ascii="宋体" w:hAnsi="宋体" w:eastAsia="宋体" w:cs="宋体"/>
                <w:b/>
                <w:bCs/>
                <w:i w:val="0"/>
                <w:iCs w:val="0"/>
                <w:color w:val="auto"/>
                <w:sz w:val="24"/>
                <w:szCs w:val="24"/>
                <w:u w:val="none"/>
                <w:lang w:val="en-US" w:eastAsia="zh-CN"/>
              </w:rPr>
              <w:t>1</w:t>
            </w:r>
          </w:p>
        </w:tc>
        <w:tc>
          <w:tcPr>
            <w:tcW w:w="823" w:type="pct"/>
            <w:tcBorders>
              <w:top w:val="single" w:color="000000" w:sz="4" w:space="0"/>
              <w:left w:val="single" w:color="000000" w:sz="4" w:space="0"/>
              <w:bottom w:val="single" w:color="000000" w:sz="4" w:space="0"/>
              <w:right w:val="single" w:color="000000" w:sz="4" w:space="0"/>
            </w:tcBorders>
            <w:noWrap w:val="0"/>
            <w:vAlign w:val="center"/>
          </w:tcPr>
          <w:p w14:paraId="6E244389">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一体化集成净水设备</w:t>
            </w:r>
          </w:p>
        </w:tc>
        <w:tc>
          <w:tcPr>
            <w:tcW w:w="2431" w:type="pct"/>
            <w:tcBorders>
              <w:top w:val="single" w:color="000000" w:sz="4" w:space="0"/>
              <w:left w:val="single" w:color="000000" w:sz="4" w:space="0"/>
              <w:bottom w:val="single" w:color="000000" w:sz="4" w:space="0"/>
              <w:right w:val="single" w:color="000000" w:sz="4" w:space="0"/>
            </w:tcBorders>
            <w:noWrap w:val="0"/>
            <w:vAlign w:val="center"/>
          </w:tcPr>
          <w:p w14:paraId="69576DFE">
            <w:pPr>
              <w:jc w:val="center"/>
              <w:rPr>
                <w:rFonts w:hint="default"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含</w:t>
            </w:r>
            <w:r>
              <w:rPr>
                <w:rFonts w:hint="eastAsia" w:ascii="宋体" w:hAnsi="宋体" w:eastAsia="宋体" w:cs="宋体"/>
                <w:i w:val="0"/>
                <w:iCs w:val="0"/>
                <w:color w:val="auto"/>
                <w:kern w:val="0"/>
                <w:sz w:val="24"/>
                <w:szCs w:val="24"/>
                <w:u w:val="none"/>
                <w:lang w:val="en-US" w:eastAsia="zh-CN" w:bidi="ar"/>
              </w:rPr>
              <w:t>絮凝模块、沉淀模块、过滤模块、PAC加药模块、次氯酸钠消毒模块及设备本体自带的仪表、阀门、管路等具体要求详见文件</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2664B96C">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val="en-US" w:eastAsia="zh-CN"/>
              </w:rPr>
              <w:t>套</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14:paraId="2838DF83">
            <w:pPr>
              <w:jc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1</w:t>
            </w:r>
          </w:p>
        </w:tc>
        <w:tc>
          <w:tcPr>
            <w:tcW w:w="405" w:type="pct"/>
            <w:tcBorders>
              <w:top w:val="single" w:color="000000" w:sz="4" w:space="0"/>
              <w:left w:val="single" w:color="000000" w:sz="4" w:space="0"/>
              <w:bottom w:val="single" w:color="000000" w:sz="4" w:space="0"/>
              <w:right w:val="single" w:color="000000" w:sz="4" w:space="0"/>
            </w:tcBorders>
            <w:noWrap w:val="0"/>
            <w:vAlign w:val="center"/>
          </w:tcPr>
          <w:p w14:paraId="2802D229">
            <w:pPr>
              <w:jc w:val="center"/>
              <w:rPr>
                <w:rFonts w:hint="eastAsia" w:ascii="宋体" w:hAnsi="宋体" w:eastAsia="宋体" w:cs="宋体"/>
                <w:i w:val="0"/>
                <w:iCs w:val="0"/>
                <w:color w:val="auto"/>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5F38F3BA">
            <w:pPr>
              <w:jc w:val="center"/>
              <w:rPr>
                <w:rFonts w:hint="eastAsia" w:ascii="宋体" w:hAnsi="宋体" w:eastAsia="宋体" w:cs="宋体"/>
                <w:i w:val="0"/>
                <w:iCs w:val="0"/>
                <w:color w:val="auto"/>
                <w:sz w:val="24"/>
                <w:szCs w:val="24"/>
                <w:u w:val="none"/>
              </w:rPr>
            </w:pPr>
          </w:p>
        </w:tc>
      </w:tr>
      <w:tr w14:paraId="1279D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236" w:type="pct"/>
            <w:tcBorders>
              <w:top w:val="single" w:color="000000" w:sz="4" w:space="0"/>
              <w:left w:val="single" w:color="000000" w:sz="4" w:space="0"/>
              <w:bottom w:val="single" w:color="000000" w:sz="4" w:space="0"/>
              <w:right w:val="single" w:color="000000" w:sz="4" w:space="0"/>
            </w:tcBorders>
            <w:noWrap w:val="0"/>
            <w:vAlign w:val="center"/>
          </w:tcPr>
          <w:p w14:paraId="31A35F34">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lang w:val="en-US" w:eastAsia="zh-CN"/>
              </w:rPr>
            </w:pPr>
            <w:r>
              <w:rPr>
                <w:rFonts w:hint="eastAsia" w:ascii="宋体" w:hAnsi="宋体" w:eastAsia="宋体" w:cs="宋体"/>
                <w:b/>
                <w:bCs/>
                <w:i w:val="0"/>
                <w:iCs w:val="0"/>
                <w:color w:val="auto"/>
                <w:sz w:val="24"/>
                <w:szCs w:val="24"/>
                <w:u w:val="none"/>
                <w:lang w:val="en-US" w:eastAsia="zh-CN"/>
              </w:rPr>
              <w:t>2</w:t>
            </w:r>
          </w:p>
        </w:tc>
        <w:tc>
          <w:tcPr>
            <w:tcW w:w="823" w:type="pct"/>
            <w:tcBorders>
              <w:top w:val="single" w:color="000000" w:sz="4" w:space="0"/>
              <w:left w:val="single" w:color="000000" w:sz="4" w:space="0"/>
              <w:bottom w:val="single" w:color="000000" w:sz="4" w:space="0"/>
              <w:right w:val="single" w:color="000000" w:sz="4" w:space="0"/>
            </w:tcBorders>
            <w:noWrap w:val="0"/>
            <w:vAlign w:val="center"/>
          </w:tcPr>
          <w:p w14:paraId="7AF4E4B8">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自动化控制系统</w:t>
            </w:r>
          </w:p>
        </w:tc>
        <w:tc>
          <w:tcPr>
            <w:tcW w:w="2431" w:type="pct"/>
            <w:tcBorders>
              <w:top w:val="single" w:color="000000" w:sz="4" w:space="0"/>
              <w:left w:val="single" w:color="000000" w:sz="4" w:space="0"/>
              <w:bottom w:val="single" w:color="000000" w:sz="4" w:space="0"/>
              <w:right w:val="single" w:color="000000" w:sz="4" w:space="0"/>
            </w:tcBorders>
            <w:noWrap w:val="0"/>
            <w:vAlign w:val="center"/>
          </w:tcPr>
          <w:p w14:paraId="3B4D2CC2">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包含控制柜、配套电子元器件，水厂自动控制软件，PLC编程，4G远程控制等具体要求详见文件</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1747A6DB">
            <w:pPr>
              <w:jc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套</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14:paraId="0CBA64DB">
            <w:pPr>
              <w:jc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1</w:t>
            </w:r>
          </w:p>
        </w:tc>
        <w:tc>
          <w:tcPr>
            <w:tcW w:w="405" w:type="pct"/>
            <w:tcBorders>
              <w:top w:val="single" w:color="000000" w:sz="4" w:space="0"/>
              <w:left w:val="single" w:color="000000" w:sz="4" w:space="0"/>
              <w:bottom w:val="single" w:color="000000" w:sz="4" w:space="0"/>
              <w:right w:val="single" w:color="000000" w:sz="4" w:space="0"/>
            </w:tcBorders>
            <w:noWrap w:val="0"/>
            <w:vAlign w:val="center"/>
          </w:tcPr>
          <w:p w14:paraId="268BE2E2">
            <w:pPr>
              <w:jc w:val="center"/>
              <w:rPr>
                <w:rFonts w:hint="eastAsia" w:ascii="宋体" w:hAnsi="宋体" w:eastAsia="宋体" w:cs="宋体"/>
                <w:i w:val="0"/>
                <w:iCs w:val="0"/>
                <w:color w:val="auto"/>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67C54FEF">
            <w:pPr>
              <w:jc w:val="center"/>
              <w:rPr>
                <w:rFonts w:hint="eastAsia" w:ascii="宋体" w:hAnsi="宋体" w:eastAsia="宋体" w:cs="宋体"/>
                <w:i w:val="0"/>
                <w:iCs w:val="0"/>
                <w:color w:val="auto"/>
                <w:sz w:val="24"/>
                <w:szCs w:val="24"/>
                <w:u w:val="none"/>
              </w:rPr>
            </w:pPr>
          </w:p>
        </w:tc>
      </w:tr>
      <w:tr w14:paraId="57FC7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236" w:type="pct"/>
            <w:tcBorders>
              <w:top w:val="single" w:color="000000" w:sz="4" w:space="0"/>
              <w:left w:val="single" w:color="000000" w:sz="4" w:space="0"/>
              <w:bottom w:val="single" w:color="000000" w:sz="4" w:space="0"/>
              <w:right w:val="single" w:color="000000" w:sz="4" w:space="0"/>
            </w:tcBorders>
            <w:noWrap w:val="0"/>
            <w:vAlign w:val="center"/>
          </w:tcPr>
          <w:p w14:paraId="5248B174">
            <w:pPr>
              <w:keepNext w:val="0"/>
              <w:keepLines w:val="0"/>
              <w:widowControl/>
              <w:suppressLineNumbers w:val="0"/>
              <w:jc w:val="center"/>
              <w:textAlignment w:val="center"/>
              <w:rPr>
                <w:rFonts w:hint="default" w:ascii="宋体" w:hAnsi="宋体" w:eastAsia="宋体" w:cs="宋体"/>
                <w:b/>
                <w:bCs/>
                <w:i w:val="0"/>
                <w:iCs w:val="0"/>
                <w:color w:val="auto"/>
                <w:sz w:val="24"/>
                <w:szCs w:val="24"/>
                <w:u w:val="none"/>
                <w:lang w:val="en-US" w:eastAsia="zh-CN"/>
              </w:rPr>
            </w:pPr>
            <w:r>
              <w:rPr>
                <w:rFonts w:hint="eastAsia" w:ascii="宋体" w:hAnsi="宋体" w:eastAsia="宋体" w:cs="宋体"/>
                <w:b/>
                <w:bCs/>
                <w:i w:val="0"/>
                <w:iCs w:val="0"/>
                <w:color w:val="auto"/>
                <w:sz w:val="24"/>
                <w:szCs w:val="24"/>
                <w:u w:val="none"/>
                <w:lang w:val="en-US" w:eastAsia="zh-CN"/>
              </w:rPr>
              <w:t>3</w:t>
            </w:r>
          </w:p>
        </w:tc>
        <w:tc>
          <w:tcPr>
            <w:tcW w:w="823" w:type="pct"/>
            <w:tcBorders>
              <w:top w:val="single" w:color="000000" w:sz="4" w:space="0"/>
              <w:left w:val="single" w:color="000000" w:sz="4" w:space="0"/>
              <w:bottom w:val="single" w:color="000000" w:sz="4" w:space="0"/>
              <w:right w:val="single" w:color="000000" w:sz="4" w:space="0"/>
            </w:tcBorders>
            <w:noWrap w:val="0"/>
            <w:vAlign w:val="center"/>
          </w:tcPr>
          <w:p w14:paraId="49762502">
            <w:pPr>
              <w:keepNext w:val="0"/>
              <w:keepLines w:val="0"/>
              <w:widowControl/>
              <w:suppressLineNumbers w:val="0"/>
              <w:jc w:val="center"/>
              <w:textAlignment w:val="center"/>
              <w:rPr>
                <w:rFonts w:hint="default"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合计</w:t>
            </w:r>
          </w:p>
        </w:tc>
        <w:tc>
          <w:tcPr>
            <w:tcW w:w="2431" w:type="pct"/>
            <w:tcBorders>
              <w:top w:val="single" w:color="000000" w:sz="4" w:space="0"/>
              <w:left w:val="single" w:color="000000" w:sz="4" w:space="0"/>
              <w:bottom w:val="single" w:color="000000" w:sz="4" w:space="0"/>
              <w:right w:val="single" w:color="000000" w:sz="4" w:space="0"/>
            </w:tcBorders>
            <w:noWrap w:val="0"/>
            <w:vAlign w:val="center"/>
          </w:tcPr>
          <w:p w14:paraId="5AF4FF01">
            <w:pPr>
              <w:jc w:val="center"/>
              <w:rPr>
                <w:rFonts w:hint="eastAsia" w:ascii="宋体" w:hAnsi="宋体" w:eastAsia="宋体" w:cs="宋体"/>
                <w:i w:val="0"/>
                <w:iCs w:val="0"/>
                <w:color w:val="auto"/>
                <w:kern w:val="0"/>
                <w:sz w:val="24"/>
                <w:szCs w:val="24"/>
                <w:u w:val="none"/>
                <w:lang w:val="en-US" w:eastAsia="zh-CN" w:bidi="ar"/>
              </w:rPr>
            </w:pP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6AB90A11">
            <w:pPr>
              <w:jc w:val="center"/>
              <w:rPr>
                <w:rFonts w:hint="eastAsia" w:ascii="宋体" w:hAnsi="宋体" w:eastAsia="宋体" w:cs="宋体"/>
                <w:i w:val="0"/>
                <w:iCs w:val="0"/>
                <w:color w:val="auto"/>
                <w:sz w:val="24"/>
                <w:szCs w:val="24"/>
                <w:u w:val="none"/>
              </w:rPr>
            </w:pPr>
          </w:p>
        </w:tc>
        <w:tc>
          <w:tcPr>
            <w:tcW w:w="367" w:type="pct"/>
            <w:tcBorders>
              <w:top w:val="single" w:color="000000" w:sz="4" w:space="0"/>
              <w:left w:val="single" w:color="000000" w:sz="4" w:space="0"/>
              <w:bottom w:val="single" w:color="000000" w:sz="4" w:space="0"/>
              <w:right w:val="single" w:color="000000" w:sz="4" w:space="0"/>
            </w:tcBorders>
            <w:noWrap w:val="0"/>
            <w:vAlign w:val="center"/>
          </w:tcPr>
          <w:p w14:paraId="71D88A78">
            <w:pPr>
              <w:jc w:val="center"/>
              <w:rPr>
                <w:rFonts w:hint="eastAsia" w:ascii="宋体" w:hAnsi="宋体" w:eastAsia="宋体" w:cs="宋体"/>
                <w:i w:val="0"/>
                <w:iCs w:val="0"/>
                <w:color w:val="auto"/>
                <w:sz w:val="24"/>
                <w:szCs w:val="24"/>
                <w:u w:val="none"/>
              </w:rPr>
            </w:pPr>
          </w:p>
        </w:tc>
        <w:tc>
          <w:tcPr>
            <w:tcW w:w="405" w:type="pct"/>
            <w:tcBorders>
              <w:top w:val="single" w:color="000000" w:sz="4" w:space="0"/>
              <w:left w:val="single" w:color="000000" w:sz="4" w:space="0"/>
              <w:bottom w:val="single" w:color="000000" w:sz="4" w:space="0"/>
              <w:right w:val="single" w:color="000000" w:sz="4" w:space="0"/>
            </w:tcBorders>
            <w:noWrap w:val="0"/>
            <w:vAlign w:val="center"/>
          </w:tcPr>
          <w:p w14:paraId="0AC05CC7">
            <w:pPr>
              <w:jc w:val="center"/>
              <w:rPr>
                <w:rFonts w:hint="eastAsia" w:ascii="宋体" w:hAnsi="宋体" w:eastAsia="宋体" w:cs="宋体"/>
                <w:i w:val="0"/>
                <w:iCs w:val="0"/>
                <w:color w:val="auto"/>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106A711D">
            <w:pPr>
              <w:jc w:val="center"/>
              <w:rPr>
                <w:rFonts w:hint="eastAsia" w:ascii="宋体" w:hAnsi="宋体" w:eastAsia="宋体" w:cs="宋体"/>
                <w:i w:val="0"/>
                <w:iCs w:val="0"/>
                <w:color w:val="auto"/>
                <w:sz w:val="24"/>
                <w:szCs w:val="24"/>
                <w:u w:val="none"/>
              </w:rPr>
            </w:pPr>
          </w:p>
        </w:tc>
      </w:tr>
    </w:tbl>
    <w:p w14:paraId="0BE1972A">
      <w:pPr>
        <w:widowControl/>
        <w:autoSpaceDE/>
        <w:autoSpaceDN/>
        <w:jc w:val="center"/>
        <w:rPr>
          <w:rFonts w:hint="eastAsia" w:ascii="宋体" w:hAnsi="宋体" w:eastAsia="宋体" w:cs="宋体"/>
          <w:b/>
          <w:color w:val="auto"/>
          <w:sz w:val="30"/>
          <w:szCs w:val="30"/>
        </w:rPr>
      </w:pPr>
    </w:p>
    <w:p w14:paraId="1AD9A4FD">
      <w:pPr>
        <w:pStyle w:val="6"/>
        <w:bidi w:val="0"/>
        <w:rPr>
          <w:color w:val="auto"/>
        </w:rPr>
      </w:pPr>
    </w:p>
    <w:p w14:paraId="7224A58B">
      <w:pPr>
        <w:pStyle w:val="6"/>
        <w:bidi w:val="0"/>
        <w:rPr>
          <w:color w:val="auto"/>
        </w:rPr>
      </w:pPr>
    </w:p>
    <w:p w14:paraId="1AE390B6">
      <w:pPr>
        <w:pStyle w:val="6"/>
        <w:bidi w:val="0"/>
        <w:rPr>
          <w:color w:val="auto"/>
        </w:rPr>
      </w:pPr>
    </w:p>
    <w:p w14:paraId="216F29EA">
      <w:pPr>
        <w:pStyle w:val="6"/>
        <w:bidi w:val="0"/>
        <w:rPr>
          <w:color w:val="auto"/>
        </w:rPr>
      </w:pPr>
    </w:p>
    <w:p w14:paraId="1C79A22D">
      <w:pPr>
        <w:pStyle w:val="6"/>
        <w:bidi w:val="0"/>
        <w:rPr>
          <w:color w:val="auto"/>
        </w:rPr>
      </w:pPr>
    </w:p>
    <w:p w14:paraId="777F1CDB">
      <w:pPr>
        <w:pStyle w:val="6"/>
        <w:bidi w:val="0"/>
        <w:rPr>
          <w:color w:val="auto"/>
        </w:rPr>
      </w:pPr>
    </w:p>
    <w:p w14:paraId="640D9ABF">
      <w:pPr>
        <w:pStyle w:val="6"/>
        <w:bidi w:val="0"/>
        <w:rPr>
          <w:color w:val="auto"/>
        </w:rPr>
      </w:pPr>
    </w:p>
    <w:p w14:paraId="41F1911B">
      <w:pPr>
        <w:pStyle w:val="6"/>
        <w:bidi w:val="0"/>
        <w:rPr>
          <w:color w:val="auto"/>
        </w:rPr>
      </w:pPr>
    </w:p>
    <w:p w14:paraId="610461D1">
      <w:pPr>
        <w:pStyle w:val="6"/>
        <w:bidi w:val="0"/>
        <w:rPr>
          <w:color w:val="auto"/>
        </w:rPr>
      </w:pPr>
    </w:p>
    <w:p w14:paraId="1F8AC3AD">
      <w:pPr>
        <w:pStyle w:val="6"/>
        <w:bidi w:val="0"/>
        <w:rPr>
          <w:color w:val="auto"/>
        </w:rPr>
      </w:pPr>
    </w:p>
    <w:p w14:paraId="24EE9044">
      <w:pPr>
        <w:pStyle w:val="6"/>
        <w:bidi w:val="0"/>
        <w:rPr>
          <w:color w:val="auto"/>
        </w:rPr>
      </w:pPr>
    </w:p>
    <w:p w14:paraId="036F6F5A">
      <w:pPr>
        <w:pStyle w:val="6"/>
        <w:bidi w:val="0"/>
        <w:rPr>
          <w:color w:val="auto"/>
        </w:rPr>
      </w:pPr>
    </w:p>
    <w:p w14:paraId="47D298B0">
      <w:pPr>
        <w:pStyle w:val="6"/>
        <w:bidi w:val="0"/>
        <w:rPr>
          <w:color w:val="auto"/>
        </w:rPr>
      </w:pPr>
    </w:p>
    <w:p w14:paraId="70E4199C">
      <w:pPr>
        <w:pStyle w:val="6"/>
        <w:bidi w:val="0"/>
        <w:rPr>
          <w:color w:val="auto"/>
        </w:rPr>
      </w:pPr>
    </w:p>
    <w:p w14:paraId="2ABF0215">
      <w:pPr>
        <w:pStyle w:val="6"/>
        <w:spacing w:before="10" w:line="225" w:lineRule="auto"/>
        <w:ind w:left="2429"/>
        <w:outlineLvl w:val="0"/>
        <w:rPr>
          <w:color w:val="auto"/>
          <w:sz w:val="35"/>
          <w:szCs w:val="35"/>
        </w:rPr>
      </w:pPr>
      <w:r>
        <w:rPr>
          <w:b/>
          <w:bCs/>
          <w:color w:val="auto"/>
          <w:spacing w:val="6"/>
          <w:sz w:val="35"/>
          <w:szCs w:val="35"/>
        </w:rPr>
        <w:t>第</w:t>
      </w:r>
      <w:r>
        <w:rPr>
          <w:rFonts w:hint="eastAsia"/>
          <w:b/>
          <w:bCs/>
          <w:color w:val="auto"/>
          <w:spacing w:val="6"/>
          <w:sz w:val="35"/>
          <w:szCs w:val="35"/>
          <w:lang w:eastAsia="zh-CN"/>
        </w:rPr>
        <w:t>五</w:t>
      </w:r>
      <w:r>
        <w:rPr>
          <w:b/>
          <w:bCs/>
          <w:color w:val="auto"/>
          <w:spacing w:val="6"/>
          <w:sz w:val="35"/>
          <w:szCs w:val="35"/>
        </w:rPr>
        <w:t>章</w:t>
      </w:r>
      <w:r>
        <w:rPr>
          <w:color w:val="auto"/>
          <w:spacing w:val="6"/>
          <w:sz w:val="35"/>
          <w:szCs w:val="35"/>
        </w:rPr>
        <w:t xml:space="preserve">  </w:t>
      </w:r>
      <w:r>
        <w:rPr>
          <w:b/>
          <w:bCs/>
          <w:color w:val="auto"/>
          <w:spacing w:val="6"/>
          <w:sz w:val="35"/>
          <w:szCs w:val="35"/>
        </w:rPr>
        <w:t>谈判响应文件基本格式</w:t>
      </w:r>
    </w:p>
    <w:p w14:paraId="68CE04CC">
      <w:pPr>
        <w:pStyle w:val="6"/>
        <w:spacing w:before="153" w:line="220" w:lineRule="auto"/>
        <w:ind w:left="494"/>
        <w:rPr>
          <w:b/>
          <w:bCs/>
          <w:color w:val="auto"/>
          <w:spacing w:val="-3"/>
          <w:sz w:val="28"/>
          <w:szCs w:val="28"/>
        </w:rPr>
      </w:pPr>
    </w:p>
    <w:p w14:paraId="754E4C32">
      <w:pPr>
        <w:pStyle w:val="6"/>
        <w:spacing w:before="153" w:line="220" w:lineRule="auto"/>
        <w:ind w:left="494"/>
        <w:rPr>
          <w:b/>
          <w:bCs/>
          <w:color w:val="auto"/>
          <w:sz w:val="28"/>
          <w:szCs w:val="28"/>
        </w:rPr>
      </w:pPr>
      <w:r>
        <w:rPr>
          <w:b/>
          <w:bCs/>
          <w:color w:val="auto"/>
          <w:spacing w:val="-3"/>
          <w:sz w:val="28"/>
          <w:szCs w:val="28"/>
        </w:rPr>
        <w:t>项目编号：</w:t>
      </w:r>
    </w:p>
    <w:p w14:paraId="43F0B4A9">
      <w:pPr>
        <w:spacing w:line="250" w:lineRule="auto"/>
        <w:rPr>
          <w:rFonts w:ascii="Arial"/>
          <w:color w:val="auto"/>
          <w:sz w:val="21"/>
        </w:rPr>
      </w:pPr>
    </w:p>
    <w:p w14:paraId="1EB7B7ED">
      <w:pPr>
        <w:spacing w:line="250" w:lineRule="auto"/>
        <w:rPr>
          <w:rFonts w:ascii="Arial"/>
          <w:color w:val="auto"/>
          <w:sz w:val="21"/>
        </w:rPr>
      </w:pPr>
    </w:p>
    <w:p w14:paraId="7D614D10">
      <w:pPr>
        <w:spacing w:line="251" w:lineRule="auto"/>
        <w:rPr>
          <w:rFonts w:ascii="Arial"/>
          <w:color w:val="auto"/>
          <w:sz w:val="21"/>
        </w:rPr>
      </w:pPr>
    </w:p>
    <w:p w14:paraId="31024AEF">
      <w:pPr>
        <w:spacing w:line="245" w:lineRule="auto"/>
        <w:jc w:val="center"/>
        <w:rPr>
          <w:rFonts w:hint="eastAsia" w:ascii="Arial" w:eastAsia="宋体"/>
          <w:b w:val="0"/>
          <w:bCs w:val="0"/>
          <w:color w:val="auto"/>
          <w:spacing w:val="0"/>
          <w:sz w:val="36"/>
          <w:szCs w:val="36"/>
          <w:lang w:eastAsia="zh-CN"/>
        </w:rPr>
      </w:pPr>
      <w:r>
        <w:rPr>
          <w:rFonts w:hint="eastAsia" w:eastAsia="宋体"/>
          <w:b w:val="0"/>
          <w:bCs w:val="0"/>
          <w:color w:val="auto"/>
          <w:spacing w:val="0"/>
          <w:sz w:val="48"/>
          <w:szCs w:val="48"/>
          <w:lang w:eastAsia="zh-CN"/>
        </w:rPr>
        <w:t>旬阳市桐木镇水质提升项目</w:t>
      </w:r>
    </w:p>
    <w:p w14:paraId="1F66A037">
      <w:pPr>
        <w:spacing w:line="245" w:lineRule="auto"/>
        <w:rPr>
          <w:rFonts w:ascii="Arial"/>
          <w:color w:val="auto"/>
          <w:sz w:val="21"/>
        </w:rPr>
      </w:pPr>
    </w:p>
    <w:p w14:paraId="0C35C38C">
      <w:pPr>
        <w:spacing w:line="245" w:lineRule="auto"/>
        <w:rPr>
          <w:rFonts w:ascii="Arial"/>
          <w:color w:val="auto"/>
          <w:sz w:val="21"/>
        </w:rPr>
      </w:pPr>
    </w:p>
    <w:p w14:paraId="2C7BD15E">
      <w:pPr>
        <w:spacing w:line="245" w:lineRule="auto"/>
        <w:rPr>
          <w:rFonts w:ascii="Arial"/>
          <w:color w:val="auto"/>
          <w:sz w:val="21"/>
        </w:rPr>
      </w:pPr>
    </w:p>
    <w:p w14:paraId="43FAC5A2">
      <w:pPr>
        <w:spacing w:line="245" w:lineRule="auto"/>
        <w:rPr>
          <w:rFonts w:ascii="Arial"/>
          <w:color w:val="auto"/>
          <w:sz w:val="21"/>
        </w:rPr>
      </w:pPr>
    </w:p>
    <w:p w14:paraId="010154A9">
      <w:pPr>
        <w:spacing w:line="246" w:lineRule="auto"/>
        <w:rPr>
          <w:rFonts w:ascii="Arial"/>
          <w:color w:val="auto"/>
          <w:sz w:val="21"/>
        </w:rPr>
      </w:pPr>
    </w:p>
    <w:p w14:paraId="2F8487D7">
      <w:pPr>
        <w:spacing w:line="246" w:lineRule="auto"/>
        <w:rPr>
          <w:rFonts w:ascii="Arial"/>
          <w:color w:val="auto"/>
          <w:sz w:val="21"/>
        </w:rPr>
      </w:pPr>
    </w:p>
    <w:p w14:paraId="2D9FA175">
      <w:pPr>
        <w:pStyle w:val="6"/>
        <w:spacing w:before="232" w:line="223" w:lineRule="auto"/>
        <w:ind w:left="2983"/>
        <w:outlineLvl w:val="0"/>
        <w:rPr>
          <w:color w:val="auto"/>
          <w:sz w:val="71"/>
          <w:szCs w:val="71"/>
        </w:rPr>
      </w:pPr>
      <w:r>
        <w:rPr>
          <w:color w:val="auto"/>
          <w:spacing w:val="-69"/>
          <w:w w:val="97"/>
          <w:sz w:val="71"/>
          <w:szCs w:val="71"/>
        </w:rPr>
        <w:t>响</w:t>
      </w:r>
      <w:r>
        <w:rPr>
          <w:color w:val="auto"/>
          <w:spacing w:val="25"/>
          <w:sz w:val="71"/>
          <w:szCs w:val="71"/>
        </w:rPr>
        <w:t xml:space="preserve"> </w:t>
      </w:r>
      <w:r>
        <w:rPr>
          <w:color w:val="auto"/>
          <w:spacing w:val="-69"/>
          <w:w w:val="97"/>
          <w:sz w:val="71"/>
          <w:szCs w:val="71"/>
        </w:rPr>
        <w:t>应</w:t>
      </w:r>
      <w:r>
        <w:rPr>
          <w:color w:val="auto"/>
          <w:spacing w:val="10"/>
          <w:sz w:val="71"/>
          <w:szCs w:val="71"/>
        </w:rPr>
        <w:t xml:space="preserve"> </w:t>
      </w:r>
      <w:r>
        <w:rPr>
          <w:color w:val="auto"/>
          <w:spacing w:val="-69"/>
          <w:w w:val="97"/>
          <w:sz w:val="71"/>
          <w:szCs w:val="71"/>
        </w:rPr>
        <w:t>文</w:t>
      </w:r>
      <w:r>
        <w:rPr>
          <w:color w:val="auto"/>
          <w:spacing w:val="6"/>
          <w:sz w:val="71"/>
          <w:szCs w:val="71"/>
        </w:rPr>
        <w:t xml:space="preserve"> </w:t>
      </w:r>
      <w:r>
        <w:rPr>
          <w:color w:val="auto"/>
          <w:spacing w:val="-69"/>
          <w:w w:val="97"/>
          <w:sz w:val="71"/>
          <w:szCs w:val="71"/>
        </w:rPr>
        <w:t>件</w:t>
      </w:r>
    </w:p>
    <w:p w14:paraId="3A558BE1">
      <w:pPr>
        <w:spacing w:line="249" w:lineRule="auto"/>
        <w:rPr>
          <w:rFonts w:ascii="Arial"/>
          <w:color w:val="auto"/>
          <w:sz w:val="21"/>
        </w:rPr>
      </w:pPr>
    </w:p>
    <w:p w14:paraId="3A299379">
      <w:pPr>
        <w:spacing w:line="249" w:lineRule="auto"/>
        <w:rPr>
          <w:rFonts w:ascii="Arial"/>
          <w:color w:val="auto"/>
          <w:sz w:val="21"/>
        </w:rPr>
      </w:pPr>
    </w:p>
    <w:p w14:paraId="0DD2F1D2">
      <w:pPr>
        <w:spacing w:line="249" w:lineRule="auto"/>
        <w:rPr>
          <w:rFonts w:ascii="Arial"/>
          <w:color w:val="auto"/>
          <w:sz w:val="21"/>
        </w:rPr>
      </w:pPr>
    </w:p>
    <w:p w14:paraId="262EA867">
      <w:pPr>
        <w:spacing w:line="249" w:lineRule="auto"/>
        <w:rPr>
          <w:rFonts w:ascii="Arial"/>
          <w:color w:val="auto"/>
          <w:sz w:val="21"/>
        </w:rPr>
      </w:pPr>
    </w:p>
    <w:p w14:paraId="3A428123">
      <w:pPr>
        <w:spacing w:line="249" w:lineRule="auto"/>
        <w:rPr>
          <w:rFonts w:ascii="Arial"/>
          <w:color w:val="auto"/>
          <w:sz w:val="21"/>
        </w:rPr>
      </w:pPr>
    </w:p>
    <w:p w14:paraId="38B4EC8E">
      <w:pPr>
        <w:spacing w:line="249" w:lineRule="auto"/>
        <w:rPr>
          <w:rFonts w:ascii="Arial"/>
          <w:color w:val="auto"/>
          <w:sz w:val="21"/>
        </w:rPr>
      </w:pPr>
    </w:p>
    <w:p w14:paraId="08332808">
      <w:pPr>
        <w:spacing w:line="249" w:lineRule="auto"/>
        <w:rPr>
          <w:rFonts w:ascii="Arial"/>
          <w:color w:val="auto"/>
          <w:sz w:val="21"/>
        </w:rPr>
      </w:pPr>
    </w:p>
    <w:p w14:paraId="5A969FAB">
      <w:pPr>
        <w:spacing w:line="249" w:lineRule="auto"/>
        <w:rPr>
          <w:rFonts w:ascii="Arial"/>
          <w:color w:val="auto"/>
          <w:sz w:val="21"/>
        </w:rPr>
      </w:pPr>
    </w:p>
    <w:p w14:paraId="749DEA58">
      <w:pPr>
        <w:spacing w:line="249" w:lineRule="auto"/>
        <w:rPr>
          <w:rFonts w:ascii="Arial"/>
          <w:color w:val="auto"/>
          <w:sz w:val="21"/>
        </w:rPr>
      </w:pPr>
    </w:p>
    <w:p w14:paraId="072C1E00">
      <w:pPr>
        <w:spacing w:line="249" w:lineRule="auto"/>
        <w:rPr>
          <w:rFonts w:ascii="Arial"/>
          <w:color w:val="auto"/>
          <w:sz w:val="21"/>
        </w:rPr>
      </w:pPr>
    </w:p>
    <w:p w14:paraId="1B513841">
      <w:pPr>
        <w:spacing w:line="249" w:lineRule="auto"/>
        <w:rPr>
          <w:rFonts w:ascii="Arial"/>
          <w:color w:val="auto"/>
          <w:sz w:val="21"/>
        </w:rPr>
      </w:pPr>
    </w:p>
    <w:p w14:paraId="16717B91">
      <w:pPr>
        <w:spacing w:line="249" w:lineRule="auto"/>
        <w:rPr>
          <w:rFonts w:ascii="Arial"/>
          <w:color w:val="auto"/>
          <w:sz w:val="21"/>
        </w:rPr>
      </w:pPr>
    </w:p>
    <w:p w14:paraId="65F6F584">
      <w:pPr>
        <w:spacing w:line="249" w:lineRule="auto"/>
        <w:rPr>
          <w:rFonts w:ascii="Arial"/>
          <w:color w:val="auto"/>
          <w:sz w:val="21"/>
        </w:rPr>
      </w:pPr>
    </w:p>
    <w:p w14:paraId="17EAA9D0">
      <w:pPr>
        <w:spacing w:line="249" w:lineRule="auto"/>
        <w:rPr>
          <w:rFonts w:ascii="Arial"/>
          <w:color w:val="auto"/>
          <w:sz w:val="21"/>
        </w:rPr>
      </w:pPr>
    </w:p>
    <w:p w14:paraId="632AF809">
      <w:pPr>
        <w:spacing w:line="249" w:lineRule="auto"/>
        <w:rPr>
          <w:rFonts w:ascii="Arial"/>
          <w:color w:val="auto"/>
          <w:sz w:val="21"/>
        </w:rPr>
      </w:pPr>
    </w:p>
    <w:p w14:paraId="2A3A9A3A">
      <w:pPr>
        <w:spacing w:line="250" w:lineRule="auto"/>
        <w:rPr>
          <w:rFonts w:ascii="Arial"/>
          <w:color w:val="auto"/>
          <w:sz w:val="21"/>
        </w:rPr>
      </w:pPr>
    </w:p>
    <w:p w14:paraId="32617913">
      <w:pPr>
        <w:pStyle w:val="6"/>
        <w:spacing w:before="78" w:line="219" w:lineRule="auto"/>
        <w:ind w:left="1690"/>
        <w:rPr>
          <w:color w:val="auto"/>
          <w:sz w:val="24"/>
          <w:szCs w:val="24"/>
        </w:rPr>
      </w:pPr>
      <w:r>
        <w:rPr>
          <w:color w:val="auto"/>
          <w:spacing w:val="2"/>
          <w:sz w:val="24"/>
          <w:szCs w:val="24"/>
        </w:rPr>
        <w:t>供应商（名称</w:t>
      </w:r>
      <w:r>
        <w:rPr>
          <w:color w:val="auto"/>
          <w:spacing w:val="-10"/>
          <w:sz w:val="24"/>
          <w:szCs w:val="24"/>
        </w:rPr>
        <w:t>）：</w:t>
      </w:r>
      <w:r>
        <w:rPr>
          <w:color w:val="auto"/>
          <w:sz w:val="24"/>
          <w:szCs w:val="24"/>
          <w:u w:val="single" w:color="auto"/>
        </w:rPr>
        <w:t xml:space="preserve">                      </w:t>
      </w:r>
      <w:r>
        <w:rPr>
          <w:color w:val="auto"/>
          <w:spacing w:val="-10"/>
          <w:sz w:val="24"/>
          <w:szCs w:val="24"/>
        </w:rPr>
        <w:t>（</w:t>
      </w:r>
      <w:r>
        <w:rPr>
          <w:color w:val="auto"/>
          <w:spacing w:val="2"/>
          <w:sz w:val="24"/>
          <w:szCs w:val="24"/>
        </w:rPr>
        <w:t>盖章）</w:t>
      </w:r>
    </w:p>
    <w:p w14:paraId="193445B5">
      <w:pPr>
        <w:spacing w:line="355" w:lineRule="auto"/>
        <w:rPr>
          <w:rFonts w:ascii="Arial"/>
          <w:color w:val="auto"/>
          <w:sz w:val="21"/>
        </w:rPr>
      </w:pPr>
    </w:p>
    <w:p w14:paraId="55010A8E">
      <w:pPr>
        <w:pStyle w:val="6"/>
        <w:spacing w:before="78" w:line="219" w:lineRule="auto"/>
        <w:ind w:left="1691"/>
        <w:rPr>
          <w:color w:val="auto"/>
          <w:sz w:val="24"/>
          <w:szCs w:val="24"/>
        </w:rPr>
      </w:pPr>
      <w:r>
        <w:rPr>
          <w:color w:val="auto"/>
          <w:spacing w:val="1"/>
          <w:sz w:val="24"/>
          <w:szCs w:val="24"/>
        </w:rPr>
        <w:t>法定代表人或委托代理人</w:t>
      </w:r>
      <w:r>
        <w:rPr>
          <w:color w:val="auto"/>
          <w:spacing w:val="-15"/>
          <w:sz w:val="24"/>
          <w:szCs w:val="24"/>
        </w:rPr>
        <w:t>：</w:t>
      </w:r>
      <w:r>
        <w:rPr>
          <w:color w:val="auto"/>
          <w:sz w:val="24"/>
          <w:szCs w:val="24"/>
          <w:u w:val="single" w:color="auto"/>
        </w:rPr>
        <w:t xml:space="preserve">              </w:t>
      </w:r>
      <w:r>
        <w:rPr>
          <w:color w:val="auto"/>
          <w:spacing w:val="-15"/>
          <w:sz w:val="24"/>
          <w:szCs w:val="24"/>
        </w:rPr>
        <w:t>（</w:t>
      </w:r>
      <w:r>
        <w:rPr>
          <w:color w:val="auto"/>
          <w:spacing w:val="1"/>
          <w:sz w:val="24"/>
          <w:szCs w:val="24"/>
        </w:rPr>
        <w:t>签字或盖章）</w:t>
      </w:r>
    </w:p>
    <w:p w14:paraId="022F839C">
      <w:pPr>
        <w:spacing w:line="354" w:lineRule="auto"/>
        <w:rPr>
          <w:rFonts w:ascii="Arial"/>
          <w:color w:val="auto"/>
          <w:sz w:val="21"/>
        </w:rPr>
      </w:pPr>
    </w:p>
    <w:p w14:paraId="0B8AD097">
      <w:pPr>
        <w:pStyle w:val="6"/>
        <w:spacing w:before="79" w:line="220" w:lineRule="auto"/>
        <w:ind w:left="1731"/>
        <w:rPr>
          <w:color w:val="auto"/>
          <w:sz w:val="24"/>
          <w:szCs w:val="24"/>
        </w:rPr>
      </w:pPr>
      <w:r>
        <w:rPr>
          <w:color w:val="auto"/>
          <w:spacing w:val="-17"/>
          <w:sz w:val="24"/>
          <w:szCs w:val="24"/>
        </w:rPr>
        <w:t>日</w:t>
      </w:r>
      <w:r>
        <w:rPr>
          <w:color w:val="auto"/>
          <w:spacing w:val="4"/>
          <w:sz w:val="24"/>
          <w:szCs w:val="24"/>
        </w:rPr>
        <w:t xml:space="preserve">   </w:t>
      </w:r>
      <w:r>
        <w:rPr>
          <w:color w:val="auto"/>
          <w:spacing w:val="-17"/>
          <w:sz w:val="24"/>
          <w:szCs w:val="24"/>
        </w:rPr>
        <w:t>期</w:t>
      </w:r>
      <w:r>
        <w:rPr>
          <w:color w:val="auto"/>
          <w:spacing w:val="15"/>
          <w:sz w:val="24"/>
          <w:szCs w:val="24"/>
        </w:rPr>
        <w:t xml:space="preserve">  </w:t>
      </w:r>
      <w:r>
        <w:rPr>
          <w:color w:val="auto"/>
          <w:spacing w:val="-17"/>
          <w:sz w:val="24"/>
          <w:szCs w:val="24"/>
        </w:rPr>
        <w:t>：</w:t>
      </w:r>
      <w:r>
        <w:rPr>
          <w:color w:val="auto"/>
          <w:sz w:val="24"/>
          <w:szCs w:val="24"/>
          <w:u w:val="single" w:color="auto"/>
        </w:rPr>
        <w:t xml:space="preserve">        </w:t>
      </w:r>
      <w:r>
        <w:rPr>
          <w:color w:val="auto"/>
          <w:spacing w:val="10"/>
          <w:sz w:val="24"/>
          <w:szCs w:val="24"/>
        </w:rPr>
        <w:t xml:space="preserve"> </w:t>
      </w:r>
      <w:r>
        <w:rPr>
          <w:color w:val="auto"/>
          <w:spacing w:val="-17"/>
          <w:sz w:val="24"/>
          <w:szCs w:val="24"/>
        </w:rPr>
        <w:t>年</w:t>
      </w:r>
      <w:r>
        <w:rPr>
          <w:color w:val="auto"/>
          <w:sz w:val="24"/>
          <w:szCs w:val="24"/>
          <w:u w:val="single" w:color="auto"/>
        </w:rPr>
        <w:t xml:space="preserve">       </w:t>
      </w:r>
      <w:r>
        <w:rPr>
          <w:color w:val="auto"/>
          <w:spacing w:val="-105"/>
          <w:sz w:val="24"/>
          <w:szCs w:val="24"/>
        </w:rPr>
        <w:t xml:space="preserve"> </w:t>
      </w:r>
      <w:r>
        <w:rPr>
          <w:color w:val="auto"/>
          <w:spacing w:val="-17"/>
          <w:sz w:val="24"/>
          <w:szCs w:val="24"/>
        </w:rPr>
        <w:t xml:space="preserve">月 </w:t>
      </w:r>
      <w:r>
        <w:rPr>
          <w:color w:val="auto"/>
          <w:sz w:val="24"/>
          <w:szCs w:val="24"/>
          <w:u w:val="single" w:color="auto"/>
        </w:rPr>
        <w:t xml:space="preserve">      </w:t>
      </w:r>
      <w:r>
        <w:rPr>
          <w:color w:val="auto"/>
          <w:spacing w:val="-69"/>
          <w:sz w:val="24"/>
          <w:szCs w:val="24"/>
        </w:rPr>
        <w:t xml:space="preserve"> </w:t>
      </w:r>
      <w:r>
        <w:rPr>
          <w:color w:val="auto"/>
          <w:spacing w:val="-17"/>
          <w:sz w:val="24"/>
          <w:szCs w:val="24"/>
        </w:rPr>
        <w:t>日</w:t>
      </w:r>
    </w:p>
    <w:p w14:paraId="4E4992F3">
      <w:pPr>
        <w:spacing w:line="220" w:lineRule="auto"/>
        <w:rPr>
          <w:color w:val="auto"/>
          <w:sz w:val="24"/>
          <w:szCs w:val="24"/>
        </w:rPr>
        <w:sectPr>
          <w:headerReference r:id="rId11" w:type="default"/>
          <w:footerReference r:id="rId12" w:type="default"/>
          <w:pgSz w:w="11906" w:h="16839"/>
          <w:pgMar w:top="1506" w:right="1231" w:bottom="1367" w:left="1246" w:header="1170" w:footer="1097" w:gutter="0"/>
          <w:pgNumType w:fmt="decimal"/>
          <w:cols w:space="720" w:num="1"/>
        </w:sectPr>
      </w:pPr>
    </w:p>
    <w:p w14:paraId="5495331A">
      <w:pPr>
        <w:pStyle w:val="6"/>
        <w:spacing w:before="106" w:line="228" w:lineRule="auto"/>
        <w:ind w:left="4456"/>
        <w:rPr>
          <w:b/>
          <w:bCs/>
          <w:color w:val="auto"/>
          <w:spacing w:val="-30"/>
          <w:sz w:val="31"/>
          <w:szCs w:val="31"/>
        </w:rPr>
      </w:pPr>
    </w:p>
    <w:p w14:paraId="0DE3D79F">
      <w:pPr>
        <w:pStyle w:val="6"/>
        <w:spacing w:before="106" w:line="228" w:lineRule="auto"/>
        <w:ind w:left="4456"/>
        <w:rPr>
          <w:color w:val="auto"/>
          <w:sz w:val="31"/>
          <w:szCs w:val="31"/>
        </w:rPr>
      </w:pPr>
      <w:r>
        <w:rPr>
          <w:b/>
          <w:bCs/>
          <w:color w:val="auto"/>
          <w:spacing w:val="-30"/>
          <w:sz w:val="31"/>
          <w:szCs w:val="31"/>
        </w:rPr>
        <w:t>目</w:t>
      </w:r>
      <w:r>
        <w:rPr>
          <w:rFonts w:hint="eastAsia"/>
          <w:b/>
          <w:bCs/>
          <w:color w:val="auto"/>
          <w:spacing w:val="-30"/>
          <w:sz w:val="31"/>
          <w:szCs w:val="31"/>
          <w:lang w:val="en-US" w:eastAsia="zh-CN"/>
        </w:rPr>
        <w:t xml:space="preserve">  </w:t>
      </w:r>
      <w:r>
        <w:rPr>
          <w:b/>
          <w:bCs/>
          <w:color w:val="auto"/>
          <w:spacing w:val="-30"/>
          <w:sz w:val="31"/>
          <w:szCs w:val="31"/>
        </w:rPr>
        <w:t>录</w:t>
      </w:r>
    </w:p>
    <w:p w14:paraId="3E830666">
      <w:pPr>
        <w:pStyle w:val="6"/>
        <w:spacing w:before="196" w:line="219" w:lineRule="auto"/>
        <w:ind w:left="21"/>
        <w:rPr>
          <w:rFonts w:hint="eastAsia" w:ascii="宋体" w:hAnsi="宋体" w:eastAsia="宋体" w:cs="宋体"/>
          <w:b/>
          <w:bCs/>
          <w:color w:val="auto"/>
          <w:spacing w:val="-2"/>
          <w:sz w:val="24"/>
          <w:szCs w:val="24"/>
          <w:lang w:val="zh-CN"/>
        </w:rPr>
      </w:pPr>
    </w:p>
    <w:p w14:paraId="270CFC03">
      <w:pPr>
        <w:pStyle w:val="6"/>
        <w:spacing w:before="196" w:line="219" w:lineRule="auto"/>
        <w:ind w:left="21"/>
        <w:rPr>
          <w:rFonts w:hint="eastAsia" w:ascii="宋体" w:hAnsi="宋体" w:eastAsia="宋体" w:cs="宋体"/>
          <w:b/>
          <w:bCs/>
          <w:color w:val="auto"/>
          <w:spacing w:val="-2"/>
          <w:sz w:val="24"/>
          <w:szCs w:val="24"/>
          <w:lang w:val="zh-CN"/>
        </w:rPr>
      </w:pPr>
      <w:r>
        <w:rPr>
          <w:rFonts w:hint="eastAsia" w:ascii="宋体" w:hAnsi="宋体" w:eastAsia="宋体" w:cs="宋体"/>
          <w:b/>
          <w:bCs/>
          <w:color w:val="auto"/>
          <w:spacing w:val="-2"/>
          <w:sz w:val="24"/>
          <w:szCs w:val="24"/>
          <w:lang w:val="zh-CN"/>
        </w:rPr>
        <w:t>第一部分：谈判响应函</w:t>
      </w:r>
    </w:p>
    <w:p w14:paraId="24244F42">
      <w:pPr>
        <w:pStyle w:val="6"/>
        <w:spacing w:before="196" w:line="219" w:lineRule="auto"/>
        <w:ind w:left="21"/>
        <w:rPr>
          <w:rFonts w:hint="eastAsia" w:ascii="宋体" w:hAnsi="宋体" w:eastAsia="宋体" w:cs="宋体"/>
          <w:b/>
          <w:bCs/>
          <w:color w:val="auto"/>
          <w:spacing w:val="-2"/>
          <w:sz w:val="24"/>
          <w:szCs w:val="24"/>
        </w:rPr>
      </w:pPr>
      <w:r>
        <w:rPr>
          <w:rFonts w:hint="eastAsia" w:ascii="宋体" w:hAnsi="宋体" w:eastAsia="宋体" w:cs="宋体"/>
          <w:b/>
          <w:bCs/>
          <w:color w:val="auto"/>
          <w:spacing w:val="-2"/>
          <w:sz w:val="24"/>
          <w:szCs w:val="24"/>
          <w:lang w:val="zh-CN"/>
        </w:rPr>
        <w:t>第二部分：首次谈判报价表</w:t>
      </w:r>
    </w:p>
    <w:p w14:paraId="4F480BE7">
      <w:pPr>
        <w:pStyle w:val="6"/>
        <w:spacing w:before="196" w:line="219" w:lineRule="auto"/>
        <w:ind w:left="21"/>
        <w:rPr>
          <w:rFonts w:hint="eastAsia" w:ascii="宋体" w:hAnsi="宋体" w:eastAsia="宋体" w:cs="宋体"/>
          <w:b/>
          <w:bCs/>
          <w:color w:val="auto"/>
          <w:spacing w:val="-2"/>
          <w:sz w:val="24"/>
          <w:szCs w:val="24"/>
        </w:rPr>
      </w:pPr>
      <w:r>
        <w:rPr>
          <w:rFonts w:hint="eastAsia" w:ascii="宋体" w:hAnsi="宋体" w:eastAsia="宋体" w:cs="宋体"/>
          <w:b/>
          <w:bCs/>
          <w:color w:val="auto"/>
          <w:spacing w:val="-2"/>
          <w:sz w:val="24"/>
          <w:szCs w:val="24"/>
          <w:lang w:val="zh-CN"/>
        </w:rPr>
        <w:t>第三部分：谈判方案说明</w:t>
      </w:r>
    </w:p>
    <w:p w14:paraId="1803BF1F">
      <w:pPr>
        <w:pStyle w:val="6"/>
        <w:spacing w:before="196" w:line="219" w:lineRule="auto"/>
        <w:ind w:left="21"/>
        <w:rPr>
          <w:rFonts w:hint="eastAsia" w:ascii="宋体" w:hAnsi="宋体" w:eastAsia="宋体" w:cs="宋体"/>
          <w:b/>
          <w:bCs/>
          <w:color w:val="auto"/>
          <w:spacing w:val="-2"/>
          <w:sz w:val="24"/>
          <w:szCs w:val="24"/>
        </w:rPr>
      </w:pPr>
      <w:r>
        <w:rPr>
          <w:rFonts w:hint="eastAsia" w:ascii="宋体" w:hAnsi="宋体" w:eastAsia="宋体" w:cs="宋体"/>
          <w:b/>
          <w:bCs/>
          <w:color w:val="auto"/>
          <w:spacing w:val="-2"/>
          <w:sz w:val="24"/>
          <w:szCs w:val="24"/>
          <w:lang w:val="zh-CN"/>
        </w:rPr>
        <w:t>第四部分：供应商承诺书</w:t>
      </w:r>
    </w:p>
    <w:p w14:paraId="7E763616">
      <w:pPr>
        <w:pStyle w:val="6"/>
        <w:spacing w:before="196" w:line="219" w:lineRule="auto"/>
        <w:ind w:left="21"/>
        <w:rPr>
          <w:rFonts w:hint="eastAsia" w:ascii="宋体" w:hAnsi="宋体" w:eastAsia="宋体" w:cs="宋体"/>
          <w:b/>
          <w:bCs/>
          <w:color w:val="auto"/>
          <w:spacing w:val="-2"/>
          <w:sz w:val="24"/>
          <w:szCs w:val="24"/>
        </w:rPr>
      </w:pPr>
      <w:r>
        <w:rPr>
          <w:rFonts w:hint="eastAsia" w:ascii="宋体" w:hAnsi="宋体" w:eastAsia="宋体" w:cs="宋体"/>
          <w:b/>
          <w:bCs/>
          <w:color w:val="auto"/>
          <w:spacing w:val="-2"/>
          <w:sz w:val="24"/>
          <w:szCs w:val="24"/>
          <w:lang w:val="zh-CN"/>
        </w:rPr>
        <w:t>第五部分：合格供应商要求证明文件</w:t>
      </w:r>
    </w:p>
    <w:p w14:paraId="2DD53559">
      <w:pPr>
        <w:pStyle w:val="6"/>
        <w:spacing w:before="196" w:line="219" w:lineRule="auto"/>
        <w:ind w:left="21"/>
        <w:rPr>
          <w:rFonts w:hint="eastAsia" w:ascii="宋体" w:hAnsi="宋体" w:eastAsia="宋体" w:cs="宋体"/>
          <w:b/>
          <w:bCs/>
          <w:color w:val="auto"/>
          <w:spacing w:val="-2"/>
          <w:sz w:val="24"/>
          <w:szCs w:val="24"/>
          <w:lang w:val="zh-CN"/>
        </w:rPr>
      </w:pPr>
      <w:r>
        <w:rPr>
          <w:rFonts w:hint="eastAsia" w:ascii="宋体" w:hAnsi="宋体" w:eastAsia="宋体" w:cs="宋体"/>
          <w:b/>
          <w:bCs/>
          <w:color w:val="auto"/>
          <w:spacing w:val="-2"/>
          <w:sz w:val="24"/>
          <w:szCs w:val="24"/>
          <w:lang w:val="en-US" w:eastAsia="zh-CN"/>
        </w:rPr>
        <w:t>第六部分</w:t>
      </w:r>
      <w:r>
        <w:rPr>
          <w:rFonts w:hint="eastAsia" w:ascii="宋体" w:hAnsi="宋体" w:eastAsia="宋体" w:cs="宋体"/>
          <w:b/>
          <w:bCs/>
          <w:color w:val="auto"/>
          <w:spacing w:val="-2"/>
          <w:sz w:val="24"/>
          <w:szCs w:val="24"/>
          <w:lang w:val="zh-CN"/>
        </w:rPr>
        <w:t>：法定代表人授权书</w:t>
      </w:r>
    </w:p>
    <w:p w14:paraId="01D20BA8">
      <w:pPr>
        <w:pStyle w:val="6"/>
        <w:spacing w:before="196" w:line="219" w:lineRule="auto"/>
        <w:ind w:left="21"/>
        <w:rPr>
          <w:rFonts w:hint="eastAsia" w:ascii="宋体" w:hAnsi="宋体" w:eastAsia="宋体" w:cs="宋体"/>
          <w:b/>
          <w:bCs/>
          <w:color w:val="auto"/>
          <w:spacing w:val="-2"/>
          <w:sz w:val="24"/>
          <w:szCs w:val="24"/>
          <w:lang w:val="en-US" w:eastAsia="zh-CN"/>
        </w:rPr>
      </w:pPr>
      <w:r>
        <w:rPr>
          <w:rFonts w:hint="eastAsia" w:ascii="宋体" w:hAnsi="宋体" w:eastAsia="宋体" w:cs="宋体"/>
          <w:b/>
          <w:bCs/>
          <w:color w:val="auto"/>
          <w:spacing w:val="-2"/>
          <w:sz w:val="24"/>
          <w:szCs w:val="24"/>
          <w:lang w:val="en-US" w:eastAsia="zh-CN"/>
        </w:rPr>
        <w:t>第七部分：商务、技术响应偏离表</w:t>
      </w:r>
    </w:p>
    <w:p w14:paraId="1D15B8FF">
      <w:pPr>
        <w:pStyle w:val="6"/>
        <w:spacing w:before="196" w:line="219" w:lineRule="auto"/>
        <w:ind w:left="21"/>
        <w:rPr>
          <w:color w:val="auto"/>
          <w:sz w:val="24"/>
          <w:szCs w:val="24"/>
        </w:rPr>
      </w:pPr>
      <w:r>
        <w:rPr>
          <w:rFonts w:hint="eastAsia" w:ascii="宋体" w:hAnsi="宋体" w:eastAsia="宋体" w:cs="宋体"/>
          <w:b/>
          <w:bCs/>
          <w:color w:val="auto"/>
          <w:spacing w:val="-2"/>
          <w:sz w:val="24"/>
          <w:szCs w:val="24"/>
          <w:lang w:val="en-US" w:eastAsia="zh-CN"/>
        </w:rPr>
        <w:t xml:space="preserve">第八部分：其他需要补充的内容 </w:t>
      </w:r>
      <w:sdt>
        <w:sdtPr>
          <w:rPr>
            <w:rFonts w:ascii="宋体" w:hAnsi="宋体" w:eastAsia="宋体" w:cs="宋体"/>
            <w:b/>
            <w:bCs/>
            <w:color w:val="auto"/>
            <w:spacing w:val="-2"/>
            <w:sz w:val="24"/>
            <w:szCs w:val="24"/>
          </w:rPr>
          <w:id w:val="147471443"/>
          <w:showingPlcHdr/>
          <w:docPartObj>
            <w:docPartGallery w:val="Table of Contents"/>
            <w:docPartUnique/>
          </w:docPartObj>
        </w:sdtPr>
        <w:sdtEndPr>
          <w:rPr>
            <w:rFonts w:ascii="宋体" w:hAnsi="宋体" w:eastAsia="宋体" w:cs="宋体"/>
            <w:b/>
            <w:bCs/>
            <w:color w:val="auto"/>
            <w:spacing w:val="-2"/>
            <w:sz w:val="24"/>
            <w:szCs w:val="24"/>
          </w:rPr>
        </w:sdtEndPr>
        <w:sdtContent>
          <w:r>
            <w:rPr>
              <w:rFonts w:hint="eastAsia" w:ascii="宋体" w:hAnsi="宋体" w:eastAsia="宋体" w:cs="宋体"/>
              <w:b/>
              <w:bCs/>
              <w:color w:val="auto"/>
              <w:spacing w:val="-2"/>
              <w:sz w:val="24"/>
              <w:szCs w:val="24"/>
              <w:lang w:eastAsia="zh-CN"/>
            </w:rPr>
            <w:t xml:space="preserve">     </w:t>
          </w:r>
        </w:sdtContent>
      </w:sdt>
    </w:p>
    <w:p w14:paraId="118BA03C">
      <w:pPr>
        <w:pStyle w:val="6"/>
        <w:spacing w:before="196" w:line="219" w:lineRule="auto"/>
        <w:ind w:left="21"/>
        <w:rPr>
          <w:color w:val="auto"/>
          <w:sz w:val="24"/>
          <w:szCs w:val="24"/>
        </w:rPr>
      </w:pPr>
      <w:r>
        <w:rPr>
          <w:b/>
          <w:bCs/>
          <w:color w:val="auto"/>
          <w:spacing w:val="-2"/>
          <w:sz w:val="24"/>
          <w:szCs w:val="24"/>
        </w:rPr>
        <w:t>（注：供应商应按以上内容编制投标文件，投标文件内容必须包</w:t>
      </w:r>
      <w:r>
        <w:rPr>
          <w:b/>
          <w:bCs/>
          <w:color w:val="auto"/>
          <w:spacing w:val="-3"/>
          <w:sz w:val="24"/>
          <w:szCs w:val="24"/>
        </w:rPr>
        <w:t>括但不限于以上内容。）</w:t>
      </w:r>
    </w:p>
    <w:p w14:paraId="109560CF">
      <w:pPr>
        <w:spacing w:line="219" w:lineRule="auto"/>
        <w:rPr>
          <w:color w:val="auto"/>
          <w:sz w:val="24"/>
          <w:szCs w:val="24"/>
        </w:rPr>
        <w:sectPr>
          <w:footerReference r:id="rId13" w:type="default"/>
          <w:pgSz w:w="11906" w:h="16839"/>
          <w:pgMar w:top="1506" w:right="1231" w:bottom="1367" w:left="1246" w:header="1170" w:footer="1097" w:gutter="0"/>
          <w:pgNumType w:fmt="decimal"/>
          <w:cols w:space="720" w:num="1"/>
        </w:sectPr>
      </w:pPr>
    </w:p>
    <w:p w14:paraId="362F785A">
      <w:pPr>
        <w:autoSpaceDE w:val="0"/>
        <w:autoSpaceDN w:val="0"/>
        <w:adjustRightInd w:val="0"/>
        <w:snapToGrid w:val="0"/>
        <w:spacing w:line="312" w:lineRule="auto"/>
        <w:jc w:val="center"/>
        <w:rPr>
          <w:rFonts w:hint="eastAsia" w:ascii="宋体" w:hAnsi="宋体" w:eastAsia="宋体" w:cs="宋体"/>
          <w:b/>
          <w:bCs w:val="0"/>
          <w:color w:val="auto"/>
          <w:sz w:val="32"/>
          <w:szCs w:val="32"/>
          <w:lang w:val="zh-CN"/>
        </w:rPr>
      </w:pPr>
    </w:p>
    <w:p w14:paraId="09584B13">
      <w:pPr>
        <w:autoSpaceDE w:val="0"/>
        <w:autoSpaceDN w:val="0"/>
        <w:adjustRightInd w:val="0"/>
        <w:snapToGrid w:val="0"/>
        <w:spacing w:line="312" w:lineRule="auto"/>
        <w:jc w:val="center"/>
        <w:rPr>
          <w:rFonts w:hint="eastAsia" w:ascii="宋体" w:hAnsi="宋体" w:eastAsia="宋体" w:cs="宋体"/>
          <w:b/>
          <w:bCs w:val="0"/>
          <w:color w:val="auto"/>
          <w:sz w:val="32"/>
          <w:szCs w:val="32"/>
          <w:lang w:val="zh-CN"/>
        </w:rPr>
      </w:pPr>
      <w:r>
        <w:rPr>
          <w:rFonts w:hint="eastAsia" w:ascii="宋体" w:hAnsi="宋体" w:eastAsia="宋体" w:cs="宋体"/>
          <w:b/>
          <w:bCs w:val="0"/>
          <w:color w:val="auto"/>
          <w:sz w:val="32"/>
          <w:szCs w:val="32"/>
          <w:lang w:val="zh-CN"/>
        </w:rPr>
        <w:t>第一部分  谈判响应函</w:t>
      </w:r>
    </w:p>
    <w:p w14:paraId="72E682EB">
      <w:pPr>
        <w:autoSpaceDE w:val="0"/>
        <w:autoSpaceDN w:val="0"/>
        <w:adjustRightInd w:val="0"/>
        <w:snapToGrid w:val="0"/>
        <w:spacing w:line="312"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lang w:val="zh-CN" w:eastAsia="zh-CN"/>
        </w:rPr>
        <w:t>旬阳市水利局</w:t>
      </w:r>
      <w:r>
        <w:rPr>
          <w:rFonts w:hint="eastAsia" w:ascii="宋体" w:hAnsi="宋体" w:eastAsia="宋体" w:cs="宋体"/>
          <w:b/>
          <w:bCs/>
          <w:color w:val="auto"/>
          <w:sz w:val="28"/>
          <w:szCs w:val="28"/>
          <w:lang w:val="zh-CN"/>
        </w:rPr>
        <w:t>：</w:t>
      </w:r>
    </w:p>
    <w:p w14:paraId="5F0BD258">
      <w:pPr>
        <w:autoSpaceDE w:val="0"/>
        <w:autoSpaceDN w:val="0"/>
        <w:adjustRightInd w:val="0"/>
        <w:snapToGrid w:val="0"/>
        <w:spacing w:line="312" w:lineRule="auto"/>
        <w:ind w:firstLine="630"/>
        <w:rPr>
          <w:rFonts w:hint="eastAsia" w:ascii="宋体" w:hAnsi="宋体" w:eastAsia="宋体" w:cs="宋体"/>
          <w:color w:val="auto"/>
          <w:sz w:val="24"/>
          <w:szCs w:val="24"/>
        </w:rPr>
      </w:pPr>
      <w:r>
        <w:rPr>
          <w:rFonts w:hint="eastAsia" w:ascii="宋体" w:hAnsi="宋体" w:eastAsia="宋体" w:cs="宋体"/>
          <w:color w:val="auto"/>
          <w:sz w:val="24"/>
          <w:szCs w:val="24"/>
          <w:lang w:val="zh-CN"/>
        </w:rPr>
        <w:t>我单位收到贵单位</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zh-CN"/>
        </w:rPr>
        <w:t>号竞争性谈判文件，经详细研究，我们决定参加本次谈判活动。为此，我方郑重声明以下诸点，并负法律责任。</w:t>
      </w:r>
    </w:p>
    <w:p w14:paraId="2C35F7BC">
      <w:pPr>
        <w:autoSpaceDE w:val="0"/>
        <w:autoSpaceDN w:val="0"/>
        <w:adjustRightInd w:val="0"/>
        <w:snapToGrid w:val="0"/>
        <w:spacing w:line="312" w:lineRule="auto"/>
        <w:ind w:firstLine="63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zh-CN"/>
        </w:rPr>
        <w:t>、愿意按照竞争性谈判文件中的要求，完成合同的责任和义务。</w:t>
      </w:r>
    </w:p>
    <w:p w14:paraId="58AC81CD">
      <w:pPr>
        <w:autoSpaceDE w:val="0"/>
        <w:autoSpaceDN w:val="0"/>
        <w:adjustRightInd w:val="0"/>
        <w:snapToGrid w:val="0"/>
        <w:spacing w:line="312" w:lineRule="auto"/>
        <w:ind w:firstLine="63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、按竞争性谈判文件的规定，我公司的第一次谈判总报价为：人民币</w:t>
      </w:r>
      <w:r>
        <w:rPr>
          <w:rFonts w:hint="eastAsia" w:ascii="宋体" w:hAnsi="宋体" w:eastAsia="宋体" w:cs="宋体"/>
          <w:color w:val="auto"/>
          <w:sz w:val="24"/>
          <w:szCs w:val="24"/>
          <w:u w:val="single"/>
          <w:lang w:val="zh-CN"/>
        </w:rPr>
        <w:t>（大写）：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zh-CN"/>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val="zh-CN"/>
        </w:rPr>
        <w:t>元</w:t>
      </w:r>
      <w:r>
        <w:rPr>
          <w:rFonts w:hint="eastAsia" w:ascii="宋体" w:hAnsi="宋体" w:eastAsia="宋体" w:cs="宋体"/>
          <w:color w:val="auto"/>
          <w:sz w:val="24"/>
          <w:szCs w:val="24"/>
          <w:lang w:val="zh-CN"/>
        </w:rPr>
        <w:t>），并对其后的谈判报价负法律责任。</w:t>
      </w:r>
    </w:p>
    <w:p w14:paraId="221022BD">
      <w:pPr>
        <w:autoSpaceDE w:val="0"/>
        <w:autoSpaceDN w:val="0"/>
        <w:adjustRightInd w:val="0"/>
        <w:snapToGrid w:val="0"/>
        <w:spacing w:line="312" w:lineRule="auto"/>
        <w:ind w:firstLine="63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zh-CN"/>
        </w:rPr>
        <w:t>、我方已详细阅读了竞争性谈判文件，完全理解并放弃提出含糊不清或易形成歧义的表述和资料。</w:t>
      </w:r>
    </w:p>
    <w:p w14:paraId="73465BB4">
      <w:pPr>
        <w:autoSpaceDE w:val="0"/>
        <w:autoSpaceDN w:val="0"/>
        <w:adjustRightInd w:val="0"/>
        <w:snapToGrid w:val="0"/>
        <w:spacing w:line="312" w:lineRule="auto"/>
        <w:ind w:firstLine="63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val="zh-CN"/>
        </w:rPr>
        <w:t>、同意向贵方提供可能要求的，与本次谈判有关的任何证据或资料，且尊重谈判小组的评审结论和结果。</w:t>
      </w:r>
    </w:p>
    <w:p w14:paraId="76E8D376">
      <w:pPr>
        <w:autoSpaceDE w:val="0"/>
        <w:autoSpaceDN w:val="0"/>
        <w:adjustRightInd w:val="0"/>
        <w:snapToGrid w:val="0"/>
        <w:spacing w:line="312" w:lineRule="auto"/>
        <w:ind w:firstLine="63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val="zh-CN"/>
        </w:rPr>
        <w:t>、有关于本谈判文件的函电，请按下列地址联系。</w:t>
      </w:r>
    </w:p>
    <w:p w14:paraId="1120E019">
      <w:pPr>
        <w:autoSpaceDE w:val="0"/>
        <w:autoSpaceDN w:val="0"/>
        <w:adjustRightInd w:val="0"/>
        <w:snapToGrid w:val="0"/>
        <w:spacing w:line="312" w:lineRule="auto"/>
        <w:rPr>
          <w:rFonts w:hint="eastAsia" w:ascii="宋体" w:hAnsi="宋体" w:eastAsia="宋体" w:cs="宋体"/>
          <w:color w:val="auto"/>
          <w:sz w:val="24"/>
          <w:szCs w:val="24"/>
        </w:rPr>
      </w:pPr>
      <w:r>
        <w:rPr>
          <w:rFonts w:hint="eastAsia" w:ascii="宋体" w:hAnsi="宋体" w:eastAsia="宋体" w:cs="宋体"/>
          <w:color w:val="auto"/>
          <w:sz w:val="24"/>
          <w:szCs w:val="24"/>
          <w:lang w:val="zh-CN"/>
        </w:rPr>
        <w:t>供应商全称（印章）：</w:t>
      </w:r>
    </w:p>
    <w:p w14:paraId="42FC8D03">
      <w:pPr>
        <w:autoSpaceDE w:val="0"/>
        <w:autoSpaceDN w:val="0"/>
        <w:adjustRightInd w:val="0"/>
        <w:snapToGrid w:val="0"/>
        <w:spacing w:line="312" w:lineRule="auto"/>
        <w:rPr>
          <w:rFonts w:hint="eastAsia" w:ascii="宋体" w:hAnsi="宋体" w:eastAsia="宋体" w:cs="宋体"/>
          <w:color w:val="auto"/>
          <w:sz w:val="24"/>
          <w:szCs w:val="24"/>
        </w:rPr>
      </w:pPr>
      <w:r>
        <w:rPr>
          <w:rFonts w:hint="eastAsia" w:ascii="宋体" w:hAnsi="宋体" w:eastAsia="宋体" w:cs="宋体"/>
          <w:color w:val="auto"/>
          <w:sz w:val="24"/>
          <w:szCs w:val="24"/>
          <w:lang w:val="zh-CN"/>
        </w:rPr>
        <w:t>地</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zh-CN"/>
        </w:rPr>
        <w:t>址：</w:t>
      </w:r>
      <w:r>
        <w:rPr>
          <w:rFonts w:hint="eastAsia" w:ascii="宋体" w:hAnsi="宋体" w:eastAsia="宋体" w:cs="宋体"/>
          <w:color w:val="auto"/>
          <w:sz w:val="24"/>
          <w:szCs w:val="24"/>
        </w:rPr>
        <w:t>__________________________________________</w:t>
      </w:r>
    </w:p>
    <w:p w14:paraId="5408BC05">
      <w:pPr>
        <w:autoSpaceDE w:val="0"/>
        <w:autoSpaceDN w:val="0"/>
        <w:adjustRightInd w:val="0"/>
        <w:snapToGrid w:val="0"/>
        <w:spacing w:line="312" w:lineRule="auto"/>
        <w:rPr>
          <w:rFonts w:hint="eastAsia" w:ascii="宋体" w:hAnsi="宋体" w:eastAsia="宋体" w:cs="宋体"/>
          <w:color w:val="auto"/>
          <w:sz w:val="24"/>
          <w:szCs w:val="24"/>
        </w:rPr>
      </w:pPr>
      <w:r>
        <w:rPr>
          <w:rFonts w:hint="eastAsia" w:ascii="宋体" w:hAnsi="宋体" w:eastAsia="宋体" w:cs="宋体"/>
          <w:color w:val="auto"/>
          <w:sz w:val="24"/>
          <w:szCs w:val="24"/>
          <w:lang w:val="zh-CN"/>
        </w:rPr>
        <w:t>开户银行：</w:t>
      </w:r>
      <w:r>
        <w:rPr>
          <w:rFonts w:hint="eastAsia" w:ascii="宋体" w:hAnsi="宋体" w:eastAsia="宋体" w:cs="宋体"/>
          <w:color w:val="auto"/>
          <w:sz w:val="24"/>
          <w:szCs w:val="24"/>
        </w:rPr>
        <w:t>__________________________________________</w:t>
      </w:r>
    </w:p>
    <w:p w14:paraId="327DE47F">
      <w:pPr>
        <w:autoSpaceDE w:val="0"/>
        <w:autoSpaceDN w:val="0"/>
        <w:adjustRightInd w:val="0"/>
        <w:snapToGrid w:val="0"/>
        <w:spacing w:line="312" w:lineRule="auto"/>
        <w:rPr>
          <w:rFonts w:hint="eastAsia" w:ascii="宋体" w:hAnsi="宋体" w:eastAsia="宋体" w:cs="宋体"/>
          <w:color w:val="auto"/>
          <w:sz w:val="24"/>
          <w:szCs w:val="24"/>
        </w:rPr>
      </w:pPr>
      <w:r>
        <w:rPr>
          <w:rFonts w:hint="eastAsia" w:ascii="宋体" w:hAnsi="宋体" w:eastAsia="宋体" w:cs="宋体"/>
          <w:color w:val="auto"/>
          <w:sz w:val="24"/>
          <w:szCs w:val="24"/>
          <w:lang w:val="zh-CN"/>
        </w:rPr>
        <w:t>帐</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zh-CN"/>
        </w:rPr>
        <w:t>号：</w:t>
      </w:r>
      <w:r>
        <w:rPr>
          <w:rFonts w:hint="eastAsia" w:ascii="宋体" w:hAnsi="宋体" w:eastAsia="宋体" w:cs="宋体"/>
          <w:color w:val="auto"/>
          <w:sz w:val="24"/>
          <w:szCs w:val="24"/>
        </w:rPr>
        <w:t>__________________________________________</w:t>
      </w:r>
    </w:p>
    <w:p w14:paraId="5959D48F">
      <w:pPr>
        <w:autoSpaceDE w:val="0"/>
        <w:autoSpaceDN w:val="0"/>
        <w:adjustRightInd w:val="0"/>
        <w:snapToGrid w:val="0"/>
        <w:spacing w:line="312" w:lineRule="auto"/>
        <w:rPr>
          <w:rFonts w:hint="eastAsia" w:ascii="宋体" w:hAnsi="宋体" w:eastAsia="宋体" w:cs="宋体"/>
          <w:color w:val="auto"/>
          <w:sz w:val="24"/>
          <w:szCs w:val="24"/>
        </w:rPr>
      </w:pPr>
      <w:r>
        <w:rPr>
          <w:rFonts w:hint="eastAsia" w:ascii="宋体" w:hAnsi="宋体" w:eastAsia="宋体" w:cs="宋体"/>
          <w:color w:val="auto"/>
          <w:sz w:val="24"/>
          <w:szCs w:val="24"/>
          <w:lang w:val="zh-CN"/>
        </w:rPr>
        <w:t>电</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zh-CN"/>
        </w:rPr>
        <w:t>话：</w:t>
      </w:r>
      <w:r>
        <w:rPr>
          <w:rFonts w:hint="eastAsia" w:ascii="宋体" w:hAnsi="宋体" w:eastAsia="宋体" w:cs="宋体"/>
          <w:color w:val="auto"/>
          <w:sz w:val="24"/>
          <w:szCs w:val="24"/>
        </w:rPr>
        <w:t>__________________________________________</w:t>
      </w:r>
    </w:p>
    <w:p w14:paraId="639870BC">
      <w:pPr>
        <w:autoSpaceDE w:val="0"/>
        <w:autoSpaceDN w:val="0"/>
        <w:adjustRightInd w:val="0"/>
        <w:snapToGrid w:val="0"/>
        <w:spacing w:line="312" w:lineRule="auto"/>
        <w:rPr>
          <w:rFonts w:hint="eastAsia" w:ascii="宋体" w:hAnsi="宋体" w:eastAsia="宋体" w:cs="宋体"/>
          <w:color w:val="auto"/>
          <w:sz w:val="24"/>
          <w:szCs w:val="24"/>
        </w:rPr>
      </w:pPr>
      <w:r>
        <w:rPr>
          <w:rFonts w:hint="eastAsia" w:ascii="宋体" w:hAnsi="宋体" w:eastAsia="宋体" w:cs="宋体"/>
          <w:color w:val="auto"/>
          <w:sz w:val="24"/>
          <w:szCs w:val="24"/>
          <w:lang w:val="zh-CN"/>
        </w:rPr>
        <w:t>传</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zh-CN"/>
        </w:rPr>
        <w:t>真：</w:t>
      </w:r>
      <w:r>
        <w:rPr>
          <w:rFonts w:hint="eastAsia" w:ascii="宋体" w:hAnsi="宋体" w:eastAsia="宋体" w:cs="宋体"/>
          <w:color w:val="auto"/>
          <w:sz w:val="24"/>
          <w:szCs w:val="24"/>
        </w:rPr>
        <w:t>__________________________________________</w:t>
      </w:r>
    </w:p>
    <w:p w14:paraId="1D71EDF9">
      <w:pPr>
        <w:autoSpaceDE w:val="0"/>
        <w:autoSpaceDN w:val="0"/>
        <w:adjustRightInd w:val="0"/>
        <w:snapToGrid w:val="0"/>
        <w:spacing w:line="312" w:lineRule="auto"/>
        <w:rPr>
          <w:rFonts w:hint="eastAsia" w:ascii="宋体" w:hAnsi="宋体" w:eastAsia="宋体" w:cs="宋体"/>
          <w:color w:val="auto"/>
          <w:sz w:val="24"/>
          <w:szCs w:val="24"/>
        </w:rPr>
      </w:pPr>
      <w:r>
        <w:rPr>
          <w:rFonts w:hint="eastAsia" w:ascii="宋体" w:hAnsi="宋体" w:eastAsia="宋体" w:cs="宋体"/>
          <w:color w:val="auto"/>
          <w:sz w:val="24"/>
          <w:szCs w:val="24"/>
          <w:lang w:val="zh-CN"/>
        </w:rPr>
        <w:t>法定代表人或授权代表：</w:t>
      </w:r>
      <w:r>
        <w:rPr>
          <w:rFonts w:hint="eastAsia" w:ascii="宋体" w:hAnsi="宋体" w:eastAsia="宋体" w:cs="宋体"/>
          <w:color w:val="auto"/>
          <w:sz w:val="24"/>
          <w:szCs w:val="24"/>
        </w:rPr>
        <w:t>_______________________</w:t>
      </w:r>
      <w:r>
        <w:rPr>
          <w:rFonts w:hint="eastAsia" w:ascii="宋体" w:hAnsi="宋体" w:eastAsia="宋体" w:cs="宋体"/>
          <w:color w:val="auto"/>
          <w:sz w:val="24"/>
          <w:szCs w:val="24"/>
          <w:lang w:val="en-US" w:eastAsia="zh-CN"/>
        </w:rPr>
        <w:t>（签字或盖章）</w:t>
      </w:r>
    </w:p>
    <w:p w14:paraId="3A21A83D">
      <w:pPr>
        <w:autoSpaceDE w:val="0"/>
        <w:autoSpaceDN w:val="0"/>
        <w:adjustRightInd w:val="0"/>
        <w:snapToGrid w:val="0"/>
        <w:spacing w:line="312" w:lineRule="auto"/>
        <w:jc w:val="center"/>
        <w:rPr>
          <w:rFonts w:hint="eastAsia" w:ascii="宋体" w:hAnsi="宋体" w:eastAsia="宋体" w:cs="宋体"/>
          <w:color w:val="auto"/>
          <w:sz w:val="24"/>
          <w:szCs w:val="24"/>
        </w:rPr>
        <w:sectPr>
          <w:headerReference r:id="rId14" w:type="default"/>
          <w:footerReference r:id="rId15" w:type="default"/>
          <w:pgSz w:w="11906" w:h="16838"/>
          <w:pgMar w:top="1418" w:right="1418" w:bottom="1418" w:left="1418" w:header="851" w:footer="992" w:gutter="0"/>
          <w:pgNumType w:fmt="decimal"/>
          <w:cols w:space="720" w:num="1"/>
          <w:docGrid w:linePitch="312" w:charSpace="0"/>
        </w:sectPr>
      </w:pPr>
      <w:r>
        <w:rPr>
          <w:rFonts w:hint="eastAsia" w:ascii="宋体" w:hAnsi="宋体" w:eastAsia="宋体" w:cs="宋体"/>
          <w:color w:val="auto"/>
          <w:sz w:val="24"/>
          <w:szCs w:val="24"/>
        </w:rPr>
        <w:t xml:space="preserve">                 _____</w:t>
      </w:r>
      <w:r>
        <w:rPr>
          <w:rFonts w:hint="eastAsia" w:ascii="宋体" w:hAnsi="宋体" w:eastAsia="宋体" w:cs="宋体"/>
          <w:color w:val="auto"/>
          <w:sz w:val="24"/>
          <w:szCs w:val="24"/>
          <w:lang w:val="zh-CN"/>
        </w:rPr>
        <w:t>年</w:t>
      </w:r>
      <w:r>
        <w:rPr>
          <w:rFonts w:hint="eastAsia" w:ascii="宋体" w:hAnsi="宋体" w:eastAsia="宋体" w:cs="宋体"/>
          <w:color w:val="auto"/>
          <w:sz w:val="24"/>
          <w:szCs w:val="24"/>
        </w:rPr>
        <w:t>_____</w:t>
      </w:r>
      <w:r>
        <w:rPr>
          <w:rFonts w:hint="eastAsia" w:ascii="宋体" w:hAnsi="宋体" w:eastAsia="宋体" w:cs="宋体"/>
          <w:color w:val="auto"/>
          <w:sz w:val="24"/>
          <w:szCs w:val="24"/>
          <w:lang w:val="zh-CN"/>
        </w:rPr>
        <w:t>月</w:t>
      </w:r>
      <w:r>
        <w:rPr>
          <w:rFonts w:hint="eastAsia" w:ascii="宋体" w:hAnsi="宋体" w:eastAsia="宋体" w:cs="宋体"/>
          <w:color w:val="auto"/>
          <w:sz w:val="24"/>
          <w:szCs w:val="24"/>
        </w:rPr>
        <w:t>_____</w:t>
      </w:r>
      <w:r>
        <w:rPr>
          <w:rFonts w:hint="eastAsia" w:ascii="宋体" w:hAnsi="宋体" w:eastAsia="宋体" w:cs="宋体"/>
          <w:color w:val="auto"/>
          <w:sz w:val="24"/>
          <w:szCs w:val="24"/>
          <w:lang w:val="zh-CN"/>
        </w:rPr>
        <w:t>日</w:t>
      </w:r>
    </w:p>
    <w:p w14:paraId="7FDE5BE0">
      <w:pPr>
        <w:autoSpaceDE w:val="0"/>
        <w:autoSpaceDN w:val="0"/>
        <w:adjustRightInd w:val="0"/>
        <w:snapToGrid w:val="0"/>
        <w:spacing w:line="312" w:lineRule="auto"/>
        <w:jc w:val="center"/>
        <w:rPr>
          <w:rFonts w:hint="eastAsia" w:ascii="宋体" w:hAnsi="宋体" w:eastAsia="宋体" w:cs="宋体"/>
          <w:b/>
          <w:bCs w:val="0"/>
          <w:color w:val="auto"/>
          <w:sz w:val="32"/>
          <w:szCs w:val="32"/>
          <w:lang w:val="zh-CN"/>
        </w:rPr>
      </w:pPr>
    </w:p>
    <w:p w14:paraId="285F0261">
      <w:pPr>
        <w:autoSpaceDE w:val="0"/>
        <w:autoSpaceDN w:val="0"/>
        <w:adjustRightInd w:val="0"/>
        <w:snapToGrid w:val="0"/>
        <w:spacing w:line="312" w:lineRule="auto"/>
        <w:jc w:val="center"/>
        <w:rPr>
          <w:rFonts w:hint="eastAsia" w:ascii="宋体" w:hAnsi="宋体" w:eastAsia="宋体" w:cs="宋体"/>
          <w:b/>
          <w:bCs w:val="0"/>
          <w:color w:val="auto"/>
          <w:sz w:val="32"/>
          <w:szCs w:val="32"/>
          <w:lang w:val="zh-CN"/>
        </w:rPr>
      </w:pPr>
      <w:r>
        <w:rPr>
          <w:rFonts w:hint="eastAsia" w:ascii="宋体" w:hAnsi="宋体" w:eastAsia="宋体" w:cs="宋体"/>
          <w:b/>
          <w:bCs w:val="0"/>
          <w:color w:val="auto"/>
          <w:sz w:val="32"/>
          <w:szCs w:val="32"/>
          <w:lang w:val="zh-CN"/>
        </w:rPr>
        <w:t>第二部分   首次谈判报价表</w:t>
      </w:r>
    </w:p>
    <w:p w14:paraId="4E67EF8B">
      <w:pPr>
        <w:wordWrap w:val="0"/>
        <w:autoSpaceDE w:val="0"/>
        <w:autoSpaceDN w:val="0"/>
        <w:adjustRightInd w:val="0"/>
        <w:snapToGrid w:val="0"/>
        <w:spacing w:line="360" w:lineRule="auto"/>
        <w:jc w:val="right"/>
        <w:rPr>
          <w:rFonts w:hint="eastAsia" w:ascii="宋体" w:hAnsi="宋体" w:eastAsia="宋体" w:cs="宋体"/>
          <w:color w:val="auto"/>
          <w:sz w:val="28"/>
          <w:szCs w:val="28"/>
        </w:rPr>
      </w:pPr>
      <w:r>
        <w:rPr>
          <w:rFonts w:hint="eastAsia" w:ascii="宋体" w:hAnsi="宋体" w:eastAsia="宋体" w:cs="宋体"/>
          <w:color w:val="auto"/>
          <w:sz w:val="32"/>
          <w:szCs w:val="32"/>
        </w:rPr>
        <w:t xml:space="preserve">          </w:t>
      </w:r>
      <w:r>
        <w:rPr>
          <w:rFonts w:hint="eastAsia" w:ascii="宋体" w:hAnsi="宋体" w:eastAsia="宋体" w:cs="宋体"/>
          <w:color w:val="auto"/>
          <w:sz w:val="28"/>
          <w:szCs w:val="28"/>
          <w:lang w:val="zh-CN"/>
        </w:rPr>
        <w:t xml:space="preserve"> </w:t>
      </w:r>
    </w:p>
    <w:p w14:paraId="7057BB9F">
      <w:pPr>
        <w:pStyle w:val="3"/>
        <w:ind w:left="420"/>
        <w:jc w:val="center"/>
        <w:rPr>
          <w:rFonts w:hint="eastAsia" w:ascii="宋体" w:hAnsi="宋体" w:eastAsia="宋体" w:cs="宋体"/>
          <w:b/>
          <w:bCs/>
          <w:color w:val="auto"/>
          <w:sz w:val="28"/>
          <w:szCs w:val="36"/>
        </w:rPr>
      </w:pPr>
      <w:bookmarkStart w:id="9" w:name="_Toc21685"/>
      <w:r>
        <w:rPr>
          <w:rFonts w:hint="eastAsia" w:ascii="宋体" w:hAnsi="宋体" w:eastAsia="宋体" w:cs="宋体"/>
          <w:b/>
          <w:bCs/>
          <w:color w:val="auto"/>
          <w:sz w:val="28"/>
          <w:szCs w:val="36"/>
        </w:rPr>
        <w:t>(1) 投 标 总 报 价</w:t>
      </w:r>
      <w:bookmarkEnd w:id="9"/>
    </w:p>
    <w:p w14:paraId="09ABAA2D">
      <w:pPr>
        <w:spacing w:line="500" w:lineRule="exact"/>
        <w:jc w:val="center"/>
        <w:rPr>
          <w:rFonts w:hint="eastAsia" w:ascii="宋体" w:hAnsi="宋体" w:eastAsia="宋体" w:cs="宋体"/>
          <w:b/>
          <w:color w:val="auto"/>
          <w:sz w:val="30"/>
          <w:szCs w:val="30"/>
        </w:rPr>
      </w:pPr>
    </w:p>
    <w:p w14:paraId="1B7CBF24">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供应商：（盖章）                    供应商全权代表：</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签字或盖章</w:t>
      </w:r>
      <w:r>
        <w:rPr>
          <w:rFonts w:hint="eastAsia" w:ascii="宋体" w:hAnsi="宋体" w:eastAsia="宋体" w:cs="宋体"/>
          <w:color w:val="auto"/>
          <w:sz w:val="24"/>
          <w:szCs w:val="24"/>
        </w:rPr>
        <w:t xml:space="preserve">）                   </w:t>
      </w:r>
    </w:p>
    <w:p w14:paraId="4564E2AC">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项目编号：                                                       单位：元</w:t>
      </w:r>
    </w:p>
    <w:tbl>
      <w:tblPr>
        <w:tblStyle w:val="18"/>
        <w:tblW w:w="0" w:type="auto"/>
        <w:tblInd w:w="93" w:type="dxa"/>
        <w:tblLayout w:type="fixed"/>
        <w:tblCellMar>
          <w:top w:w="0" w:type="dxa"/>
          <w:left w:w="108" w:type="dxa"/>
          <w:bottom w:w="0" w:type="dxa"/>
          <w:right w:w="108" w:type="dxa"/>
        </w:tblCellMar>
      </w:tblPr>
      <w:tblGrid>
        <w:gridCol w:w="1083"/>
        <w:gridCol w:w="2542"/>
        <w:gridCol w:w="5415"/>
      </w:tblGrid>
      <w:tr w14:paraId="6C728858">
        <w:tblPrEx>
          <w:tblCellMar>
            <w:top w:w="0" w:type="dxa"/>
            <w:left w:w="108" w:type="dxa"/>
            <w:bottom w:w="0" w:type="dxa"/>
            <w:right w:w="108" w:type="dxa"/>
          </w:tblCellMar>
        </w:tblPrEx>
        <w:trPr>
          <w:trHeight w:val="1056" w:hRule="atLeast"/>
        </w:trPr>
        <w:tc>
          <w:tcPr>
            <w:tcW w:w="1083" w:type="dxa"/>
            <w:tcBorders>
              <w:top w:val="single" w:color="auto" w:sz="8" w:space="0"/>
              <w:left w:val="single" w:color="auto" w:sz="8" w:space="0"/>
              <w:bottom w:val="single" w:color="auto" w:sz="8" w:space="0"/>
              <w:right w:val="single" w:color="auto" w:sz="8" w:space="0"/>
            </w:tcBorders>
            <w:noWrap w:val="0"/>
            <w:vAlign w:val="center"/>
          </w:tcPr>
          <w:p w14:paraId="5FB1157E">
            <w:pP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542" w:type="dxa"/>
            <w:tcBorders>
              <w:top w:val="single" w:color="auto" w:sz="8" w:space="0"/>
              <w:left w:val="nil"/>
              <w:bottom w:val="single" w:color="auto" w:sz="8" w:space="0"/>
              <w:right w:val="single" w:color="auto" w:sz="8" w:space="0"/>
            </w:tcBorders>
            <w:noWrap w:val="0"/>
            <w:vAlign w:val="center"/>
          </w:tcPr>
          <w:p w14:paraId="017A0351">
            <w:p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项目</w:t>
            </w:r>
            <w:r>
              <w:rPr>
                <w:rFonts w:hint="eastAsia" w:ascii="宋体" w:hAnsi="宋体" w:eastAsia="宋体" w:cs="宋体"/>
                <w:color w:val="auto"/>
                <w:sz w:val="24"/>
                <w:szCs w:val="24"/>
              </w:rPr>
              <w:t>名称</w:t>
            </w:r>
          </w:p>
        </w:tc>
        <w:tc>
          <w:tcPr>
            <w:tcW w:w="5415" w:type="dxa"/>
            <w:tcBorders>
              <w:top w:val="single" w:color="auto" w:sz="8" w:space="0"/>
              <w:left w:val="nil"/>
              <w:bottom w:val="single" w:color="auto" w:sz="8" w:space="0"/>
              <w:right w:val="single" w:color="auto" w:sz="8" w:space="0"/>
            </w:tcBorders>
            <w:noWrap w:val="0"/>
            <w:vAlign w:val="center"/>
          </w:tcPr>
          <w:p w14:paraId="236492FD">
            <w:pPr>
              <w:rPr>
                <w:rFonts w:hint="eastAsia" w:ascii="宋体" w:hAnsi="宋体" w:eastAsia="宋体" w:cs="宋体"/>
                <w:color w:val="auto"/>
                <w:sz w:val="24"/>
                <w:szCs w:val="24"/>
              </w:rPr>
            </w:pPr>
          </w:p>
        </w:tc>
      </w:tr>
      <w:tr w14:paraId="535A8DB1">
        <w:tblPrEx>
          <w:tblCellMar>
            <w:top w:w="0" w:type="dxa"/>
            <w:left w:w="108" w:type="dxa"/>
            <w:bottom w:w="0" w:type="dxa"/>
            <w:right w:w="108" w:type="dxa"/>
          </w:tblCellMar>
        </w:tblPrEx>
        <w:trPr>
          <w:trHeight w:val="1056" w:hRule="atLeast"/>
        </w:trPr>
        <w:tc>
          <w:tcPr>
            <w:tcW w:w="1083" w:type="dxa"/>
            <w:tcBorders>
              <w:top w:val="single" w:color="auto" w:sz="8" w:space="0"/>
              <w:left w:val="single" w:color="auto" w:sz="8" w:space="0"/>
              <w:bottom w:val="single" w:color="auto" w:sz="8" w:space="0"/>
              <w:right w:val="single" w:color="auto" w:sz="8" w:space="0"/>
            </w:tcBorders>
            <w:noWrap w:val="0"/>
            <w:vAlign w:val="center"/>
          </w:tcPr>
          <w:p w14:paraId="3D3AB69C">
            <w:pP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542" w:type="dxa"/>
            <w:tcBorders>
              <w:top w:val="single" w:color="auto" w:sz="8" w:space="0"/>
              <w:left w:val="nil"/>
              <w:right w:val="single" w:color="auto" w:sz="8" w:space="0"/>
            </w:tcBorders>
            <w:noWrap w:val="0"/>
            <w:vAlign w:val="center"/>
          </w:tcPr>
          <w:p w14:paraId="5AE476BD">
            <w:pP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投标总价</w:t>
            </w:r>
          </w:p>
        </w:tc>
        <w:tc>
          <w:tcPr>
            <w:tcW w:w="5415" w:type="dxa"/>
            <w:tcBorders>
              <w:top w:val="single" w:color="auto" w:sz="8" w:space="0"/>
              <w:left w:val="nil"/>
              <w:bottom w:val="single" w:color="auto" w:sz="8" w:space="0"/>
              <w:right w:val="single" w:color="auto" w:sz="8" w:space="0"/>
            </w:tcBorders>
            <w:noWrap w:val="0"/>
            <w:vAlign w:val="center"/>
          </w:tcPr>
          <w:p w14:paraId="7A136E84">
            <w:pPr>
              <w:rPr>
                <w:rFonts w:hint="eastAsia" w:ascii="宋体" w:hAnsi="宋体" w:eastAsia="宋体" w:cs="宋体"/>
                <w:color w:val="auto"/>
                <w:sz w:val="24"/>
                <w:szCs w:val="24"/>
              </w:rPr>
            </w:pPr>
            <w:r>
              <w:rPr>
                <w:rFonts w:hint="eastAsia" w:ascii="宋体" w:hAnsi="宋体" w:eastAsia="宋体" w:cs="宋体"/>
                <w:color w:val="auto"/>
                <w:sz w:val="24"/>
                <w:szCs w:val="24"/>
              </w:rPr>
              <w:t xml:space="preserve">小写：                   </w:t>
            </w:r>
          </w:p>
          <w:p w14:paraId="5052120B">
            <w:pPr>
              <w:rPr>
                <w:rFonts w:hint="eastAsia" w:ascii="宋体" w:hAnsi="宋体" w:eastAsia="宋体" w:cs="宋体"/>
                <w:color w:val="auto"/>
                <w:sz w:val="24"/>
                <w:szCs w:val="24"/>
              </w:rPr>
            </w:pPr>
            <w:r>
              <w:rPr>
                <w:rFonts w:hint="eastAsia" w:ascii="宋体" w:hAnsi="宋体" w:eastAsia="宋体" w:cs="宋体"/>
                <w:color w:val="auto"/>
                <w:sz w:val="24"/>
                <w:szCs w:val="24"/>
              </w:rPr>
              <w:t xml:space="preserve">大写：               </w:t>
            </w:r>
          </w:p>
        </w:tc>
      </w:tr>
      <w:tr w14:paraId="161D2989">
        <w:tblPrEx>
          <w:tblCellMar>
            <w:top w:w="0" w:type="dxa"/>
            <w:left w:w="108" w:type="dxa"/>
            <w:bottom w:w="0" w:type="dxa"/>
            <w:right w:w="108" w:type="dxa"/>
          </w:tblCellMar>
        </w:tblPrEx>
        <w:trPr>
          <w:trHeight w:val="1056" w:hRule="atLeast"/>
        </w:trPr>
        <w:tc>
          <w:tcPr>
            <w:tcW w:w="1083" w:type="dxa"/>
            <w:tcBorders>
              <w:top w:val="single" w:color="auto" w:sz="8" w:space="0"/>
              <w:left w:val="single" w:color="auto" w:sz="8" w:space="0"/>
              <w:bottom w:val="single" w:color="auto" w:sz="8" w:space="0"/>
              <w:right w:val="single" w:color="auto" w:sz="8" w:space="0"/>
            </w:tcBorders>
            <w:noWrap w:val="0"/>
            <w:vAlign w:val="center"/>
          </w:tcPr>
          <w:p w14:paraId="453EEAFD">
            <w:pP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542" w:type="dxa"/>
            <w:tcBorders>
              <w:top w:val="single" w:color="auto" w:sz="8" w:space="0"/>
              <w:left w:val="nil"/>
              <w:bottom w:val="single" w:color="auto" w:sz="8" w:space="0"/>
              <w:right w:val="single" w:color="auto" w:sz="8" w:space="0"/>
            </w:tcBorders>
            <w:noWrap w:val="0"/>
            <w:vAlign w:val="center"/>
          </w:tcPr>
          <w:p w14:paraId="68AF03B8">
            <w:pP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交货</w:t>
            </w:r>
            <w:r>
              <w:rPr>
                <w:rFonts w:hint="eastAsia" w:ascii="宋体" w:hAnsi="宋体" w:eastAsia="宋体" w:cs="宋体"/>
                <w:color w:val="auto"/>
                <w:sz w:val="24"/>
                <w:szCs w:val="24"/>
                <w:lang w:val="en-US" w:eastAsia="zh-CN"/>
              </w:rPr>
              <w:t>时间</w:t>
            </w:r>
          </w:p>
        </w:tc>
        <w:tc>
          <w:tcPr>
            <w:tcW w:w="5415" w:type="dxa"/>
            <w:tcBorders>
              <w:top w:val="single" w:color="auto" w:sz="8" w:space="0"/>
              <w:left w:val="nil"/>
              <w:bottom w:val="single" w:color="auto" w:sz="8" w:space="0"/>
              <w:right w:val="single" w:color="auto" w:sz="8" w:space="0"/>
            </w:tcBorders>
            <w:noWrap w:val="0"/>
            <w:vAlign w:val="center"/>
          </w:tcPr>
          <w:p w14:paraId="78BE0E55">
            <w:pPr>
              <w:rPr>
                <w:rFonts w:hint="eastAsia" w:ascii="宋体" w:hAnsi="宋体" w:eastAsia="宋体" w:cs="宋体"/>
                <w:color w:val="auto"/>
                <w:sz w:val="24"/>
                <w:szCs w:val="24"/>
              </w:rPr>
            </w:pPr>
            <w:bookmarkStart w:id="10" w:name="_GoBack"/>
            <w:bookmarkEnd w:id="10"/>
          </w:p>
        </w:tc>
      </w:tr>
    </w:tbl>
    <w:p w14:paraId="7B9ED08A">
      <w:pPr>
        <w:rPr>
          <w:rFonts w:hint="eastAsia" w:ascii="宋体" w:hAnsi="宋体" w:eastAsia="宋体" w:cs="宋体"/>
          <w:color w:val="auto"/>
          <w:sz w:val="24"/>
          <w:szCs w:val="24"/>
        </w:rPr>
      </w:pPr>
    </w:p>
    <w:p w14:paraId="51C9C373">
      <w:pPr>
        <w:rPr>
          <w:rFonts w:hint="eastAsia" w:ascii="宋体" w:hAnsi="宋体" w:eastAsia="宋体" w:cs="宋体"/>
          <w:color w:val="auto"/>
          <w:sz w:val="24"/>
          <w:szCs w:val="24"/>
        </w:rPr>
      </w:pPr>
      <w:r>
        <w:rPr>
          <w:rFonts w:hint="eastAsia" w:ascii="宋体" w:hAnsi="宋体" w:eastAsia="宋体" w:cs="宋体"/>
          <w:color w:val="auto"/>
          <w:sz w:val="24"/>
          <w:szCs w:val="24"/>
        </w:rPr>
        <w:t>特别说明：</w:t>
      </w:r>
    </w:p>
    <w:p w14:paraId="1C82CA1A">
      <w:pPr>
        <w:rPr>
          <w:rFonts w:hint="eastAsia" w:ascii="宋体" w:hAnsi="宋体" w:eastAsia="宋体" w:cs="宋体"/>
          <w:color w:val="auto"/>
          <w:sz w:val="24"/>
          <w:szCs w:val="24"/>
        </w:rPr>
      </w:pPr>
      <w:r>
        <w:rPr>
          <w:rFonts w:hint="eastAsia" w:ascii="宋体" w:hAnsi="宋体" w:eastAsia="宋体" w:cs="宋体"/>
          <w:color w:val="auto"/>
          <w:sz w:val="24"/>
          <w:szCs w:val="24"/>
        </w:rPr>
        <w:t>1、报价币种：人民币。</w:t>
      </w:r>
    </w:p>
    <w:p w14:paraId="6D226760">
      <w:pPr>
        <w:spacing w:line="440" w:lineRule="exact"/>
        <w:outlineLvl w:val="1"/>
        <w:rPr>
          <w:rFonts w:hint="eastAsia" w:ascii="宋体" w:hAnsi="宋体" w:eastAsia="宋体" w:cs="宋体"/>
          <w:b/>
          <w:color w:val="auto"/>
          <w:sz w:val="24"/>
          <w:szCs w:val="24"/>
        </w:rPr>
      </w:pPr>
    </w:p>
    <w:p w14:paraId="4DAA0FE6">
      <w:pPr>
        <w:spacing w:line="500" w:lineRule="exact"/>
        <w:jc w:val="center"/>
        <w:rPr>
          <w:rFonts w:hint="eastAsia" w:ascii="宋体" w:hAnsi="宋体" w:eastAsia="宋体" w:cs="宋体"/>
          <w:color w:val="auto"/>
          <w:sz w:val="24"/>
          <w:szCs w:val="24"/>
        </w:rPr>
      </w:pPr>
    </w:p>
    <w:p w14:paraId="57FD6907">
      <w:pPr>
        <w:spacing w:line="500" w:lineRule="exact"/>
        <w:jc w:val="center"/>
        <w:rPr>
          <w:rFonts w:hint="eastAsia" w:ascii="宋体" w:hAnsi="宋体" w:eastAsia="宋体" w:cs="宋体"/>
          <w:color w:val="auto"/>
          <w:sz w:val="24"/>
          <w:szCs w:val="24"/>
        </w:rPr>
      </w:pPr>
    </w:p>
    <w:p w14:paraId="75864138">
      <w:pPr>
        <w:spacing w:line="500" w:lineRule="exact"/>
        <w:jc w:val="center"/>
        <w:rPr>
          <w:rFonts w:hint="eastAsia" w:ascii="宋体" w:hAnsi="宋体" w:eastAsia="宋体" w:cs="宋体"/>
          <w:color w:val="auto"/>
          <w:sz w:val="24"/>
          <w:szCs w:val="24"/>
        </w:rPr>
      </w:pPr>
    </w:p>
    <w:p w14:paraId="48CF56D2">
      <w:pPr>
        <w:spacing w:line="500" w:lineRule="exact"/>
        <w:jc w:val="center"/>
        <w:rPr>
          <w:rFonts w:hint="eastAsia" w:ascii="宋体" w:hAnsi="宋体" w:eastAsia="宋体" w:cs="宋体"/>
          <w:color w:val="auto"/>
          <w:sz w:val="24"/>
          <w:szCs w:val="24"/>
        </w:rPr>
      </w:pPr>
    </w:p>
    <w:p w14:paraId="212C7E67">
      <w:pPr>
        <w:spacing w:line="500" w:lineRule="exact"/>
        <w:jc w:val="center"/>
        <w:rPr>
          <w:rFonts w:hint="eastAsia" w:ascii="宋体" w:hAnsi="宋体" w:eastAsia="宋体" w:cs="宋体"/>
          <w:color w:val="auto"/>
          <w:sz w:val="24"/>
          <w:szCs w:val="24"/>
        </w:rPr>
      </w:pPr>
    </w:p>
    <w:p w14:paraId="38F51E62">
      <w:pPr>
        <w:spacing w:line="500" w:lineRule="exact"/>
        <w:jc w:val="center"/>
        <w:rPr>
          <w:rFonts w:hint="eastAsia" w:ascii="宋体" w:hAnsi="宋体" w:eastAsia="宋体" w:cs="宋体"/>
          <w:color w:val="auto"/>
          <w:sz w:val="24"/>
          <w:szCs w:val="24"/>
        </w:rPr>
      </w:pPr>
    </w:p>
    <w:p w14:paraId="531671D1">
      <w:pPr>
        <w:spacing w:line="500" w:lineRule="exact"/>
        <w:jc w:val="center"/>
        <w:rPr>
          <w:rFonts w:hint="eastAsia" w:ascii="宋体" w:hAnsi="宋体" w:eastAsia="宋体" w:cs="宋体"/>
          <w:color w:val="auto"/>
          <w:sz w:val="24"/>
          <w:szCs w:val="24"/>
        </w:rPr>
      </w:pPr>
    </w:p>
    <w:p w14:paraId="03D27A67">
      <w:pPr>
        <w:spacing w:line="500" w:lineRule="exact"/>
        <w:jc w:val="center"/>
        <w:rPr>
          <w:rFonts w:hint="eastAsia" w:ascii="宋体" w:hAnsi="宋体" w:eastAsia="宋体" w:cs="宋体"/>
          <w:color w:val="auto"/>
          <w:sz w:val="24"/>
          <w:szCs w:val="24"/>
        </w:rPr>
      </w:pPr>
    </w:p>
    <w:p w14:paraId="6DA57518">
      <w:pPr>
        <w:spacing w:line="500" w:lineRule="exact"/>
        <w:jc w:val="center"/>
        <w:rPr>
          <w:rFonts w:hint="eastAsia" w:ascii="宋体" w:hAnsi="宋体" w:eastAsia="宋体" w:cs="宋体"/>
          <w:color w:val="auto"/>
          <w:sz w:val="24"/>
          <w:szCs w:val="24"/>
        </w:rPr>
      </w:pPr>
    </w:p>
    <w:p w14:paraId="24EEF5C0">
      <w:pPr>
        <w:pStyle w:val="6"/>
        <w:rPr>
          <w:rFonts w:hint="eastAsia" w:ascii="宋体" w:hAnsi="宋体" w:eastAsia="宋体" w:cs="宋体"/>
          <w:color w:val="auto"/>
          <w:sz w:val="24"/>
          <w:szCs w:val="24"/>
        </w:rPr>
      </w:pPr>
    </w:p>
    <w:p w14:paraId="40B14D45">
      <w:pPr>
        <w:pStyle w:val="6"/>
        <w:rPr>
          <w:rFonts w:hint="eastAsia" w:ascii="宋体" w:hAnsi="宋体" w:eastAsia="宋体" w:cs="宋体"/>
          <w:color w:val="auto"/>
          <w:sz w:val="24"/>
          <w:szCs w:val="24"/>
        </w:rPr>
      </w:pPr>
    </w:p>
    <w:p w14:paraId="74433BD1">
      <w:pPr>
        <w:pStyle w:val="6"/>
        <w:rPr>
          <w:rFonts w:hint="eastAsia" w:ascii="宋体" w:hAnsi="宋体" w:eastAsia="宋体" w:cs="宋体"/>
          <w:color w:val="auto"/>
          <w:sz w:val="24"/>
          <w:szCs w:val="24"/>
        </w:rPr>
      </w:pPr>
    </w:p>
    <w:p w14:paraId="66EA6CA6">
      <w:pPr>
        <w:pStyle w:val="6"/>
        <w:rPr>
          <w:rFonts w:hint="eastAsia" w:ascii="宋体" w:hAnsi="宋体" w:eastAsia="宋体" w:cs="宋体"/>
          <w:color w:val="auto"/>
          <w:sz w:val="24"/>
          <w:szCs w:val="24"/>
        </w:rPr>
      </w:pPr>
    </w:p>
    <w:p w14:paraId="21176E4A">
      <w:pPr>
        <w:pStyle w:val="6"/>
        <w:rPr>
          <w:rFonts w:hint="eastAsia" w:ascii="宋体" w:hAnsi="宋体" w:eastAsia="宋体" w:cs="宋体"/>
          <w:b/>
          <w:bCs/>
          <w:color w:val="auto"/>
          <w:sz w:val="32"/>
          <w:szCs w:val="32"/>
          <w:lang w:val="zh-CN"/>
        </w:rPr>
      </w:pPr>
    </w:p>
    <w:p w14:paraId="5A6E7AB6">
      <w:pPr>
        <w:pStyle w:val="6"/>
        <w:numPr>
          <w:ilvl w:val="0"/>
          <w:numId w:val="4"/>
        </w:numPr>
        <w:jc w:val="center"/>
        <w:rPr>
          <w:rFonts w:hint="eastAsia" w:ascii="宋体" w:hAnsi="宋体" w:eastAsia="宋体" w:cs="宋体"/>
          <w:b/>
          <w:bCs/>
          <w:color w:val="auto"/>
          <w:sz w:val="28"/>
          <w:szCs w:val="28"/>
          <w:lang w:val="zh-CN"/>
        </w:rPr>
      </w:pPr>
      <w:r>
        <w:rPr>
          <w:rFonts w:hint="eastAsia" w:ascii="宋体" w:hAnsi="宋体" w:eastAsia="宋体" w:cs="宋体"/>
          <w:b/>
          <w:bCs/>
          <w:color w:val="auto"/>
          <w:sz w:val="28"/>
          <w:szCs w:val="28"/>
          <w:lang w:val="zh-CN"/>
        </w:rPr>
        <w:t>分项报价</w:t>
      </w:r>
    </w:p>
    <w:p w14:paraId="42C90083">
      <w:pPr>
        <w:pStyle w:val="6"/>
        <w:numPr>
          <w:ilvl w:val="0"/>
          <w:numId w:val="0"/>
        </w:numPr>
        <w:jc w:val="both"/>
        <w:rPr>
          <w:rFonts w:hint="eastAsia" w:ascii="宋体" w:hAnsi="宋体" w:eastAsia="宋体" w:cs="宋体"/>
          <w:b/>
          <w:bCs/>
          <w:color w:val="auto"/>
          <w:sz w:val="28"/>
          <w:szCs w:val="28"/>
          <w:lang w:val="zh-CN"/>
        </w:rPr>
      </w:pPr>
    </w:p>
    <w:tbl>
      <w:tblPr>
        <w:tblStyle w:val="18"/>
        <w:tblW w:w="9106" w:type="dxa"/>
        <w:tblInd w:w="0" w:type="dxa"/>
        <w:tblLayout w:type="fixed"/>
        <w:tblCellMar>
          <w:top w:w="15" w:type="dxa"/>
          <w:left w:w="15" w:type="dxa"/>
          <w:bottom w:w="15" w:type="dxa"/>
          <w:right w:w="15" w:type="dxa"/>
        </w:tblCellMar>
      </w:tblPr>
      <w:tblGrid>
        <w:gridCol w:w="617"/>
        <w:gridCol w:w="1414"/>
        <w:gridCol w:w="1383"/>
        <w:gridCol w:w="1138"/>
        <w:gridCol w:w="1138"/>
        <w:gridCol w:w="725"/>
        <w:gridCol w:w="1406"/>
        <w:gridCol w:w="1285"/>
      </w:tblGrid>
      <w:tr w14:paraId="206D79BA">
        <w:tblPrEx>
          <w:tblCellMar>
            <w:top w:w="15" w:type="dxa"/>
            <w:left w:w="15" w:type="dxa"/>
            <w:bottom w:w="15" w:type="dxa"/>
            <w:right w:w="15" w:type="dxa"/>
          </w:tblCellMar>
        </w:tblPrEx>
        <w:trPr>
          <w:trHeight w:val="994"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5015A258">
            <w:pPr>
              <w:widowControl/>
              <w:adjustRightInd w:val="0"/>
              <w:snapToGrid w:val="0"/>
              <w:spacing w:line="360" w:lineRule="auto"/>
              <w:jc w:val="center"/>
              <w:textAlignment w:val="center"/>
              <w:rPr>
                <w:rFonts w:hint="eastAsia" w:ascii="宋体" w:hAnsi="宋体" w:cs="宋体"/>
                <w:bCs/>
                <w:color w:val="auto"/>
                <w:sz w:val="24"/>
                <w:szCs w:val="24"/>
              </w:rPr>
            </w:pPr>
            <w:r>
              <w:rPr>
                <w:rFonts w:hint="eastAsia" w:ascii="宋体" w:hAnsi="宋体" w:cs="宋体"/>
                <w:bCs/>
                <w:color w:val="auto"/>
                <w:kern w:val="0"/>
                <w:sz w:val="24"/>
                <w:szCs w:val="24"/>
                <w:lang w:bidi="ar"/>
              </w:rPr>
              <w:t>序号</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1384C93F">
            <w:pPr>
              <w:widowControl/>
              <w:adjustRightInd w:val="0"/>
              <w:snapToGrid w:val="0"/>
              <w:spacing w:line="360" w:lineRule="auto"/>
              <w:jc w:val="center"/>
              <w:textAlignment w:val="center"/>
              <w:rPr>
                <w:rFonts w:hint="eastAsia" w:ascii="宋体" w:hAnsi="宋体" w:cs="宋体"/>
                <w:bCs/>
                <w:color w:val="auto"/>
                <w:sz w:val="24"/>
                <w:szCs w:val="24"/>
              </w:rPr>
            </w:pPr>
            <w:r>
              <w:rPr>
                <w:rFonts w:hint="eastAsia" w:ascii="宋体" w:hAnsi="宋体" w:cs="宋体"/>
                <w:bCs/>
                <w:color w:val="auto"/>
                <w:kern w:val="0"/>
                <w:sz w:val="24"/>
                <w:szCs w:val="24"/>
                <w:lang w:bidi="ar"/>
              </w:rPr>
              <w:t>名称</w:t>
            </w:r>
          </w:p>
        </w:tc>
        <w:tc>
          <w:tcPr>
            <w:tcW w:w="1383" w:type="dxa"/>
            <w:tcBorders>
              <w:top w:val="single" w:color="000000" w:sz="4" w:space="0"/>
              <w:left w:val="single" w:color="000000" w:sz="4" w:space="0"/>
              <w:bottom w:val="single" w:color="000000" w:sz="4" w:space="0"/>
              <w:right w:val="single" w:color="000000" w:sz="4" w:space="0"/>
            </w:tcBorders>
            <w:noWrap w:val="0"/>
            <w:vAlign w:val="center"/>
          </w:tcPr>
          <w:p w14:paraId="1578EA15">
            <w:pPr>
              <w:widowControl/>
              <w:adjustRightInd w:val="0"/>
              <w:snapToGrid w:val="0"/>
              <w:spacing w:line="360" w:lineRule="auto"/>
              <w:jc w:val="center"/>
              <w:textAlignment w:val="center"/>
              <w:rPr>
                <w:rFonts w:hint="default" w:ascii="宋体" w:hAnsi="宋体" w:eastAsia="宋体" w:cs="宋体"/>
                <w:bCs/>
                <w:color w:val="auto"/>
                <w:sz w:val="24"/>
                <w:szCs w:val="24"/>
                <w:lang w:val="en-US" w:eastAsia="zh-CN"/>
              </w:rPr>
            </w:pPr>
            <w:r>
              <w:rPr>
                <w:rFonts w:hint="eastAsia" w:ascii="宋体" w:hAnsi="宋体" w:cs="宋体"/>
                <w:bCs/>
                <w:color w:val="auto"/>
                <w:kern w:val="0"/>
                <w:sz w:val="24"/>
                <w:szCs w:val="24"/>
                <w:lang w:bidi="ar"/>
              </w:rPr>
              <w:t>品牌</w:t>
            </w:r>
            <w:r>
              <w:rPr>
                <w:rFonts w:hint="eastAsia" w:ascii="宋体" w:hAnsi="宋体" w:eastAsia="宋体" w:cs="宋体"/>
                <w:bCs/>
                <w:color w:val="auto"/>
                <w:kern w:val="0"/>
                <w:sz w:val="24"/>
                <w:szCs w:val="24"/>
                <w:lang w:val="en-US" w:eastAsia="zh-CN" w:bidi="ar"/>
              </w:rPr>
              <w:t>/型号</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6287FBAC">
            <w:pPr>
              <w:widowControl/>
              <w:adjustRightInd w:val="0"/>
              <w:snapToGrid w:val="0"/>
              <w:spacing w:line="360" w:lineRule="auto"/>
              <w:jc w:val="center"/>
              <w:textAlignment w:val="center"/>
              <w:rPr>
                <w:rFonts w:hint="eastAsia" w:ascii="宋体" w:hAnsi="宋体" w:eastAsia="宋体" w:cs="宋体"/>
                <w:bCs/>
                <w:color w:val="auto"/>
                <w:kern w:val="0"/>
                <w:sz w:val="24"/>
                <w:szCs w:val="24"/>
                <w:lang w:eastAsia="zh-CN" w:bidi="ar"/>
              </w:rPr>
            </w:pPr>
            <w:r>
              <w:rPr>
                <w:rFonts w:hint="eastAsia" w:ascii="宋体" w:hAnsi="宋体" w:eastAsia="宋体" w:cs="宋体"/>
                <w:bCs/>
                <w:color w:val="auto"/>
                <w:kern w:val="0"/>
                <w:sz w:val="24"/>
                <w:szCs w:val="24"/>
                <w:lang w:val="en-US" w:eastAsia="zh-CN" w:bidi="ar"/>
              </w:rPr>
              <w:t>生产商</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641B4335">
            <w:pPr>
              <w:widowControl/>
              <w:adjustRightInd w:val="0"/>
              <w:snapToGrid w:val="0"/>
              <w:spacing w:line="360" w:lineRule="auto"/>
              <w:jc w:val="center"/>
              <w:textAlignment w:val="center"/>
              <w:rPr>
                <w:rFonts w:hint="eastAsia" w:ascii="宋体" w:hAnsi="宋体" w:cs="宋体"/>
                <w:bCs/>
                <w:color w:val="auto"/>
                <w:sz w:val="24"/>
                <w:szCs w:val="24"/>
              </w:rPr>
            </w:pPr>
            <w:r>
              <w:rPr>
                <w:rFonts w:hint="eastAsia" w:ascii="宋体" w:hAnsi="宋体" w:cs="宋体"/>
                <w:bCs/>
                <w:color w:val="auto"/>
                <w:kern w:val="0"/>
                <w:sz w:val="24"/>
                <w:szCs w:val="24"/>
                <w:lang w:bidi="ar"/>
              </w:rPr>
              <w:t>单位</w:t>
            </w:r>
          </w:p>
        </w:tc>
        <w:tc>
          <w:tcPr>
            <w:tcW w:w="725" w:type="dxa"/>
            <w:tcBorders>
              <w:top w:val="single" w:color="000000" w:sz="4" w:space="0"/>
              <w:left w:val="single" w:color="000000" w:sz="4" w:space="0"/>
              <w:bottom w:val="single" w:color="000000" w:sz="4" w:space="0"/>
              <w:right w:val="single" w:color="000000" w:sz="4" w:space="0"/>
            </w:tcBorders>
            <w:noWrap w:val="0"/>
            <w:vAlign w:val="center"/>
          </w:tcPr>
          <w:p w14:paraId="633BB587">
            <w:pPr>
              <w:widowControl/>
              <w:adjustRightInd w:val="0"/>
              <w:snapToGrid w:val="0"/>
              <w:spacing w:line="360" w:lineRule="auto"/>
              <w:jc w:val="center"/>
              <w:textAlignment w:val="center"/>
              <w:rPr>
                <w:rFonts w:hint="eastAsia" w:ascii="宋体" w:hAnsi="宋体" w:cs="宋体"/>
                <w:bCs/>
                <w:color w:val="auto"/>
                <w:sz w:val="24"/>
                <w:szCs w:val="24"/>
              </w:rPr>
            </w:pPr>
            <w:r>
              <w:rPr>
                <w:rFonts w:hint="eastAsia" w:ascii="宋体" w:hAnsi="宋体" w:cs="宋体"/>
                <w:bCs/>
                <w:color w:val="auto"/>
                <w:kern w:val="0"/>
                <w:sz w:val="24"/>
                <w:szCs w:val="24"/>
                <w:lang w:bidi="ar"/>
              </w:rPr>
              <w:t>数量</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14:paraId="0A0D976D">
            <w:pPr>
              <w:widowControl/>
              <w:adjustRightInd w:val="0"/>
              <w:snapToGrid w:val="0"/>
              <w:spacing w:line="360" w:lineRule="auto"/>
              <w:jc w:val="center"/>
              <w:textAlignment w:val="center"/>
              <w:rPr>
                <w:rFonts w:hint="eastAsia" w:ascii="宋体" w:hAnsi="宋体" w:cs="宋体"/>
                <w:bCs/>
                <w:color w:val="auto"/>
                <w:sz w:val="24"/>
                <w:szCs w:val="24"/>
              </w:rPr>
            </w:pPr>
            <w:r>
              <w:rPr>
                <w:rFonts w:hint="eastAsia" w:ascii="宋体" w:hAnsi="宋体" w:cs="宋体"/>
                <w:bCs/>
                <w:color w:val="auto"/>
                <w:sz w:val="24"/>
                <w:szCs w:val="24"/>
              </w:rPr>
              <w:t>单价（元）</w:t>
            </w:r>
          </w:p>
        </w:tc>
        <w:tc>
          <w:tcPr>
            <w:tcW w:w="1285" w:type="dxa"/>
            <w:tcBorders>
              <w:top w:val="single" w:color="000000" w:sz="4" w:space="0"/>
              <w:left w:val="single" w:color="000000" w:sz="4" w:space="0"/>
              <w:bottom w:val="single" w:color="000000" w:sz="4" w:space="0"/>
              <w:right w:val="single" w:color="000000" w:sz="4" w:space="0"/>
            </w:tcBorders>
            <w:noWrap w:val="0"/>
            <w:vAlign w:val="center"/>
          </w:tcPr>
          <w:p w14:paraId="1840D436">
            <w:pPr>
              <w:widowControl/>
              <w:adjustRightInd w:val="0"/>
              <w:snapToGrid w:val="0"/>
              <w:spacing w:line="360" w:lineRule="auto"/>
              <w:jc w:val="center"/>
              <w:textAlignment w:val="center"/>
              <w:rPr>
                <w:rFonts w:hint="eastAsia" w:ascii="宋体" w:hAnsi="宋体" w:cs="宋体"/>
                <w:bCs/>
                <w:color w:val="auto"/>
                <w:sz w:val="24"/>
                <w:szCs w:val="24"/>
              </w:rPr>
            </w:pPr>
            <w:r>
              <w:rPr>
                <w:rFonts w:hint="eastAsia" w:ascii="宋体" w:hAnsi="宋体" w:cs="宋体"/>
                <w:bCs/>
                <w:color w:val="auto"/>
                <w:kern w:val="0"/>
                <w:sz w:val="24"/>
                <w:szCs w:val="24"/>
                <w:lang w:bidi="ar"/>
              </w:rPr>
              <w:t>总价（元）</w:t>
            </w:r>
          </w:p>
        </w:tc>
      </w:tr>
      <w:tr w14:paraId="28596475">
        <w:tblPrEx>
          <w:tblCellMar>
            <w:top w:w="15" w:type="dxa"/>
            <w:left w:w="15" w:type="dxa"/>
            <w:bottom w:w="15" w:type="dxa"/>
            <w:right w:w="15" w:type="dxa"/>
          </w:tblCellMar>
        </w:tblPrEx>
        <w:trPr>
          <w:trHeight w:val="578"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307992E9">
            <w:pPr>
              <w:widowControl/>
              <w:adjustRightInd w:val="0"/>
              <w:snapToGrid w:val="0"/>
              <w:spacing w:line="360" w:lineRule="auto"/>
              <w:jc w:val="center"/>
              <w:textAlignment w:val="center"/>
              <w:rPr>
                <w:rFonts w:hint="eastAsia" w:ascii="宋体" w:hAnsi="宋体" w:cs="宋体"/>
                <w:bCs/>
                <w:color w:val="auto"/>
                <w:kern w:val="0"/>
                <w:sz w:val="24"/>
                <w:szCs w:val="24"/>
                <w:lang w:bidi="ar"/>
              </w:rPr>
            </w:pPr>
            <w:r>
              <w:rPr>
                <w:rFonts w:hint="eastAsia" w:ascii="宋体" w:hAnsi="宋体" w:cs="宋体"/>
                <w:bCs/>
                <w:color w:val="auto"/>
                <w:kern w:val="0"/>
                <w:sz w:val="24"/>
                <w:szCs w:val="24"/>
                <w:lang w:bidi="ar"/>
              </w:rPr>
              <w:t>1</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6C057856">
            <w:pPr>
              <w:widowControl/>
              <w:adjustRightInd w:val="0"/>
              <w:snapToGrid w:val="0"/>
              <w:spacing w:line="360" w:lineRule="auto"/>
              <w:jc w:val="center"/>
              <w:textAlignment w:val="center"/>
              <w:rPr>
                <w:rFonts w:hint="eastAsia" w:ascii="宋体" w:hAnsi="宋体" w:cs="宋体"/>
                <w:bCs/>
                <w:color w:val="auto"/>
                <w:kern w:val="0"/>
                <w:sz w:val="24"/>
                <w:szCs w:val="24"/>
                <w:lang w:bidi="ar"/>
              </w:rPr>
            </w:pPr>
          </w:p>
        </w:tc>
        <w:tc>
          <w:tcPr>
            <w:tcW w:w="1383" w:type="dxa"/>
            <w:tcBorders>
              <w:top w:val="single" w:color="000000" w:sz="4" w:space="0"/>
              <w:left w:val="single" w:color="000000" w:sz="4" w:space="0"/>
              <w:bottom w:val="single" w:color="000000" w:sz="4" w:space="0"/>
              <w:right w:val="single" w:color="000000" w:sz="4" w:space="0"/>
            </w:tcBorders>
            <w:noWrap w:val="0"/>
            <w:vAlign w:val="center"/>
          </w:tcPr>
          <w:p w14:paraId="1532CDDE">
            <w:pPr>
              <w:widowControl/>
              <w:adjustRightInd w:val="0"/>
              <w:snapToGrid w:val="0"/>
              <w:spacing w:line="360" w:lineRule="auto"/>
              <w:jc w:val="center"/>
              <w:textAlignment w:val="center"/>
              <w:rPr>
                <w:rFonts w:hint="eastAsia" w:ascii="宋体" w:hAnsi="宋体" w:cs="宋体"/>
                <w:bCs/>
                <w:color w:val="auto"/>
                <w:kern w:val="0"/>
                <w:sz w:val="24"/>
                <w:szCs w:val="24"/>
                <w:lang w:bidi="ar"/>
              </w:rPr>
            </w:pP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47762AFB">
            <w:pPr>
              <w:widowControl/>
              <w:adjustRightInd w:val="0"/>
              <w:snapToGrid w:val="0"/>
              <w:spacing w:line="360" w:lineRule="auto"/>
              <w:jc w:val="center"/>
              <w:textAlignment w:val="center"/>
              <w:rPr>
                <w:rFonts w:hint="eastAsia" w:ascii="宋体" w:hAnsi="宋体" w:cs="宋体"/>
                <w:bCs/>
                <w:color w:val="auto"/>
                <w:kern w:val="0"/>
                <w:sz w:val="24"/>
                <w:szCs w:val="24"/>
                <w:lang w:bidi="ar"/>
              </w:rPr>
            </w:pP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5096722F">
            <w:pPr>
              <w:widowControl/>
              <w:adjustRightInd w:val="0"/>
              <w:snapToGrid w:val="0"/>
              <w:spacing w:line="360" w:lineRule="auto"/>
              <w:jc w:val="center"/>
              <w:textAlignment w:val="center"/>
              <w:rPr>
                <w:rFonts w:hint="eastAsia" w:ascii="宋体" w:hAnsi="宋体" w:cs="宋体"/>
                <w:bCs/>
                <w:color w:val="auto"/>
                <w:kern w:val="0"/>
                <w:sz w:val="24"/>
                <w:szCs w:val="24"/>
                <w:lang w:bidi="ar"/>
              </w:rPr>
            </w:pPr>
          </w:p>
        </w:tc>
        <w:tc>
          <w:tcPr>
            <w:tcW w:w="725" w:type="dxa"/>
            <w:tcBorders>
              <w:top w:val="single" w:color="000000" w:sz="4" w:space="0"/>
              <w:left w:val="single" w:color="000000" w:sz="4" w:space="0"/>
              <w:bottom w:val="single" w:color="000000" w:sz="4" w:space="0"/>
              <w:right w:val="single" w:color="000000" w:sz="4" w:space="0"/>
            </w:tcBorders>
            <w:noWrap w:val="0"/>
            <w:vAlign w:val="center"/>
          </w:tcPr>
          <w:p w14:paraId="29726C72">
            <w:pPr>
              <w:widowControl/>
              <w:adjustRightInd w:val="0"/>
              <w:snapToGrid w:val="0"/>
              <w:spacing w:line="360" w:lineRule="auto"/>
              <w:jc w:val="center"/>
              <w:textAlignment w:val="center"/>
              <w:rPr>
                <w:rFonts w:hint="eastAsia" w:ascii="宋体" w:hAnsi="宋体" w:cs="宋体"/>
                <w:bCs/>
                <w:color w:val="auto"/>
                <w:kern w:val="0"/>
                <w:sz w:val="24"/>
                <w:szCs w:val="24"/>
                <w:lang w:bidi="ar"/>
              </w:rPr>
            </w:pPr>
          </w:p>
        </w:tc>
        <w:tc>
          <w:tcPr>
            <w:tcW w:w="1406" w:type="dxa"/>
            <w:tcBorders>
              <w:top w:val="single" w:color="000000" w:sz="4" w:space="0"/>
              <w:left w:val="single" w:color="000000" w:sz="4" w:space="0"/>
              <w:bottom w:val="single" w:color="000000" w:sz="4" w:space="0"/>
              <w:right w:val="single" w:color="000000" w:sz="4" w:space="0"/>
            </w:tcBorders>
            <w:noWrap w:val="0"/>
            <w:vAlign w:val="center"/>
          </w:tcPr>
          <w:p w14:paraId="65A08655">
            <w:pPr>
              <w:widowControl/>
              <w:adjustRightInd w:val="0"/>
              <w:snapToGrid w:val="0"/>
              <w:spacing w:line="360" w:lineRule="auto"/>
              <w:jc w:val="center"/>
              <w:textAlignment w:val="center"/>
              <w:rPr>
                <w:rFonts w:hint="eastAsia" w:ascii="宋体" w:hAnsi="宋体" w:cs="宋体"/>
                <w:bCs/>
                <w:color w:val="auto"/>
                <w:sz w:val="24"/>
                <w:szCs w:val="24"/>
              </w:rPr>
            </w:pPr>
          </w:p>
        </w:tc>
        <w:tc>
          <w:tcPr>
            <w:tcW w:w="1285" w:type="dxa"/>
            <w:tcBorders>
              <w:top w:val="single" w:color="000000" w:sz="4" w:space="0"/>
              <w:left w:val="single" w:color="000000" w:sz="4" w:space="0"/>
              <w:bottom w:val="single" w:color="000000" w:sz="4" w:space="0"/>
              <w:right w:val="single" w:color="000000" w:sz="4" w:space="0"/>
            </w:tcBorders>
            <w:noWrap w:val="0"/>
            <w:vAlign w:val="center"/>
          </w:tcPr>
          <w:p w14:paraId="31BD36EA">
            <w:pPr>
              <w:widowControl/>
              <w:adjustRightInd w:val="0"/>
              <w:snapToGrid w:val="0"/>
              <w:spacing w:line="360" w:lineRule="auto"/>
              <w:jc w:val="center"/>
              <w:textAlignment w:val="center"/>
              <w:rPr>
                <w:rFonts w:hint="eastAsia" w:ascii="宋体" w:hAnsi="宋体" w:cs="宋体"/>
                <w:bCs/>
                <w:color w:val="auto"/>
                <w:kern w:val="0"/>
                <w:sz w:val="24"/>
                <w:szCs w:val="24"/>
                <w:lang w:bidi="ar"/>
              </w:rPr>
            </w:pPr>
          </w:p>
        </w:tc>
      </w:tr>
      <w:tr w14:paraId="2925B4CB">
        <w:tblPrEx>
          <w:tblCellMar>
            <w:top w:w="15" w:type="dxa"/>
            <w:left w:w="15" w:type="dxa"/>
            <w:bottom w:w="15" w:type="dxa"/>
            <w:right w:w="15" w:type="dxa"/>
          </w:tblCellMar>
        </w:tblPrEx>
        <w:trPr>
          <w:trHeight w:val="578"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6CC79129">
            <w:pPr>
              <w:widowControl/>
              <w:adjustRightInd w:val="0"/>
              <w:snapToGrid w:val="0"/>
              <w:spacing w:line="360" w:lineRule="auto"/>
              <w:jc w:val="center"/>
              <w:textAlignment w:val="center"/>
              <w:rPr>
                <w:rFonts w:hint="eastAsia" w:ascii="宋体" w:hAnsi="宋体" w:cs="宋体"/>
                <w:bCs/>
                <w:color w:val="auto"/>
                <w:kern w:val="0"/>
                <w:sz w:val="24"/>
                <w:szCs w:val="24"/>
                <w:lang w:bidi="ar"/>
              </w:rPr>
            </w:pPr>
            <w:r>
              <w:rPr>
                <w:rFonts w:hint="eastAsia" w:ascii="宋体" w:hAnsi="宋体" w:cs="宋体"/>
                <w:bCs/>
                <w:color w:val="auto"/>
                <w:kern w:val="0"/>
                <w:sz w:val="24"/>
                <w:szCs w:val="24"/>
                <w:lang w:bidi="ar"/>
              </w:rPr>
              <w:t>2</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74849938">
            <w:pPr>
              <w:widowControl/>
              <w:adjustRightInd w:val="0"/>
              <w:snapToGrid w:val="0"/>
              <w:spacing w:line="360" w:lineRule="auto"/>
              <w:jc w:val="center"/>
              <w:textAlignment w:val="center"/>
              <w:rPr>
                <w:rFonts w:hint="eastAsia" w:ascii="宋体" w:hAnsi="宋体" w:cs="宋体"/>
                <w:bCs/>
                <w:color w:val="auto"/>
                <w:kern w:val="0"/>
                <w:sz w:val="24"/>
                <w:szCs w:val="24"/>
                <w:lang w:bidi="ar"/>
              </w:rPr>
            </w:pPr>
          </w:p>
        </w:tc>
        <w:tc>
          <w:tcPr>
            <w:tcW w:w="1383" w:type="dxa"/>
            <w:tcBorders>
              <w:top w:val="single" w:color="000000" w:sz="4" w:space="0"/>
              <w:left w:val="single" w:color="000000" w:sz="4" w:space="0"/>
              <w:bottom w:val="single" w:color="000000" w:sz="4" w:space="0"/>
              <w:right w:val="single" w:color="000000" w:sz="4" w:space="0"/>
            </w:tcBorders>
            <w:noWrap w:val="0"/>
            <w:vAlign w:val="center"/>
          </w:tcPr>
          <w:p w14:paraId="216AE43F">
            <w:pPr>
              <w:widowControl/>
              <w:adjustRightInd w:val="0"/>
              <w:snapToGrid w:val="0"/>
              <w:spacing w:line="360" w:lineRule="auto"/>
              <w:jc w:val="center"/>
              <w:textAlignment w:val="center"/>
              <w:rPr>
                <w:rFonts w:hint="eastAsia" w:ascii="宋体" w:hAnsi="宋体" w:cs="宋体"/>
                <w:bCs/>
                <w:color w:val="auto"/>
                <w:kern w:val="0"/>
                <w:sz w:val="24"/>
                <w:szCs w:val="24"/>
                <w:lang w:bidi="ar"/>
              </w:rPr>
            </w:pP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6C88D394">
            <w:pPr>
              <w:widowControl/>
              <w:adjustRightInd w:val="0"/>
              <w:snapToGrid w:val="0"/>
              <w:spacing w:line="360" w:lineRule="auto"/>
              <w:jc w:val="center"/>
              <w:textAlignment w:val="center"/>
              <w:rPr>
                <w:rFonts w:hint="eastAsia" w:ascii="宋体" w:hAnsi="宋体" w:cs="宋体"/>
                <w:bCs/>
                <w:color w:val="auto"/>
                <w:kern w:val="0"/>
                <w:sz w:val="24"/>
                <w:szCs w:val="24"/>
                <w:lang w:bidi="ar"/>
              </w:rPr>
            </w:pP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7707FDFF">
            <w:pPr>
              <w:widowControl/>
              <w:adjustRightInd w:val="0"/>
              <w:snapToGrid w:val="0"/>
              <w:spacing w:line="360" w:lineRule="auto"/>
              <w:jc w:val="center"/>
              <w:textAlignment w:val="center"/>
              <w:rPr>
                <w:rFonts w:hint="eastAsia" w:ascii="宋体" w:hAnsi="宋体" w:cs="宋体"/>
                <w:bCs/>
                <w:color w:val="auto"/>
                <w:kern w:val="0"/>
                <w:sz w:val="24"/>
                <w:szCs w:val="24"/>
                <w:lang w:bidi="ar"/>
              </w:rPr>
            </w:pPr>
          </w:p>
        </w:tc>
        <w:tc>
          <w:tcPr>
            <w:tcW w:w="725" w:type="dxa"/>
            <w:tcBorders>
              <w:top w:val="single" w:color="000000" w:sz="4" w:space="0"/>
              <w:left w:val="single" w:color="000000" w:sz="4" w:space="0"/>
              <w:bottom w:val="single" w:color="000000" w:sz="4" w:space="0"/>
              <w:right w:val="single" w:color="000000" w:sz="4" w:space="0"/>
            </w:tcBorders>
            <w:noWrap w:val="0"/>
            <w:vAlign w:val="center"/>
          </w:tcPr>
          <w:p w14:paraId="68707A66">
            <w:pPr>
              <w:widowControl/>
              <w:adjustRightInd w:val="0"/>
              <w:snapToGrid w:val="0"/>
              <w:spacing w:line="360" w:lineRule="auto"/>
              <w:jc w:val="center"/>
              <w:textAlignment w:val="center"/>
              <w:rPr>
                <w:rFonts w:hint="eastAsia" w:ascii="宋体" w:hAnsi="宋体" w:cs="宋体"/>
                <w:bCs/>
                <w:color w:val="auto"/>
                <w:kern w:val="0"/>
                <w:sz w:val="24"/>
                <w:szCs w:val="24"/>
                <w:lang w:bidi="ar"/>
              </w:rPr>
            </w:pPr>
          </w:p>
        </w:tc>
        <w:tc>
          <w:tcPr>
            <w:tcW w:w="1406" w:type="dxa"/>
            <w:tcBorders>
              <w:top w:val="single" w:color="000000" w:sz="4" w:space="0"/>
              <w:left w:val="single" w:color="000000" w:sz="4" w:space="0"/>
              <w:bottom w:val="single" w:color="000000" w:sz="4" w:space="0"/>
              <w:right w:val="single" w:color="000000" w:sz="4" w:space="0"/>
            </w:tcBorders>
            <w:noWrap w:val="0"/>
            <w:vAlign w:val="center"/>
          </w:tcPr>
          <w:p w14:paraId="05069CA2">
            <w:pPr>
              <w:widowControl/>
              <w:adjustRightInd w:val="0"/>
              <w:snapToGrid w:val="0"/>
              <w:spacing w:line="360" w:lineRule="auto"/>
              <w:jc w:val="center"/>
              <w:textAlignment w:val="center"/>
              <w:rPr>
                <w:rFonts w:hint="eastAsia" w:ascii="宋体" w:hAnsi="宋体" w:cs="宋体"/>
                <w:bCs/>
                <w:color w:val="auto"/>
                <w:sz w:val="24"/>
                <w:szCs w:val="24"/>
              </w:rPr>
            </w:pPr>
          </w:p>
        </w:tc>
        <w:tc>
          <w:tcPr>
            <w:tcW w:w="1285" w:type="dxa"/>
            <w:tcBorders>
              <w:top w:val="single" w:color="000000" w:sz="4" w:space="0"/>
              <w:left w:val="single" w:color="000000" w:sz="4" w:space="0"/>
              <w:bottom w:val="single" w:color="000000" w:sz="4" w:space="0"/>
              <w:right w:val="single" w:color="000000" w:sz="4" w:space="0"/>
            </w:tcBorders>
            <w:noWrap w:val="0"/>
            <w:vAlign w:val="center"/>
          </w:tcPr>
          <w:p w14:paraId="758FD634">
            <w:pPr>
              <w:widowControl/>
              <w:adjustRightInd w:val="0"/>
              <w:snapToGrid w:val="0"/>
              <w:spacing w:line="360" w:lineRule="auto"/>
              <w:jc w:val="center"/>
              <w:textAlignment w:val="center"/>
              <w:rPr>
                <w:rFonts w:hint="eastAsia" w:ascii="宋体" w:hAnsi="宋体" w:cs="宋体"/>
                <w:bCs/>
                <w:color w:val="auto"/>
                <w:kern w:val="0"/>
                <w:sz w:val="24"/>
                <w:szCs w:val="24"/>
                <w:lang w:bidi="ar"/>
              </w:rPr>
            </w:pPr>
          </w:p>
        </w:tc>
      </w:tr>
      <w:tr w14:paraId="0F02C79E">
        <w:tblPrEx>
          <w:tblCellMar>
            <w:top w:w="15" w:type="dxa"/>
            <w:left w:w="15" w:type="dxa"/>
            <w:bottom w:w="15" w:type="dxa"/>
            <w:right w:w="15" w:type="dxa"/>
          </w:tblCellMar>
        </w:tblPrEx>
        <w:trPr>
          <w:trHeight w:val="578"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69AD7AC3">
            <w:pPr>
              <w:widowControl/>
              <w:adjustRightInd w:val="0"/>
              <w:snapToGrid w:val="0"/>
              <w:spacing w:line="360" w:lineRule="auto"/>
              <w:jc w:val="center"/>
              <w:textAlignment w:val="center"/>
              <w:rPr>
                <w:rFonts w:hint="eastAsia" w:ascii="宋体" w:hAnsi="宋体" w:cs="宋体"/>
                <w:bCs/>
                <w:color w:val="auto"/>
                <w:kern w:val="0"/>
                <w:sz w:val="24"/>
                <w:szCs w:val="24"/>
                <w:lang w:bidi="ar"/>
              </w:rPr>
            </w:pPr>
            <w:r>
              <w:rPr>
                <w:rFonts w:hint="eastAsia" w:ascii="宋体" w:hAnsi="宋体" w:cs="宋体"/>
                <w:bCs/>
                <w:color w:val="auto"/>
                <w:kern w:val="0"/>
                <w:sz w:val="24"/>
                <w:szCs w:val="24"/>
                <w:lang w:bidi="ar"/>
              </w:rPr>
              <w:t>3</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3ECC4CF4">
            <w:pPr>
              <w:widowControl/>
              <w:adjustRightInd w:val="0"/>
              <w:snapToGrid w:val="0"/>
              <w:spacing w:line="360" w:lineRule="auto"/>
              <w:rPr>
                <w:rFonts w:hint="eastAsia" w:ascii="宋体" w:hAnsi="宋体" w:cs="宋体"/>
                <w:bCs/>
                <w:color w:val="auto"/>
                <w:kern w:val="0"/>
                <w:sz w:val="24"/>
                <w:szCs w:val="24"/>
                <w:lang w:bidi="ar"/>
              </w:rPr>
            </w:pPr>
          </w:p>
        </w:tc>
        <w:tc>
          <w:tcPr>
            <w:tcW w:w="1383" w:type="dxa"/>
            <w:tcBorders>
              <w:top w:val="single" w:color="000000" w:sz="4" w:space="0"/>
              <w:left w:val="single" w:color="000000" w:sz="4" w:space="0"/>
              <w:bottom w:val="single" w:color="000000" w:sz="4" w:space="0"/>
              <w:right w:val="single" w:color="000000" w:sz="4" w:space="0"/>
            </w:tcBorders>
            <w:noWrap w:val="0"/>
            <w:vAlign w:val="center"/>
          </w:tcPr>
          <w:p w14:paraId="032B8229">
            <w:pPr>
              <w:widowControl/>
              <w:adjustRightInd w:val="0"/>
              <w:snapToGrid w:val="0"/>
              <w:spacing w:line="360" w:lineRule="auto"/>
              <w:jc w:val="center"/>
              <w:rPr>
                <w:rFonts w:hint="eastAsia" w:ascii="宋体" w:hAnsi="宋体" w:cs="宋体"/>
                <w:bCs/>
                <w:color w:val="auto"/>
                <w:kern w:val="0"/>
                <w:sz w:val="24"/>
                <w:szCs w:val="24"/>
                <w:lang w:bidi="ar"/>
              </w:rPr>
            </w:pP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15C4E2CA">
            <w:pPr>
              <w:widowControl/>
              <w:adjustRightInd w:val="0"/>
              <w:snapToGrid w:val="0"/>
              <w:spacing w:line="360" w:lineRule="auto"/>
              <w:jc w:val="center"/>
              <w:rPr>
                <w:rFonts w:hint="eastAsia" w:ascii="宋体" w:hAnsi="宋体" w:cs="宋体"/>
                <w:bCs/>
                <w:color w:val="auto"/>
                <w:kern w:val="0"/>
                <w:sz w:val="24"/>
                <w:szCs w:val="24"/>
                <w:lang w:bidi="ar"/>
              </w:rPr>
            </w:pP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51EC6CB4">
            <w:pPr>
              <w:widowControl/>
              <w:adjustRightInd w:val="0"/>
              <w:snapToGrid w:val="0"/>
              <w:spacing w:line="360" w:lineRule="auto"/>
              <w:jc w:val="center"/>
              <w:textAlignment w:val="center"/>
              <w:rPr>
                <w:rFonts w:hint="eastAsia" w:ascii="宋体" w:hAnsi="宋体" w:cs="宋体"/>
                <w:bCs/>
                <w:color w:val="auto"/>
                <w:kern w:val="0"/>
                <w:sz w:val="24"/>
                <w:szCs w:val="24"/>
                <w:lang w:bidi="ar"/>
              </w:rPr>
            </w:pPr>
          </w:p>
        </w:tc>
        <w:tc>
          <w:tcPr>
            <w:tcW w:w="725" w:type="dxa"/>
            <w:tcBorders>
              <w:top w:val="single" w:color="000000" w:sz="4" w:space="0"/>
              <w:left w:val="single" w:color="000000" w:sz="4" w:space="0"/>
              <w:bottom w:val="single" w:color="000000" w:sz="4" w:space="0"/>
              <w:right w:val="single" w:color="000000" w:sz="4" w:space="0"/>
            </w:tcBorders>
            <w:noWrap w:val="0"/>
            <w:vAlign w:val="center"/>
          </w:tcPr>
          <w:p w14:paraId="2251300A">
            <w:pPr>
              <w:widowControl/>
              <w:adjustRightInd w:val="0"/>
              <w:snapToGrid w:val="0"/>
              <w:spacing w:line="360" w:lineRule="auto"/>
              <w:jc w:val="center"/>
              <w:textAlignment w:val="center"/>
              <w:rPr>
                <w:rFonts w:hint="eastAsia" w:ascii="宋体" w:hAnsi="宋体" w:cs="宋体"/>
                <w:bCs/>
                <w:color w:val="auto"/>
                <w:kern w:val="0"/>
                <w:sz w:val="24"/>
                <w:szCs w:val="24"/>
                <w:lang w:bidi="ar"/>
              </w:rPr>
            </w:pPr>
          </w:p>
        </w:tc>
        <w:tc>
          <w:tcPr>
            <w:tcW w:w="1406" w:type="dxa"/>
            <w:tcBorders>
              <w:top w:val="single" w:color="000000" w:sz="4" w:space="0"/>
              <w:left w:val="single" w:color="000000" w:sz="4" w:space="0"/>
              <w:bottom w:val="single" w:color="000000" w:sz="4" w:space="0"/>
              <w:right w:val="single" w:color="000000" w:sz="4" w:space="0"/>
            </w:tcBorders>
            <w:noWrap w:val="0"/>
            <w:vAlign w:val="center"/>
          </w:tcPr>
          <w:p w14:paraId="70E255B3">
            <w:pPr>
              <w:widowControl/>
              <w:adjustRightInd w:val="0"/>
              <w:snapToGrid w:val="0"/>
              <w:spacing w:line="360" w:lineRule="auto"/>
              <w:jc w:val="center"/>
              <w:textAlignment w:val="center"/>
              <w:rPr>
                <w:rFonts w:hint="eastAsia" w:ascii="宋体" w:hAnsi="宋体" w:cs="宋体"/>
                <w:bCs/>
                <w:color w:val="auto"/>
                <w:sz w:val="24"/>
                <w:szCs w:val="24"/>
              </w:rPr>
            </w:pPr>
          </w:p>
        </w:tc>
        <w:tc>
          <w:tcPr>
            <w:tcW w:w="1285" w:type="dxa"/>
            <w:tcBorders>
              <w:top w:val="single" w:color="000000" w:sz="4" w:space="0"/>
              <w:left w:val="single" w:color="000000" w:sz="4" w:space="0"/>
              <w:bottom w:val="single" w:color="000000" w:sz="4" w:space="0"/>
              <w:right w:val="single" w:color="000000" w:sz="4" w:space="0"/>
            </w:tcBorders>
            <w:noWrap w:val="0"/>
            <w:vAlign w:val="center"/>
          </w:tcPr>
          <w:p w14:paraId="617715F1">
            <w:pPr>
              <w:widowControl/>
              <w:adjustRightInd w:val="0"/>
              <w:snapToGrid w:val="0"/>
              <w:spacing w:line="360" w:lineRule="auto"/>
              <w:jc w:val="center"/>
              <w:textAlignment w:val="center"/>
              <w:rPr>
                <w:rFonts w:hint="eastAsia" w:ascii="宋体" w:hAnsi="宋体" w:cs="宋体"/>
                <w:bCs/>
                <w:color w:val="auto"/>
                <w:kern w:val="0"/>
                <w:sz w:val="24"/>
                <w:szCs w:val="24"/>
                <w:lang w:bidi="ar"/>
              </w:rPr>
            </w:pPr>
          </w:p>
        </w:tc>
      </w:tr>
      <w:tr w14:paraId="240DFC64">
        <w:tblPrEx>
          <w:tblCellMar>
            <w:top w:w="15" w:type="dxa"/>
            <w:left w:w="15" w:type="dxa"/>
            <w:bottom w:w="15" w:type="dxa"/>
            <w:right w:w="15" w:type="dxa"/>
          </w:tblCellMar>
        </w:tblPrEx>
        <w:trPr>
          <w:trHeight w:val="578"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3D429715">
            <w:pPr>
              <w:widowControl/>
              <w:adjustRightInd w:val="0"/>
              <w:snapToGrid w:val="0"/>
              <w:spacing w:line="360" w:lineRule="auto"/>
              <w:jc w:val="center"/>
              <w:textAlignment w:val="center"/>
              <w:rPr>
                <w:rFonts w:hint="eastAsia" w:ascii="宋体" w:hAnsi="宋体" w:cs="宋体"/>
                <w:bCs/>
                <w:color w:val="auto"/>
                <w:kern w:val="0"/>
                <w:sz w:val="24"/>
                <w:szCs w:val="24"/>
                <w:lang w:bidi="ar"/>
              </w:rPr>
            </w:pPr>
            <w:r>
              <w:rPr>
                <w:rFonts w:hint="eastAsia" w:ascii="宋体" w:hAnsi="宋体" w:cs="宋体"/>
                <w:bCs/>
                <w:color w:val="auto"/>
                <w:kern w:val="0"/>
                <w:sz w:val="24"/>
                <w:szCs w:val="24"/>
                <w:lang w:bidi="ar"/>
              </w:rPr>
              <w:t>……</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66F103B9">
            <w:pPr>
              <w:widowControl/>
              <w:adjustRightInd w:val="0"/>
              <w:snapToGrid w:val="0"/>
              <w:spacing w:line="360" w:lineRule="auto"/>
              <w:rPr>
                <w:rFonts w:hint="eastAsia" w:ascii="宋体" w:hAnsi="宋体" w:cs="宋体"/>
                <w:bCs/>
                <w:color w:val="auto"/>
                <w:kern w:val="0"/>
                <w:sz w:val="24"/>
                <w:szCs w:val="24"/>
                <w:lang w:bidi="ar"/>
              </w:rPr>
            </w:pPr>
          </w:p>
        </w:tc>
        <w:tc>
          <w:tcPr>
            <w:tcW w:w="1383" w:type="dxa"/>
            <w:tcBorders>
              <w:top w:val="single" w:color="000000" w:sz="4" w:space="0"/>
              <w:left w:val="single" w:color="000000" w:sz="4" w:space="0"/>
              <w:bottom w:val="single" w:color="000000" w:sz="4" w:space="0"/>
              <w:right w:val="single" w:color="000000" w:sz="4" w:space="0"/>
            </w:tcBorders>
            <w:noWrap w:val="0"/>
            <w:vAlign w:val="center"/>
          </w:tcPr>
          <w:p w14:paraId="012288E8">
            <w:pPr>
              <w:widowControl/>
              <w:adjustRightInd w:val="0"/>
              <w:snapToGrid w:val="0"/>
              <w:spacing w:line="360" w:lineRule="auto"/>
              <w:jc w:val="center"/>
              <w:rPr>
                <w:rFonts w:hint="eastAsia" w:ascii="宋体" w:hAnsi="宋体" w:cs="宋体"/>
                <w:bCs/>
                <w:color w:val="auto"/>
                <w:kern w:val="0"/>
                <w:sz w:val="24"/>
                <w:szCs w:val="24"/>
                <w:lang w:bidi="ar"/>
              </w:rPr>
            </w:pP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1DF08402">
            <w:pPr>
              <w:widowControl/>
              <w:adjustRightInd w:val="0"/>
              <w:snapToGrid w:val="0"/>
              <w:spacing w:line="360" w:lineRule="auto"/>
              <w:jc w:val="center"/>
              <w:rPr>
                <w:rFonts w:hint="eastAsia" w:ascii="宋体" w:hAnsi="宋体" w:cs="宋体"/>
                <w:bCs/>
                <w:color w:val="auto"/>
                <w:kern w:val="0"/>
                <w:sz w:val="24"/>
                <w:szCs w:val="24"/>
                <w:lang w:bidi="ar"/>
              </w:rPr>
            </w:pP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075A8129">
            <w:pPr>
              <w:widowControl/>
              <w:adjustRightInd w:val="0"/>
              <w:snapToGrid w:val="0"/>
              <w:spacing w:line="360" w:lineRule="auto"/>
              <w:jc w:val="center"/>
              <w:textAlignment w:val="center"/>
              <w:rPr>
                <w:rFonts w:hint="eastAsia" w:ascii="宋体" w:hAnsi="宋体" w:cs="宋体"/>
                <w:bCs/>
                <w:color w:val="auto"/>
                <w:kern w:val="0"/>
                <w:sz w:val="24"/>
                <w:szCs w:val="24"/>
                <w:lang w:bidi="ar"/>
              </w:rPr>
            </w:pPr>
          </w:p>
        </w:tc>
        <w:tc>
          <w:tcPr>
            <w:tcW w:w="725" w:type="dxa"/>
            <w:tcBorders>
              <w:top w:val="single" w:color="000000" w:sz="4" w:space="0"/>
              <w:left w:val="single" w:color="000000" w:sz="4" w:space="0"/>
              <w:bottom w:val="single" w:color="000000" w:sz="4" w:space="0"/>
              <w:right w:val="single" w:color="000000" w:sz="4" w:space="0"/>
            </w:tcBorders>
            <w:noWrap w:val="0"/>
            <w:vAlign w:val="center"/>
          </w:tcPr>
          <w:p w14:paraId="2E904D3A">
            <w:pPr>
              <w:widowControl/>
              <w:adjustRightInd w:val="0"/>
              <w:snapToGrid w:val="0"/>
              <w:spacing w:line="360" w:lineRule="auto"/>
              <w:jc w:val="center"/>
              <w:textAlignment w:val="center"/>
              <w:rPr>
                <w:rFonts w:hint="eastAsia" w:ascii="宋体" w:hAnsi="宋体" w:cs="宋体"/>
                <w:bCs/>
                <w:color w:val="auto"/>
                <w:kern w:val="0"/>
                <w:sz w:val="24"/>
                <w:szCs w:val="24"/>
                <w:lang w:bidi="ar"/>
              </w:rPr>
            </w:pPr>
          </w:p>
        </w:tc>
        <w:tc>
          <w:tcPr>
            <w:tcW w:w="1406" w:type="dxa"/>
            <w:tcBorders>
              <w:top w:val="single" w:color="000000" w:sz="4" w:space="0"/>
              <w:left w:val="single" w:color="000000" w:sz="4" w:space="0"/>
              <w:bottom w:val="single" w:color="000000" w:sz="4" w:space="0"/>
              <w:right w:val="single" w:color="000000" w:sz="4" w:space="0"/>
            </w:tcBorders>
            <w:noWrap w:val="0"/>
            <w:vAlign w:val="center"/>
          </w:tcPr>
          <w:p w14:paraId="761A6625">
            <w:pPr>
              <w:widowControl/>
              <w:adjustRightInd w:val="0"/>
              <w:snapToGrid w:val="0"/>
              <w:spacing w:line="360" w:lineRule="auto"/>
              <w:jc w:val="center"/>
              <w:textAlignment w:val="center"/>
              <w:rPr>
                <w:rFonts w:hint="eastAsia" w:ascii="宋体" w:hAnsi="宋体" w:cs="宋体"/>
                <w:bCs/>
                <w:color w:val="auto"/>
                <w:sz w:val="24"/>
                <w:szCs w:val="24"/>
              </w:rPr>
            </w:pPr>
          </w:p>
        </w:tc>
        <w:tc>
          <w:tcPr>
            <w:tcW w:w="1285" w:type="dxa"/>
            <w:tcBorders>
              <w:top w:val="single" w:color="000000" w:sz="4" w:space="0"/>
              <w:left w:val="single" w:color="000000" w:sz="4" w:space="0"/>
              <w:bottom w:val="single" w:color="000000" w:sz="4" w:space="0"/>
              <w:right w:val="single" w:color="000000" w:sz="4" w:space="0"/>
            </w:tcBorders>
            <w:noWrap w:val="0"/>
            <w:vAlign w:val="center"/>
          </w:tcPr>
          <w:p w14:paraId="503DC860">
            <w:pPr>
              <w:widowControl/>
              <w:adjustRightInd w:val="0"/>
              <w:snapToGrid w:val="0"/>
              <w:spacing w:line="360" w:lineRule="auto"/>
              <w:jc w:val="center"/>
              <w:textAlignment w:val="center"/>
              <w:rPr>
                <w:rFonts w:hint="eastAsia" w:ascii="宋体" w:hAnsi="宋体" w:cs="宋体"/>
                <w:bCs/>
                <w:color w:val="auto"/>
                <w:kern w:val="0"/>
                <w:sz w:val="24"/>
                <w:szCs w:val="24"/>
                <w:lang w:bidi="ar"/>
              </w:rPr>
            </w:pPr>
          </w:p>
        </w:tc>
      </w:tr>
      <w:tr w14:paraId="561259B7">
        <w:tblPrEx>
          <w:tblCellMar>
            <w:top w:w="15" w:type="dxa"/>
            <w:left w:w="15" w:type="dxa"/>
            <w:bottom w:w="15" w:type="dxa"/>
            <w:right w:w="15" w:type="dxa"/>
          </w:tblCellMar>
        </w:tblPrEx>
        <w:trPr>
          <w:trHeight w:val="1026" w:hRule="atLeast"/>
        </w:trPr>
        <w:tc>
          <w:tcPr>
            <w:tcW w:w="617" w:type="dxa"/>
            <w:tcBorders>
              <w:top w:val="single" w:color="000000" w:sz="4" w:space="0"/>
              <w:left w:val="single" w:color="000000" w:sz="4" w:space="0"/>
              <w:bottom w:val="single" w:color="auto" w:sz="4" w:space="0"/>
              <w:right w:val="single" w:color="000000" w:sz="4" w:space="0"/>
            </w:tcBorders>
            <w:noWrap w:val="0"/>
            <w:vAlign w:val="center"/>
          </w:tcPr>
          <w:p w14:paraId="2CDF8F98">
            <w:pPr>
              <w:widowControl/>
              <w:adjustRightInd w:val="0"/>
              <w:snapToGrid w:val="0"/>
              <w:spacing w:line="360" w:lineRule="auto"/>
              <w:jc w:val="center"/>
              <w:textAlignment w:val="center"/>
              <w:rPr>
                <w:rFonts w:hint="eastAsia" w:ascii="宋体" w:hAnsi="宋体" w:cs="宋体"/>
                <w:bCs/>
                <w:color w:val="auto"/>
                <w:kern w:val="0"/>
                <w:sz w:val="24"/>
                <w:szCs w:val="24"/>
                <w:lang w:bidi="ar"/>
              </w:rPr>
            </w:pPr>
            <w:r>
              <w:rPr>
                <w:rFonts w:hint="eastAsia" w:ascii="宋体" w:hAnsi="宋体" w:cs="宋体"/>
                <w:bCs/>
                <w:color w:val="auto"/>
                <w:kern w:val="0"/>
                <w:sz w:val="24"/>
                <w:szCs w:val="24"/>
                <w:lang w:bidi="ar"/>
              </w:rPr>
              <w:t>合计</w:t>
            </w:r>
          </w:p>
        </w:tc>
        <w:tc>
          <w:tcPr>
            <w:tcW w:w="8489" w:type="dxa"/>
            <w:gridSpan w:val="7"/>
            <w:tcBorders>
              <w:top w:val="single" w:color="000000" w:sz="4" w:space="0"/>
              <w:left w:val="single" w:color="000000" w:sz="4" w:space="0"/>
              <w:bottom w:val="single" w:color="auto" w:sz="4" w:space="0"/>
              <w:right w:val="single" w:color="000000" w:sz="4" w:space="0"/>
            </w:tcBorders>
            <w:noWrap w:val="0"/>
            <w:vAlign w:val="center"/>
          </w:tcPr>
          <w:p w14:paraId="204B911F">
            <w:pPr>
              <w:widowControl/>
              <w:adjustRightInd w:val="0"/>
              <w:snapToGrid w:val="0"/>
              <w:spacing w:line="360" w:lineRule="auto"/>
              <w:textAlignment w:val="center"/>
              <w:rPr>
                <w:rFonts w:hint="eastAsia" w:ascii="宋体" w:hAnsi="宋体" w:cs="宋体"/>
                <w:bCs/>
                <w:color w:val="auto"/>
                <w:sz w:val="24"/>
                <w:szCs w:val="24"/>
              </w:rPr>
            </w:pPr>
            <w:r>
              <w:rPr>
                <w:rFonts w:hint="eastAsia" w:ascii="宋体" w:hAnsi="宋体" w:cs="宋体"/>
                <w:bCs/>
                <w:color w:val="auto"/>
                <w:sz w:val="24"/>
                <w:szCs w:val="24"/>
              </w:rPr>
              <w:t>大写：</w:t>
            </w:r>
          </w:p>
          <w:p w14:paraId="150451FE">
            <w:pPr>
              <w:pStyle w:val="9"/>
              <w:adjustRightInd w:val="0"/>
              <w:spacing w:line="360" w:lineRule="auto"/>
              <w:rPr>
                <w:rFonts w:hint="eastAsia" w:ascii="宋体" w:hAnsi="宋体" w:cs="宋体"/>
                <w:bCs/>
                <w:color w:val="auto"/>
                <w:kern w:val="0"/>
                <w:sz w:val="24"/>
                <w:szCs w:val="24"/>
                <w:lang w:bidi="ar"/>
              </w:rPr>
            </w:pPr>
            <w:r>
              <w:rPr>
                <w:rFonts w:hint="eastAsia" w:ascii="宋体" w:hAnsi="宋体" w:cs="宋体"/>
                <w:bCs/>
                <w:color w:val="auto"/>
                <w:kern w:val="0"/>
                <w:sz w:val="24"/>
                <w:szCs w:val="24"/>
                <w:lang w:bidi="ar"/>
              </w:rPr>
              <w:t xml:space="preserve">小写：   </w:t>
            </w:r>
            <w:r>
              <w:rPr>
                <w:rFonts w:hint="eastAsia" w:ascii="宋体" w:hAnsi="宋体" w:cs="宋体"/>
                <w:bCs/>
                <w:color w:val="auto"/>
                <w:kern w:val="0"/>
                <w:sz w:val="24"/>
                <w:szCs w:val="24"/>
                <w:lang w:eastAsia="zh-CN" w:bidi="ar"/>
              </w:rPr>
              <w:t>（元）</w:t>
            </w:r>
            <w:r>
              <w:rPr>
                <w:rFonts w:hint="eastAsia" w:ascii="宋体" w:hAnsi="宋体" w:cs="宋体"/>
                <w:bCs/>
                <w:color w:val="auto"/>
                <w:kern w:val="0"/>
                <w:sz w:val="24"/>
                <w:szCs w:val="24"/>
                <w:lang w:bidi="ar"/>
              </w:rPr>
              <w:t xml:space="preserve">       </w:t>
            </w:r>
          </w:p>
        </w:tc>
      </w:tr>
    </w:tbl>
    <w:p w14:paraId="176662E6">
      <w:pPr>
        <w:pStyle w:val="6"/>
        <w:rPr>
          <w:rFonts w:hint="eastAsia" w:ascii="宋体" w:hAnsi="宋体" w:eastAsia="宋体" w:cs="宋体"/>
          <w:b/>
          <w:bCs/>
          <w:color w:val="auto"/>
          <w:sz w:val="32"/>
          <w:szCs w:val="32"/>
          <w:lang w:val="zh-CN"/>
        </w:rPr>
      </w:pPr>
    </w:p>
    <w:p w14:paraId="48C6395E">
      <w:pPr>
        <w:pStyle w:val="6"/>
        <w:rPr>
          <w:rFonts w:hint="eastAsia" w:ascii="宋体" w:hAnsi="宋体" w:eastAsia="宋体" w:cs="宋体"/>
          <w:b/>
          <w:bCs/>
          <w:color w:val="auto"/>
          <w:sz w:val="32"/>
          <w:szCs w:val="32"/>
          <w:lang w:val="zh-CN"/>
        </w:rPr>
      </w:pPr>
    </w:p>
    <w:p w14:paraId="663D6E6B">
      <w:pPr>
        <w:pStyle w:val="6"/>
        <w:rPr>
          <w:rFonts w:hint="eastAsia" w:ascii="宋体" w:hAnsi="宋体" w:eastAsia="宋体" w:cs="宋体"/>
          <w:b/>
          <w:bCs/>
          <w:color w:val="auto"/>
          <w:sz w:val="32"/>
          <w:szCs w:val="32"/>
          <w:lang w:val="zh-CN"/>
        </w:rPr>
      </w:pPr>
      <w:r>
        <w:rPr>
          <w:rFonts w:hint="eastAsia" w:ascii="宋体" w:hAnsi="宋体" w:eastAsia="宋体" w:cs="宋体"/>
          <w:color w:val="auto"/>
          <w:sz w:val="24"/>
          <w:szCs w:val="24"/>
        </w:rPr>
        <w:t>供应商：（盖章）                      供应商全权代表：（</w:t>
      </w:r>
      <w:r>
        <w:rPr>
          <w:rFonts w:hint="eastAsia" w:ascii="宋体" w:hAnsi="宋体" w:eastAsia="宋体" w:cs="宋体"/>
          <w:color w:val="auto"/>
          <w:sz w:val="24"/>
          <w:szCs w:val="24"/>
          <w:lang w:eastAsia="zh-CN"/>
        </w:rPr>
        <w:t>签字或盖章</w:t>
      </w:r>
      <w:r>
        <w:rPr>
          <w:rFonts w:hint="eastAsia" w:ascii="宋体" w:hAnsi="宋体" w:eastAsia="宋体" w:cs="宋体"/>
          <w:color w:val="auto"/>
          <w:sz w:val="24"/>
          <w:szCs w:val="24"/>
        </w:rPr>
        <w:t>）</w:t>
      </w:r>
    </w:p>
    <w:p w14:paraId="3B4BC72E">
      <w:pPr>
        <w:pStyle w:val="6"/>
        <w:rPr>
          <w:rFonts w:hint="eastAsia" w:ascii="宋体" w:hAnsi="宋体" w:eastAsia="宋体" w:cs="宋体"/>
          <w:b/>
          <w:bCs/>
          <w:color w:val="auto"/>
          <w:sz w:val="32"/>
          <w:szCs w:val="32"/>
          <w:lang w:val="zh-CN"/>
        </w:rPr>
      </w:pPr>
    </w:p>
    <w:p w14:paraId="3EF073A8">
      <w:pPr>
        <w:pStyle w:val="6"/>
        <w:rPr>
          <w:rFonts w:hint="eastAsia" w:ascii="宋体" w:hAnsi="宋体" w:eastAsia="宋体" w:cs="宋体"/>
          <w:b/>
          <w:bCs/>
          <w:color w:val="auto"/>
          <w:sz w:val="32"/>
          <w:szCs w:val="32"/>
          <w:lang w:val="zh-CN"/>
        </w:rPr>
      </w:pPr>
    </w:p>
    <w:p w14:paraId="295214DC">
      <w:pPr>
        <w:pStyle w:val="6"/>
        <w:rPr>
          <w:rFonts w:hint="eastAsia" w:ascii="宋体" w:hAnsi="宋体" w:eastAsia="宋体" w:cs="宋体"/>
          <w:b/>
          <w:bCs/>
          <w:color w:val="auto"/>
          <w:sz w:val="32"/>
          <w:szCs w:val="32"/>
          <w:lang w:val="zh-CN"/>
        </w:rPr>
      </w:pPr>
    </w:p>
    <w:p w14:paraId="67EB6AB6">
      <w:pPr>
        <w:pStyle w:val="6"/>
        <w:rPr>
          <w:rFonts w:hint="eastAsia" w:ascii="宋体" w:hAnsi="宋体" w:eastAsia="宋体" w:cs="宋体"/>
          <w:b/>
          <w:bCs/>
          <w:color w:val="auto"/>
          <w:sz w:val="32"/>
          <w:szCs w:val="32"/>
          <w:lang w:val="zh-CN"/>
        </w:rPr>
      </w:pPr>
    </w:p>
    <w:p w14:paraId="3171B6B1">
      <w:pPr>
        <w:pStyle w:val="6"/>
        <w:rPr>
          <w:rFonts w:hint="eastAsia" w:ascii="宋体" w:hAnsi="宋体" w:eastAsia="宋体" w:cs="宋体"/>
          <w:b/>
          <w:bCs/>
          <w:color w:val="auto"/>
          <w:sz w:val="32"/>
          <w:szCs w:val="32"/>
          <w:lang w:val="zh-CN"/>
        </w:rPr>
      </w:pPr>
    </w:p>
    <w:p w14:paraId="0BF45B4F">
      <w:pPr>
        <w:pStyle w:val="6"/>
        <w:rPr>
          <w:rFonts w:hint="eastAsia" w:ascii="宋体" w:hAnsi="宋体" w:eastAsia="宋体" w:cs="宋体"/>
          <w:b/>
          <w:bCs/>
          <w:color w:val="auto"/>
          <w:sz w:val="32"/>
          <w:szCs w:val="32"/>
          <w:lang w:val="zh-CN"/>
        </w:rPr>
      </w:pPr>
    </w:p>
    <w:p w14:paraId="586C8F81">
      <w:pPr>
        <w:pStyle w:val="6"/>
        <w:rPr>
          <w:rFonts w:hint="eastAsia" w:ascii="宋体" w:hAnsi="宋体" w:eastAsia="宋体" w:cs="宋体"/>
          <w:b/>
          <w:bCs/>
          <w:color w:val="auto"/>
          <w:sz w:val="32"/>
          <w:szCs w:val="32"/>
          <w:lang w:val="zh-CN"/>
        </w:rPr>
      </w:pPr>
    </w:p>
    <w:p w14:paraId="502924B3">
      <w:pPr>
        <w:pStyle w:val="6"/>
        <w:rPr>
          <w:rFonts w:hint="eastAsia" w:ascii="宋体" w:hAnsi="宋体" w:eastAsia="宋体" w:cs="宋体"/>
          <w:b/>
          <w:bCs/>
          <w:color w:val="auto"/>
          <w:sz w:val="32"/>
          <w:szCs w:val="32"/>
          <w:lang w:val="zh-CN"/>
        </w:rPr>
      </w:pPr>
    </w:p>
    <w:p w14:paraId="089F3204">
      <w:pPr>
        <w:pStyle w:val="6"/>
        <w:rPr>
          <w:rFonts w:hint="eastAsia" w:ascii="宋体" w:hAnsi="宋体" w:eastAsia="宋体" w:cs="宋体"/>
          <w:b/>
          <w:bCs/>
          <w:color w:val="auto"/>
          <w:sz w:val="32"/>
          <w:szCs w:val="32"/>
          <w:lang w:val="zh-CN"/>
        </w:rPr>
      </w:pPr>
    </w:p>
    <w:p w14:paraId="0C587477">
      <w:pPr>
        <w:pStyle w:val="6"/>
        <w:rPr>
          <w:rFonts w:hint="eastAsia" w:ascii="宋体" w:hAnsi="宋体" w:eastAsia="宋体" w:cs="宋体"/>
          <w:b/>
          <w:bCs/>
          <w:color w:val="auto"/>
          <w:sz w:val="32"/>
          <w:szCs w:val="32"/>
          <w:lang w:val="zh-CN"/>
        </w:rPr>
      </w:pPr>
    </w:p>
    <w:p w14:paraId="1CD22427">
      <w:pPr>
        <w:pStyle w:val="6"/>
        <w:rPr>
          <w:rFonts w:hint="eastAsia" w:ascii="宋体" w:hAnsi="宋体" w:eastAsia="宋体" w:cs="宋体"/>
          <w:b/>
          <w:bCs/>
          <w:color w:val="auto"/>
          <w:sz w:val="32"/>
          <w:szCs w:val="32"/>
          <w:lang w:val="zh-CN"/>
        </w:rPr>
      </w:pPr>
    </w:p>
    <w:p w14:paraId="3922B174">
      <w:pPr>
        <w:pStyle w:val="6"/>
        <w:rPr>
          <w:rFonts w:hint="eastAsia" w:ascii="宋体" w:hAnsi="宋体" w:eastAsia="宋体" w:cs="宋体"/>
          <w:b/>
          <w:bCs/>
          <w:color w:val="auto"/>
          <w:sz w:val="32"/>
          <w:szCs w:val="32"/>
          <w:lang w:val="zh-CN"/>
        </w:rPr>
      </w:pPr>
    </w:p>
    <w:p w14:paraId="705DFD41">
      <w:pPr>
        <w:pStyle w:val="6"/>
        <w:rPr>
          <w:rFonts w:hint="eastAsia" w:ascii="宋体" w:hAnsi="宋体" w:eastAsia="宋体" w:cs="宋体"/>
          <w:b/>
          <w:bCs/>
          <w:color w:val="auto"/>
          <w:sz w:val="32"/>
          <w:szCs w:val="32"/>
          <w:lang w:val="zh-CN"/>
        </w:rPr>
      </w:pPr>
    </w:p>
    <w:p w14:paraId="6E25D417">
      <w:pPr>
        <w:pStyle w:val="16"/>
        <w:rPr>
          <w:rFonts w:hint="eastAsia" w:ascii="宋体" w:hAnsi="宋体" w:eastAsia="宋体" w:cs="宋体"/>
          <w:b/>
          <w:bCs/>
          <w:color w:val="auto"/>
          <w:sz w:val="32"/>
          <w:szCs w:val="32"/>
          <w:lang w:val="zh-CN"/>
        </w:rPr>
      </w:pPr>
    </w:p>
    <w:p w14:paraId="3C014CB9">
      <w:pPr>
        <w:pStyle w:val="16"/>
        <w:rPr>
          <w:rFonts w:hint="eastAsia" w:ascii="宋体" w:hAnsi="宋体" w:eastAsia="宋体" w:cs="宋体"/>
          <w:b/>
          <w:bCs/>
          <w:color w:val="auto"/>
          <w:sz w:val="32"/>
          <w:szCs w:val="32"/>
          <w:lang w:val="zh-CN"/>
        </w:rPr>
      </w:pPr>
    </w:p>
    <w:p w14:paraId="2799B24F">
      <w:pPr>
        <w:pStyle w:val="16"/>
        <w:rPr>
          <w:rFonts w:hint="eastAsia" w:ascii="宋体" w:hAnsi="宋体" w:eastAsia="宋体" w:cs="宋体"/>
          <w:b/>
          <w:bCs/>
          <w:color w:val="auto"/>
          <w:sz w:val="32"/>
          <w:szCs w:val="32"/>
          <w:lang w:val="zh-CN"/>
        </w:rPr>
      </w:pPr>
    </w:p>
    <w:p w14:paraId="1E4C87DC">
      <w:pPr>
        <w:pStyle w:val="16"/>
        <w:rPr>
          <w:rFonts w:hint="eastAsia" w:ascii="宋体" w:hAnsi="宋体" w:eastAsia="宋体" w:cs="宋体"/>
          <w:b/>
          <w:bCs/>
          <w:color w:val="auto"/>
          <w:sz w:val="32"/>
          <w:szCs w:val="32"/>
          <w:lang w:val="zh-CN"/>
        </w:rPr>
      </w:pPr>
    </w:p>
    <w:p w14:paraId="767A0CF1">
      <w:pPr>
        <w:pStyle w:val="16"/>
        <w:rPr>
          <w:rFonts w:hint="eastAsia" w:ascii="宋体" w:hAnsi="宋体" w:eastAsia="宋体" w:cs="宋体"/>
          <w:b/>
          <w:bCs/>
          <w:color w:val="auto"/>
          <w:sz w:val="32"/>
          <w:szCs w:val="32"/>
          <w:lang w:val="zh-CN"/>
        </w:rPr>
      </w:pPr>
    </w:p>
    <w:p w14:paraId="17562123">
      <w:pPr>
        <w:pStyle w:val="16"/>
        <w:rPr>
          <w:rFonts w:hint="eastAsia" w:ascii="宋体" w:hAnsi="宋体" w:eastAsia="宋体" w:cs="宋体"/>
          <w:b/>
          <w:bCs/>
          <w:color w:val="auto"/>
          <w:sz w:val="32"/>
          <w:szCs w:val="32"/>
          <w:lang w:val="zh-CN"/>
        </w:rPr>
      </w:pPr>
    </w:p>
    <w:p w14:paraId="49F4E247">
      <w:pPr>
        <w:autoSpaceDE w:val="0"/>
        <w:autoSpaceDN w:val="0"/>
        <w:adjustRightInd w:val="0"/>
        <w:snapToGrid w:val="0"/>
        <w:spacing w:line="312" w:lineRule="auto"/>
        <w:jc w:val="center"/>
        <w:rPr>
          <w:rFonts w:hint="eastAsia" w:ascii="宋体" w:hAnsi="宋体" w:eastAsia="宋体" w:cs="宋体"/>
          <w:b/>
          <w:bCs w:val="0"/>
          <w:color w:val="auto"/>
          <w:sz w:val="44"/>
          <w:szCs w:val="44"/>
          <w:lang w:val="zh-CN"/>
        </w:rPr>
      </w:pPr>
      <w:r>
        <w:rPr>
          <w:rFonts w:hint="eastAsia" w:ascii="宋体" w:hAnsi="宋体" w:eastAsia="宋体" w:cs="宋体"/>
          <w:b/>
          <w:bCs w:val="0"/>
          <w:color w:val="auto"/>
          <w:sz w:val="32"/>
          <w:szCs w:val="32"/>
          <w:lang w:val="zh-CN"/>
        </w:rPr>
        <w:t>第三部分  谈判方案说明</w:t>
      </w:r>
    </w:p>
    <w:p w14:paraId="5FABB1DC">
      <w:pPr>
        <w:autoSpaceDE w:val="0"/>
        <w:autoSpaceDN w:val="0"/>
        <w:adjustRightInd w:val="0"/>
        <w:spacing w:line="360" w:lineRule="auto"/>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根据项目概况自行编制</w:t>
      </w:r>
      <w:r>
        <w:rPr>
          <w:rFonts w:hint="eastAsia" w:ascii="宋体" w:hAnsi="宋体" w:eastAsia="宋体" w:cs="宋体"/>
          <w:color w:val="auto"/>
          <w:sz w:val="24"/>
          <w:szCs w:val="24"/>
          <w:lang w:eastAsia="zh-CN"/>
        </w:rPr>
        <w:t>）</w:t>
      </w:r>
    </w:p>
    <w:p w14:paraId="471AA884">
      <w:pPr>
        <w:autoSpaceDE w:val="0"/>
        <w:autoSpaceDN w:val="0"/>
        <w:adjustRightInd w:val="0"/>
        <w:spacing w:line="360" w:lineRule="auto"/>
        <w:jc w:val="center"/>
        <w:rPr>
          <w:rFonts w:hint="eastAsia" w:ascii="宋体" w:hAnsi="宋体" w:eastAsia="宋体" w:cs="宋体"/>
          <w:b/>
          <w:bCs/>
          <w:color w:val="auto"/>
          <w:sz w:val="44"/>
          <w:szCs w:val="44"/>
        </w:rPr>
      </w:pPr>
    </w:p>
    <w:p w14:paraId="4B9FF383">
      <w:pPr>
        <w:autoSpaceDE w:val="0"/>
        <w:autoSpaceDN w:val="0"/>
        <w:adjustRightInd w:val="0"/>
        <w:spacing w:line="348" w:lineRule="auto"/>
        <w:ind w:firstLine="630"/>
        <w:rPr>
          <w:rFonts w:hint="eastAsia" w:ascii="宋体" w:hAnsi="宋体" w:eastAsia="宋体" w:cs="宋体"/>
          <w:b/>
          <w:bCs/>
          <w:color w:val="auto"/>
          <w:sz w:val="28"/>
          <w:szCs w:val="28"/>
        </w:rPr>
      </w:pPr>
    </w:p>
    <w:p w14:paraId="3A04C426">
      <w:pPr>
        <w:spacing w:after="60"/>
        <w:rPr>
          <w:rFonts w:hint="eastAsia" w:ascii="宋体" w:hAnsi="宋体" w:eastAsia="宋体" w:cs="宋体"/>
          <w:color w:val="auto"/>
          <w:sz w:val="28"/>
          <w:szCs w:val="28"/>
        </w:rPr>
      </w:pPr>
    </w:p>
    <w:p w14:paraId="4812E22A">
      <w:pPr>
        <w:spacing w:after="60"/>
        <w:rPr>
          <w:rFonts w:hint="eastAsia" w:ascii="宋体" w:hAnsi="宋体" w:eastAsia="宋体" w:cs="宋体"/>
          <w:color w:val="auto"/>
          <w:sz w:val="28"/>
          <w:szCs w:val="28"/>
        </w:rPr>
      </w:pPr>
    </w:p>
    <w:p w14:paraId="15DAF805">
      <w:pPr>
        <w:autoSpaceDE w:val="0"/>
        <w:autoSpaceDN w:val="0"/>
        <w:adjustRightInd w:val="0"/>
        <w:spacing w:line="360" w:lineRule="auto"/>
        <w:jc w:val="center"/>
        <w:rPr>
          <w:rFonts w:hint="eastAsia" w:ascii="宋体" w:hAnsi="宋体" w:eastAsia="宋体" w:cs="宋体"/>
          <w:b/>
          <w:bCs/>
          <w:color w:val="auto"/>
          <w:sz w:val="44"/>
          <w:szCs w:val="44"/>
          <w:lang w:val="zh-CN"/>
        </w:rPr>
      </w:pPr>
    </w:p>
    <w:p w14:paraId="148C6778">
      <w:pPr>
        <w:autoSpaceDE w:val="0"/>
        <w:autoSpaceDN w:val="0"/>
        <w:adjustRightInd w:val="0"/>
        <w:spacing w:line="360" w:lineRule="auto"/>
        <w:jc w:val="center"/>
        <w:rPr>
          <w:rFonts w:hint="eastAsia" w:ascii="宋体" w:hAnsi="宋体" w:eastAsia="宋体" w:cs="宋体"/>
          <w:b/>
          <w:bCs/>
          <w:color w:val="auto"/>
          <w:sz w:val="44"/>
          <w:szCs w:val="44"/>
          <w:lang w:val="zh-CN"/>
        </w:rPr>
      </w:pPr>
    </w:p>
    <w:p w14:paraId="19DEE819">
      <w:pPr>
        <w:pStyle w:val="6"/>
        <w:rPr>
          <w:rFonts w:hint="eastAsia" w:ascii="宋体" w:hAnsi="宋体" w:eastAsia="宋体" w:cs="宋体"/>
          <w:b/>
          <w:bCs/>
          <w:color w:val="auto"/>
          <w:sz w:val="44"/>
          <w:szCs w:val="44"/>
          <w:lang w:val="zh-CN"/>
        </w:rPr>
      </w:pPr>
    </w:p>
    <w:p w14:paraId="66205172">
      <w:pPr>
        <w:pStyle w:val="6"/>
        <w:rPr>
          <w:rFonts w:hint="eastAsia" w:ascii="宋体" w:hAnsi="宋体" w:eastAsia="宋体" w:cs="宋体"/>
          <w:b/>
          <w:bCs/>
          <w:color w:val="auto"/>
          <w:sz w:val="44"/>
          <w:szCs w:val="44"/>
          <w:lang w:val="zh-CN"/>
        </w:rPr>
      </w:pPr>
    </w:p>
    <w:p w14:paraId="4D15E0E3">
      <w:pPr>
        <w:pStyle w:val="6"/>
        <w:rPr>
          <w:rFonts w:hint="eastAsia" w:ascii="宋体" w:hAnsi="宋体" w:eastAsia="宋体" w:cs="宋体"/>
          <w:b/>
          <w:bCs/>
          <w:color w:val="auto"/>
          <w:sz w:val="44"/>
          <w:szCs w:val="44"/>
          <w:lang w:val="zh-CN"/>
        </w:rPr>
      </w:pPr>
    </w:p>
    <w:p w14:paraId="4A7F1DB3">
      <w:pPr>
        <w:pStyle w:val="6"/>
        <w:rPr>
          <w:rFonts w:hint="eastAsia" w:ascii="宋体" w:hAnsi="宋体" w:eastAsia="宋体" w:cs="宋体"/>
          <w:b/>
          <w:bCs/>
          <w:color w:val="auto"/>
          <w:sz w:val="44"/>
          <w:szCs w:val="44"/>
          <w:lang w:val="zh-CN"/>
        </w:rPr>
      </w:pPr>
    </w:p>
    <w:p w14:paraId="49924CF2">
      <w:pPr>
        <w:pStyle w:val="6"/>
        <w:rPr>
          <w:rFonts w:hint="eastAsia" w:ascii="宋体" w:hAnsi="宋体" w:eastAsia="宋体" w:cs="宋体"/>
          <w:b/>
          <w:bCs/>
          <w:color w:val="auto"/>
          <w:sz w:val="44"/>
          <w:szCs w:val="44"/>
          <w:lang w:val="zh-CN"/>
        </w:rPr>
      </w:pPr>
    </w:p>
    <w:p w14:paraId="1F540509">
      <w:pPr>
        <w:pStyle w:val="6"/>
        <w:rPr>
          <w:rFonts w:hint="eastAsia" w:ascii="宋体" w:hAnsi="宋体" w:eastAsia="宋体" w:cs="宋体"/>
          <w:b/>
          <w:bCs/>
          <w:color w:val="auto"/>
          <w:sz w:val="44"/>
          <w:szCs w:val="44"/>
          <w:lang w:val="zh-CN"/>
        </w:rPr>
      </w:pPr>
    </w:p>
    <w:p w14:paraId="66AF8549">
      <w:pPr>
        <w:pStyle w:val="6"/>
        <w:rPr>
          <w:rFonts w:hint="eastAsia" w:ascii="宋体" w:hAnsi="宋体" w:eastAsia="宋体" w:cs="宋体"/>
          <w:b/>
          <w:bCs/>
          <w:color w:val="auto"/>
          <w:sz w:val="44"/>
          <w:szCs w:val="44"/>
          <w:lang w:val="zh-CN"/>
        </w:rPr>
      </w:pPr>
    </w:p>
    <w:p w14:paraId="760648F8">
      <w:pPr>
        <w:autoSpaceDE w:val="0"/>
        <w:autoSpaceDN w:val="0"/>
        <w:adjustRightInd w:val="0"/>
        <w:spacing w:line="360" w:lineRule="auto"/>
        <w:jc w:val="both"/>
        <w:rPr>
          <w:rFonts w:hint="eastAsia" w:ascii="宋体" w:hAnsi="宋体" w:eastAsia="宋体" w:cs="宋体"/>
          <w:b/>
          <w:bCs/>
          <w:color w:val="auto"/>
          <w:sz w:val="44"/>
          <w:szCs w:val="44"/>
          <w:lang w:val="zh-CN"/>
        </w:rPr>
      </w:pPr>
    </w:p>
    <w:p w14:paraId="6D98CF56">
      <w:pPr>
        <w:autoSpaceDE w:val="0"/>
        <w:autoSpaceDN w:val="0"/>
        <w:adjustRightInd w:val="0"/>
        <w:spacing w:line="360" w:lineRule="auto"/>
        <w:jc w:val="center"/>
        <w:rPr>
          <w:rFonts w:hint="eastAsia" w:ascii="宋体" w:hAnsi="宋体" w:eastAsia="宋体" w:cs="宋体"/>
          <w:b/>
          <w:bCs/>
          <w:color w:val="auto"/>
          <w:sz w:val="44"/>
          <w:szCs w:val="44"/>
          <w:lang w:val="zh-CN"/>
        </w:rPr>
        <w:sectPr>
          <w:footerReference r:id="rId16" w:type="even"/>
          <w:pgSz w:w="11906" w:h="16838"/>
          <w:pgMar w:top="1418" w:right="1418" w:bottom="1418" w:left="1418" w:header="851" w:footer="992" w:gutter="0"/>
          <w:pgNumType w:fmt="decimal"/>
          <w:cols w:space="720" w:num="1"/>
          <w:docGrid w:linePitch="312" w:charSpace="0"/>
        </w:sectPr>
      </w:pPr>
    </w:p>
    <w:p w14:paraId="2753901D">
      <w:pPr>
        <w:autoSpaceDE w:val="0"/>
        <w:autoSpaceDN w:val="0"/>
        <w:adjustRightInd w:val="0"/>
        <w:snapToGrid w:val="0"/>
        <w:spacing w:line="312" w:lineRule="auto"/>
        <w:jc w:val="center"/>
        <w:rPr>
          <w:rFonts w:hint="eastAsia" w:ascii="宋体" w:hAnsi="宋体" w:eastAsia="宋体" w:cs="宋体"/>
          <w:bCs/>
          <w:color w:val="auto"/>
          <w:sz w:val="32"/>
          <w:szCs w:val="32"/>
          <w:lang w:val="zh-CN"/>
        </w:rPr>
      </w:pPr>
    </w:p>
    <w:p w14:paraId="57E532EC">
      <w:pPr>
        <w:autoSpaceDE w:val="0"/>
        <w:autoSpaceDN w:val="0"/>
        <w:adjustRightInd w:val="0"/>
        <w:snapToGrid w:val="0"/>
        <w:spacing w:line="312" w:lineRule="auto"/>
        <w:jc w:val="center"/>
        <w:rPr>
          <w:rFonts w:hint="eastAsia" w:ascii="宋体" w:hAnsi="宋体" w:eastAsia="宋体" w:cs="宋体"/>
          <w:b/>
          <w:bCs w:val="0"/>
          <w:color w:val="auto"/>
          <w:sz w:val="32"/>
          <w:szCs w:val="32"/>
          <w:lang w:val="zh-CN"/>
        </w:rPr>
      </w:pPr>
      <w:r>
        <w:rPr>
          <w:rFonts w:hint="eastAsia" w:ascii="宋体" w:hAnsi="宋体" w:eastAsia="宋体" w:cs="宋体"/>
          <w:b/>
          <w:bCs w:val="0"/>
          <w:color w:val="auto"/>
          <w:sz w:val="32"/>
          <w:szCs w:val="32"/>
          <w:lang w:val="zh-CN"/>
        </w:rPr>
        <w:t>第四部分  供应商承诺书</w:t>
      </w:r>
    </w:p>
    <w:p w14:paraId="1056BDA1">
      <w:pPr>
        <w:autoSpaceDE w:val="0"/>
        <w:autoSpaceDN w:val="0"/>
        <w:adjustRightInd w:val="0"/>
        <w:spacing w:line="360" w:lineRule="auto"/>
        <w:rPr>
          <w:rFonts w:hint="eastAsia" w:ascii="宋体" w:hAnsi="宋体" w:eastAsia="宋体" w:cs="宋体"/>
          <w:b/>
          <w:color w:val="auto"/>
          <w:sz w:val="24"/>
          <w:szCs w:val="24"/>
        </w:rPr>
      </w:pPr>
      <w:r>
        <w:rPr>
          <w:rFonts w:hint="eastAsia" w:ascii="宋体" w:hAnsi="宋体" w:eastAsia="宋体" w:cs="宋体"/>
          <w:color w:val="auto"/>
          <w:sz w:val="24"/>
          <w:szCs w:val="24"/>
          <w:lang w:eastAsia="zh-CN"/>
        </w:rPr>
        <w:t>旬阳市水利局</w:t>
      </w:r>
      <w:r>
        <w:rPr>
          <w:rFonts w:hint="eastAsia" w:ascii="宋体" w:hAnsi="宋体" w:eastAsia="宋体" w:cs="宋体"/>
          <w:color w:val="auto"/>
          <w:sz w:val="24"/>
          <w:szCs w:val="24"/>
        </w:rPr>
        <w:t>：</w:t>
      </w:r>
    </w:p>
    <w:p w14:paraId="5E8A7B67">
      <w:pPr>
        <w:autoSpaceDE w:val="0"/>
        <w:autoSpaceDN w:val="0"/>
        <w:adjustRightIn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做为参加贵单位组织的</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的供应商，本公司郑重承诺：</w:t>
      </w:r>
    </w:p>
    <w:p w14:paraId="6542FAC1">
      <w:pPr>
        <w:autoSpaceDE w:val="0"/>
        <w:autoSpaceDN w:val="0"/>
        <w:adjustRightIn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1、在参加本项目谈判之前不存在被依法禁止经营行为、财产被接管或冻结的情况，如有隐瞒实情，愿承担一切责任及后果。</w:t>
      </w:r>
    </w:p>
    <w:p w14:paraId="24AF56F4">
      <w:pPr>
        <w:autoSpaceDE w:val="0"/>
        <w:autoSpaceDN w:val="0"/>
        <w:adjustRightInd w:val="0"/>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color w:val="auto"/>
          <w:sz w:val="24"/>
          <w:szCs w:val="24"/>
        </w:rPr>
        <w:t>2、</w:t>
      </w:r>
      <w:r>
        <w:rPr>
          <w:rFonts w:hint="eastAsia" w:ascii="宋体" w:hAnsi="宋体" w:eastAsia="宋体" w:cs="宋体"/>
          <w:color w:val="auto"/>
          <w:sz w:val="24"/>
          <w:szCs w:val="24"/>
        </w:rPr>
        <w:t>近三年受到有关行政主管部门的行政处理、不良行为记录为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次（没有填零），如有隐瞒实情，愿承担一切责任及后果。</w:t>
      </w:r>
    </w:p>
    <w:p w14:paraId="512DA95C">
      <w:pPr>
        <w:autoSpaceDE w:val="0"/>
        <w:autoSpaceDN w:val="0"/>
        <w:adjustRightInd w:val="0"/>
        <w:spacing w:line="360" w:lineRule="auto"/>
        <w:ind w:firstLine="480" w:firstLineChars="200"/>
        <w:rPr>
          <w:rFonts w:hint="eastAsia" w:ascii="宋体" w:hAnsi="宋体" w:eastAsia="宋体" w:cs="宋体"/>
          <w:b/>
          <w:color w:val="auto"/>
          <w:sz w:val="24"/>
          <w:szCs w:val="24"/>
        </w:rPr>
      </w:pPr>
      <w:r>
        <w:rPr>
          <w:rFonts w:hint="eastAsia" w:ascii="宋体" w:hAnsi="宋体" w:eastAsia="宋体" w:cs="宋体"/>
          <w:color w:val="auto"/>
          <w:sz w:val="24"/>
          <w:szCs w:val="24"/>
        </w:rPr>
        <w:t>3、参加本次谈判提交的所有资质证明文件及业绩证明文件是真实的、有效的，如有隐瞒实情，愿承担一切责任及后果。</w:t>
      </w:r>
    </w:p>
    <w:p w14:paraId="70145482">
      <w:pPr>
        <w:autoSpaceDE w:val="0"/>
        <w:autoSpaceDN w:val="0"/>
        <w:adjustRightInd w:val="0"/>
        <w:spacing w:line="360" w:lineRule="auto"/>
        <w:jc w:val="center"/>
        <w:rPr>
          <w:rFonts w:hint="eastAsia" w:ascii="宋体" w:hAnsi="宋体" w:eastAsia="宋体" w:cs="宋体"/>
          <w:b/>
          <w:color w:val="auto"/>
          <w:sz w:val="24"/>
          <w:szCs w:val="24"/>
        </w:rPr>
      </w:pPr>
    </w:p>
    <w:p w14:paraId="31D56979">
      <w:pPr>
        <w:adjustRightInd w:val="0"/>
        <w:snapToGrid w:val="0"/>
        <w:spacing w:line="360" w:lineRule="auto"/>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供应商                            法定代表人/授权代表</w:t>
      </w:r>
    </w:p>
    <w:p w14:paraId="73DFB94F">
      <w:pPr>
        <w:adjustRightInd w:val="0"/>
        <w:snapToGrid w:val="0"/>
        <w:spacing w:line="360" w:lineRule="auto"/>
        <w:rPr>
          <w:rFonts w:hint="eastAsia" w:ascii="宋体" w:hAnsi="宋体" w:eastAsia="宋体" w:cs="宋体"/>
          <w:b/>
          <w:bCs/>
          <w:color w:val="auto"/>
          <w:sz w:val="24"/>
          <w:szCs w:val="24"/>
        </w:rPr>
      </w:pPr>
      <w:r>
        <w:rPr>
          <w:rFonts w:hint="eastAsia" w:ascii="宋体" w:hAnsi="宋体" w:eastAsia="宋体" w:cs="宋体"/>
          <w:color w:val="auto"/>
          <w:sz w:val="24"/>
          <w:szCs w:val="24"/>
        </w:rPr>
        <w:t>（公章）：                           （</w:t>
      </w:r>
      <w:r>
        <w:rPr>
          <w:rFonts w:hint="eastAsia" w:ascii="宋体" w:hAnsi="宋体" w:eastAsia="宋体" w:cs="宋体"/>
          <w:color w:val="auto"/>
          <w:sz w:val="24"/>
          <w:szCs w:val="24"/>
          <w:lang w:eastAsia="zh-CN"/>
        </w:rPr>
        <w:t>签字或盖章</w:t>
      </w:r>
      <w:r>
        <w:rPr>
          <w:rFonts w:hint="eastAsia" w:ascii="宋体" w:hAnsi="宋体" w:eastAsia="宋体" w:cs="宋体"/>
          <w:color w:val="auto"/>
          <w:sz w:val="24"/>
          <w:szCs w:val="24"/>
        </w:rPr>
        <w:t>）：</w:t>
      </w:r>
    </w:p>
    <w:p w14:paraId="0993FD24">
      <w:pPr>
        <w:autoSpaceDE w:val="0"/>
        <w:autoSpaceDN w:val="0"/>
        <w:adjustRightInd w:val="0"/>
        <w:jc w:val="center"/>
        <w:rPr>
          <w:rFonts w:hint="eastAsia" w:ascii="宋体" w:hAnsi="宋体" w:eastAsia="宋体" w:cs="宋体"/>
          <w:b/>
          <w:bCs/>
          <w:color w:val="auto"/>
          <w:sz w:val="24"/>
          <w:szCs w:val="24"/>
          <w:lang w:val="zh-CN"/>
        </w:rPr>
      </w:pPr>
    </w:p>
    <w:p w14:paraId="6C1FA097">
      <w:pPr>
        <w:autoSpaceDE w:val="0"/>
        <w:autoSpaceDN w:val="0"/>
        <w:adjustRightInd w:val="0"/>
        <w:jc w:val="center"/>
        <w:rPr>
          <w:rFonts w:hint="eastAsia" w:ascii="宋体" w:hAnsi="宋体" w:eastAsia="宋体" w:cs="宋体"/>
          <w:b/>
          <w:bCs/>
          <w:color w:val="auto"/>
          <w:sz w:val="24"/>
          <w:szCs w:val="24"/>
          <w:lang w:val="zh-CN"/>
        </w:rPr>
      </w:pPr>
    </w:p>
    <w:p w14:paraId="425CB4BE">
      <w:pPr>
        <w:autoSpaceDE w:val="0"/>
        <w:autoSpaceDN w:val="0"/>
        <w:adjustRightInd w:val="0"/>
        <w:spacing w:line="360" w:lineRule="auto"/>
        <w:jc w:val="center"/>
        <w:rPr>
          <w:rFonts w:hint="eastAsia" w:ascii="宋体" w:hAnsi="宋体" w:eastAsia="宋体" w:cs="宋体"/>
          <w:b/>
          <w:bCs/>
          <w:color w:val="auto"/>
          <w:sz w:val="44"/>
          <w:szCs w:val="44"/>
          <w:lang w:val="zh-CN"/>
        </w:rPr>
      </w:pPr>
    </w:p>
    <w:p w14:paraId="0F548704">
      <w:pPr>
        <w:autoSpaceDE w:val="0"/>
        <w:autoSpaceDN w:val="0"/>
        <w:adjustRightInd w:val="0"/>
        <w:spacing w:line="360" w:lineRule="auto"/>
        <w:jc w:val="center"/>
        <w:rPr>
          <w:rFonts w:hint="eastAsia" w:ascii="宋体" w:hAnsi="宋体" w:eastAsia="宋体" w:cs="宋体"/>
          <w:b/>
          <w:bCs/>
          <w:color w:val="auto"/>
          <w:sz w:val="44"/>
          <w:szCs w:val="44"/>
          <w:lang w:val="zh-CN"/>
        </w:rPr>
      </w:pPr>
    </w:p>
    <w:p w14:paraId="16E3C69A">
      <w:pPr>
        <w:autoSpaceDE w:val="0"/>
        <w:autoSpaceDN w:val="0"/>
        <w:adjustRightInd w:val="0"/>
        <w:spacing w:line="360" w:lineRule="auto"/>
        <w:jc w:val="center"/>
        <w:rPr>
          <w:rFonts w:hint="eastAsia" w:ascii="宋体" w:hAnsi="宋体" w:eastAsia="宋体" w:cs="宋体"/>
          <w:b/>
          <w:bCs/>
          <w:color w:val="auto"/>
          <w:sz w:val="44"/>
          <w:szCs w:val="44"/>
          <w:lang w:val="zh-CN"/>
        </w:rPr>
      </w:pPr>
    </w:p>
    <w:p w14:paraId="035C6987">
      <w:pPr>
        <w:autoSpaceDE w:val="0"/>
        <w:autoSpaceDN w:val="0"/>
        <w:adjustRightInd w:val="0"/>
        <w:spacing w:line="360" w:lineRule="auto"/>
        <w:jc w:val="center"/>
        <w:rPr>
          <w:rFonts w:hint="eastAsia" w:ascii="宋体" w:hAnsi="宋体" w:eastAsia="宋体" w:cs="宋体"/>
          <w:b/>
          <w:bCs/>
          <w:color w:val="auto"/>
          <w:sz w:val="44"/>
          <w:szCs w:val="44"/>
          <w:lang w:val="zh-CN"/>
        </w:rPr>
      </w:pPr>
    </w:p>
    <w:p w14:paraId="057CB377">
      <w:pPr>
        <w:autoSpaceDE w:val="0"/>
        <w:autoSpaceDN w:val="0"/>
        <w:adjustRightInd w:val="0"/>
        <w:spacing w:line="360" w:lineRule="auto"/>
        <w:jc w:val="center"/>
        <w:rPr>
          <w:rFonts w:hint="eastAsia" w:ascii="宋体" w:hAnsi="宋体" w:eastAsia="宋体" w:cs="宋体"/>
          <w:b/>
          <w:bCs/>
          <w:color w:val="auto"/>
          <w:sz w:val="44"/>
          <w:szCs w:val="44"/>
          <w:lang w:val="zh-CN"/>
        </w:rPr>
      </w:pPr>
    </w:p>
    <w:p w14:paraId="781CF24E">
      <w:pPr>
        <w:autoSpaceDE w:val="0"/>
        <w:autoSpaceDN w:val="0"/>
        <w:adjustRightInd w:val="0"/>
        <w:spacing w:line="360" w:lineRule="auto"/>
        <w:jc w:val="center"/>
        <w:rPr>
          <w:rFonts w:hint="eastAsia" w:ascii="宋体" w:hAnsi="宋体" w:eastAsia="宋体" w:cs="宋体"/>
          <w:b/>
          <w:bCs/>
          <w:color w:val="auto"/>
          <w:sz w:val="44"/>
          <w:szCs w:val="44"/>
          <w:lang w:val="zh-CN"/>
        </w:rPr>
      </w:pPr>
    </w:p>
    <w:p w14:paraId="52FCBBA2">
      <w:pPr>
        <w:autoSpaceDE w:val="0"/>
        <w:autoSpaceDN w:val="0"/>
        <w:adjustRightInd w:val="0"/>
        <w:spacing w:line="360" w:lineRule="auto"/>
        <w:jc w:val="center"/>
        <w:rPr>
          <w:rFonts w:hint="eastAsia" w:ascii="宋体" w:hAnsi="宋体" w:eastAsia="宋体" w:cs="宋体"/>
          <w:b/>
          <w:bCs/>
          <w:color w:val="auto"/>
          <w:sz w:val="44"/>
          <w:szCs w:val="44"/>
          <w:lang w:val="zh-CN"/>
        </w:rPr>
      </w:pPr>
    </w:p>
    <w:p w14:paraId="515CA5B5">
      <w:pPr>
        <w:autoSpaceDE w:val="0"/>
        <w:autoSpaceDN w:val="0"/>
        <w:adjustRightInd w:val="0"/>
        <w:spacing w:line="360" w:lineRule="auto"/>
        <w:jc w:val="center"/>
        <w:rPr>
          <w:rFonts w:hint="eastAsia" w:ascii="宋体" w:hAnsi="宋体" w:eastAsia="宋体" w:cs="宋体"/>
          <w:b/>
          <w:bCs/>
          <w:color w:val="auto"/>
          <w:sz w:val="44"/>
          <w:szCs w:val="44"/>
          <w:lang w:val="zh-CN"/>
        </w:rPr>
      </w:pPr>
    </w:p>
    <w:p w14:paraId="38A5C2B0">
      <w:pPr>
        <w:pStyle w:val="6"/>
        <w:rPr>
          <w:rFonts w:hint="eastAsia"/>
          <w:color w:val="auto"/>
          <w:lang w:val="zh-CN"/>
        </w:rPr>
      </w:pPr>
    </w:p>
    <w:p w14:paraId="4D7694F7">
      <w:pPr>
        <w:autoSpaceDE w:val="0"/>
        <w:autoSpaceDN w:val="0"/>
        <w:adjustRightInd w:val="0"/>
        <w:snapToGrid w:val="0"/>
        <w:spacing w:line="312" w:lineRule="auto"/>
        <w:jc w:val="center"/>
        <w:rPr>
          <w:rFonts w:hint="eastAsia" w:ascii="宋体" w:hAnsi="宋体" w:eastAsia="宋体" w:cs="宋体"/>
          <w:b/>
          <w:bCs w:val="0"/>
          <w:color w:val="auto"/>
          <w:sz w:val="32"/>
          <w:szCs w:val="32"/>
          <w:lang w:val="zh-CN"/>
        </w:rPr>
      </w:pPr>
    </w:p>
    <w:p w14:paraId="67B762DA">
      <w:pPr>
        <w:autoSpaceDE w:val="0"/>
        <w:autoSpaceDN w:val="0"/>
        <w:adjustRightInd w:val="0"/>
        <w:snapToGrid w:val="0"/>
        <w:spacing w:line="312" w:lineRule="auto"/>
        <w:jc w:val="center"/>
        <w:rPr>
          <w:rFonts w:hint="eastAsia" w:ascii="宋体" w:hAnsi="宋体" w:eastAsia="宋体" w:cs="宋体"/>
          <w:b/>
          <w:bCs w:val="0"/>
          <w:color w:val="auto"/>
          <w:sz w:val="32"/>
          <w:szCs w:val="32"/>
          <w:lang w:val="zh-CN"/>
        </w:rPr>
      </w:pPr>
      <w:r>
        <w:rPr>
          <w:rFonts w:hint="eastAsia" w:ascii="宋体" w:hAnsi="宋体" w:eastAsia="宋体" w:cs="宋体"/>
          <w:b/>
          <w:bCs w:val="0"/>
          <w:color w:val="auto"/>
          <w:sz w:val="32"/>
          <w:szCs w:val="32"/>
          <w:lang w:val="zh-CN"/>
        </w:rPr>
        <w:t>第五部分  合格供应商证明文件</w:t>
      </w:r>
    </w:p>
    <w:p w14:paraId="162F5278">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（1）具有独立承担民事责任的能力，提供营业执照、税务登记证、组织机构代码证或登载有统一社会信用代码的营业执照（或《事业单位法人证书》或其他合法组织登记证书、自然人只须提交身份证）；</w:t>
      </w:r>
    </w:p>
    <w:p w14:paraId="1FBE2B49">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（2）法定代表人委托授权书（法定代表人参加不需提供，但需要提供法定代表人身份证）及被授权人身份证；</w:t>
      </w:r>
    </w:p>
    <w:p w14:paraId="0A164455">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3）供应商在递交投标文件截止时间前被“信用中国”网站（www.creditchina.gov.cn）和中国政府采购网（www.ccgp.gov.cn）上被列入失信被执行人、重大税收违法案件当事人名单、政府采购严重违法失信行为记录名单的，不得参加投标；</w:t>
      </w:r>
    </w:p>
    <w:p w14:paraId="6D1AD498">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（4）提供2023年度或2024年度经审计的财务审计报告或投标截止时间前六个月内基本开户银行出具的资信证明（成立时间至提交响应文件截止时间不足一年的可提供成立后任意时段的资产负债表）；</w:t>
      </w:r>
    </w:p>
    <w:p w14:paraId="180C4102">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（5）提供投标截止日前一年内已缴纳的至少三个月的纳税证明或完税证明（任意税种），依法免税的单位应提供相关证明材料；</w:t>
      </w:r>
    </w:p>
    <w:p w14:paraId="3AAE2519">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（6）提供投标截止日前一年内已缴存的至少三个月的社会保障资金缴存单据或社保机构开具的社会保险参保缴费情况证明，依法不需要缴纳社会保障资金的单位应提供相关证明材料；</w:t>
      </w:r>
    </w:p>
    <w:p w14:paraId="7B679DBC">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（7）提供参加政府采购活动前三年内，在经营活动中没有重大违法记录书面声明；</w:t>
      </w:r>
    </w:p>
    <w:p w14:paraId="4F364641">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（8）提供具有履行合同所必需的设备和专业技术能力的承诺书；</w:t>
      </w:r>
    </w:p>
    <w:p w14:paraId="4C1F9E71">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（9）本项目专门面向中小企业采购，提供中小企业声明函；</w:t>
      </w:r>
    </w:p>
    <w:p w14:paraId="1957EBE5">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（10）本项目不接受联合体投标。</w:t>
      </w:r>
    </w:p>
    <w:p w14:paraId="32247616">
      <w:pPr>
        <w:pStyle w:val="16"/>
        <w:rPr>
          <w:rFonts w:hint="eastAsia" w:ascii="宋体" w:hAnsi="宋体" w:eastAsia="宋体" w:cs="宋体"/>
          <w:color w:val="auto"/>
        </w:rPr>
      </w:pPr>
    </w:p>
    <w:p w14:paraId="0C06AF11">
      <w:pPr>
        <w:spacing w:before="97" w:line="219" w:lineRule="auto"/>
        <w:ind w:left="3278"/>
        <w:rPr>
          <w:rFonts w:hint="eastAsia" w:ascii="宋体" w:hAnsi="宋体" w:eastAsia="宋体" w:cs="宋体"/>
          <w:b/>
          <w:bCs/>
          <w:color w:val="auto"/>
          <w:sz w:val="32"/>
          <w:szCs w:val="32"/>
          <w:lang w:val="zh-CN"/>
        </w:rPr>
      </w:pPr>
      <w:r>
        <w:rPr>
          <w:rFonts w:hint="eastAsia" w:ascii="宋体" w:hAnsi="宋体" w:eastAsia="宋体" w:cs="宋体"/>
          <w:b/>
          <w:bCs/>
          <w:color w:val="auto"/>
          <w:sz w:val="32"/>
          <w:szCs w:val="32"/>
          <w:lang w:val="zh-CN"/>
        </w:rPr>
        <w:br w:type="page"/>
      </w:r>
    </w:p>
    <w:p w14:paraId="108AC5DD">
      <w:pPr>
        <w:spacing w:before="97" w:line="219" w:lineRule="auto"/>
        <w:ind w:left="3278"/>
        <w:rPr>
          <w:rFonts w:hint="eastAsia" w:ascii="宋体" w:hAnsi="宋体" w:eastAsia="宋体" w:cs="宋体"/>
          <w:b/>
          <w:bCs/>
          <w:color w:val="auto"/>
          <w:sz w:val="32"/>
          <w:szCs w:val="32"/>
          <w:lang w:val="zh-CN"/>
        </w:rPr>
      </w:pPr>
    </w:p>
    <w:p w14:paraId="506F9D1A">
      <w:pPr>
        <w:spacing w:before="97" w:line="219" w:lineRule="auto"/>
        <w:ind w:left="3278"/>
        <w:rPr>
          <w:rFonts w:ascii="宋体" w:hAnsi="宋体" w:eastAsia="宋体" w:cs="宋体"/>
          <w:color w:val="auto"/>
          <w:sz w:val="30"/>
          <w:szCs w:val="30"/>
        </w:rPr>
      </w:pPr>
      <w:r>
        <w:rPr>
          <w:rFonts w:ascii="宋体" w:hAnsi="宋体" w:eastAsia="宋体" w:cs="宋体"/>
          <w:b/>
          <w:bCs/>
          <w:color w:val="auto"/>
          <w:spacing w:val="-6"/>
          <w:sz w:val="30"/>
          <w:szCs w:val="30"/>
        </w:rPr>
        <w:t>中小企业声明函（货物）</w:t>
      </w:r>
    </w:p>
    <w:p w14:paraId="3388E525">
      <w:pPr>
        <w:pStyle w:val="6"/>
        <w:spacing w:line="369" w:lineRule="auto"/>
        <w:rPr>
          <w:color w:val="auto"/>
        </w:rPr>
      </w:pPr>
    </w:p>
    <w:p w14:paraId="797A9183">
      <w:pPr>
        <w:spacing w:before="78" w:line="338" w:lineRule="auto"/>
        <w:ind w:left="366" w:right="392" w:firstLine="482"/>
        <w:jc w:val="both"/>
        <w:rPr>
          <w:rFonts w:ascii="宋体" w:hAnsi="宋体" w:eastAsia="宋体" w:cs="宋体"/>
          <w:color w:val="auto"/>
          <w:sz w:val="24"/>
          <w:szCs w:val="24"/>
        </w:rPr>
      </w:pPr>
      <w:r>
        <w:rPr>
          <w:rFonts w:ascii="宋体" w:hAnsi="宋体" w:eastAsia="宋体" w:cs="宋体"/>
          <w:color w:val="auto"/>
          <w:spacing w:val="-1"/>
          <w:sz w:val="24"/>
          <w:szCs w:val="24"/>
        </w:rPr>
        <w:t>本公司郑重声明，根据《政府采购促进中小企业</w:t>
      </w:r>
      <w:r>
        <w:rPr>
          <w:rFonts w:ascii="宋体" w:hAnsi="宋体" w:eastAsia="宋体" w:cs="宋体"/>
          <w:color w:val="auto"/>
          <w:spacing w:val="-2"/>
          <w:sz w:val="24"/>
          <w:szCs w:val="24"/>
        </w:rPr>
        <w:t>发展管理办法》（财库﹝2020﹞46</w:t>
      </w:r>
      <w:r>
        <w:rPr>
          <w:rFonts w:ascii="宋体" w:hAnsi="宋体" w:eastAsia="宋体" w:cs="宋体"/>
          <w:color w:val="auto"/>
          <w:spacing w:val="1"/>
          <w:sz w:val="24"/>
          <w:szCs w:val="24"/>
        </w:rPr>
        <w:t>号）的规定，本公司参加</w:t>
      </w:r>
      <w:r>
        <w:rPr>
          <w:rFonts w:ascii="宋体" w:hAnsi="宋体" w:eastAsia="宋体" w:cs="宋体"/>
          <w:color w:val="auto"/>
          <w:spacing w:val="-107"/>
          <w:sz w:val="24"/>
          <w:szCs w:val="24"/>
        </w:rPr>
        <w:t xml:space="preserve"> </w:t>
      </w:r>
      <w:r>
        <w:rPr>
          <w:rFonts w:ascii="宋体" w:hAnsi="宋体" w:eastAsia="宋体" w:cs="宋体"/>
          <w:color w:val="auto"/>
          <w:spacing w:val="1"/>
          <w:sz w:val="24"/>
          <w:szCs w:val="24"/>
          <w:u w:val="single" w:color="auto"/>
        </w:rPr>
        <w:t xml:space="preserve">              </w:t>
      </w:r>
      <w:r>
        <w:rPr>
          <w:rFonts w:ascii="宋体" w:hAnsi="宋体" w:eastAsia="宋体" w:cs="宋体"/>
          <w:color w:val="auto"/>
          <w:spacing w:val="1"/>
          <w:sz w:val="24"/>
          <w:szCs w:val="24"/>
        </w:rPr>
        <w:t>（单位名称）的</w:t>
      </w:r>
      <w:r>
        <w:rPr>
          <w:rFonts w:ascii="宋体" w:hAnsi="宋体" w:eastAsia="宋体" w:cs="宋体"/>
          <w:color w:val="auto"/>
          <w:spacing w:val="1"/>
          <w:sz w:val="24"/>
          <w:szCs w:val="24"/>
          <w:u w:val="single" w:color="auto"/>
        </w:rPr>
        <w:t xml:space="preserve">           </w:t>
      </w:r>
      <w:r>
        <w:rPr>
          <w:rFonts w:ascii="宋体" w:hAnsi="宋体" w:eastAsia="宋体" w:cs="宋体"/>
          <w:color w:val="auto"/>
          <w:spacing w:val="1"/>
          <w:sz w:val="24"/>
          <w:szCs w:val="24"/>
        </w:rPr>
        <w:t>（项目名称）采</w:t>
      </w:r>
      <w:r>
        <w:rPr>
          <w:rFonts w:ascii="宋体" w:hAnsi="宋体" w:eastAsia="宋体" w:cs="宋体"/>
          <w:color w:val="auto"/>
          <w:spacing w:val="-1"/>
          <w:sz w:val="24"/>
          <w:szCs w:val="24"/>
        </w:rPr>
        <w:t>购活动，提供的货物全部由符合政策要求的中小企业制造。</w:t>
      </w:r>
    </w:p>
    <w:p w14:paraId="07A33305">
      <w:pPr>
        <w:spacing w:line="220" w:lineRule="auto"/>
        <w:ind w:left="847"/>
        <w:rPr>
          <w:rFonts w:ascii="宋体" w:hAnsi="宋体" w:eastAsia="宋体" w:cs="宋体"/>
          <w:color w:val="auto"/>
          <w:sz w:val="24"/>
          <w:szCs w:val="24"/>
        </w:rPr>
      </w:pPr>
      <w:r>
        <w:rPr>
          <w:rFonts w:ascii="宋体" w:hAnsi="宋体" w:eastAsia="宋体" w:cs="宋体"/>
          <w:color w:val="auto"/>
          <w:spacing w:val="-1"/>
          <w:sz w:val="24"/>
          <w:szCs w:val="24"/>
        </w:rPr>
        <w:t>相关企业的具体情况如下：</w:t>
      </w:r>
    </w:p>
    <w:p w14:paraId="1C54DF29">
      <w:pPr>
        <w:spacing w:before="156" w:line="298" w:lineRule="auto"/>
        <w:ind w:left="367" w:right="394" w:firstLine="497"/>
        <w:rPr>
          <w:rFonts w:ascii="宋体" w:hAnsi="宋体" w:eastAsia="宋体" w:cs="宋体"/>
          <w:color w:val="auto"/>
          <w:sz w:val="24"/>
          <w:szCs w:val="24"/>
        </w:rPr>
      </w:pPr>
      <w:r>
        <w:rPr>
          <w:rFonts w:ascii="宋体" w:hAnsi="宋体" w:eastAsia="宋体" w:cs="宋体"/>
          <w:color w:val="auto"/>
          <w:spacing w:val="-2"/>
          <w:sz w:val="24"/>
          <w:szCs w:val="24"/>
        </w:rPr>
        <w:t>1、</w:t>
      </w:r>
      <w:r>
        <w:rPr>
          <w:rFonts w:ascii="宋体" w:hAnsi="宋体" w:eastAsia="宋体" w:cs="宋体"/>
          <w:color w:val="auto"/>
          <w:spacing w:val="-2"/>
          <w:sz w:val="24"/>
          <w:szCs w:val="24"/>
          <w:u w:val="single" w:color="auto"/>
        </w:rPr>
        <w:t xml:space="preserve">             </w:t>
      </w:r>
      <w:r>
        <w:rPr>
          <w:rFonts w:ascii="宋体" w:hAnsi="宋体" w:eastAsia="宋体" w:cs="宋体"/>
          <w:color w:val="auto"/>
          <w:spacing w:val="-2"/>
          <w:sz w:val="24"/>
          <w:szCs w:val="24"/>
        </w:rPr>
        <w:t>（标的名称</w:t>
      </w:r>
      <w:r>
        <w:rPr>
          <w:rFonts w:ascii="宋体" w:hAnsi="宋体" w:eastAsia="宋体" w:cs="宋体"/>
          <w:color w:val="auto"/>
          <w:spacing w:val="5"/>
          <w:sz w:val="24"/>
          <w:szCs w:val="24"/>
        </w:rPr>
        <w:t>），</w:t>
      </w:r>
      <w:r>
        <w:rPr>
          <w:rFonts w:ascii="宋体" w:hAnsi="宋体" w:eastAsia="宋体" w:cs="宋体"/>
          <w:color w:val="auto"/>
          <w:spacing w:val="-2"/>
          <w:sz w:val="24"/>
          <w:szCs w:val="24"/>
        </w:rPr>
        <w:t>属于</w:t>
      </w:r>
      <w:r>
        <w:rPr>
          <w:rFonts w:hint="eastAsia" w:ascii="宋体" w:hAnsi="宋体" w:eastAsia="宋体" w:cs="宋体"/>
          <w:b/>
          <w:bCs/>
          <w:color w:val="auto"/>
          <w:spacing w:val="-2"/>
          <w:sz w:val="24"/>
          <w:szCs w:val="24"/>
          <w:u w:val="single"/>
          <w:lang w:val="en-US" w:eastAsia="zh-CN"/>
        </w:rPr>
        <w:t xml:space="preserve"> </w:t>
      </w:r>
      <w:r>
        <w:rPr>
          <w:rFonts w:ascii="宋体" w:hAnsi="宋体" w:eastAsia="宋体" w:cs="宋体"/>
          <w:color w:val="auto"/>
          <w:spacing w:val="-2"/>
          <w:sz w:val="24"/>
          <w:szCs w:val="24"/>
          <w:u w:val="single"/>
        </w:rPr>
        <w:t>（采购文件中</w:t>
      </w:r>
      <w:r>
        <w:rPr>
          <w:rFonts w:ascii="宋体" w:hAnsi="宋体" w:eastAsia="宋体" w:cs="宋体"/>
          <w:color w:val="auto"/>
          <w:spacing w:val="-3"/>
          <w:sz w:val="24"/>
          <w:szCs w:val="24"/>
          <w:u w:val="single"/>
        </w:rPr>
        <w:t>明确的所属行业）行业</w:t>
      </w:r>
      <w:r>
        <w:rPr>
          <w:rFonts w:ascii="宋体" w:hAnsi="宋体" w:eastAsia="宋体" w:cs="宋体"/>
          <w:color w:val="auto"/>
          <w:spacing w:val="-3"/>
          <w:sz w:val="24"/>
          <w:szCs w:val="24"/>
        </w:rPr>
        <w:t>；</w:t>
      </w:r>
      <w:r>
        <w:rPr>
          <w:rFonts w:ascii="宋体" w:hAnsi="宋体" w:eastAsia="宋体" w:cs="宋体"/>
          <w:color w:val="auto"/>
          <w:spacing w:val="3"/>
          <w:sz w:val="24"/>
          <w:szCs w:val="24"/>
        </w:rPr>
        <w:t>制造商为</w:t>
      </w:r>
      <w:r>
        <w:rPr>
          <w:rFonts w:ascii="宋体" w:hAnsi="宋体" w:eastAsia="宋体" w:cs="宋体"/>
          <w:color w:val="auto"/>
          <w:spacing w:val="10"/>
          <w:sz w:val="24"/>
          <w:szCs w:val="24"/>
          <w:u w:val="single" w:color="auto"/>
        </w:rPr>
        <w:t xml:space="preserve">           </w:t>
      </w:r>
      <w:r>
        <w:rPr>
          <w:rFonts w:ascii="宋体" w:hAnsi="宋体" w:eastAsia="宋体" w:cs="宋体"/>
          <w:color w:val="auto"/>
          <w:spacing w:val="3"/>
          <w:sz w:val="24"/>
          <w:szCs w:val="24"/>
        </w:rPr>
        <w:t>（企业名称</w:t>
      </w:r>
      <w:r>
        <w:rPr>
          <w:rFonts w:ascii="宋体" w:hAnsi="宋体" w:eastAsia="宋体" w:cs="宋体"/>
          <w:color w:val="auto"/>
          <w:spacing w:val="6"/>
          <w:sz w:val="24"/>
          <w:szCs w:val="24"/>
        </w:rPr>
        <w:t>），</w:t>
      </w:r>
      <w:r>
        <w:rPr>
          <w:rFonts w:ascii="宋体" w:hAnsi="宋体" w:eastAsia="宋体" w:cs="宋体"/>
          <w:color w:val="auto"/>
          <w:spacing w:val="3"/>
          <w:sz w:val="24"/>
          <w:szCs w:val="24"/>
        </w:rPr>
        <w:t>从业人员</w:t>
      </w:r>
      <w:r>
        <w:rPr>
          <w:rFonts w:ascii="宋体" w:hAnsi="宋体" w:eastAsia="宋体" w:cs="宋体"/>
          <w:color w:val="auto"/>
          <w:spacing w:val="3"/>
          <w:sz w:val="24"/>
          <w:szCs w:val="24"/>
          <w:u w:val="single" w:color="auto"/>
        </w:rPr>
        <w:t xml:space="preserve">   </w:t>
      </w:r>
      <w:r>
        <w:rPr>
          <w:rFonts w:ascii="宋体" w:hAnsi="宋体" w:eastAsia="宋体" w:cs="宋体"/>
          <w:color w:val="auto"/>
          <w:spacing w:val="-98"/>
          <w:sz w:val="24"/>
          <w:szCs w:val="24"/>
        </w:rPr>
        <w:t xml:space="preserve"> </w:t>
      </w:r>
      <w:r>
        <w:rPr>
          <w:rFonts w:ascii="宋体" w:hAnsi="宋体" w:eastAsia="宋体" w:cs="宋体"/>
          <w:color w:val="auto"/>
          <w:spacing w:val="3"/>
          <w:sz w:val="24"/>
          <w:szCs w:val="24"/>
        </w:rPr>
        <w:t>人，营业收入为</w:t>
      </w:r>
      <w:r>
        <w:rPr>
          <w:rFonts w:ascii="宋体" w:hAnsi="宋体" w:eastAsia="宋体" w:cs="宋体"/>
          <w:color w:val="auto"/>
          <w:spacing w:val="19"/>
          <w:sz w:val="24"/>
          <w:szCs w:val="24"/>
          <w:u w:val="single" w:color="auto"/>
        </w:rPr>
        <w:t xml:space="preserve">   </w:t>
      </w:r>
      <w:r>
        <w:rPr>
          <w:rFonts w:ascii="宋体" w:hAnsi="宋体" w:eastAsia="宋体" w:cs="宋体"/>
          <w:color w:val="auto"/>
          <w:spacing w:val="-102"/>
          <w:sz w:val="24"/>
          <w:szCs w:val="24"/>
        </w:rPr>
        <w:t xml:space="preserve"> </w:t>
      </w:r>
      <w:r>
        <w:rPr>
          <w:rFonts w:ascii="宋体" w:hAnsi="宋体" w:eastAsia="宋体" w:cs="宋体"/>
          <w:color w:val="auto"/>
          <w:spacing w:val="3"/>
          <w:sz w:val="24"/>
          <w:szCs w:val="24"/>
        </w:rPr>
        <w:t>万</w:t>
      </w:r>
      <w:r>
        <w:rPr>
          <w:rFonts w:ascii="宋体" w:hAnsi="宋体" w:eastAsia="宋体" w:cs="宋体"/>
          <w:color w:val="auto"/>
          <w:spacing w:val="2"/>
          <w:sz w:val="24"/>
          <w:szCs w:val="24"/>
        </w:rPr>
        <w:t>元，资产总</w:t>
      </w:r>
      <w:r>
        <w:rPr>
          <w:rFonts w:ascii="宋体" w:hAnsi="宋体" w:eastAsia="宋体" w:cs="宋体"/>
          <w:color w:val="auto"/>
          <w:spacing w:val="-1"/>
          <w:sz w:val="24"/>
          <w:szCs w:val="24"/>
        </w:rPr>
        <w:t>额为</w:t>
      </w:r>
      <w:r>
        <w:rPr>
          <w:rFonts w:ascii="宋体" w:hAnsi="宋体" w:eastAsia="宋体" w:cs="宋体"/>
          <w:color w:val="auto"/>
          <w:spacing w:val="-1"/>
          <w:sz w:val="24"/>
          <w:szCs w:val="24"/>
          <w:u w:val="single" w:color="auto"/>
        </w:rPr>
        <w:t xml:space="preserve">   </w:t>
      </w:r>
      <w:r>
        <w:rPr>
          <w:rFonts w:ascii="宋体" w:hAnsi="宋体" w:eastAsia="宋体" w:cs="宋体"/>
          <w:color w:val="auto"/>
          <w:spacing w:val="-104"/>
          <w:sz w:val="24"/>
          <w:szCs w:val="24"/>
        </w:rPr>
        <w:t xml:space="preserve"> </w:t>
      </w:r>
      <w:r>
        <w:rPr>
          <w:rFonts w:ascii="宋体" w:hAnsi="宋体" w:eastAsia="宋体" w:cs="宋体"/>
          <w:color w:val="auto"/>
          <w:spacing w:val="-1"/>
          <w:sz w:val="24"/>
          <w:szCs w:val="24"/>
        </w:rPr>
        <w:t>万元，属于</w:t>
      </w:r>
      <w:r>
        <w:rPr>
          <w:rFonts w:ascii="宋体" w:hAnsi="宋体" w:eastAsia="宋体" w:cs="宋体"/>
          <w:color w:val="auto"/>
          <w:spacing w:val="-1"/>
          <w:sz w:val="24"/>
          <w:szCs w:val="24"/>
          <w:u w:val="single" w:color="auto"/>
        </w:rPr>
        <w:t xml:space="preserve">        </w:t>
      </w:r>
      <w:r>
        <w:rPr>
          <w:rFonts w:ascii="宋体" w:hAnsi="宋体" w:eastAsia="宋体" w:cs="宋体"/>
          <w:color w:val="auto"/>
          <w:spacing w:val="-1"/>
          <w:sz w:val="24"/>
          <w:szCs w:val="24"/>
        </w:rPr>
        <w:t>（中型企业、小型企业、微型企业</w:t>
      </w:r>
      <w:r>
        <w:rPr>
          <w:rFonts w:ascii="宋体" w:hAnsi="宋体" w:eastAsia="宋体" w:cs="宋体"/>
          <w:color w:val="auto"/>
          <w:spacing w:val="3"/>
          <w:sz w:val="24"/>
          <w:szCs w:val="24"/>
        </w:rPr>
        <w:t>）；</w:t>
      </w:r>
    </w:p>
    <w:p w14:paraId="0D97B96C">
      <w:pPr>
        <w:spacing w:before="157" w:line="298" w:lineRule="auto"/>
        <w:ind w:left="368" w:right="333" w:firstLine="481"/>
        <w:rPr>
          <w:rFonts w:ascii="宋体" w:hAnsi="宋体" w:eastAsia="宋体" w:cs="宋体"/>
          <w:color w:val="auto"/>
          <w:sz w:val="24"/>
          <w:szCs w:val="24"/>
        </w:rPr>
      </w:pPr>
      <w:r>
        <w:rPr>
          <w:rFonts w:ascii="宋体" w:hAnsi="宋体" w:eastAsia="宋体" w:cs="宋体"/>
          <w:color w:val="auto"/>
          <w:spacing w:val="-5"/>
          <w:sz w:val="24"/>
          <w:szCs w:val="24"/>
        </w:rPr>
        <w:t>2、</w:t>
      </w:r>
      <w:r>
        <w:rPr>
          <w:rFonts w:ascii="宋体" w:hAnsi="宋体" w:eastAsia="宋体" w:cs="宋体"/>
          <w:color w:val="auto"/>
          <w:spacing w:val="-5"/>
          <w:sz w:val="24"/>
          <w:szCs w:val="24"/>
          <w:u w:val="single" w:color="auto"/>
        </w:rPr>
        <w:t xml:space="preserve">             </w:t>
      </w:r>
      <w:r>
        <w:rPr>
          <w:rFonts w:ascii="宋体" w:hAnsi="宋体" w:eastAsia="宋体" w:cs="宋体"/>
          <w:color w:val="auto"/>
          <w:spacing w:val="-5"/>
          <w:sz w:val="24"/>
          <w:szCs w:val="24"/>
        </w:rPr>
        <w:t>（标的名称</w:t>
      </w:r>
      <w:r>
        <w:rPr>
          <w:rFonts w:ascii="宋体" w:hAnsi="宋体" w:eastAsia="宋体" w:cs="宋体"/>
          <w:color w:val="auto"/>
          <w:spacing w:val="34"/>
          <w:sz w:val="24"/>
          <w:szCs w:val="24"/>
        </w:rPr>
        <w:t xml:space="preserve"> </w:t>
      </w:r>
      <w:r>
        <w:rPr>
          <w:rFonts w:ascii="宋体" w:hAnsi="宋体" w:eastAsia="宋体" w:cs="宋体"/>
          <w:color w:val="auto"/>
          <w:spacing w:val="-35"/>
          <w:sz w:val="24"/>
          <w:szCs w:val="24"/>
        </w:rPr>
        <w:t>），</w:t>
      </w:r>
      <w:r>
        <w:rPr>
          <w:rFonts w:ascii="宋体" w:hAnsi="宋体" w:eastAsia="宋体" w:cs="宋体"/>
          <w:color w:val="auto"/>
          <w:spacing w:val="-5"/>
          <w:sz w:val="24"/>
          <w:szCs w:val="24"/>
        </w:rPr>
        <w:t>属于</w:t>
      </w:r>
      <w:r>
        <w:rPr>
          <w:rFonts w:hint="eastAsia" w:ascii="宋体" w:hAnsi="宋体" w:eastAsia="宋体" w:cs="宋体"/>
          <w:b/>
          <w:bCs/>
          <w:color w:val="auto"/>
          <w:spacing w:val="-5"/>
          <w:sz w:val="24"/>
          <w:szCs w:val="24"/>
          <w:u w:val="single"/>
          <w:lang w:val="en-US" w:eastAsia="zh-CN"/>
        </w:rPr>
        <w:t xml:space="preserve"> </w:t>
      </w:r>
      <w:r>
        <w:rPr>
          <w:rFonts w:ascii="宋体" w:hAnsi="宋体" w:eastAsia="宋体" w:cs="宋体"/>
          <w:color w:val="auto"/>
          <w:spacing w:val="-5"/>
          <w:sz w:val="24"/>
          <w:szCs w:val="24"/>
          <w:u w:val="single"/>
        </w:rPr>
        <w:t>（采购文件中明确的所属行业） 行业</w:t>
      </w:r>
      <w:r>
        <w:rPr>
          <w:rFonts w:ascii="宋体" w:hAnsi="宋体" w:eastAsia="宋体" w:cs="宋体"/>
          <w:color w:val="auto"/>
          <w:spacing w:val="-5"/>
          <w:sz w:val="24"/>
          <w:szCs w:val="24"/>
        </w:rPr>
        <w:t>；</w:t>
      </w:r>
      <w:r>
        <w:rPr>
          <w:rFonts w:ascii="宋体" w:hAnsi="宋体" w:eastAsia="宋体" w:cs="宋体"/>
          <w:color w:val="auto"/>
          <w:spacing w:val="-4"/>
          <w:sz w:val="24"/>
          <w:szCs w:val="24"/>
        </w:rPr>
        <w:t>制造商为</w:t>
      </w:r>
      <w:r>
        <w:rPr>
          <w:rFonts w:ascii="宋体" w:hAnsi="宋体" w:eastAsia="宋体" w:cs="宋体"/>
          <w:color w:val="auto"/>
          <w:spacing w:val="-4"/>
          <w:sz w:val="24"/>
          <w:szCs w:val="24"/>
          <w:u w:val="single" w:color="auto"/>
        </w:rPr>
        <w:t xml:space="preserve">            </w:t>
      </w:r>
      <w:r>
        <w:rPr>
          <w:rFonts w:ascii="宋体" w:hAnsi="宋体" w:eastAsia="宋体" w:cs="宋体"/>
          <w:color w:val="auto"/>
          <w:spacing w:val="-4"/>
          <w:sz w:val="24"/>
          <w:szCs w:val="24"/>
        </w:rPr>
        <w:t>（企业名</w:t>
      </w:r>
      <w:r>
        <w:rPr>
          <w:rFonts w:ascii="宋体" w:hAnsi="宋体" w:eastAsia="宋体" w:cs="宋体"/>
          <w:color w:val="auto"/>
          <w:spacing w:val="-5"/>
          <w:sz w:val="24"/>
          <w:szCs w:val="24"/>
        </w:rPr>
        <w:t>称</w:t>
      </w:r>
      <w:r>
        <w:rPr>
          <w:rFonts w:ascii="宋体" w:hAnsi="宋体" w:eastAsia="宋体" w:cs="宋体"/>
          <w:color w:val="auto"/>
          <w:spacing w:val="6"/>
          <w:sz w:val="24"/>
          <w:szCs w:val="24"/>
        </w:rPr>
        <w:t>），</w:t>
      </w:r>
      <w:r>
        <w:rPr>
          <w:rFonts w:ascii="宋体" w:hAnsi="宋体" w:eastAsia="宋体" w:cs="宋体"/>
          <w:color w:val="auto"/>
          <w:spacing w:val="-5"/>
          <w:sz w:val="24"/>
          <w:szCs w:val="24"/>
        </w:rPr>
        <w:t>从业人员</w:t>
      </w:r>
      <w:r>
        <w:rPr>
          <w:rFonts w:ascii="宋体" w:hAnsi="宋体" w:eastAsia="宋体" w:cs="宋体"/>
          <w:color w:val="auto"/>
          <w:spacing w:val="-5"/>
          <w:sz w:val="24"/>
          <w:szCs w:val="24"/>
          <w:u w:val="single" w:color="auto"/>
        </w:rPr>
        <w:t xml:space="preserve">        </w:t>
      </w:r>
      <w:r>
        <w:rPr>
          <w:rFonts w:ascii="宋体" w:hAnsi="宋体" w:eastAsia="宋体" w:cs="宋体"/>
          <w:color w:val="auto"/>
          <w:spacing w:val="-108"/>
          <w:sz w:val="24"/>
          <w:szCs w:val="24"/>
        </w:rPr>
        <w:t xml:space="preserve"> </w:t>
      </w:r>
      <w:r>
        <w:rPr>
          <w:rFonts w:ascii="宋体" w:hAnsi="宋体" w:eastAsia="宋体" w:cs="宋体"/>
          <w:color w:val="auto"/>
          <w:spacing w:val="-5"/>
          <w:sz w:val="24"/>
          <w:szCs w:val="24"/>
        </w:rPr>
        <w:t>人，营业收入为</w:t>
      </w:r>
      <w:r>
        <w:rPr>
          <w:rFonts w:ascii="宋体" w:hAnsi="宋体" w:eastAsia="宋体" w:cs="宋体"/>
          <w:color w:val="auto"/>
          <w:spacing w:val="-5"/>
          <w:sz w:val="24"/>
          <w:szCs w:val="24"/>
          <w:u w:val="single" w:color="auto"/>
        </w:rPr>
        <w:t xml:space="preserve">   </w:t>
      </w:r>
      <w:r>
        <w:rPr>
          <w:rFonts w:ascii="宋体" w:hAnsi="宋体" w:eastAsia="宋体" w:cs="宋体"/>
          <w:color w:val="auto"/>
          <w:spacing w:val="-104"/>
          <w:sz w:val="24"/>
          <w:szCs w:val="24"/>
        </w:rPr>
        <w:t xml:space="preserve"> </w:t>
      </w:r>
      <w:r>
        <w:rPr>
          <w:rFonts w:ascii="宋体" w:hAnsi="宋体" w:eastAsia="宋体" w:cs="宋体"/>
          <w:color w:val="auto"/>
          <w:spacing w:val="-5"/>
          <w:sz w:val="24"/>
          <w:szCs w:val="24"/>
        </w:rPr>
        <w:t>万元，资产</w:t>
      </w:r>
      <w:r>
        <w:rPr>
          <w:rFonts w:ascii="宋体" w:hAnsi="宋体" w:eastAsia="宋体" w:cs="宋体"/>
          <w:color w:val="auto"/>
          <w:spacing w:val="-1"/>
          <w:sz w:val="24"/>
          <w:szCs w:val="24"/>
        </w:rPr>
        <w:t>总额为</w:t>
      </w:r>
      <w:r>
        <w:rPr>
          <w:rFonts w:ascii="宋体" w:hAnsi="宋体" w:eastAsia="宋体" w:cs="宋体"/>
          <w:color w:val="auto"/>
          <w:spacing w:val="-1"/>
          <w:sz w:val="24"/>
          <w:szCs w:val="24"/>
          <w:u w:val="single" w:color="auto"/>
        </w:rPr>
        <w:t xml:space="preserve">        </w:t>
      </w:r>
      <w:r>
        <w:rPr>
          <w:rFonts w:ascii="宋体" w:hAnsi="宋体" w:eastAsia="宋体" w:cs="宋体"/>
          <w:color w:val="auto"/>
          <w:spacing w:val="-103"/>
          <w:sz w:val="24"/>
          <w:szCs w:val="24"/>
        </w:rPr>
        <w:t xml:space="preserve"> </w:t>
      </w:r>
      <w:r>
        <w:rPr>
          <w:rFonts w:ascii="宋体" w:hAnsi="宋体" w:eastAsia="宋体" w:cs="宋体"/>
          <w:color w:val="auto"/>
          <w:spacing w:val="-1"/>
          <w:sz w:val="24"/>
          <w:szCs w:val="24"/>
        </w:rPr>
        <w:t>万元，属于</w:t>
      </w:r>
      <w:r>
        <w:rPr>
          <w:rFonts w:ascii="宋体" w:hAnsi="宋体" w:eastAsia="宋体" w:cs="宋体"/>
          <w:color w:val="auto"/>
          <w:spacing w:val="-1"/>
          <w:sz w:val="24"/>
          <w:szCs w:val="24"/>
          <w:u w:val="single" w:color="auto"/>
        </w:rPr>
        <w:t xml:space="preserve">        </w:t>
      </w:r>
      <w:r>
        <w:rPr>
          <w:rFonts w:ascii="宋体" w:hAnsi="宋体" w:eastAsia="宋体" w:cs="宋体"/>
          <w:color w:val="auto"/>
          <w:spacing w:val="-1"/>
          <w:sz w:val="24"/>
          <w:szCs w:val="24"/>
        </w:rPr>
        <w:t>（中型企业、小型企业、微型企业</w:t>
      </w:r>
      <w:r>
        <w:rPr>
          <w:rFonts w:ascii="宋体" w:hAnsi="宋体" w:eastAsia="宋体" w:cs="宋体"/>
          <w:color w:val="auto"/>
          <w:spacing w:val="5"/>
          <w:sz w:val="24"/>
          <w:szCs w:val="24"/>
        </w:rPr>
        <w:t>）；</w:t>
      </w:r>
    </w:p>
    <w:p w14:paraId="23A9AC2C">
      <w:pPr>
        <w:spacing w:before="157" w:line="378" w:lineRule="exact"/>
        <w:ind w:left="863"/>
        <w:rPr>
          <w:rFonts w:ascii="宋体" w:hAnsi="宋体" w:eastAsia="宋体" w:cs="宋体"/>
          <w:color w:val="auto"/>
          <w:sz w:val="24"/>
          <w:szCs w:val="24"/>
        </w:rPr>
      </w:pPr>
      <w:r>
        <w:rPr>
          <w:rFonts w:ascii="宋体" w:hAnsi="宋体" w:eastAsia="宋体" w:cs="宋体"/>
          <w:color w:val="auto"/>
          <w:spacing w:val="-13"/>
          <w:position w:val="3"/>
          <w:sz w:val="24"/>
          <w:szCs w:val="24"/>
        </w:rPr>
        <w:t>……</w:t>
      </w:r>
    </w:p>
    <w:p w14:paraId="59AFC316">
      <w:pPr>
        <w:spacing w:before="60" w:line="339" w:lineRule="auto"/>
        <w:ind w:left="372" w:right="394" w:firstLine="502"/>
        <w:rPr>
          <w:rFonts w:ascii="宋体" w:hAnsi="宋体" w:eastAsia="宋体" w:cs="宋体"/>
          <w:color w:val="auto"/>
          <w:sz w:val="24"/>
          <w:szCs w:val="24"/>
        </w:rPr>
      </w:pPr>
      <w:r>
        <w:rPr>
          <w:rFonts w:ascii="宋体" w:hAnsi="宋体" w:eastAsia="宋体" w:cs="宋体"/>
          <w:color w:val="auto"/>
          <w:spacing w:val="-2"/>
          <w:sz w:val="24"/>
          <w:szCs w:val="24"/>
        </w:rPr>
        <w:t>以上企业，不属于大企业的分支机构，不存在控股</w:t>
      </w:r>
      <w:r>
        <w:rPr>
          <w:rFonts w:ascii="宋体" w:hAnsi="宋体" w:eastAsia="宋体" w:cs="宋体"/>
          <w:color w:val="auto"/>
          <w:spacing w:val="-3"/>
          <w:sz w:val="24"/>
          <w:szCs w:val="24"/>
        </w:rPr>
        <w:t>股东为大企业的情形，也不存在</w:t>
      </w:r>
      <w:r>
        <w:rPr>
          <w:rFonts w:ascii="宋体" w:hAnsi="宋体" w:eastAsia="宋体" w:cs="宋体"/>
          <w:color w:val="auto"/>
          <w:spacing w:val="-1"/>
          <w:sz w:val="24"/>
          <w:szCs w:val="24"/>
        </w:rPr>
        <w:t>与大企业的负责人为同一人的情形。</w:t>
      </w:r>
    </w:p>
    <w:p w14:paraId="35149CD6">
      <w:pPr>
        <w:spacing w:before="1" w:line="218" w:lineRule="auto"/>
        <w:ind w:left="848"/>
        <w:rPr>
          <w:rFonts w:ascii="宋体" w:hAnsi="宋体" w:eastAsia="宋体" w:cs="宋体"/>
          <w:color w:val="auto"/>
          <w:sz w:val="24"/>
          <w:szCs w:val="24"/>
        </w:rPr>
      </w:pPr>
      <w:r>
        <w:rPr>
          <w:rFonts w:ascii="宋体" w:hAnsi="宋体" w:eastAsia="宋体" w:cs="宋体"/>
          <w:color w:val="auto"/>
          <w:sz w:val="24"/>
          <w:szCs w:val="24"/>
        </w:rPr>
        <w:t>本企业对上述声明内容的真实性负责。如有虚</w:t>
      </w:r>
      <w:r>
        <w:rPr>
          <w:rFonts w:ascii="宋体" w:hAnsi="宋体" w:eastAsia="宋体" w:cs="宋体"/>
          <w:color w:val="auto"/>
          <w:spacing w:val="-1"/>
          <w:sz w:val="24"/>
          <w:szCs w:val="24"/>
        </w:rPr>
        <w:t>假，将依法承担相应责任。</w:t>
      </w:r>
    </w:p>
    <w:p w14:paraId="126AEA4E">
      <w:pPr>
        <w:pStyle w:val="6"/>
        <w:spacing w:line="317" w:lineRule="auto"/>
        <w:rPr>
          <w:color w:val="auto"/>
        </w:rPr>
      </w:pPr>
    </w:p>
    <w:p w14:paraId="51D22FEE">
      <w:pPr>
        <w:pStyle w:val="6"/>
        <w:spacing w:line="317" w:lineRule="auto"/>
        <w:rPr>
          <w:color w:val="auto"/>
        </w:rPr>
      </w:pPr>
    </w:p>
    <w:p w14:paraId="73E6B6E0">
      <w:pPr>
        <w:pStyle w:val="6"/>
        <w:spacing w:line="317" w:lineRule="auto"/>
        <w:rPr>
          <w:color w:val="auto"/>
        </w:rPr>
      </w:pPr>
    </w:p>
    <w:p w14:paraId="615D755D">
      <w:pPr>
        <w:spacing w:before="78" w:line="219" w:lineRule="auto"/>
        <w:ind w:left="4931"/>
        <w:rPr>
          <w:rFonts w:ascii="宋体" w:hAnsi="宋体" w:eastAsia="宋体" w:cs="宋体"/>
          <w:color w:val="auto"/>
          <w:sz w:val="24"/>
          <w:szCs w:val="24"/>
        </w:rPr>
      </w:pPr>
      <w:r>
        <w:rPr>
          <w:rFonts w:ascii="宋体" w:hAnsi="宋体" w:eastAsia="宋体" w:cs="宋体"/>
          <w:color w:val="auto"/>
          <w:spacing w:val="-2"/>
          <w:sz w:val="24"/>
          <w:szCs w:val="24"/>
        </w:rPr>
        <w:t>企业名称（盖章</w:t>
      </w:r>
      <w:r>
        <w:rPr>
          <w:rFonts w:ascii="宋体" w:hAnsi="宋体" w:eastAsia="宋体" w:cs="宋体"/>
          <w:color w:val="auto"/>
          <w:sz w:val="24"/>
          <w:szCs w:val="24"/>
        </w:rPr>
        <w:t>）：</w:t>
      </w:r>
    </w:p>
    <w:p w14:paraId="78679F72">
      <w:pPr>
        <w:spacing w:before="220" w:line="220" w:lineRule="auto"/>
        <w:ind w:left="4969"/>
        <w:rPr>
          <w:rFonts w:ascii="宋体" w:hAnsi="宋体" w:eastAsia="宋体" w:cs="宋体"/>
          <w:color w:val="auto"/>
          <w:sz w:val="24"/>
          <w:szCs w:val="24"/>
        </w:rPr>
      </w:pPr>
      <w:r>
        <w:rPr>
          <w:rFonts w:ascii="宋体" w:hAnsi="宋体" w:eastAsia="宋体" w:cs="宋体"/>
          <w:color w:val="auto"/>
          <w:spacing w:val="-21"/>
          <w:sz w:val="24"/>
          <w:szCs w:val="24"/>
        </w:rPr>
        <w:t>日</w:t>
      </w:r>
      <w:r>
        <w:rPr>
          <w:rFonts w:ascii="宋体" w:hAnsi="宋体" w:eastAsia="宋体" w:cs="宋体"/>
          <w:color w:val="auto"/>
          <w:spacing w:val="3"/>
          <w:sz w:val="24"/>
          <w:szCs w:val="24"/>
        </w:rPr>
        <w:t xml:space="preserve">    </w:t>
      </w:r>
      <w:r>
        <w:rPr>
          <w:rFonts w:ascii="宋体" w:hAnsi="宋体" w:eastAsia="宋体" w:cs="宋体"/>
          <w:color w:val="auto"/>
          <w:spacing w:val="-21"/>
          <w:sz w:val="24"/>
          <w:szCs w:val="24"/>
        </w:rPr>
        <w:t>期：</w:t>
      </w:r>
    </w:p>
    <w:p w14:paraId="1DB07BAE">
      <w:pPr>
        <w:spacing w:line="220" w:lineRule="auto"/>
        <w:rPr>
          <w:rFonts w:ascii="宋体" w:hAnsi="宋体" w:eastAsia="宋体" w:cs="宋体"/>
          <w:color w:val="auto"/>
          <w:sz w:val="24"/>
          <w:szCs w:val="24"/>
        </w:rPr>
      </w:pPr>
    </w:p>
    <w:p w14:paraId="5CE9C202">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lang w:val="en-US" w:eastAsia="zh-CN"/>
        </w:rPr>
      </w:pPr>
    </w:p>
    <w:p w14:paraId="334311F0">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lang w:val="en-US" w:eastAsia="zh-CN"/>
        </w:rPr>
      </w:pPr>
    </w:p>
    <w:p w14:paraId="15FAB3BA">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lang w:val="en-US" w:eastAsia="zh-CN"/>
        </w:rPr>
      </w:pPr>
    </w:p>
    <w:p w14:paraId="283D9F6E">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lang w:val="en-US" w:eastAsia="zh-CN"/>
        </w:rPr>
      </w:pPr>
    </w:p>
    <w:p w14:paraId="19CF0B9C">
      <w:pPr>
        <w:spacing w:line="220" w:lineRule="auto"/>
        <w:rPr>
          <w:rFonts w:ascii="宋体" w:hAnsi="宋体" w:eastAsia="宋体" w:cs="宋体"/>
          <w:color w:val="auto"/>
          <w:sz w:val="24"/>
          <w:szCs w:val="24"/>
        </w:rPr>
        <w:sectPr>
          <w:footerReference r:id="rId17" w:type="default"/>
          <w:pgSz w:w="11906" w:h="16839"/>
          <w:pgMar w:top="1173" w:right="965" w:bottom="1478" w:left="1115" w:header="822" w:footer="985" w:gutter="0"/>
          <w:pgNumType w:fmt="decimal"/>
          <w:cols w:space="720" w:num="1"/>
        </w:sectPr>
      </w:pPr>
    </w:p>
    <w:p w14:paraId="4960880E">
      <w:pPr>
        <w:autoSpaceDE w:val="0"/>
        <w:autoSpaceDN w:val="0"/>
        <w:adjustRightInd w:val="0"/>
        <w:snapToGrid w:val="0"/>
        <w:spacing w:line="312" w:lineRule="auto"/>
        <w:jc w:val="center"/>
        <w:rPr>
          <w:rFonts w:hint="eastAsia" w:ascii="宋体" w:hAnsi="宋体" w:eastAsia="宋体" w:cs="宋体"/>
          <w:b/>
          <w:bCs w:val="0"/>
          <w:color w:val="auto"/>
          <w:sz w:val="32"/>
          <w:szCs w:val="32"/>
          <w:lang w:val="zh-CN"/>
        </w:rPr>
      </w:pPr>
    </w:p>
    <w:p w14:paraId="3F42D2AB">
      <w:pPr>
        <w:autoSpaceDE w:val="0"/>
        <w:autoSpaceDN w:val="0"/>
        <w:adjustRightInd w:val="0"/>
        <w:snapToGrid w:val="0"/>
        <w:spacing w:line="312" w:lineRule="auto"/>
        <w:jc w:val="center"/>
        <w:rPr>
          <w:rFonts w:hint="eastAsia" w:ascii="宋体" w:hAnsi="宋体" w:eastAsia="宋体" w:cs="宋体"/>
          <w:b/>
          <w:bCs w:val="0"/>
          <w:color w:val="auto"/>
          <w:sz w:val="32"/>
          <w:szCs w:val="32"/>
          <w:lang w:val="zh-CN"/>
        </w:rPr>
      </w:pPr>
      <w:r>
        <w:rPr>
          <w:rFonts w:hint="eastAsia" w:ascii="宋体" w:hAnsi="宋体" w:eastAsia="宋体" w:cs="宋体"/>
          <w:b/>
          <w:bCs w:val="0"/>
          <w:color w:val="auto"/>
          <w:sz w:val="32"/>
          <w:szCs w:val="32"/>
          <w:lang w:val="zh-CN"/>
        </w:rPr>
        <w:t>第</w:t>
      </w:r>
      <w:r>
        <w:rPr>
          <w:rFonts w:hint="eastAsia" w:ascii="宋体" w:hAnsi="宋体" w:eastAsia="宋体" w:cs="宋体"/>
          <w:b/>
          <w:bCs w:val="0"/>
          <w:color w:val="auto"/>
          <w:sz w:val="32"/>
          <w:szCs w:val="32"/>
          <w:lang w:val="en-US" w:eastAsia="zh-CN"/>
        </w:rPr>
        <w:t>六</w:t>
      </w:r>
      <w:r>
        <w:rPr>
          <w:rFonts w:hint="eastAsia" w:ascii="宋体" w:hAnsi="宋体" w:eastAsia="宋体" w:cs="宋体"/>
          <w:b/>
          <w:bCs w:val="0"/>
          <w:color w:val="auto"/>
          <w:sz w:val="32"/>
          <w:szCs w:val="32"/>
          <w:lang w:val="zh-CN"/>
        </w:rPr>
        <w:t>部分</w:t>
      </w:r>
      <w:r>
        <w:rPr>
          <w:rFonts w:hint="eastAsia" w:ascii="宋体" w:hAnsi="宋体" w:eastAsia="宋体" w:cs="宋体"/>
          <w:b/>
          <w:bCs w:val="0"/>
          <w:color w:val="auto"/>
          <w:sz w:val="32"/>
          <w:szCs w:val="32"/>
          <w:lang w:val="en-US" w:eastAsia="zh-CN"/>
        </w:rPr>
        <w:t xml:space="preserve">  </w:t>
      </w:r>
      <w:r>
        <w:rPr>
          <w:rFonts w:hint="eastAsia" w:ascii="宋体" w:hAnsi="宋体" w:eastAsia="宋体" w:cs="宋体"/>
          <w:b/>
          <w:bCs w:val="0"/>
          <w:color w:val="auto"/>
          <w:sz w:val="32"/>
          <w:szCs w:val="32"/>
          <w:lang w:val="zh-CN"/>
        </w:rPr>
        <w:t>法定代表人授权书</w:t>
      </w:r>
    </w:p>
    <w:p w14:paraId="6330DA01">
      <w:pPr>
        <w:autoSpaceDE w:val="0"/>
        <w:autoSpaceDN w:val="0"/>
        <w:adjustRightInd w:val="0"/>
        <w:spacing w:line="348" w:lineRule="auto"/>
        <w:ind w:firstLine="400"/>
        <w:rPr>
          <w:rFonts w:hint="eastAsia" w:ascii="宋体" w:hAnsi="宋体" w:eastAsia="宋体" w:cs="宋体"/>
          <w:b/>
          <w:bCs/>
          <w:color w:val="auto"/>
          <w:sz w:val="20"/>
        </w:rPr>
      </w:pPr>
    </w:p>
    <w:p w14:paraId="38FC7235">
      <w:pPr>
        <w:autoSpaceDE w:val="0"/>
        <w:autoSpaceDN w:val="0"/>
        <w:adjustRightInd w:val="0"/>
        <w:spacing w:line="348"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旬阳市水利局</w:t>
      </w:r>
      <w:r>
        <w:rPr>
          <w:rFonts w:hint="eastAsia" w:ascii="宋体" w:hAnsi="宋体" w:eastAsia="宋体" w:cs="宋体"/>
          <w:color w:val="auto"/>
          <w:sz w:val="24"/>
          <w:szCs w:val="24"/>
          <w:lang w:val="zh-CN"/>
        </w:rPr>
        <w:t>：</w:t>
      </w:r>
    </w:p>
    <w:p w14:paraId="4BDCD41E">
      <w:pPr>
        <w:autoSpaceDE w:val="0"/>
        <w:autoSpaceDN w:val="0"/>
        <w:adjustRightInd w:val="0"/>
        <w:spacing w:line="348" w:lineRule="auto"/>
        <w:ind w:firstLine="640"/>
        <w:rPr>
          <w:rFonts w:hint="eastAsia" w:ascii="宋体" w:hAnsi="宋体" w:eastAsia="宋体" w:cs="宋体"/>
          <w:color w:val="auto"/>
          <w:sz w:val="24"/>
          <w:szCs w:val="24"/>
        </w:rPr>
      </w:pPr>
      <w:r>
        <w:rPr>
          <w:rFonts w:hint="eastAsia" w:ascii="宋体" w:hAnsi="宋体" w:eastAsia="宋体" w:cs="宋体"/>
          <w:color w:val="auto"/>
          <w:sz w:val="24"/>
          <w:szCs w:val="24"/>
          <w:lang w:val="zh-CN"/>
        </w:rPr>
        <w:t>注册于</w:t>
      </w:r>
      <w:r>
        <w:rPr>
          <w:rFonts w:hint="eastAsia" w:ascii="宋体" w:hAnsi="宋体" w:eastAsia="宋体" w:cs="宋体"/>
          <w:color w:val="auto"/>
          <w:sz w:val="24"/>
          <w:szCs w:val="24"/>
          <w:u w:val="single"/>
          <w:lang w:val="zh-CN"/>
        </w:rPr>
        <w:t>（工商行政管理局名称）</w:t>
      </w:r>
      <w:r>
        <w:rPr>
          <w:rFonts w:hint="eastAsia" w:ascii="宋体" w:hAnsi="宋体" w:eastAsia="宋体" w:cs="宋体"/>
          <w:color w:val="auto"/>
          <w:sz w:val="24"/>
          <w:szCs w:val="24"/>
          <w:lang w:val="zh-CN"/>
        </w:rPr>
        <w:t>之</w:t>
      </w:r>
      <w:r>
        <w:rPr>
          <w:rFonts w:hint="eastAsia" w:ascii="宋体" w:hAnsi="宋体" w:eastAsia="宋体" w:cs="宋体"/>
          <w:color w:val="auto"/>
          <w:sz w:val="24"/>
          <w:szCs w:val="24"/>
          <w:u w:val="single"/>
          <w:lang w:val="zh-CN"/>
        </w:rPr>
        <w:t>（供应商全称）</w:t>
      </w:r>
      <w:r>
        <w:rPr>
          <w:rFonts w:hint="eastAsia" w:ascii="宋体" w:hAnsi="宋体" w:eastAsia="宋体" w:cs="宋体"/>
          <w:color w:val="auto"/>
          <w:sz w:val="24"/>
          <w:szCs w:val="24"/>
          <w:lang w:val="zh-CN"/>
        </w:rPr>
        <w:t>法人代表</w:t>
      </w:r>
      <w:r>
        <w:rPr>
          <w:rFonts w:hint="eastAsia" w:ascii="宋体" w:hAnsi="宋体" w:eastAsia="宋体" w:cs="宋体"/>
          <w:color w:val="auto"/>
          <w:sz w:val="24"/>
          <w:szCs w:val="24"/>
          <w:u w:val="single"/>
          <w:lang w:val="zh-CN"/>
        </w:rPr>
        <w:t>（姓名、职务）</w:t>
      </w:r>
      <w:r>
        <w:rPr>
          <w:rFonts w:hint="eastAsia" w:ascii="宋体" w:hAnsi="宋体" w:eastAsia="宋体" w:cs="宋体"/>
          <w:color w:val="auto"/>
          <w:sz w:val="24"/>
          <w:szCs w:val="24"/>
          <w:lang w:val="zh-CN"/>
        </w:rPr>
        <w:t>授权</w:t>
      </w:r>
      <w:r>
        <w:rPr>
          <w:rFonts w:hint="eastAsia" w:ascii="宋体" w:hAnsi="宋体" w:eastAsia="宋体" w:cs="宋体"/>
          <w:color w:val="auto"/>
          <w:sz w:val="24"/>
          <w:szCs w:val="24"/>
          <w:u w:val="single"/>
          <w:lang w:val="zh-CN"/>
        </w:rPr>
        <w:t>（被授权人姓名、职务）</w:t>
      </w:r>
      <w:r>
        <w:rPr>
          <w:rFonts w:hint="eastAsia" w:ascii="宋体" w:hAnsi="宋体" w:eastAsia="宋体" w:cs="宋体"/>
          <w:color w:val="auto"/>
          <w:sz w:val="24"/>
          <w:szCs w:val="24"/>
          <w:lang w:val="zh-CN"/>
        </w:rPr>
        <w:t>为本公司的合法代理人，就</w:t>
      </w:r>
      <w:r>
        <w:rPr>
          <w:rFonts w:hint="eastAsia" w:ascii="宋体" w:hAnsi="宋体" w:eastAsia="宋体" w:cs="宋体"/>
          <w:color w:val="auto"/>
          <w:sz w:val="24"/>
          <w:szCs w:val="24"/>
          <w:u w:val="single"/>
          <w:lang w:val="zh-CN"/>
        </w:rPr>
        <w:t>（项目名称）</w:t>
      </w:r>
      <w:r>
        <w:rPr>
          <w:rFonts w:hint="eastAsia" w:ascii="宋体" w:hAnsi="宋体" w:eastAsia="宋体" w:cs="宋体"/>
          <w:color w:val="auto"/>
          <w:sz w:val="24"/>
          <w:szCs w:val="24"/>
          <w:lang w:val="zh-CN"/>
        </w:rPr>
        <w:t>的谈判及合同的执行和完成，以本公司的名义处理一切与之有关的事宜。</w:t>
      </w:r>
    </w:p>
    <w:p w14:paraId="7F1227DE">
      <w:pPr>
        <w:autoSpaceDE w:val="0"/>
        <w:autoSpaceDN w:val="0"/>
        <w:adjustRightInd w:val="0"/>
        <w:spacing w:line="348" w:lineRule="auto"/>
        <w:rPr>
          <w:rFonts w:hint="eastAsia" w:ascii="宋体" w:hAnsi="宋体" w:eastAsia="宋体" w:cs="宋体"/>
          <w:color w:val="auto"/>
          <w:sz w:val="24"/>
          <w:szCs w:val="24"/>
        </w:rPr>
      </w:pPr>
    </w:p>
    <w:p w14:paraId="07595B73">
      <w:pPr>
        <w:autoSpaceDE w:val="0"/>
        <w:autoSpaceDN w:val="0"/>
        <w:adjustRightInd w:val="0"/>
        <w:spacing w:line="348"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lang w:val="zh-CN"/>
        </w:rPr>
        <w:t>附：被授权人姓名：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性别：</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年龄：</w:t>
      </w:r>
      <w:r>
        <w:rPr>
          <w:rFonts w:hint="eastAsia" w:ascii="宋体" w:hAnsi="宋体" w:eastAsia="宋体" w:cs="宋体"/>
          <w:color w:val="auto"/>
          <w:sz w:val="24"/>
          <w:szCs w:val="24"/>
          <w:u w:val="single"/>
        </w:rPr>
        <w:t xml:space="preserve">        </w:t>
      </w:r>
    </w:p>
    <w:p w14:paraId="51B2914C">
      <w:pPr>
        <w:autoSpaceDE w:val="0"/>
        <w:autoSpaceDN w:val="0"/>
        <w:adjustRightInd w:val="0"/>
        <w:spacing w:line="348" w:lineRule="auto"/>
        <w:ind w:firstLine="630"/>
        <w:rPr>
          <w:rFonts w:hint="eastAsia" w:ascii="宋体" w:hAnsi="宋体" w:eastAsia="宋体" w:cs="宋体"/>
          <w:color w:val="auto"/>
          <w:sz w:val="24"/>
          <w:szCs w:val="24"/>
        </w:rPr>
      </w:pPr>
      <w:r>
        <w:rPr>
          <w:rFonts w:hint="eastAsia" w:ascii="宋体" w:hAnsi="宋体" w:eastAsia="宋体" w:cs="宋体"/>
          <w:color w:val="auto"/>
          <w:sz w:val="24"/>
          <w:szCs w:val="24"/>
          <w:lang w:val="zh-CN"/>
        </w:rPr>
        <w:t>职</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zh-CN"/>
        </w:rPr>
        <w:t>务：</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身份证号码：</w:t>
      </w:r>
      <w:r>
        <w:rPr>
          <w:rFonts w:hint="eastAsia" w:ascii="宋体" w:hAnsi="宋体" w:eastAsia="宋体" w:cs="宋体"/>
          <w:color w:val="auto"/>
          <w:sz w:val="24"/>
          <w:szCs w:val="24"/>
          <w:u w:val="single"/>
        </w:rPr>
        <w:t xml:space="preserve">             </w:t>
      </w:r>
    </w:p>
    <w:p w14:paraId="73F9CC0F">
      <w:pPr>
        <w:autoSpaceDE w:val="0"/>
        <w:autoSpaceDN w:val="0"/>
        <w:adjustRightInd w:val="0"/>
        <w:spacing w:line="348" w:lineRule="auto"/>
        <w:ind w:firstLine="630"/>
        <w:rPr>
          <w:rFonts w:hint="eastAsia" w:ascii="宋体" w:hAnsi="宋体" w:eastAsia="宋体" w:cs="宋体"/>
          <w:color w:val="auto"/>
          <w:sz w:val="24"/>
          <w:szCs w:val="24"/>
          <w:u w:val="single"/>
        </w:rPr>
      </w:pPr>
      <w:r>
        <w:rPr>
          <w:rFonts w:hint="eastAsia" w:ascii="宋体" w:hAnsi="宋体" w:eastAsia="宋体" w:cs="宋体"/>
          <w:color w:val="auto"/>
          <w:sz w:val="24"/>
          <w:szCs w:val="24"/>
          <w:lang w:val="zh-CN"/>
        </w:rPr>
        <w:t>通讯地址：</w:t>
      </w:r>
      <w:r>
        <w:rPr>
          <w:rFonts w:hint="eastAsia" w:ascii="宋体" w:hAnsi="宋体" w:eastAsia="宋体" w:cs="宋体"/>
          <w:color w:val="auto"/>
          <w:sz w:val="24"/>
          <w:szCs w:val="24"/>
          <w:u w:val="single"/>
        </w:rPr>
        <w:t xml:space="preserve">                                      </w:t>
      </w:r>
    </w:p>
    <w:p w14:paraId="64F14BBE">
      <w:pPr>
        <w:autoSpaceDE w:val="0"/>
        <w:autoSpaceDN w:val="0"/>
        <w:adjustRightInd w:val="0"/>
        <w:spacing w:line="348" w:lineRule="auto"/>
        <w:ind w:firstLine="630"/>
        <w:rPr>
          <w:rFonts w:hint="eastAsia" w:ascii="宋体" w:hAnsi="宋体" w:eastAsia="宋体" w:cs="宋体"/>
          <w:color w:val="auto"/>
          <w:sz w:val="24"/>
          <w:szCs w:val="24"/>
          <w:u w:val="single"/>
        </w:rPr>
      </w:pPr>
      <w:r>
        <w:rPr>
          <w:rFonts w:hint="eastAsia" w:ascii="宋体" w:hAnsi="宋体" w:eastAsia="宋体" w:cs="宋体"/>
          <w:color w:val="auto"/>
          <w:sz w:val="24"/>
          <w:szCs w:val="24"/>
          <w:lang w:val="zh-CN"/>
        </w:rPr>
        <w:t>邮政编码：</w:t>
      </w:r>
      <w:r>
        <w:rPr>
          <w:rFonts w:hint="eastAsia" w:ascii="宋体" w:hAnsi="宋体" w:eastAsia="宋体" w:cs="宋体"/>
          <w:color w:val="auto"/>
          <w:sz w:val="24"/>
          <w:szCs w:val="24"/>
          <w:u w:val="single"/>
        </w:rPr>
        <w:t xml:space="preserve">                                      </w:t>
      </w:r>
    </w:p>
    <w:p w14:paraId="07778A53">
      <w:pPr>
        <w:autoSpaceDE w:val="0"/>
        <w:autoSpaceDN w:val="0"/>
        <w:adjustRightInd w:val="0"/>
        <w:spacing w:line="348" w:lineRule="auto"/>
        <w:ind w:firstLine="630"/>
        <w:rPr>
          <w:rFonts w:hint="eastAsia" w:ascii="宋体" w:hAnsi="宋体" w:eastAsia="宋体" w:cs="宋体"/>
          <w:color w:val="auto"/>
          <w:sz w:val="24"/>
          <w:szCs w:val="24"/>
          <w:u w:val="single"/>
        </w:rPr>
      </w:pPr>
      <w:r>
        <w:rPr>
          <w:rFonts w:hint="eastAsia" w:ascii="宋体" w:hAnsi="宋体" w:eastAsia="宋体" w:cs="宋体"/>
          <w:color w:val="auto"/>
          <w:sz w:val="24"/>
          <w:szCs w:val="24"/>
          <w:lang w:val="zh-CN"/>
        </w:rPr>
        <w:t>电</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zh-CN"/>
        </w:rPr>
        <w:t>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传真：</w:t>
      </w:r>
      <w:r>
        <w:rPr>
          <w:rFonts w:hint="eastAsia" w:ascii="宋体" w:hAnsi="宋体" w:eastAsia="宋体" w:cs="宋体"/>
          <w:color w:val="auto"/>
          <w:sz w:val="24"/>
          <w:szCs w:val="24"/>
          <w:u w:val="single"/>
        </w:rPr>
        <w:t xml:space="preserve">           </w:t>
      </w:r>
    </w:p>
    <w:p w14:paraId="7E0977E9">
      <w:pPr>
        <w:autoSpaceDE w:val="0"/>
        <w:autoSpaceDN w:val="0"/>
        <w:adjustRightInd w:val="0"/>
        <w:spacing w:line="348" w:lineRule="auto"/>
        <w:rPr>
          <w:rFonts w:hint="eastAsia" w:ascii="宋体" w:hAnsi="宋体" w:eastAsia="宋体" w:cs="宋体"/>
          <w:color w:val="auto"/>
          <w:sz w:val="24"/>
          <w:szCs w:val="24"/>
        </w:rPr>
      </w:pPr>
    </w:p>
    <w:p w14:paraId="242012E9">
      <w:pPr>
        <w:autoSpaceDE w:val="0"/>
        <w:autoSpaceDN w:val="0"/>
        <w:adjustRightInd w:val="0"/>
        <w:spacing w:line="348"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zh-CN"/>
        </w:rPr>
        <w:t>法定代表人</w:t>
      </w:r>
      <w:r>
        <w:rPr>
          <w:rFonts w:hint="eastAsia" w:ascii="宋体" w:hAnsi="宋体" w:eastAsia="宋体" w:cs="宋体"/>
          <w:color w:val="auto"/>
          <w:sz w:val="24"/>
          <w:szCs w:val="24"/>
        </w:rPr>
        <w:t>及</w:t>
      </w:r>
      <w:r>
        <w:rPr>
          <w:rFonts w:hint="eastAsia" w:ascii="宋体" w:hAnsi="宋体" w:eastAsia="宋体" w:cs="宋体"/>
          <w:color w:val="auto"/>
          <w:sz w:val="24"/>
          <w:szCs w:val="24"/>
          <w:lang w:val="zh-CN"/>
        </w:rPr>
        <w:t>授权代表身份证复印件</w:t>
      </w:r>
    </w:p>
    <w:tbl>
      <w:tblPr>
        <w:tblStyle w:val="18"/>
        <w:tblW w:w="0" w:type="auto"/>
        <w:tblInd w:w="679" w:type="dxa"/>
        <w:tblLayout w:type="fixed"/>
        <w:tblCellMar>
          <w:top w:w="0" w:type="dxa"/>
          <w:left w:w="108" w:type="dxa"/>
          <w:bottom w:w="0" w:type="dxa"/>
          <w:right w:w="108" w:type="dxa"/>
        </w:tblCellMar>
      </w:tblPr>
      <w:tblGrid>
        <w:gridCol w:w="4049"/>
        <w:gridCol w:w="3885"/>
      </w:tblGrid>
      <w:tr w14:paraId="45ED816E">
        <w:tblPrEx>
          <w:tblCellMar>
            <w:top w:w="0" w:type="dxa"/>
            <w:left w:w="108" w:type="dxa"/>
            <w:bottom w:w="0" w:type="dxa"/>
            <w:right w:w="108" w:type="dxa"/>
          </w:tblCellMar>
        </w:tblPrEx>
        <w:trPr>
          <w:trHeight w:val="2100" w:hRule="atLeast"/>
        </w:trPr>
        <w:tc>
          <w:tcPr>
            <w:tcW w:w="4049" w:type="dxa"/>
            <w:tcBorders>
              <w:top w:val="single" w:color="auto" w:sz="6" w:space="0"/>
              <w:left w:val="single" w:color="auto" w:sz="6" w:space="0"/>
              <w:bottom w:val="single" w:color="auto" w:sz="6" w:space="0"/>
              <w:right w:val="single" w:color="auto" w:sz="6" w:space="0"/>
            </w:tcBorders>
            <w:noWrap w:val="0"/>
            <w:vAlign w:val="center"/>
          </w:tcPr>
          <w:p w14:paraId="56DA5323">
            <w:pPr>
              <w:autoSpaceDE w:val="0"/>
              <w:autoSpaceDN w:val="0"/>
              <w:adjustRightInd w:val="0"/>
              <w:spacing w:line="348" w:lineRule="auto"/>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法定代表人身份证复印件</w:t>
            </w:r>
          </w:p>
          <w:p w14:paraId="355921CA">
            <w:pPr>
              <w:autoSpaceDE w:val="0"/>
              <w:autoSpaceDN w:val="0"/>
              <w:adjustRightInd w:val="0"/>
              <w:spacing w:line="348" w:lineRule="auto"/>
              <w:jc w:val="center"/>
              <w:rPr>
                <w:rFonts w:hint="eastAsia" w:ascii="宋体" w:hAnsi="宋体" w:eastAsia="宋体" w:cs="宋体"/>
                <w:color w:val="auto"/>
                <w:sz w:val="24"/>
                <w:szCs w:val="24"/>
                <w:u w:val="single"/>
              </w:rPr>
            </w:pPr>
            <w:r>
              <w:rPr>
                <w:rFonts w:hint="eastAsia" w:ascii="宋体" w:hAnsi="宋体" w:eastAsia="宋体" w:cs="宋体"/>
                <w:color w:val="auto"/>
                <w:sz w:val="24"/>
                <w:szCs w:val="24"/>
                <w:lang w:val="zh-CN"/>
              </w:rPr>
              <w:t>（正反面）</w:t>
            </w:r>
          </w:p>
        </w:tc>
        <w:tc>
          <w:tcPr>
            <w:tcW w:w="3885" w:type="dxa"/>
            <w:tcBorders>
              <w:top w:val="single" w:color="auto" w:sz="6" w:space="0"/>
              <w:left w:val="single" w:color="auto" w:sz="6" w:space="0"/>
              <w:bottom w:val="single" w:color="auto" w:sz="6" w:space="0"/>
              <w:right w:val="single" w:color="auto" w:sz="6" w:space="0"/>
            </w:tcBorders>
            <w:noWrap w:val="0"/>
            <w:vAlign w:val="center"/>
          </w:tcPr>
          <w:p w14:paraId="69CDA69E">
            <w:pPr>
              <w:autoSpaceDE w:val="0"/>
              <w:autoSpaceDN w:val="0"/>
              <w:adjustRightInd w:val="0"/>
              <w:spacing w:line="348" w:lineRule="auto"/>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授权代表身份证复印件</w:t>
            </w:r>
          </w:p>
          <w:p w14:paraId="5C1465B7">
            <w:pPr>
              <w:autoSpaceDE w:val="0"/>
              <w:autoSpaceDN w:val="0"/>
              <w:adjustRightInd w:val="0"/>
              <w:spacing w:line="348" w:lineRule="auto"/>
              <w:jc w:val="center"/>
              <w:rPr>
                <w:rFonts w:hint="eastAsia" w:ascii="宋体" w:hAnsi="宋体" w:eastAsia="宋体" w:cs="宋体"/>
                <w:color w:val="auto"/>
                <w:sz w:val="24"/>
                <w:szCs w:val="24"/>
                <w:u w:val="single"/>
              </w:rPr>
            </w:pPr>
            <w:r>
              <w:rPr>
                <w:rFonts w:hint="eastAsia" w:ascii="宋体" w:hAnsi="宋体" w:eastAsia="宋体" w:cs="宋体"/>
                <w:color w:val="auto"/>
                <w:sz w:val="24"/>
                <w:szCs w:val="24"/>
                <w:lang w:val="zh-CN"/>
              </w:rPr>
              <w:t>（正反面）</w:t>
            </w:r>
          </w:p>
        </w:tc>
      </w:tr>
    </w:tbl>
    <w:p w14:paraId="54AE7AFE">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供应商                         法定代表人</w:t>
      </w:r>
    </w:p>
    <w:p w14:paraId="315021B3">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（公章）：                     （</w:t>
      </w:r>
      <w:r>
        <w:rPr>
          <w:rFonts w:hint="eastAsia" w:ascii="宋体" w:hAnsi="宋体" w:eastAsia="宋体" w:cs="宋体"/>
          <w:color w:val="auto"/>
          <w:sz w:val="24"/>
          <w:szCs w:val="24"/>
          <w:lang w:eastAsia="zh-CN"/>
        </w:rPr>
        <w:t>签字或盖章</w:t>
      </w:r>
      <w:r>
        <w:rPr>
          <w:rFonts w:hint="eastAsia" w:ascii="宋体" w:hAnsi="宋体" w:eastAsia="宋体" w:cs="宋体"/>
          <w:color w:val="auto"/>
          <w:sz w:val="24"/>
          <w:szCs w:val="24"/>
        </w:rPr>
        <w:t>）：</w:t>
      </w:r>
    </w:p>
    <w:p w14:paraId="40449E43">
      <w:pPr>
        <w:autoSpaceDE w:val="0"/>
        <w:autoSpaceDN w:val="0"/>
        <w:adjustRightInd w:val="0"/>
        <w:spacing w:line="348"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66354F50">
      <w:pPr>
        <w:autoSpaceDE w:val="0"/>
        <w:autoSpaceDN w:val="0"/>
        <w:adjustRightInd w:val="0"/>
        <w:spacing w:line="348" w:lineRule="auto"/>
        <w:ind w:firstLine="630"/>
        <w:rPr>
          <w:rFonts w:hint="eastAsia" w:ascii="宋体" w:hAnsi="宋体" w:eastAsia="宋体" w:cs="宋体"/>
          <w:color w:val="auto"/>
          <w:sz w:val="24"/>
          <w:szCs w:val="24"/>
        </w:rPr>
      </w:pPr>
    </w:p>
    <w:p w14:paraId="754B5BA9">
      <w:pPr>
        <w:autoSpaceDE w:val="0"/>
        <w:autoSpaceDN w:val="0"/>
        <w:adjustRightInd w:val="0"/>
        <w:spacing w:line="348" w:lineRule="auto"/>
        <w:ind w:firstLine="630"/>
        <w:rPr>
          <w:rFonts w:hint="eastAsia" w:ascii="宋体" w:hAnsi="宋体" w:eastAsia="宋体" w:cs="宋体"/>
          <w:color w:val="auto"/>
          <w:sz w:val="24"/>
          <w:szCs w:val="24"/>
        </w:rPr>
      </w:pPr>
      <w:r>
        <w:rPr>
          <w:rFonts w:hint="eastAsia" w:ascii="宋体" w:hAnsi="宋体" w:eastAsia="宋体" w:cs="宋体"/>
          <w:color w:val="auto"/>
          <w:sz w:val="24"/>
          <w:szCs w:val="24"/>
          <w:lang w:val="zh-CN"/>
        </w:rPr>
        <w:t>本授权有效期：</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zh-CN"/>
        </w:rPr>
        <w:t>年</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zh-CN"/>
        </w:rPr>
        <w:t>月</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zh-CN"/>
        </w:rPr>
        <w:t>日至</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zh-CN"/>
        </w:rPr>
        <w:t>年</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zh-CN"/>
        </w:rPr>
        <w:t>月</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zh-CN"/>
        </w:rPr>
        <w:t>日</w:t>
      </w:r>
    </w:p>
    <w:p w14:paraId="51802CA7">
      <w:pPr>
        <w:snapToGrid w:val="0"/>
        <w:spacing w:line="360" w:lineRule="auto"/>
        <w:ind w:firstLine="562" w:firstLineChars="200"/>
        <w:rPr>
          <w:rFonts w:hint="eastAsia" w:ascii="宋体" w:hAnsi="宋体" w:eastAsia="宋体" w:cs="宋体"/>
          <w:b/>
          <w:bCs/>
          <w:color w:val="auto"/>
          <w:sz w:val="28"/>
          <w:szCs w:val="28"/>
          <w:lang w:val="zh-CN"/>
        </w:rPr>
      </w:pPr>
    </w:p>
    <w:p w14:paraId="3AA84B57">
      <w:pPr>
        <w:pStyle w:val="16"/>
        <w:rPr>
          <w:rFonts w:hint="eastAsia" w:ascii="宋体" w:hAnsi="宋体" w:eastAsia="宋体" w:cs="宋体"/>
          <w:b/>
          <w:bCs/>
          <w:color w:val="auto"/>
          <w:sz w:val="28"/>
          <w:szCs w:val="28"/>
          <w:lang w:val="zh-CN"/>
        </w:rPr>
      </w:pPr>
    </w:p>
    <w:p w14:paraId="200624DE">
      <w:pPr>
        <w:pStyle w:val="16"/>
        <w:rPr>
          <w:rFonts w:hint="eastAsia" w:ascii="宋体" w:hAnsi="宋体" w:eastAsia="宋体" w:cs="宋体"/>
          <w:b/>
          <w:bCs/>
          <w:color w:val="auto"/>
          <w:sz w:val="28"/>
          <w:szCs w:val="28"/>
          <w:lang w:val="zh-CN"/>
        </w:rPr>
      </w:pPr>
    </w:p>
    <w:p w14:paraId="7A3E37B4">
      <w:pPr>
        <w:autoSpaceDE w:val="0"/>
        <w:autoSpaceDN w:val="0"/>
        <w:adjustRightInd w:val="0"/>
        <w:spacing w:line="348" w:lineRule="auto"/>
        <w:jc w:val="center"/>
        <w:rPr>
          <w:rFonts w:hint="eastAsia" w:ascii="宋体" w:hAnsi="宋体" w:eastAsia="宋体" w:cs="宋体"/>
          <w:b/>
          <w:bCs/>
          <w:color w:val="auto"/>
          <w:sz w:val="44"/>
          <w:szCs w:val="44"/>
        </w:rPr>
        <w:sectPr>
          <w:pgSz w:w="11906" w:h="16838"/>
          <w:pgMar w:top="1418" w:right="1418" w:bottom="1418" w:left="1418" w:header="851" w:footer="992" w:gutter="0"/>
          <w:pgNumType w:fmt="decimal"/>
          <w:cols w:space="720" w:num="1"/>
          <w:docGrid w:linePitch="312" w:charSpace="0"/>
        </w:sectPr>
      </w:pPr>
    </w:p>
    <w:p w14:paraId="7E9CFDDD">
      <w:pPr>
        <w:spacing w:after="312" w:afterLines="100" w:line="440" w:lineRule="exact"/>
        <w:jc w:val="cente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 xml:space="preserve">      </w:t>
      </w:r>
    </w:p>
    <w:p w14:paraId="7B739906">
      <w:pPr>
        <w:spacing w:after="312" w:afterLines="100" w:line="440" w:lineRule="exact"/>
        <w:jc w:val="center"/>
        <w:rPr>
          <w:rFonts w:hint="eastAsia" w:ascii="宋体" w:hAnsi="宋体"/>
          <w:b/>
          <w:bCs/>
          <w:color w:val="auto"/>
          <w:sz w:val="32"/>
          <w:szCs w:val="32"/>
        </w:rPr>
      </w:pPr>
      <w:r>
        <w:rPr>
          <w:rFonts w:hint="eastAsia" w:ascii="宋体" w:hAnsi="宋体" w:eastAsia="宋体" w:cs="宋体"/>
          <w:b/>
          <w:bCs/>
          <w:color w:val="auto"/>
          <w:sz w:val="32"/>
          <w:szCs w:val="32"/>
          <w:lang w:val="en-US" w:eastAsia="zh-CN"/>
        </w:rPr>
        <w:t>第七部分  商务、</w:t>
      </w:r>
      <w:r>
        <w:rPr>
          <w:rFonts w:hint="eastAsia" w:ascii="宋体" w:hAnsi="宋体"/>
          <w:b/>
          <w:bCs/>
          <w:color w:val="auto"/>
          <w:sz w:val="32"/>
          <w:szCs w:val="32"/>
        </w:rPr>
        <w:t>技术响应偏离表</w:t>
      </w:r>
    </w:p>
    <w:p w14:paraId="33CFFB76">
      <w:pPr>
        <w:pStyle w:val="29"/>
        <w:spacing w:before="0"/>
        <w:rPr>
          <w:rFonts w:hint="eastAsia" w:ascii="宋体" w:hAnsi="宋体" w:eastAsia="宋体" w:cs="宋体"/>
          <w:color w:val="auto"/>
        </w:rPr>
      </w:pPr>
      <w:r>
        <w:rPr>
          <w:rFonts w:hint="eastAsia" w:ascii="宋体" w:hAnsi="宋体" w:eastAsia="宋体" w:cs="宋体"/>
          <w:color w:val="auto"/>
        </w:rPr>
        <w:t>（一）商务偏离表</w:t>
      </w:r>
    </w:p>
    <w:p w14:paraId="6A22335A">
      <w:pPr>
        <w:pStyle w:val="6"/>
        <w:spacing w:before="5" w:after="1"/>
        <w:rPr>
          <w:rFonts w:hint="eastAsia" w:ascii="宋体" w:hAnsi="宋体" w:eastAsia="宋体" w:cs="宋体"/>
          <w:b/>
          <w:color w:val="auto"/>
          <w:sz w:val="21"/>
        </w:rPr>
      </w:pPr>
    </w:p>
    <w:tbl>
      <w:tblPr>
        <w:tblStyle w:val="22"/>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95"/>
        <w:gridCol w:w="3085"/>
        <w:gridCol w:w="3085"/>
        <w:gridCol w:w="1184"/>
        <w:gridCol w:w="1186"/>
      </w:tblGrid>
      <w:tr w14:paraId="1CACA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74" w:type="pct"/>
          </w:tcPr>
          <w:p w14:paraId="57A35490">
            <w:pPr>
              <w:pStyle w:val="30"/>
              <w:spacing w:before="176"/>
              <w:ind w:left="228"/>
              <w:rPr>
                <w:rFonts w:hint="eastAsia" w:ascii="宋体" w:hAnsi="宋体" w:eastAsia="宋体" w:cs="宋体"/>
                <w:color w:val="auto"/>
                <w:sz w:val="24"/>
              </w:rPr>
            </w:pPr>
            <w:r>
              <w:rPr>
                <w:rFonts w:hint="eastAsia" w:ascii="宋体" w:hAnsi="宋体" w:eastAsia="宋体" w:cs="宋体"/>
                <w:color w:val="auto"/>
                <w:sz w:val="24"/>
              </w:rPr>
              <w:t>序号</w:t>
            </w:r>
          </w:p>
        </w:tc>
        <w:tc>
          <w:tcPr>
            <w:tcW w:w="1634" w:type="pct"/>
          </w:tcPr>
          <w:p w14:paraId="5C07E101">
            <w:pPr>
              <w:pStyle w:val="30"/>
              <w:spacing w:before="176"/>
              <w:ind w:left="532"/>
              <w:rPr>
                <w:rFonts w:hint="eastAsia" w:ascii="宋体" w:hAnsi="宋体" w:eastAsia="宋体" w:cs="宋体"/>
                <w:color w:val="auto"/>
                <w:sz w:val="24"/>
              </w:rPr>
            </w:pPr>
            <w:r>
              <w:rPr>
                <w:rFonts w:hint="eastAsia" w:ascii="宋体" w:hAnsi="宋体" w:eastAsia="宋体" w:cs="宋体"/>
                <w:color w:val="auto"/>
                <w:sz w:val="24"/>
              </w:rPr>
              <w:t>竞争性谈判文件要求</w:t>
            </w:r>
          </w:p>
        </w:tc>
        <w:tc>
          <w:tcPr>
            <w:tcW w:w="1634" w:type="pct"/>
          </w:tcPr>
          <w:p w14:paraId="4AE9F9F6">
            <w:pPr>
              <w:pStyle w:val="30"/>
              <w:spacing w:before="176"/>
              <w:ind w:left="773"/>
              <w:rPr>
                <w:rFonts w:hint="eastAsia" w:ascii="宋体" w:hAnsi="宋体" w:eastAsia="宋体" w:cs="宋体"/>
                <w:color w:val="auto"/>
                <w:sz w:val="24"/>
              </w:rPr>
            </w:pPr>
            <w:r>
              <w:rPr>
                <w:rFonts w:hint="eastAsia" w:ascii="宋体" w:hAnsi="宋体" w:eastAsia="宋体" w:cs="宋体"/>
                <w:color w:val="auto"/>
                <w:sz w:val="24"/>
              </w:rPr>
              <w:t>竞争性谈判响应</w:t>
            </w:r>
          </w:p>
        </w:tc>
        <w:tc>
          <w:tcPr>
            <w:tcW w:w="627" w:type="pct"/>
          </w:tcPr>
          <w:p w14:paraId="2922E41C">
            <w:pPr>
              <w:pStyle w:val="30"/>
              <w:spacing w:before="176"/>
              <w:ind w:left="139"/>
              <w:rPr>
                <w:rFonts w:hint="eastAsia" w:ascii="宋体" w:hAnsi="宋体" w:eastAsia="宋体" w:cs="宋体"/>
                <w:color w:val="auto"/>
                <w:sz w:val="24"/>
              </w:rPr>
            </w:pPr>
            <w:r>
              <w:rPr>
                <w:rFonts w:hint="eastAsia" w:ascii="宋体" w:hAnsi="宋体" w:eastAsia="宋体" w:cs="宋体"/>
                <w:color w:val="auto"/>
                <w:sz w:val="24"/>
              </w:rPr>
              <w:t>偏离情况</w:t>
            </w:r>
          </w:p>
        </w:tc>
        <w:tc>
          <w:tcPr>
            <w:tcW w:w="628" w:type="pct"/>
          </w:tcPr>
          <w:p w14:paraId="508DAC5D">
            <w:pPr>
              <w:pStyle w:val="30"/>
              <w:spacing w:before="176"/>
              <w:ind w:left="378"/>
              <w:rPr>
                <w:rFonts w:hint="eastAsia" w:ascii="宋体" w:hAnsi="宋体" w:eastAsia="宋体" w:cs="宋体"/>
                <w:color w:val="auto"/>
                <w:sz w:val="24"/>
              </w:rPr>
            </w:pPr>
            <w:r>
              <w:rPr>
                <w:rFonts w:hint="eastAsia" w:ascii="宋体" w:hAnsi="宋体" w:eastAsia="宋体" w:cs="宋体"/>
                <w:color w:val="auto"/>
                <w:sz w:val="24"/>
              </w:rPr>
              <w:t>说明</w:t>
            </w:r>
          </w:p>
        </w:tc>
      </w:tr>
      <w:tr w14:paraId="65546B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474" w:type="pct"/>
          </w:tcPr>
          <w:p w14:paraId="7E9B6E0D">
            <w:pPr>
              <w:pStyle w:val="30"/>
              <w:rPr>
                <w:rFonts w:hint="eastAsia" w:ascii="宋体" w:hAnsi="宋体" w:eastAsia="宋体" w:cs="宋体"/>
                <w:color w:val="auto"/>
                <w:sz w:val="26"/>
              </w:rPr>
            </w:pPr>
          </w:p>
        </w:tc>
        <w:tc>
          <w:tcPr>
            <w:tcW w:w="1634" w:type="pct"/>
          </w:tcPr>
          <w:p w14:paraId="785D7FB7">
            <w:pPr>
              <w:pStyle w:val="30"/>
              <w:rPr>
                <w:rFonts w:hint="eastAsia" w:ascii="宋体" w:hAnsi="宋体" w:eastAsia="宋体" w:cs="宋体"/>
                <w:color w:val="auto"/>
                <w:sz w:val="26"/>
              </w:rPr>
            </w:pPr>
          </w:p>
        </w:tc>
        <w:tc>
          <w:tcPr>
            <w:tcW w:w="1634" w:type="pct"/>
          </w:tcPr>
          <w:p w14:paraId="383BCCBD">
            <w:pPr>
              <w:pStyle w:val="30"/>
              <w:rPr>
                <w:rFonts w:hint="eastAsia" w:ascii="宋体" w:hAnsi="宋体" w:eastAsia="宋体" w:cs="宋体"/>
                <w:color w:val="auto"/>
                <w:sz w:val="26"/>
              </w:rPr>
            </w:pPr>
          </w:p>
        </w:tc>
        <w:tc>
          <w:tcPr>
            <w:tcW w:w="627" w:type="pct"/>
          </w:tcPr>
          <w:p w14:paraId="2FE8F374">
            <w:pPr>
              <w:pStyle w:val="30"/>
              <w:rPr>
                <w:rFonts w:hint="eastAsia" w:ascii="宋体" w:hAnsi="宋体" w:eastAsia="宋体" w:cs="宋体"/>
                <w:color w:val="auto"/>
                <w:sz w:val="26"/>
              </w:rPr>
            </w:pPr>
          </w:p>
        </w:tc>
        <w:tc>
          <w:tcPr>
            <w:tcW w:w="628" w:type="pct"/>
          </w:tcPr>
          <w:p w14:paraId="2059DA9B">
            <w:pPr>
              <w:pStyle w:val="30"/>
              <w:rPr>
                <w:rFonts w:hint="eastAsia" w:ascii="宋体" w:hAnsi="宋体" w:eastAsia="宋体" w:cs="宋体"/>
                <w:color w:val="auto"/>
                <w:sz w:val="26"/>
              </w:rPr>
            </w:pPr>
          </w:p>
        </w:tc>
      </w:tr>
      <w:tr w14:paraId="43AB82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74" w:type="pct"/>
          </w:tcPr>
          <w:p w14:paraId="64E3F15C">
            <w:pPr>
              <w:pStyle w:val="30"/>
              <w:rPr>
                <w:rFonts w:hint="eastAsia" w:ascii="宋体" w:hAnsi="宋体" w:eastAsia="宋体" w:cs="宋体"/>
                <w:color w:val="auto"/>
                <w:sz w:val="26"/>
              </w:rPr>
            </w:pPr>
          </w:p>
        </w:tc>
        <w:tc>
          <w:tcPr>
            <w:tcW w:w="1634" w:type="pct"/>
          </w:tcPr>
          <w:p w14:paraId="6092C3B4">
            <w:pPr>
              <w:pStyle w:val="30"/>
              <w:rPr>
                <w:rFonts w:hint="eastAsia" w:ascii="宋体" w:hAnsi="宋体" w:eastAsia="宋体" w:cs="宋体"/>
                <w:color w:val="auto"/>
                <w:sz w:val="26"/>
              </w:rPr>
            </w:pPr>
          </w:p>
        </w:tc>
        <w:tc>
          <w:tcPr>
            <w:tcW w:w="1634" w:type="pct"/>
          </w:tcPr>
          <w:p w14:paraId="2E6D7BB9">
            <w:pPr>
              <w:pStyle w:val="30"/>
              <w:rPr>
                <w:rFonts w:hint="eastAsia" w:ascii="宋体" w:hAnsi="宋体" w:eastAsia="宋体" w:cs="宋体"/>
                <w:color w:val="auto"/>
                <w:sz w:val="26"/>
              </w:rPr>
            </w:pPr>
          </w:p>
        </w:tc>
        <w:tc>
          <w:tcPr>
            <w:tcW w:w="627" w:type="pct"/>
          </w:tcPr>
          <w:p w14:paraId="74AFAA3A">
            <w:pPr>
              <w:pStyle w:val="30"/>
              <w:rPr>
                <w:rFonts w:hint="eastAsia" w:ascii="宋体" w:hAnsi="宋体" w:eastAsia="宋体" w:cs="宋体"/>
                <w:color w:val="auto"/>
                <w:sz w:val="26"/>
              </w:rPr>
            </w:pPr>
          </w:p>
        </w:tc>
        <w:tc>
          <w:tcPr>
            <w:tcW w:w="628" w:type="pct"/>
          </w:tcPr>
          <w:p w14:paraId="7B68D2A0">
            <w:pPr>
              <w:pStyle w:val="30"/>
              <w:rPr>
                <w:rFonts w:hint="eastAsia" w:ascii="宋体" w:hAnsi="宋体" w:eastAsia="宋体" w:cs="宋体"/>
                <w:color w:val="auto"/>
                <w:sz w:val="26"/>
              </w:rPr>
            </w:pPr>
          </w:p>
        </w:tc>
      </w:tr>
      <w:tr w14:paraId="37F32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74" w:type="pct"/>
          </w:tcPr>
          <w:p w14:paraId="707236F0">
            <w:pPr>
              <w:pStyle w:val="30"/>
              <w:rPr>
                <w:rFonts w:hint="eastAsia" w:ascii="宋体" w:hAnsi="宋体" w:eastAsia="宋体" w:cs="宋体"/>
                <w:color w:val="auto"/>
                <w:sz w:val="26"/>
              </w:rPr>
            </w:pPr>
          </w:p>
        </w:tc>
        <w:tc>
          <w:tcPr>
            <w:tcW w:w="1634" w:type="pct"/>
          </w:tcPr>
          <w:p w14:paraId="166E48EA">
            <w:pPr>
              <w:pStyle w:val="30"/>
              <w:rPr>
                <w:rFonts w:hint="eastAsia" w:ascii="宋体" w:hAnsi="宋体" w:eastAsia="宋体" w:cs="宋体"/>
                <w:color w:val="auto"/>
                <w:sz w:val="26"/>
              </w:rPr>
            </w:pPr>
          </w:p>
        </w:tc>
        <w:tc>
          <w:tcPr>
            <w:tcW w:w="1634" w:type="pct"/>
          </w:tcPr>
          <w:p w14:paraId="13657F04">
            <w:pPr>
              <w:pStyle w:val="30"/>
              <w:rPr>
                <w:rFonts w:hint="eastAsia" w:ascii="宋体" w:hAnsi="宋体" w:eastAsia="宋体" w:cs="宋体"/>
                <w:color w:val="auto"/>
                <w:sz w:val="26"/>
              </w:rPr>
            </w:pPr>
          </w:p>
        </w:tc>
        <w:tc>
          <w:tcPr>
            <w:tcW w:w="627" w:type="pct"/>
          </w:tcPr>
          <w:p w14:paraId="54E7472D">
            <w:pPr>
              <w:pStyle w:val="30"/>
              <w:rPr>
                <w:rFonts w:hint="eastAsia" w:ascii="宋体" w:hAnsi="宋体" w:eastAsia="宋体" w:cs="宋体"/>
                <w:color w:val="auto"/>
                <w:sz w:val="26"/>
              </w:rPr>
            </w:pPr>
          </w:p>
        </w:tc>
        <w:tc>
          <w:tcPr>
            <w:tcW w:w="628" w:type="pct"/>
          </w:tcPr>
          <w:p w14:paraId="31B9BD54">
            <w:pPr>
              <w:pStyle w:val="30"/>
              <w:rPr>
                <w:rFonts w:hint="eastAsia" w:ascii="宋体" w:hAnsi="宋体" w:eastAsia="宋体" w:cs="宋体"/>
                <w:color w:val="auto"/>
                <w:sz w:val="26"/>
              </w:rPr>
            </w:pPr>
          </w:p>
        </w:tc>
      </w:tr>
      <w:tr w14:paraId="31A9C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74" w:type="pct"/>
          </w:tcPr>
          <w:p w14:paraId="5806FD1B">
            <w:pPr>
              <w:pStyle w:val="30"/>
              <w:rPr>
                <w:rFonts w:hint="eastAsia" w:ascii="宋体" w:hAnsi="宋体" w:eastAsia="宋体" w:cs="宋体"/>
                <w:color w:val="auto"/>
                <w:sz w:val="26"/>
              </w:rPr>
            </w:pPr>
          </w:p>
        </w:tc>
        <w:tc>
          <w:tcPr>
            <w:tcW w:w="1634" w:type="pct"/>
          </w:tcPr>
          <w:p w14:paraId="7489FC25">
            <w:pPr>
              <w:pStyle w:val="30"/>
              <w:rPr>
                <w:rFonts w:hint="eastAsia" w:ascii="宋体" w:hAnsi="宋体" w:eastAsia="宋体" w:cs="宋体"/>
                <w:color w:val="auto"/>
                <w:sz w:val="26"/>
              </w:rPr>
            </w:pPr>
          </w:p>
        </w:tc>
        <w:tc>
          <w:tcPr>
            <w:tcW w:w="1634" w:type="pct"/>
          </w:tcPr>
          <w:p w14:paraId="6D383B3A">
            <w:pPr>
              <w:pStyle w:val="30"/>
              <w:rPr>
                <w:rFonts w:hint="eastAsia" w:ascii="宋体" w:hAnsi="宋体" w:eastAsia="宋体" w:cs="宋体"/>
                <w:color w:val="auto"/>
                <w:sz w:val="26"/>
              </w:rPr>
            </w:pPr>
          </w:p>
        </w:tc>
        <w:tc>
          <w:tcPr>
            <w:tcW w:w="627" w:type="pct"/>
          </w:tcPr>
          <w:p w14:paraId="4FF73910">
            <w:pPr>
              <w:pStyle w:val="30"/>
              <w:rPr>
                <w:rFonts w:hint="eastAsia" w:ascii="宋体" w:hAnsi="宋体" w:eastAsia="宋体" w:cs="宋体"/>
                <w:color w:val="auto"/>
                <w:sz w:val="26"/>
              </w:rPr>
            </w:pPr>
          </w:p>
        </w:tc>
        <w:tc>
          <w:tcPr>
            <w:tcW w:w="628" w:type="pct"/>
          </w:tcPr>
          <w:p w14:paraId="49C49D9F">
            <w:pPr>
              <w:pStyle w:val="30"/>
              <w:rPr>
                <w:rFonts w:hint="eastAsia" w:ascii="宋体" w:hAnsi="宋体" w:eastAsia="宋体" w:cs="宋体"/>
                <w:color w:val="auto"/>
                <w:sz w:val="26"/>
              </w:rPr>
            </w:pPr>
          </w:p>
        </w:tc>
      </w:tr>
      <w:tr w14:paraId="2D521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74" w:type="pct"/>
          </w:tcPr>
          <w:p w14:paraId="7214F949">
            <w:pPr>
              <w:pStyle w:val="30"/>
              <w:rPr>
                <w:rFonts w:hint="eastAsia" w:ascii="宋体" w:hAnsi="宋体" w:eastAsia="宋体" w:cs="宋体"/>
                <w:color w:val="auto"/>
                <w:sz w:val="26"/>
              </w:rPr>
            </w:pPr>
          </w:p>
        </w:tc>
        <w:tc>
          <w:tcPr>
            <w:tcW w:w="1634" w:type="pct"/>
          </w:tcPr>
          <w:p w14:paraId="56A6F549">
            <w:pPr>
              <w:pStyle w:val="30"/>
              <w:rPr>
                <w:rFonts w:hint="eastAsia" w:ascii="宋体" w:hAnsi="宋体" w:eastAsia="宋体" w:cs="宋体"/>
                <w:color w:val="auto"/>
                <w:sz w:val="26"/>
              </w:rPr>
            </w:pPr>
          </w:p>
        </w:tc>
        <w:tc>
          <w:tcPr>
            <w:tcW w:w="1634" w:type="pct"/>
          </w:tcPr>
          <w:p w14:paraId="2405C42F">
            <w:pPr>
              <w:pStyle w:val="30"/>
              <w:rPr>
                <w:rFonts w:hint="eastAsia" w:ascii="宋体" w:hAnsi="宋体" w:eastAsia="宋体" w:cs="宋体"/>
                <w:color w:val="auto"/>
                <w:sz w:val="26"/>
              </w:rPr>
            </w:pPr>
          </w:p>
        </w:tc>
        <w:tc>
          <w:tcPr>
            <w:tcW w:w="627" w:type="pct"/>
          </w:tcPr>
          <w:p w14:paraId="4547C6A0">
            <w:pPr>
              <w:pStyle w:val="30"/>
              <w:rPr>
                <w:rFonts w:hint="eastAsia" w:ascii="宋体" w:hAnsi="宋体" w:eastAsia="宋体" w:cs="宋体"/>
                <w:color w:val="auto"/>
                <w:sz w:val="26"/>
              </w:rPr>
            </w:pPr>
          </w:p>
        </w:tc>
        <w:tc>
          <w:tcPr>
            <w:tcW w:w="628" w:type="pct"/>
          </w:tcPr>
          <w:p w14:paraId="42FE3A65">
            <w:pPr>
              <w:pStyle w:val="30"/>
              <w:rPr>
                <w:rFonts w:hint="eastAsia" w:ascii="宋体" w:hAnsi="宋体" w:eastAsia="宋体" w:cs="宋体"/>
                <w:color w:val="auto"/>
                <w:sz w:val="26"/>
              </w:rPr>
            </w:pPr>
          </w:p>
        </w:tc>
      </w:tr>
      <w:tr w14:paraId="4A8520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474" w:type="pct"/>
          </w:tcPr>
          <w:p w14:paraId="5D78488E">
            <w:pPr>
              <w:pStyle w:val="30"/>
              <w:rPr>
                <w:rFonts w:hint="eastAsia" w:ascii="宋体" w:hAnsi="宋体" w:eastAsia="宋体" w:cs="宋体"/>
                <w:color w:val="auto"/>
                <w:sz w:val="26"/>
              </w:rPr>
            </w:pPr>
          </w:p>
        </w:tc>
        <w:tc>
          <w:tcPr>
            <w:tcW w:w="1634" w:type="pct"/>
          </w:tcPr>
          <w:p w14:paraId="348C7BB0">
            <w:pPr>
              <w:pStyle w:val="30"/>
              <w:rPr>
                <w:rFonts w:hint="eastAsia" w:ascii="宋体" w:hAnsi="宋体" w:eastAsia="宋体" w:cs="宋体"/>
                <w:color w:val="auto"/>
                <w:sz w:val="26"/>
              </w:rPr>
            </w:pPr>
          </w:p>
        </w:tc>
        <w:tc>
          <w:tcPr>
            <w:tcW w:w="1634" w:type="pct"/>
          </w:tcPr>
          <w:p w14:paraId="609577AD">
            <w:pPr>
              <w:pStyle w:val="30"/>
              <w:rPr>
                <w:rFonts w:hint="eastAsia" w:ascii="宋体" w:hAnsi="宋体" w:eastAsia="宋体" w:cs="宋体"/>
                <w:color w:val="auto"/>
                <w:sz w:val="26"/>
              </w:rPr>
            </w:pPr>
          </w:p>
        </w:tc>
        <w:tc>
          <w:tcPr>
            <w:tcW w:w="627" w:type="pct"/>
          </w:tcPr>
          <w:p w14:paraId="53D19278">
            <w:pPr>
              <w:pStyle w:val="30"/>
              <w:rPr>
                <w:rFonts w:hint="eastAsia" w:ascii="宋体" w:hAnsi="宋体" w:eastAsia="宋体" w:cs="宋体"/>
                <w:color w:val="auto"/>
                <w:sz w:val="26"/>
              </w:rPr>
            </w:pPr>
          </w:p>
        </w:tc>
        <w:tc>
          <w:tcPr>
            <w:tcW w:w="628" w:type="pct"/>
          </w:tcPr>
          <w:p w14:paraId="1E7657CA">
            <w:pPr>
              <w:pStyle w:val="30"/>
              <w:rPr>
                <w:rFonts w:hint="eastAsia" w:ascii="宋体" w:hAnsi="宋体" w:eastAsia="宋体" w:cs="宋体"/>
                <w:color w:val="auto"/>
                <w:sz w:val="26"/>
              </w:rPr>
            </w:pPr>
          </w:p>
        </w:tc>
      </w:tr>
      <w:tr w14:paraId="7416D4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74" w:type="pct"/>
          </w:tcPr>
          <w:p w14:paraId="640A91CD">
            <w:pPr>
              <w:pStyle w:val="30"/>
              <w:rPr>
                <w:rFonts w:hint="eastAsia" w:ascii="宋体" w:hAnsi="宋体" w:eastAsia="宋体" w:cs="宋体"/>
                <w:color w:val="auto"/>
                <w:sz w:val="26"/>
              </w:rPr>
            </w:pPr>
          </w:p>
        </w:tc>
        <w:tc>
          <w:tcPr>
            <w:tcW w:w="1634" w:type="pct"/>
          </w:tcPr>
          <w:p w14:paraId="7D8FCA28">
            <w:pPr>
              <w:pStyle w:val="30"/>
              <w:rPr>
                <w:rFonts w:hint="eastAsia" w:ascii="宋体" w:hAnsi="宋体" w:eastAsia="宋体" w:cs="宋体"/>
                <w:color w:val="auto"/>
                <w:sz w:val="26"/>
              </w:rPr>
            </w:pPr>
          </w:p>
        </w:tc>
        <w:tc>
          <w:tcPr>
            <w:tcW w:w="1634" w:type="pct"/>
          </w:tcPr>
          <w:p w14:paraId="168E82E3">
            <w:pPr>
              <w:pStyle w:val="30"/>
              <w:rPr>
                <w:rFonts w:hint="eastAsia" w:ascii="宋体" w:hAnsi="宋体" w:eastAsia="宋体" w:cs="宋体"/>
                <w:color w:val="auto"/>
                <w:sz w:val="26"/>
              </w:rPr>
            </w:pPr>
          </w:p>
        </w:tc>
        <w:tc>
          <w:tcPr>
            <w:tcW w:w="627" w:type="pct"/>
          </w:tcPr>
          <w:p w14:paraId="471DA487">
            <w:pPr>
              <w:pStyle w:val="30"/>
              <w:rPr>
                <w:rFonts w:hint="eastAsia" w:ascii="宋体" w:hAnsi="宋体" w:eastAsia="宋体" w:cs="宋体"/>
                <w:color w:val="auto"/>
                <w:sz w:val="26"/>
              </w:rPr>
            </w:pPr>
          </w:p>
        </w:tc>
        <w:tc>
          <w:tcPr>
            <w:tcW w:w="628" w:type="pct"/>
          </w:tcPr>
          <w:p w14:paraId="3610847E">
            <w:pPr>
              <w:pStyle w:val="30"/>
              <w:rPr>
                <w:rFonts w:hint="eastAsia" w:ascii="宋体" w:hAnsi="宋体" w:eastAsia="宋体" w:cs="宋体"/>
                <w:color w:val="auto"/>
                <w:sz w:val="26"/>
              </w:rPr>
            </w:pPr>
          </w:p>
        </w:tc>
      </w:tr>
    </w:tbl>
    <w:p w14:paraId="5752F1F2">
      <w:pPr>
        <w:pStyle w:val="6"/>
        <w:rPr>
          <w:rFonts w:hint="eastAsia" w:ascii="宋体" w:hAnsi="宋体" w:eastAsia="宋体" w:cs="宋体"/>
          <w:b/>
          <w:color w:val="auto"/>
          <w:sz w:val="30"/>
        </w:rPr>
      </w:pPr>
    </w:p>
    <w:p w14:paraId="474926A7">
      <w:pPr>
        <w:pStyle w:val="6"/>
        <w:rPr>
          <w:rFonts w:hint="eastAsia" w:ascii="宋体" w:hAnsi="宋体" w:eastAsia="宋体" w:cs="宋体"/>
          <w:b/>
          <w:color w:val="auto"/>
          <w:sz w:val="30"/>
        </w:rPr>
      </w:pPr>
    </w:p>
    <w:p w14:paraId="73A112CD">
      <w:pPr>
        <w:pStyle w:val="6"/>
        <w:tabs>
          <w:tab w:val="left" w:pos="4823"/>
        </w:tabs>
        <w:spacing w:before="245"/>
        <w:ind w:left="142"/>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w:t>
      </w:r>
      <w:r>
        <w:rPr>
          <w:rFonts w:hint="eastAsia" w:ascii="宋体" w:hAnsi="宋体" w:eastAsia="宋体" w:cs="宋体"/>
          <w:color w:val="auto"/>
          <w:sz w:val="24"/>
          <w:szCs w:val="24"/>
        </w:rPr>
        <w:tab/>
      </w:r>
      <w:r>
        <w:rPr>
          <w:rFonts w:hint="eastAsia" w:ascii="宋体" w:hAnsi="宋体" w:eastAsia="宋体" w:cs="宋体"/>
          <w:color w:val="auto"/>
          <w:spacing w:val="-3"/>
          <w:sz w:val="24"/>
          <w:szCs w:val="24"/>
        </w:rPr>
        <w:t>（</w:t>
      </w:r>
      <w:r>
        <w:rPr>
          <w:rFonts w:hint="eastAsia" w:ascii="宋体" w:hAnsi="宋体" w:eastAsia="宋体" w:cs="宋体"/>
          <w:color w:val="auto"/>
          <w:sz w:val="24"/>
          <w:szCs w:val="24"/>
        </w:rPr>
        <w:t>加</w:t>
      </w:r>
      <w:r>
        <w:rPr>
          <w:rFonts w:hint="eastAsia" w:ascii="宋体" w:hAnsi="宋体" w:eastAsia="宋体" w:cs="宋体"/>
          <w:color w:val="auto"/>
          <w:spacing w:val="-3"/>
          <w:sz w:val="24"/>
          <w:szCs w:val="24"/>
        </w:rPr>
        <w:t>盖</w:t>
      </w:r>
      <w:r>
        <w:rPr>
          <w:rFonts w:hint="eastAsia" w:ascii="宋体" w:hAnsi="宋体" w:eastAsia="宋体" w:cs="宋体"/>
          <w:color w:val="auto"/>
          <w:sz w:val="24"/>
          <w:szCs w:val="24"/>
        </w:rPr>
        <w:t>公章）</w:t>
      </w:r>
    </w:p>
    <w:p w14:paraId="708344B8">
      <w:pPr>
        <w:pStyle w:val="6"/>
        <w:spacing w:before="11"/>
        <w:ind w:left="142"/>
        <w:rPr>
          <w:rFonts w:hint="eastAsia" w:ascii="宋体" w:hAnsi="宋体" w:eastAsia="宋体" w:cs="宋体"/>
          <w:color w:val="auto"/>
          <w:sz w:val="28"/>
          <w:szCs w:val="24"/>
        </w:rPr>
      </w:pPr>
    </w:p>
    <w:p w14:paraId="76C5DB50">
      <w:pPr>
        <w:pStyle w:val="6"/>
        <w:spacing w:line="520" w:lineRule="auto"/>
        <w:ind w:left="142" w:right="-50"/>
        <w:rPr>
          <w:rFonts w:hint="eastAsia" w:ascii="宋体" w:hAnsi="宋体" w:eastAsia="宋体" w:cs="宋体"/>
          <w:color w:val="auto"/>
          <w:spacing w:val="-13"/>
          <w:sz w:val="24"/>
          <w:szCs w:val="24"/>
        </w:rPr>
      </w:pPr>
      <w:r>
        <w:rPr>
          <w:rFonts w:hint="eastAsia" w:ascii="宋体" w:hAnsi="宋体" w:eastAsia="宋体" w:cs="宋体"/>
          <w:color w:val="auto"/>
          <w:sz w:val="24"/>
          <w:szCs w:val="24"/>
        </w:rPr>
        <w:t>法</w:t>
      </w:r>
      <w:r>
        <w:rPr>
          <w:rFonts w:hint="eastAsia" w:ascii="宋体" w:hAnsi="宋体" w:eastAsia="宋体" w:cs="宋体"/>
          <w:color w:val="auto"/>
          <w:spacing w:val="-3"/>
          <w:sz w:val="24"/>
          <w:szCs w:val="24"/>
        </w:rPr>
        <w:t>定</w:t>
      </w:r>
      <w:r>
        <w:rPr>
          <w:rFonts w:hint="eastAsia" w:ascii="宋体" w:hAnsi="宋体" w:eastAsia="宋体" w:cs="宋体"/>
          <w:color w:val="auto"/>
          <w:sz w:val="24"/>
          <w:szCs w:val="24"/>
        </w:rPr>
        <w:t>代表</w:t>
      </w:r>
      <w:r>
        <w:rPr>
          <w:rFonts w:hint="eastAsia" w:ascii="宋体" w:hAnsi="宋体" w:eastAsia="宋体" w:cs="宋体"/>
          <w:color w:val="auto"/>
          <w:spacing w:val="-3"/>
          <w:sz w:val="24"/>
          <w:szCs w:val="24"/>
        </w:rPr>
        <w:t>人</w:t>
      </w:r>
      <w:r>
        <w:rPr>
          <w:rFonts w:hint="eastAsia" w:ascii="宋体" w:hAnsi="宋体" w:eastAsia="宋体" w:cs="宋体"/>
          <w:color w:val="auto"/>
          <w:sz w:val="24"/>
          <w:szCs w:val="24"/>
        </w:rPr>
        <w:t>或</w:t>
      </w:r>
      <w:r>
        <w:rPr>
          <w:rFonts w:hint="eastAsia" w:ascii="宋体" w:hAnsi="宋体" w:eastAsia="宋体" w:cs="宋体"/>
          <w:color w:val="auto"/>
          <w:spacing w:val="-3"/>
          <w:sz w:val="24"/>
          <w:szCs w:val="24"/>
        </w:rPr>
        <w:t>其</w:t>
      </w:r>
      <w:r>
        <w:rPr>
          <w:rFonts w:hint="eastAsia" w:ascii="宋体" w:hAnsi="宋体" w:eastAsia="宋体" w:cs="宋体"/>
          <w:color w:val="auto"/>
          <w:sz w:val="24"/>
          <w:szCs w:val="24"/>
        </w:rPr>
        <w:t>委</w:t>
      </w:r>
      <w:r>
        <w:rPr>
          <w:rFonts w:hint="eastAsia" w:ascii="宋体" w:hAnsi="宋体" w:eastAsia="宋体" w:cs="宋体"/>
          <w:color w:val="auto"/>
          <w:spacing w:val="-3"/>
          <w:sz w:val="24"/>
          <w:szCs w:val="24"/>
        </w:rPr>
        <w:t>托</w:t>
      </w:r>
      <w:r>
        <w:rPr>
          <w:rFonts w:hint="eastAsia" w:ascii="宋体" w:hAnsi="宋体" w:eastAsia="宋体" w:cs="宋体"/>
          <w:color w:val="auto"/>
          <w:sz w:val="24"/>
          <w:szCs w:val="24"/>
        </w:rPr>
        <w:t>代理人</w:t>
      </w:r>
      <w:r>
        <w:rPr>
          <w:rFonts w:hint="eastAsia" w:ascii="宋体" w:hAnsi="宋体" w:eastAsia="宋体" w:cs="宋体"/>
          <w:color w:val="auto"/>
          <w:spacing w:val="-3"/>
          <w:sz w:val="24"/>
          <w:szCs w:val="24"/>
        </w:rPr>
        <w:t xml:space="preserve">：      </w:t>
      </w:r>
      <w:r>
        <w:rPr>
          <w:rFonts w:hint="eastAsia" w:ascii="宋体" w:hAnsi="宋体" w:eastAsia="宋体" w:cs="宋体"/>
          <w:color w:val="auto"/>
          <w:spacing w:val="-3"/>
          <w:sz w:val="24"/>
          <w:szCs w:val="24"/>
          <w:lang w:val="en-US" w:eastAsia="zh-CN"/>
        </w:rPr>
        <w:t xml:space="preserve">    </w:t>
      </w:r>
      <w:r>
        <w:rPr>
          <w:rFonts w:hint="eastAsia" w:ascii="宋体" w:hAnsi="宋体" w:eastAsia="宋体" w:cs="宋体"/>
          <w:color w:val="auto"/>
          <w:spacing w:val="-3"/>
          <w:sz w:val="24"/>
          <w:szCs w:val="24"/>
        </w:rPr>
        <w:t xml:space="preserve">  </w:t>
      </w:r>
      <w:r>
        <w:rPr>
          <w:rFonts w:hint="eastAsia" w:ascii="宋体" w:hAnsi="宋体" w:eastAsia="宋体" w:cs="宋体"/>
          <w:color w:val="auto"/>
          <w:sz w:val="24"/>
          <w:szCs w:val="24"/>
        </w:rPr>
        <w:t>（签</w:t>
      </w:r>
      <w:r>
        <w:rPr>
          <w:rFonts w:hint="eastAsia" w:ascii="宋体" w:hAnsi="宋体" w:eastAsia="宋体" w:cs="宋体"/>
          <w:color w:val="auto"/>
          <w:spacing w:val="-3"/>
          <w:sz w:val="24"/>
          <w:szCs w:val="24"/>
        </w:rPr>
        <w:t>字</w:t>
      </w:r>
      <w:r>
        <w:rPr>
          <w:rFonts w:hint="eastAsia" w:ascii="宋体" w:hAnsi="宋体" w:eastAsia="宋体" w:cs="宋体"/>
          <w:color w:val="auto"/>
          <w:sz w:val="24"/>
          <w:szCs w:val="24"/>
        </w:rPr>
        <w:t>或盖</w:t>
      </w:r>
      <w:r>
        <w:rPr>
          <w:rFonts w:hint="eastAsia" w:ascii="宋体" w:hAnsi="宋体" w:eastAsia="宋体" w:cs="宋体"/>
          <w:color w:val="auto"/>
          <w:spacing w:val="-3"/>
          <w:sz w:val="24"/>
          <w:szCs w:val="24"/>
        </w:rPr>
        <w:t>章</w:t>
      </w:r>
      <w:r>
        <w:rPr>
          <w:rFonts w:hint="eastAsia" w:ascii="宋体" w:hAnsi="宋体" w:eastAsia="宋体" w:cs="宋体"/>
          <w:color w:val="auto"/>
          <w:spacing w:val="-13"/>
          <w:sz w:val="24"/>
          <w:szCs w:val="24"/>
        </w:rPr>
        <w:t xml:space="preserve">） </w:t>
      </w:r>
    </w:p>
    <w:p w14:paraId="418F1F83">
      <w:pPr>
        <w:pStyle w:val="6"/>
        <w:tabs>
          <w:tab w:val="left" w:pos="6362"/>
        </w:tabs>
        <w:spacing w:line="520" w:lineRule="auto"/>
        <w:ind w:left="142" w:right="1780"/>
        <w:rPr>
          <w:rFonts w:hint="eastAsia" w:ascii="宋体" w:hAnsi="宋体" w:eastAsia="宋体" w:cs="宋体"/>
          <w:color w:val="auto"/>
          <w:sz w:val="24"/>
          <w:szCs w:val="24"/>
        </w:rPr>
      </w:pPr>
      <w:r>
        <w:rPr>
          <w:rFonts w:hint="eastAsia" w:ascii="宋体" w:hAnsi="宋体" w:eastAsia="宋体" w:cs="宋体"/>
          <w:color w:val="auto"/>
          <w:sz w:val="24"/>
          <w:szCs w:val="24"/>
        </w:rPr>
        <w:t>日</w:t>
      </w:r>
      <w:r>
        <w:rPr>
          <w:rFonts w:hint="eastAsia" w:ascii="宋体" w:hAnsi="宋体" w:eastAsia="宋体" w:cs="宋体"/>
          <w:color w:val="auto"/>
          <w:spacing w:val="-3"/>
          <w:sz w:val="24"/>
          <w:szCs w:val="24"/>
        </w:rPr>
        <w:t>期</w:t>
      </w:r>
      <w:r>
        <w:rPr>
          <w:rFonts w:hint="eastAsia" w:ascii="宋体" w:hAnsi="宋体" w:eastAsia="宋体" w:cs="宋体"/>
          <w:color w:val="auto"/>
          <w:sz w:val="24"/>
          <w:szCs w:val="24"/>
        </w:rPr>
        <w:t>：</w:t>
      </w:r>
    </w:p>
    <w:p w14:paraId="530B3642">
      <w:pPr>
        <w:pStyle w:val="6"/>
        <w:spacing w:before="7"/>
        <w:ind w:left="142"/>
        <w:rPr>
          <w:rFonts w:hint="eastAsia" w:ascii="宋体" w:hAnsi="宋体" w:eastAsia="宋体" w:cs="宋体"/>
          <w:color w:val="auto"/>
          <w:sz w:val="22"/>
          <w:szCs w:val="24"/>
        </w:rPr>
      </w:pPr>
    </w:p>
    <w:p w14:paraId="5FB1086D">
      <w:pPr>
        <w:pStyle w:val="6"/>
        <w:spacing w:before="1"/>
        <w:ind w:left="142"/>
        <w:rPr>
          <w:rFonts w:hint="eastAsia" w:ascii="宋体" w:hAnsi="宋体" w:eastAsia="宋体" w:cs="宋体"/>
          <w:color w:val="auto"/>
          <w:sz w:val="24"/>
          <w:szCs w:val="24"/>
        </w:rPr>
      </w:pPr>
      <w:r>
        <w:rPr>
          <w:rFonts w:hint="eastAsia" w:ascii="宋体" w:hAnsi="宋体" w:eastAsia="宋体" w:cs="宋体"/>
          <w:color w:val="auto"/>
          <w:spacing w:val="-2"/>
          <w:sz w:val="24"/>
          <w:szCs w:val="24"/>
        </w:rPr>
        <w:t>说明：</w:t>
      </w:r>
    </w:p>
    <w:p w14:paraId="5C0409AB">
      <w:pPr>
        <w:pStyle w:val="6"/>
        <w:spacing w:before="8"/>
        <w:rPr>
          <w:rFonts w:hint="eastAsia" w:ascii="宋体" w:hAnsi="宋体" w:eastAsia="宋体" w:cs="宋体"/>
          <w:color w:val="auto"/>
          <w:sz w:val="18"/>
          <w:szCs w:val="24"/>
        </w:rPr>
      </w:pPr>
    </w:p>
    <w:p w14:paraId="5C08BA2E">
      <w:pPr>
        <w:pStyle w:val="6"/>
        <w:spacing w:before="1"/>
        <w:ind w:left="142" w:firstLine="242" w:firstLineChars="101"/>
        <w:rPr>
          <w:rFonts w:hint="eastAsia" w:ascii="宋体" w:hAnsi="宋体" w:eastAsia="宋体" w:cs="宋体"/>
          <w:color w:val="auto"/>
          <w:sz w:val="24"/>
          <w:szCs w:val="24"/>
        </w:rPr>
      </w:pPr>
      <w:r>
        <w:rPr>
          <w:rFonts w:hint="eastAsia" w:ascii="宋体" w:hAnsi="宋体" w:eastAsia="宋体" w:cs="宋体"/>
          <w:color w:val="auto"/>
          <w:sz w:val="24"/>
          <w:szCs w:val="24"/>
        </w:rPr>
        <w:t>1、“偏离情况”系指“正偏离”</w:t>
      </w:r>
      <w:r>
        <w:rPr>
          <w:rFonts w:hint="eastAsia" w:cs="宋体"/>
          <w:color w:val="auto"/>
          <w:sz w:val="24"/>
          <w:szCs w:val="24"/>
          <w:lang w:val="en-US" w:eastAsia="zh-CN"/>
        </w:rPr>
        <w:t>或者</w:t>
      </w:r>
      <w:r>
        <w:rPr>
          <w:rFonts w:hint="eastAsia" w:ascii="宋体" w:hAnsi="宋体" w:eastAsia="宋体" w:cs="宋体"/>
          <w:color w:val="auto"/>
          <w:sz w:val="24"/>
          <w:szCs w:val="24"/>
        </w:rPr>
        <w:t>“负偏离”。</w:t>
      </w:r>
    </w:p>
    <w:p w14:paraId="07184F72">
      <w:pPr>
        <w:pStyle w:val="6"/>
        <w:spacing w:before="8"/>
        <w:ind w:left="142" w:firstLine="181" w:firstLineChars="101"/>
        <w:rPr>
          <w:rFonts w:hint="eastAsia" w:ascii="宋体" w:hAnsi="宋体" w:eastAsia="宋体" w:cs="宋体"/>
          <w:color w:val="auto"/>
          <w:sz w:val="18"/>
          <w:szCs w:val="24"/>
        </w:rPr>
      </w:pPr>
    </w:p>
    <w:p w14:paraId="7A5A97DD">
      <w:pPr>
        <w:pStyle w:val="6"/>
        <w:spacing w:before="1" w:line="417" w:lineRule="auto"/>
        <w:ind w:left="142" w:right="1010" w:firstLine="242" w:firstLineChars="101"/>
        <w:rPr>
          <w:rFonts w:hint="eastAsia" w:ascii="宋体" w:hAnsi="宋体" w:eastAsia="宋体" w:cs="宋体"/>
          <w:color w:val="auto"/>
          <w:sz w:val="24"/>
          <w:szCs w:val="24"/>
        </w:rPr>
      </w:pPr>
      <w:r>
        <w:rPr>
          <w:rFonts w:hint="eastAsia" w:ascii="宋体" w:hAnsi="宋体" w:eastAsia="宋体" w:cs="宋体"/>
          <w:color w:val="auto"/>
          <w:sz w:val="24"/>
          <w:szCs w:val="24"/>
        </w:rPr>
        <w:t>2、请对应竞争性谈判文件的“ 商务要求”和“合同条款”中要求（若有）的商务要求，认真填写该表。</w:t>
      </w:r>
    </w:p>
    <w:p w14:paraId="17508864">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snapToGrid w:val="0"/>
          <w:color w:val="auto"/>
          <w:kern w:val="0"/>
          <w:sz w:val="24"/>
          <w:szCs w:val="24"/>
          <w:lang w:val="en-US" w:eastAsia="en-US" w:bidi="ar-SA"/>
        </w:rPr>
        <w:t>、若无偏离则附此空表加盖单位印章。</w:t>
      </w:r>
    </w:p>
    <w:p w14:paraId="4F844AB2">
      <w:pPr>
        <w:pStyle w:val="6"/>
        <w:spacing w:line="358" w:lineRule="exact"/>
        <w:ind w:left="142" w:firstLine="242" w:firstLineChars="101"/>
        <w:rPr>
          <w:rFonts w:hint="eastAsia" w:ascii="宋体" w:hAnsi="宋体" w:eastAsia="宋体" w:cs="宋体"/>
          <w:color w:val="auto"/>
          <w:sz w:val="24"/>
          <w:szCs w:val="24"/>
        </w:rPr>
      </w:pPr>
    </w:p>
    <w:p w14:paraId="5460A9D3">
      <w:p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p w14:paraId="661B6EBA">
      <w:pPr>
        <w:pStyle w:val="3"/>
        <w:jc w:val="center"/>
        <w:rPr>
          <w:rFonts w:hint="eastAsia" w:ascii="宋体" w:hAnsi="宋体" w:eastAsia="宋体" w:cs="宋体"/>
          <w:bCs w:val="0"/>
          <w:color w:val="auto"/>
          <w:sz w:val="32"/>
        </w:rPr>
      </w:pPr>
    </w:p>
    <w:p w14:paraId="1237C256">
      <w:pPr>
        <w:pStyle w:val="29"/>
        <w:spacing w:before="0"/>
        <w:rPr>
          <w:rFonts w:hint="eastAsia" w:ascii="宋体" w:hAnsi="宋体" w:eastAsia="宋体" w:cs="宋体"/>
          <w:color w:val="auto"/>
        </w:rPr>
      </w:pPr>
      <w:r>
        <w:rPr>
          <w:rFonts w:hint="eastAsia" w:ascii="宋体" w:hAnsi="宋体" w:eastAsia="宋体" w:cs="宋体"/>
          <w:color w:val="auto"/>
        </w:rPr>
        <w:t>（</w:t>
      </w:r>
      <w:r>
        <w:rPr>
          <w:rFonts w:hint="eastAsia" w:ascii="宋体" w:hAnsi="宋体" w:eastAsia="宋体" w:cs="宋体"/>
          <w:color w:val="auto"/>
          <w:lang w:val="en-US" w:eastAsia="zh-CN"/>
        </w:rPr>
        <w:t>二</w:t>
      </w:r>
      <w:r>
        <w:rPr>
          <w:rFonts w:hint="eastAsia" w:ascii="宋体" w:hAnsi="宋体" w:eastAsia="宋体" w:cs="宋体"/>
          <w:color w:val="auto"/>
        </w:rPr>
        <w:t>）技术响应偏差表</w:t>
      </w:r>
    </w:p>
    <w:tbl>
      <w:tblPr>
        <w:tblStyle w:val="22"/>
        <w:tblW w:w="8826" w:type="dxa"/>
        <w:tblInd w:w="10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2"/>
        <w:gridCol w:w="2498"/>
        <w:gridCol w:w="3015"/>
        <w:gridCol w:w="1335"/>
        <w:gridCol w:w="1096"/>
      </w:tblGrid>
      <w:tr w14:paraId="24267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882" w:type="dxa"/>
            <w:vAlign w:val="center"/>
          </w:tcPr>
          <w:p w14:paraId="68F28071">
            <w:pPr>
              <w:pStyle w:val="23"/>
              <w:spacing w:before="91" w:line="221" w:lineRule="auto"/>
              <w:ind w:left="169"/>
              <w:jc w:val="both"/>
              <w:rPr>
                <w:rFonts w:hint="eastAsia" w:ascii="宋体" w:hAnsi="宋体" w:eastAsia="宋体" w:cs="宋体"/>
                <w:color w:val="auto"/>
                <w:sz w:val="24"/>
                <w:szCs w:val="24"/>
              </w:rPr>
            </w:pPr>
            <w:r>
              <w:rPr>
                <w:rFonts w:hint="eastAsia" w:ascii="宋体" w:hAnsi="宋体" w:eastAsia="宋体" w:cs="宋体"/>
                <w:color w:val="auto"/>
                <w:spacing w:val="-5"/>
                <w:sz w:val="24"/>
                <w:szCs w:val="24"/>
              </w:rPr>
              <w:t>序号</w:t>
            </w:r>
          </w:p>
        </w:tc>
        <w:tc>
          <w:tcPr>
            <w:tcW w:w="2498" w:type="dxa"/>
            <w:vAlign w:val="center"/>
          </w:tcPr>
          <w:p w14:paraId="7DAEC944">
            <w:pPr>
              <w:pStyle w:val="23"/>
              <w:spacing w:before="114" w:line="252" w:lineRule="auto"/>
              <w:ind w:left="856" w:right="287" w:hanging="559"/>
              <w:jc w:val="center"/>
              <w:rPr>
                <w:rFonts w:hint="eastAsia" w:ascii="宋体" w:hAnsi="宋体" w:eastAsia="宋体" w:cs="宋体"/>
                <w:color w:val="auto"/>
                <w:sz w:val="24"/>
                <w:szCs w:val="24"/>
              </w:rPr>
            </w:pPr>
            <w:r>
              <w:rPr>
                <w:rFonts w:hint="eastAsia" w:cs="宋体"/>
                <w:color w:val="auto"/>
                <w:spacing w:val="-2"/>
                <w:sz w:val="24"/>
                <w:szCs w:val="24"/>
                <w:lang w:eastAsia="zh-CN"/>
              </w:rPr>
              <w:t>谈判文件</w:t>
            </w:r>
            <w:r>
              <w:rPr>
                <w:rFonts w:hint="eastAsia" w:ascii="宋体" w:hAnsi="宋体" w:eastAsia="宋体" w:cs="宋体"/>
                <w:color w:val="auto"/>
                <w:spacing w:val="-2"/>
                <w:sz w:val="24"/>
                <w:szCs w:val="24"/>
              </w:rPr>
              <w:t>技术</w:t>
            </w:r>
            <w:r>
              <w:rPr>
                <w:rFonts w:hint="eastAsia" w:ascii="宋体" w:hAnsi="宋体" w:eastAsia="宋体" w:cs="宋体"/>
                <w:color w:val="auto"/>
                <w:spacing w:val="-6"/>
                <w:sz w:val="24"/>
                <w:szCs w:val="24"/>
              </w:rPr>
              <w:t>要求</w:t>
            </w:r>
          </w:p>
        </w:tc>
        <w:tc>
          <w:tcPr>
            <w:tcW w:w="3015" w:type="dxa"/>
            <w:vAlign w:val="center"/>
          </w:tcPr>
          <w:p w14:paraId="6165B6EF">
            <w:pPr>
              <w:pStyle w:val="23"/>
              <w:spacing w:before="114" w:line="252" w:lineRule="auto"/>
              <w:ind w:right="506"/>
              <w:jc w:val="center"/>
              <w:rPr>
                <w:rFonts w:hint="eastAsia" w:ascii="宋体" w:hAnsi="宋体" w:eastAsia="宋体" w:cs="宋体"/>
                <w:color w:val="auto"/>
                <w:sz w:val="24"/>
                <w:szCs w:val="24"/>
              </w:rPr>
            </w:pPr>
            <w:r>
              <w:rPr>
                <w:rFonts w:hint="eastAsia" w:cs="宋体"/>
                <w:color w:val="auto"/>
                <w:spacing w:val="-3"/>
                <w:sz w:val="24"/>
                <w:szCs w:val="24"/>
                <w:lang w:eastAsia="zh-CN"/>
              </w:rPr>
              <w:t>响应文件</w:t>
            </w:r>
            <w:r>
              <w:rPr>
                <w:rFonts w:hint="eastAsia" w:ascii="宋体" w:hAnsi="宋体" w:eastAsia="宋体" w:cs="宋体"/>
                <w:color w:val="auto"/>
                <w:spacing w:val="-3"/>
                <w:sz w:val="24"/>
                <w:szCs w:val="24"/>
              </w:rPr>
              <w:t>对应技术响应</w:t>
            </w:r>
          </w:p>
        </w:tc>
        <w:tc>
          <w:tcPr>
            <w:tcW w:w="1335" w:type="dxa"/>
            <w:vAlign w:val="center"/>
          </w:tcPr>
          <w:p w14:paraId="7734946B">
            <w:pPr>
              <w:pStyle w:val="23"/>
              <w:spacing w:before="91" w:line="221" w:lineRule="auto"/>
              <w:jc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偏离说明</w:t>
            </w:r>
          </w:p>
        </w:tc>
        <w:tc>
          <w:tcPr>
            <w:tcW w:w="1096" w:type="dxa"/>
            <w:vAlign w:val="center"/>
          </w:tcPr>
          <w:p w14:paraId="0C71A4C4">
            <w:pPr>
              <w:pStyle w:val="23"/>
              <w:spacing w:before="91" w:line="221" w:lineRule="auto"/>
              <w:ind w:left="200"/>
              <w:jc w:val="center"/>
              <w:rPr>
                <w:rFonts w:hint="eastAsia" w:ascii="宋体" w:hAnsi="宋体" w:eastAsia="宋体" w:cs="宋体"/>
                <w:color w:val="auto"/>
                <w:sz w:val="24"/>
                <w:szCs w:val="24"/>
              </w:rPr>
            </w:pPr>
            <w:r>
              <w:rPr>
                <w:rFonts w:hint="eastAsia" w:ascii="宋体" w:hAnsi="宋体" w:eastAsia="宋体" w:cs="宋体"/>
                <w:color w:val="auto"/>
                <w:spacing w:val="-7"/>
                <w:sz w:val="24"/>
                <w:szCs w:val="24"/>
              </w:rPr>
              <w:t>备</w:t>
            </w:r>
            <w:r>
              <w:rPr>
                <w:rFonts w:hint="eastAsia" w:ascii="宋体" w:hAnsi="宋体" w:eastAsia="宋体" w:cs="宋体"/>
                <w:color w:val="auto"/>
                <w:spacing w:val="4"/>
                <w:sz w:val="24"/>
                <w:szCs w:val="24"/>
              </w:rPr>
              <w:t xml:space="preserve">  </w:t>
            </w:r>
            <w:r>
              <w:rPr>
                <w:rFonts w:hint="eastAsia" w:ascii="宋体" w:hAnsi="宋体" w:eastAsia="宋体" w:cs="宋体"/>
                <w:color w:val="auto"/>
                <w:spacing w:val="-7"/>
                <w:sz w:val="24"/>
                <w:szCs w:val="24"/>
              </w:rPr>
              <w:t>注</w:t>
            </w:r>
          </w:p>
        </w:tc>
      </w:tr>
      <w:tr w14:paraId="78D74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82" w:type="dxa"/>
            <w:vAlign w:val="top"/>
          </w:tcPr>
          <w:p w14:paraId="2CC6760D">
            <w:pPr>
              <w:rPr>
                <w:rFonts w:hint="eastAsia" w:ascii="宋体" w:hAnsi="宋体" w:eastAsia="宋体" w:cs="宋体"/>
                <w:color w:val="auto"/>
                <w:sz w:val="21"/>
              </w:rPr>
            </w:pPr>
          </w:p>
        </w:tc>
        <w:tc>
          <w:tcPr>
            <w:tcW w:w="2498" w:type="dxa"/>
            <w:vAlign w:val="top"/>
          </w:tcPr>
          <w:p w14:paraId="1021D5A8">
            <w:pPr>
              <w:rPr>
                <w:rFonts w:hint="eastAsia" w:ascii="宋体" w:hAnsi="宋体" w:eastAsia="宋体" w:cs="宋体"/>
                <w:color w:val="auto"/>
                <w:sz w:val="21"/>
              </w:rPr>
            </w:pPr>
          </w:p>
        </w:tc>
        <w:tc>
          <w:tcPr>
            <w:tcW w:w="3015" w:type="dxa"/>
            <w:vAlign w:val="top"/>
          </w:tcPr>
          <w:p w14:paraId="6881B00C">
            <w:pPr>
              <w:rPr>
                <w:rFonts w:hint="eastAsia" w:ascii="宋体" w:hAnsi="宋体" w:eastAsia="宋体" w:cs="宋体"/>
                <w:color w:val="auto"/>
                <w:sz w:val="21"/>
              </w:rPr>
            </w:pPr>
          </w:p>
        </w:tc>
        <w:tc>
          <w:tcPr>
            <w:tcW w:w="1335" w:type="dxa"/>
            <w:vAlign w:val="top"/>
          </w:tcPr>
          <w:p w14:paraId="2BCF6DFE">
            <w:pPr>
              <w:rPr>
                <w:rFonts w:hint="eastAsia" w:ascii="宋体" w:hAnsi="宋体" w:eastAsia="宋体" w:cs="宋体"/>
                <w:color w:val="auto"/>
                <w:sz w:val="21"/>
              </w:rPr>
            </w:pPr>
          </w:p>
        </w:tc>
        <w:tc>
          <w:tcPr>
            <w:tcW w:w="1096" w:type="dxa"/>
            <w:vAlign w:val="top"/>
          </w:tcPr>
          <w:p w14:paraId="56C58F3F">
            <w:pPr>
              <w:rPr>
                <w:rFonts w:hint="eastAsia" w:ascii="宋体" w:hAnsi="宋体" w:eastAsia="宋体" w:cs="宋体"/>
                <w:color w:val="auto"/>
                <w:sz w:val="21"/>
              </w:rPr>
            </w:pPr>
          </w:p>
        </w:tc>
      </w:tr>
      <w:tr w14:paraId="4D564E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82" w:type="dxa"/>
            <w:vAlign w:val="top"/>
          </w:tcPr>
          <w:p w14:paraId="1F67233D">
            <w:pPr>
              <w:rPr>
                <w:rFonts w:hint="eastAsia" w:ascii="宋体" w:hAnsi="宋体" w:eastAsia="宋体" w:cs="宋体"/>
                <w:color w:val="auto"/>
                <w:sz w:val="21"/>
              </w:rPr>
            </w:pPr>
          </w:p>
        </w:tc>
        <w:tc>
          <w:tcPr>
            <w:tcW w:w="2498" w:type="dxa"/>
            <w:vAlign w:val="top"/>
          </w:tcPr>
          <w:p w14:paraId="7BB641A2">
            <w:pPr>
              <w:rPr>
                <w:rFonts w:hint="eastAsia" w:ascii="宋体" w:hAnsi="宋体" w:eastAsia="宋体" w:cs="宋体"/>
                <w:color w:val="auto"/>
                <w:sz w:val="21"/>
              </w:rPr>
            </w:pPr>
          </w:p>
        </w:tc>
        <w:tc>
          <w:tcPr>
            <w:tcW w:w="3015" w:type="dxa"/>
            <w:vAlign w:val="top"/>
          </w:tcPr>
          <w:p w14:paraId="4BDF24C8">
            <w:pPr>
              <w:rPr>
                <w:rFonts w:hint="eastAsia" w:ascii="宋体" w:hAnsi="宋体" w:eastAsia="宋体" w:cs="宋体"/>
                <w:color w:val="auto"/>
                <w:sz w:val="21"/>
              </w:rPr>
            </w:pPr>
          </w:p>
        </w:tc>
        <w:tc>
          <w:tcPr>
            <w:tcW w:w="1335" w:type="dxa"/>
            <w:vAlign w:val="top"/>
          </w:tcPr>
          <w:p w14:paraId="4F2E85B1">
            <w:pPr>
              <w:rPr>
                <w:rFonts w:hint="eastAsia" w:ascii="宋体" w:hAnsi="宋体" w:eastAsia="宋体" w:cs="宋体"/>
                <w:color w:val="auto"/>
                <w:sz w:val="21"/>
              </w:rPr>
            </w:pPr>
          </w:p>
        </w:tc>
        <w:tc>
          <w:tcPr>
            <w:tcW w:w="1096" w:type="dxa"/>
            <w:vAlign w:val="top"/>
          </w:tcPr>
          <w:p w14:paraId="680DA845">
            <w:pPr>
              <w:rPr>
                <w:rFonts w:hint="eastAsia" w:ascii="宋体" w:hAnsi="宋体" w:eastAsia="宋体" w:cs="宋体"/>
                <w:color w:val="auto"/>
                <w:sz w:val="21"/>
              </w:rPr>
            </w:pPr>
          </w:p>
        </w:tc>
      </w:tr>
      <w:tr w14:paraId="48C8A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82" w:type="dxa"/>
            <w:vAlign w:val="top"/>
          </w:tcPr>
          <w:p w14:paraId="23A65A89">
            <w:pPr>
              <w:rPr>
                <w:rFonts w:hint="eastAsia" w:ascii="宋体" w:hAnsi="宋体" w:eastAsia="宋体" w:cs="宋体"/>
                <w:color w:val="auto"/>
                <w:sz w:val="21"/>
              </w:rPr>
            </w:pPr>
          </w:p>
        </w:tc>
        <w:tc>
          <w:tcPr>
            <w:tcW w:w="2498" w:type="dxa"/>
            <w:vAlign w:val="top"/>
          </w:tcPr>
          <w:p w14:paraId="4BA86553">
            <w:pPr>
              <w:rPr>
                <w:rFonts w:hint="eastAsia" w:ascii="宋体" w:hAnsi="宋体" w:eastAsia="宋体" w:cs="宋体"/>
                <w:color w:val="auto"/>
                <w:sz w:val="21"/>
              </w:rPr>
            </w:pPr>
          </w:p>
        </w:tc>
        <w:tc>
          <w:tcPr>
            <w:tcW w:w="3015" w:type="dxa"/>
            <w:vAlign w:val="top"/>
          </w:tcPr>
          <w:p w14:paraId="6C7A15A2">
            <w:pPr>
              <w:rPr>
                <w:rFonts w:hint="eastAsia" w:ascii="宋体" w:hAnsi="宋体" w:eastAsia="宋体" w:cs="宋体"/>
                <w:color w:val="auto"/>
                <w:sz w:val="21"/>
              </w:rPr>
            </w:pPr>
          </w:p>
        </w:tc>
        <w:tc>
          <w:tcPr>
            <w:tcW w:w="1335" w:type="dxa"/>
            <w:vAlign w:val="top"/>
          </w:tcPr>
          <w:p w14:paraId="31ED56CD">
            <w:pPr>
              <w:rPr>
                <w:rFonts w:hint="eastAsia" w:ascii="宋体" w:hAnsi="宋体" w:eastAsia="宋体" w:cs="宋体"/>
                <w:color w:val="auto"/>
                <w:sz w:val="21"/>
              </w:rPr>
            </w:pPr>
          </w:p>
        </w:tc>
        <w:tc>
          <w:tcPr>
            <w:tcW w:w="1096" w:type="dxa"/>
            <w:vAlign w:val="top"/>
          </w:tcPr>
          <w:p w14:paraId="7FDA485C">
            <w:pPr>
              <w:rPr>
                <w:rFonts w:hint="eastAsia" w:ascii="宋体" w:hAnsi="宋体" w:eastAsia="宋体" w:cs="宋体"/>
                <w:color w:val="auto"/>
                <w:sz w:val="21"/>
              </w:rPr>
            </w:pPr>
          </w:p>
        </w:tc>
      </w:tr>
      <w:tr w14:paraId="4A153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82" w:type="dxa"/>
            <w:vAlign w:val="top"/>
          </w:tcPr>
          <w:p w14:paraId="2BA31F2C">
            <w:pPr>
              <w:rPr>
                <w:rFonts w:hint="eastAsia" w:ascii="宋体" w:hAnsi="宋体" w:eastAsia="宋体" w:cs="宋体"/>
                <w:color w:val="auto"/>
                <w:sz w:val="21"/>
              </w:rPr>
            </w:pPr>
          </w:p>
        </w:tc>
        <w:tc>
          <w:tcPr>
            <w:tcW w:w="2498" w:type="dxa"/>
            <w:vAlign w:val="top"/>
          </w:tcPr>
          <w:p w14:paraId="2B45095E">
            <w:pPr>
              <w:rPr>
                <w:rFonts w:hint="eastAsia" w:ascii="宋体" w:hAnsi="宋体" w:eastAsia="宋体" w:cs="宋体"/>
                <w:color w:val="auto"/>
                <w:sz w:val="21"/>
              </w:rPr>
            </w:pPr>
          </w:p>
        </w:tc>
        <w:tc>
          <w:tcPr>
            <w:tcW w:w="3015" w:type="dxa"/>
            <w:vAlign w:val="top"/>
          </w:tcPr>
          <w:p w14:paraId="2700BA0C">
            <w:pPr>
              <w:rPr>
                <w:rFonts w:hint="eastAsia" w:ascii="宋体" w:hAnsi="宋体" w:eastAsia="宋体" w:cs="宋体"/>
                <w:color w:val="auto"/>
                <w:sz w:val="21"/>
              </w:rPr>
            </w:pPr>
          </w:p>
        </w:tc>
        <w:tc>
          <w:tcPr>
            <w:tcW w:w="1335" w:type="dxa"/>
            <w:vAlign w:val="top"/>
          </w:tcPr>
          <w:p w14:paraId="62167BC7">
            <w:pPr>
              <w:rPr>
                <w:rFonts w:hint="eastAsia" w:ascii="宋体" w:hAnsi="宋体" w:eastAsia="宋体" w:cs="宋体"/>
                <w:color w:val="auto"/>
                <w:sz w:val="21"/>
              </w:rPr>
            </w:pPr>
          </w:p>
        </w:tc>
        <w:tc>
          <w:tcPr>
            <w:tcW w:w="1096" w:type="dxa"/>
            <w:vAlign w:val="top"/>
          </w:tcPr>
          <w:p w14:paraId="5831A2FA">
            <w:pPr>
              <w:rPr>
                <w:rFonts w:hint="eastAsia" w:ascii="宋体" w:hAnsi="宋体" w:eastAsia="宋体" w:cs="宋体"/>
                <w:color w:val="auto"/>
                <w:sz w:val="21"/>
              </w:rPr>
            </w:pPr>
          </w:p>
        </w:tc>
      </w:tr>
      <w:tr w14:paraId="3FF557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82" w:type="dxa"/>
            <w:vAlign w:val="top"/>
          </w:tcPr>
          <w:p w14:paraId="10BECD63">
            <w:pPr>
              <w:rPr>
                <w:rFonts w:hint="eastAsia" w:ascii="宋体" w:hAnsi="宋体" w:eastAsia="宋体" w:cs="宋体"/>
                <w:color w:val="auto"/>
                <w:sz w:val="21"/>
              </w:rPr>
            </w:pPr>
          </w:p>
        </w:tc>
        <w:tc>
          <w:tcPr>
            <w:tcW w:w="2498" w:type="dxa"/>
            <w:vAlign w:val="top"/>
          </w:tcPr>
          <w:p w14:paraId="58C72C94">
            <w:pPr>
              <w:rPr>
                <w:rFonts w:hint="eastAsia" w:ascii="宋体" w:hAnsi="宋体" w:eastAsia="宋体" w:cs="宋体"/>
                <w:color w:val="auto"/>
                <w:sz w:val="21"/>
              </w:rPr>
            </w:pPr>
          </w:p>
        </w:tc>
        <w:tc>
          <w:tcPr>
            <w:tcW w:w="3015" w:type="dxa"/>
            <w:vAlign w:val="top"/>
          </w:tcPr>
          <w:p w14:paraId="74BF06D2">
            <w:pPr>
              <w:rPr>
                <w:rFonts w:hint="eastAsia" w:ascii="宋体" w:hAnsi="宋体" w:eastAsia="宋体" w:cs="宋体"/>
                <w:color w:val="auto"/>
                <w:sz w:val="21"/>
              </w:rPr>
            </w:pPr>
          </w:p>
        </w:tc>
        <w:tc>
          <w:tcPr>
            <w:tcW w:w="1335" w:type="dxa"/>
            <w:vAlign w:val="top"/>
          </w:tcPr>
          <w:p w14:paraId="6EF33D89">
            <w:pPr>
              <w:rPr>
                <w:rFonts w:hint="eastAsia" w:ascii="宋体" w:hAnsi="宋体" w:eastAsia="宋体" w:cs="宋体"/>
                <w:color w:val="auto"/>
                <w:sz w:val="21"/>
              </w:rPr>
            </w:pPr>
          </w:p>
        </w:tc>
        <w:tc>
          <w:tcPr>
            <w:tcW w:w="1096" w:type="dxa"/>
            <w:vAlign w:val="top"/>
          </w:tcPr>
          <w:p w14:paraId="7613A09D">
            <w:pPr>
              <w:rPr>
                <w:rFonts w:hint="eastAsia" w:ascii="宋体" w:hAnsi="宋体" w:eastAsia="宋体" w:cs="宋体"/>
                <w:color w:val="auto"/>
                <w:sz w:val="21"/>
              </w:rPr>
            </w:pPr>
          </w:p>
        </w:tc>
      </w:tr>
      <w:tr w14:paraId="0B3E2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82" w:type="dxa"/>
            <w:vAlign w:val="top"/>
          </w:tcPr>
          <w:p w14:paraId="788E73F7">
            <w:pPr>
              <w:rPr>
                <w:rFonts w:hint="eastAsia" w:ascii="宋体" w:hAnsi="宋体" w:eastAsia="宋体" w:cs="宋体"/>
                <w:color w:val="auto"/>
                <w:sz w:val="21"/>
              </w:rPr>
            </w:pPr>
          </w:p>
        </w:tc>
        <w:tc>
          <w:tcPr>
            <w:tcW w:w="2498" w:type="dxa"/>
            <w:vAlign w:val="top"/>
          </w:tcPr>
          <w:p w14:paraId="6B47270D">
            <w:pPr>
              <w:rPr>
                <w:rFonts w:hint="eastAsia" w:ascii="宋体" w:hAnsi="宋体" w:eastAsia="宋体" w:cs="宋体"/>
                <w:color w:val="auto"/>
                <w:sz w:val="21"/>
              </w:rPr>
            </w:pPr>
          </w:p>
        </w:tc>
        <w:tc>
          <w:tcPr>
            <w:tcW w:w="3015" w:type="dxa"/>
            <w:vAlign w:val="top"/>
          </w:tcPr>
          <w:p w14:paraId="23FBBDDF">
            <w:pPr>
              <w:rPr>
                <w:rFonts w:hint="eastAsia" w:ascii="宋体" w:hAnsi="宋体" w:eastAsia="宋体" w:cs="宋体"/>
                <w:color w:val="auto"/>
                <w:sz w:val="21"/>
              </w:rPr>
            </w:pPr>
          </w:p>
        </w:tc>
        <w:tc>
          <w:tcPr>
            <w:tcW w:w="1335" w:type="dxa"/>
            <w:vAlign w:val="top"/>
          </w:tcPr>
          <w:p w14:paraId="34F4B2E2">
            <w:pPr>
              <w:rPr>
                <w:rFonts w:hint="eastAsia" w:ascii="宋体" w:hAnsi="宋体" w:eastAsia="宋体" w:cs="宋体"/>
                <w:color w:val="auto"/>
                <w:sz w:val="21"/>
              </w:rPr>
            </w:pPr>
          </w:p>
        </w:tc>
        <w:tc>
          <w:tcPr>
            <w:tcW w:w="1096" w:type="dxa"/>
            <w:vAlign w:val="top"/>
          </w:tcPr>
          <w:p w14:paraId="35139F6D">
            <w:pPr>
              <w:rPr>
                <w:rFonts w:hint="eastAsia" w:ascii="宋体" w:hAnsi="宋体" w:eastAsia="宋体" w:cs="宋体"/>
                <w:color w:val="auto"/>
                <w:sz w:val="21"/>
              </w:rPr>
            </w:pPr>
          </w:p>
        </w:tc>
      </w:tr>
      <w:tr w14:paraId="75F33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882" w:type="dxa"/>
            <w:vAlign w:val="top"/>
          </w:tcPr>
          <w:p w14:paraId="062C67C4">
            <w:pPr>
              <w:rPr>
                <w:rFonts w:hint="eastAsia" w:ascii="宋体" w:hAnsi="宋体" w:eastAsia="宋体" w:cs="宋体"/>
                <w:color w:val="auto"/>
                <w:sz w:val="21"/>
              </w:rPr>
            </w:pPr>
          </w:p>
        </w:tc>
        <w:tc>
          <w:tcPr>
            <w:tcW w:w="2498" w:type="dxa"/>
            <w:vAlign w:val="top"/>
          </w:tcPr>
          <w:p w14:paraId="720F7D19">
            <w:pPr>
              <w:rPr>
                <w:rFonts w:hint="eastAsia" w:ascii="宋体" w:hAnsi="宋体" w:eastAsia="宋体" w:cs="宋体"/>
                <w:color w:val="auto"/>
                <w:sz w:val="21"/>
              </w:rPr>
            </w:pPr>
          </w:p>
        </w:tc>
        <w:tc>
          <w:tcPr>
            <w:tcW w:w="3015" w:type="dxa"/>
            <w:vAlign w:val="top"/>
          </w:tcPr>
          <w:p w14:paraId="2181AF4D">
            <w:pPr>
              <w:rPr>
                <w:rFonts w:hint="eastAsia" w:ascii="宋体" w:hAnsi="宋体" w:eastAsia="宋体" w:cs="宋体"/>
                <w:color w:val="auto"/>
                <w:sz w:val="21"/>
              </w:rPr>
            </w:pPr>
          </w:p>
        </w:tc>
        <w:tc>
          <w:tcPr>
            <w:tcW w:w="1335" w:type="dxa"/>
            <w:vAlign w:val="top"/>
          </w:tcPr>
          <w:p w14:paraId="5C38711F">
            <w:pPr>
              <w:rPr>
                <w:rFonts w:hint="eastAsia" w:ascii="宋体" w:hAnsi="宋体" w:eastAsia="宋体" w:cs="宋体"/>
                <w:color w:val="auto"/>
                <w:sz w:val="21"/>
              </w:rPr>
            </w:pPr>
          </w:p>
        </w:tc>
        <w:tc>
          <w:tcPr>
            <w:tcW w:w="1096" w:type="dxa"/>
            <w:vAlign w:val="top"/>
          </w:tcPr>
          <w:p w14:paraId="2E09B63D">
            <w:pPr>
              <w:rPr>
                <w:rFonts w:hint="eastAsia" w:ascii="宋体" w:hAnsi="宋体" w:eastAsia="宋体" w:cs="宋体"/>
                <w:color w:val="auto"/>
                <w:sz w:val="21"/>
              </w:rPr>
            </w:pPr>
          </w:p>
        </w:tc>
      </w:tr>
    </w:tbl>
    <w:p w14:paraId="008E0A4F">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注：</w:t>
      </w:r>
    </w:p>
    <w:p w14:paraId="236A6F0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1、偏离说明填写：“</w:t>
      </w:r>
      <w:r>
        <w:rPr>
          <w:rFonts w:hint="eastAsia" w:ascii="宋体" w:hAnsi="宋体" w:eastAsia="宋体" w:cs="宋体"/>
          <w:b/>
          <w:color w:val="auto"/>
          <w:sz w:val="24"/>
          <w:szCs w:val="24"/>
        </w:rPr>
        <w:t>正偏离</w:t>
      </w:r>
      <w:r>
        <w:rPr>
          <w:rFonts w:hint="eastAsia" w:ascii="宋体" w:hAnsi="宋体" w:eastAsia="宋体" w:cs="宋体"/>
          <w:color w:val="auto"/>
          <w:sz w:val="24"/>
          <w:szCs w:val="24"/>
        </w:rPr>
        <w:t>”或“</w:t>
      </w:r>
      <w:r>
        <w:rPr>
          <w:rFonts w:hint="eastAsia" w:ascii="宋体" w:hAnsi="宋体" w:eastAsia="宋体" w:cs="宋体"/>
          <w:b/>
          <w:color w:val="auto"/>
          <w:sz w:val="24"/>
          <w:szCs w:val="24"/>
        </w:rPr>
        <w:t>负偏离</w:t>
      </w:r>
      <w:r>
        <w:rPr>
          <w:rFonts w:hint="eastAsia" w:ascii="宋体" w:hAnsi="宋体" w:eastAsia="宋体" w:cs="宋体"/>
          <w:color w:val="auto"/>
          <w:sz w:val="24"/>
          <w:szCs w:val="24"/>
        </w:rPr>
        <w:t>”</w:t>
      </w:r>
      <w:r>
        <w:rPr>
          <w:rFonts w:hint="eastAsia" w:ascii="宋体" w:hAnsi="宋体" w:eastAsia="宋体" w:cs="宋体"/>
          <w:b/>
          <w:color w:val="auto"/>
          <w:sz w:val="24"/>
          <w:szCs w:val="24"/>
        </w:rPr>
        <w:t>，</w:t>
      </w:r>
      <w:r>
        <w:rPr>
          <w:rFonts w:hint="eastAsia" w:ascii="宋体" w:hAnsi="宋体" w:eastAsia="宋体" w:cs="宋体"/>
          <w:b/>
          <w:bCs/>
          <w:color w:val="auto"/>
          <w:sz w:val="24"/>
          <w:szCs w:val="24"/>
        </w:rPr>
        <w:t>并</w:t>
      </w:r>
      <w:r>
        <w:rPr>
          <w:rFonts w:hint="eastAsia" w:ascii="宋体" w:hAnsi="宋体" w:eastAsia="宋体" w:cs="宋体"/>
          <w:b/>
          <w:color w:val="auto"/>
          <w:sz w:val="24"/>
          <w:szCs w:val="24"/>
        </w:rPr>
        <w:t>注明技术支撑材料所在页码或位置（说明不清楚将导致评标委员会做出对</w:t>
      </w:r>
      <w:r>
        <w:rPr>
          <w:rFonts w:hint="eastAsia" w:ascii="宋体" w:hAnsi="宋体" w:eastAsia="宋体" w:cs="宋体"/>
          <w:b/>
          <w:color w:val="auto"/>
          <w:sz w:val="24"/>
          <w:szCs w:val="24"/>
          <w:lang w:eastAsia="zh-CN"/>
        </w:rPr>
        <w:t>供应商</w:t>
      </w:r>
      <w:r>
        <w:rPr>
          <w:rFonts w:hint="eastAsia" w:ascii="宋体" w:hAnsi="宋体" w:eastAsia="宋体" w:cs="宋体"/>
          <w:b/>
          <w:color w:val="auto"/>
          <w:sz w:val="24"/>
          <w:szCs w:val="24"/>
        </w:rPr>
        <w:t>不利判定），若无偏离则附此空表加盖单位印章。</w:t>
      </w:r>
    </w:p>
    <w:p w14:paraId="23E2CD00">
      <w:pPr>
        <w:autoSpaceDE w:val="0"/>
        <w:autoSpaceDN w:val="0"/>
        <w:adjustRightIn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2、表格不够用，</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可按此表复制。</w:t>
      </w:r>
    </w:p>
    <w:p w14:paraId="42D7678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须如实填写该表，如有隐瞒，后果由</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自负。</w:t>
      </w:r>
    </w:p>
    <w:p w14:paraId="1AD213CE">
      <w:pPr>
        <w:spacing w:line="360" w:lineRule="auto"/>
        <w:ind w:firstLine="720"/>
        <w:jc w:val="right"/>
        <w:rPr>
          <w:rFonts w:hint="eastAsia" w:ascii="宋体" w:hAnsi="宋体" w:eastAsia="宋体" w:cs="宋体"/>
          <w:color w:val="auto"/>
          <w:sz w:val="24"/>
        </w:rPr>
      </w:pPr>
    </w:p>
    <w:p w14:paraId="2500A31E">
      <w:pPr>
        <w:spacing w:line="360" w:lineRule="auto"/>
        <w:ind w:firstLine="720"/>
        <w:jc w:val="right"/>
        <w:rPr>
          <w:rFonts w:hint="eastAsia" w:ascii="宋体" w:hAnsi="宋体" w:eastAsia="宋体" w:cs="宋体"/>
          <w:color w:val="auto"/>
          <w:sz w:val="24"/>
        </w:rPr>
      </w:pPr>
    </w:p>
    <w:p w14:paraId="5E66C7E0">
      <w:pPr>
        <w:spacing w:line="360" w:lineRule="auto"/>
        <w:ind w:firstLine="4920" w:firstLineChars="2050"/>
        <w:rPr>
          <w:rFonts w:hint="eastAsia" w:ascii="宋体" w:hAnsi="宋体" w:eastAsia="宋体" w:cs="宋体"/>
          <w:color w:val="auto"/>
          <w:sz w:val="24"/>
        </w:rPr>
      </w:pPr>
      <w:r>
        <w:rPr>
          <w:rFonts w:hint="eastAsia" w:ascii="宋体" w:hAnsi="宋体" w:eastAsia="宋体" w:cs="宋体"/>
          <w:color w:val="auto"/>
          <w:sz w:val="24"/>
        </w:rPr>
        <w:t>供应商名称：（公章）</w:t>
      </w:r>
    </w:p>
    <w:p w14:paraId="70252935">
      <w:pPr>
        <w:spacing w:line="360" w:lineRule="auto"/>
        <w:ind w:firstLine="4920" w:firstLineChars="2050"/>
        <w:rPr>
          <w:rFonts w:hint="eastAsia" w:ascii="宋体" w:hAnsi="宋体" w:eastAsia="宋体" w:cs="宋体"/>
          <w:color w:val="auto"/>
          <w:sz w:val="24"/>
        </w:rPr>
      </w:pPr>
      <w:r>
        <w:rPr>
          <w:rFonts w:hint="eastAsia" w:ascii="宋体" w:hAnsi="宋体" w:eastAsia="宋体" w:cs="宋体"/>
          <w:color w:val="auto"/>
          <w:sz w:val="24"/>
        </w:rPr>
        <w:t>法定代表人或授权代表（签字或盖章）：</w:t>
      </w:r>
    </w:p>
    <w:p w14:paraId="3204FA65">
      <w:pPr>
        <w:ind w:firstLine="4920" w:firstLineChars="2050"/>
        <w:rPr>
          <w:rFonts w:hint="eastAsia" w:ascii="宋体" w:hAnsi="宋体" w:eastAsia="宋体" w:cs="宋体"/>
          <w:color w:val="auto"/>
          <w:sz w:val="24"/>
        </w:rPr>
      </w:pPr>
      <w:r>
        <w:rPr>
          <w:rFonts w:hint="eastAsia" w:ascii="宋体" w:hAnsi="宋体" w:eastAsia="宋体" w:cs="宋体"/>
          <w:color w:val="auto"/>
          <w:sz w:val="24"/>
        </w:rPr>
        <w:t>日期：    年    月    日</w:t>
      </w:r>
    </w:p>
    <w:p w14:paraId="1748F506">
      <w:pPr>
        <w:pStyle w:val="16"/>
        <w:rPr>
          <w:rFonts w:hint="eastAsia" w:ascii="宋体" w:hAnsi="宋体" w:eastAsia="宋体" w:cs="宋体"/>
          <w:b/>
          <w:bCs/>
          <w:color w:val="auto"/>
          <w:sz w:val="32"/>
          <w:szCs w:val="32"/>
          <w:lang w:val="en-US" w:eastAsia="zh-CN"/>
        </w:rPr>
      </w:pPr>
    </w:p>
    <w:p w14:paraId="5D184F2D">
      <w:pPr>
        <w:pStyle w:val="16"/>
        <w:rPr>
          <w:rFonts w:hint="eastAsia" w:ascii="宋体" w:hAnsi="宋体" w:eastAsia="宋体" w:cs="宋体"/>
          <w:b/>
          <w:bCs/>
          <w:color w:val="auto"/>
          <w:sz w:val="32"/>
          <w:szCs w:val="32"/>
          <w:lang w:val="en-US" w:eastAsia="zh-CN"/>
        </w:rPr>
      </w:pPr>
    </w:p>
    <w:p w14:paraId="7955723C">
      <w:pPr>
        <w:pStyle w:val="16"/>
        <w:rPr>
          <w:rFonts w:hint="eastAsia" w:ascii="宋体" w:hAnsi="宋体" w:eastAsia="宋体" w:cs="宋体"/>
          <w:b/>
          <w:bCs/>
          <w:color w:val="auto"/>
          <w:sz w:val="32"/>
          <w:szCs w:val="32"/>
          <w:lang w:val="en-US" w:eastAsia="zh-CN"/>
        </w:rPr>
      </w:pPr>
    </w:p>
    <w:p w14:paraId="4F7C3D77">
      <w:pPr>
        <w:pStyle w:val="16"/>
        <w:rPr>
          <w:rFonts w:hint="eastAsia" w:ascii="宋体" w:hAnsi="宋体" w:eastAsia="宋体" w:cs="宋体"/>
          <w:b/>
          <w:bCs/>
          <w:color w:val="auto"/>
          <w:sz w:val="32"/>
          <w:szCs w:val="32"/>
          <w:lang w:val="en-US" w:eastAsia="zh-CN"/>
        </w:rPr>
      </w:pPr>
    </w:p>
    <w:p w14:paraId="67AAE846">
      <w:pPr>
        <w:pStyle w:val="16"/>
        <w:rPr>
          <w:rFonts w:hint="eastAsia" w:ascii="宋体" w:hAnsi="宋体" w:eastAsia="宋体" w:cs="宋体"/>
          <w:b/>
          <w:bCs/>
          <w:color w:val="auto"/>
          <w:sz w:val="32"/>
          <w:szCs w:val="32"/>
          <w:lang w:val="en-US" w:eastAsia="zh-CN"/>
        </w:rPr>
      </w:pPr>
    </w:p>
    <w:p w14:paraId="0D368389">
      <w:pPr>
        <w:pStyle w:val="16"/>
        <w:rPr>
          <w:rFonts w:hint="eastAsia" w:ascii="宋体" w:hAnsi="宋体" w:eastAsia="宋体" w:cs="宋体"/>
          <w:b/>
          <w:bCs/>
          <w:color w:val="auto"/>
          <w:sz w:val="32"/>
          <w:szCs w:val="32"/>
          <w:lang w:val="en-US" w:eastAsia="zh-CN"/>
        </w:rPr>
      </w:pPr>
    </w:p>
    <w:p w14:paraId="679301F4">
      <w:pPr>
        <w:pStyle w:val="16"/>
        <w:rPr>
          <w:rFonts w:hint="eastAsia" w:ascii="宋体" w:hAnsi="宋体" w:eastAsia="宋体" w:cs="宋体"/>
          <w:b/>
          <w:bCs/>
          <w:color w:val="auto"/>
          <w:sz w:val="32"/>
          <w:szCs w:val="32"/>
          <w:lang w:val="en-US" w:eastAsia="zh-CN"/>
        </w:rPr>
      </w:pPr>
    </w:p>
    <w:p w14:paraId="387EF3D6">
      <w:pPr>
        <w:autoSpaceDE w:val="0"/>
        <w:autoSpaceDN w:val="0"/>
        <w:adjustRightInd w:val="0"/>
        <w:spacing w:line="348" w:lineRule="auto"/>
        <w:jc w:val="cente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第八部分  其他需要补充的内容</w:t>
      </w:r>
    </w:p>
    <w:p w14:paraId="35A5297C">
      <w:pPr>
        <w:widowControl/>
        <w:snapToGrid w:val="0"/>
        <w:spacing w:before="100" w:beforeAutospacing="1" w:after="100" w:afterAutospacing="1" w:line="324" w:lineRule="auto"/>
        <w:ind w:firstLine="1440" w:firstLineChars="600"/>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（供应商可根据采购要求或自身情况附加其他材料）</w:t>
      </w:r>
    </w:p>
    <w:p w14:paraId="7341FDBF">
      <w:pPr>
        <w:autoSpaceDE w:val="0"/>
        <w:autoSpaceDN w:val="0"/>
        <w:adjustRightInd w:val="0"/>
        <w:spacing w:line="348" w:lineRule="auto"/>
        <w:rPr>
          <w:rFonts w:hint="eastAsia" w:ascii="宋体" w:hAnsi="宋体" w:eastAsia="宋体" w:cs="宋体"/>
          <w:b/>
          <w:bCs/>
          <w:color w:val="auto"/>
          <w:sz w:val="44"/>
          <w:szCs w:val="44"/>
          <w:lang w:val="zh-CN"/>
        </w:rPr>
      </w:pPr>
    </w:p>
    <w:p w14:paraId="07D3EA67">
      <w:pPr>
        <w:autoSpaceDE w:val="0"/>
        <w:autoSpaceDN w:val="0"/>
        <w:adjustRightInd w:val="0"/>
        <w:spacing w:line="348" w:lineRule="auto"/>
        <w:rPr>
          <w:rFonts w:hint="eastAsia" w:ascii="宋体" w:hAnsi="宋体" w:eastAsia="宋体" w:cs="宋体"/>
          <w:b/>
          <w:bCs/>
          <w:color w:val="auto"/>
          <w:sz w:val="44"/>
          <w:szCs w:val="44"/>
          <w:lang w:val="zh-CN"/>
        </w:rPr>
      </w:pPr>
    </w:p>
    <w:p w14:paraId="290AD331">
      <w:pPr>
        <w:autoSpaceDE w:val="0"/>
        <w:autoSpaceDN w:val="0"/>
        <w:adjustRightInd w:val="0"/>
        <w:spacing w:line="348" w:lineRule="auto"/>
        <w:rPr>
          <w:rFonts w:hint="eastAsia" w:ascii="宋体" w:hAnsi="宋体" w:eastAsia="宋体" w:cs="宋体"/>
          <w:b/>
          <w:bCs/>
          <w:color w:val="auto"/>
          <w:sz w:val="44"/>
          <w:szCs w:val="44"/>
          <w:lang w:val="zh-CN"/>
        </w:rPr>
      </w:pPr>
    </w:p>
    <w:p w14:paraId="3E8CACAE">
      <w:pPr>
        <w:autoSpaceDE w:val="0"/>
        <w:autoSpaceDN w:val="0"/>
        <w:adjustRightInd w:val="0"/>
        <w:spacing w:line="348" w:lineRule="auto"/>
        <w:rPr>
          <w:rFonts w:hint="eastAsia" w:ascii="宋体" w:hAnsi="宋体" w:eastAsia="宋体" w:cs="宋体"/>
          <w:bCs/>
          <w:color w:val="auto"/>
          <w:sz w:val="32"/>
          <w:szCs w:val="32"/>
        </w:rPr>
      </w:pPr>
    </w:p>
    <w:p w14:paraId="090555C8">
      <w:pPr>
        <w:autoSpaceDE w:val="0"/>
        <w:autoSpaceDN w:val="0"/>
        <w:adjustRightInd w:val="0"/>
        <w:spacing w:line="348" w:lineRule="auto"/>
        <w:rPr>
          <w:rFonts w:hint="eastAsia" w:ascii="宋体" w:hAnsi="宋体" w:eastAsia="宋体" w:cs="宋体"/>
          <w:bCs/>
          <w:color w:val="auto"/>
          <w:sz w:val="32"/>
          <w:szCs w:val="32"/>
        </w:rPr>
      </w:pPr>
    </w:p>
    <w:p w14:paraId="7451015F">
      <w:pPr>
        <w:autoSpaceDE w:val="0"/>
        <w:autoSpaceDN w:val="0"/>
        <w:adjustRightInd w:val="0"/>
        <w:spacing w:line="348" w:lineRule="auto"/>
        <w:rPr>
          <w:rFonts w:hint="eastAsia" w:ascii="宋体" w:hAnsi="宋体" w:eastAsia="宋体" w:cs="宋体"/>
          <w:bCs/>
          <w:color w:val="auto"/>
          <w:sz w:val="32"/>
          <w:szCs w:val="32"/>
        </w:rPr>
      </w:pPr>
    </w:p>
    <w:p w14:paraId="347FC62C">
      <w:pPr>
        <w:autoSpaceDE w:val="0"/>
        <w:autoSpaceDN w:val="0"/>
        <w:adjustRightInd w:val="0"/>
        <w:spacing w:line="348" w:lineRule="auto"/>
        <w:rPr>
          <w:rFonts w:hint="eastAsia" w:ascii="宋体" w:hAnsi="宋体" w:eastAsia="宋体" w:cs="宋体"/>
          <w:bCs/>
          <w:color w:val="auto"/>
          <w:sz w:val="32"/>
          <w:szCs w:val="32"/>
        </w:rPr>
      </w:pPr>
    </w:p>
    <w:p w14:paraId="034139C9">
      <w:pPr>
        <w:autoSpaceDE w:val="0"/>
        <w:autoSpaceDN w:val="0"/>
        <w:adjustRightInd w:val="0"/>
        <w:spacing w:line="348" w:lineRule="auto"/>
        <w:rPr>
          <w:rFonts w:hint="eastAsia" w:ascii="宋体" w:hAnsi="宋体" w:eastAsia="宋体" w:cs="宋体"/>
          <w:bCs/>
          <w:color w:val="auto"/>
          <w:sz w:val="32"/>
          <w:szCs w:val="32"/>
        </w:rPr>
      </w:pPr>
    </w:p>
    <w:p w14:paraId="461BAF9B">
      <w:pPr>
        <w:autoSpaceDE w:val="0"/>
        <w:autoSpaceDN w:val="0"/>
        <w:adjustRightInd w:val="0"/>
        <w:spacing w:line="348" w:lineRule="auto"/>
        <w:rPr>
          <w:rFonts w:hint="eastAsia" w:ascii="宋体" w:hAnsi="宋体" w:eastAsia="宋体" w:cs="宋体"/>
          <w:bCs/>
          <w:color w:val="auto"/>
          <w:sz w:val="32"/>
          <w:szCs w:val="32"/>
        </w:rPr>
      </w:pPr>
    </w:p>
    <w:p w14:paraId="2C41B667">
      <w:pPr>
        <w:autoSpaceDE w:val="0"/>
        <w:autoSpaceDN w:val="0"/>
        <w:adjustRightInd w:val="0"/>
        <w:spacing w:line="348" w:lineRule="auto"/>
        <w:rPr>
          <w:rFonts w:hint="eastAsia" w:ascii="宋体" w:hAnsi="宋体" w:eastAsia="宋体" w:cs="宋体"/>
          <w:bCs/>
          <w:color w:val="auto"/>
          <w:sz w:val="32"/>
          <w:szCs w:val="32"/>
        </w:rPr>
      </w:pPr>
    </w:p>
    <w:p w14:paraId="374213C4">
      <w:pPr>
        <w:autoSpaceDE w:val="0"/>
        <w:autoSpaceDN w:val="0"/>
        <w:adjustRightInd w:val="0"/>
        <w:spacing w:line="348" w:lineRule="auto"/>
        <w:rPr>
          <w:rFonts w:hint="eastAsia" w:ascii="宋体" w:hAnsi="宋体" w:eastAsia="宋体" w:cs="宋体"/>
          <w:bCs/>
          <w:color w:val="auto"/>
          <w:sz w:val="32"/>
          <w:szCs w:val="32"/>
        </w:rPr>
      </w:pPr>
    </w:p>
    <w:p w14:paraId="3850416B">
      <w:pPr>
        <w:pStyle w:val="6"/>
        <w:numPr>
          <w:ilvl w:val="0"/>
          <w:numId w:val="0"/>
        </w:numPr>
        <w:spacing w:before="63" w:line="225" w:lineRule="auto"/>
        <w:ind w:left="975" w:leftChars="0"/>
        <w:jc w:val="center"/>
        <w:rPr>
          <w:color w:val="auto"/>
          <w:sz w:val="31"/>
          <w:szCs w:val="31"/>
        </w:rPr>
      </w:pPr>
    </w:p>
    <w:sectPr>
      <w:headerReference r:id="rId18" w:type="default"/>
      <w:footerReference r:id="rId19" w:type="default"/>
      <w:pgSz w:w="11906" w:h="16839"/>
      <w:pgMar w:top="1506" w:right="1231" w:bottom="1367" w:left="1246" w:header="1170" w:footer="1097"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3CDB9">
    <w:pPr>
      <w:pStyle w:val="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769729">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4769729">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C2C1D">
    <w:pPr>
      <w:pStyle w:val="6"/>
      <w:spacing w:line="260" w:lineRule="exact"/>
      <w:ind w:left="2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5A81E6">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C5A81E6">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041D6">
    <w:pPr>
      <w:pStyle w:val="6"/>
      <w:spacing w:line="260" w:lineRule="exact"/>
      <w:ind w:left="2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BD8CF6">
                          <w:pPr>
                            <w:pStyle w:val="9"/>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CBD8CF6">
                    <w:pPr>
                      <w:pStyle w:val="9"/>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9C9D3">
    <w:pPr>
      <w:pStyle w:val="6"/>
      <w:spacing w:line="260" w:lineRule="exact"/>
      <w:ind w:left="2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76923A">
                          <w:pPr>
                            <w:pStyle w:val="9"/>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876923A">
                    <w:pPr>
                      <w:pStyle w:val="9"/>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DB171">
    <w:pPr>
      <w:pStyle w:val="6"/>
      <w:spacing w:line="260" w:lineRule="exact"/>
      <w:ind w:left="2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DA2990">
                          <w:pPr>
                            <w:pStyle w:val="9"/>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3DA2990">
                    <w:pPr>
                      <w:pStyle w:val="9"/>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C9360">
    <w:pPr>
      <w:pStyle w:val="9"/>
      <w:tabs>
        <w:tab w:val="right" w:pos="8820"/>
        <w:tab w:val="clear" w:pos="8306"/>
      </w:tabs>
      <w:ind w:right="775"/>
    </w:pPr>
    <w:r>
      <w:rPr>
        <w:sz w:val="20"/>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760BC6">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F760BC6">
                    <w:pPr>
                      <w:pStyle w:val="9"/>
                    </w:pPr>
                    <w:r>
                      <w:fldChar w:fldCharType="begin"/>
                    </w:r>
                    <w:r>
                      <w:instrText xml:space="preserve"> PAGE  \* MERGEFORMAT </w:instrText>
                    </w:r>
                    <w:r>
                      <w:fldChar w:fldCharType="separate"/>
                    </w:r>
                    <w:r>
                      <w:t>1</w:t>
                    </w:r>
                    <w:r>
                      <w:fldChar w:fldCharType="end"/>
                    </w:r>
                  </w:p>
                </w:txbxContent>
              </v:textbox>
            </v:shape>
          </w:pict>
        </mc:Fallback>
      </mc:AlternateContent>
    </w:r>
    <w:r>
      <w:rPr>
        <w:b/>
        <w:bCs/>
        <w:i/>
        <w:iCs/>
        <w:sz w:val="20"/>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-48260</wp:posOffset>
              </wp:positionV>
              <wp:extent cx="5734050"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8pt;height:0pt;width:451.5pt;z-index:251661312;mso-width-relative:page;mso-height-relative:page;" filled="f" stroked="t" coordsize="21600,21600" o:gfxdata="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xel+e1AAAAAYBAAAPAAAAAAAAAAEAIAAAACIAAABkcnMvZG93bnJldi54bWxQSwECFAAU&#10;AAAACACHTuJA8bWphPUBAADkAwAADgAAAAAAAAABACAAAAAjAQAAZHJzL2Uyb0RvYy54bWxQSwUG&#10;AAAAAAYABgBZAQAAigUAAAAA&#10;">
              <v:fill on="f" focussize="0,0"/>
              <v:stroke color="#000000" joinstyle="round"/>
              <v:imagedata o:title=""/>
              <o:lock v:ext="edit" aspectratio="f"/>
            </v:lin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A2221">
    <w:pPr>
      <w:pStyle w:val="9"/>
      <w:framePr w:wrap="around" w:vAnchor="text" w:hAnchor="margin" w:xAlign="right" w:y="1"/>
      <w:rPr>
        <w:rStyle w:val="21"/>
      </w:rPr>
    </w:pPr>
    <w:r>
      <w:fldChar w:fldCharType="begin"/>
    </w:r>
    <w:r>
      <w:rPr>
        <w:rStyle w:val="21"/>
      </w:rPr>
      <w:instrText xml:space="preserve">PAGE  </w:instrText>
    </w:r>
    <w:r>
      <w:fldChar w:fldCharType="end"/>
    </w:r>
  </w:p>
  <w:p w14:paraId="6140531D">
    <w:pPr>
      <w:pStyle w:val="9"/>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A92E9">
    <w:pPr>
      <w:spacing w:before="46" w:line="224" w:lineRule="auto"/>
      <w:ind w:left="4358" w:right="53" w:hanging="4318"/>
      <w:rPr>
        <w:rFonts w:ascii="宋体" w:hAnsi="宋体" w:eastAsia="宋体" w:cs="宋体"/>
        <w:sz w:val="18"/>
        <w:szCs w:val="18"/>
      </w:rPr>
    </w:pPr>
    <w:r>
      <w:rPr>
        <w:sz w:val="21"/>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30AE7D">
                          <w:pPr>
                            <w:pStyle w:val="9"/>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0C30AE7D">
                    <w:pPr>
                      <w:pStyle w:val="9"/>
                    </w:pPr>
                    <w:r>
                      <w:fldChar w:fldCharType="begin"/>
                    </w:r>
                    <w:r>
                      <w:instrText xml:space="preserve"> PAGE  \* MERGEFORMAT </w:instrText>
                    </w:r>
                    <w:r>
                      <w:fldChar w:fldCharType="separate"/>
                    </w:r>
                    <w:r>
                      <w:t>40</w:t>
                    </w:r>
                    <w:r>
                      <w:fldChar w:fldCharType="end"/>
                    </w:r>
                  </w:p>
                </w:txbxContent>
              </v:textbox>
            </v:shape>
          </w:pict>
        </mc:Fallback>
      </mc:AlternateContent>
    </w:r>
    <w:r>
      <mc:AlternateContent>
        <mc:Choice Requires="wps">
          <w:drawing>
            <wp:anchor distT="0" distB="0" distL="114300" distR="114300" simplePos="0" relativeHeight="251662336" behindDoc="0" locked="0" layoutInCell="0" allowOverlap="1">
              <wp:simplePos x="0" y="0"/>
              <wp:positionH relativeFrom="page">
                <wp:posOffset>708660</wp:posOffset>
              </wp:positionH>
              <wp:positionV relativeFrom="page">
                <wp:posOffset>9752965</wp:posOffset>
              </wp:positionV>
              <wp:extent cx="6170295" cy="6350"/>
              <wp:effectExtent l="0" t="0" r="0" b="0"/>
              <wp:wrapNone/>
              <wp:docPr id="1" name="任意多边形 1"/>
              <wp:cNvGraphicFramePr/>
              <a:graphic xmlns:a="http://schemas.openxmlformats.org/drawingml/2006/main">
                <a:graphicData uri="http://schemas.microsoft.com/office/word/2010/wordprocessingShape">
                  <wps:wsp>
                    <wps:cNvSpPr/>
                    <wps:spPr>
                      <a:xfrm>
                        <a:off x="0" y="0"/>
                        <a:ext cx="6170295" cy="6350"/>
                      </a:xfrm>
                      <a:custGeom>
                        <a:avLst/>
                        <a:gdLst/>
                        <a:ahLst/>
                        <a:cxnLst/>
                        <a:pathLst>
                          <a:path w="9717" h="10">
                            <a:moveTo>
                              <a:pt x="0" y="4"/>
                            </a:moveTo>
                            <a:lnTo>
                              <a:pt x="9716"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55.8pt;margin-top:767.95pt;height:0.5pt;width:485.85pt;mso-position-horizontal-relative:page;mso-position-vertical-relative:page;z-index:251662336;mso-width-relative:page;mso-height-relative:page;" filled="f" stroked="t" coordsize="9717,10" o:allowincell="f" o:gfxdata="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MW52DPaAAAADgEAAA8AAAAAAAAAAQAgAAAAIgAAAGRy&#10;cy9kb3ducmV2LnhtbFBLAQIUABQAAAAIAIdO4kBfISzxPAIAAJYEAAAOAAAAAAAAAAEAIAAAACkB&#10;AABkcnMvZTJvRG9jLnhtbFBLBQYAAAAABgAGAFkBAADXBQAAAAA=&#10;" path="m0,4l9716,4e">
              <v:fill on="f" focussize="0,0"/>
              <v:stroke weight="0.48pt" color="#000000" joinstyle="bevel"/>
              <v:imagedata o:title=""/>
              <o:lock v:ext="edit" aspectratio="f"/>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4E73B">
    <w:pPr>
      <w:pStyle w:val="6"/>
      <w:spacing w:line="260" w:lineRule="exact"/>
      <w:ind w:left="2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D1BABE">
                          <w:pPr>
                            <w:pStyle w:val="9"/>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4AD1BABE">
                    <w:pPr>
                      <w:pStyle w:val="9"/>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F42A5">
    <w:pPr>
      <w:pStyle w:val="6"/>
      <w:tabs>
        <w:tab w:val="left" w:pos="4746"/>
      </w:tabs>
      <w:spacing w:before="48" w:line="220" w:lineRule="auto"/>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186C8">
    <w:pPr>
      <w:pStyle w:val="6"/>
      <w:tabs>
        <w:tab w:val="left" w:pos="4746"/>
      </w:tabs>
      <w:spacing w:before="48" w:line="220" w:lineRule="auto"/>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43430">
    <w:pPr>
      <w:pStyle w:val="6"/>
      <w:tabs>
        <w:tab w:val="left" w:pos="4746"/>
      </w:tabs>
      <w:spacing w:before="48" w:line="220" w:lineRule="auto"/>
      <w:rPr>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15E47">
    <w:pPr>
      <w:pStyle w:val="6"/>
      <w:spacing w:before="48" w:line="220" w:lineRule="auto"/>
      <w:jc w:val="right"/>
      <w:rPr>
        <w:sz w:val="18"/>
        <w:szCs w:val="18"/>
      </w:rPr>
    </w:pPr>
    <w:r>
      <w:pict>
        <v:shape id="_x0000_s2050" o:spid="_x0000_s2050" style="position:absolute;left:0pt;margin-left:62.35pt;margin-top:72.2pt;height:0.75pt;width:470.65pt;mso-position-horizontal-relative:page;mso-position-vertical-relative:page;z-index:251659264;mso-width-relative:page;mso-height-relative:page;" fillcolor="#000000" filled="t" stroked="f" coordsize="9412,15" o:allowincell="f" path="m0,0l9412,0,9412,14,0,14,0,0xe">
          <v:path/>
          <v:fill on="t" focussize="0,0"/>
          <v:stroke on="f"/>
          <v:imagedata o:title=""/>
          <o:lock v:ext="edit"/>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47EA1">
    <w:pPr>
      <w:pStyle w:val="10"/>
      <w:jc w:val="right"/>
      <w:rPr>
        <w:rFonts w:hint="eastAsia"/>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FEB9A">
    <w:pPr>
      <w:pStyle w:val="6"/>
      <w:spacing w:before="48" w:line="220" w:lineRule="auto"/>
      <w:jc w:val="right"/>
      <w:rPr>
        <w:sz w:val="18"/>
        <w:szCs w:val="18"/>
      </w:rPr>
    </w:pPr>
    <w:r>
      <w:pict>
        <v:shape id="_x0000_s2064" o:spid="_x0000_s2064" style="position:absolute;left:0pt;margin-left:62.35pt;margin-top:72.2pt;height:0.75pt;width:470.65pt;mso-position-horizontal-relative:page;mso-position-vertical-relative:page;z-index:251659264;mso-width-relative:page;mso-height-relative:page;" fillcolor="#000000" filled="t" stroked="f" coordsize="9412,15" o:allowincell="f" path="m0,0l9412,0,9412,14,0,14,0,0xe">
          <v:path/>
          <v:fill on="t" focussize="0,0"/>
          <v:stroke on="f"/>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2608B7"/>
    <w:multiLevelType w:val="singleLevel"/>
    <w:tmpl w:val="DC2608B7"/>
    <w:lvl w:ilvl="0" w:tentative="0">
      <w:start w:val="3"/>
      <w:numFmt w:val="chineseCounting"/>
      <w:suff w:val="nothing"/>
      <w:lvlText w:val="（%1）"/>
      <w:lvlJc w:val="left"/>
      <w:rPr>
        <w:rFonts w:hint="eastAsia"/>
      </w:rPr>
    </w:lvl>
  </w:abstractNum>
  <w:abstractNum w:abstractNumId="1">
    <w:nsid w:val="1344B99B"/>
    <w:multiLevelType w:val="singleLevel"/>
    <w:tmpl w:val="1344B99B"/>
    <w:lvl w:ilvl="0" w:tentative="0">
      <w:start w:val="4"/>
      <w:numFmt w:val="decimal"/>
      <w:suff w:val="nothing"/>
      <w:lvlText w:val="（%1）"/>
      <w:lvlJc w:val="left"/>
    </w:lvl>
  </w:abstractNum>
  <w:abstractNum w:abstractNumId="2">
    <w:nsid w:val="1D086D3B"/>
    <w:multiLevelType w:val="singleLevel"/>
    <w:tmpl w:val="1D086D3B"/>
    <w:lvl w:ilvl="0" w:tentative="0">
      <w:start w:val="1"/>
      <w:numFmt w:val="decimal"/>
      <w:suff w:val="nothing"/>
      <w:lvlText w:val="（%1）"/>
      <w:lvlJc w:val="left"/>
    </w:lvl>
  </w:abstractNum>
  <w:abstractNum w:abstractNumId="3">
    <w:nsid w:val="5164E5DE"/>
    <w:multiLevelType w:val="singleLevel"/>
    <w:tmpl w:val="5164E5DE"/>
    <w:lvl w:ilvl="0" w:tentative="0">
      <w:start w:val="2"/>
      <w:numFmt w:val="decimal"/>
      <w:suff w:val="nothing"/>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dit="readOnly"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1786AFF"/>
    <w:rsid w:val="02F94BC3"/>
    <w:rsid w:val="052D33B9"/>
    <w:rsid w:val="06530982"/>
    <w:rsid w:val="0AC3551E"/>
    <w:rsid w:val="0CFE18D9"/>
    <w:rsid w:val="0E075853"/>
    <w:rsid w:val="0EB45CE9"/>
    <w:rsid w:val="126A5DB4"/>
    <w:rsid w:val="12B5207C"/>
    <w:rsid w:val="1303728B"/>
    <w:rsid w:val="132F62D2"/>
    <w:rsid w:val="137912FC"/>
    <w:rsid w:val="14AA20B4"/>
    <w:rsid w:val="18702CCD"/>
    <w:rsid w:val="19D95DD8"/>
    <w:rsid w:val="1DAD6772"/>
    <w:rsid w:val="1E522E75"/>
    <w:rsid w:val="1F7F7C9A"/>
    <w:rsid w:val="20337C56"/>
    <w:rsid w:val="20523600"/>
    <w:rsid w:val="23906919"/>
    <w:rsid w:val="26D0702D"/>
    <w:rsid w:val="28305FD5"/>
    <w:rsid w:val="28B210E0"/>
    <w:rsid w:val="29177195"/>
    <w:rsid w:val="30405223"/>
    <w:rsid w:val="325B6344"/>
    <w:rsid w:val="34FB5BBD"/>
    <w:rsid w:val="36083059"/>
    <w:rsid w:val="364905DD"/>
    <w:rsid w:val="38D26C34"/>
    <w:rsid w:val="3A1530BA"/>
    <w:rsid w:val="3BF910A8"/>
    <w:rsid w:val="3C8D2241"/>
    <w:rsid w:val="3D436353"/>
    <w:rsid w:val="3FF22C1F"/>
    <w:rsid w:val="404B3E9C"/>
    <w:rsid w:val="40BD17F9"/>
    <w:rsid w:val="4198167F"/>
    <w:rsid w:val="42ED123B"/>
    <w:rsid w:val="43317379"/>
    <w:rsid w:val="450D34CE"/>
    <w:rsid w:val="468C0D6B"/>
    <w:rsid w:val="49EA64D4"/>
    <w:rsid w:val="4BE40D01"/>
    <w:rsid w:val="4E872A00"/>
    <w:rsid w:val="4F0D5130"/>
    <w:rsid w:val="50E27F05"/>
    <w:rsid w:val="51561FFC"/>
    <w:rsid w:val="515626A1"/>
    <w:rsid w:val="516D720A"/>
    <w:rsid w:val="52416EAD"/>
    <w:rsid w:val="5C5B500F"/>
    <w:rsid w:val="60375F52"/>
    <w:rsid w:val="60A725D1"/>
    <w:rsid w:val="664D3C1B"/>
    <w:rsid w:val="6ACB6C4D"/>
    <w:rsid w:val="6C5F1FB2"/>
    <w:rsid w:val="6EB365E5"/>
    <w:rsid w:val="6EC66318"/>
    <w:rsid w:val="6F881820"/>
    <w:rsid w:val="762E469D"/>
    <w:rsid w:val="76D47642"/>
    <w:rsid w:val="76E62152"/>
    <w:rsid w:val="77D53A70"/>
    <w:rsid w:val="799A6D1F"/>
    <w:rsid w:val="79D55FA9"/>
    <w:rsid w:val="7A8D23E0"/>
    <w:rsid w:val="7C1E3C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name="toc 1"/>
    <w:lsdException w:unhideWhenUsed="0" w:uiPriority="0" w:semiHidden="0" w:name="toc 2"/>
    <w:lsdException w:qFormat="1" w:unhideWhenUsed="0" w:uiPriority="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3">
    <w:name w:val="heading 3"/>
    <w:basedOn w:val="1"/>
    <w:next w:val="1"/>
    <w:qFormat/>
    <w:uiPriority w:val="0"/>
    <w:pPr>
      <w:keepNext/>
      <w:keepLines/>
      <w:spacing w:line="360" w:lineRule="auto"/>
      <w:outlineLvl w:val="2"/>
    </w:pPr>
    <w:rPr>
      <w:b/>
      <w:bCs/>
      <w:sz w:val="24"/>
      <w:szCs w:val="32"/>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0"/>
    <w:rPr>
      <w:rFonts w:ascii="宋体" w:hAnsi="宋体" w:eastAsia="宋体" w:cs="宋体"/>
      <w:sz w:val="28"/>
      <w:szCs w:val="28"/>
      <w:lang w:val="en-US" w:eastAsia="en-US" w:bidi="ar-SA"/>
    </w:rPr>
  </w:style>
  <w:style w:type="paragraph" w:styleId="7">
    <w:name w:val="Body Text Indent"/>
    <w:basedOn w:val="1"/>
    <w:qFormat/>
    <w:uiPriority w:val="0"/>
    <w:pPr>
      <w:spacing w:after="120" w:afterLines="0"/>
      <w:ind w:left="420" w:leftChars="200"/>
    </w:pPr>
    <w:rPr>
      <w:rFonts w:ascii="Times New Roman"/>
      <w:kern w:val="2"/>
      <w:sz w:val="21"/>
      <w:szCs w:val="24"/>
    </w:rPr>
  </w:style>
  <w:style w:type="paragraph" w:styleId="8">
    <w:name w:val="toc 3"/>
    <w:basedOn w:val="1"/>
    <w:next w:val="1"/>
    <w:semiHidden/>
    <w:qFormat/>
    <w:uiPriority w:val="0"/>
    <w:pPr>
      <w:ind w:left="840" w:leftChars="4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semiHidden/>
    <w:unhideWhenUsed/>
    <w:qFormat/>
    <w:uiPriority w:val="39"/>
    <w:pPr>
      <w:widowControl/>
      <w:autoSpaceDE/>
      <w:autoSpaceDN/>
      <w:spacing w:after="100" w:line="276" w:lineRule="auto"/>
    </w:pPr>
    <w:rPr>
      <w:rFonts w:asciiTheme="minorHAnsi" w:hAnsiTheme="minorHAnsi" w:eastAsiaTheme="minorEastAsia" w:cstheme="minorBidi"/>
      <w:lang w:val="en-US" w:bidi="ar-SA"/>
    </w:rPr>
  </w:style>
  <w:style w:type="paragraph" w:styleId="12">
    <w:name w:val="List"/>
    <w:basedOn w:val="1"/>
    <w:qFormat/>
    <w:uiPriority w:val="0"/>
    <w:pPr>
      <w:ind w:left="420" w:hanging="420"/>
    </w:pPr>
  </w:style>
  <w:style w:type="paragraph" w:styleId="13">
    <w:name w:val="toc 6"/>
    <w:basedOn w:val="1"/>
    <w:next w:val="1"/>
    <w:qFormat/>
    <w:uiPriority w:val="0"/>
    <w:pPr>
      <w:ind w:left="1050"/>
      <w:jc w:val="left"/>
    </w:pPr>
    <w:rPr>
      <w:sz w:val="18"/>
      <w:szCs w:val="18"/>
    </w:rPr>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Body Text First Indent"/>
    <w:basedOn w:val="6"/>
    <w:next w:val="13"/>
    <w:qFormat/>
    <w:uiPriority w:val="0"/>
    <w:pPr>
      <w:ind w:firstLine="420" w:firstLineChars="100"/>
    </w:pPr>
  </w:style>
  <w:style w:type="paragraph" w:styleId="17">
    <w:name w:val="Body Text First Indent 2"/>
    <w:basedOn w:val="7"/>
    <w:next w:val="8"/>
    <w:unhideWhenUsed/>
    <w:qFormat/>
    <w:uiPriority w:val="99"/>
    <w:pPr>
      <w:ind w:firstLine="420" w:firstLineChars="200"/>
    </w:pPr>
  </w:style>
  <w:style w:type="character" w:styleId="20">
    <w:name w:val="Strong"/>
    <w:basedOn w:val="19"/>
    <w:qFormat/>
    <w:uiPriority w:val="0"/>
    <w:rPr>
      <w:b/>
    </w:rPr>
  </w:style>
  <w:style w:type="character" w:styleId="21">
    <w:name w:val="page number"/>
    <w:basedOn w:val="19"/>
    <w:qFormat/>
    <w:uiPriority w:val="0"/>
  </w:style>
  <w:style w:type="table" w:customStyle="1" w:styleId="22">
    <w:name w:val="Table Normal"/>
    <w:semiHidden/>
    <w:unhideWhenUsed/>
    <w:qFormat/>
    <w:uiPriority w:val="0"/>
    <w:tblPr>
      <w:tblCellMar>
        <w:top w:w="0" w:type="dxa"/>
        <w:left w:w="0" w:type="dxa"/>
        <w:bottom w:w="0" w:type="dxa"/>
        <w:right w:w="0" w:type="dxa"/>
      </w:tblCellMar>
    </w:tblPr>
  </w:style>
  <w:style w:type="paragraph" w:customStyle="1" w:styleId="23">
    <w:name w:val="Table Text"/>
    <w:basedOn w:val="1"/>
    <w:semiHidden/>
    <w:qFormat/>
    <w:uiPriority w:val="0"/>
    <w:rPr>
      <w:rFonts w:ascii="宋体" w:hAnsi="宋体" w:eastAsia="宋体" w:cs="宋体"/>
      <w:sz w:val="24"/>
      <w:szCs w:val="24"/>
      <w:lang w:val="en-US" w:eastAsia="en-US" w:bidi="ar-SA"/>
    </w:rPr>
  </w:style>
  <w:style w:type="paragraph" w:customStyle="1" w:styleId="24">
    <w:name w:val="_Style 13"/>
    <w:qFormat/>
    <w:uiPriority w:val="0"/>
    <w:pPr>
      <w:spacing w:before="120" w:after="120" w:line="288" w:lineRule="auto"/>
      <w:ind w:left="0"/>
      <w:jc w:val="left"/>
    </w:pPr>
    <w:rPr>
      <w:rFonts w:ascii="Arial" w:hAnsi="Arial" w:eastAsia="等线" w:cs="Arial"/>
      <w:sz w:val="22"/>
      <w:szCs w:val="22"/>
    </w:rPr>
  </w:style>
  <w:style w:type="paragraph" w:customStyle="1" w:styleId="25">
    <w:name w:val="标题 51"/>
    <w:basedOn w:val="1"/>
    <w:qFormat/>
    <w:uiPriority w:val="1"/>
    <w:pPr>
      <w:ind w:left="1632" w:hanging="495"/>
      <w:outlineLvl w:val="5"/>
    </w:pPr>
    <w:rPr>
      <w:b/>
      <w:bCs/>
      <w:sz w:val="28"/>
      <w:szCs w:val="28"/>
    </w:rPr>
  </w:style>
  <w:style w:type="paragraph" w:customStyle="1" w:styleId="26">
    <w:name w:val="标题 11"/>
    <w:basedOn w:val="1"/>
    <w:qFormat/>
    <w:uiPriority w:val="1"/>
    <w:pPr>
      <w:spacing w:before="30"/>
      <w:ind w:right="105"/>
      <w:jc w:val="center"/>
      <w:outlineLvl w:val="1"/>
    </w:pPr>
    <w:rPr>
      <w:b/>
      <w:bCs/>
      <w:sz w:val="32"/>
      <w:szCs w:val="32"/>
    </w:rPr>
  </w:style>
  <w:style w:type="paragraph" w:styleId="27">
    <w:name w:val="List Paragraph"/>
    <w:basedOn w:val="1"/>
    <w:unhideWhenUsed/>
    <w:qFormat/>
    <w:uiPriority w:val="99"/>
    <w:pPr>
      <w:ind w:firstLine="420" w:firstLineChars="200"/>
    </w:pPr>
  </w:style>
  <w:style w:type="paragraph" w:customStyle="1" w:styleId="28">
    <w:name w:val="列出段落111"/>
    <w:basedOn w:val="1"/>
    <w:qFormat/>
    <w:uiPriority w:val="34"/>
    <w:pPr>
      <w:ind w:firstLine="420" w:firstLineChars="200"/>
    </w:pPr>
    <w:rPr>
      <w:szCs w:val="20"/>
    </w:rPr>
  </w:style>
  <w:style w:type="paragraph" w:customStyle="1" w:styleId="29">
    <w:name w:val="标题 31"/>
    <w:basedOn w:val="1"/>
    <w:qFormat/>
    <w:uiPriority w:val="1"/>
    <w:pPr>
      <w:spacing w:before="43"/>
      <w:ind w:right="108"/>
      <w:jc w:val="center"/>
      <w:outlineLvl w:val="3"/>
    </w:pPr>
    <w:rPr>
      <w:b/>
      <w:bCs/>
      <w:sz w:val="30"/>
      <w:szCs w:val="30"/>
    </w:rPr>
  </w:style>
  <w:style w:type="paragraph" w:customStyle="1" w:styleId="30">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3.jpeg"/><Relationship Id="rId22" Type="http://schemas.openxmlformats.org/officeDocument/2006/relationships/image" Target="media/image2.jpeg"/><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6.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Info spid="_x0000_s2050"/>
    <customShpInfo spid="_x0000_s206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47</Pages>
  <Words>11418</Words>
  <Characters>12333</Characters>
  <TotalTime>10</TotalTime>
  <ScaleCrop>false</ScaleCrop>
  <LinksUpToDate>false</LinksUpToDate>
  <CharactersWithSpaces>12517</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2025-07-11T16:16:00Z</dcterms:created>
  <dc:creator>Administrator</dc:creator>
  <cp:lastModifiedBy>小刘学生</cp:lastModifiedBy>
  <cp:lastPrinted>2025-08-18T02:51:00Z</cp:lastPrinted>
  <dcterms:modified xsi:type="dcterms:W3CDTF">2026-02-03T01:35:15Z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2025-08-16T10:58:38Z</vt:filetime>
  </property>
  <property fmtid="{D5CDD505-2E9C-101B-9397-08002B2CF9AE}" pid="4" name="KSOTemplateDocerSaveRecord">
    <vt:lpwstr>eyJoZGlkIjoiYWE1NWFlNmYwOTRhYTAwZjMwY2YzYTRiMGVmYTBkOGUiLCJ1c2VySWQiOiIxNDU3MjExNTgifQ==</vt:lpwstr>
  </property>
  <property fmtid="{D5CDD505-2E9C-101B-9397-08002B2CF9AE}" pid="5" name="KSOProductBuildVer">
    <vt:lpwstr>2052-12.1.0.24657</vt:lpwstr>
  </property>
  <property fmtid="{D5CDD505-2E9C-101B-9397-08002B2CF9AE}" pid="6" name="ICV">
    <vt:lpwstr>8DAC8B66B535481CA9713D729DDC7F5F_12</vt:lpwstr>
  </property>
</Properties>
</file>