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4FAC6">
      <w:pPr>
        <w:pStyle w:val="4"/>
        <w:jc w:val="center"/>
        <w:outlineLvl w:val="1"/>
      </w:pPr>
      <w:r>
        <w:rPr>
          <w:rFonts w:ascii="仿宋_GB2312" w:hAnsi="仿宋_GB2312" w:eastAsia="仿宋_GB2312" w:cs="仿宋_GB2312"/>
          <w:b/>
          <w:sz w:val="36"/>
        </w:rPr>
        <w:t>第三章 磋商项目技术、服务、商务及其他要求</w:t>
      </w:r>
    </w:p>
    <w:p w14:paraId="5762B31A">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0716708">
      <w:pPr>
        <w:pStyle w:val="4"/>
        <w:outlineLvl w:val="2"/>
      </w:pPr>
      <w:r>
        <w:rPr>
          <w:rFonts w:ascii="仿宋_GB2312" w:hAnsi="仿宋_GB2312" w:eastAsia="仿宋_GB2312" w:cs="仿宋_GB2312"/>
          <w:b/>
          <w:sz w:val="28"/>
        </w:rPr>
        <w:t>3.1采购项目概况</w:t>
      </w:r>
    </w:p>
    <w:p w14:paraId="1051C0B7">
      <w:pPr>
        <w:pStyle w:val="4"/>
        <w:ind w:firstLine="480"/>
      </w:pPr>
      <w:r>
        <w:rPr>
          <w:rFonts w:ascii="仿宋_GB2312" w:hAnsi="仿宋_GB2312" w:eastAsia="仿宋_GB2312" w:cs="仿宋_GB2312"/>
        </w:rPr>
        <w:t>按照省教育工委、教育厅对全省各级各类学校投保校方责任保险的要求，结合学院2026年招生计划，为不断完善全省校园安全风险防控体系，积极推进平安校园建设工作，2026/2027学年我院在校生购买校（园）方责任保险。</w:t>
      </w:r>
    </w:p>
    <w:p w14:paraId="01DD5778">
      <w:pPr>
        <w:pStyle w:val="4"/>
        <w:outlineLvl w:val="2"/>
      </w:pPr>
      <w:r>
        <w:rPr>
          <w:rFonts w:ascii="仿宋_GB2312" w:hAnsi="仿宋_GB2312" w:eastAsia="仿宋_GB2312" w:cs="仿宋_GB2312"/>
          <w:b/>
          <w:sz w:val="28"/>
        </w:rPr>
        <w:t>3.2服务内容及服务要求</w:t>
      </w:r>
      <w:bookmarkStart w:id="0" w:name="_GoBack"/>
      <w:bookmarkEnd w:id="0"/>
    </w:p>
    <w:p w14:paraId="62D6F966">
      <w:pPr>
        <w:pStyle w:val="4"/>
        <w:outlineLvl w:val="3"/>
      </w:pPr>
      <w:r>
        <w:rPr>
          <w:rFonts w:ascii="仿宋_GB2312" w:hAnsi="仿宋_GB2312" w:eastAsia="仿宋_GB2312" w:cs="仿宋_GB2312"/>
          <w:b/>
          <w:sz w:val="24"/>
        </w:rPr>
        <w:t>3.2.1服务内容</w:t>
      </w:r>
    </w:p>
    <w:p w14:paraId="3B14266A">
      <w:pPr>
        <w:pStyle w:val="4"/>
      </w:pPr>
      <w:r>
        <w:rPr>
          <w:rFonts w:ascii="仿宋_GB2312" w:hAnsi="仿宋_GB2312" w:eastAsia="仿宋_GB2312" w:cs="仿宋_GB2312"/>
        </w:rPr>
        <w:t>采购包1：</w:t>
      </w:r>
    </w:p>
    <w:p w14:paraId="1CA1F106">
      <w:pPr>
        <w:pStyle w:val="4"/>
      </w:pPr>
      <w:r>
        <w:rPr>
          <w:rFonts w:ascii="仿宋_GB2312" w:hAnsi="仿宋_GB2312" w:eastAsia="仿宋_GB2312" w:cs="仿宋_GB2312"/>
        </w:rPr>
        <w:t>采购包预算金额（元）: 250,000.00</w:t>
      </w:r>
    </w:p>
    <w:p w14:paraId="6E438A97">
      <w:pPr>
        <w:pStyle w:val="4"/>
      </w:pPr>
      <w:r>
        <w:rPr>
          <w:rFonts w:ascii="仿宋_GB2312" w:hAnsi="仿宋_GB2312" w:eastAsia="仿宋_GB2312" w:cs="仿宋_GB2312"/>
        </w:rPr>
        <w:t>采购包最高限价（元）: 250,000.00</w:t>
      </w:r>
    </w:p>
    <w:p w14:paraId="50FEF8A7">
      <w:pPr>
        <w:pStyle w:val="4"/>
      </w:pPr>
      <w:r>
        <w:rPr>
          <w:rFonts w:ascii="仿宋_GB2312" w:hAnsi="仿宋_GB2312" w:eastAsia="仿宋_GB2312" w:cs="仿宋_GB2312"/>
        </w:rPr>
        <w:t>供应商报价不允许超过标的金额</w:t>
      </w:r>
    </w:p>
    <w:p w14:paraId="6DDC3B87">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830"/>
        <w:gridCol w:w="819"/>
        <w:gridCol w:w="1216"/>
        <w:gridCol w:w="808"/>
        <w:gridCol w:w="808"/>
        <w:gridCol w:w="808"/>
        <w:gridCol w:w="808"/>
        <w:gridCol w:w="808"/>
        <w:gridCol w:w="809"/>
      </w:tblGrid>
      <w:tr w14:paraId="16684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AD704C">
            <w:pPr>
              <w:pStyle w:val="4"/>
            </w:pPr>
            <w:r>
              <w:rPr>
                <w:rFonts w:ascii="仿宋_GB2312" w:hAnsi="仿宋_GB2312" w:eastAsia="仿宋_GB2312" w:cs="仿宋_GB2312"/>
              </w:rPr>
              <w:t>序号</w:t>
            </w:r>
          </w:p>
        </w:tc>
        <w:tc>
          <w:tcPr>
            <w:tcW w:w="831" w:type="dxa"/>
          </w:tcPr>
          <w:p w14:paraId="768FA881">
            <w:pPr>
              <w:pStyle w:val="4"/>
            </w:pPr>
            <w:r>
              <w:rPr>
                <w:rFonts w:ascii="仿宋_GB2312" w:hAnsi="仿宋_GB2312" w:eastAsia="仿宋_GB2312" w:cs="仿宋_GB2312"/>
              </w:rPr>
              <w:t>标的名称</w:t>
            </w:r>
          </w:p>
        </w:tc>
        <w:tc>
          <w:tcPr>
            <w:tcW w:w="831" w:type="dxa"/>
          </w:tcPr>
          <w:p w14:paraId="4F12C39A">
            <w:pPr>
              <w:pStyle w:val="4"/>
            </w:pPr>
            <w:r>
              <w:rPr>
                <w:rFonts w:ascii="仿宋_GB2312" w:hAnsi="仿宋_GB2312" w:eastAsia="仿宋_GB2312" w:cs="仿宋_GB2312"/>
              </w:rPr>
              <w:t>数量</w:t>
            </w:r>
          </w:p>
        </w:tc>
        <w:tc>
          <w:tcPr>
            <w:tcW w:w="831" w:type="dxa"/>
          </w:tcPr>
          <w:p w14:paraId="45691C8F">
            <w:pPr>
              <w:pStyle w:val="4"/>
            </w:pPr>
            <w:r>
              <w:rPr>
                <w:rFonts w:ascii="仿宋_GB2312" w:hAnsi="仿宋_GB2312" w:eastAsia="仿宋_GB2312" w:cs="仿宋_GB2312"/>
              </w:rPr>
              <w:t>标的金额 （元）</w:t>
            </w:r>
          </w:p>
        </w:tc>
        <w:tc>
          <w:tcPr>
            <w:tcW w:w="831" w:type="dxa"/>
          </w:tcPr>
          <w:p w14:paraId="01813BC9">
            <w:pPr>
              <w:pStyle w:val="4"/>
            </w:pPr>
            <w:r>
              <w:rPr>
                <w:rFonts w:ascii="仿宋_GB2312" w:hAnsi="仿宋_GB2312" w:eastAsia="仿宋_GB2312" w:cs="仿宋_GB2312"/>
              </w:rPr>
              <w:t>计量单位</w:t>
            </w:r>
          </w:p>
        </w:tc>
        <w:tc>
          <w:tcPr>
            <w:tcW w:w="831" w:type="dxa"/>
          </w:tcPr>
          <w:p w14:paraId="6FEFEADC">
            <w:pPr>
              <w:pStyle w:val="4"/>
            </w:pPr>
            <w:r>
              <w:rPr>
                <w:rFonts w:ascii="仿宋_GB2312" w:hAnsi="仿宋_GB2312" w:eastAsia="仿宋_GB2312" w:cs="仿宋_GB2312"/>
              </w:rPr>
              <w:t>所属行业</w:t>
            </w:r>
          </w:p>
        </w:tc>
        <w:tc>
          <w:tcPr>
            <w:tcW w:w="831" w:type="dxa"/>
          </w:tcPr>
          <w:p w14:paraId="5D54E540">
            <w:pPr>
              <w:pStyle w:val="4"/>
            </w:pPr>
            <w:r>
              <w:rPr>
                <w:rFonts w:ascii="仿宋_GB2312" w:hAnsi="仿宋_GB2312" w:eastAsia="仿宋_GB2312" w:cs="仿宋_GB2312"/>
              </w:rPr>
              <w:t>是否核心产品</w:t>
            </w:r>
          </w:p>
        </w:tc>
        <w:tc>
          <w:tcPr>
            <w:tcW w:w="831" w:type="dxa"/>
          </w:tcPr>
          <w:p w14:paraId="265C4DB8">
            <w:pPr>
              <w:pStyle w:val="4"/>
            </w:pPr>
            <w:r>
              <w:rPr>
                <w:rFonts w:ascii="仿宋_GB2312" w:hAnsi="仿宋_GB2312" w:eastAsia="仿宋_GB2312" w:cs="仿宋_GB2312"/>
              </w:rPr>
              <w:t>是否允许进口产品</w:t>
            </w:r>
          </w:p>
        </w:tc>
        <w:tc>
          <w:tcPr>
            <w:tcW w:w="831" w:type="dxa"/>
          </w:tcPr>
          <w:p w14:paraId="1AE908A6">
            <w:pPr>
              <w:pStyle w:val="4"/>
            </w:pPr>
            <w:r>
              <w:rPr>
                <w:rFonts w:ascii="仿宋_GB2312" w:hAnsi="仿宋_GB2312" w:eastAsia="仿宋_GB2312" w:cs="仿宋_GB2312"/>
              </w:rPr>
              <w:t>是否属于节能产品</w:t>
            </w:r>
          </w:p>
        </w:tc>
        <w:tc>
          <w:tcPr>
            <w:tcW w:w="831" w:type="dxa"/>
          </w:tcPr>
          <w:p w14:paraId="4623C4A8">
            <w:pPr>
              <w:pStyle w:val="4"/>
            </w:pPr>
            <w:r>
              <w:rPr>
                <w:rFonts w:ascii="仿宋_GB2312" w:hAnsi="仿宋_GB2312" w:eastAsia="仿宋_GB2312" w:cs="仿宋_GB2312"/>
              </w:rPr>
              <w:t>是否属于环境标志产品</w:t>
            </w:r>
          </w:p>
        </w:tc>
      </w:tr>
      <w:tr w14:paraId="022F4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EA4205">
            <w:pPr>
              <w:pStyle w:val="4"/>
            </w:pPr>
            <w:r>
              <w:rPr>
                <w:rFonts w:ascii="仿宋_GB2312" w:hAnsi="仿宋_GB2312" w:eastAsia="仿宋_GB2312" w:cs="仿宋_GB2312"/>
              </w:rPr>
              <w:t>1</w:t>
            </w:r>
          </w:p>
        </w:tc>
        <w:tc>
          <w:tcPr>
            <w:tcW w:w="831" w:type="dxa"/>
          </w:tcPr>
          <w:p w14:paraId="37D8EF7A">
            <w:pPr>
              <w:pStyle w:val="4"/>
            </w:pPr>
            <w:r>
              <w:rPr>
                <w:rFonts w:ascii="仿宋_GB2312" w:hAnsi="仿宋_GB2312" w:eastAsia="仿宋_GB2312" w:cs="仿宋_GB2312"/>
              </w:rPr>
              <w:t>校方（园）责任保险</w:t>
            </w:r>
          </w:p>
        </w:tc>
        <w:tc>
          <w:tcPr>
            <w:tcW w:w="831" w:type="dxa"/>
          </w:tcPr>
          <w:p w14:paraId="03FE42C5">
            <w:pPr>
              <w:pStyle w:val="4"/>
              <w:jc w:val="right"/>
            </w:pPr>
            <w:r>
              <w:rPr>
                <w:rFonts w:ascii="仿宋_GB2312" w:hAnsi="仿宋_GB2312" w:eastAsia="仿宋_GB2312" w:cs="仿宋_GB2312"/>
              </w:rPr>
              <w:t>1.00</w:t>
            </w:r>
          </w:p>
        </w:tc>
        <w:tc>
          <w:tcPr>
            <w:tcW w:w="831" w:type="dxa"/>
          </w:tcPr>
          <w:p w14:paraId="1909C4CC">
            <w:pPr>
              <w:pStyle w:val="4"/>
              <w:jc w:val="right"/>
            </w:pPr>
            <w:r>
              <w:rPr>
                <w:rFonts w:ascii="仿宋_GB2312" w:hAnsi="仿宋_GB2312" w:eastAsia="仿宋_GB2312" w:cs="仿宋_GB2312"/>
              </w:rPr>
              <w:t>250,000.00</w:t>
            </w:r>
          </w:p>
        </w:tc>
        <w:tc>
          <w:tcPr>
            <w:tcW w:w="831" w:type="dxa"/>
          </w:tcPr>
          <w:p w14:paraId="7A000990">
            <w:pPr>
              <w:pStyle w:val="4"/>
            </w:pPr>
            <w:r>
              <w:rPr>
                <w:rFonts w:ascii="仿宋_GB2312" w:hAnsi="仿宋_GB2312" w:eastAsia="仿宋_GB2312" w:cs="仿宋_GB2312"/>
              </w:rPr>
              <w:t>项</w:t>
            </w:r>
          </w:p>
        </w:tc>
        <w:tc>
          <w:tcPr>
            <w:tcW w:w="831" w:type="dxa"/>
          </w:tcPr>
          <w:p w14:paraId="49516CAD">
            <w:pPr>
              <w:pStyle w:val="4"/>
            </w:pPr>
            <w:r>
              <w:rPr>
                <w:rFonts w:ascii="仿宋_GB2312" w:hAnsi="仿宋_GB2312" w:eastAsia="仿宋_GB2312" w:cs="仿宋_GB2312"/>
              </w:rPr>
              <w:t>其他未列明行业</w:t>
            </w:r>
          </w:p>
        </w:tc>
        <w:tc>
          <w:tcPr>
            <w:tcW w:w="831" w:type="dxa"/>
          </w:tcPr>
          <w:p w14:paraId="45F35B0F">
            <w:pPr>
              <w:pStyle w:val="4"/>
            </w:pPr>
            <w:r>
              <w:rPr>
                <w:rFonts w:ascii="仿宋_GB2312" w:hAnsi="仿宋_GB2312" w:eastAsia="仿宋_GB2312" w:cs="仿宋_GB2312"/>
              </w:rPr>
              <w:t>否</w:t>
            </w:r>
          </w:p>
        </w:tc>
        <w:tc>
          <w:tcPr>
            <w:tcW w:w="831" w:type="dxa"/>
          </w:tcPr>
          <w:p w14:paraId="3FEF3389">
            <w:pPr>
              <w:pStyle w:val="4"/>
            </w:pPr>
            <w:r>
              <w:rPr>
                <w:rFonts w:ascii="仿宋_GB2312" w:hAnsi="仿宋_GB2312" w:eastAsia="仿宋_GB2312" w:cs="仿宋_GB2312"/>
              </w:rPr>
              <w:t>否</w:t>
            </w:r>
          </w:p>
        </w:tc>
        <w:tc>
          <w:tcPr>
            <w:tcW w:w="831" w:type="dxa"/>
          </w:tcPr>
          <w:p w14:paraId="58A5FCD7">
            <w:pPr>
              <w:pStyle w:val="4"/>
            </w:pPr>
            <w:r>
              <w:rPr>
                <w:rFonts w:ascii="仿宋_GB2312" w:hAnsi="仿宋_GB2312" w:eastAsia="仿宋_GB2312" w:cs="仿宋_GB2312"/>
              </w:rPr>
              <w:t>否</w:t>
            </w:r>
          </w:p>
        </w:tc>
        <w:tc>
          <w:tcPr>
            <w:tcW w:w="831" w:type="dxa"/>
          </w:tcPr>
          <w:p w14:paraId="6670B3C0">
            <w:pPr>
              <w:pStyle w:val="4"/>
            </w:pPr>
            <w:r>
              <w:rPr>
                <w:rFonts w:ascii="仿宋_GB2312" w:hAnsi="仿宋_GB2312" w:eastAsia="仿宋_GB2312" w:cs="仿宋_GB2312"/>
              </w:rPr>
              <w:t>否</w:t>
            </w:r>
          </w:p>
        </w:tc>
      </w:tr>
    </w:tbl>
    <w:p w14:paraId="3BF2F631">
      <w:pPr>
        <w:pStyle w:val="4"/>
        <w:outlineLvl w:val="2"/>
      </w:pPr>
      <w:r>
        <w:rPr>
          <w:rFonts w:ascii="仿宋_GB2312" w:hAnsi="仿宋_GB2312" w:eastAsia="仿宋_GB2312" w:cs="仿宋_GB2312"/>
          <w:b/>
          <w:sz w:val="28"/>
        </w:rPr>
        <w:t>3.2.2服务要求</w:t>
      </w:r>
    </w:p>
    <w:p w14:paraId="308101F3">
      <w:pPr>
        <w:pStyle w:val="4"/>
      </w:pPr>
      <w:r>
        <w:rPr>
          <w:rFonts w:ascii="仿宋_GB2312" w:hAnsi="仿宋_GB2312" w:eastAsia="仿宋_GB2312" w:cs="仿宋_GB2312"/>
        </w:rPr>
        <w:t>采购包1：</w:t>
      </w:r>
    </w:p>
    <w:p w14:paraId="7F1CF869">
      <w:pPr>
        <w:pStyle w:val="4"/>
      </w:pPr>
      <w:r>
        <w:rPr>
          <w:rFonts w:ascii="仿宋_GB2312" w:hAnsi="仿宋_GB2312" w:eastAsia="仿宋_GB2312" w:cs="仿宋_GB2312"/>
        </w:rPr>
        <w:t>标的名称：校方（园）责任保险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46B7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EC6899">
            <w:pPr>
              <w:pStyle w:val="4"/>
            </w:pPr>
            <w:r>
              <w:rPr>
                <w:rFonts w:ascii="仿宋_GB2312" w:hAnsi="仿宋_GB2312" w:eastAsia="仿宋_GB2312" w:cs="仿宋_GB2312"/>
              </w:rPr>
              <w:t xml:space="preserve"> 序号</w:t>
            </w:r>
          </w:p>
        </w:tc>
        <w:tc>
          <w:tcPr>
            <w:tcW w:w="2769" w:type="dxa"/>
          </w:tcPr>
          <w:p w14:paraId="2D5A258D">
            <w:pPr>
              <w:pStyle w:val="4"/>
            </w:pPr>
            <w:r>
              <w:rPr>
                <w:rFonts w:ascii="仿宋_GB2312" w:hAnsi="仿宋_GB2312" w:eastAsia="仿宋_GB2312" w:cs="仿宋_GB2312"/>
              </w:rPr>
              <w:t xml:space="preserve"> 参数性质</w:t>
            </w:r>
          </w:p>
        </w:tc>
        <w:tc>
          <w:tcPr>
            <w:tcW w:w="2769" w:type="dxa"/>
          </w:tcPr>
          <w:p w14:paraId="3D552D94">
            <w:pPr>
              <w:pStyle w:val="4"/>
            </w:pPr>
            <w:r>
              <w:rPr>
                <w:rFonts w:ascii="仿宋_GB2312" w:hAnsi="仿宋_GB2312" w:eastAsia="仿宋_GB2312" w:cs="仿宋_GB2312"/>
              </w:rPr>
              <w:t xml:space="preserve"> 技术参数与性能指标</w:t>
            </w:r>
          </w:p>
        </w:tc>
      </w:tr>
      <w:tr w14:paraId="28207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03909F">
            <w:pPr>
              <w:pStyle w:val="4"/>
            </w:pPr>
            <w:r>
              <w:rPr>
                <w:rFonts w:ascii="仿宋_GB2312" w:hAnsi="仿宋_GB2312" w:eastAsia="仿宋_GB2312" w:cs="仿宋_GB2312"/>
              </w:rPr>
              <w:t>1</w:t>
            </w:r>
          </w:p>
        </w:tc>
        <w:tc>
          <w:tcPr>
            <w:tcW w:w="2769" w:type="dxa"/>
          </w:tcPr>
          <w:p w14:paraId="0E4C89FB"/>
        </w:tc>
        <w:tc>
          <w:tcPr>
            <w:tcW w:w="2769" w:type="dxa"/>
          </w:tcPr>
          <w:p w14:paraId="2AF3351E">
            <w:pPr>
              <w:pStyle w:val="4"/>
              <w:ind w:firstLine="400"/>
              <w:jc w:val="both"/>
            </w:pPr>
            <w:r>
              <w:rPr>
                <w:rFonts w:ascii="仿宋_GB2312" w:hAnsi="仿宋_GB2312" w:eastAsia="仿宋_GB2312" w:cs="仿宋_GB2312"/>
                <w:sz w:val="20"/>
              </w:rPr>
              <w:t>一、项目概况</w:t>
            </w:r>
          </w:p>
          <w:p w14:paraId="61D2F0EE">
            <w:pPr>
              <w:pStyle w:val="4"/>
              <w:ind w:firstLine="400"/>
              <w:jc w:val="both"/>
            </w:pPr>
            <w:r>
              <w:rPr>
                <w:rFonts w:ascii="仿宋_GB2312" w:hAnsi="仿宋_GB2312" w:eastAsia="仿宋_GB2312" w:cs="仿宋_GB2312"/>
                <w:sz w:val="20"/>
              </w:rPr>
              <w:t>按照省教育工委、教育厅对全省各级各类学校投保校方责任保险的要求，结合学院2026年招生计划，为不断完善全省校园安全风险防控体系，积极推进平安校园建设工作，2026/2027学年我院在校生购买校（园）方责任保险。</w:t>
            </w:r>
          </w:p>
          <w:p w14:paraId="028819E5">
            <w:pPr>
              <w:pStyle w:val="4"/>
              <w:ind w:firstLine="400"/>
              <w:jc w:val="both"/>
            </w:pPr>
            <w:r>
              <w:rPr>
                <w:rFonts w:ascii="仿宋_GB2312" w:hAnsi="仿宋_GB2312" w:eastAsia="仿宋_GB2312" w:cs="仿宋_GB2312"/>
                <w:sz w:val="20"/>
              </w:rPr>
              <w:t>二、服务内容</w:t>
            </w:r>
          </w:p>
          <w:p w14:paraId="3F959AC9">
            <w:pPr>
              <w:pStyle w:val="4"/>
              <w:ind w:firstLine="400"/>
              <w:jc w:val="both"/>
            </w:pPr>
            <w:r>
              <w:rPr>
                <w:rFonts w:ascii="仿宋_GB2312" w:hAnsi="仿宋_GB2312" w:eastAsia="仿宋_GB2312" w:cs="仿宋_GB2312"/>
                <w:sz w:val="20"/>
              </w:rPr>
              <w:t>在保险期间内，在校学生在教育教学活动期间或由学校统一组织并带领下的校（园）外活动中，以及在学校负有管理责任的校舍、场地、其他教育教学设施、生活设施、交通工具内发生人身损害事故，依照中华人民共和国法律应由学校承担的经济赔偿责任，保险人按照约定负责赔偿。</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13"/>
              <w:gridCol w:w="633"/>
              <w:gridCol w:w="897"/>
            </w:tblGrid>
            <w:tr w14:paraId="0B079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restart"/>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34ACA34A">
                  <w:pPr>
                    <w:pStyle w:val="4"/>
                    <w:jc w:val="center"/>
                  </w:pPr>
                  <w:r>
                    <w:rPr>
                      <w:rFonts w:ascii="仿宋_GB2312" w:hAnsi="仿宋_GB2312" w:eastAsia="仿宋_GB2312" w:cs="仿宋_GB2312"/>
                      <w:b/>
                      <w:sz w:val="20"/>
                    </w:rPr>
                    <w:t>赔偿限额</w:t>
                  </w:r>
                </w:p>
              </w:tc>
              <w:tc>
                <w:tcPr>
                  <w:tcW w:w="798"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E3F0E2">
                  <w:pPr>
                    <w:pStyle w:val="4"/>
                    <w:jc w:val="both"/>
                  </w:pPr>
                  <w:r>
                    <w:rPr>
                      <w:rFonts w:ascii="仿宋_GB2312" w:hAnsi="仿宋_GB2312" w:eastAsia="仿宋_GB2312" w:cs="仿宋_GB2312"/>
                      <w:sz w:val="20"/>
                    </w:rPr>
                    <w:t>每次事故赔偿限额</w:t>
                  </w:r>
                </w:p>
              </w:tc>
              <w:tc>
                <w:tcPr>
                  <w:tcW w:w="1111" w:type="dxa"/>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178B1A0B">
                  <w:pPr>
                    <w:pStyle w:val="4"/>
                    <w:jc w:val="both"/>
                  </w:pPr>
                  <w:r>
                    <w:rPr>
                      <w:rFonts w:ascii="仿宋_GB2312" w:hAnsi="仿宋_GB2312" w:eastAsia="仿宋_GB2312" w:cs="仿宋_GB2312"/>
                      <w:sz w:val="20"/>
                    </w:rPr>
                    <w:t>800万</w:t>
                  </w:r>
                </w:p>
              </w:tc>
            </w:tr>
            <w:tr w14:paraId="4E582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single" w:color="000000" w:sz="8" w:space="0"/>
                    <w:left w:val="single" w:color="000000" w:sz="8" w:space="0"/>
                    <w:bottom w:val="single" w:color="000000" w:sz="4" w:space="0"/>
                    <w:right w:val="single" w:color="000000" w:sz="4" w:space="0"/>
                  </w:tcBorders>
                </w:tcPr>
                <w:p w14:paraId="2BFBA947"/>
              </w:tc>
              <w:tc>
                <w:tcPr>
                  <w:tcW w:w="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65A880">
                  <w:pPr>
                    <w:pStyle w:val="4"/>
                    <w:jc w:val="both"/>
                  </w:pPr>
                  <w:r>
                    <w:rPr>
                      <w:rFonts w:ascii="仿宋_GB2312" w:hAnsi="仿宋_GB2312" w:eastAsia="仿宋_GB2312" w:cs="仿宋_GB2312"/>
                      <w:sz w:val="20"/>
                    </w:rPr>
                    <w:t>每次事故每人赔偿限额</w:t>
                  </w:r>
                </w:p>
              </w:tc>
              <w:tc>
                <w:tcPr>
                  <w:tcW w:w="1111"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0088BA04">
                  <w:pPr>
                    <w:pStyle w:val="4"/>
                    <w:jc w:val="both"/>
                  </w:pPr>
                  <w:r>
                    <w:rPr>
                      <w:rFonts w:ascii="仿宋_GB2312" w:hAnsi="仿宋_GB2312" w:eastAsia="仿宋_GB2312" w:cs="仿宋_GB2312"/>
                      <w:sz w:val="20"/>
                    </w:rPr>
                    <w:t>70万元</w:t>
                  </w:r>
                </w:p>
              </w:tc>
            </w:tr>
            <w:tr w14:paraId="7F624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single" w:color="000000" w:sz="8" w:space="0"/>
                    <w:left w:val="single" w:color="000000" w:sz="8" w:space="0"/>
                    <w:bottom w:val="single" w:color="000000" w:sz="4" w:space="0"/>
                    <w:right w:val="single" w:color="000000" w:sz="4" w:space="0"/>
                  </w:tcBorders>
                </w:tcPr>
                <w:p w14:paraId="4D77CE98"/>
              </w:tc>
              <w:tc>
                <w:tcPr>
                  <w:tcW w:w="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D7DA4C">
                  <w:pPr>
                    <w:pStyle w:val="4"/>
                    <w:jc w:val="both"/>
                  </w:pPr>
                  <w:r>
                    <w:rPr>
                      <w:rFonts w:ascii="仿宋_GB2312" w:hAnsi="仿宋_GB2312" w:eastAsia="仿宋_GB2312" w:cs="仿宋_GB2312"/>
                      <w:sz w:val="20"/>
                    </w:rPr>
                    <w:t>累计赔偿限额</w:t>
                  </w:r>
                </w:p>
              </w:tc>
              <w:tc>
                <w:tcPr>
                  <w:tcW w:w="1111"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01BA69EF">
                  <w:pPr>
                    <w:pStyle w:val="4"/>
                    <w:jc w:val="both"/>
                  </w:pPr>
                  <w:r>
                    <w:rPr>
                      <w:rFonts w:ascii="仿宋_GB2312" w:hAnsi="仿宋_GB2312" w:eastAsia="仿宋_GB2312" w:cs="仿宋_GB2312"/>
                      <w:sz w:val="20"/>
                    </w:rPr>
                    <w:t>2500万元</w:t>
                  </w:r>
                </w:p>
              </w:tc>
            </w:tr>
            <w:tr w14:paraId="638C6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725674CD">
                  <w:pPr>
                    <w:pStyle w:val="4"/>
                    <w:ind w:firstLine="602"/>
                    <w:jc w:val="both"/>
                  </w:pPr>
                  <w:r>
                    <w:rPr>
                      <w:rFonts w:ascii="仿宋_GB2312" w:hAnsi="仿宋_GB2312" w:eastAsia="仿宋_GB2312" w:cs="仿宋_GB2312"/>
                      <w:b/>
                      <w:sz w:val="20"/>
                    </w:rPr>
                    <w:t>附加校（园）方无过失责任保险</w:t>
                  </w:r>
                </w:p>
              </w:tc>
              <w:tc>
                <w:tcPr>
                  <w:tcW w:w="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0031B4">
                  <w:pPr>
                    <w:pStyle w:val="4"/>
                    <w:jc w:val="both"/>
                  </w:pPr>
                  <w:r>
                    <w:rPr>
                      <w:rFonts w:ascii="仿宋_GB2312" w:hAnsi="仿宋_GB2312" w:eastAsia="仿宋_GB2312" w:cs="仿宋_GB2312"/>
                      <w:sz w:val="20"/>
                    </w:rPr>
                    <w:t>每次事故赔偿限额</w:t>
                  </w:r>
                </w:p>
              </w:tc>
              <w:tc>
                <w:tcPr>
                  <w:tcW w:w="1111"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6D33E6E1">
                  <w:pPr>
                    <w:pStyle w:val="4"/>
                    <w:jc w:val="both"/>
                  </w:pPr>
                  <w:r>
                    <w:rPr>
                      <w:rFonts w:ascii="仿宋_GB2312" w:hAnsi="仿宋_GB2312" w:eastAsia="仿宋_GB2312" w:cs="仿宋_GB2312"/>
                      <w:sz w:val="20"/>
                    </w:rPr>
                    <w:t>300万元</w:t>
                  </w:r>
                </w:p>
              </w:tc>
            </w:tr>
            <w:tr w14:paraId="646C98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single" w:color="000000" w:sz="4" w:space="0"/>
                    <w:left w:val="single" w:color="000000" w:sz="8" w:space="0"/>
                    <w:bottom w:val="single" w:color="000000" w:sz="4" w:space="0"/>
                    <w:right w:val="single" w:color="000000" w:sz="4" w:space="0"/>
                  </w:tcBorders>
                </w:tcPr>
                <w:p w14:paraId="2333398B"/>
              </w:tc>
              <w:tc>
                <w:tcPr>
                  <w:tcW w:w="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614B41">
                  <w:pPr>
                    <w:pStyle w:val="4"/>
                    <w:jc w:val="both"/>
                  </w:pPr>
                  <w:r>
                    <w:rPr>
                      <w:rFonts w:ascii="仿宋_GB2312" w:hAnsi="仿宋_GB2312" w:eastAsia="仿宋_GB2312" w:cs="仿宋_GB2312"/>
                      <w:sz w:val="20"/>
                    </w:rPr>
                    <w:t>每次事故每人赔偿限额</w:t>
                  </w:r>
                </w:p>
              </w:tc>
              <w:tc>
                <w:tcPr>
                  <w:tcW w:w="1111"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3A889C62">
                  <w:pPr>
                    <w:pStyle w:val="4"/>
                    <w:jc w:val="both"/>
                  </w:pPr>
                  <w:r>
                    <w:rPr>
                      <w:rFonts w:ascii="仿宋_GB2312" w:hAnsi="仿宋_GB2312" w:eastAsia="仿宋_GB2312" w:cs="仿宋_GB2312"/>
                      <w:sz w:val="20"/>
                    </w:rPr>
                    <w:t>20万元</w:t>
                  </w:r>
                </w:p>
              </w:tc>
            </w:tr>
            <w:tr w14:paraId="746443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single" w:color="000000" w:sz="4" w:space="0"/>
                    <w:left w:val="single" w:color="000000" w:sz="8" w:space="0"/>
                    <w:bottom w:val="single" w:color="000000" w:sz="4" w:space="0"/>
                    <w:right w:val="single" w:color="000000" w:sz="4" w:space="0"/>
                  </w:tcBorders>
                </w:tcPr>
                <w:p w14:paraId="78D1F1BA"/>
              </w:tc>
              <w:tc>
                <w:tcPr>
                  <w:tcW w:w="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6AB4CC">
                  <w:pPr>
                    <w:pStyle w:val="4"/>
                    <w:jc w:val="both"/>
                  </w:pPr>
                  <w:r>
                    <w:rPr>
                      <w:rFonts w:ascii="仿宋_GB2312" w:hAnsi="仿宋_GB2312" w:eastAsia="仿宋_GB2312" w:cs="仿宋_GB2312"/>
                      <w:sz w:val="20"/>
                    </w:rPr>
                    <w:t>累计赔偿限额</w:t>
                  </w:r>
                </w:p>
              </w:tc>
              <w:tc>
                <w:tcPr>
                  <w:tcW w:w="1111"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0933A5E2">
                  <w:pPr>
                    <w:pStyle w:val="4"/>
                    <w:jc w:val="both"/>
                  </w:pPr>
                  <w:r>
                    <w:rPr>
                      <w:rFonts w:ascii="仿宋_GB2312" w:hAnsi="仿宋_GB2312" w:eastAsia="仿宋_GB2312" w:cs="仿宋_GB2312"/>
                      <w:sz w:val="20"/>
                    </w:rPr>
                    <w:t>800万元</w:t>
                  </w:r>
                </w:p>
              </w:tc>
            </w:tr>
            <w:tr w14:paraId="37CF15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single" w:color="000000" w:sz="4" w:space="0"/>
                    <w:left w:val="single" w:color="000000" w:sz="8" w:space="0"/>
                    <w:bottom w:val="single" w:color="000000" w:sz="8" w:space="0"/>
                    <w:right w:val="single" w:color="000000" w:sz="4" w:space="0"/>
                  </w:tcBorders>
                  <w:tcMar>
                    <w:top w:w="0" w:type="dxa"/>
                    <w:left w:w="105" w:type="dxa"/>
                    <w:bottom w:w="0" w:type="dxa"/>
                    <w:right w:w="105" w:type="dxa"/>
                  </w:tcMar>
                  <w:vAlign w:val="top"/>
                </w:tcPr>
                <w:p w14:paraId="662594D0">
                  <w:pPr>
                    <w:pStyle w:val="4"/>
                    <w:jc w:val="center"/>
                  </w:pPr>
                  <w:r>
                    <w:rPr>
                      <w:rFonts w:ascii="仿宋_GB2312" w:hAnsi="仿宋_GB2312" w:eastAsia="仿宋_GB2312" w:cs="仿宋_GB2312"/>
                      <w:b/>
                      <w:sz w:val="20"/>
                    </w:rPr>
                    <w:t xml:space="preserve">   每次事故免赔额/率</w:t>
                  </w:r>
                </w:p>
              </w:tc>
              <w:tc>
                <w:tcPr>
                  <w:tcW w:w="1909" w:type="dxa"/>
                  <w:gridSpan w:val="2"/>
                  <w:tcBorders>
                    <w:top w:val="single" w:color="000000" w:sz="4" w:space="0"/>
                    <w:left w:val="single" w:color="000000" w:sz="4" w:space="0"/>
                    <w:bottom w:val="single" w:color="000000" w:sz="8" w:space="0"/>
                    <w:right w:val="single" w:color="000000" w:sz="8" w:space="0"/>
                  </w:tcBorders>
                  <w:tcMar>
                    <w:top w:w="0" w:type="dxa"/>
                    <w:left w:w="105" w:type="dxa"/>
                    <w:bottom w:w="0" w:type="dxa"/>
                    <w:right w:w="105" w:type="dxa"/>
                  </w:tcMar>
                  <w:vAlign w:val="top"/>
                </w:tcPr>
                <w:p w14:paraId="5519FEBE">
                  <w:pPr>
                    <w:pStyle w:val="4"/>
                    <w:jc w:val="both"/>
                  </w:pPr>
                  <w:r>
                    <w:rPr>
                      <w:rFonts w:ascii="仿宋_GB2312" w:hAnsi="仿宋_GB2312" w:eastAsia="仿宋_GB2312" w:cs="仿宋_GB2312"/>
                      <w:sz w:val="20"/>
                    </w:rPr>
                    <w:t>无免赔</w:t>
                  </w:r>
                </w:p>
              </w:tc>
            </w:tr>
          </w:tbl>
          <w:p w14:paraId="2B4CE805">
            <w:pPr>
              <w:pStyle w:val="4"/>
              <w:jc w:val="both"/>
            </w:pPr>
            <w:r>
              <w:rPr>
                <w:rFonts w:ascii="仿宋_GB2312" w:hAnsi="仿宋_GB2312" w:eastAsia="仿宋_GB2312" w:cs="仿宋_GB2312"/>
                <w:sz w:val="20"/>
              </w:rPr>
              <w:t>附加条款：</w:t>
            </w:r>
          </w:p>
          <w:p w14:paraId="7A7BDA9D">
            <w:pPr>
              <w:pStyle w:val="4"/>
              <w:ind w:firstLine="400"/>
              <w:jc w:val="both"/>
            </w:pPr>
            <w:r>
              <w:rPr>
                <w:rFonts w:ascii="仿宋_GB2312" w:hAnsi="仿宋_GB2312" w:eastAsia="仿宋_GB2312" w:cs="仿宋_GB2312"/>
                <w:sz w:val="20"/>
              </w:rPr>
              <w:t>1.附加校（园）方无过失责任保险</w:t>
            </w:r>
          </w:p>
          <w:p w14:paraId="144074EE">
            <w:pPr>
              <w:pStyle w:val="4"/>
              <w:ind w:firstLine="400"/>
              <w:jc w:val="both"/>
            </w:pPr>
            <w:r>
              <w:rPr>
                <w:rFonts w:ascii="仿宋_GB2312" w:hAnsi="仿宋_GB2312" w:eastAsia="仿宋_GB2312" w:cs="仿宋_GB2312"/>
                <w:sz w:val="20"/>
              </w:rPr>
              <w:t>2.附加特定情形责任保险</w:t>
            </w:r>
          </w:p>
          <w:p w14:paraId="5753C9FF">
            <w:pPr>
              <w:pStyle w:val="4"/>
              <w:ind w:firstLine="400"/>
              <w:jc w:val="both"/>
            </w:pPr>
            <w:r>
              <w:rPr>
                <w:rFonts w:ascii="仿宋_GB2312" w:hAnsi="仿宋_GB2312" w:eastAsia="仿宋_GB2312" w:cs="仿宋_GB2312"/>
                <w:sz w:val="20"/>
              </w:rPr>
              <w:t>3.校（园）方责任保险附加公平责任保险条款</w:t>
            </w:r>
          </w:p>
          <w:p w14:paraId="545DFA66">
            <w:pPr>
              <w:pStyle w:val="4"/>
              <w:ind w:firstLine="400"/>
              <w:jc w:val="both"/>
            </w:pPr>
            <w:r>
              <w:rPr>
                <w:rFonts w:ascii="仿宋_GB2312" w:hAnsi="仿宋_GB2312" w:eastAsia="仿宋_GB2312" w:cs="仿宋_GB2312"/>
                <w:sz w:val="20"/>
              </w:rPr>
              <w:t>4.附加特定事故责任保险</w:t>
            </w:r>
          </w:p>
          <w:p w14:paraId="7138FDC0">
            <w:pPr>
              <w:pStyle w:val="4"/>
              <w:ind w:firstLine="400"/>
              <w:jc w:val="both"/>
            </w:pPr>
            <w:r>
              <w:rPr>
                <w:rFonts w:ascii="仿宋_GB2312" w:hAnsi="仿宋_GB2312" w:eastAsia="仿宋_GB2312" w:cs="仿宋_GB2312"/>
                <w:sz w:val="20"/>
              </w:rPr>
              <w:t>5.附加境外人身损害责任保险</w:t>
            </w:r>
          </w:p>
          <w:p w14:paraId="5A05D542">
            <w:pPr>
              <w:pStyle w:val="4"/>
              <w:ind w:firstLine="400"/>
              <w:jc w:val="both"/>
            </w:pPr>
            <w:r>
              <w:rPr>
                <w:rFonts w:ascii="仿宋_GB2312" w:hAnsi="仿宋_GB2312" w:eastAsia="仿宋_GB2312" w:cs="仿宋_GB2312"/>
                <w:sz w:val="20"/>
              </w:rPr>
              <w:t>6.扩展特定事项附加险（新增学生自动纳入保险条款）</w:t>
            </w:r>
          </w:p>
          <w:p w14:paraId="75727B19">
            <w:pPr>
              <w:pStyle w:val="4"/>
              <w:ind w:firstLine="400"/>
              <w:jc w:val="both"/>
            </w:pPr>
            <w:r>
              <w:rPr>
                <w:rFonts w:ascii="仿宋_GB2312" w:hAnsi="仿宋_GB2312" w:eastAsia="仿宋_GB2312" w:cs="仿宋_GB2312"/>
                <w:sz w:val="20"/>
              </w:rPr>
              <w:t>7.校（园）方责任保险附加自然灾害责任保险条款</w:t>
            </w:r>
          </w:p>
          <w:p w14:paraId="4B3F5983">
            <w:pPr>
              <w:pStyle w:val="4"/>
              <w:jc w:val="both"/>
            </w:pPr>
            <w:r>
              <w:rPr>
                <w:rFonts w:ascii="仿宋_GB2312" w:hAnsi="仿宋_GB2312" w:eastAsia="仿宋_GB2312" w:cs="仿宋_GB2312"/>
                <w:sz w:val="20"/>
              </w:rPr>
              <w:t>特别约定：</w:t>
            </w:r>
          </w:p>
          <w:p w14:paraId="1EB01091">
            <w:pPr>
              <w:pStyle w:val="4"/>
              <w:ind w:firstLine="400"/>
              <w:jc w:val="both"/>
            </w:pPr>
            <w:r>
              <w:rPr>
                <w:rFonts w:ascii="仿宋_GB2312" w:hAnsi="仿宋_GB2312" w:eastAsia="仿宋_GB2312" w:cs="仿宋_GB2312"/>
                <w:sz w:val="20"/>
              </w:rPr>
              <w:t>1.保单校（园）方责任保险附加校（园）方无过失责任保险条款：每生每年赔偿限额20万元，每校每次事故赔偿限额300万元，每校每年累计赔偿限额800万元</w:t>
            </w:r>
          </w:p>
          <w:p w14:paraId="0C510AC3">
            <w:pPr>
              <w:pStyle w:val="4"/>
              <w:ind w:firstLine="400"/>
              <w:jc w:val="both"/>
            </w:pPr>
            <w:r>
              <w:rPr>
                <w:rFonts w:ascii="仿宋_GB2312" w:hAnsi="仿宋_GB2312" w:eastAsia="仿宋_GB2312" w:cs="仿宋_GB2312"/>
                <w:sz w:val="20"/>
              </w:rPr>
              <w:t>2.对于在投保年度被保险人的新增学生的情况，自该学生完成注册当时起，自动纳入本保险保障范围。</w:t>
            </w:r>
          </w:p>
          <w:p w14:paraId="398A8B0E">
            <w:pPr>
              <w:pStyle w:val="4"/>
              <w:ind w:firstLine="400"/>
              <w:jc w:val="both"/>
            </w:pPr>
            <w:r>
              <w:rPr>
                <w:rFonts w:ascii="仿宋_GB2312" w:hAnsi="仿宋_GB2312" w:eastAsia="仿宋_GB2312" w:cs="仿宋_GB2312"/>
                <w:sz w:val="20"/>
              </w:rPr>
              <w:t>三、服务要求</w:t>
            </w:r>
          </w:p>
          <w:p w14:paraId="35E9021F">
            <w:pPr>
              <w:pStyle w:val="4"/>
              <w:ind w:firstLine="442"/>
              <w:jc w:val="both"/>
            </w:pPr>
            <w:r>
              <w:rPr>
                <w:rFonts w:ascii="仿宋_GB2312" w:hAnsi="仿宋_GB2312" w:eastAsia="仿宋_GB2312" w:cs="仿宋_GB2312"/>
                <w:sz w:val="20"/>
              </w:rPr>
              <w:t>保险期间实际学生人数变动幅度在全校本年度内拟投保总学生人数15800人（暂定）的5%(含5%)以内的，保险人同意不增减保险费。</w:t>
            </w:r>
          </w:p>
          <w:p w14:paraId="7DC31C16">
            <w:pPr>
              <w:pStyle w:val="4"/>
              <w:ind w:firstLine="442"/>
              <w:jc w:val="both"/>
            </w:pPr>
            <w:r>
              <w:rPr>
                <w:rFonts w:ascii="仿宋_GB2312" w:hAnsi="仿宋_GB2312" w:eastAsia="仿宋_GB2312" w:cs="仿宋_GB2312"/>
                <w:sz w:val="20"/>
              </w:rPr>
              <w:t>提供专业服务人员对所涉保险条款、保险责任、保险期间、保险额度等保险合同主要条款给予学校重要提示及详细说明，并协助办理投保手续。</w:t>
            </w:r>
          </w:p>
          <w:p w14:paraId="1DDE6231">
            <w:pPr>
              <w:pStyle w:val="4"/>
              <w:ind w:firstLine="400"/>
              <w:jc w:val="both"/>
            </w:pPr>
            <w:r>
              <w:rPr>
                <w:rFonts w:ascii="仿宋_GB2312" w:hAnsi="仿宋_GB2312" w:eastAsia="仿宋_GB2312" w:cs="仿宋_GB2312"/>
                <w:sz w:val="20"/>
              </w:rPr>
              <w:t>四、商务要求</w:t>
            </w:r>
          </w:p>
          <w:p w14:paraId="0B38446F">
            <w:pPr>
              <w:pStyle w:val="4"/>
              <w:ind w:firstLine="442"/>
              <w:jc w:val="both"/>
            </w:pPr>
            <w:r>
              <w:rPr>
                <w:rFonts w:ascii="仿宋_GB2312" w:hAnsi="仿宋_GB2312" w:eastAsia="仿宋_GB2312" w:cs="仿宋_GB2312"/>
                <w:sz w:val="20"/>
              </w:rPr>
              <w:t>应设立固定报案电话，实行全天侯的现场勘查制度，并为学校提供合理、及时、人性化的理赔服务,相应赔款应在学校提供完整索赔资料之日起15个工作日内赔偿完毕。应不断优化并简化其投保、理赔程序，为学校提供更优质的服务。</w:t>
            </w:r>
          </w:p>
          <w:p w14:paraId="3BCDDB91">
            <w:pPr>
              <w:pStyle w:val="4"/>
              <w:ind w:firstLine="400"/>
            </w:pPr>
            <w:r>
              <w:rPr>
                <w:rFonts w:ascii="仿宋_GB2312" w:hAnsi="仿宋_GB2312" w:eastAsia="仿宋_GB2312" w:cs="仿宋_GB2312"/>
                <w:sz w:val="20"/>
              </w:rPr>
              <w:t>4.1服务期限</w:t>
            </w:r>
          </w:p>
          <w:p w14:paraId="47186F1A">
            <w:pPr>
              <w:pStyle w:val="4"/>
              <w:ind w:firstLine="400"/>
            </w:pPr>
            <w:r>
              <w:rPr>
                <w:rFonts w:ascii="仿宋_GB2312" w:hAnsi="仿宋_GB2312" w:eastAsia="仿宋_GB2312" w:cs="仿宋_GB2312"/>
                <w:sz w:val="20"/>
              </w:rPr>
              <w:t>以保单生效之日起一年</w:t>
            </w:r>
          </w:p>
          <w:p w14:paraId="589901F8">
            <w:pPr>
              <w:pStyle w:val="4"/>
              <w:ind w:firstLine="400"/>
            </w:pPr>
            <w:r>
              <w:rPr>
                <w:rFonts w:ascii="仿宋_GB2312" w:hAnsi="仿宋_GB2312" w:eastAsia="仿宋_GB2312" w:cs="仿宋_GB2312"/>
                <w:sz w:val="20"/>
              </w:rPr>
              <w:t>4.2服务地点</w:t>
            </w:r>
          </w:p>
          <w:p w14:paraId="47D9B743">
            <w:pPr>
              <w:pStyle w:val="4"/>
              <w:ind w:firstLine="400"/>
            </w:pPr>
            <w:r>
              <w:rPr>
                <w:rFonts w:ascii="仿宋_GB2312" w:hAnsi="仿宋_GB2312" w:eastAsia="仿宋_GB2312" w:cs="仿宋_GB2312"/>
                <w:sz w:val="20"/>
              </w:rPr>
              <w:t>照采购人要求</w:t>
            </w:r>
          </w:p>
          <w:p w14:paraId="448601E3">
            <w:pPr>
              <w:pStyle w:val="4"/>
              <w:ind w:firstLine="400"/>
            </w:pPr>
            <w:r>
              <w:rPr>
                <w:rFonts w:ascii="仿宋_GB2312" w:hAnsi="仿宋_GB2312" w:eastAsia="仿宋_GB2312" w:cs="仿宋_GB2312"/>
                <w:sz w:val="20"/>
              </w:rPr>
              <w:t>4.3考核（验收）标准和方法</w:t>
            </w:r>
          </w:p>
          <w:p w14:paraId="7F84B1A7">
            <w:pPr>
              <w:pStyle w:val="4"/>
              <w:ind w:firstLine="400"/>
            </w:pPr>
            <w:r>
              <w:rPr>
                <w:rFonts w:ascii="仿宋_GB2312" w:hAnsi="仿宋_GB2312" w:eastAsia="仿宋_GB2312" w:cs="仿宋_GB2312"/>
                <w:sz w:val="20"/>
              </w:rPr>
              <w:t>按合同约定，以保单为验收依据。</w:t>
            </w:r>
          </w:p>
          <w:p w14:paraId="2A80AEC7">
            <w:pPr>
              <w:pStyle w:val="4"/>
              <w:ind w:firstLine="400"/>
            </w:pPr>
            <w:r>
              <w:rPr>
                <w:rFonts w:ascii="仿宋_GB2312" w:hAnsi="仿宋_GB2312" w:eastAsia="仿宋_GB2312" w:cs="仿宋_GB2312"/>
                <w:sz w:val="20"/>
              </w:rPr>
              <w:t>4.4支付方式</w:t>
            </w:r>
          </w:p>
          <w:p w14:paraId="0E927284">
            <w:pPr>
              <w:pStyle w:val="4"/>
              <w:ind w:firstLine="400"/>
            </w:pPr>
            <w:r>
              <w:rPr>
                <w:rFonts w:ascii="仿宋_GB2312" w:hAnsi="仿宋_GB2312" w:eastAsia="仿宋_GB2312" w:cs="仿宋_GB2312"/>
                <w:sz w:val="20"/>
              </w:rPr>
              <w:t>一次付清</w:t>
            </w:r>
          </w:p>
          <w:p w14:paraId="0BBACCBE">
            <w:pPr>
              <w:pStyle w:val="4"/>
              <w:ind w:firstLine="400"/>
            </w:pPr>
            <w:r>
              <w:rPr>
                <w:rFonts w:ascii="仿宋_GB2312" w:hAnsi="仿宋_GB2312" w:eastAsia="仿宋_GB2312" w:cs="仿宋_GB2312"/>
                <w:sz w:val="20"/>
              </w:rPr>
              <w:t>4.5支付约定</w:t>
            </w:r>
          </w:p>
          <w:p w14:paraId="409D69AE">
            <w:pPr>
              <w:pStyle w:val="4"/>
              <w:ind w:firstLine="400"/>
            </w:pPr>
            <w:r>
              <w:rPr>
                <w:rFonts w:ascii="仿宋_GB2312" w:hAnsi="仿宋_GB2312" w:eastAsia="仿宋_GB2312" w:cs="仿宋_GB2312"/>
                <w:sz w:val="20"/>
              </w:rPr>
              <w:t>付款条件说明：保险费单价金额不变，最终以合同确定的实际参保人数为准，收到保单发票后30天内支付。</w:t>
            </w:r>
          </w:p>
          <w:p w14:paraId="0FE793F5">
            <w:pPr>
              <w:pStyle w:val="4"/>
              <w:ind w:firstLine="400"/>
              <w:jc w:val="both"/>
            </w:pPr>
            <w:r>
              <w:rPr>
                <w:rFonts w:ascii="仿宋_GB2312" w:hAnsi="仿宋_GB2312" w:eastAsia="仿宋_GB2312" w:cs="仿宋_GB2312"/>
                <w:sz w:val="20"/>
              </w:rPr>
              <w:t>五、其他（如有要求，请写明）</w:t>
            </w:r>
          </w:p>
          <w:p w14:paraId="58201D63">
            <w:pPr>
              <w:pStyle w:val="4"/>
              <w:ind w:firstLine="400"/>
              <w:jc w:val="both"/>
            </w:pPr>
            <w:r>
              <w:rPr>
                <w:rFonts w:ascii="仿宋_GB2312" w:hAnsi="仿宋_GB2312" w:eastAsia="仿宋_GB2312" w:cs="仿宋_GB2312"/>
                <w:sz w:val="20"/>
              </w:rPr>
              <w:t>服务质量与合规性</w:t>
            </w:r>
          </w:p>
          <w:p w14:paraId="637F2C49">
            <w:pPr>
              <w:pStyle w:val="4"/>
              <w:ind w:firstLine="400"/>
            </w:pPr>
            <w:r>
              <w:rPr>
                <w:rFonts w:ascii="仿宋_GB2312" w:hAnsi="仿宋_GB2312" w:eastAsia="仿宋_GB2312" w:cs="仿宋_GB2312"/>
                <w:sz w:val="20"/>
              </w:rPr>
              <w:t>服务执行的标准、规范：</w:t>
            </w:r>
          </w:p>
          <w:p w14:paraId="776BB9BE">
            <w:pPr>
              <w:pStyle w:val="4"/>
              <w:ind w:firstLine="400"/>
            </w:pPr>
            <w:r>
              <w:rPr>
                <w:rFonts w:ascii="仿宋_GB2312" w:hAnsi="仿宋_GB2312" w:eastAsia="仿宋_GB2312" w:cs="仿宋_GB2312"/>
                <w:sz w:val="20"/>
              </w:rPr>
              <w:t>（1）国家标准、规范；</w:t>
            </w:r>
          </w:p>
          <w:p w14:paraId="68F7E72E">
            <w:pPr>
              <w:pStyle w:val="4"/>
              <w:ind w:firstLine="400"/>
            </w:pPr>
            <w:r>
              <w:rPr>
                <w:rFonts w:ascii="仿宋_GB2312" w:hAnsi="仿宋_GB2312" w:eastAsia="仿宋_GB2312" w:cs="仿宋_GB2312"/>
                <w:sz w:val="20"/>
              </w:rPr>
              <w:t>（2）行业标准、规范；</w:t>
            </w:r>
          </w:p>
          <w:p w14:paraId="26A2E7A5">
            <w:pPr>
              <w:pStyle w:val="4"/>
              <w:ind w:firstLine="400"/>
            </w:pPr>
            <w:r>
              <w:rPr>
                <w:rFonts w:ascii="仿宋_GB2312" w:hAnsi="仿宋_GB2312" w:eastAsia="仿宋_GB2312" w:cs="仿宋_GB2312"/>
                <w:sz w:val="20"/>
              </w:rPr>
              <w:t>（3）地方标准、规范；</w:t>
            </w:r>
          </w:p>
          <w:p w14:paraId="542A5BEE">
            <w:pPr>
              <w:pStyle w:val="4"/>
            </w:pPr>
            <w:r>
              <w:rPr>
                <w:rFonts w:ascii="仿宋_GB2312" w:hAnsi="仿宋_GB2312" w:eastAsia="仿宋_GB2312" w:cs="仿宋_GB2312"/>
                <w:sz w:val="20"/>
              </w:rPr>
              <w:t xml:space="preserve">       （4）企业标准、规范；</w:t>
            </w:r>
          </w:p>
        </w:tc>
      </w:tr>
    </w:tbl>
    <w:p w14:paraId="36AF1AAC">
      <w:pPr>
        <w:pStyle w:val="4"/>
        <w:outlineLvl w:val="2"/>
      </w:pPr>
      <w:r>
        <w:rPr>
          <w:rFonts w:ascii="仿宋_GB2312" w:hAnsi="仿宋_GB2312" w:eastAsia="仿宋_GB2312" w:cs="仿宋_GB2312"/>
          <w:b/>
          <w:sz w:val="28"/>
        </w:rPr>
        <w:t>3.2.3人员配置要求</w:t>
      </w:r>
    </w:p>
    <w:p w14:paraId="4D1FCE29">
      <w:pPr>
        <w:pStyle w:val="4"/>
      </w:pPr>
      <w:r>
        <w:rPr>
          <w:rFonts w:ascii="仿宋_GB2312" w:hAnsi="仿宋_GB2312" w:eastAsia="仿宋_GB2312" w:cs="仿宋_GB2312"/>
        </w:rPr>
        <w:t>采购包1：</w:t>
      </w:r>
    </w:p>
    <w:p w14:paraId="2B7198BB">
      <w:pPr>
        <w:pStyle w:val="4"/>
      </w:pPr>
      <w:r>
        <w:rPr>
          <w:rFonts w:ascii="仿宋_GB2312" w:hAnsi="仿宋_GB2312" w:eastAsia="仿宋_GB2312" w:cs="仿宋_GB2312"/>
        </w:rPr>
        <w:t>1.针对本项目配备相关业务人员，确保按期完成投保； 2.接到投保人的投保信息通知，5天内出具保险单证，并送达到指定地方； 3.每周对投保情况进行汇总，提交采购人； 4.被报险学校有人员变动、名称或地址变更、合并、注销、分立、设立分校等事宜时，及时做好上述事项的保全服务工作； 5.具有专人负责跟采购人进行对接，确保及时处理突发情况。</w:t>
      </w:r>
    </w:p>
    <w:p w14:paraId="543A2689">
      <w:pPr>
        <w:pStyle w:val="4"/>
        <w:outlineLvl w:val="2"/>
      </w:pPr>
      <w:r>
        <w:rPr>
          <w:rFonts w:ascii="仿宋_GB2312" w:hAnsi="仿宋_GB2312" w:eastAsia="仿宋_GB2312" w:cs="仿宋_GB2312"/>
          <w:b/>
          <w:sz w:val="28"/>
        </w:rPr>
        <w:t>3.2.4设施设备要求</w:t>
      </w:r>
    </w:p>
    <w:p w14:paraId="64B7F7BA">
      <w:pPr>
        <w:pStyle w:val="4"/>
      </w:pPr>
      <w:r>
        <w:rPr>
          <w:rFonts w:ascii="仿宋_GB2312" w:hAnsi="仿宋_GB2312" w:eastAsia="仿宋_GB2312" w:cs="仿宋_GB2312"/>
        </w:rPr>
        <w:t>采购包1：</w:t>
      </w:r>
    </w:p>
    <w:p w14:paraId="753EA924">
      <w:pPr>
        <w:pStyle w:val="4"/>
      </w:pPr>
      <w:r>
        <w:rPr>
          <w:rFonts w:ascii="仿宋_GB2312" w:hAnsi="仿宋_GB2312" w:eastAsia="仿宋_GB2312" w:cs="仿宋_GB2312"/>
        </w:rPr>
        <w:t>无</w:t>
      </w:r>
    </w:p>
    <w:p w14:paraId="64B00223">
      <w:pPr>
        <w:pStyle w:val="4"/>
        <w:outlineLvl w:val="2"/>
      </w:pPr>
      <w:r>
        <w:rPr>
          <w:rFonts w:ascii="仿宋_GB2312" w:hAnsi="仿宋_GB2312" w:eastAsia="仿宋_GB2312" w:cs="仿宋_GB2312"/>
          <w:b/>
          <w:sz w:val="28"/>
        </w:rPr>
        <w:t>3.2.5其他要求</w:t>
      </w:r>
    </w:p>
    <w:p w14:paraId="6ABEA749">
      <w:pPr>
        <w:pStyle w:val="4"/>
      </w:pPr>
      <w:r>
        <w:rPr>
          <w:rFonts w:ascii="仿宋_GB2312" w:hAnsi="仿宋_GB2312" w:eastAsia="仿宋_GB2312" w:cs="仿宋_GB2312"/>
        </w:rPr>
        <w:t>采购包1：</w:t>
      </w:r>
    </w:p>
    <w:p w14:paraId="56B8CC7D">
      <w:pPr>
        <w:pStyle w:val="4"/>
      </w:pPr>
      <w:r>
        <w:rPr>
          <w:rFonts w:ascii="仿宋_GB2312" w:hAnsi="仿宋_GB2312" w:eastAsia="仿宋_GB2312" w:cs="仿宋_GB2312"/>
        </w:rPr>
        <w:t>无</w:t>
      </w:r>
    </w:p>
    <w:p w14:paraId="38B79364">
      <w:pPr>
        <w:pStyle w:val="4"/>
        <w:outlineLvl w:val="2"/>
      </w:pPr>
      <w:r>
        <w:rPr>
          <w:rFonts w:ascii="仿宋_GB2312" w:hAnsi="仿宋_GB2312" w:eastAsia="仿宋_GB2312" w:cs="仿宋_GB2312"/>
          <w:b/>
          <w:sz w:val="28"/>
        </w:rPr>
        <w:t>3.3商务要求</w:t>
      </w:r>
    </w:p>
    <w:p w14:paraId="57292E62">
      <w:pPr>
        <w:pStyle w:val="4"/>
        <w:outlineLvl w:val="3"/>
      </w:pPr>
      <w:r>
        <w:rPr>
          <w:rFonts w:ascii="仿宋_GB2312" w:hAnsi="仿宋_GB2312" w:eastAsia="仿宋_GB2312" w:cs="仿宋_GB2312"/>
          <w:b/>
          <w:sz w:val="24"/>
        </w:rPr>
        <w:t>3.3.1服务期限</w:t>
      </w:r>
    </w:p>
    <w:p w14:paraId="133C4390">
      <w:pPr>
        <w:pStyle w:val="4"/>
      </w:pPr>
      <w:r>
        <w:rPr>
          <w:rFonts w:ascii="仿宋_GB2312" w:hAnsi="仿宋_GB2312" w:eastAsia="仿宋_GB2312" w:cs="仿宋_GB2312"/>
        </w:rPr>
        <w:t>采购包1：</w:t>
      </w:r>
    </w:p>
    <w:p w14:paraId="73B799C4">
      <w:pPr>
        <w:pStyle w:val="4"/>
      </w:pPr>
      <w:r>
        <w:rPr>
          <w:rFonts w:ascii="仿宋_GB2312" w:hAnsi="仿宋_GB2312" w:eastAsia="仿宋_GB2312" w:cs="仿宋_GB2312"/>
        </w:rPr>
        <w:t>以保单生效之日起一年</w:t>
      </w:r>
    </w:p>
    <w:p w14:paraId="4C323481">
      <w:pPr>
        <w:pStyle w:val="4"/>
        <w:outlineLvl w:val="3"/>
      </w:pPr>
      <w:r>
        <w:rPr>
          <w:rFonts w:ascii="仿宋_GB2312" w:hAnsi="仿宋_GB2312" w:eastAsia="仿宋_GB2312" w:cs="仿宋_GB2312"/>
          <w:b/>
          <w:sz w:val="24"/>
        </w:rPr>
        <w:t>3.3.2服务地点</w:t>
      </w:r>
    </w:p>
    <w:p w14:paraId="2E89AEBC">
      <w:pPr>
        <w:pStyle w:val="4"/>
      </w:pPr>
      <w:r>
        <w:rPr>
          <w:rFonts w:ascii="仿宋_GB2312" w:hAnsi="仿宋_GB2312" w:eastAsia="仿宋_GB2312" w:cs="仿宋_GB2312"/>
        </w:rPr>
        <w:t>采购包1：</w:t>
      </w:r>
    </w:p>
    <w:p w14:paraId="703EC5EC">
      <w:pPr>
        <w:pStyle w:val="4"/>
      </w:pPr>
      <w:r>
        <w:rPr>
          <w:rFonts w:ascii="仿宋_GB2312" w:hAnsi="仿宋_GB2312" w:eastAsia="仿宋_GB2312" w:cs="仿宋_GB2312"/>
        </w:rPr>
        <w:t>采购人指定地点</w:t>
      </w:r>
    </w:p>
    <w:p w14:paraId="446F71B5">
      <w:pPr>
        <w:pStyle w:val="4"/>
        <w:outlineLvl w:val="3"/>
      </w:pPr>
      <w:r>
        <w:rPr>
          <w:rFonts w:ascii="仿宋_GB2312" w:hAnsi="仿宋_GB2312" w:eastAsia="仿宋_GB2312" w:cs="仿宋_GB2312"/>
          <w:b/>
          <w:sz w:val="24"/>
        </w:rPr>
        <w:t>3.3.3考核（验收）标准和方法</w:t>
      </w:r>
    </w:p>
    <w:p w14:paraId="44B07BE3">
      <w:pPr>
        <w:pStyle w:val="4"/>
      </w:pPr>
      <w:r>
        <w:rPr>
          <w:rFonts w:ascii="仿宋_GB2312" w:hAnsi="仿宋_GB2312" w:eastAsia="仿宋_GB2312" w:cs="仿宋_GB2312"/>
        </w:rPr>
        <w:t>采购包1：</w:t>
      </w:r>
    </w:p>
    <w:p w14:paraId="49FB6A12">
      <w:pPr>
        <w:pStyle w:val="4"/>
      </w:pPr>
      <w:r>
        <w:rPr>
          <w:rFonts w:ascii="仿宋_GB2312" w:hAnsi="仿宋_GB2312" w:eastAsia="仿宋_GB2312" w:cs="仿宋_GB2312"/>
        </w:rPr>
        <w:t>按合同约定，以保单为验收依据。</w:t>
      </w:r>
    </w:p>
    <w:p w14:paraId="1D4AE364">
      <w:pPr>
        <w:pStyle w:val="4"/>
        <w:outlineLvl w:val="3"/>
      </w:pPr>
      <w:r>
        <w:rPr>
          <w:rFonts w:ascii="仿宋_GB2312" w:hAnsi="仿宋_GB2312" w:eastAsia="仿宋_GB2312" w:cs="仿宋_GB2312"/>
          <w:b/>
          <w:sz w:val="24"/>
        </w:rPr>
        <w:t>3.3.4支付方式</w:t>
      </w:r>
    </w:p>
    <w:p w14:paraId="387B9F57">
      <w:pPr>
        <w:pStyle w:val="4"/>
      </w:pPr>
      <w:r>
        <w:rPr>
          <w:rFonts w:ascii="仿宋_GB2312" w:hAnsi="仿宋_GB2312" w:eastAsia="仿宋_GB2312" w:cs="仿宋_GB2312"/>
        </w:rPr>
        <w:t>采购包1：</w:t>
      </w:r>
    </w:p>
    <w:p w14:paraId="452DD49F">
      <w:pPr>
        <w:pStyle w:val="4"/>
      </w:pPr>
      <w:r>
        <w:rPr>
          <w:rFonts w:ascii="仿宋_GB2312" w:hAnsi="仿宋_GB2312" w:eastAsia="仿宋_GB2312" w:cs="仿宋_GB2312"/>
        </w:rPr>
        <w:t>一次付清</w:t>
      </w:r>
    </w:p>
    <w:p w14:paraId="2AFC919B">
      <w:pPr>
        <w:pStyle w:val="4"/>
        <w:outlineLvl w:val="3"/>
      </w:pPr>
      <w:r>
        <w:rPr>
          <w:rFonts w:ascii="仿宋_GB2312" w:hAnsi="仿宋_GB2312" w:eastAsia="仿宋_GB2312" w:cs="仿宋_GB2312"/>
          <w:b/>
          <w:sz w:val="24"/>
        </w:rPr>
        <w:t>3.3.5支付约定</w:t>
      </w:r>
    </w:p>
    <w:p w14:paraId="1728A950">
      <w:pPr>
        <w:pStyle w:val="4"/>
      </w:pPr>
      <w:r>
        <w:rPr>
          <w:rFonts w:ascii="仿宋_GB2312" w:hAnsi="仿宋_GB2312" w:eastAsia="仿宋_GB2312" w:cs="仿宋_GB2312"/>
        </w:rPr>
        <w:t>采购包1： 付款条件说明： 保险费单价金额不变，最终以合同确定的实际参保人数为准，收到保单发票后 ，达到付款条件起 30 日内，支付合同总金额的 100.00%。</w:t>
      </w:r>
    </w:p>
    <w:p w14:paraId="3C041605">
      <w:pPr>
        <w:pStyle w:val="4"/>
        <w:outlineLvl w:val="3"/>
      </w:pPr>
      <w:r>
        <w:rPr>
          <w:rFonts w:ascii="仿宋_GB2312" w:hAnsi="仿宋_GB2312" w:eastAsia="仿宋_GB2312" w:cs="仿宋_GB2312"/>
          <w:b/>
          <w:sz w:val="24"/>
        </w:rPr>
        <w:t>3.3.6违约责任及解决争议的方法</w:t>
      </w:r>
    </w:p>
    <w:p w14:paraId="5DA663A2">
      <w:pPr>
        <w:pStyle w:val="4"/>
      </w:pPr>
      <w:r>
        <w:rPr>
          <w:rFonts w:ascii="仿宋_GB2312" w:hAnsi="仿宋_GB2312" w:eastAsia="仿宋_GB2312" w:cs="仿宋_GB2312"/>
        </w:rPr>
        <w:t>采购包1：</w:t>
      </w:r>
    </w:p>
    <w:p w14:paraId="0B0E0DE1">
      <w:pPr>
        <w:pStyle w:val="4"/>
      </w:pPr>
      <w:r>
        <w:rPr>
          <w:rFonts w:ascii="仿宋_GB2312" w:hAnsi="仿宋_GB2312" w:eastAsia="仿宋_GB2312" w:cs="仿宋_GB2312"/>
        </w:rPr>
        <w:t>按合同约定</w:t>
      </w:r>
    </w:p>
    <w:p w14:paraId="4EE25BD8">
      <w:pPr>
        <w:pStyle w:val="4"/>
        <w:outlineLvl w:val="2"/>
      </w:pPr>
      <w:r>
        <w:rPr>
          <w:rFonts w:ascii="仿宋_GB2312" w:hAnsi="仿宋_GB2312" w:eastAsia="仿宋_GB2312" w:cs="仿宋_GB2312"/>
          <w:b/>
          <w:sz w:val="28"/>
        </w:rPr>
        <w:t>3.4其他要求</w:t>
      </w:r>
    </w:p>
    <w:p w14:paraId="29BB3AD8">
      <w:pPr>
        <w:pStyle w:val="4"/>
      </w:pPr>
      <w:r>
        <w:rPr>
          <w:rFonts w:ascii="仿宋_GB2312" w:hAnsi="仿宋_GB2312" w:eastAsia="仿宋_GB2312" w:cs="仿宋_GB2312"/>
        </w:rPr>
        <w:t>1、为顺利推进政府采购电子化交易平台试点应用工作，供应商需要在线提交所有通过电子化交易平台实施的政府采购项目的响应文件。确定成交单位后，成交单位须提供通过电子化交易平台生成的纸质版响应文件正本 壹 套、副本 贰 套、电子版 壹 套（U盘一套标明供应商名称），应与线上提交的响应文件保持一致。 2、定标环节采购人有权对响应文件承诺响应的内容进行复核，如有虚假响应，一经发现，取消成交资格并上报财政主管部门，列入政府采购黑名单。</w:t>
      </w:r>
    </w:p>
    <w:p w14:paraId="6EF97C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6302A"/>
    <w:rsid w:val="28D6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2026-05-08T02:12:00Z</dcterms:created>
  <dc:creator>Administrator</dc:creator>
  <cp:lastModifiedBy>Administrator</cp:lastModifiedBy>
  <dcterms:modified xsi:type="dcterms:W3CDTF">2026-05-08T02:13:22Z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F1BCDB5C763F46AA91E579BD5B85AE2B_11</vt:lpwstr>
  </property>
  <property fmtid="{D5CDD505-2E9C-101B-9397-08002B2CF9AE}" pid="4" name="KSOTemplateDocerSaveRecord">
    <vt:lpwstr>eyJoZGlkIjoiOGY0MDlkN2Y4YTg5NTMwOTZkZmUwMzk2NjljNWJkNGMiLCJ1c2VySWQiOiI2MDQ4Njc1NTEifQ==</vt:lpwstr>
  </property>
</Properties>
</file>