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99DD">
      <w:pPr>
        <w:pStyle w:val="2"/>
        <w:keepNext/>
        <w:keepLines w:val="0"/>
        <w:pageBreakBefore/>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Cs w:val="28"/>
          <w:highlight w:val="none"/>
          <w:lang w:val="zh-CN" w:eastAsia="zh-CN"/>
        </w:rPr>
      </w:pPr>
      <w:r>
        <w:rPr>
          <w:rFonts w:hint="eastAsia" w:ascii="仿宋" w:hAnsi="仿宋" w:eastAsia="仿宋" w:cs="仿宋"/>
          <w:b/>
          <w:color w:val="auto"/>
          <w:szCs w:val="28"/>
          <w:highlight w:val="none"/>
          <w:lang w:eastAsia="zh-CN"/>
        </w:rPr>
        <w:t>采购内容</w:t>
      </w:r>
    </w:p>
    <w:p w14:paraId="508A3887">
      <w:pPr>
        <w:pStyle w:val="3"/>
        <w:keepNext w:val="0"/>
        <w:keepLines w:val="0"/>
        <w:pageBreakBefore w:val="0"/>
        <w:widowControl w:val="0"/>
        <w:kinsoku/>
        <w:wordWrap/>
        <w:overflowPunct/>
        <w:topLinePunct w:val="0"/>
        <w:autoSpaceDE/>
        <w:autoSpaceDN/>
        <w:bidi w:val="0"/>
        <w:adjustRightInd w:val="0"/>
        <w:snapToGrid/>
        <w:spacing w:before="0" w:after="0" w:line="360" w:lineRule="exact"/>
        <w:jc w:val="left"/>
        <w:outlineLvl w:val="9"/>
        <w:rPr>
          <w:rFonts w:hint="eastAsia" w:ascii="仿宋" w:hAnsi="仿宋" w:eastAsia="仿宋" w:cs="仿宋"/>
          <w:bCs/>
          <w:color w:val="auto"/>
          <w:kern w:val="2"/>
          <w:sz w:val="24"/>
          <w:szCs w:val="24"/>
          <w:highlight w:val="none"/>
          <w:lang w:val="en-US" w:eastAsia="zh-CN"/>
        </w:rPr>
      </w:pPr>
      <w:bookmarkStart w:id="0" w:name="_Toc26876"/>
      <w:bookmarkStart w:id="1" w:name="_Toc19800"/>
      <w:r>
        <w:rPr>
          <w:rFonts w:hint="eastAsia" w:ascii="仿宋" w:hAnsi="仿宋" w:eastAsia="仿宋" w:cs="仿宋"/>
          <w:bCs/>
          <w:color w:val="auto"/>
          <w:kern w:val="2"/>
          <w:sz w:val="24"/>
          <w:szCs w:val="24"/>
          <w:highlight w:val="none"/>
        </w:rPr>
        <w:t>1、</w:t>
      </w:r>
      <w:bookmarkEnd w:id="0"/>
      <w:r>
        <w:rPr>
          <w:rFonts w:hint="eastAsia" w:ascii="仿宋" w:hAnsi="仿宋" w:eastAsia="仿宋" w:cs="仿宋"/>
          <w:bCs/>
          <w:color w:val="auto"/>
          <w:kern w:val="2"/>
          <w:sz w:val="24"/>
          <w:szCs w:val="24"/>
          <w:highlight w:val="none"/>
        </w:rPr>
        <w:t>项目</w:t>
      </w:r>
      <w:bookmarkEnd w:id="1"/>
      <w:r>
        <w:rPr>
          <w:rFonts w:hint="eastAsia" w:ascii="仿宋" w:hAnsi="仿宋" w:eastAsia="仿宋" w:cs="仿宋"/>
          <w:bCs/>
          <w:color w:val="auto"/>
          <w:kern w:val="2"/>
          <w:sz w:val="24"/>
          <w:szCs w:val="24"/>
          <w:highlight w:val="none"/>
          <w:lang w:val="en-US" w:eastAsia="zh-CN"/>
        </w:rPr>
        <w:t>背景</w:t>
      </w:r>
    </w:p>
    <w:p w14:paraId="3A2B9117">
      <w:pPr>
        <w:pStyle w:val="3"/>
        <w:keepNext w:val="0"/>
        <w:keepLines w:val="0"/>
        <w:pageBreakBefore w:val="0"/>
        <w:widowControl w:val="0"/>
        <w:kinsoku/>
        <w:wordWrap/>
        <w:overflowPunct/>
        <w:topLinePunct w:val="0"/>
        <w:bidi w:val="0"/>
        <w:adjustRightInd w:val="0"/>
        <w:spacing w:before="0" w:after="0" w:line="360" w:lineRule="exact"/>
        <w:ind w:firstLine="480" w:firstLineChars="200"/>
        <w:jc w:val="left"/>
        <w:outlineLvl w:val="9"/>
        <w:rPr>
          <w:rFonts w:hint="eastAsia" w:ascii="仿宋" w:hAnsi="仿宋" w:eastAsia="仿宋" w:cs="仿宋"/>
          <w:b w:val="0"/>
          <w:color w:val="auto"/>
          <w:kern w:val="2"/>
          <w:sz w:val="24"/>
          <w:szCs w:val="24"/>
          <w:highlight w:val="none"/>
          <w:lang w:val="en-US" w:eastAsia="zh-CN"/>
        </w:rPr>
      </w:pPr>
      <w:bookmarkStart w:id="2" w:name="_Toc30712"/>
      <w:r>
        <w:rPr>
          <w:rFonts w:hint="eastAsia" w:ascii="仿宋" w:hAnsi="仿宋" w:eastAsia="仿宋" w:cs="仿宋"/>
          <w:b w:val="0"/>
          <w:color w:val="auto"/>
          <w:kern w:val="2"/>
          <w:sz w:val="24"/>
          <w:szCs w:val="24"/>
          <w:highlight w:val="none"/>
          <w:lang w:val="en-US" w:eastAsia="zh-CN"/>
        </w:rPr>
        <w:t>杨凌大道南段（滨河路－河堤路）市政道路及滨河路（水运西路－杨凌大道）拓宽改造工程。其中，杨凌大道南段</w:t>
      </w:r>
      <w:bookmarkStart w:id="8" w:name="_GoBack"/>
      <w:bookmarkEnd w:id="8"/>
      <w:r>
        <w:rPr>
          <w:rFonts w:hint="eastAsia" w:ascii="仿宋" w:hAnsi="仿宋" w:eastAsia="仿宋" w:cs="仿宋"/>
          <w:b w:val="0"/>
          <w:color w:val="auto"/>
          <w:kern w:val="2"/>
          <w:sz w:val="24"/>
          <w:szCs w:val="24"/>
          <w:highlight w:val="none"/>
          <w:lang w:val="en-US" w:eastAsia="zh-CN"/>
        </w:rPr>
        <w:t>市政道路主路长度640米、宽60米，包括长670米两侧匝道；滨河路改造工程道路长420米。</w:t>
      </w:r>
    </w:p>
    <w:p w14:paraId="46733F28">
      <w:pPr>
        <w:pStyle w:val="3"/>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jc w:val="left"/>
        <w:textAlignment w:val="baseline"/>
        <w:outlineLvl w:val="9"/>
        <w:rPr>
          <w:rFonts w:hint="eastAsia" w:ascii="仿宋" w:hAnsi="仿宋" w:eastAsia="仿宋" w:cs="仿宋"/>
          <w:b/>
          <w:bCs/>
          <w:color w:val="auto"/>
          <w:kern w:val="2"/>
          <w:sz w:val="24"/>
          <w:szCs w:val="24"/>
          <w:highlight w:val="none"/>
          <w:lang w:val="en-US" w:eastAsia="zh-CN"/>
        </w:rPr>
      </w:pPr>
      <w:bookmarkStart w:id="3" w:name="_Toc25198"/>
      <w:r>
        <w:rPr>
          <w:rFonts w:hint="eastAsia" w:ascii="仿宋" w:hAnsi="仿宋" w:eastAsia="仿宋" w:cs="仿宋"/>
          <w:b/>
          <w:bCs/>
          <w:color w:val="auto"/>
          <w:kern w:val="2"/>
          <w:sz w:val="24"/>
          <w:szCs w:val="24"/>
          <w:highlight w:val="none"/>
          <w:lang w:val="en-US" w:eastAsia="zh-CN"/>
        </w:rPr>
        <w:t>2、项目内容</w:t>
      </w:r>
      <w:bookmarkEnd w:id="2"/>
      <w:bookmarkEnd w:id="3"/>
    </w:p>
    <w:p w14:paraId="232E6A46">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依据杨凌示范区2026年重点项目建设计划，现采购职教创新园配套基础设施项目（杨凌大道（滨河路-河堤路）市政道路工程、滨河路（水运西路-杨凌大道）市政道路拓宽工程）设计单位。主要承担项目立项至建设前的全过程设计及造价编制工作，包括项目建议书、可行性研究报告编制，初步设计及概算编制，施工图设计及施工图预算造价编制。</w:t>
      </w:r>
    </w:p>
    <w:p w14:paraId="04AB334D">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outlineLvl w:val="9"/>
        <w:rPr>
          <w:rFonts w:hint="eastAsia" w:ascii="仿宋" w:hAnsi="仿宋" w:eastAsia="仿宋" w:cs="仿宋"/>
          <w:b/>
          <w:bCs/>
          <w:color w:val="auto"/>
          <w:sz w:val="24"/>
          <w:szCs w:val="24"/>
          <w:highlight w:val="none"/>
        </w:rPr>
      </w:pPr>
      <w:bookmarkStart w:id="4" w:name="_Toc11504"/>
      <w:r>
        <w:rPr>
          <w:rFonts w:hint="eastAsia" w:ascii="仿宋" w:hAnsi="仿宋" w:eastAsia="仿宋" w:cs="仿宋"/>
          <w:b/>
          <w:bCs/>
          <w:color w:val="auto"/>
          <w:sz w:val="24"/>
          <w:szCs w:val="24"/>
          <w:highlight w:val="none"/>
        </w:rPr>
        <w:t>3、成果文件及验收</w:t>
      </w:r>
      <w:bookmarkEnd w:id="4"/>
    </w:p>
    <w:p w14:paraId="2A9D1110">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rPr>
      </w:pPr>
      <w:bookmarkStart w:id="5" w:name="_Toc24030"/>
      <w:r>
        <w:rPr>
          <w:rFonts w:hint="eastAsia" w:ascii="仿宋" w:hAnsi="仿宋" w:eastAsia="仿宋" w:cs="仿宋"/>
          <w:b w:val="0"/>
          <w:bCs w:val="0"/>
          <w:color w:val="auto"/>
          <w:sz w:val="24"/>
          <w:szCs w:val="24"/>
          <w:highlight w:val="none"/>
        </w:rPr>
        <w:t>3.1、成果文件</w:t>
      </w:r>
      <w:bookmarkEnd w:id="5"/>
    </w:p>
    <w:p w14:paraId="793AF795">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lang w:val="en-US" w:eastAsia="zh-CN"/>
        </w:rPr>
      </w:pPr>
      <w:bookmarkStart w:id="6" w:name="_Toc10802"/>
      <w:r>
        <w:rPr>
          <w:rFonts w:hint="eastAsia" w:ascii="仿宋" w:hAnsi="仿宋" w:eastAsia="仿宋" w:cs="仿宋"/>
          <w:b w:val="0"/>
          <w:bCs w:val="0"/>
          <w:color w:val="auto"/>
          <w:sz w:val="24"/>
          <w:szCs w:val="24"/>
          <w:highlight w:val="none"/>
          <w:lang w:val="en-US" w:eastAsia="zh-CN"/>
        </w:rPr>
        <w:t>（1）主要包括</w:t>
      </w:r>
      <w:bookmarkEnd w:id="6"/>
      <w:r>
        <w:rPr>
          <w:rFonts w:hint="eastAsia" w:ascii="仿宋" w:hAnsi="仿宋" w:eastAsia="仿宋" w:cs="仿宋"/>
          <w:b w:val="0"/>
          <w:bCs w:val="0"/>
          <w:color w:val="auto"/>
          <w:sz w:val="24"/>
          <w:szCs w:val="24"/>
          <w:highlight w:val="none"/>
          <w:lang w:val="en-US" w:eastAsia="zh-CN"/>
        </w:rPr>
        <w:t>编制工程项目建议书、</w:t>
      </w:r>
      <w:r>
        <w:rPr>
          <w:rFonts w:hint="eastAsia" w:ascii="仿宋" w:hAnsi="仿宋" w:eastAsia="仿宋" w:cs="仿宋"/>
          <w:b w:val="0"/>
          <w:bCs w:val="0"/>
          <w:color w:val="auto"/>
          <w:sz w:val="24"/>
          <w:szCs w:val="24"/>
          <w:highlight w:val="none"/>
        </w:rPr>
        <w:t>可行性研究报告编制，初步设计及概算，施工图设计及施工图预算造价</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w:t>
      </w:r>
    </w:p>
    <w:p w14:paraId="52B49AB5">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lang w:val="en-US" w:eastAsia="zh-CN"/>
        </w:rPr>
      </w:pPr>
      <w:bookmarkStart w:id="7" w:name="_Toc31509"/>
      <w:r>
        <w:rPr>
          <w:rFonts w:hint="eastAsia" w:ascii="仿宋" w:hAnsi="仿宋" w:eastAsia="仿宋" w:cs="仿宋"/>
          <w:b w:val="0"/>
          <w:bCs w:val="0"/>
          <w:color w:val="auto"/>
          <w:sz w:val="24"/>
          <w:szCs w:val="24"/>
          <w:highlight w:val="none"/>
          <w:lang w:val="en-US" w:eastAsia="zh-CN"/>
        </w:rPr>
        <w:t>（2）</w:t>
      </w:r>
      <w:bookmarkEnd w:id="7"/>
      <w:r>
        <w:rPr>
          <w:rFonts w:hint="eastAsia" w:ascii="仿宋" w:hAnsi="仿宋" w:eastAsia="仿宋" w:cs="仿宋"/>
          <w:b w:val="0"/>
          <w:bCs w:val="0"/>
          <w:color w:val="auto"/>
          <w:sz w:val="24"/>
          <w:szCs w:val="24"/>
          <w:highlight w:val="none"/>
          <w:lang w:val="en-US" w:eastAsia="zh-CN"/>
        </w:rPr>
        <w:t>成果文件的纸质版份数要求及电子版要求：均按采购人当下要求进行提供。</w:t>
      </w:r>
    </w:p>
    <w:p w14:paraId="0AEC1EF2">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、验收标</w:t>
      </w:r>
      <w:r>
        <w:rPr>
          <w:rFonts w:hint="eastAsia" w:ascii="仿宋" w:hAnsi="仿宋" w:eastAsia="仿宋" w:cs="仿宋"/>
          <w:b w:val="0"/>
          <w:bCs w:val="0"/>
          <w:color w:val="auto"/>
          <w:sz w:val="24"/>
          <w:szCs w:val="24"/>
          <w:highlight w:val="none"/>
          <w:lang w:val="en-US" w:eastAsia="zh-CN"/>
        </w:rPr>
        <w:t>准</w:t>
      </w:r>
    </w:p>
    <w:p w14:paraId="496A1E4B">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（1）评审小组对成果编制的规范性、科学性、可操作性等方面进行评审。满足以下条件时，采购人向供应商出具验收报告材料：</w:t>
      </w:r>
    </w:p>
    <w:p w14:paraId="1312807F">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1）供应商已提供了全部服务及完整的</w:t>
      </w:r>
      <w:r>
        <w:rPr>
          <w:rFonts w:hint="eastAsia" w:ascii="仿宋" w:hAnsi="仿宋" w:eastAsia="仿宋" w:cs="仿宋"/>
          <w:color w:val="auto"/>
          <w:sz w:val="24"/>
          <w:szCs w:val="24"/>
          <w:highlight w:val="none"/>
        </w:rPr>
        <w:t>文档资料；</w:t>
      </w:r>
    </w:p>
    <w:p w14:paraId="5D3E7980">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2）符合本采购文件技术要求和服务需求的事项和规范中的要求；</w:t>
      </w:r>
    </w:p>
    <w:p w14:paraId="413011AA">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3）通过采购人组织的相关评审。</w:t>
      </w:r>
    </w:p>
    <w:p w14:paraId="1CD69964">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（2）验收标准：成果内容按照国家相关规定要求，若编制规范或工作要求有调整以最新版本为准。</w:t>
      </w:r>
    </w:p>
    <w:p w14:paraId="12E802D9">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（3）采购人无故不进行验收工作并已使用项目履约成果的，视同验收合格。</w:t>
      </w:r>
    </w:p>
    <w:p w14:paraId="629D74F1">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（4）项目验收结果合格的，供应商凭验收报告材料办理后续手续；验收结果不合格的，将不予支付采购资金，还可能上报本项目同级财政部门并按有关规定给予行政处罚或者以失信行为记入诚信档案。</w:t>
      </w:r>
    </w:p>
    <w:p w14:paraId="189FCDE4">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4、其他说明</w:t>
      </w:r>
    </w:p>
    <w:p w14:paraId="796C466D">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4.1、成交供应商提交的成果必须符合本项目所在地有关的法律法规、规范规程、标准、规划要求，并符合磋商文件的其它有关要求。</w:t>
      </w:r>
    </w:p>
    <w:p w14:paraId="493E1BAE">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4.2、工程造价经济合理，保证工程的经济效益、社会效益和环境效益相结合。</w:t>
      </w:r>
    </w:p>
    <w:p w14:paraId="0BF24BBD">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4.3、成交供应商应提供各阶段设计成果并配合建设单位取得相应批复文件、配合通过财政评审、配合完成施工及结算审计相关工作。</w:t>
      </w:r>
    </w:p>
    <w:p w14:paraId="26228118">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4.4、采购人在验收备案设计图纸审核过程中若发现错误或异议处，成交供应商须配合采购人无偿进行方案修改，直至验收合格。</w:t>
      </w:r>
    </w:p>
    <w:p w14:paraId="53D073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B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2026-05-07T08:03:10Z</dcterms:created>
  <dc:creator>Administrator</dc:creator>
  <cp:lastModifiedBy>Administrator</cp:lastModifiedBy>
  <dcterms:modified xsi:type="dcterms:W3CDTF">2026-05-07T08:03:17Z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eyJoZGlkIjoiM2UxZmQ3ODM1OTIwYTkwMGM5ZmMxODFhZmI1MzY4NDIifQ==</vt:lpwstr>
  </property>
  <property fmtid="{D5CDD505-2E9C-101B-9397-08002B2CF9AE}" pid="4" name="ICV">
    <vt:lpwstr>180C1BF9D6054D11A3932560D3A83EA6_12</vt:lpwstr>
  </property>
</Properties>
</file>