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F21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采购需求</w:t>
      </w:r>
    </w:p>
    <w:p w14:paraId="15247B2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eastAsia="宋体" w:cs="宋体"/>
          <w:sz w:val="24"/>
          <w:szCs w:val="24"/>
          <w:lang w:val="en-US" w:eastAsia="zh-CN"/>
        </w:rPr>
      </w:pPr>
    </w:p>
    <w:p w14:paraId="3A9064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一、项目概况</w:t>
      </w:r>
    </w:p>
    <w:p w14:paraId="34CFC8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（一）基本情况</w:t>
      </w:r>
    </w:p>
    <w:p w14:paraId="41A5CB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根据《中共中央办公厅、国务院办公厅关于深化安全可靠应用替代工作的意见》（中办发﹝2022﹞29号）、《交通强国建设纲要》（2019年9月19日）、《国家综合立体交通网规划纲要》（2021年2月24日）、交通运输部《交通强国建设评价指标体系》（交规划发〔2022〕7号）、《“十四五”现代综合交通运输体系发展规划》（2022年1月18日）、《中共陕西省委办公厅、陕西省人民政府办公厅印发&lt;关于深化安全可靠应用替代工作的若干措施&gt;的通知》（陕办字﹝2022﹞68号）等文件要求，我们拟开展陕西ETC发行服务系统升级改造工可及初步设计编制等咨询服务的采购</w:t>
      </w:r>
      <w:bookmarkStart w:id="0" w:name="_GoBack"/>
      <w:bookmarkEnd w:id="0"/>
      <w:r>
        <w:rPr>
          <w:rFonts w:hint="eastAsia" w:ascii="宋体" w:hAnsi="宋体" w:eastAsia="宋体" w:cs="宋体"/>
          <w:b w:val="0"/>
          <w:bCs w:val="0"/>
          <w:color w:val="0C0C0C"/>
          <w:sz w:val="24"/>
          <w:szCs w:val="24"/>
        </w:rPr>
        <w:t>。</w:t>
      </w:r>
    </w:p>
    <w:p w14:paraId="325BF5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（二）编制依据</w:t>
      </w:r>
    </w:p>
    <w:p w14:paraId="080E08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1.《交通强国建设纲要》（2019年9月19日）；</w:t>
      </w:r>
    </w:p>
    <w:p w14:paraId="6D3B72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2.交通运输部《交通强国建设评价指标体系》（交规划发〔2022〕7号）；</w:t>
      </w:r>
    </w:p>
    <w:p w14:paraId="7984F6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3.交通运输部《收费公路电子不停车收费技术要求》2011年第12号公告；</w:t>
      </w:r>
    </w:p>
    <w:p w14:paraId="0F7470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4.《信息安全技术信息系统安全等级保护基本要求》（GB/T 22239-2008）；</w:t>
      </w:r>
    </w:p>
    <w:p w14:paraId="73FCE2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5.《信息安全技术证书认证系统密码及其相关安全技术规范》（GB/T 25056-2018）；</w:t>
      </w:r>
    </w:p>
    <w:p w14:paraId="566564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6.《公路工程建设项目概算预算编制办法》（JTG 3830-2018）；</w:t>
      </w:r>
    </w:p>
    <w:p w14:paraId="0AEB6E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7.《公路工程概算定额》（JTG/T 3831-2018）；</w:t>
      </w:r>
    </w:p>
    <w:p w14:paraId="4AD641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8.交通运输部关于调整《公路工程建设项目投资估算编制办法》（JTG3820-2018）和《公路工程建设项目概算预算编制办法》（JTG3830-2018）中“税金”有关规定的公告（中华人民共和国交通运输部公告第26号）。</w:t>
      </w:r>
    </w:p>
    <w:p w14:paraId="5B0913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二、服务内容</w:t>
      </w:r>
    </w:p>
    <w:p w14:paraId="220BD1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（一）工作内容</w:t>
      </w:r>
    </w:p>
    <w:p w14:paraId="28E348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根据相关文件要求，对陕西ETC发行服务系统升级改造项目开展工程可行性研究报告及初步设计编制等咨询服务。包括现场调研、基础资料收集及文档编制。</w:t>
      </w:r>
    </w:p>
    <w:p w14:paraId="6C2D80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1.现场调研、基础资料收集。由项目管理人员统一安排本项目专业需求分析人员入场，进行现场调研及基础资料收集工作，计划从合同签订之日起对现状进行充分调研。</w:t>
      </w:r>
    </w:p>
    <w:p w14:paraId="6C02F2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工可文件编制工作。项目管理人员通过整体调研进度及资料收集情况，合理配置专业设计工程师和概预算工程师，编制项目工程可行性研究报告。具体包括项目概述、需求分析、总体方案、建设方案、节能分析、招标方案、项目组织机构和人员培训、实施进度、投资估算与资金来源、效益评价和综合论证、项目风险与风险管理等内容。</w:t>
      </w:r>
    </w:p>
    <w:p w14:paraId="2E6A4F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3.初步设计及施工图设计方案编制主要包括：</w:t>
      </w:r>
    </w:p>
    <w:p w14:paraId="25161A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（1）对项目背景的进一步理解、设计依据、设计范围及内容等。</w:t>
      </w:r>
    </w:p>
    <w:p w14:paraId="7BE7D2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（2）调研收集到的相关系统现状等。</w:t>
      </w:r>
    </w:p>
    <w:p w14:paraId="72F569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（3）ETC发行服务系统、陕西ETC网厅、ETC拓展应用等系统的功能要求。</w:t>
      </w:r>
    </w:p>
    <w:p w14:paraId="4A650E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（4）总体方案设计及各系统方案设计，具体包括ETC发行服务系统、陕西ETC网厅、ETC拓展应用等系统升级改造方案。</w:t>
      </w:r>
    </w:p>
    <w:p w14:paraId="074867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（5）施工图及预算编制。需有效指导陕西ETC发行服务系统升级改造项目工作的开展，确保该项工作的有序推进。</w:t>
      </w:r>
    </w:p>
    <w:p w14:paraId="51A3A8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4.配合完成工可、初步设计、施工图设计评审工作。</w:t>
      </w:r>
    </w:p>
    <w:p w14:paraId="7CCA51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（二）交付内容</w:t>
      </w:r>
    </w:p>
    <w:p w14:paraId="3BA5BA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1.《ETC发行服务系统升级改造项目工程可行性报告》。</w:t>
      </w:r>
    </w:p>
    <w:p w14:paraId="1FFC31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2.《ETC发行服务系统升级改造项目初步设计》《ETC发行服务系统升级改造项目施工图设计》。</w:t>
      </w:r>
    </w:p>
    <w:p w14:paraId="222CF1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3.交付内容需符合陕西省人民政府办公厅《省级政务信息化项目建设管理办法》有关规定。</w:t>
      </w:r>
    </w:p>
    <w:p w14:paraId="2499A8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三、服务要求</w:t>
      </w:r>
    </w:p>
    <w:p w14:paraId="560483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（一）服务基本要求</w:t>
      </w:r>
    </w:p>
    <w:p w14:paraId="0CCCCB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1、服务时间：计划在合同签订生效后6个月内完成。</w:t>
      </w:r>
    </w:p>
    <w:p w14:paraId="0B6EAA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2、服务地点：陕西省高速公路收费中心。</w:t>
      </w:r>
    </w:p>
    <w:p w14:paraId="2E48AC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3、服务要求：</w:t>
      </w:r>
    </w:p>
    <w:p w14:paraId="673BAC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合同签订之日起20天内完成系统及其他关联性系统现有建设情况等的现场调研和基础资料收集工作；收集工作完成后30天内提交工可初稿；工可初稿经采购方内部讨论提出修改意见后，10天内完成工可完善工作并提交采购方进行评审。</w:t>
      </w:r>
    </w:p>
    <w:p w14:paraId="5DCF22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（2）工可评审定稿后90天内提交初步设计及施工图设计方案。经采购人内部讨论对方案初稿提出修改意见后，10天内完成方案完善工作并提交采购方。</w:t>
      </w:r>
    </w:p>
    <w:p w14:paraId="61FF00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（3）方案完成后60天内，配合采购人完成方案评审。</w:t>
      </w:r>
    </w:p>
    <w:p w14:paraId="678F61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（二）人员要求</w:t>
      </w:r>
    </w:p>
    <w:p w14:paraId="1C9A13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在服务过程中，服务商应提供服务过程中所指派具体承担服务的人员名单及其简历、学历等证明文件，保证所提供信息的准确性和有效性。采购人有权对派入人员的资格和相关信息进行审核。为确保服务工作的顺利开展，服务商应对服务人员及现场驻场人员素质整体把关，原则上应满足以下条件：</w:t>
      </w:r>
    </w:p>
    <w:p w14:paraId="6CB223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1.技术团队包括中高级技术人员负责技术方案设计及概预算文件编制。技术团队人员应对高速公路机电系统具有深刻了解，具备丰富的高速公路机电系统设计经验。</w:t>
      </w:r>
    </w:p>
    <w:p w14:paraId="6FFED7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2.技术团队投入本项目设计的人员中具备高级职称（资格）人数不少于3人，中级职称（资格）人数不少于3人。</w:t>
      </w:r>
    </w:p>
    <w:p w14:paraId="3B0AF4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3.为保证项目的连续性，在项目服务周期内不得随意更换服务人员。</w:t>
      </w:r>
    </w:p>
    <w:p w14:paraId="7E9CF7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（三）保密要求</w:t>
      </w:r>
    </w:p>
    <w:p w14:paraId="5CE602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项目实施过程中所收集、产生的所有与本项目相关的文档、资料，包括文字、图片、表格、数字等各种形式的所属权均归属省中心，服务商必须对所涉及到的内容保密，服务商及服务人员应按照要求签署保密协议。（见附件）</w:t>
      </w:r>
    </w:p>
    <w:p w14:paraId="599E3D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（四）违约责任</w:t>
      </w:r>
    </w:p>
    <w:p w14:paraId="7A0CAE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1.按《中华人民共和国民法典》中的相关条款执行。</w:t>
      </w:r>
    </w:p>
    <w:p w14:paraId="32F649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2.未按合同要求提供服务或服务质量不能满足服务要求的，采购人有权终止合同。</w:t>
      </w:r>
    </w:p>
    <w:p w14:paraId="00F849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3.因服务商违约造成采购人损失的，由服务商承担全部的损失赔偿责任，包括但不限于直接经济损失及采购人因此开支的交通费、公证费、鉴定费、诉讼费、仲裁费、律师费、保全费、保险费等一切费用。</w:t>
      </w:r>
    </w:p>
    <w:p w14:paraId="228CE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4.服务商如不能及时开具全额发票或采购人要求的保函，采购人有权延时付款且不承担违约责任，直至服务商开具全额发票或采购人要求的保函后再进行付款。</w:t>
      </w:r>
    </w:p>
    <w:p w14:paraId="10B99A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（五）履约验收要求</w:t>
      </w:r>
    </w:p>
    <w:p w14:paraId="7E7AF5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项目履约验收主体为采购人，验收工作流程为供应商提出验收申请之日起30日内，由采购人组织验收工作。本项目为一次性验收，采购人严格按照招标文件、投标文件和合同约定内容进行履约验收。</w:t>
      </w:r>
    </w:p>
    <w:p w14:paraId="7D29C7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C0C0C"/>
          <w:sz w:val="24"/>
          <w:szCs w:val="24"/>
        </w:rPr>
      </w:pPr>
      <w:r>
        <w:rPr>
          <w:rFonts w:hint="eastAsia" w:ascii="宋体" w:hAnsi="宋体" w:eastAsia="宋体" w:cs="宋体"/>
          <w:b w:val="0"/>
          <w:bCs w:val="0"/>
          <w:color w:val="0C0C0C"/>
          <w:sz w:val="24"/>
          <w:szCs w:val="24"/>
        </w:rPr>
        <w:t>（六）其他要求</w:t>
      </w:r>
    </w:p>
    <w:p w14:paraId="1F0E96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val="0"/>
          <w:color w:val="0C0C0C"/>
          <w:sz w:val="24"/>
          <w:szCs w:val="24"/>
        </w:rPr>
        <w:t>服务商应遵守采购人相关管理制度，并接受监督</w:t>
      </w:r>
      <w:r>
        <w:rPr>
          <w:rFonts w:hint="eastAsia" w:ascii="宋体" w:hAnsi="宋体" w:eastAsia="宋体" w:cs="宋体"/>
          <w:b w:val="0"/>
          <w:bCs w:val="0"/>
          <w:color w:val="0C0C0C"/>
          <w:sz w:val="24"/>
          <w:szCs w:val="24"/>
          <w:lang w:val="en-US" w:eastAsia="zh-CN"/>
        </w:rPr>
        <w:t>。</w:t>
      </w:r>
    </w:p>
    <w:sectPr>
      <w:pgSz w:w="11906" w:h="16838"/>
      <w:pgMar w:top="1440" w:right="1701" w:bottom="1383"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766FAB"/>
    <w:rsid w:val="438509E4"/>
    <w:rsid w:val="67766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First Indent"/>
    <w:basedOn w:val="2"/>
    <w:qFormat/>
    <w:uiPriority w:val="0"/>
    <w:pPr>
      <w:spacing w:after="120"/>
      <w:ind w:firstLine="420" w:firstLineChars="100"/>
    </w:pPr>
    <w:rPr>
      <w:sz w:val="21"/>
    </w:rPr>
  </w:style>
  <w:style w:type="table" w:styleId="5">
    <w:name w:val="Table Grid"/>
    <w:basedOn w:val="4"/>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3178</Words>
  <Characters>3267</Characters>
  <Lines>0</Lines>
  <Paragraphs>0</Paragraphs>
  <TotalTime>4</TotalTime>
  <ScaleCrop>false</ScaleCrop>
  <LinksUpToDate>false</LinksUpToDate>
  <CharactersWithSpaces>3268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2026-05-11T06:45:00Z</dcterms:created>
  <dc:creator>知子</dc:creator>
  <cp:lastModifiedBy>知子</cp:lastModifiedBy>
  <dcterms:modified xsi:type="dcterms:W3CDTF">2026-05-11T08:22:44Z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67A0B904DB9140A78477E9687FB0D736_11</vt:lpwstr>
  </property>
  <property fmtid="{D5CDD505-2E9C-101B-9397-08002B2CF9AE}" pid="4" name="KSOTemplateDocerSaveRecord">
    <vt:lpwstr>eyJoZGlkIjoiMmQyYzYzYTI2MjQ2OGY1N2ZmZWYxOGNiNTQwMjNiYmYiLCJ1c2VySWQiOiI0ODM2OTkwMzcifQ==</vt:lpwstr>
  </property>
</Properties>
</file>