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048F8C">
      <w:pPr>
        <w:jc w:val="both"/>
        <w:rPr>
          <w:rFonts w:hint="eastAsia" w:ascii="宋体" w:hAnsi="宋体" w:eastAsia="宋体" w:cs="宋体"/>
          <w:b/>
          <w:bCs/>
          <w:color w:val="auto"/>
          <w:spacing w:val="4"/>
          <w:sz w:val="28"/>
          <w:szCs w:val="28"/>
          <w:highlight w:val="none"/>
          <w:lang w:val="en-US" w:eastAsia="zh-CN"/>
        </w:rPr>
      </w:pPr>
      <w:r>
        <w:rPr>
          <w:rFonts w:hint="eastAsia" w:ascii="宋体" w:hAnsi="宋体" w:eastAsia="宋体" w:cs="宋体"/>
          <w:b/>
          <w:bCs/>
          <w:color w:val="auto"/>
          <w:spacing w:val="4"/>
          <w:sz w:val="28"/>
          <w:szCs w:val="28"/>
          <w:highlight w:val="none"/>
        </w:rPr>
        <w:t>项目编号：</w:t>
      </w:r>
      <w:r>
        <w:rPr>
          <w:rFonts w:hint="eastAsia" w:ascii="宋体" w:hAnsi="宋体" w:cs="宋体"/>
          <w:b/>
          <w:bCs/>
          <w:color w:val="auto"/>
          <w:spacing w:val="4"/>
          <w:sz w:val="28"/>
          <w:szCs w:val="28"/>
          <w:highlight w:val="none"/>
          <w:lang w:val="en-US" w:eastAsia="zh-CN"/>
        </w:rPr>
        <w:t>YC26001016（CGP）</w:t>
      </w:r>
    </w:p>
    <w:p w14:paraId="6DF357E2">
      <w:pPr>
        <w:tabs>
          <w:tab w:val="center" w:pos="4367"/>
          <w:tab w:val="left" w:pos="7233"/>
        </w:tabs>
        <w:spacing w:before="156" w:beforeLines="50" w:line="360" w:lineRule="auto"/>
        <w:jc w:val="center"/>
        <w:rPr>
          <w:rFonts w:hint="eastAsia" w:ascii="宋体" w:hAnsi="宋体" w:eastAsia="宋体" w:cs="宋体"/>
          <w:b/>
          <w:bCs/>
          <w:color w:val="auto"/>
          <w:sz w:val="42"/>
          <w:szCs w:val="42"/>
          <w:highlight w:val="none"/>
          <w:lang w:val="en-US" w:eastAsia="zh-CN"/>
        </w:rPr>
      </w:pPr>
    </w:p>
    <w:p w14:paraId="6A871257">
      <w:pPr>
        <w:pStyle w:val="10"/>
        <w:rPr>
          <w:rFonts w:hint="eastAsia" w:ascii="宋体" w:hAnsi="宋体" w:eastAsia="宋体" w:cs="宋体"/>
          <w:color w:val="auto"/>
          <w:highlight w:val="none"/>
          <w:lang w:val="en-US" w:eastAsia="zh-CN"/>
        </w:rPr>
      </w:pPr>
    </w:p>
    <w:p w14:paraId="24AA6109">
      <w:pPr>
        <w:rPr>
          <w:rFonts w:hint="eastAsia" w:ascii="宋体" w:hAnsi="宋体" w:eastAsia="宋体" w:cs="宋体"/>
          <w:color w:val="auto"/>
          <w:sz w:val="48"/>
          <w:szCs w:val="48"/>
          <w:highlight w:val="none"/>
          <w:lang w:val="en-US" w:eastAsia="zh-CN"/>
        </w:rPr>
      </w:pPr>
    </w:p>
    <w:p w14:paraId="1771F544">
      <w:pPr>
        <w:jc w:val="center"/>
        <w:rPr>
          <w:rFonts w:hint="eastAsia" w:ascii="宋体" w:hAnsi="宋体" w:eastAsia="宋体" w:cs="宋体"/>
          <w:b/>
          <w:bCs/>
          <w:color w:val="auto"/>
          <w:sz w:val="48"/>
          <w:szCs w:val="48"/>
          <w:highlight w:val="none"/>
          <w:lang w:eastAsia="zh-CN"/>
        </w:rPr>
      </w:pPr>
      <w:r>
        <w:rPr>
          <w:rFonts w:hint="eastAsia" w:ascii="宋体" w:hAnsi="宋体" w:cs="宋体"/>
          <w:b/>
          <w:bCs/>
          <w:color w:val="auto"/>
          <w:sz w:val="48"/>
          <w:szCs w:val="48"/>
          <w:highlight w:val="none"/>
          <w:lang w:eastAsia="zh-CN"/>
        </w:rPr>
        <w:t>长武县城区摆放时令鲜花项目</w:t>
      </w:r>
    </w:p>
    <w:p w14:paraId="24816D3B">
      <w:pPr>
        <w:spacing w:line="360" w:lineRule="atLeast"/>
        <w:jc w:val="center"/>
        <w:rPr>
          <w:rFonts w:hint="eastAsia" w:ascii="宋体" w:hAnsi="宋体" w:eastAsia="宋体" w:cs="宋体"/>
          <w:color w:val="auto"/>
          <w:sz w:val="28"/>
          <w:szCs w:val="28"/>
          <w:highlight w:val="none"/>
        </w:rPr>
      </w:pPr>
    </w:p>
    <w:p w14:paraId="2AD3D105">
      <w:pPr>
        <w:spacing w:line="360" w:lineRule="atLeast"/>
        <w:jc w:val="center"/>
        <w:rPr>
          <w:rFonts w:hint="eastAsia" w:ascii="宋体" w:hAnsi="宋体" w:eastAsia="宋体" w:cs="宋体"/>
          <w:color w:val="auto"/>
          <w:sz w:val="11"/>
          <w:szCs w:val="11"/>
          <w:highlight w:val="none"/>
        </w:rPr>
      </w:pPr>
    </w:p>
    <w:p w14:paraId="640CCEB0">
      <w:pPr>
        <w:spacing w:line="360" w:lineRule="atLeast"/>
        <w:jc w:val="center"/>
        <w:rPr>
          <w:rFonts w:hint="eastAsia" w:ascii="宋体" w:hAnsi="宋体" w:eastAsia="宋体" w:cs="宋体"/>
          <w:color w:val="auto"/>
          <w:sz w:val="11"/>
          <w:szCs w:val="11"/>
          <w:highlight w:val="none"/>
        </w:rPr>
      </w:pPr>
    </w:p>
    <w:p w14:paraId="040D11FE">
      <w:pPr>
        <w:jc w:val="center"/>
        <w:rPr>
          <w:rFonts w:hint="eastAsia" w:ascii="宋体" w:hAnsi="宋体" w:eastAsia="宋体" w:cs="宋体"/>
          <w:b/>
          <w:bCs/>
          <w:color w:val="auto"/>
          <w:sz w:val="52"/>
          <w:szCs w:val="52"/>
          <w:highlight w:val="none"/>
        </w:rPr>
      </w:pPr>
      <w:r>
        <w:rPr>
          <w:rFonts w:hint="eastAsia" w:ascii="宋体" w:hAnsi="宋体" w:eastAsia="宋体" w:cs="宋体"/>
          <w:b/>
          <w:bCs/>
          <w:color w:val="auto"/>
          <w:sz w:val="52"/>
          <w:szCs w:val="52"/>
          <w:highlight w:val="none"/>
        </w:rPr>
        <w:t>竞争性磋商文件</w:t>
      </w:r>
    </w:p>
    <w:p w14:paraId="04323434">
      <w:pPr>
        <w:spacing w:line="360" w:lineRule="auto"/>
        <w:jc w:val="center"/>
        <w:rPr>
          <w:rFonts w:hint="eastAsia" w:ascii="宋体" w:hAnsi="宋体" w:eastAsia="宋体" w:cs="宋体"/>
          <w:b/>
          <w:color w:val="auto"/>
          <w:spacing w:val="80"/>
          <w:kern w:val="16"/>
          <w:sz w:val="72"/>
          <w:szCs w:val="72"/>
          <w:highlight w:val="none"/>
        </w:rPr>
      </w:pPr>
    </w:p>
    <w:p w14:paraId="2F2859F0">
      <w:pPr>
        <w:spacing w:line="720" w:lineRule="auto"/>
        <w:rPr>
          <w:rFonts w:hint="eastAsia" w:ascii="宋体" w:hAnsi="宋体" w:eastAsia="宋体" w:cs="宋体"/>
          <w:b/>
          <w:color w:val="auto"/>
          <w:sz w:val="30"/>
          <w:szCs w:val="30"/>
          <w:highlight w:val="none"/>
          <w:lang w:val="en-US" w:eastAsia="zh-CN"/>
        </w:rPr>
      </w:pPr>
    </w:p>
    <w:p w14:paraId="7C00F4F4">
      <w:pPr>
        <w:widowControl w:val="0"/>
        <w:snapToGrid w:val="0"/>
        <w:jc w:val="left"/>
        <w:rPr>
          <w:rFonts w:hint="eastAsia" w:ascii="宋体" w:hAnsi="宋体" w:eastAsia="宋体" w:cs="宋体"/>
          <w:b/>
          <w:color w:val="auto"/>
          <w:kern w:val="2"/>
          <w:sz w:val="30"/>
          <w:szCs w:val="30"/>
          <w:highlight w:val="none"/>
          <w:lang w:val="en-US" w:eastAsia="zh-CN" w:bidi="ar-SA"/>
        </w:rPr>
      </w:pPr>
    </w:p>
    <w:p w14:paraId="68354EAF">
      <w:pPr>
        <w:pStyle w:val="18"/>
        <w:rPr>
          <w:rFonts w:hint="eastAsia" w:ascii="宋体" w:hAnsi="宋体" w:eastAsia="宋体" w:cs="宋体"/>
          <w:color w:val="auto"/>
          <w:highlight w:val="none"/>
          <w:lang w:val="en-US" w:eastAsia="zh-CN"/>
        </w:rPr>
      </w:pPr>
    </w:p>
    <w:p w14:paraId="0EF5B3D6">
      <w:pPr>
        <w:pStyle w:val="18"/>
        <w:rPr>
          <w:rFonts w:hint="eastAsia" w:ascii="宋体" w:hAnsi="宋体" w:eastAsia="宋体" w:cs="宋体"/>
          <w:color w:val="auto"/>
          <w:highlight w:val="none"/>
          <w:lang w:val="en-US" w:eastAsia="zh-CN"/>
        </w:rPr>
      </w:pPr>
    </w:p>
    <w:p w14:paraId="793F2C3A">
      <w:pPr>
        <w:pStyle w:val="18"/>
        <w:rPr>
          <w:rFonts w:hint="eastAsia" w:ascii="宋体" w:hAnsi="宋体" w:eastAsia="宋体" w:cs="宋体"/>
          <w:color w:val="auto"/>
          <w:highlight w:val="none"/>
          <w:lang w:val="en-US" w:eastAsia="zh-CN"/>
        </w:rPr>
      </w:pPr>
    </w:p>
    <w:p w14:paraId="2E568755">
      <w:pPr>
        <w:pStyle w:val="16"/>
        <w:rPr>
          <w:rFonts w:hint="eastAsia" w:ascii="宋体" w:hAnsi="宋体" w:eastAsia="宋体" w:cs="宋体"/>
          <w:color w:val="auto"/>
          <w:highlight w:val="none"/>
          <w:lang w:val="en-US" w:eastAsia="zh-CN"/>
        </w:rPr>
      </w:pPr>
    </w:p>
    <w:p w14:paraId="6658C3EF">
      <w:pPr>
        <w:pStyle w:val="16"/>
        <w:rPr>
          <w:rFonts w:hint="eastAsia" w:ascii="宋体" w:hAnsi="宋体" w:eastAsia="宋体" w:cs="宋体"/>
          <w:color w:val="auto"/>
          <w:highlight w:val="none"/>
          <w:lang w:val="en-US" w:eastAsia="zh-CN"/>
        </w:rPr>
      </w:pPr>
    </w:p>
    <w:p w14:paraId="07FD06E4">
      <w:pPr>
        <w:rPr>
          <w:rFonts w:hint="eastAsia" w:ascii="宋体" w:hAnsi="宋体" w:eastAsia="宋体" w:cs="宋体"/>
          <w:color w:val="auto"/>
          <w:highlight w:val="none"/>
          <w:lang w:val="en-US" w:eastAsia="zh-CN"/>
        </w:rPr>
      </w:pPr>
    </w:p>
    <w:p w14:paraId="20459D5C">
      <w:pPr>
        <w:rPr>
          <w:rFonts w:hint="eastAsia" w:ascii="宋体" w:hAnsi="宋体" w:eastAsia="宋体" w:cs="宋体"/>
          <w:color w:val="auto"/>
          <w:highlight w:val="none"/>
          <w:lang w:val="en-US" w:eastAsia="zh-CN"/>
        </w:rPr>
      </w:pPr>
    </w:p>
    <w:p w14:paraId="17824342">
      <w:pPr>
        <w:rPr>
          <w:rFonts w:hint="eastAsia" w:ascii="宋体" w:hAnsi="宋体" w:eastAsia="宋体" w:cs="宋体"/>
          <w:color w:val="auto"/>
          <w:highlight w:val="none"/>
          <w:lang w:val="en-US" w:eastAsia="zh-CN"/>
        </w:rPr>
      </w:pPr>
    </w:p>
    <w:p w14:paraId="49AABE74">
      <w:pPr>
        <w:rPr>
          <w:rFonts w:hint="eastAsia" w:ascii="宋体" w:hAnsi="宋体" w:eastAsia="宋体" w:cs="宋体"/>
          <w:color w:val="auto"/>
          <w:highlight w:val="none"/>
          <w:lang w:val="en-US" w:eastAsia="zh-CN"/>
        </w:rPr>
      </w:pPr>
    </w:p>
    <w:p w14:paraId="6E4D7C74">
      <w:pPr>
        <w:pStyle w:val="31"/>
        <w:rPr>
          <w:rFonts w:hint="eastAsia" w:ascii="宋体" w:hAnsi="宋体" w:eastAsia="宋体" w:cs="宋体"/>
          <w:color w:val="auto"/>
          <w:highlight w:val="none"/>
          <w:lang w:val="en-US" w:eastAsia="zh-CN"/>
        </w:rPr>
      </w:pPr>
    </w:p>
    <w:p w14:paraId="0DDEDAD7">
      <w:pPr>
        <w:pStyle w:val="31"/>
        <w:rPr>
          <w:rFonts w:hint="eastAsia" w:ascii="宋体" w:hAnsi="宋体" w:eastAsia="宋体" w:cs="宋体"/>
          <w:color w:val="auto"/>
          <w:highlight w:val="none"/>
          <w:lang w:val="en-US" w:eastAsia="zh-CN"/>
        </w:rPr>
      </w:pPr>
    </w:p>
    <w:p w14:paraId="0F8C5E60">
      <w:pPr>
        <w:pStyle w:val="31"/>
        <w:rPr>
          <w:rFonts w:hint="eastAsia" w:ascii="宋体" w:hAnsi="宋体" w:eastAsia="宋体" w:cs="宋体"/>
          <w:color w:val="auto"/>
          <w:highlight w:val="none"/>
          <w:lang w:val="en-US" w:eastAsia="zh-CN"/>
        </w:rPr>
      </w:pPr>
    </w:p>
    <w:p w14:paraId="41A2B512">
      <w:pPr>
        <w:spacing w:line="600" w:lineRule="auto"/>
        <w:ind w:firstLine="602" w:firstLineChars="200"/>
        <w:jc w:val="center"/>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lang w:val="en-US" w:eastAsia="zh-CN"/>
        </w:rPr>
        <w:t>采  购  人</w:t>
      </w:r>
      <w:r>
        <w:rPr>
          <w:rFonts w:hint="eastAsia" w:ascii="宋体" w:hAnsi="宋体" w:eastAsia="宋体" w:cs="宋体"/>
          <w:b/>
          <w:color w:val="auto"/>
          <w:sz w:val="30"/>
          <w:szCs w:val="30"/>
          <w:highlight w:val="none"/>
          <w:lang w:eastAsia="zh-CN"/>
        </w:rPr>
        <w:t>：</w:t>
      </w:r>
      <w:r>
        <w:rPr>
          <w:rFonts w:hint="eastAsia" w:ascii="宋体" w:hAnsi="宋体" w:cs="宋体"/>
          <w:b/>
          <w:color w:val="auto"/>
          <w:sz w:val="30"/>
          <w:szCs w:val="30"/>
          <w:highlight w:val="none"/>
          <w:lang w:eastAsia="zh-CN"/>
        </w:rPr>
        <w:t>长武县住房和城乡建设局</w:t>
      </w:r>
    </w:p>
    <w:p w14:paraId="0F3C844D">
      <w:pPr>
        <w:spacing w:line="600" w:lineRule="auto"/>
        <w:ind w:firstLine="602" w:firstLineChars="200"/>
        <w:jc w:val="cente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0"/>
          <w:szCs w:val="30"/>
          <w:highlight w:val="none"/>
          <w:lang w:val="en-US" w:eastAsia="zh-CN"/>
        </w:rPr>
        <w:t>采购</w:t>
      </w:r>
      <w:r>
        <w:rPr>
          <w:rFonts w:hint="eastAsia" w:ascii="宋体" w:hAnsi="宋体" w:eastAsia="宋体" w:cs="宋体"/>
          <w:b/>
          <w:color w:val="auto"/>
          <w:sz w:val="30"/>
          <w:szCs w:val="30"/>
          <w:highlight w:val="none"/>
          <w:lang w:eastAsia="zh-CN"/>
        </w:rPr>
        <w:t>代理机构：亿诚建设项目管理有限公司</w:t>
      </w:r>
    </w:p>
    <w:p w14:paraId="5D7AA057">
      <w:pPr>
        <w:spacing w:line="600" w:lineRule="auto"/>
        <w:jc w:val="center"/>
        <w:rPr>
          <w:ins w:id="0" w:author="Z" w:date="2026-05-09T17:18:18Z"/>
          <w:rFonts w:hint="eastAsia"/>
        </w:rPr>
      </w:pPr>
      <w:r>
        <w:rPr>
          <w:rFonts w:hint="eastAsia" w:ascii="宋体" w:hAnsi="宋体" w:eastAsia="宋体" w:cs="宋体"/>
          <w:b/>
          <w:color w:val="auto"/>
          <w:sz w:val="32"/>
          <w:szCs w:val="32"/>
          <w:highlight w:val="none"/>
        </w:rPr>
        <w:t>二○二</w:t>
      </w:r>
      <w:r>
        <w:rPr>
          <w:rFonts w:hint="eastAsia" w:ascii="宋体" w:hAnsi="宋体" w:cs="宋体"/>
          <w:b/>
          <w:color w:val="auto"/>
          <w:sz w:val="32"/>
          <w:szCs w:val="32"/>
          <w:highlight w:val="none"/>
          <w:lang w:val="en-US" w:eastAsia="zh-CN"/>
        </w:rPr>
        <w:t>六</w:t>
      </w:r>
      <w:r>
        <w:rPr>
          <w:rFonts w:hint="eastAsia" w:ascii="宋体" w:hAnsi="宋体" w:eastAsia="宋体" w:cs="宋体"/>
          <w:b/>
          <w:color w:val="auto"/>
          <w:sz w:val="32"/>
          <w:szCs w:val="32"/>
          <w:highlight w:val="none"/>
        </w:rPr>
        <w:t>年</w:t>
      </w:r>
      <w:r>
        <w:rPr>
          <w:rFonts w:hint="eastAsia" w:ascii="宋体" w:hAnsi="宋体" w:cs="宋体"/>
          <w:b/>
          <w:color w:val="auto"/>
          <w:sz w:val="32"/>
          <w:szCs w:val="32"/>
          <w:highlight w:val="none"/>
          <w:lang w:val="en-US" w:eastAsia="zh-CN"/>
        </w:rPr>
        <w:t>四</w:t>
      </w:r>
      <w:r>
        <w:rPr>
          <w:rFonts w:hint="eastAsia" w:ascii="宋体" w:hAnsi="宋体" w:eastAsia="宋体" w:cs="宋体"/>
          <w:b/>
          <w:color w:val="auto"/>
          <w:sz w:val="32"/>
          <w:szCs w:val="32"/>
          <w:highlight w:val="none"/>
        </w:rPr>
        <w:t>月</w:t>
      </w:r>
    </w:p>
    <w:p w14:paraId="1D2C7B34">
      <w:pPr>
        <w:rPr>
          <w:rFonts w:hint="eastAsia"/>
        </w:rPr>
        <w:sectPr>
          <w:headerReference r:id="rId4" w:type="first"/>
          <w:footerReference r:id="rId6" w:type="first"/>
          <w:headerReference r:id="rId3" w:type="default"/>
          <w:footerReference r:id="rId5" w:type="default"/>
          <w:pgSz w:w="11906" w:h="16838"/>
          <w:pgMar w:top="1440" w:right="1588" w:bottom="1440" w:left="1588" w:header="851" w:footer="765" w:gutter="0"/>
          <w:pgNumType w:fmt="decimal" w:start="1"/>
          <w:cols w:space="720" w:num="1"/>
          <w:titlePg/>
          <w:docGrid w:type="lines" w:linePitch="312" w:charSpace="0"/>
        </w:sectPr>
      </w:pPr>
    </w:p>
    <w:p w14:paraId="2EFFCD3A">
      <w:pPr>
        <w:pStyle w:val="18"/>
        <w:rPr>
          <w:rFonts w:hint="eastAsia" w:ascii="宋体" w:hAnsi="宋体" w:eastAsia="宋体" w:cs="宋体"/>
          <w:b/>
          <w:color w:val="auto"/>
          <w:kern w:val="0"/>
          <w:sz w:val="36"/>
          <w:highlight w:val="none"/>
          <w:lang w:val="en-US" w:eastAsia="zh-CN" w:bidi="ar-SA"/>
        </w:rPr>
      </w:pPr>
    </w:p>
    <w:p w14:paraId="70F9DDF3">
      <w:pPr>
        <w:pStyle w:val="16"/>
        <w:rPr>
          <w:rFonts w:hint="eastAsia" w:ascii="宋体" w:hAnsi="宋体" w:eastAsia="宋体" w:cs="宋体"/>
          <w:color w:val="auto"/>
          <w:highlight w:val="none"/>
          <w:lang w:val="en-US" w:eastAsia="zh-CN"/>
        </w:rPr>
      </w:pPr>
    </w:p>
    <w:p w14:paraId="4F413640">
      <w:pPr>
        <w:spacing w:line="480" w:lineRule="auto"/>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目   录</w:t>
      </w:r>
    </w:p>
    <w:p w14:paraId="1ABC921D">
      <w:pPr>
        <w:rPr>
          <w:rFonts w:hint="eastAsia" w:ascii="宋体" w:hAnsi="宋体" w:eastAsia="宋体" w:cs="宋体"/>
          <w:b/>
          <w:color w:val="auto"/>
          <w:sz w:val="28"/>
          <w:szCs w:val="24"/>
          <w:highlight w:val="none"/>
        </w:rPr>
      </w:pPr>
    </w:p>
    <w:p w14:paraId="6BCFCA7A">
      <w:pPr>
        <w:keepNext w:val="0"/>
        <w:keepLines w:val="0"/>
        <w:pageBreakBefore w:val="0"/>
        <w:widowControl w:val="0"/>
        <w:kinsoku/>
        <w:wordWrap/>
        <w:overflowPunct/>
        <w:topLinePunct w:val="0"/>
        <w:autoSpaceDE/>
        <w:autoSpaceDN/>
        <w:bidi w:val="0"/>
        <w:adjustRightInd/>
        <w:snapToGrid/>
        <w:spacing w:line="960" w:lineRule="auto"/>
        <w:ind w:firstLine="1920" w:firstLineChars="600"/>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第一章   竞争性磋商公告</w:t>
      </w:r>
    </w:p>
    <w:p w14:paraId="3804D6BF">
      <w:pPr>
        <w:keepNext w:val="0"/>
        <w:keepLines w:val="0"/>
        <w:pageBreakBefore w:val="0"/>
        <w:widowControl w:val="0"/>
        <w:kinsoku/>
        <w:wordWrap/>
        <w:overflowPunct/>
        <w:topLinePunct w:val="0"/>
        <w:autoSpaceDE/>
        <w:autoSpaceDN/>
        <w:bidi w:val="0"/>
        <w:adjustRightInd/>
        <w:snapToGrid/>
        <w:spacing w:line="960" w:lineRule="auto"/>
        <w:ind w:firstLine="1920" w:firstLineChars="600"/>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第二章   供应商须知及前附表</w:t>
      </w:r>
    </w:p>
    <w:p w14:paraId="77E0E974">
      <w:pPr>
        <w:keepNext w:val="0"/>
        <w:keepLines w:val="0"/>
        <w:pageBreakBefore w:val="0"/>
        <w:widowControl w:val="0"/>
        <w:kinsoku/>
        <w:wordWrap/>
        <w:overflowPunct/>
        <w:topLinePunct w:val="0"/>
        <w:autoSpaceDE/>
        <w:autoSpaceDN/>
        <w:bidi w:val="0"/>
        <w:adjustRightInd/>
        <w:snapToGrid/>
        <w:spacing w:line="960" w:lineRule="auto"/>
        <w:ind w:firstLine="1920" w:firstLineChars="600"/>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第三章   采购内容及要求</w:t>
      </w:r>
    </w:p>
    <w:p w14:paraId="6FC68F85">
      <w:pPr>
        <w:keepNext w:val="0"/>
        <w:keepLines w:val="0"/>
        <w:pageBreakBefore w:val="0"/>
        <w:widowControl w:val="0"/>
        <w:kinsoku/>
        <w:wordWrap/>
        <w:overflowPunct/>
        <w:topLinePunct w:val="0"/>
        <w:autoSpaceDE/>
        <w:autoSpaceDN/>
        <w:bidi w:val="0"/>
        <w:adjustRightInd/>
        <w:snapToGrid/>
        <w:spacing w:line="960" w:lineRule="auto"/>
        <w:ind w:firstLine="1920" w:firstLineChars="600"/>
        <w:textAlignment w:val="auto"/>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rPr>
        <w:t>第四章   合同格式及主要</w:t>
      </w:r>
      <w:r>
        <w:rPr>
          <w:rFonts w:hint="eastAsia" w:ascii="宋体" w:hAnsi="宋体" w:eastAsia="宋体" w:cs="宋体"/>
          <w:color w:val="auto"/>
          <w:sz w:val="32"/>
          <w:szCs w:val="32"/>
          <w:highlight w:val="none"/>
          <w:lang w:val="en-US" w:eastAsia="zh-CN"/>
        </w:rPr>
        <w:t>条款</w:t>
      </w:r>
    </w:p>
    <w:p w14:paraId="6D5BC22F">
      <w:pPr>
        <w:keepNext w:val="0"/>
        <w:keepLines w:val="0"/>
        <w:pageBreakBefore w:val="0"/>
        <w:widowControl w:val="0"/>
        <w:kinsoku/>
        <w:wordWrap/>
        <w:overflowPunct/>
        <w:topLinePunct w:val="0"/>
        <w:autoSpaceDE/>
        <w:autoSpaceDN/>
        <w:bidi w:val="0"/>
        <w:adjustRightInd/>
        <w:snapToGrid/>
        <w:spacing w:line="960" w:lineRule="auto"/>
        <w:ind w:firstLine="1920" w:firstLineChars="600"/>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第五章   磋商响应文件格式</w:t>
      </w:r>
    </w:p>
    <w:p w14:paraId="08164653">
      <w:pPr>
        <w:pStyle w:val="2"/>
        <w:rPr>
          <w:rFonts w:hint="eastAsia"/>
          <w:lang w:val="en-US" w:eastAsia="zh-CN"/>
        </w:rPr>
      </w:pPr>
    </w:p>
    <w:p w14:paraId="6B7B4AD0">
      <w:pPr>
        <w:spacing w:line="600" w:lineRule="auto"/>
        <w:jc w:val="center"/>
        <w:rPr>
          <w:rFonts w:hint="eastAsia" w:ascii="宋体" w:hAnsi="宋体" w:eastAsia="宋体" w:cs="宋体"/>
          <w:b/>
          <w:color w:val="auto"/>
          <w:sz w:val="28"/>
          <w:szCs w:val="28"/>
          <w:highlight w:val="none"/>
        </w:rPr>
        <w:sectPr>
          <w:footerReference r:id="rId8" w:type="first"/>
          <w:footerReference r:id="rId7" w:type="default"/>
          <w:pgSz w:w="11906" w:h="16838"/>
          <w:pgMar w:top="1440" w:right="1588" w:bottom="1440" w:left="1588" w:header="851" w:footer="765" w:gutter="0"/>
          <w:pgNumType w:fmt="decimal" w:start="2"/>
          <w:cols w:space="720" w:num="1"/>
          <w:docGrid w:type="lines" w:linePitch="312" w:charSpace="0"/>
        </w:sectPr>
      </w:pPr>
    </w:p>
    <w:p w14:paraId="575E0FEE">
      <w:pPr>
        <w:pStyle w:val="33"/>
        <w:jc w:val="center"/>
        <w:rPr>
          <w:rFonts w:hint="eastAsia" w:ascii="宋体" w:hAnsi="宋体" w:eastAsia="宋体" w:cs="宋体"/>
          <w:b/>
          <w:color w:val="auto"/>
          <w:sz w:val="32"/>
          <w:szCs w:val="32"/>
          <w:highlight w:val="none"/>
        </w:rPr>
      </w:pPr>
      <w:r>
        <w:rPr>
          <w:rFonts w:hint="eastAsia" w:ascii="宋体" w:hAnsi="宋体" w:eastAsia="宋体" w:cs="宋体"/>
          <w:b/>
          <w:color w:val="auto"/>
          <w:sz w:val="30"/>
          <w:szCs w:val="30"/>
          <w:highlight w:val="none"/>
        </w:rPr>
        <w:t>第一章  竞争性磋商公告</w:t>
      </w:r>
    </w:p>
    <w:p w14:paraId="600BA299">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项目概况</w:t>
      </w:r>
    </w:p>
    <w:p w14:paraId="4567F813">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长武县城区摆放时令鲜花项目</w:t>
      </w:r>
      <w:r>
        <w:rPr>
          <w:rFonts w:hint="eastAsia" w:ascii="宋体" w:hAnsi="宋体" w:eastAsia="宋体" w:cs="宋体"/>
          <w:b w:val="0"/>
          <w:bCs w:val="0"/>
          <w:color w:val="auto"/>
          <w:sz w:val="24"/>
          <w:szCs w:val="24"/>
          <w:highlight w:val="none"/>
          <w:lang w:val="en-US" w:eastAsia="zh-CN"/>
        </w:rPr>
        <w:t>的潜在供应商应在陕西省西安市高新区丈八五路高科尚都ONE尚城A座10F获取竞争性磋商文件，并于202</w:t>
      </w:r>
      <w:r>
        <w:rPr>
          <w:rFonts w:hint="eastAsia" w:ascii="宋体" w:hAnsi="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lang w:val="en-US" w:eastAsia="zh-CN"/>
        </w:rPr>
        <w:t>年</w:t>
      </w:r>
      <w:r>
        <w:rPr>
          <w:rFonts w:hint="eastAsia" w:ascii="宋体" w:hAnsi="宋体" w:cs="宋体"/>
          <w:b w:val="0"/>
          <w:bCs w:val="0"/>
          <w:color w:val="auto"/>
          <w:sz w:val="24"/>
          <w:szCs w:val="24"/>
          <w:highlight w:val="none"/>
          <w:lang w:val="en-US" w:eastAsia="zh-CN"/>
        </w:rPr>
        <w:t>05</w:t>
      </w:r>
      <w:r>
        <w:rPr>
          <w:rFonts w:hint="eastAsia" w:ascii="宋体" w:hAnsi="宋体" w:eastAsia="宋体" w:cs="宋体"/>
          <w:b w:val="0"/>
          <w:bCs w:val="0"/>
          <w:color w:val="auto"/>
          <w:sz w:val="24"/>
          <w:szCs w:val="24"/>
          <w:highlight w:val="none"/>
          <w:lang w:val="en-US" w:eastAsia="zh-CN"/>
        </w:rPr>
        <w:t>月</w:t>
      </w:r>
      <w:r>
        <w:rPr>
          <w:rFonts w:hint="eastAsia" w:ascii="宋体" w:hAnsi="宋体" w:cs="宋体"/>
          <w:b w:val="0"/>
          <w:bCs w:val="0"/>
          <w:color w:val="auto"/>
          <w:sz w:val="24"/>
          <w:szCs w:val="24"/>
          <w:highlight w:val="none"/>
          <w:lang w:val="en-US" w:eastAsia="zh-CN"/>
        </w:rPr>
        <w:t>08</w:t>
      </w:r>
      <w:r>
        <w:rPr>
          <w:rFonts w:hint="eastAsia" w:ascii="宋体" w:hAnsi="宋体" w:eastAsia="宋体" w:cs="宋体"/>
          <w:b w:val="0"/>
          <w:bCs w:val="0"/>
          <w:color w:val="auto"/>
          <w:sz w:val="24"/>
          <w:szCs w:val="24"/>
          <w:highlight w:val="none"/>
          <w:lang w:val="en-US" w:eastAsia="zh-CN"/>
        </w:rPr>
        <w:t>日</w:t>
      </w:r>
      <w:r>
        <w:rPr>
          <w:rFonts w:hint="eastAsia" w:ascii="宋体" w:hAnsi="宋体" w:cs="宋体"/>
          <w:b w:val="0"/>
          <w:bCs w:val="0"/>
          <w:color w:val="auto"/>
          <w:sz w:val="24"/>
          <w:szCs w:val="24"/>
          <w:highlight w:val="none"/>
          <w:lang w:val="en-US" w:eastAsia="zh-CN"/>
        </w:rPr>
        <w:t>14</w:t>
      </w:r>
      <w:r>
        <w:rPr>
          <w:rFonts w:hint="eastAsia" w:ascii="宋体" w:hAnsi="宋体" w:eastAsia="宋体" w:cs="宋体"/>
          <w:b w:val="0"/>
          <w:bCs w:val="0"/>
          <w:color w:val="auto"/>
          <w:sz w:val="24"/>
          <w:szCs w:val="24"/>
          <w:highlight w:val="none"/>
          <w:lang w:val="en-US" w:eastAsia="zh-CN"/>
        </w:rPr>
        <w:t>时</w:t>
      </w:r>
      <w:r>
        <w:rPr>
          <w:rFonts w:hint="eastAsia" w:ascii="宋体" w:hAnsi="宋体" w:cs="宋体"/>
          <w:b w:val="0"/>
          <w:bCs w:val="0"/>
          <w:color w:val="auto"/>
          <w:sz w:val="24"/>
          <w:szCs w:val="24"/>
          <w:highlight w:val="none"/>
          <w:lang w:val="en-US" w:eastAsia="zh-CN"/>
        </w:rPr>
        <w:t>30</w:t>
      </w:r>
      <w:r>
        <w:rPr>
          <w:rFonts w:hint="eastAsia" w:ascii="宋体" w:hAnsi="宋体" w:eastAsia="宋体" w:cs="宋体"/>
          <w:b w:val="0"/>
          <w:bCs w:val="0"/>
          <w:color w:val="auto"/>
          <w:sz w:val="24"/>
          <w:szCs w:val="24"/>
          <w:highlight w:val="none"/>
          <w:lang w:val="en-US" w:eastAsia="zh-CN"/>
        </w:rPr>
        <w:t>分（北京时间）前递交竞争性磋商响应文件。</w:t>
      </w:r>
    </w:p>
    <w:p w14:paraId="5BC0E36B">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一、项目基本情况</w:t>
      </w:r>
    </w:p>
    <w:p w14:paraId="5A0D34FF">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项目编号：</w:t>
      </w:r>
      <w:r>
        <w:rPr>
          <w:rFonts w:hint="eastAsia" w:ascii="宋体" w:hAnsi="宋体" w:cs="宋体"/>
          <w:color w:val="auto"/>
          <w:spacing w:val="4"/>
          <w:sz w:val="24"/>
          <w:szCs w:val="24"/>
          <w:highlight w:val="none"/>
          <w:lang w:val="en-US" w:eastAsia="zh-CN"/>
        </w:rPr>
        <w:t>YC26001016（CGP）</w:t>
      </w:r>
    </w:p>
    <w:p w14:paraId="0C24D14D">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项目名称：</w:t>
      </w:r>
      <w:r>
        <w:rPr>
          <w:rFonts w:hint="eastAsia" w:ascii="宋体" w:hAnsi="宋体" w:cs="宋体"/>
          <w:b w:val="0"/>
          <w:bCs w:val="0"/>
          <w:color w:val="auto"/>
          <w:sz w:val="24"/>
          <w:szCs w:val="24"/>
          <w:highlight w:val="none"/>
          <w:lang w:val="en-US" w:eastAsia="zh-CN"/>
        </w:rPr>
        <w:t>长武县城区摆放时令鲜花项目</w:t>
      </w:r>
    </w:p>
    <w:p w14:paraId="6265594E">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采购方式：竞争性磋商</w:t>
      </w:r>
    </w:p>
    <w:p w14:paraId="5F0F8B64">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预算金额：</w:t>
      </w:r>
      <w:r>
        <w:rPr>
          <w:rFonts w:hint="eastAsia" w:ascii="宋体" w:hAnsi="宋体" w:cs="宋体"/>
          <w:b w:val="0"/>
          <w:bCs w:val="0"/>
          <w:color w:val="auto"/>
          <w:sz w:val="24"/>
          <w:szCs w:val="24"/>
          <w:highlight w:val="none"/>
          <w:lang w:val="en-US" w:eastAsia="zh-CN"/>
        </w:rPr>
        <w:t>1500000</w:t>
      </w:r>
      <w:r>
        <w:rPr>
          <w:rFonts w:hint="eastAsia" w:ascii="宋体" w:hAnsi="宋体" w:eastAsia="宋体" w:cs="宋体"/>
          <w:b w:val="0"/>
          <w:bCs w:val="0"/>
          <w:color w:val="auto"/>
          <w:sz w:val="24"/>
          <w:szCs w:val="24"/>
          <w:highlight w:val="none"/>
          <w:lang w:val="en-US" w:eastAsia="zh-CN"/>
        </w:rPr>
        <w:t>.00元</w:t>
      </w:r>
    </w:p>
    <w:p w14:paraId="7AADE2BD">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采购需求：</w:t>
      </w:r>
    </w:p>
    <w:p w14:paraId="01D13DEC">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合同包1(</w:t>
      </w:r>
      <w:r>
        <w:rPr>
          <w:rFonts w:hint="eastAsia" w:ascii="宋体" w:hAnsi="宋体" w:cs="宋体"/>
          <w:b w:val="0"/>
          <w:bCs w:val="0"/>
          <w:color w:val="auto"/>
          <w:sz w:val="24"/>
          <w:szCs w:val="24"/>
          <w:highlight w:val="none"/>
          <w:lang w:val="en-US" w:eastAsia="zh-CN"/>
        </w:rPr>
        <w:t>长武县城区摆放时令鲜花项目</w:t>
      </w:r>
      <w:r>
        <w:rPr>
          <w:rFonts w:hint="eastAsia" w:ascii="宋体" w:hAnsi="宋体" w:eastAsia="宋体" w:cs="宋体"/>
          <w:b w:val="0"/>
          <w:bCs w:val="0"/>
          <w:color w:val="auto"/>
          <w:sz w:val="24"/>
          <w:szCs w:val="24"/>
          <w:highlight w:val="none"/>
          <w:lang w:val="en-US" w:eastAsia="zh-CN"/>
        </w:rPr>
        <w:t>):</w:t>
      </w:r>
    </w:p>
    <w:p w14:paraId="73D6408F">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合同包预算金额：</w:t>
      </w:r>
      <w:r>
        <w:rPr>
          <w:rFonts w:hint="eastAsia" w:ascii="宋体" w:hAnsi="宋体" w:cs="宋体"/>
          <w:b w:val="0"/>
          <w:bCs w:val="0"/>
          <w:color w:val="auto"/>
          <w:sz w:val="24"/>
          <w:szCs w:val="24"/>
          <w:highlight w:val="none"/>
          <w:lang w:val="en-US" w:eastAsia="zh-CN"/>
        </w:rPr>
        <w:t>1500000</w:t>
      </w:r>
      <w:r>
        <w:rPr>
          <w:rFonts w:hint="eastAsia" w:ascii="宋体" w:hAnsi="宋体" w:eastAsia="宋体" w:cs="宋体"/>
          <w:b w:val="0"/>
          <w:bCs w:val="0"/>
          <w:color w:val="auto"/>
          <w:sz w:val="24"/>
          <w:szCs w:val="24"/>
          <w:highlight w:val="none"/>
          <w:lang w:val="en-US" w:eastAsia="zh-CN"/>
        </w:rPr>
        <w:t>.00元</w:t>
      </w:r>
    </w:p>
    <w:p w14:paraId="066F59D7">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合同包最高限价：</w:t>
      </w:r>
      <w:r>
        <w:rPr>
          <w:rFonts w:hint="eastAsia" w:ascii="宋体" w:hAnsi="宋体" w:cs="宋体"/>
          <w:b w:val="0"/>
          <w:bCs w:val="0"/>
          <w:color w:val="auto"/>
          <w:sz w:val="24"/>
          <w:szCs w:val="24"/>
          <w:highlight w:val="none"/>
          <w:lang w:val="en-US" w:eastAsia="zh-CN"/>
        </w:rPr>
        <w:t>1500000</w:t>
      </w:r>
      <w:r>
        <w:rPr>
          <w:rFonts w:hint="eastAsia" w:ascii="宋体" w:hAnsi="宋体" w:eastAsia="宋体" w:cs="宋体"/>
          <w:b w:val="0"/>
          <w:bCs w:val="0"/>
          <w:color w:val="auto"/>
          <w:sz w:val="24"/>
          <w:szCs w:val="24"/>
          <w:highlight w:val="none"/>
          <w:lang w:val="en-US" w:eastAsia="zh-CN"/>
        </w:rPr>
        <w:t>.00元</w:t>
      </w:r>
    </w:p>
    <w:tbl>
      <w:tblPr>
        <w:tblStyle w:val="28"/>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293"/>
        <w:gridCol w:w="1778"/>
        <w:gridCol w:w="1111"/>
        <w:gridCol w:w="1491"/>
        <w:gridCol w:w="1371"/>
        <w:gridCol w:w="1345"/>
      </w:tblGrid>
      <w:tr w14:paraId="1CC0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848" w:type="dxa"/>
            <w:noWrap w:val="0"/>
            <w:vAlign w:val="center"/>
          </w:tcPr>
          <w:p w14:paraId="74E674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leftChars="0" w:right="0" w:right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i w:val="0"/>
                <w:iCs w:val="0"/>
                <w:caps w:val="0"/>
                <w:color w:val="auto"/>
                <w:spacing w:val="0"/>
                <w:kern w:val="0"/>
                <w:sz w:val="24"/>
                <w:szCs w:val="24"/>
                <w:highlight w:val="none"/>
                <w:lang w:val="en-US" w:eastAsia="zh-CN" w:bidi="ar"/>
              </w:rPr>
              <w:t>品目号</w:t>
            </w:r>
          </w:p>
        </w:tc>
        <w:tc>
          <w:tcPr>
            <w:tcW w:w="1293" w:type="dxa"/>
            <w:noWrap w:val="0"/>
            <w:vAlign w:val="center"/>
          </w:tcPr>
          <w:p w14:paraId="2032A0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leftChars="0" w:right="0" w:right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i w:val="0"/>
                <w:iCs w:val="0"/>
                <w:caps w:val="0"/>
                <w:color w:val="auto"/>
                <w:spacing w:val="0"/>
                <w:kern w:val="0"/>
                <w:sz w:val="24"/>
                <w:szCs w:val="24"/>
                <w:highlight w:val="none"/>
                <w:lang w:val="en-US" w:eastAsia="zh-CN" w:bidi="ar"/>
              </w:rPr>
              <w:t>品目名称</w:t>
            </w:r>
          </w:p>
        </w:tc>
        <w:tc>
          <w:tcPr>
            <w:tcW w:w="1778" w:type="dxa"/>
            <w:noWrap w:val="0"/>
            <w:vAlign w:val="center"/>
          </w:tcPr>
          <w:p w14:paraId="6B195A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leftChars="0" w:right="0" w:right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i w:val="0"/>
                <w:iCs w:val="0"/>
                <w:caps w:val="0"/>
                <w:color w:val="auto"/>
                <w:spacing w:val="0"/>
                <w:kern w:val="0"/>
                <w:sz w:val="24"/>
                <w:szCs w:val="24"/>
                <w:highlight w:val="none"/>
                <w:lang w:val="en-US" w:eastAsia="zh-CN" w:bidi="ar"/>
              </w:rPr>
              <w:t>采购标的</w:t>
            </w:r>
          </w:p>
        </w:tc>
        <w:tc>
          <w:tcPr>
            <w:tcW w:w="1111" w:type="dxa"/>
            <w:noWrap w:val="0"/>
            <w:vAlign w:val="center"/>
          </w:tcPr>
          <w:p w14:paraId="469759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leftChars="0" w:right="0" w:rightChars="0"/>
              <w:jc w:val="center"/>
              <w:rPr>
                <w:rFonts w:hint="eastAsia" w:ascii="宋体" w:hAnsi="宋体" w:eastAsia="宋体" w:cs="宋体"/>
                <w:b w:val="0"/>
                <w:bCs w:val="0"/>
                <w:i w:val="0"/>
                <w:iCs w:val="0"/>
                <w:caps w:val="0"/>
                <w:color w:val="auto"/>
                <w:spacing w:val="0"/>
                <w:kern w:val="0"/>
                <w:sz w:val="24"/>
                <w:szCs w:val="24"/>
                <w:highlight w:val="none"/>
                <w:lang w:val="en-US" w:eastAsia="zh-CN" w:bidi="ar"/>
              </w:rPr>
            </w:pPr>
            <w:r>
              <w:rPr>
                <w:rFonts w:hint="eastAsia" w:ascii="宋体" w:hAnsi="宋体" w:eastAsia="宋体" w:cs="宋体"/>
                <w:b w:val="0"/>
                <w:bCs w:val="0"/>
                <w:i w:val="0"/>
                <w:iCs w:val="0"/>
                <w:caps w:val="0"/>
                <w:color w:val="auto"/>
                <w:spacing w:val="0"/>
                <w:kern w:val="0"/>
                <w:sz w:val="24"/>
                <w:szCs w:val="24"/>
                <w:highlight w:val="none"/>
                <w:lang w:val="en-US" w:eastAsia="zh-CN" w:bidi="ar"/>
              </w:rPr>
              <w:t>数量</w:t>
            </w:r>
          </w:p>
          <w:p w14:paraId="2869F7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leftChars="0" w:right="0" w:right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i w:val="0"/>
                <w:iCs w:val="0"/>
                <w:caps w:val="0"/>
                <w:color w:val="auto"/>
                <w:spacing w:val="0"/>
                <w:kern w:val="0"/>
                <w:sz w:val="24"/>
                <w:szCs w:val="24"/>
                <w:highlight w:val="none"/>
                <w:lang w:val="en-US" w:eastAsia="zh-CN" w:bidi="ar"/>
              </w:rPr>
              <w:t>（单位）</w:t>
            </w:r>
          </w:p>
        </w:tc>
        <w:tc>
          <w:tcPr>
            <w:tcW w:w="1491" w:type="dxa"/>
            <w:noWrap w:val="0"/>
            <w:vAlign w:val="center"/>
          </w:tcPr>
          <w:p w14:paraId="46AD7D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leftChars="0" w:right="0" w:rightChars="0"/>
              <w:jc w:val="center"/>
              <w:rPr>
                <w:rFonts w:hint="eastAsia" w:ascii="宋体" w:hAnsi="宋体" w:eastAsia="宋体" w:cs="宋体"/>
                <w:b w:val="0"/>
                <w:bCs w:val="0"/>
                <w:i w:val="0"/>
                <w:iCs w:val="0"/>
                <w:caps w:val="0"/>
                <w:color w:val="auto"/>
                <w:spacing w:val="0"/>
                <w:kern w:val="0"/>
                <w:sz w:val="24"/>
                <w:szCs w:val="24"/>
                <w:highlight w:val="none"/>
                <w:lang w:val="en-US" w:eastAsia="zh-CN" w:bidi="ar"/>
              </w:rPr>
            </w:pPr>
            <w:r>
              <w:rPr>
                <w:rFonts w:hint="eastAsia" w:ascii="宋体" w:hAnsi="宋体" w:eastAsia="宋体" w:cs="宋体"/>
                <w:b w:val="0"/>
                <w:bCs w:val="0"/>
                <w:i w:val="0"/>
                <w:iCs w:val="0"/>
                <w:caps w:val="0"/>
                <w:color w:val="auto"/>
                <w:spacing w:val="0"/>
                <w:kern w:val="0"/>
                <w:sz w:val="24"/>
                <w:szCs w:val="24"/>
                <w:highlight w:val="none"/>
                <w:lang w:val="en-US" w:eastAsia="zh-CN" w:bidi="ar"/>
              </w:rPr>
              <w:t>技术规格、</w:t>
            </w:r>
          </w:p>
          <w:p w14:paraId="059D72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leftChars="0" w:right="0" w:right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i w:val="0"/>
                <w:iCs w:val="0"/>
                <w:caps w:val="0"/>
                <w:color w:val="auto"/>
                <w:spacing w:val="0"/>
                <w:kern w:val="0"/>
                <w:sz w:val="24"/>
                <w:szCs w:val="24"/>
                <w:highlight w:val="none"/>
                <w:lang w:val="en-US" w:eastAsia="zh-CN" w:bidi="ar"/>
              </w:rPr>
              <w:t>参数及要求</w:t>
            </w:r>
          </w:p>
        </w:tc>
        <w:tc>
          <w:tcPr>
            <w:tcW w:w="1371" w:type="dxa"/>
            <w:noWrap w:val="0"/>
            <w:vAlign w:val="center"/>
          </w:tcPr>
          <w:p w14:paraId="2E7873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leftChars="0" w:right="0" w:rightChars="0"/>
              <w:jc w:val="center"/>
              <w:rPr>
                <w:rFonts w:hint="eastAsia" w:ascii="宋体" w:hAnsi="宋体" w:eastAsia="宋体" w:cs="宋体"/>
                <w:b w:val="0"/>
                <w:bCs w:val="0"/>
                <w:i w:val="0"/>
                <w:iCs w:val="0"/>
                <w:caps w:val="0"/>
                <w:color w:val="auto"/>
                <w:spacing w:val="0"/>
                <w:kern w:val="0"/>
                <w:sz w:val="24"/>
                <w:szCs w:val="24"/>
                <w:highlight w:val="none"/>
                <w:lang w:val="en-US" w:eastAsia="zh-CN" w:bidi="ar"/>
              </w:rPr>
            </w:pPr>
            <w:r>
              <w:rPr>
                <w:rFonts w:hint="eastAsia" w:ascii="宋体" w:hAnsi="宋体" w:eastAsia="宋体" w:cs="宋体"/>
                <w:b w:val="0"/>
                <w:bCs w:val="0"/>
                <w:i w:val="0"/>
                <w:iCs w:val="0"/>
                <w:caps w:val="0"/>
                <w:color w:val="auto"/>
                <w:spacing w:val="0"/>
                <w:kern w:val="0"/>
                <w:sz w:val="24"/>
                <w:szCs w:val="24"/>
                <w:highlight w:val="none"/>
                <w:lang w:val="en-US" w:eastAsia="zh-CN" w:bidi="ar"/>
              </w:rPr>
              <w:t>品目预算</w:t>
            </w:r>
          </w:p>
          <w:p w14:paraId="7FEB77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leftChars="0" w:right="0" w:right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i w:val="0"/>
                <w:iCs w:val="0"/>
                <w:caps w:val="0"/>
                <w:color w:val="auto"/>
                <w:spacing w:val="0"/>
                <w:kern w:val="0"/>
                <w:sz w:val="24"/>
                <w:szCs w:val="24"/>
                <w:highlight w:val="none"/>
                <w:lang w:val="en-US" w:eastAsia="zh-CN" w:bidi="ar"/>
              </w:rPr>
              <w:t>(元)</w:t>
            </w:r>
          </w:p>
        </w:tc>
        <w:tc>
          <w:tcPr>
            <w:tcW w:w="1345" w:type="dxa"/>
            <w:noWrap w:val="0"/>
            <w:vAlign w:val="center"/>
          </w:tcPr>
          <w:p w14:paraId="108F09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leftChars="0" w:right="0" w:rightChars="0"/>
              <w:jc w:val="center"/>
              <w:rPr>
                <w:rFonts w:hint="eastAsia" w:ascii="宋体" w:hAnsi="宋体" w:eastAsia="宋体" w:cs="宋体"/>
                <w:b w:val="0"/>
                <w:bCs w:val="0"/>
                <w:i w:val="0"/>
                <w:iCs w:val="0"/>
                <w:caps w:val="0"/>
                <w:color w:val="auto"/>
                <w:spacing w:val="0"/>
                <w:kern w:val="0"/>
                <w:sz w:val="24"/>
                <w:szCs w:val="24"/>
                <w:highlight w:val="none"/>
                <w:lang w:val="en-US" w:eastAsia="zh-CN" w:bidi="ar"/>
              </w:rPr>
            </w:pPr>
            <w:r>
              <w:rPr>
                <w:rFonts w:hint="eastAsia" w:ascii="宋体" w:hAnsi="宋体" w:eastAsia="宋体" w:cs="宋体"/>
                <w:b w:val="0"/>
                <w:bCs w:val="0"/>
                <w:i w:val="0"/>
                <w:iCs w:val="0"/>
                <w:caps w:val="0"/>
                <w:color w:val="auto"/>
                <w:spacing w:val="0"/>
                <w:kern w:val="0"/>
                <w:sz w:val="24"/>
                <w:szCs w:val="24"/>
                <w:highlight w:val="none"/>
                <w:lang w:val="en-US" w:eastAsia="zh-CN" w:bidi="ar"/>
              </w:rPr>
              <w:t>最高限价</w:t>
            </w:r>
          </w:p>
          <w:p w14:paraId="13B0C6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leftChars="0" w:right="0" w:rightChars="0"/>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i w:val="0"/>
                <w:iCs w:val="0"/>
                <w:caps w:val="0"/>
                <w:color w:val="auto"/>
                <w:spacing w:val="0"/>
                <w:kern w:val="0"/>
                <w:sz w:val="24"/>
                <w:szCs w:val="24"/>
                <w:highlight w:val="none"/>
                <w:lang w:val="en-US" w:eastAsia="zh-CN" w:bidi="ar"/>
              </w:rPr>
              <w:t>(元)</w:t>
            </w:r>
          </w:p>
        </w:tc>
      </w:tr>
      <w:tr w14:paraId="2DA8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848" w:type="dxa"/>
            <w:noWrap w:val="0"/>
            <w:vAlign w:val="center"/>
          </w:tcPr>
          <w:p w14:paraId="09E153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b w:val="0"/>
                <w:bCs w:val="0"/>
                <w:i w:val="0"/>
                <w:iCs w:val="0"/>
                <w:caps w:val="0"/>
                <w:color w:val="auto"/>
                <w:spacing w:val="0"/>
                <w:kern w:val="0"/>
                <w:sz w:val="24"/>
                <w:szCs w:val="24"/>
                <w:highlight w:val="none"/>
                <w:lang w:val="en-US" w:eastAsia="zh-CN" w:bidi="ar"/>
              </w:rPr>
            </w:pPr>
            <w:r>
              <w:rPr>
                <w:rFonts w:hint="eastAsia" w:ascii="宋体" w:hAnsi="宋体" w:eastAsia="宋体" w:cs="宋体"/>
                <w:b w:val="0"/>
                <w:bCs w:val="0"/>
                <w:i w:val="0"/>
                <w:iCs w:val="0"/>
                <w:caps w:val="0"/>
                <w:color w:val="auto"/>
                <w:spacing w:val="0"/>
                <w:kern w:val="0"/>
                <w:sz w:val="24"/>
                <w:szCs w:val="24"/>
                <w:highlight w:val="none"/>
                <w:lang w:val="en-US" w:eastAsia="zh-CN" w:bidi="ar"/>
              </w:rPr>
              <w:t>1-1</w:t>
            </w:r>
          </w:p>
        </w:tc>
        <w:tc>
          <w:tcPr>
            <w:tcW w:w="1293" w:type="dxa"/>
            <w:noWrap w:val="0"/>
            <w:vAlign w:val="center"/>
          </w:tcPr>
          <w:p w14:paraId="65D21F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b w:val="0"/>
                <w:bCs w:val="0"/>
                <w:i w:val="0"/>
                <w:iCs w:val="0"/>
                <w:caps w:val="0"/>
                <w:color w:val="auto"/>
                <w:spacing w:val="0"/>
                <w:kern w:val="0"/>
                <w:sz w:val="24"/>
                <w:szCs w:val="24"/>
                <w:highlight w:val="none"/>
                <w:lang w:val="en-US" w:eastAsia="zh-CN" w:bidi="ar"/>
              </w:rPr>
            </w:pPr>
            <w:r>
              <w:rPr>
                <w:rFonts w:hint="eastAsia" w:ascii="宋体" w:hAnsi="宋体" w:eastAsia="宋体" w:cs="宋体"/>
                <w:b w:val="0"/>
                <w:bCs w:val="0"/>
                <w:i w:val="0"/>
                <w:iCs w:val="0"/>
                <w:caps w:val="0"/>
                <w:color w:val="auto"/>
                <w:spacing w:val="0"/>
                <w:kern w:val="0"/>
                <w:sz w:val="24"/>
                <w:szCs w:val="24"/>
                <w:highlight w:val="none"/>
                <w:lang w:val="en-US" w:eastAsia="zh-CN" w:bidi="ar"/>
              </w:rPr>
              <w:t>C99000000 其他服务</w:t>
            </w:r>
          </w:p>
        </w:tc>
        <w:tc>
          <w:tcPr>
            <w:tcW w:w="1778" w:type="dxa"/>
            <w:noWrap w:val="0"/>
            <w:vAlign w:val="center"/>
          </w:tcPr>
          <w:p w14:paraId="272A62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b w:val="0"/>
                <w:bCs w:val="0"/>
                <w:i w:val="0"/>
                <w:iCs w:val="0"/>
                <w:caps w:val="0"/>
                <w:color w:val="auto"/>
                <w:spacing w:val="0"/>
                <w:kern w:val="0"/>
                <w:sz w:val="24"/>
                <w:szCs w:val="24"/>
                <w:highlight w:val="none"/>
                <w:lang w:val="en-US" w:eastAsia="zh-CN" w:bidi="ar"/>
              </w:rPr>
            </w:pPr>
            <w:r>
              <w:rPr>
                <w:rFonts w:hint="eastAsia" w:ascii="宋体" w:hAnsi="宋体" w:cs="宋体"/>
                <w:b w:val="0"/>
                <w:bCs w:val="0"/>
                <w:i w:val="0"/>
                <w:iCs w:val="0"/>
                <w:caps w:val="0"/>
                <w:color w:val="auto"/>
                <w:spacing w:val="0"/>
                <w:kern w:val="0"/>
                <w:sz w:val="24"/>
                <w:szCs w:val="24"/>
                <w:highlight w:val="none"/>
                <w:lang w:val="en-US" w:eastAsia="zh-CN" w:bidi="ar"/>
              </w:rPr>
              <w:t>长武县城区摆放时令鲜花项目</w:t>
            </w:r>
          </w:p>
        </w:tc>
        <w:tc>
          <w:tcPr>
            <w:tcW w:w="1111" w:type="dxa"/>
            <w:noWrap w:val="0"/>
            <w:vAlign w:val="center"/>
          </w:tcPr>
          <w:p w14:paraId="410376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b w:val="0"/>
                <w:bCs w:val="0"/>
                <w:i w:val="0"/>
                <w:iCs w:val="0"/>
                <w:caps w:val="0"/>
                <w:color w:val="auto"/>
                <w:spacing w:val="0"/>
                <w:kern w:val="0"/>
                <w:sz w:val="24"/>
                <w:szCs w:val="24"/>
                <w:highlight w:val="none"/>
                <w:lang w:val="en-US" w:eastAsia="zh-CN" w:bidi="ar"/>
              </w:rPr>
            </w:pPr>
            <w:r>
              <w:rPr>
                <w:rFonts w:hint="eastAsia" w:ascii="宋体" w:hAnsi="宋体" w:eastAsia="宋体" w:cs="宋体"/>
                <w:b w:val="0"/>
                <w:bCs w:val="0"/>
                <w:i w:val="0"/>
                <w:iCs w:val="0"/>
                <w:caps w:val="0"/>
                <w:color w:val="auto"/>
                <w:spacing w:val="0"/>
                <w:kern w:val="0"/>
                <w:sz w:val="24"/>
                <w:szCs w:val="24"/>
                <w:highlight w:val="none"/>
                <w:lang w:val="en-US" w:eastAsia="zh-CN" w:bidi="ar"/>
              </w:rPr>
              <w:t>1(项)</w:t>
            </w:r>
          </w:p>
        </w:tc>
        <w:tc>
          <w:tcPr>
            <w:tcW w:w="1491" w:type="dxa"/>
            <w:noWrap w:val="0"/>
            <w:vAlign w:val="center"/>
          </w:tcPr>
          <w:p w14:paraId="2CA464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b w:val="0"/>
                <w:bCs w:val="0"/>
                <w:i w:val="0"/>
                <w:iCs w:val="0"/>
                <w:caps w:val="0"/>
                <w:color w:val="auto"/>
                <w:spacing w:val="0"/>
                <w:kern w:val="0"/>
                <w:sz w:val="24"/>
                <w:szCs w:val="24"/>
                <w:highlight w:val="none"/>
                <w:lang w:val="en-US" w:eastAsia="zh-CN" w:bidi="ar"/>
              </w:rPr>
            </w:pPr>
            <w:r>
              <w:rPr>
                <w:rFonts w:hint="eastAsia" w:ascii="宋体" w:hAnsi="宋体" w:eastAsia="宋体" w:cs="宋体"/>
                <w:b w:val="0"/>
                <w:bCs w:val="0"/>
                <w:i w:val="0"/>
                <w:iCs w:val="0"/>
                <w:caps w:val="0"/>
                <w:color w:val="auto"/>
                <w:spacing w:val="0"/>
                <w:kern w:val="0"/>
                <w:sz w:val="24"/>
                <w:szCs w:val="24"/>
                <w:highlight w:val="none"/>
                <w:lang w:val="en-US" w:eastAsia="zh-CN" w:bidi="ar"/>
              </w:rPr>
              <w:t>详见采购文件</w:t>
            </w:r>
          </w:p>
        </w:tc>
        <w:tc>
          <w:tcPr>
            <w:tcW w:w="1371" w:type="dxa"/>
            <w:noWrap w:val="0"/>
            <w:vAlign w:val="center"/>
          </w:tcPr>
          <w:p w14:paraId="19C2F0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b w:val="0"/>
                <w:bCs w:val="0"/>
                <w:i w:val="0"/>
                <w:iCs w:val="0"/>
                <w:caps w:val="0"/>
                <w:color w:val="auto"/>
                <w:spacing w:val="0"/>
                <w:kern w:val="0"/>
                <w:sz w:val="24"/>
                <w:szCs w:val="24"/>
                <w:highlight w:val="none"/>
                <w:lang w:val="en-US" w:eastAsia="zh-CN" w:bidi="ar"/>
              </w:rPr>
            </w:pPr>
            <w:r>
              <w:rPr>
                <w:rFonts w:hint="eastAsia" w:ascii="宋体" w:hAnsi="宋体" w:cs="宋体"/>
                <w:b w:val="0"/>
                <w:bCs w:val="0"/>
                <w:color w:val="auto"/>
                <w:sz w:val="24"/>
                <w:szCs w:val="24"/>
                <w:highlight w:val="none"/>
                <w:lang w:val="en-US" w:eastAsia="zh-CN"/>
              </w:rPr>
              <w:t>1500000</w:t>
            </w:r>
            <w:r>
              <w:rPr>
                <w:rFonts w:hint="eastAsia" w:ascii="宋体" w:hAnsi="宋体" w:eastAsia="宋体" w:cs="宋体"/>
                <w:b w:val="0"/>
                <w:bCs w:val="0"/>
                <w:color w:val="auto"/>
                <w:sz w:val="24"/>
                <w:szCs w:val="24"/>
                <w:highlight w:val="none"/>
                <w:lang w:val="en-US" w:eastAsia="zh-CN"/>
              </w:rPr>
              <w:t>.00</w:t>
            </w:r>
          </w:p>
        </w:tc>
        <w:tc>
          <w:tcPr>
            <w:tcW w:w="1345" w:type="dxa"/>
            <w:noWrap w:val="0"/>
            <w:vAlign w:val="center"/>
          </w:tcPr>
          <w:p w14:paraId="66726E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jc w:val="center"/>
              <w:rPr>
                <w:rFonts w:hint="eastAsia" w:ascii="宋体" w:hAnsi="宋体" w:eastAsia="宋体" w:cs="宋体"/>
                <w:b w:val="0"/>
                <w:bCs w:val="0"/>
                <w:i w:val="0"/>
                <w:iCs w:val="0"/>
                <w:caps w:val="0"/>
                <w:color w:val="auto"/>
                <w:spacing w:val="0"/>
                <w:kern w:val="0"/>
                <w:sz w:val="24"/>
                <w:szCs w:val="24"/>
                <w:highlight w:val="none"/>
                <w:lang w:val="en-US" w:eastAsia="zh-CN" w:bidi="ar"/>
              </w:rPr>
            </w:pPr>
            <w:r>
              <w:rPr>
                <w:rFonts w:hint="eastAsia" w:ascii="宋体" w:hAnsi="宋体" w:cs="宋体"/>
                <w:b w:val="0"/>
                <w:bCs w:val="0"/>
                <w:color w:val="auto"/>
                <w:sz w:val="24"/>
                <w:szCs w:val="24"/>
                <w:highlight w:val="none"/>
                <w:lang w:val="en-US" w:eastAsia="zh-CN"/>
              </w:rPr>
              <w:t>1500000</w:t>
            </w:r>
            <w:r>
              <w:rPr>
                <w:rFonts w:hint="eastAsia" w:ascii="宋体" w:hAnsi="宋体" w:eastAsia="宋体" w:cs="宋体"/>
                <w:b w:val="0"/>
                <w:bCs w:val="0"/>
                <w:color w:val="auto"/>
                <w:sz w:val="24"/>
                <w:szCs w:val="24"/>
                <w:highlight w:val="none"/>
                <w:lang w:val="en-US" w:eastAsia="zh-CN"/>
              </w:rPr>
              <w:t>.00</w:t>
            </w:r>
          </w:p>
        </w:tc>
      </w:tr>
    </w:tbl>
    <w:p w14:paraId="41400589">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本合同包不接受联合体磋商</w:t>
      </w:r>
    </w:p>
    <w:p w14:paraId="3D90ED7B">
      <w:pPr>
        <w:spacing w:line="360" w:lineRule="auto"/>
        <w:ind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合同履行期限：</w:t>
      </w:r>
      <w:r>
        <w:rPr>
          <w:rFonts w:hint="eastAsia" w:ascii="宋体" w:hAnsi="宋体" w:eastAsia="宋体" w:cs="宋体"/>
          <w:b w:val="0"/>
          <w:bCs w:val="0"/>
          <w:color w:val="auto"/>
          <w:sz w:val="24"/>
          <w:szCs w:val="24"/>
          <w:highlight w:val="none"/>
          <w:u w:val="none"/>
          <w:lang w:val="en-US" w:eastAsia="zh-CN"/>
        </w:rPr>
        <w:t>自签订合同之日起1年</w:t>
      </w:r>
      <w:r>
        <w:rPr>
          <w:rFonts w:hint="eastAsia" w:ascii="宋体" w:hAnsi="宋体" w:cs="宋体"/>
          <w:b w:val="0"/>
          <w:bCs w:val="0"/>
          <w:color w:val="auto"/>
          <w:sz w:val="24"/>
          <w:szCs w:val="24"/>
          <w:highlight w:val="none"/>
          <w:u w:val="none"/>
          <w:lang w:val="en-US" w:eastAsia="zh-CN"/>
        </w:rPr>
        <w:t>。</w:t>
      </w:r>
    </w:p>
    <w:p w14:paraId="6337A114">
      <w:pPr>
        <w:spacing w:line="360" w:lineRule="auto"/>
        <w:ind w:firstLine="482"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二、申请人的资格要求：</w:t>
      </w:r>
    </w:p>
    <w:p w14:paraId="302299C5">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1.满足《中华人民共和国政府采购法》第二十二条规定；</w:t>
      </w:r>
    </w:p>
    <w:p w14:paraId="7C745CCB">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2.落实政府采购政策需满足的资格要求：</w:t>
      </w:r>
    </w:p>
    <w:p w14:paraId="4F6B4428">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合同包1（</w:t>
      </w:r>
      <w:r>
        <w:rPr>
          <w:rFonts w:hint="eastAsia" w:ascii="宋体" w:hAnsi="宋体" w:cs="宋体"/>
          <w:b w:val="0"/>
          <w:bCs w:val="0"/>
          <w:color w:val="auto"/>
          <w:sz w:val="24"/>
          <w:szCs w:val="24"/>
          <w:highlight w:val="none"/>
          <w:lang w:val="en-US" w:eastAsia="zh-CN"/>
        </w:rPr>
        <w:t>长武县城区摆放时令鲜花项目</w:t>
      </w:r>
      <w:r>
        <w:rPr>
          <w:rFonts w:hint="eastAsia" w:ascii="宋体" w:hAnsi="宋体" w:eastAsia="宋体" w:cs="宋体"/>
          <w:b w:val="0"/>
          <w:bCs w:val="0"/>
          <w:color w:val="auto"/>
          <w:sz w:val="24"/>
          <w:szCs w:val="24"/>
          <w:highlight w:val="none"/>
          <w:lang w:val="en-US" w:eastAsia="zh-CN"/>
        </w:rPr>
        <w:t>）落实政府采购政策需满足的资格要求如下：</w:t>
      </w:r>
    </w:p>
    <w:p w14:paraId="349D4B6E">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本项目专门面向中小企业采购。</w:t>
      </w:r>
    </w:p>
    <w:p w14:paraId="23AE6525">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3.本项目的特定资格要求：</w:t>
      </w:r>
    </w:p>
    <w:p w14:paraId="338A7A60">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合同包1(</w:t>
      </w:r>
      <w:r>
        <w:rPr>
          <w:rFonts w:hint="eastAsia" w:ascii="宋体" w:hAnsi="宋体" w:cs="宋体"/>
          <w:b w:val="0"/>
          <w:bCs w:val="0"/>
          <w:color w:val="auto"/>
          <w:sz w:val="24"/>
          <w:szCs w:val="24"/>
          <w:highlight w:val="none"/>
          <w:lang w:val="en-US" w:eastAsia="zh-CN"/>
        </w:rPr>
        <w:t>长武县城区摆放时令鲜花项目</w:t>
      </w:r>
      <w:r>
        <w:rPr>
          <w:rFonts w:hint="eastAsia" w:ascii="宋体" w:hAnsi="宋体" w:eastAsia="宋体" w:cs="宋体"/>
          <w:b w:val="0"/>
          <w:bCs w:val="0"/>
          <w:color w:val="auto"/>
          <w:sz w:val="24"/>
          <w:szCs w:val="24"/>
          <w:highlight w:val="none"/>
          <w:lang w:val="en-US" w:eastAsia="zh-CN"/>
        </w:rPr>
        <w:t>)特定资格要求如下</w:t>
      </w:r>
      <w:r>
        <w:rPr>
          <w:rFonts w:hint="eastAsia" w:ascii="宋体" w:hAnsi="宋体" w:cs="宋体"/>
          <w:b w:val="0"/>
          <w:bCs w:val="0"/>
          <w:color w:val="auto"/>
          <w:sz w:val="24"/>
          <w:szCs w:val="24"/>
          <w:highlight w:val="none"/>
          <w:lang w:val="en-US" w:eastAsia="zh-CN"/>
        </w:rPr>
        <w:t>：</w:t>
      </w:r>
    </w:p>
    <w:p w14:paraId="38818239">
      <w:pPr>
        <w:numPr>
          <w:ilvl w:val="0"/>
          <w:numId w:val="2"/>
        </w:numPr>
        <w:spacing w:line="360" w:lineRule="auto"/>
        <w:ind w:left="0"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供应商应为具备独立承担民事责任能力的法人、其他组织</w:t>
      </w:r>
      <w:r>
        <w:rPr>
          <w:rFonts w:hint="eastAsia" w:ascii="宋体" w:hAnsi="宋体" w:cs="宋体"/>
          <w:b w:val="0"/>
          <w:bCs w:val="0"/>
          <w:color w:val="auto"/>
          <w:sz w:val="24"/>
          <w:szCs w:val="24"/>
          <w:highlight w:val="none"/>
          <w:lang w:val="en-US" w:eastAsia="zh-CN"/>
        </w:rPr>
        <w:t>或自然人</w:t>
      </w:r>
      <w:r>
        <w:rPr>
          <w:rFonts w:hint="eastAsia" w:ascii="宋体" w:hAnsi="宋体" w:eastAsia="宋体" w:cs="宋体"/>
          <w:b w:val="0"/>
          <w:bCs w:val="0"/>
          <w:color w:val="auto"/>
          <w:sz w:val="24"/>
          <w:szCs w:val="24"/>
          <w:highlight w:val="none"/>
          <w:lang w:val="en-US" w:eastAsia="zh-CN"/>
        </w:rPr>
        <w:t>，须提供合法有效的营业执照或事业单位法人证书</w:t>
      </w:r>
      <w:r>
        <w:rPr>
          <w:rFonts w:hint="eastAsia" w:ascii="宋体" w:hAnsi="宋体" w:cs="宋体"/>
          <w:b w:val="0"/>
          <w:bCs w:val="0"/>
          <w:color w:val="auto"/>
          <w:sz w:val="24"/>
          <w:szCs w:val="24"/>
          <w:highlight w:val="none"/>
          <w:lang w:val="en-US" w:eastAsia="zh-CN"/>
        </w:rPr>
        <w:t>或自然人身份证</w:t>
      </w:r>
      <w:r>
        <w:rPr>
          <w:rFonts w:hint="eastAsia" w:ascii="宋体" w:hAnsi="宋体" w:eastAsia="宋体" w:cs="宋体"/>
          <w:b w:val="0"/>
          <w:bCs w:val="0"/>
          <w:color w:val="auto"/>
          <w:sz w:val="24"/>
          <w:szCs w:val="24"/>
          <w:highlight w:val="none"/>
          <w:lang w:val="en-US" w:eastAsia="zh-CN"/>
        </w:rPr>
        <w:t>等证明资料；</w:t>
      </w:r>
    </w:p>
    <w:p w14:paraId="2C502A48">
      <w:pPr>
        <w:numPr>
          <w:ilvl w:val="0"/>
          <w:numId w:val="2"/>
        </w:numPr>
        <w:spacing w:line="360" w:lineRule="auto"/>
        <w:ind w:left="0"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供应商须提供2024年度经审计的财务报告（成立时间至提交投标文件截止时间不足一年的可提供成立后任意时段的资产负债表），或投标截止时间前六个月内基本开户银行出具的资信证明及其基本存款账户开户许可证（无基本存款账户开户许可证可提供其基本存款账户信息证明）；（以上两种形式的资料提供任何一种即可）</w:t>
      </w:r>
      <w:r>
        <w:rPr>
          <w:rFonts w:hint="eastAsia" w:ascii="宋体" w:hAnsi="宋体" w:cs="宋体"/>
          <w:b w:val="0"/>
          <w:bCs w:val="0"/>
          <w:color w:val="auto"/>
          <w:sz w:val="24"/>
          <w:szCs w:val="24"/>
          <w:highlight w:val="none"/>
          <w:lang w:val="en-US" w:eastAsia="zh-CN"/>
        </w:rPr>
        <w:t>；</w:t>
      </w:r>
    </w:p>
    <w:p w14:paraId="06CCEEFE">
      <w:pPr>
        <w:numPr>
          <w:ilvl w:val="0"/>
          <w:numId w:val="2"/>
        </w:numPr>
        <w:spacing w:line="360" w:lineRule="auto"/>
        <w:ind w:left="0"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供应商须提供</w:t>
      </w:r>
      <w:r>
        <w:rPr>
          <w:rFonts w:hint="eastAsia" w:ascii="宋体" w:hAnsi="宋体" w:cs="宋体"/>
          <w:b w:val="0"/>
          <w:bCs w:val="0"/>
          <w:color w:val="auto"/>
          <w:sz w:val="24"/>
          <w:szCs w:val="24"/>
          <w:highlight w:val="none"/>
          <w:lang w:val="en-US" w:eastAsia="zh-CN"/>
        </w:rPr>
        <w:t>磋商</w:t>
      </w:r>
      <w:r>
        <w:rPr>
          <w:rFonts w:hint="eastAsia" w:ascii="宋体" w:hAnsi="宋体" w:eastAsia="宋体" w:cs="宋体"/>
          <w:b w:val="0"/>
          <w:bCs w:val="0"/>
          <w:color w:val="auto"/>
          <w:sz w:val="24"/>
          <w:szCs w:val="24"/>
          <w:highlight w:val="none"/>
          <w:lang w:val="en-US" w:eastAsia="zh-CN"/>
        </w:rPr>
        <w:t>截止时间前一年内，已缴纳的任意一个月的纳税证明或完税证明或无欠税证明，纳税证明或完税证明或无欠税证明上应有代收机构或税务机关的公章或业务专用章，依法免税的供应商应提供相关文件证明</w:t>
      </w:r>
      <w:r>
        <w:rPr>
          <w:rFonts w:hint="eastAsia" w:ascii="宋体" w:hAnsi="宋体" w:cs="宋体"/>
          <w:b w:val="0"/>
          <w:bCs w:val="0"/>
          <w:color w:val="auto"/>
          <w:sz w:val="24"/>
          <w:szCs w:val="24"/>
          <w:highlight w:val="none"/>
          <w:lang w:val="en-US" w:eastAsia="zh-CN"/>
        </w:rPr>
        <w:t>；</w:t>
      </w:r>
    </w:p>
    <w:p w14:paraId="704B43EB">
      <w:pPr>
        <w:numPr>
          <w:ilvl w:val="0"/>
          <w:numId w:val="2"/>
        </w:numPr>
        <w:spacing w:line="360" w:lineRule="auto"/>
        <w:ind w:left="0"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供应商须提供磋商截止时间前一年内，已缴存的任意一个月的社会保障资金缴存单据或社保机构开具的社会保险参保缴费情况证明，单据或证明上应有社保机构或代收机构的公章或业务专用章。依法不需要缴纳社会保障资金的供应商应提供相关文件证明</w:t>
      </w:r>
      <w:r>
        <w:rPr>
          <w:rFonts w:hint="eastAsia" w:ascii="宋体" w:hAnsi="宋体" w:cs="宋体"/>
          <w:b w:val="0"/>
          <w:bCs w:val="0"/>
          <w:color w:val="auto"/>
          <w:sz w:val="24"/>
          <w:szCs w:val="24"/>
          <w:highlight w:val="none"/>
          <w:lang w:val="en-US" w:eastAsia="zh-CN"/>
        </w:rPr>
        <w:t>；</w:t>
      </w:r>
    </w:p>
    <w:p w14:paraId="55EFA8B7">
      <w:pPr>
        <w:numPr>
          <w:ilvl w:val="0"/>
          <w:numId w:val="2"/>
        </w:numPr>
        <w:spacing w:line="360" w:lineRule="auto"/>
        <w:ind w:left="0"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具有履行合同所必需的设备和专业技术能力；</w:t>
      </w:r>
    </w:p>
    <w:p w14:paraId="64E043B1">
      <w:pPr>
        <w:numPr>
          <w:ilvl w:val="0"/>
          <w:numId w:val="2"/>
        </w:numPr>
        <w:spacing w:line="360" w:lineRule="auto"/>
        <w:ind w:left="0"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参加政府采购活动前三年内，在经营活动中没有重大违法记录；</w:t>
      </w:r>
    </w:p>
    <w:p w14:paraId="78E0FE07">
      <w:pPr>
        <w:numPr>
          <w:ilvl w:val="0"/>
          <w:numId w:val="2"/>
        </w:numPr>
        <w:spacing w:line="360" w:lineRule="auto"/>
        <w:ind w:left="0"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单位负责人为同一人或者存在直接控股、管理关系的不同供应商，不得参加同一合同项下的政府采购活动</w:t>
      </w:r>
      <w:r>
        <w:rPr>
          <w:rFonts w:hint="eastAsia" w:ascii="宋体" w:hAnsi="宋体" w:cs="宋体"/>
          <w:b w:val="0"/>
          <w:bCs w:val="0"/>
          <w:color w:val="auto"/>
          <w:sz w:val="24"/>
          <w:szCs w:val="24"/>
          <w:highlight w:val="none"/>
          <w:lang w:val="en-US" w:eastAsia="zh-CN"/>
        </w:rPr>
        <w:t>；</w:t>
      </w:r>
    </w:p>
    <w:p w14:paraId="673D9D8A">
      <w:pPr>
        <w:numPr>
          <w:ilvl w:val="0"/>
          <w:numId w:val="2"/>
        </w:numPr>
        <w:spacing w:line="360" w:lineRule="auto"/>
        <w:ind w:left="0"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法定代表人授权委托书（附法定代表人、被授权人身份证复印件并加盖公章）和被授权人身份证原件。（法定代表人参加投标只须提供法定代表人身份证明书及身份证原件）；</w:t>
      </w:r>
    </w:p>
    <w:p w14:paraId="7AA56235">
      <w:pPr>
        <w:numPr>
          <w:ilvl w:val="0"/>
          <w:numId w:val="2"/>
        </w:numPr>
        <w:spacing w:line="360" w:lineRule="auto"/>
        <w:ind w:left="0"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供应商不得为“信用中国”网站（www.creditchina.gov.cn）列入“失信被执行人（页面跳转至“中国执行信息公开网”</w:t>
      </w:r>
      <w:r>
        <w:rPr>
          <w:rFonts w:hint="eastAsia" w:ascii="宋体" w:hAnsi="宋体" w:cs="宋体"/>
          <w:b w:val="0"/>
          <w:bCs w:val="0"/>
          <w:color w:val="auto"/>
          <w:sz w:val="24"/>
          <w:szCs w:val="24"/>
          <w:highlight w:val="none"/>
          <w:lang w:val="en-US" w:eastAsia="zh-CN"/>
        </w:rPr>
        <w:t>（https://zxgk.court.gov.cn/shixin/）</w:t>
      </w:r>
      <w:r>
        <w:rPr>
          <w:rFonts w:hint="eastAsia" w:ascii="宋体" w:hAnsi="宋体" w:eastAsia="宋体" w:cs="宋体"/>
          <w:b w:val="0"/>
          <w:bCs w:val="0"/>
          <w:color w:val="auto"/>
          <w:sz w:val="24"/>
          <w:szCs w:val="24"/>
          <w:highlight w:val="none"/>
          <w:lang w:val="en-US" w:eastAsia="zh-CN"/>
        </w:rPr>
        <w:t>）、重大税收违法失信主体的供应商；不得为中国政府采购网</w:t>
      </w:r>
      <w:r>
        <w:rPr>
          <w:rFonts w:hint="eastAsia" w:ascii="宋体" w:hAnsi="宋体" w:cs="宋体"/>
          <w:b w:val="0"/>
          <w:bCs w:val="0"/>
          <w:color w:val="auto"/>
          <w:sz w:val="24"/>
          <w:szCs w:val="24"/>
          <w:highlight w:val="none"/>
          <w:lang w:val="en-US" w:eastAsia="zh-CN"/>
        </w:rPr>
        <w:t>（https://www.ccgp.gov.cn/index.shtml）</w:t>
      </w:r>
      <w:r>
        <w:rPr>
          <w:rFonts w:hint="eastAsia" w:ascii="宋体" w:hAnsi="宋体" w:eastAsia="宋体" w:cs="宋体"/>
          <w:b w:val="0"/>
          <w:bCs w:val="0"/>
          <w:color w:val="auto"/>
          <w:sz w:val="24"/>
          <w:szCs w:val="24"/>
          <w:highlight w:val="none"/>
          <w:lang w:val="en-US" w:eastAsia="zh-CN"/>
        </w:rPr>
        <w:t>“政府采购严重违法失信行为记录名单”中的供应商；</w:t>
      </w:r>
    </w:p>
    <w:p w14:paraId="679D866E">
      <w:pPr>
        <w:numPr>
          <w:ilvl w:val="0"/>
          <w:numId w:val="2"/>
        </w:numPr>
        <w:spacing w:line="360" w:lineRule="auto"/>
        <w:ind w:left="0"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本项目为专门面向中小企业采购；</w:t>
      </w:r>
    </w:p>
    <w:p w14:paraId="631D4F92">
      <w:pPr>
        <w:numPr>
          <w:ilvl w:val="0"/>
          <w:numId w:val="2"/>
        </w:numPr>
        <w:spacing w:line="360" w:lineRule="auto"/>
        <w:ind w:left="0"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本项目不接受联合体磋商。</w:t>
      </w:r>
    </w:p>
    <w:p w14:paraId="6D105C37">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三、获取采购文件</w:t>
      </w:r>
    </w:p>
    <w:p w14:paraId="290AF2B7">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时间：</w:t>
      </w:r>
      <w:r>
        <w:rPr>
          <w:rFonts w:hint="eastAsia" w:ascii="宋体" w:hAnsi="宋体" w:eastAsia="宋体" w:cs="宋体"/>
          <w:color w:val="auto"/>
          <w:spacing w:val="-7"/>
          <w:sz w:val="24"/>
          <w:szCs w:val="24"/>
          <w:highlight w:val="none"/>
        </w:rPr>
        <w:t>202</w:t>
      </w:r>
      <w:r>
        <w:rPr>
          <w:rFonts w:hint="eastAsia" w:ascii="宋体" w:hAnsi="宋体" w:cs="宋体"/>
          <w:color w:val="auto"/>
          <w:spacing w:val="-7"/>
          <w:sz w:val="24"/>
          <w:szCs w:val="24"/>
          <w:highlight w:val="none"/>
          <w:lang w:val="en-US" w:eastAsia="zh-CN"/>
        </w:rPr>
        <w:t>6</w:t>
      </w:r>
      <w:r>
        <w:rPr>
          <w:rFonts w:hint="eastAsia" w:ascii="宋体" w:hAnsi="宋体" w:eastAsia="宋体" w:cs="宋体"/>
          <w:color w:val="auto"/>
          <w:spacing w:val="-7"/>
          <w:sz w:val="24"/>
          <w:szCs w:val="24"/>
          <w:highlight w:val="none"/>
        </w:rPr>
        <w:t>年</w:t>
      </w:r>
      <w:r>
        <w:rPr>
          <w:rFonts w:hint="eastAsia" w:ascii="宋体" w:hAnsi="宋体" w:cs="宋体"/>
          <w:color w:val="auto"/>
          <w:spacing w:val="-7"/>
          <w:sz w:val="24"/>
          <w:szCs w:val="24"/>
          <w:highlight w:val="none"/>
          <w:lang w:val="en-US" w:eastAsia="zh-CN"/>
        </w:rPr>
        <w:t>04</w:t>
      </w:r>
      <w:r>
        <w:rPr>
          <w:rFonts w:hint="eastAsia" w:ascii="宋体" w:hAnsi="宋体" w:eastAsia="宋体" w:cs="宋体"/>
          <w:color w:val="auto"/>
          <w:spacing w:val="-7"/>
          <w:sz w:val="24"/>
          <w:szCs w:val="24"/>
          <w:highlight w:val="none"/>
        </w:rPr>
        <w:t>月</w:t>
      </w:r>
      <w:r>
        <w:rPr>
          <w:rFonts w:hint="eastAsia" w:ascii="宋体" w:hAnsi="宋体" w:cs="宋体"/>
          <w:color w:val="auto"/>
          <w:spacing w:val="-7"/>
          <w:sz w:val="24"/>
          <w:szCs w:val="24"/>
          <w:highlight w:val="none"/>
          <w:lang w:val="en-US" w:eastAsia="zh-CN"/>
        </w:rPr>
        <w:t>27</w:t>
      </w:r>
      <w:r>
        <w:rPr>
          <w:rFonts w:hint="eastAsia" w:ascii="宋体" w:hAnsi="宋体" w:eastAsia="宋体" w:cs="宋体"/>
          <w:color w:val="auto"/>
          <w:spacing w:val="-7"/>
          <w:sz w:val="24"/>
          <w:szCs w:val="24"/>
          <w:highlight w:val="none"/>
        </w:rPr>
        <w:t>日至202</w:t>
      </w:r>
      <w:r>
        <w:rPr>
          <w:rFonts w:hint="eastAsia" w:ascii="宋体" w:hAnsi="宋体" w:cs="宋体"/>
          <w:color w:val="auto"/>
          <w:spacing w:val="-7"/>
          <w:sz w:val="24"/>
          <w:szCs w:val="24"/>
          <w:highlight w:val="none"/>
          <w:lang w:val="en-US" w:eastAsia="zh-CN"/>
        </w:rPr>
        <w:t>6</w:t>
      </w:r>
      <w:r>
        <w:rPr>
          <w:rFonts w:hint="eastAsia" w:ascii="宋体" w:hAnsi="宋体" w:eastAsia="宋体" w:cs="宋体"/>
          <w:color w:val="auto"/>
          <w:spacing w:val="-7"/>
          <w:sz w:val="24"/>
          <w:szCs w:val="24"/>
          <w:highlight w:val="none"/>
        </w:rPr>
        <w:t>年</w:t>
      </w:r>
      <w:r>
        <w:rPr>
          <w:rFonts w:hint="eastAsia" w:ascii="宋体" w:hAnsi="宋体" w:cs="宋体"/>
          <w:color w:val="auto"/>
          <w:spacing w:val="-7"/>
          <w:sz w:val="24"/>
          <w:szCs w:val="24"/>
          <w:highlight w:val="none"/>
          <w:lang w:val="en-US" w:eastAsia="zh-CN"/>
        </w:rPr>
        <w:t>05</w:t>
      </w:r>
      <w:r>
        <w:rPr>
          <w:rFonts w:hint="eastAsia" w:ascii="宋体" w:hAnsi="宋体" w:eastAsia="宋体" w:cs="宋体"/>
          <w:color w:val="auto"/>
          <w:spacing w:val="-7"/>
          <w:sz w:val="24"/>
          <w:szCs w:val="24"/>
          <w:highlight w:val="none"/>
        </w:rPr>
        <w:t>月</w:t>
      </w:r>
      <w:r>
        <w:rPr>
          <w:rFonts w:hint="eastAsia" w:ascii="宋体" w:hAnsi="宋体" w:cs="宋体"/>
          <w:color w:val="auto"/>
          <w:spacing w:val="-7"/>
          <w:sz w:val="24"/>
          <w:szCs w:val="24"/>
          <w:highlight w:val="none"/>
          <w:lang w:val="en-US" w:eastAsia="zh-CN"/>
        </w:rPr>
        <w:t>06</w:t>
      </w:r>
      <w:r>
        <w:rPr>
          <w:rFonts w:hint="eastAsia" w:ascii="宋体" w:hAnsi="宋体" w:eastAsia="宋体" w:cs="宋体"/>
          <w:color w:val="auto"/>
          <w:spacing w:val="-7"/>
          <w:sz w:val="24"/>
          <w:szCs w:val="24"/>
          <w:highlight w:val="none"/>
        </w:rPr>
        <w:t>日，每天上午 0</w:t>
      </w:r>
      <w:r>
        <w:rPr>
          <w:rFonts w:hint="eastAsia" w:ascii="宋体" w:hAnsi="宋体" w:eastAsia="宋体" w:cs="宋体"/>
          <w:color w:val="auto"/>
          <w:spacing w:val="-7"/>
          <w:sz w:val="24"/>
          <w:szCs w:val="24"/>
          <w:highlight w:val="none"/>
          <w:lang w:val="en-US" w:eastAsia="zh-CN"/>
        </w:rPr>
        <w:t>9</w:t>
      </w:r>
      <w:r>
        <w:rPr>
          <w:rFonts w:hint="eastAsia" w:ascii="宋体" w:hAnsi="宋体" w:eastAsia="宋体" w:cs="宋体"/>
          <w:color w:val="auto"/>
          <w:spacing w:val="-7"/>
          <w:sz w:val="24"/>
          <w:szCs w:val="24"/>
          <w:highlight w:val="none"/>
        </w:rPr>
        <w:t>:00:00 至12:00:00</w:t>
      </w:r>
      <w:r>
        <w:rPr>
          <w:rFonts w:hint="eastAsia" w:ascii="宋体" w:hAnsi="宋体" w:eastAsia="宋体" w:cs="宋体"/>
          <w:color w:val="auto"/>
          <w:spacing w:val="-7"/>
          <w:sz w:val="24"/>
          <w:szCs w:val="24"/>
          <w:highlight w:val="none"/>
          <w:lang w:eastAsia="zh-CN"/>
        </w:rPr>
        <w:t>，</w:t>
      </w:r>
      <w:r>
        <w:rPr>
          <w:rFonts w:hint="eastAsia" w:ascii="宋体" w:hAnsi="宋体" w:eastAsia="宋体" w:cs="宋体"/>
          <w:color w:val="auto"/>
          <w:spacing w:val="-7"/>
          <w:sz w:val="24"/>
          <w:szCs w:val="24"/>
          <w:highlight w:val="none"/>
        </w:rPr>
        <w:t>下午1</w:t>
      </w:r>
      <w:r>
        <w:rPr>
          <w:rFonts w:hint="eastAsia" w:ascii="宋体" w:hAnsi="宋体" w:eastAsia="宋体" w:cs="宋体"/>
          <w:color w:val="auto"/>
          <w:spacing w:val="-7"/>
          <w:sz w:val="24"/>
          <w:szCs w:val="24"/>
          <w:highlight w:val="none"/>
          <w:lang w:val="en-US" w:eastAsia="zh-CN"/>
        </w:rPr>
        <w:t>3</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7"/>
          <w:sz w:val="24"/>
          <w:szCs w:val="24"/>
          <w:highlight w:val="none"/>
          <w:lang w:val="en-US" w:eastAsia="zh-CN"/>
        </w:rPr>
        <w:t>30</w:t>
      </w:r>
      <w:r>
        <w:rPr>
          <w:rFonts w:hint="eastAsia" w:ascii="宋体" w:hAnsi="宋体" w:eastAsia="宋体" w:cs="宋体"/>
          <w:color w:val="auto"/>
          <w:spacing w:val="-7"/>
          <w:sz w:val="24"/>
          <w:szCs w:val="24"/>
          <w:highlight w:val="none"/>
        </w:rPr>
        <w:t>:00至</w:t>
      </w:r>
      <w:r>
        <w:rPr>
          <w:rFonts w:hint="eastAsia" w:ascii="宋体" w:hAnsi="宋体" w:eastAsia="宋体" w:cs="宋体"/>
          <w:color w:val="auto"/>
          <w:spacing w:val="-7"/>
          <w:sz w:val="24"/>
          <w:szCs w:val="24"/>
          <w:highlight w:val="none"/>
          <w:lang w:val="en-US" w:eastAsia="zh-CN"/>
        </w:rPr>
        <w:t>18</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7"/>
          <w:sz w:val="24"/>
          <w:szCs w:val="24"/>
          <w:highlight w:val="none"/>
          <w:lang w:val="en-US" w:eastAsia="zh-CN"/>
        </w:rPr>
        <w:t>00</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7"/>
          <w:sz w:val="24"/>
          <w:szCs w:val="24"/>
          <w:highlight w:val="none"/>
          <w:lang w:val="en-US" w:eastAsia="zh-CN"/>
        </w:rPr>
        <w:t>00</w:t>
      </w:r>
      <w:r>
        <w:rPr>
          <w:rFonts w:hint="eastAsia" w:ascii="宋体" w:hAnsi="宋体" w:eastAsia="宋体" w:cs="宋体"/>
          <w:b w:val="0"/>
          <w:bCs w:val="0"/>
          <w:color w:val="auto"/>
          <w:sz w:val="24"/>
          <w:szCs w:val="24"/>
          <w:highlight w:val="none"/>
          <w:lang w:val="en-US" w:eastAsia="zh-CN"/>
        </w:rPr>
        <w:t>（北京时间）</w:t>
      </w:r>
    </w:p>
    <w:p w14:paraId="7EAFB505">
      <w:pPr>
        <w:pStyle w:val="10"/>
        <w:spacing w:before="179" w:line="359" w:lineRule="auto"/>
        <w:ind w:firstLine="502"/>
        <w:rPr>
          <w:rFonts w:hint="eastAsia" w:ascii="宋体" w:hAnsi="宋体" w:eastAsia="宋体" w:cs="宋体"/>
          <w:color w:val="auto"/>
          <w:spacing w:val="-7"/>
          <w:kern w:val="2"/>
          <w:sz w:val="24"/>
          <w:szCs w:val="24"/>
          <w:highlight w:val="none"/>
          <w:lang w:val="en-US" w:eastAsia="zh-CN" w:bidi="ar-SA"/>
        </w:rPr>
      </w:pPr>
      <w:r>
        <w:rPr>
          <w:rFonts w:hint="eastAsia" w:ascii="宋体" w:hAnsi="宋体" w:eastAsia="宋体" w:cs="宋体"/>
          <w:color w:val="auto"/>
          <w:spacing w:val="-7"/>
          <w:kern w:val="2"/>
          <w:sz w:val="24"/>
          <w:szCs w:val="24"/>
          <w:highlight w:val="none"/>
          <w:lang w:val="en-US" w:eastAsia="zh-CN" w:bidi="ar-SA"/>
        </w:rPr>
        <w:t>途径：</w:t>
      </w:r>
      <w:r>
        <w:rPr>
          <w:rFonts w:hint="eastAsia" w:ascii="宋体" w:hAnsi="宋体" w:eastAsia="宋体" w:cs="宋体"/>
          <w:color w:val="auto"/>
          <w:spacing w:val="1"/>
          <w:sz w:val="24"/>
          <w:szCs w:val="24"/>
          <w:highlight w:val="none"/>
          <w:lang w:eastAsia="zh-CN"/>
        </w:rPr>
        <w:t>陕西省西安市高新区丈八五路高科尚都ONE尚城A座10F</w:t>
      </w:r>
    </w:p>
    <w:p w14:paraId="0F4B616E">
      <w:pPr>
        <w:pStyle w:val="10"/>
        <w:spacing w:before="179" w:line="359" w:lineRule="auto"/>
        <w:ind w:firstLine="502"/>
        <w:rPr>
          <w:rFonts w:hint="eastAsia" w:ascii="宋体" w:hAnsi="宋体" w:eastAsia="宋体" w:cs="宋体"/>
          <w:color w:val="auto"/>
          <w:spacing w:val="-7"/>
          <w:sz w:val="24"/>
          <w:szCs w:val="24"/>
          <w:highlight w:val="none"/>
        </w:rPr>
      </w:pPr>
      <w:r>
        <w:rPr>
          <w:rFonts w:hint="eastAsia" w:ascii="宋体" w:hAnsi="宋体" w:eastAsia="宋体" w:cs="宋体"/>
          <w:color w:val="auto"/>
          <w:spacing w:val="-7"/>
          <w:sz w:val="24"/>
          <w:szCs w:val="24"/>
          <w:highlight w:val="none"/>
        </w:rPr>
        <w:t>方式：现场获取</w:t>
      </w:r>
    </w:p>
    <w:p w14:paraId="2A355BF7">
      <w:pPr>
        <w:spacing w:line="360" w:lineRule="auto"/>
        <w:ind w:firstLine="45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7"/>
          <w:sz w:val="24"/>
          <w:szCs w:val="24"/>
          <w:highlight w:val="none"/>
        </w:rPr>
        <w:t>售价：</w:t>
      </w:r>
      <w:r>
        <w:rPr>
          <w:rFonts w:hint="eastAsia" w:ascii="宋体" w:hAnsi="宋体" w:eastAsia="宋体" w:cs="宋体"/>
          <w:color w:val="auto"/>
          <w:spacing w:val="-7"/>
          <w:sz w:val="24"/>
          <w:szCs w:val="24"/>
          <w:highlight w:val="none"/>
          <w:lang w:val="en-US" w:eastAsia="zh-CN"/>
        </w:rPr>
        <w:t>0.00</w:t>
      </w:r>
      <w:r>
        <w:rPr>
          <w:rFonts w:hint="eastAsia" w:ascii="宋体" w:hAnsi="宋体" w:eastAsia="宋体" w:cs="宋体"/>
          <w:color w:val="auto"/>
          <w:spacing w:val="-7"/>
          <w:sz w:val="24"/>
          <w:szCs w:val="24"/>
          <w:highlight w:val="none"/>
        </w:rPr>
        <w:t>元</w:t>
      </w:r>
    </w:p>
    <w:p w14:paraId="0DFF85CC">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四、响应文件提交</w:t>
      </w:r>
    </w:p>
    <w:p w14:paraId="76768C62">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截止时间：</w:t>
      </w:r>
      <w:r>
        <w:rPr>
          <w:rFonts w:hint="eastAsia" w:ascii="宋体" w:hAnsi="宋体" w:eastAsia="宋体" w:cs="宋体"/>
          <w:color w:val="auto"/>
          <w:spacing w:val="-10"/>
          <w:sz w:val="24"/>
          <w:szCs w:val="24"/>
          <w:highlight w:val="none"/>
        </w:rPr>
        <w:t>202</w:t>
      </w:r>
      <w:r>
        <w:rPr>
          <w:rFonts w:hint="eastAsia" w:ascii="宋体" w:hAnsi="宋体" w:cs="宋体"/>
          <w:color w:val="auto"/>
          <w:spacing w:val="-10"/>
          <w:sz w:val="24"/>
          <w:szCs w:val="24"/>
          <w:highlight w:val="none"/>
          <w:lang w:val="en-US" w:eastAsia="zh-CN"/>
        </w:rPr>
        <w:t>6</w:t>
      </w:r>
      <w:r>
        <w:rPr>
          <w:rFonts w:hint="eastAsia" w:ascii="宋体" w:hAnsi="宋体" w:eastAsia="宋体" w:cs="宋体"/>
          <w:color w:val="auto"/>
          <w:spacing w:val="-10"/>
          <w:sz w:val="24"/>
          <w:szCs w:val="24"/>
          <w:highlight w:val="none"/>
        </w:rPr>
        <w:t>年</w:t>
      </w:r>
      <w:r>
        <w:rPr>
          <w:rFonts w:hint="eastAsia" w:ascii="宋体" w:hAnsi="宋体" w:cs="宋体"/>
          <w:color w:val="auto"/>
          <w:spacing w:val="-10"/>
          <w:sz w:val="24"/>
          <w:szCs w:val="24"/>
          <w:highlight w:val="none"/>
          <w:lang w:val="en-US" w:eastAsia="zh-CN"/>
        </w:rPr>
        <w:t>05</w:t>
      </w:r>
      <w:r>
        <w:rPr>
          <w:rFonts w:hint="eastAsia" w:ascii="宋体" w:hAnsi="宋体" w:eastAsia="宋体" w:cs="宋体"/>
          <w:color w:val="auto"/>
          <w:spacing w:val="-10"/>
          <w:sz w:val="24"/>
          <w:szCs w:val="24"/>
          <w:highlight w:val="none"/>
        </w:rPr>
        <w:t>月</w:t>
      </w:r>
      <w:r>
        <w:rPr>
          <w:rFonts w:hint="eastAsia" w:ascii="宋体" w:hAnsi="宋体" w:cs="宋体"/>
          <w:color w:val="auto"/>
          <w:spacing w:val="-10"/>
          <w:sz w:val="24"/>
          <w:szCs w:val="24"/>
          <w:highlight w:val="none"/>
          <w:lang w:val="en-US" w:eastAsia="zh-CN"/>
        </w:rPr>
        <w:t>08</w:t>
      </w:r>
      <w:r>
        <w:rPr>
          <w:rFonts w:hint="eastAsia" w:ascii="宋体" w:hAnsi="宋体" w:eastAsia="宋体" w:cs="宋体"/>
          <w:color w:val="auto"/>
          <w:spacing w:val="-10"/>
          <w:sz w:val="24"/>
          <w:szCs w:val="24"/>
          <w:highlight w:val="none"/>
        </w:rPr>
        <w:t xml:space="preserve">日 </w:t>
      </w:r>
      <w:r>
        <w:rPr>
          <w:rFonts w:hint="eastAsia" w:ascii="宋体" w:hAnsi="宋体" w:eastAsia="宋体" w:cs="宋体"/>
          <w:color w:val="auto"/>
          <w:spacing w:val="-10"/>
          <w:sz w:val="24"/>
          <w:szCs w:val="24"/>
          <w:highlight w:val="none"/>
          <w:lang w:val="en-US" w:eastAsia="zh-CN"/>
        </w:rPr>
        <w:t>14</w:t>
      </w:r>
      <w:r>
        <w:rPr>
          <w:rFonts w:hint="eastAsia" w:ascii="宋体" w:hAnsi="宋体" w:eastAsia="宋体" w:cs="宋体"/>
          <w:color w:val="auto"/>
          <w:spacing w:val="-10"/>
          <w:sz w:val="24"/>
          <w:szCs w:val="24"/>
          <w:highlight w:val="none"/>
        </w:rPr>
        <w:t xml:space="preserve"> 时</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0"/>
          <w:sz w:val="24"/>
          <w:szCs w:val="24"/>
          <w:highlight w:val="none"/>
          <w:lang w:val="en-US" w:eastAsia="zh-CN"/>
        </w:rPr>
        <w:t>30</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0"/>
          <w:sz w:val="24"/>
          <w:szCs w:val="24"/>
          <w:highlight w:val="none"/>
        </w:rPr>
        <w:t>分</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10"/>
          <w:sz w:val="24"/>
          <w:szCs w:val="24"/>
          <w:highlight w:val="none"/>
        </w:rPr>
        <w:t>00</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10"/>
          <w:sz w:val="24"/>
          <w:szCs w:val="24"/>
          <w:highlight w:val="none"/>
        </w:rPr>
        <w:t>秒</w:t>
      </w:r>
      <w:r>
        <w:rPr>
          <w:rFonts w:hint="eastAsia" w:ascii="宋体" w:hAnsi="宋体" w:eastAsia="宋体" w:cs="宋体"/>
          <w:b w:val="0"/>
          <w:bCs w:val="0"/>
          <w:color w:val="auto"/>
          <w:sz w:val="24"/>
          <w:szCs w:val="24"/>
          <w:highlight w:val="none"/>
          <w:lang w:val="en-US" w:eastAsia="zh-CN"/>
        </w:rPr>
        <w:t>（北京时间）</w:t>
      </w:r>
    </w:p>
    <w:p w14:paraId="236353A0">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地点：</w:t>
      </w:r>
      <w:r>
        <w:rPr>
          <w:rFonts w:hint="eastAsia" w:ascii="宋体" w:hAnsi="宋体" w:eastAsia="宋体" w:cs="宋体"/>
          <w:color w:val="auto"/>
          <w:spacing w:val="1"/>
          <w:sz w:val="24"/>
          <w:szCs w:val="24"/>
          <w:highlight w:val="none"/>
          <w:lang w:eastAsia="zh-CN"/>
        </w:rPr>
        <w:t>陕西省西安市高新区丈八五路高科尚都ONE尚城A座10F</w:t>
      </w:r>
    </w:p>
    <w:p w14:paraId="3DBE50DD">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五、开启</w:t>
      </w:r>
    </w:p>
    <w:p w14:paraId="1CFCF71C">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时间：</w:t>
      </w:r>
      <w:r>
        <w:rPr>
          <w:rFonts w:hint="eastAsia" w:ascii="宋体" w:hAnsi="宋体" w:eastAsia="宋体" w:cs="宋体"/>
          <w:color w:val="auto"/>
          <w:spacing w:val="-10"/>
          <w:sz w:val="24"/>
          <w:szCs w:val="24"/>
          <w:highlight w:val="none"/>
        </w:rPr>
        <w:t>202</w:t>
      </w:r>
      <w:r>
        <w:rPr>
          <w:rFonts w:hint="eastAsia" w:ascii="宋体" w:hAnsi="宋体" w:cs="宋体"/>
          <w:color w:val="auto"/>
          <w:spacing w:val="-10"/>
          <w:sz w:val="24"/>
          <w:szCs w:val="24"/>
          <w:highlight w:val="none"/>
          <w:lang w:val="en-US" w:eastAsia="zh-CN"/>
        </w:rPr>
        <w:t>6</w:t>
      </w:r>
      <w:r>
        <w:rPr>
          <w:rFonts w:hint="eastAsia" w:ascii="宋体" w:hAnsi="宋体" w:eastAsia="宋体" w:cs="宋体"/>
          <w:color w:val="auto"/>
          <w:spacing w:val="-10"/>
          <w:sz w:val="24"/>
          <w:szCs w:val="24"/>
          <w:highlight w:val="none"/>
        </w:rPr>
        <w:t>年</w:t>
      </w:r>
      <w:r>
        <w:rPr>
          <w:rFonts w:hint="eastAsia" w:ascii="宋体" w:hAnsi="宋体" w:cs="宋体"/>
          <w:color w:val="auto"/>
          <w:spacing w:val="-10"/>
          <w:sz w:val="24"/>
          <w:szCs w:val="24"/>
          <w:highlight w:val="none"/>
          <w:lang w:val="en-US" w:eastAsia="zh-CN"/>
        </w:rPr>
        <w:t>05</w:t>
      </w:r>
      <w:r>
        <w:rPr>
          <w:rFonts w:hint="eastAsia" w:ascii="宋体" w:hAnsi="宋体" w:eastAsia="宋体" w:cs="宋体"/>
          <w:color w:val="auto"/>
          <w:spacing w:val="-10"/>
          <w:sz w:val="24"/>
          <w:szCs w:val="24"/>
          <w:highlight w:val="none"/>
        </w:rPr>
        <w:t>月</w:t>
      </w:r>
      <w:r>
        <w:rPr>
          <w:rFonts w:hint="eastAsia" w:ascii="宋体" w:hAnsi="宋体" w:cs="宋体"/>
          <w:color w:val="auto"/>
          <w:spacing w:val="-10"/>
          <w:sz w:val="24"/>
          <w:szCs w:val="24"/>
          <w:highlight w:val="none"/>
          <w:lang w:val="en-US" w:eastAsia="zh-CN"/>
        </w:rPr>
        <w:t>08</w:t>
      </w:r>
      <w:r>
        <w:rPr>
          <w:rFonts w:hint="eastAsia" w:ascii="宋体" w:hAnsi="宋体" w:eastAsia="宋体" w:cs="宋体"/>
          <w:color w:val="auto"/>
          <w:spacing w:val="-10"/>
          <w:sz w:val="24"/>
          <w:szCs w:val="24"/>
          <w:highlight w:val="none"/>
        </w:rPr>
        <w:t xml:space="preserve">日 </w:t>
      </w:r>
      <w:r>
        <w:rPr>
          <w:rFonts w:hint="eastAsia" w:ascii="宋体" w:hAnsi="宋体" w:eastAsia="宋体" w:cs="宋体"/>
          <w:color w:val="auto"/>
          <w:spacing w:val="-10"/>
          <w:sz w:val="24"/>
          <w:szCs w:val="24"/>
          <w:highlight w:val="none"/>
          <w:lang w:val="en-US" w:eastAsia="zh-CN"/>
        </w:rPr>
        <w:t>14</w:t>
      </w:r>
      <w:r>
        <w:rPr>
          <w:rFonts w:hint="eastAsia" w:ascii="宋体" w:hAnsi="宋体" w:eastAsia="宋体" w:cs="宋体"/>
          <w:color w:val="auto"/>
          <w:spacing w:val="-10"/>
          <w:sz w:val="24"/>
          <w:szCs w:val="24"/>
          <w:highlight w:val="none"/>
        </w:rPr>
        <w:t xml:space="preserve"> 时</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0"/>
          <w:sz w:val="24"/>
          <w:szCs w:val="24"/>
          <w:highlight w:val="none"/>
          <w:lang w:val="en-US" w:eastAsia="zh-CN"/>
        </w:rPr>
        <w:t>30</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0"/>
          <w:sz w:val="24"/>
          <w:szCs w:val="24"/>
          <w:highlight w:val="none"/>
        </w:rPr>
        <w:t>分</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10"/>
          <w:sz w:val="24"/>
          <w:szCs w:val="24"/>
          <w:highlight w:val="none"/>
        </w:rPr>
        <w:t>00</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10"/>
          <w:sz w:val="24"/>
          <w:szCs w:val="24"/>
          <w:highlight w:val="none"/>
        </w:rPr>
        <w:t>秒</w:t>
      </w:r>
      <w:r>
        <w:rPr>
          <w:rFonts w:hint="eastAsia" w:ascii="宋体" w:hAnsi="宋体" w:eastAsia="宋体" w:cs="宋体"/>
          <w:b w:val="0"/>
          <w:bCs w:val="0"/>
          <w:color w:val="auto"/>
          <w:sz w:val="24"/>
          <w:szCs w:val="24"/>
          <w:highlight w:val="none"/>
          <w:lang w:val="en-US" w:eastAsia="zh-CN"/>
        </w:rPr>
        <w:t>（北京时间）</w:t>
      </w:r>
    </w:p>
    <w:p w14:paraId="3BE658E4">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地点：</w:t>
      </w:r>
      <w:r>
        <w:rPr>
          <w:rFonts w:hint="eastAsia" w:ascii="宋体" w:hAnsi="宋体" w:eastAsia="宋体" w:cs="宋体"/>
          <w:color w:val="auto"/>
          <w:spacing w:val="1"/>
          <w:sz w:val="24"/>
          <w:szCs w:val="24"/>
          <w:highlight w:val="none"/>
          <w:lang w:eastAsia="zh-CN"/>
        </w:rPr>
        <w:t>陕西省西安市高新区丈八五路高科尚都ONE尚城A座10F</w:t>
      </w:r>
    </w:p>
    <w:p w14:paraId="13B89994">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六、公告期限</w:t>
      </w:r>
    </w:p>
    <w:p w14:paraId="1F85C054">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自本公告发布之日起3个工作日。</w:t>
      </w:r>
    </w:p>
    <w:p w14:paraId="18951C08">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七、其他补充事宜</w:t>
      </w:r>
    </w:p>
    <w:p w14:paraId="15A699A6">
      <w:pPr>
        <w:pStyle w:val="10"/>
        <w:spacing w:before="179" w:line="359" w:lineRule="auto"/>
        <w:ind w:firstLine="502"/>
        <w:rPr>
          <w:rFonts w:hint="eastAsia" w:ascii="宋体" w:hAnsi="宋体" w:eastAsia="宋体" w:cs="宋体"/>
          <w:color w:val="auto"/>
          <w:spacing w:val="-7"/>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pacing w:val="-7"/>
          <w:kern w:val="2"/>
          <w:sz w:val="24"/>
          <w:szCs w:val="24"/>
          <w:highlight w:val="none"/>
          <w:lang w:val="en-US" w:eastAsia="zh-CN" w:bidi="ar-SA"/>
        </w:rPr>
        <w:t>请符合要求的潜在供应商携带介绍信（A4纸大小）、经办人身份证原件及加盖公章的复印件一份（法定节假日除外）前往陕西省西安市高新区丈八五路高科尚都ONE尚城A座10F领取竞争性磋商文件。</w:t>
      </w:r>
    </w:p>
    <w:p w14:paraId="0BC84C05">
      <w:pPr>
        <w:pStyle w:val="10"/>
        <w:spacing w:before="179" w:line="359" w:lineRule="auto"/>
        <w:ind w:firstLine="502"/>
        <w:rPr>
          <w:rFonts w:hint="eastAsia" w:ascii="宋体" w:hAnsi="宋体" w:eastAsia="宋体" w:cs="宋体"/>
          <w:color w:val="auto"/>
          <w:spacing w:val="-7"/>
          <w:kern w:val="2"/>
          <w:sz w:val="24"/>
          <w:szCs w:val="24"/>
          <w:highlight w:val="none"/>
          <w:lang w:val="en-US" w:eastAsia="zh-CN" w:bidi="ar-SA"/>
        </w:rPr>
      </w:pPr>
      <w:r>
        <w:rPr>
          <w:rFonts w:hint="eastAsia" w:ascii="宋体" w:hAnsi="宋体" w:cs="宋体"/>
          <w:color w:val="auto"/>
          <w:spacing w:val="-7"/>
          <w:kern w:val="2"/>
          <w:sz w:val="24"/>
          <w:szCs w:val="24"/>
          <w:highlight w:val="none"/>
          <w:lang w:val="en-US" w:eastAsia="zh-CN" w:bidi="ar-SA"/>
        </w:rPr>
        <w:t>2.</w:t>
      </w:r>
      <w:r>
        <w:rPr>
          <w:rFonts w:hint="eastAsia" w:ascii="宋体" w:hAnsi="宋体" w:eastAsia="宋体" w:cs="宋体"/>
          <w:color w:val="auto"/>
          <w:spacing w:val="-7"/>
          <w:kern w:val="2"/>
          <w:sz w:val="24"/>
          <w:szCs w:val="24"/>
          <w:highlight w:val="none"/>
          <w:lang w:val="en-US" w:eastAsia="zh-CN" w:bidi="ar-SA"/>
        </w:rPr>
        <w:t>供应商需通过陕西省政府采购网（http://www.ccgp-shaanxi.gov.cn/）注册登记加入陕西省政府采购供应商库。</w:t>
      </w:r>
    </w:p>
    <w:p w14:paraId="5461C3FC">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.本项目需要落实的政府采购政策：1）《政府采购促进中小企业发展管理办法》的通知--财库〔2020〕46号；</w:t>
      </w:r>
    </w:p>
    <w:p w14:paraId="0B3AFE83">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2）《财政部司法部关于政府采购支持监狱企业发展有关问题的通知》</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财库〔2014〕68号；</w:t>
      </w:r>
    </w:p>
    <w:p w14:paraId="3A4B5485">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3)《财政部发展改革委生态环境部市场监管总局关于调整优化节能产品</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环境标志产品政府采购执行机制的通知》--财库〔2019〕9号；</w:t>
      </w:r>
    </w:p>
    <w:p w14:paraId="76F6A0C6">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陕西省财政厅关于进一步落实政府采购支持中小企业相关政策的通知</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陕财办采〔2023〕3号；</w:t>
      </w:r>
    </w:p>
    <w:p w14:paraId="6E8B58CD">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陕西省财政厅关于进一步优化政府采购营商环境有关事项的通知</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-陕财办采〔2023〕4号；</w:t>
      </w:r>
    </w:p>
    <w:p w14:paraId="34672811">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6)《关于促进残疾人就业政府采购政策的通知》--财库〔2017〕141号；</w:t>
      </w:r>
    </w:p>
    <w:p w14:paraId="692221A3">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7)陕西省财政厅关于印发《陕西省中小企业政府采购信用融资办法》--陕财办采〔2018〕23号；</w:t>
      </w:r>
    </w:p>
    <w:p w14:paraId="15AF41FD">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8)《国务院办公厅关于建立政府强制采购节能产品制度的通知》--国办发〔2007〕51号；</w:t>
      </w:r>
    </w:p>
    <w:p w14:paraId="20FDC6E5">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9）《财政部 国务院扶贫办关于运用政府采购政策支持脱贫攻坚的通知》--财库〔2019〕27号；</w:t>
      </w:r>
    </w:p>
    <w:p w14:paraId="7E14833C">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10)《财政部农业农村部国家乡村振兴局关于运用政府采购政策支持乡村产业振兴的通知》</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财库〔2021〕19号；</w:t>
      </w:r>
    </w:p>
    <w:p w14:paraId="10312767">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陕西省财政厅关于进一步加强政府绿色采购有关问题的通知</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--陕财办采〔2021〕29号；</w:t>
      </w:r>
    </w:p>
    <w:p w14:paraId="4528D2DD">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12)《陕西省财政厅关于加快推进我省中小企业政府采购信用融资工作的通知》</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陕财办采〔2020〕15号；</w:t>
      </w:r>
    </w:p>
    <w:p w14:paraId="7F7E20CE">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13)《关于进一步加大政府采购支持中小企业力度的通知》</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财库〔2022〕19号；</w:t>
      </w:r>
    </w:p>
    <w:p w14:paraId="7BD1FBDF">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14）如有最新颁布的政府采购政策，按最新的文件执行。</w:t>
      </w:r>
    </w:p>
    <w:p w14:paraId="39F8CB55">
      <w:pPr>
        <w:spacing w:line="360" w:lineRule="auto"/>
        <w:ind w:firstLine="480" w:firstLineChars="20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4.本项目专门面向中小企业采购，供应商应为中型企业或小型、微型企业或监狱企业或残疾人福利性单位。供应商为中型、小型、微型企业的，提供《中小企业声明函》；供应商为监狱企业的，应提供监狱企业的证明文件；供应商为残疾人福利性单位的，应提供《残疾人福利性单位声明函》。</w:t>
      </w:r>
    </w:p>
    <w:p w14:paraId="499CD7C3">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八、对本次采购提出询问，请按以下方式联系。</w:t>
      </w:r>
    </w:p>
    <w:p w14:paraId="70034E9F">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1.采购人信息</w:t>
      </w:r>
    </w:p>
    <w:p w14:paraId="24113B04">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名称：</w:t>
      </w:r>
      <w:r>
        <w:rPr>
          <w:rFonts w:hint="eastAsia" w:ascii="宋体" w:hAnsi="宋体" w:cs="宋体"/>
          <w:b w:val="0"/>
          <w:bCs w:val="0"/>
          <w:color w:val="auto"/>
          <w:sz w:val="24"/>
          <w:szCs w:val="24"/>
          <w:highlight w:val="none"/>
          <w:lang w:val="en-US" w:eastAsia="zh-CN"/>
        </w:rPr>
        <w:t>长武县住房和城乡建设局</w:t>
      </w:r>
    </w:p>
    <w:p w14:paraId="51246BD4">
      <w:pPr>
        <w:spacing w:line="360" w:lineRule="auto"/>
        <w:ind w:firstLine="480" w:firstLineChars="200"/>
        <w:rPr>
          <w:rFonts w:hint="eastAsia" w:ascii="宋体" w:hAnsi="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地址：咸阳市</w:t>
      </w:r>
      <w:r>
        <w:rPr>
          <w:rFonts w:hint="eastAsia" w:ascii="宋体" w:hAnsi="宋体" w:cs="宋体"/>
          <w:b w:val="0"/>
          <w:bCs w:val="0"/>
          <w:color w:val="auto"/>
          <w:sz w:val="24"/>
          <w:szCs w:val="24"/>
          <w:highlight w:val="none"/>
          <w:lang w:val="en-US" w:eastAsia="zh-CN"/>
        </w:rPr>
        <w:t>长武县</w:t>
      </w:r>
    </w:p>
    <w:p w14:paraId="5E0EF896">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联系方式：029-</w:t>
      </w:r>
      <w:r>
        <w:rPr>
          <w:rFonts w:hint="eastAsia" w:ascii="宋体" w:hAnsi="宋体" w:cs="宋体"/>
          <w:b w:val="0"/>
          <w:bCs w:val="0"/>
          <w:color w:val="auto"/>
          <w:sz w:val="24"/>
          <w:szCs w:val="24"/>
          <w:highlight w:val="none"/>
          <w:lang w:val="en-US" w:eastAsia="zh-CN"/>
        </w:rPr>
        <w:t>34202217</w:t>
      </w:r>
      <w:r>
        <w:rPr>
          <w:rFonts w:hint="eastAsia" w:ascii="宋体" w:hAnsi="宋体" w:eastAsia="宋体" w:cs="宋体"/>
          <w:b w:val="0"/>
          <w:bCs w:val="0"/>
          <w:color w:val="auto"/>
          <w:sz w:val="24"/>
          <w:szCs w:val="24"/>
          <w:highlight w:val="none"/>
          <w:lang w:val="en-US" w:eastAsia="zh-CN"/>
        </w:rPr>
        <w:t xml:space="preserve"> </w:t>
      </w:r>
    </w:p>
    <w:p w14:paraId="1EFA4A36">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2.采购代理机构信息</w:t>
      </w:r>
    </w:p>
    <w:p w14:paraId="53CE582E">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名称：亿诚建设项目管理有限公司</w:t>
      </w:r>
    </w:p>
    <w:p w14:paraId="1884C774">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地址：陕西省西安市高新区丈八五路高科尚都ONE尚城A座10F</w:t>
      </w:r>
    </w:p>
    <w:p w14:paraId="672BBBFA">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联系方式：029-68683878</w:t>
      </w:r>
    </w:p>
    <w:p w14:paraId="5DA1F4EF">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3.项目联系方式</w:t>
      </w:r>
    </w:p>
    <w:p w14:paraId="2DF0B96B">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项目联系人：董海龙、赵醒文</w:t>
      </w:r>
      <w:r>
        <w:rPr>
          <w:rFonts w:hint="eastAsia" w:ascii="宋体" w:hAnsi="宋体" w:cs="宋体"/>
          <w:b w:val="0"/>
          <w:bCs w:val="0"/>
          <w:color w:val="auto"/>
          <w:sz w:val="24"/>
          <w:szCs w:val="24"/>
          <w:highlight w:val="none"/>
          <w:lang w:val="en-US" w:eastAsia="zh-CN"/>
        </w:rPr>
        <w:t>、赵利科、崔芮菁</w:t>
      </w:r>
      <w:r>
        <w:rPr>
          <w:rFonts w:hint="eastAsia" w:ascii="宋体" w:hAnsi="宋体" w:eastAsia="宋体" w:cs="宋体"/>
          <w:b w:val="0"/>
          <w:bCs w:val="0"/>
          <w:color w:val="auto"/>
          <w:sz w:val="24"/>
          <w:szCs w:val="24"/>
          <w:highlight w:val="none"/>
          <w:lang w:val="en-US" w:eastAsia="zh-CN"/>
        </w:rPr>
        <w:t xml:space="preserve">       </w:t>
      </w:r>
    </w:p>
    <w:p w14:paraId="68CF271A">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电话：029-68683878</w:t>
      </w:r>
    </w:p>
    <w:p w14:paraId="10C0AA5F">
      <w:pPr>
        <w:spacing w:line="360" w:lineRule="auto"/>
        <w:ind w:firstLine="480" w:firstLineChars="200"/>
        <w:rPr>
          <w:rFonts w:hint="eastAsia" w:ascii="宋体" w:hAnsi="宋体" w:eastAsia="宋体" w:cs="宋体"/>
          <w:b w:val="0"/>
          <w:bCs w:val="0"/>
          <w:color w:val="auto"/>
          <w:sz w:val="24"/>
          <w:szCs w:val="24"/>
          <w:highlight w:val="none"/>
          <w:lang w:val="en-US" w:eastAsia="zh-CN"/>
        </w:rPr>
      </w:pPr>
    </w:p>
    <w:p w14:paraId="6DA7B82F">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06A0637F">
      <w:pPr>
        <w:pStyle w:val="33"/>
        <w:jc w:val="center"/>
        <w:rPr>
          <w:rFonts w:hint="eastAsia" w:ascii="宋体" w:hAnsi="宋体" w:eastAsia="宋体" w:cs="宋体"/>
          <w:bCs/>
          <w:color w:val="auto"/>
          <w:sz w:val="24"/>
          <w:highlight w:val="none"/>
        </w:rPr>
      </w:pPr>
      <w:r>
        <w:rPr>
          <w:rFonts w:hint="eastAsia" w:ascii="宋体" w:hAnsi="宋体" w:eastAsia="宋体" w:cs="宋体"/>
          <w:b/>
          <w:color w:val="auto"/>
          <w:sz w:val="28"/>
          <w:szCs w:val="28"/>
          <w:highlight w:val="none"/>
        </w:rPr>
        <w:t>第二章  供应商须知及前附表</w:t>
      </w:r>
    </w:p>
    <w:p w14:paraId="7C2361D8">
      <w:pPr>
        <w:pStyle w:val="13"/>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供应商须知前附表</w:t>
      </w:r>
    </w:p>
    <w:tbl>
      <w:tblPr>
        <w:tblStyle w:val="27"/>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2191"/>
        <w:gridCol w:w="6665"/>
      </w:tblGrid>
      <w:tr w14:paraId="35A0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62B125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2191" w:type="dxa"/>
            <w:tcBorders>
              <w:top w:val="single" w:color="auto" w:sz="4" w:space="0"/>
              <w:left w:val="single" w:color="auto" w:sz="4" w:space="0"/>
              <w:bottom w:val="single" w:color="auto" w:sz="4" w:space="0"/>
              <w:right w:val="single" w:color="auto" w:sz="4" w:space="0"/>
            </w:tcBorders>
            <w:noWrap w:val="0"/>
            <w:vAlign w:val="center"/>
          </w:tcPr>
          <w:p w14:paraId="6AD938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4BBD476B">
            <w:pPr>
              <w:keepNext w:val="0"/>
              <w:keepLines w:val="0"/>
              <w:pageBreakBefore w:val="0"/>
              <w:widowControl w:val="0"/>
              <w:tabs>
                <w:tab w:val="left" w:pos="118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说明与要求</w:t>
            </w:r>
          </w:p>
        </w:tc>
      </w:tr>
      <w:tr w14:paraId="6FFD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1A7CA12E">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b w:val="0"/>
                <w:bCs/>
                <w:color w:val="auto"/>
                <w:sz w:val="24"/>
                <w:szCs w:val="24"/>
                <w:highlight w:val="none"/>
                <w:lang w:val="en-US" w:eastAsia="zh-CN"/>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17CB21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采购人</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684D8A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名称：</w:t>
            </w:r>
            <w:r>
              <w:rPr>
                <w:rFonts w:hint="eastAsia" w:ascii="宋体" w:hAnsi="宋体" w:cs="宋体"/>
                <w:color w:val="auto"/>
                <w:sz w:val="24"/>
                <w:szCs w:val="24"/>
                <w:highlight w:val="none"/>
                <w:lang w:val="zh-CN" w:eastAsia="zh-CN"/>
              </w:rPr>
              <w:t>长武县住房和城乡建设局</w:t>
            </w:r>
          </w:p>
          <w:p w14:paraId="7DB7B8B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地址：咸阳市</w:t>
            </w:r>
            <w:r>
              <w:rPr>
                <w:rFonts w:hint="eastAsia" w:ascii="宋体" w:hAnsi="宋体" w:cs="宋体"/>
                <w:color w:val="auto"/>
                <w:sz w:val="24"/>
                <w:szCs w:val="24"/>
                <w:highlight w:val="none"/>
                <w:lang w:val="en-US" w:eastAsia="zh-CN"/>
              </w:rPr>
              <w:t>长武县</w:t>
            </w:r>
          </w:p>
          <w:p w14:paraId="79F043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联系人：</w:t>
            </w:r>
            <w:r>
              <w:rPr>
                <w:rFonts w:hint="eastAsia" w:ascii="宋体" w:hAnsi="宋体" w:cs="宋体"/>
                <w:color w:val="auto"/>
                <w:sz w:val="24"/>
                <w:szCs w:val="24"/>
                <w:highlight w:val="none"/>
                <w:lang w:val="en-US" w:eastAsia="zh-CN"/>
              </w:rPr>
              <w:t>戴亮</w:t>
            </w:r>
            <w:r>
              <w:rPr>
                <w:rFonts w:hint="eastAsia" w:ascii="宋体" w:hAnsi="宋体" w:eastAsia="宋体" w:cs="宋体"/>
                <w:color w:val="auto"/>
                <w:sz w:val="24"/>
                <w:szCs w:val="24"/>
                <w:highlight w:val="none"/>
                <w:lang w:val="en-US" w:eastAsia="zh-CN"/>
              </w:rPr>
              <w:t xml:space="preserve">  </w:t>
            </w:r>
          </w:p>
          <w:p w14:paraId="2E9B72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zh-CN" w:eastAsia="zh-CN"/>
              </w:rPr>
              <w:t>联系方式：</w:t>
            </w:r>
            <w:r>
              <w:rPr>
                <w:rFonts w:hint="eastAsia" w:ascii="宋体" w:hAnsi="宋体" w:eastAsia="宋体" w:cs="宋体"/>
                <w:b w:val="0"/>
                <w:bCs w:val="0"/>
                <w:color w:val="auto"/>
                <w:sz w:val="24"/>
                <w:szCs w:val="24"/>
                <w:highlight w:val="none"/>
                <w:lang w:val="en-US" w:eastAsia="zh-CN"/>
              </w:rPr>
              <w:t>029-</w:t>
            </w:r>
            <w:r>
              <w:rPr>
                <w:rFonts w:hint="eastAsia" w:ascii="宋体" w:hAnsi="宋体" w:cs="宋体"/>
                <w:b w:val="0"/>
                <w:bCs w:val="0"/>
                <w:color w:val="auto"/>
                <w:sz w:val="24"/>
                <w:szCs w:val="24"/>
                <w:highlight w:val="none"/>
                <w:lang w:val="en-US" w:eastAsia="zh-CN"/>
              </w:rPr>
              <w:t>34202217</w:t>
            </w:r>
            <w:r>
              <w:rPr>
                <w:rFonts w:hint="eastAsia" w:ascii="宋体" w:hAnsi="宋体" w:eastAsia="宋体" w:cs="宋体"/>
                <w:color w:val="auto"/>
                <w:sz w:val="24"/>
                <w:szCs w:val="24"/>
                <w:highlight w:val="none"/>
                <w:lang w:val="en-US" w:eastAsia="zh-CN"/>
              </w:rPr>
              <w:t xml:space="preserve"> </w:t>
            </w:r>
          </w:p>
        </w:tc>
      </w:tr>
      <w:tr w14:paraId="7F96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5BB866C2">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b w:val="0"/>
                <w:bCs/>
                <w:color w:val="auto"/>
                <w:sz w:val="24"/>
                <w:szCs w:val="24"/>
                <w:highlight w:val="none"/>
                <w:lang w:val="en-US" w:eastAsia="zh-CN"/>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2F1C06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代理机构</w:t>
            </w:r>
          </w:p>
        </w:tc>
        <w:tc>
          <w:tcPr>
            <w:tcW w:w="6665" w:type="dxa"/>
            <w:tcBorders>
              <w:top w:val="single" w:color="auto" w:sz="4" w:space="0"/>
              <w:left w:val="single" w:color="auto" w:sz="4" w:space="0"/>
              <w:bottom w:val="single" w:color="auto" w:sz="4" w:space="0"/>
              <w:right w:val="single" w:color="auto" w:sz="4" w:space="0"/>
            </w:tcBorders>
            <w:noWrap w:val="0"/>
            <w:vAlign w:val="top"/>
          </w:tcPr>
          <w:p w14:paraId="64D2A5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名称：</w:t>
            </w:r>
            <w:r>
              <w:rPr>
                <w:rFonts w:hint="eastAsia" w:ascii="宋体" w:hAnsi="宋体" w:eastAsia="宋体" w:cs="宋体"/>
                <w:color w:val="auto"/>
                <w:sz w:val="24"/>
                <w:szCs w:val="24"/>
                <w:highlight w:val="none"/>
                <w:lang w:val="zh-CN" w:eastAsia="zh-CN"/>
              </w:rPr>
              <w:t>亿诚建设项目管理有限公司</w:t>
            </w:r>
          </w:p>
          <w:p w14:paraId="57FF29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地址：陕西省西安市高新区丈八五路高科尚都ONE尚城A座10F</w:t>
            </w:r>
          </w:p>
          <w:p w14:paraId="68279F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联系人：</w:t>
            </w:r>
            <w:r>
              <w:rPr>
                <w:rFonts w:hint="eastAsia" w:ascii="宋体" w:hAnsi="宋体" w:eastAsia="宋体" w:cs="宋体"/>
                <w:b w:val="0"/>
                <w:bCs w:val="0"/>
                <w:color w:val="auto"/>
                <w:sz w:val="24"/>
                <w:szCs w:val="24"/>
                <w:highlight w:val="none"/>
                <w:lang w:val="en-US" w:eastAsia="zh-CN"/>
              </w:rPr>
              <w:t>董海龙、赵醒文</w:t>
            </w:r>
            <w:r>
              <w:rPr>
                <w:rFonts w:hint="eastAsia" w:ascii="宋体" w:hAnsi="宋体" w:cs="宋体"/>
                <w:b w:val="0"/>
                <w:bCs w:val="0"/>
                <w:color w:val="auto"/>
                <w:sz w:val="24"/>
                <w:szCs w:val="24"/>
                <w:highlight w:val="none"/>
                <w:lang w:val="en-US" w:eastAsia="zh-CN"/>
              </w:rPr>
              <w:t>、赵利科、崔芮菁</w:t>
            </w:r>
          </w:p>
          <w:p w14:paraId="04140E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zh-CN"/>
              </w:rPr>
              <w:t>联系方式：</w:t>
            </w:r>
            <w:r>
              <w:rPr>
                <w:rFonts w:hint="eastAsia" w:ascii="宋体" w:hAnsi="宋体" w:eastAsia="宋体" w:cs="宋体"/>
                <w:color w:val="auto"/>
                <w:sz w:val="24"/>
                <w:szCs w:val="24"/>
                <w:highlight w:val="none"/>
                <w:lang w:val="en-US" w:eastAsia="zh-CN"/>
              </w:rPr>
              <w:t xml:space="preserve">029-68683878  </w:t>
            </w:r>
          </w:p>
        </w:tc>
      </w:tr>
      <w:tr w14:paraId="2EFC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623C9BAF">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sz w:val="24"/>
                <w:szCs w:val="24"/>
                <w:highlight w:val="none"/>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6310F3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2687B2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长武县城区摆放时令鲜花项目</w:t>
            </w:r>
          </w:p>
        </w:tc>
      </w:tr>
      <w:tr w14:paraId="11EA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7F3F5A96">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4E5569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项目编号</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450A10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YC26001016（CGP）</w:t>
            </w:r>
          </w:p>
        </w:tc>
      </w:tr>
      <w:tr w14:paraId="7E1D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6C6420B2">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3FD891D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项目性质</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57B8DE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服务类</w:t>
            </w:r>
          </w:p>
        </w:tc>
      </w:tr>
      <w:tr w14:paraId="6654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3EE46E4B">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688495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采购内容</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4A37F7D6">
            <w:pPr>
              <w:keepNext w:val="0"/>
              <w:keepLines w:val="0"/>
              <w:pageBreakBefore w:val="0"/>
              <w:widowControl w:val="0"/>
              <w:tabs>
                <w:tab w:val="left" w:pos="118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kern w:val="2"/>
                <w:sz w:val="24"/>
                <w:szCs w:val="24"/>
                <w:highlight w:val="none"/>
                <w:lang w:val="en-US" w:eastAsia="zh-CN" w:bidi="ar-SA"/>
              </w:rPr>
              <w:t>长武县城区摆放时令鲜花项目</w:t>
            </w:r>
            <w:r>
              <w:rPr>
                <w:rFonts w:hint="eastAsia" w:ascii="宋体" w:hAnsi="宋体" w:eastAsia="宋体" w:cs="宋体"/>
                <w:color w:val="auto"/>
                <w:kern w:val="2"/>
                <w:sz w:val="24"/>
                <w:szCs w:val="24"/>
                <w:highlight w:val="none"/>
                <w:lang w:val="en-US" w:eastAsia="zh-CN" w:bidi="ar-SA"/>
              </w:rPr>
              <w:t>采购内容及要求</w:t>
            </w:r>
            <w:r>
              <w:rPr>
                <w:rFonts w:hint="eastAsia" w:ascii="宋体" w:hAnsi="宋体" w:eastAsia="宋体" w:cs="宋体"/>
                <w:color w:val="auto"/>
                <w:sz w:val="24"/>
                <w:szCs w:val="24"/>
                <w:highlight w:val="none"/>
                <w:lang w:val="en-US" w:eastAsia="zh-CN"/>
              </w:rPr>
              <w:t>详见“第三章·采购内容及要求”</w:t>
            </w:r>
          </w:p>
        </w:tc>
      </w:tr>
      <w:tr w14:paraId="7DE7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508A05B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325DE8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采购预算</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5CE4FB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1500</w:t>
            </w:r>
            <w:r>
              <w:rPr>
                <w:rFonts w:hint="eastAsia" w:ascii="宋体" w:hAnsi="宋体" w:eastAsia="宋体" w:cs="宋体"/>
                <w:color w:val="auto"/>
                <w:kern w:val="2"/>
                <w:sz w:val="24"/>
                <w:szCs w:val="24"/>
                <w:highlight w:val="none"/>
                <w:lang w:val="en-US" w:eastAsia="zh-CN" w:bidi="ar-SA"/>
              </w:rPr>
              <w:t>000.00元（供应商磋商报价超出采购预算金额的，作为不实质性响应竞争性磋商文件，按无效磋商文件处理）</w:t>
            </w:r>
          </w:p>
        </w:tc>
      </w:tr>
      <w:tr w14:paraId="23B4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76715716">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sz w:val="24"/>
                <w:szCs w:val="24"/>
                <w:highlight w:val="none"/>
                <w:lang w:val="en-US" w:eastAsia="zh-CN"/>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3A7106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最高限价</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4C6D14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15</w:t>
            </w:r>
            <w:r>
              <w:rPr>
                <w:rFonts w:hint="eastAsia" w:ascii="宋体" w:hAnsi="宋体" w:eastAsia="宋体" w:cs="宋体"/>
                <w:color w:val="auto"/>
                <w:kern w:val="2"/>
                <w:sz w:val="24"/>
                <w:szCs w:val="24"/>
                <w:highlight w:val="none"/>
                <w:lang w:val="en-US" w:eastAsia="zh-CN" w:bidi="ar-SA"/>
              </w:rPr>
              <w:t>00000.00元（供应商磋商报价超出</w:t>
            </w:r>
            <w:r>
              <w:rPr>
                <w:rFonts w:hint="eastAsia" w:ascii="宋体" w:hAnsi="宋体" w:cs="宋体"/>
                <w:color w:val="auto"/>
                <w:kern w:val="2"/>
                <w:sz w:val="24"/>
                <w:szCs w:val="24"/>
                <w:highlight w:val="none"/>
                <w:lang w:val="en-US" w:eastAsia="zh-CN" w:bidi="ar-SA"/>
              </w:rPr>
              <w:t>最高限价</w:t>
            </w:r>
            <w:r>
              <w:rPr>
                <w:rFonts w:hint="eastAsia" w:ascii="宋体" w:hAnsi="宋体" w:eastAsia="宋体" w:cs="宋体"/>
                <w:color w:val="auto"/>
                <w:kern w:val="2"/>
                <w:sz w:val="24"/>
                <w:szCs w:val="24"/>
                <w:highlight w:val="none"/>
                <w:lang w:val="en-US" w:eastAsia="zh-CN" w:bidi="ar-SA"/>
              </w:rPr>
              <w:t>的，作为不实质性响应竞争性磋商文件，按无效磋商文件处理）</w:t>
            </w:r>
          </w:p>
        </w:tc>
      </w:tr>
      <w:tr w14:paraId="421A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507DD621">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78A3F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服务期</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57FE9C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u w:val="none"/>
                <w:lang w:val="en-US" w:eastAsia="zh-CN"/>
              </w:rPr>
              <w:t>自签订合同之日起1年</w:t>
            </w:r>
          </w:p>
        </w:tc>
      </w:tr>
      <w:tr w14:paraId="745B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5728B633">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3D31D5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供应商资格要求</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2A1C91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详见竞争性磋商公告</w:t>
            </w:r>
          </w:p>
        </w:tc>
      </w:tr>
      <w:tr w14:paraId="5023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49857BA0">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3AA1E4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是否接受联合体</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695CE0E5">
            <w:pPr>
              <w:keepNext w:val="0"/>
              <w:keepLines w:val="0"/>
              <w:pageBreakBefore w:val="0"/>
              <w:widowControl w:val="0"/>
              <w:tabs>
                <w:tab w:val="left" w:pos="118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不接受</w:t>
            </w:r>
          </w:p>
        </w:tc>
      </w:tr>
      <w:tr w14:paraId="31A9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12" w:type="dxa"/>
            <w:tcBorders>
              <w:top w:val="single" w:color="auto" w:sz="4" w:space="0"/>
              <w:left w:val="single" w:color="auto" w:sz="4" w:space="0"/>
              <w:right w:val="single" w:color="auto" w:sz="4" w:space="0"/>
            </w:tcBorders>
            <w:noWrap w:val="0"/>
            <w:vAlign w:val="center"/>
          </w:tcPr>
          <w:p w14:paraId="1A8C975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right w:val="single" w:color="auto" w:sz="4" w:space="0"/>
            </w:tcBorders>
            <w:noWrap w:val="0"/>
            <w:vAlign w:val="center"/>
          </w:tcPr>
          <w:p w14:paraId="1FAEDD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支持中小企业</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03B31D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是否预留份额专门面向中小企业采购</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专门面向</w:t>
            </w:r>
          </w:p>
        </w:tc>
      </w:tr>
      <w:tr w14:paraId="5269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0C2BA9E6">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6B91FAC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中小企业划分标准</w:t>
            </w:r>
          </w:p>
          <w:p w14:paraId="653A98B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所属行业</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3FF747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本项目中小企业声明函填写所属行业分类为：</w:t>
            </w:r>
            <w:r>
              <w:rPr>
                <w:rFonts w:hint="eastAsia" w:ascii="宋体" w:hAnsi="宋体" w:eastAsia="宋体" w:cs="宋体"/>
                <w:b/>
                <w:bCs/>
                <w:color w:val="auto"/>
                <w:sz w:val="24"/>
                <w:szCs w:val="24"/>
                <w:highlight w:val="none"/>
                <w:lang w:val="en-US" w:eastAsia="zh-CN"/>
              </w:rPr>
              <w:t>其他未列明行业</w:t>
            </w:r>
          </w:p>
        </w:tc>
      </w:tr>
      <w:tr w14:paraId="3C5F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2979F76D">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534445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本次磋商的最小单元</w:t>
            </w:r>
          </w:p>
        </w:tc>
        <w:tc>
          <w:tcPr>
            <w:tcW w:w="6665" w:type="dxa"/>
            <w:tcBorders>
              <w:top w:val="single" w:color="auto" w:sz="4" w:space="0"/>
              <w:left w:val="single" w:color="auto" w:sz="4" w:space="0"/>
              <w:bottom w:val="single" w:color="auto" w:sz="4" w:space="0"/>
              <w:right w:val="single" w:color="auto" w:sz="4" w:space="0"/>
            </w:tcBorders>
            <w:noWrap w:val="0"/>
            <w:vAlign w:val="top"/>
          </w:tcPr>
          <w:p w14:paraId="591513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bidi="ar-SA"/>
              </w:rPr>
              <w:t>本次磋商的最小单元为“项目全部内容”。任何不完全的响应将按照无效磋商响应文件处理。</w:t>
            </w:r>
          </w:p>
        </w:tc>
      </w:tr>
      <w:tr w14:paraId="00D5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523DEDBE">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269882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是否组织现场</w:t>
            </w:r>
            <w:r>
              <w:rPr>
                <w:rFonts w:hint="eastAsia" w:ascii="宋体" w:hAnsi="宋体" w:eastAsia="宋体" w:cs="宋体"/>
                <w:color w:val="auto"/>
                <w:sz w:val="24"/>
                <w:szCs w:val="24"/>
                <w:highlight w:val="none"/>
                <w:lang w:val="en-US" w:eastAsia="zh-CN"/>
              </w:rPr>
              <w:t>踏勘</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47450E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不组织</w:t>
            </w:r>
          </w:p>
        </w:tc>
      </w:tr>
      <w:tr w14:paraId="62B9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655459B0">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440BE6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是否组织</w:t>
            </w:r>
            <w:r>
              <w:rPr>
                <w:rFonts w:hint="eastAsia" w:ascii="宋体" w:hAnsi="宋体" w:eastAsia="宋体" w:cs="宋体"/>
                <w:color w:val="auto"/>
                <w:sz w:val="24"/>
                <w:szCs w:val="24"/>
                <w:highlight w:val="none"/>
                <w:lang w:val="en-US" w:eastAsia="zh-CN"/>
              </w:rPr>
              <w:t>磋商预备会</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61CE5C2E">
            <w:pPr>
              <w:keepNext w:val="0"/>
              <w:keepLines w:val="0"/>
              <w:pageBreakBefore w:val="0"/>
              <w:widowControl w:val="0"/>
              <w:tabs>
                <w:tab w:val="left" w:pos="118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不组织</w:t>
            </w:r>
          </w:p>
        </w:tc>
      </w:tr>
      <w:tr w14:paraId="1799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5C662A4F">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00E6BE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是否允许递交备选</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方案</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4A6BA2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不允许</w:t>
            </w:r>
          </w:p>
        </w:tc>
      </w:tr>
      <w:tr w14:paraId="2401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7E38204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090D71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w:t>
            </w:r>
            <w:r>
              <w:rPr>
                <w:rFonts w:hint="eastAsia" w:ascii="宋体" w:hAnsi="宋体" w:eastAsia="宋体" w:cs="宋体"/>
                <w:color w:val="auto"/>
                <w:kern w:val="2"/>
                <w:sz w:val="24"/>
                <w:szCs w:val="24"/>
                <w:highlight w:val="none"/>
                <w:lang w:val="en-US" w:eastAsia="zh-CN" w:bidi="ar-SA"/>
              </w:rPr>
              <w:t>分包、转包</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255313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不允许</w:t>
            </w:r>
          </w:p>
          <w:p w14:paraId="3AF561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w:t>
            </w:r>
            <w:r>
              <w:rPr>
                <w:rFonts w:hint="eastAsia" w:ascii="宋体" w:hAnsi="宋体" w:eastAsia="宋体" w:cs="宋体"/>
                <w:b/>
                <w:bCs/>
                <w:color w:val="auto"/>
                <w:kern w:val="2"/>
                <w:sz w:val="24"/>
                <w:szCs w:val="24"/>
                <w:highlight w:val="none"/>
                <w:lang w:val="en-US" w:eastAsia="zh-CN" w:bidi="ar-SA"/>
              </w:rPr>
              <w:t>成交单位若违规分包、转包采购人有权取消其成交资格或终止并解除合同</w:t>
            </w:r>
          </w:p>
        </w:tc>
      </w:tr>
      <w:tr w14:paraId="4C8E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2BC6292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29EF3C6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构成</w:t>
            </w:r>
            <w:r>
              <w:rPr>
                <w:rFonts w:hint="eastAsia" w:ascii="宋体" w:hAnsi="宋体" w:eastAsia="宋体" w:cs="宋体"/>
                <w:color w:val="auto"/>
                <w:sz w:val="24"/>
                <w:szCs w:val="24"/>
                <w:highlight w:val="none"/>
                <w:lang w:val="en-US" w:eastAsia="zh-CN"/>
              </w:rPr>
              <w:t>竞争性磋商</w:t>
            </w:r>
          </w:p>
          <w:p w14:paraId="7FBDB2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文件的其他材料</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0DFF280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对竞争性磋商文件所作的澄清、修改、答疑以及往来通知、函件等</w:t>
            </w:r>
          </w:p>
        </w:tc>
      </w:tr>
      <w:tr w14:paraId="60A9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6E6F13E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46F282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竞争性磋商响应</w:t>
            </w:r>
          </w:p>
          <w:p w14:paraId="00F62B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文件递交</w:t>
            </w:r>
            <w:r>
              <w:rPr>
                <w:rFonts w:hint="eastAsia" w:ascii="宋体" w:hAnsi="宋体" w:eastAsia="宋体" w:cs="宋体"/>
                <w:color w:val="auto"/>
                <w:sz w:val="24"/>
                <w:szCs w:val="24"/>
                <w:highlight w:val="none"/>
              </w:rPr>
              <w:t>截止时间</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4226476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202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lang w:val="en-US" w:eastAsia="zh-CN"/>
              </w:rPr>
              <w:t>月</w:t>
            </w:r>
            <w:r>
              <w:rPr>
                <w:rFonts w:hint="eastAsia" w:ascii="宋体" w:hAnsi="宋体" w:cs="宋体"/>
                <w:color w:val="auto"/>
                <w:sz w:val="24"/>
                <w:szCs w:val="24"/>
                <w:highlight w:val="none"/>
                <w:lang w:val="en-US" w:eastAsia="zh-CN"/>
              </w:rPr>
              <w:t>08</w:t>
            </w:r>
            <w:r>
              <w:rPr>
                <w:rFonts w:hint="eastAsia" w:ascii="宋体" w:hAnsi="宋体" w:eastAsia="宋体" w:cs="宋体"/>
                <w:color w:val="auto"/>
                <w:sz w:val="24"/>
                <w:szCs w:val="24"/>
                <w:highlight w:val="none"/>
                <w:lang w:val="en-US" w:eastAsia="zh-CN"/>
              </w:rPr>
              <w:t>日14时30分</w:t>
            </w:r>
          </w:p>
        </w:tc>
      </w:tr>
      <w:tr w14:paraId="3EF2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63C8A754">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4FE22C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磋商有效期</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79348A69">
            <w:pPr>
              <w:keepNext w:val="0"/>
              <w:keepLines w:val="0"/>
              <w:pageBreakBefore w:val="0"/>
              <w:widowControl w:val="0"/>
              <w:tabs>
                <w:tab w:val="left" w:pos="118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 xml:space="preserve">90日历天（从磋商截止之日算起）                                                                                                                           </w:t>
            </w:r>
          </w:p>
        </w:tc>
      </w:tr>
      <w:tr w14:paraId="1897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78C64ACF">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168AE0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磋商保证金</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3143C42D">
            <w:pPr>
              <w:keepNext w:val="0"/>
              <w:keepLines w:val="0"/>
              <w:pageBreakBefore w:val="0"/>
              <w:widowControl w:val="0"/>
              <w:tabs>
                <w:tab w:val="left" w:pos="118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无需缴纳</w:t>
            </w:r>
          </w:p>
        </w:tc>
      </w:tr>
      <w:tr w14:paraId="7A40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6776D460">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7D8F5C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磋商报价</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7CB4E579">
            <w:pPr>
              <w:keepNext w:val="0"/>
              <w:keepLines w:val="0"/>
              <w:pageBreakBefore w:val="0"/>
              <w:widowControl w:val="0"/>
              <w:tabs>
                <w:tab w:val="left" w:pos="118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（1）供应商正确、全面完成本项目所述全部工作内容的价格体现；</w:t>
            </w:r>
          </w:p>
          <w:p w14:paraId="7CD3B4E1">
            <w:pPr>
              <w:keepNext w:val="0"/>
              <w:keepLines w:val="0"/>
              <w:pageBreakBefore w:val="0"/>
              <w:widowControl w:val="0"/>
              <w:tabs>
                <w:tab w:val="left" w:pos="118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（2）磋商报价均为含税报价。</w:t>
            </w:r>
          </w:p>
        </w:tc>
      </w:tr>
      <w:tr w14:paraId="7403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3B20EE40">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4987C6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aps w:val="0"/>
                <w:color w:val="auto"/>
                <w:sz w:val="24"/>
                <w:szCs w:val="24"/>
                <w:highlight w:val="none"/>
              </w:rPr>
              <w:t>签字或盖章要求</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3C4C62A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aps w:val="0"/>
                <w:color w:val="auto"/>
                <w:sz w:val="24"/>
                <w:szCs w:val="24"/>
                <w:highlight w:val="none"/>
              </w:rPr>
              <w:t>本</w:t>
            </w:r>
            <w:r>
              <w:rPr>
                <w:rFonts w:hint="eastAsia" w:ascii="宋体" w:hAnsi="宋体" w:eastAsia="宋体" w:cs="宋体"/>
                <w:caps w:val="0"/>
                <w:color w:val="auto"/>
                <w:sz w:val="24"/>
                <w:szCs w:val="24"/>
                <w:highlight w:val="none"/>
                <w:lang w:val="en-US" w:eastAsia="zh-CN"/>
              </w:rPr>
              <w:t>磋商文件</w:t>
            </w:r>
            <w:r>
              <w:rPr>
                <w:rFonts w:hint="eastAsia" w:ascii="宋体" w:hAnsi="宋体" w:eastAsia="宋体" w:cs="宋体"/>
                <w:caps w:val="0"/>
                <w:color w:val="auto"/>
                <w:sz w:val="24"/>
                <w:szCs w:val="24"/>
                <w:highlight w:val="none"/>
              </w:rPr>
              <w:t>凡要求</w:t>
            </w:r>
            <w:r>
              <w:rPr>
                <w:rFonts w:hint="eastAsia" w:ascii="宋体" w:hAnsi="宋体" w:eastAsia="宋体" w:cs="宋体"/>
                <w:caps w:val="0"/>
                <w:color w:val="auto"/>
                <w:sz w:val="24"/>
                <w:szCs w:val="24"/>
                <w:highlight w:val="none"/>
                <w:lang w:eastAsia="zh-CN"/>
              </w:rPr>
              <w:t>加盖供应商公章处，均应加盖供应商公章；凡要求</w:t>
            </w:r>
            <w:r>
              <w:rPr>
                <w:rFonts w:hint="eastAsia" w:ascii="宋体" w:hAnsi="宋体" w:eastAsia="宋体" w:cs="宋体"/>
                <w:caps w:val="0"/>
                <w:color w:val="auto"/>
                <w:sz w:val="24"/>
                <w:szCs w:val="24"/>
                <w:highlight w:val="none"/>
              </w:rPr>
              <w:t>法定代表人、授权代表签字（名）</w:t>
            </w:r>
            <w:r>
              <w:rPr>
                <w:rFonts w:hint="eastAsia" w:ascii="宋体" w:hAnsi="宋体" w:eastAsia="宋体" w:cs="宋体"/>
                <w:caps w:val="0"/>
                <w:color w:val="auto"/>
                <w:sz w:val="24"/>
                <w:szCs w:val="24"/>
                <w:highlight w:val="none"/>
                <w:lang w:eastAsia="zh-CN"/>
              </w:rPr>
              <w:t>或盖章</w:t>
            </w:r>
            <w:r>
              <w:rPr>
                <w:rFonts w:hint="eastAsia" w:ascii="宋体" w:hAnsi="宋体" w:eastAsia="宋体" w:cs="宋体"/>
                <w:caps w:val="0"/>
                <w:color w:val="auto"/>
                <w:sz w:val="24"/>
                <w:szCs w:val="24"/>
                <w:highlight w:val="none"/>
              </w:rPr>
              <w:t>处，均应由签字（名）者本人用不褪色的蓝(黑)色墨水(汁)书写</w:t>
            </w:r>
            <w:r>
              <w:rPr>
                <w:rFonts w:hint="eastAsia" w:ascii="宋体" w:hAnsi="宋体" w:eastAsia="宋体" w:cs="宋体"/>
                <w:caps w:val="0"/>
                <w:color w:val="auto"/>
                <w:sz w:val="24"/>
                <w:szCs w:val="24"/>
                <w:highlight w:val="none"/>
                <w:lang w:eastAsia="zh-CN"/>
              </w:rPr>
              <w:t>或者加盖私章</w:t>
            </w:r>
            <w:r>
              <w:rPr>
                <w:rFonts w:hint="eastAsia" w:ascii="宋体" w:hAnsi="宋体" w:eastAsia="宋体" w:cs="宋体"/>
                <w:caps w:val="0"/>
                <w:color w:val="auto"/>
                <w:sz w:val="24"/>
                <w:szCs w:val="24"/>
                <w:highlight w:val="none"/>
              </w:rPr>
              <w:t>。</w:t>
            </w:r>
          </w:p>
        </w:tc>
      </w:tr>
      <w:tr w14:paraId="204D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36ACEB10">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602F52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aps w:val="0"/>
                <w:color w:val="auto"/>
                <w:sz w:val="24"/>
                <w:szCs w:val="24"/>
                <w:highlight w:val="none"/>
                <w:lang w:eastAsia="zh-CN"/>
              </w:rPr>
              <w:t>磋商响应文件</w:t>
            </w:r>
            <w:r>
              <w:rPr>
                <w:rFonts w:hint="eastAsia" w:ascii="宋体" w:hAnsi="宋体" w:eastAsia="宋体" w:cs="宋体"/>
                <w:caps w:val="0"/>
                <w:color w:val="auto"/>
                <w:sz w:val="24"/>
                <w:szCs w:val="24"/>
                <w:highlight w:val="none"/>
              </w:rPr>
              <w:t>份数</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1A02CE4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aps w:val="0"/>
                <w:color w:val="auto"/>
                <w:sz w:val="24"/>
                <w:szCs w:val="24"/>
                <w:highlight w:val="none"/>
                <w:lang w:eastAsia="zh-CN"/>
              </w:rPr>
              <w:t>正本</w:t>
            </w:r>
            <w:r>
              <w:rPr>
                <w:rFonts w:hint="eastAsia" w:ascii="宋体" w:hAnsi="宋体" w:eastAsia="宋体" w:cs="宋体"/>
                <w:caps w:val="0"/>
                <w:color w:val="auto"/>
                <w:sz w:val="24"/>
                <w:szCs w:val="24"/>
                <w:highlight w:val="none"/>
                <w:lang w:val="en-US" w:eastAsia="zh-CN"/>
              </w:rPr>
              <w:t>1本、副本2本、电子版文件2份（U盘）</w:t>
            </w:r>
          </w:p>
        </w:tc>
      </w:tr>
      <w:tr w14:paraId="49A3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6F71FFC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67E3B9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aps w:val="0"/>
                <w:color w:val="auto"/>
                <w:sz w:val="24"/>
                <w:szCs w:val="24"/>
                <w:highlight w:val="none"/>
              </w:rPr>
              <w:t>纸质</w:t>
            </w:r>
            <w:r>
              <w:rPr>
                <w:rFonts w:hint="eastAsia" w:ascii="宋体" w:hAnsi="宋体" w:eastAsia="宋体" w:cs="宋体"/>
                <w:caps w:val="0"/>
                <w:color w:val="auto"/>
                <w:sz w:val="24"/>
                <w:szCs w:val="24"/>
                <w:highlight w:val="none"/>
                <w:lang w:eastAsia="zh-CN"/>
              </w:rPr>
              <w:t>磋商响应文件</w:t>
            </w:r>
            <w:r>
              <w:rPr>
                <w:rFonts w:hint="eastAsia" w:ascii="宋体" w:hAnsi="宋体" w:eastAsia="宋体" w:cs="宋体"/>
                <w:caps w:val="0"/>
                <w:color w:val="auto"/>
                <w:sz w:val="24"/>
                <w:szCs w:val="24"/>
                <w:highlight w:val="none"/>
              </w:rPr>
              <w:t>装订</w:t>
            </w:r>
            <w:r>
              <w:rPr>
                <w:rFonts w:hint="eastAsia" w:ascii="宋体" w:hAnsi="宋体" w:eastAsia="宋体" w:cs="宋体"/>
                <w:caps w:val="0"/>
                <w:color w:val="auto"/>
                <w:sz w:val="24"/>
                <w:szCs w:val="24"/>
                <w:highlight w:val="none"/>
                <w:lang w:eastAsia="zh-CN"/>
              </w:rPr>
              <w:t>、</w:t>
            </w:r>
            <w:r>
              <w:rPr>
                <w:rFonts w:hint="eastAsia" w:ascii="宋体" w:hAnsi="宋体" w:eastAsia="宋体" w:cs="宋体"/>
                <w:caps w:val="0"/>
                <w:color w:val="auto"/>
                <w:sz w:val="24"/>
                <w:szCs w:val="24"/>
                <w:highlight w:val="none"/>
              </w:rPr>
              <w:t>包装、密封及标记要求</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1149AA6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z w:val="24"/>
                <w:szCs w:val="24"/>
                <w:highlight w:val="none"/>
                <w:lang w:val="en-US" w:eastAsia="zh-CN"/>
              </w:rPr>
            </w:pPr>
            <w:r>
              <w:rPr>
                <w:rFonts w:hint="eastAsia" w:ascii="宋体" w:hAnsi="宋体" w:eastAsia="宋体" w:cs="宋体"/>
                <w:caps w:val="0"/>
                <w:color w:val="auto"/>
                <w:sz w:val="24"/>
                <w:szCs w:val="24"/>
                <w:highlight w:val="none"/>
                <w:lang w:val="en-US" w:eastAsia="zh-CN"/>
              </w:rPr>
              <w:t>1.磋商响应文件正、副本应分别胶装成册，装订牢固、不得采用活页装订。</w:t>
            </w:r>
          </w:p>
          <w:p w14:paraId="33CE2F6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z w:val="24"/>
                <w:szCs w:val="24"/>
                <w:highlight w:val="none"/>
                <w:lang w:val="en-US" w:eastAsia="zh-CN"/>
              </w:rPr>
            </w:pPr>
            <w:r>
              <w:rPr>
                <w:rFonts w:hint="eastAsia" w:ascii="宋体" w:hAnsi="宋体" w:eastAsia="宋体" w:cs="宋体"/>
                <w:caps w:val="0"/>
                <w:color w:val="auto"/>
                <w:sz w:val="24"/>
                <w:szCs w:val="24"/>
                <w:highlight w:val="none"/>
                <w:lang w:val="en-US" w:eastAsia="zh-CN"/>
              </w:rPr>
              <w:t>2.密封包装方式：</w:t>
            </w:r>
          </w:p>
          <w:p w14:paraId="017DD77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aps w:val="0"/>
                <w:color w:val="auto"/>
                <w:sz w:val="24"/>
                <w:szCs w:val="24"/>
                <w:highlight w:val="none"/>
                <w:lang w:val="en-US" w:eastAsia="zh-CN"/>
              </w:rPr>
              <w:t>①磋商响应文件的正本1本密封于一个密封袋内，副本2本密封于一个密封袋内；</w:t>
            </w:r>
            <w:r>
              <w:rPr>
                <w:rFonts w:hint="eastAsia" w:ascii="宋体" w:hAnsi="宋体" w:eastAsia="宋体" w:cs="宋体"/>
                <w:color w:val="auto"/>
                <w:sz w:val="24"/>
                <w:szCs w:val="24"/>
                <w:highlight w:val="none"/>
                <w:lang w:eastAsia="zh-CN"/>
              </w:rPr>
              <w:t>电子版文件</w:t>
            </w:r>
            <w:r>
              <w:rPr>
                <w:rFonts w:hint="eastAsia" w:ascii="宋体" w:hAnsi="宋体" w:eastAsia="宋体" w:cs="宋体"/>
                <w:color w:val="auto"/>
                <w:sz w:val="24"/>
                <w:szCs w:val="24"/>
                <w:highlight w:val="none"/>
              </w:rPr>
              <w:t>单独密封于1个信封内</w:t>
            </w:r>
            <w:r>
              <w:rPr>
                <w:rFonts w:hint="eastAsia" w:ascii="宋体" w:hAnsi="宋体" w:eastAsia="宋体" w:cs="宋体"/>
                <w:color w:val="auto"/>
                <w:sz w:val="24"/>
                <w:szCs w:val="24"/>
                <w:highlight w:val="none"/>
                <w:lang w:eastAsia="zh-CN"/>
              </w:rPr>
              <w:t>，</w:t>
            </w:r>
            <w:r>
              <w:rPr>
                <w:rFonts w:hint="eastAsia" w:ascii="宋体" w:hAnsi="宋体" w:eastAsia="宋体" w:cs="宋体"/>
                <w:caps w:val="0"/>
                <w:color w:val="auto"/>
                <w:sz w:val="24"/>
                <w:szCs w:val="24"/>
                <w:highlight w:val="none"/>
                <w:lang w:val="en-US" w:eastAsia="zh-CN"/>
              </w:rPr>
              <w:t>封面上应清晰标明“正本”、“副本”、“电子版”等字样，封口处应加盖供应商单位公章，封袋正面要粘贴格式部分提供的封面标识并按照其要求签字或盖章；</w:t>
            </w:r>
          </w:p>
        </w:tc>
      </w:tr>
      <w:tr w14:paraId="162B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69913650">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6086F7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aps w:val="0"/>
                <w:color w:val="auto"/>
                <w:sz w:val="24"/>
                <w:szCs w:val="24"/>
                <w:highlight w:val="none"/>
              </w:rPr>
              <w:t>纸质</w:t>
            </w:r>
            <w:r>
              <w:rPr>
                <w:rFonts w:hint="eastAsia" w:ascii="宋体" w:hAnsi="宋体" w:eastAsia="宋体" w:cs="宋体"/>
                <w:caps w:val="0"/>
                <w:color w:val="auto"/>
                <w:sz w:val="24"/>
                <w:szCs w:val="24"/>
                <w:highlight w:val="none"/>
                <w:lang w:eastAsia="zh-CN"/>
              </w:rPr>
              <w:t>版磋商响应文件</w:t>
            </w:r>
            <w:r>
              <w:rPr>
                <w:rFonts w:hint="eastAsia" w:ascii="宋体" w:hAnsi="宋体" w:eastAsia="宋体" w:cs="宋体"/>
                <w:caps w:val="0"/>
                <w:color w:val="auto"/>
                <w:sz w:val="24"/>
                <w:szCs w:val="24"/>
                <w:highlight w:val="none"/>
              </w:rPr>
              <w:t>封套上写明</w:t>
            </w:r>
            <w:r>
              <w:rPr>
                <w:rFonts w:hint="eastAsia" w:ascii="宋体" w:hAnsi="宋体" w:eastAsia="宋体" w:cs="宋体"/>
                <w:color w:val="auto"/>
                <w:sz w:val="24"/>
                <w:szCs w:val="24"/>
                <w:highlight w:val="none"/>
              </w:rPr>
              <w:t>的其他内容</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687B6EA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val="0"/>
                <w:bCs w:val="0"/>
                <w:caps w:val="0"/>
                <w:color w:val="auto"/>
                <w:sz w:val="24"/>
                <w:szCs w:val="24"/>
                <w:highlight w:val="none"/>
                <w:lang w:val="en-US" w:eastAsia="zh-CN"/>
              </w:rPr>
              <w:t>以</w:t>
            </w:r>
            <w:r>
              <w:rPr>
                <w:rFonts w:hint="eastAsia" w:ascii="宋体" w:hAnsi="宋体" w:eastAsia="宋体" w:cs="宋体"/>
                <w:b w:val="0"/>
                <w:bCs w:val="0"/>
                <w:caps w:val="0"/>
                <w:color w:val="auto"/>
                <w:sz w:val="24"/>
                <w:szCs w:val="24"/>
                <w:highlight w:val="none"/>
                <w:lang w:eastAsia="zh-CN"/>
              </w:rPr>
              <w:t>竞争性磋商响应文件</w:t>
            </w:r>
            <w:r>
              <w:rPr>
                <w:rFonts w:hint="eastAsia" w:ascii="宋体" w:hAnsi="宋体" w:eastAsia="宋体" w:cs="宋体"/>
                <w:b w:val="0"/>
                <w:bCs w:val="0"/>
                <w:caps w:val="0"/>
                <w:color w:val="auto"/>
                <w:sz w:val="24"/>
                <w:szCs w:val="24"/>
                <w:highlight w:val="none"/>
                <w:lang w:val="en-US" w:eastAsia="zh-CN"/>
              </w:rPr>
              <w:t>封面</w:t>
            </w:r>
            <w:r>
              <w:rPr>
                <w:rFonts w:hint="eastAsia" w:ascii="宋体" w:hAnsi="宋体" w:eastAsia="宋体" w:cs="宋体"/>
                <w:b w:val="0"/>
                <w:bCs w:val="0"/>
                <w:caps w:val="0"/>
                <w:color w:val="auto"/>
                <w:sz w:val="24"/>
                <w:szCs w:val="24"/>
                <w:highlight w:val="none"/>
                <w:lang w:eastAsia="zh-CN"/>
              </w:rPr>
              <w:t>格式为准。</w:t>
            </w:r>
          </w:p>
        </w:tc>
      </w:tr>
      <w:tr w14:paraId="1FB7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26AA2BE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490B7DAF">
            <w:pPr>
              <w:keepNext w:val="0"/>
              <w:keepLines w:val="0"/>
              <w:pageBreakBefore w:val="0"/>
              <w:widowControl w:val="0"/>
              <w:tabs>
                <w:tab w:val="left" w:pos="118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是否退还响应文件</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70DF24AC">
            <w:pPr>
              <w:keepNext w:val="0"/>
              <w:keepLines w:val="0"/>
              <w:pageBreakBefore w:val="0"/>
              <w:widowControl w:val="0"/>
              <w:tabs>
                <w:tab w:val="left" w:pos="1180"/>
              </w:tabs>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不退还</w:t>
            </w:r>
          </w:p>
        </w:tc>
      </w:tr>
      <w:tr w14:paraId="10BD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58ACCDEB">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28CF14FE">
            <w:pPr>
              <w:keepNext w:val="0"/>
              <w:keepLines w:val="0"/>
              <w:pageBreakBefore w:val="0"/>
              <w:widowControl w:val="0"/>
              <w:tabs>
                <w:tab w:val="left" w:pos="118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lang w:val="en-US" w:eastAsia="zh-CN"/>
              </w:rPr>
              <w:t>磋商时间及地点</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6229D4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时间：202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08</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14时30分</w:t>
            </w:r>
            <w:r>
              <w:rPr>
                <w:rFonts w:hint="eastAsia" w:ascii="宋体" w:hAnsi="宋体" w:eastAsia="宋体" w:cs="宋体"/>
                <w:color w:val="auto"/>
                <w:sz w:val="24"/>
                <w:szCs w:val="24"/>
                <w:highlight w:val="none"/>
              </w:rPr>
              <w:t>（北京时间）</w:t>
            </w:r>
          </w:p>
          <w:p w14:paraId="0B08E6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color w:val="auto"/>
                <w:sz w:val="24"/>
                <w:szCs w:val="24"/>
                <w:highlight w:val="none"/>
              </w:rPr>
              <w:t>陕西省西安市高新区丈八五路高科尚都ONE尚城A座10F</w:t>
            </w:r>
          </w:p>
        </w:tc>
      </w:tr>
      <w:tr w14:paraId="010E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6527419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sz w:val="24"/>
                <w:szCs w:val="24"/>
                <w:highlight w:val="none"/>
                <w:lang w:val="en-US" w:eastAsia="zh-CN"/>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216613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08197E9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综合评分法</w:t>
            </w:r>
          </w:p>
        </w:tc>
      </w:tr>
      <w:tr w14:paraId="6ED9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126D19C6">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2F1F2E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lang w:val="en-US" w:eastAsia="zh-CN"/>
              </w:rPr>
              <w:t>磋商小组</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0804BFF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磋商小组</w:t>
            </w:r>
            <w:r>
              <w:rPr>
                <w:rFonts w:hint="eastAsia" w:ascii="宋体" w:hAnsi="宋体" w:eastAsia="宋体" w:cs="宋体"/>
                <w:color w:val="auto"/>
                <w:sz w:val="24"/>
                <w:szCs w:val="24"/>
                <w:highlight w:val="none"/>
              </w:rPr>
              <w:t>构成：</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采购人委派1人，专家库随机抽取2人；</w:t>
            </w:r>
          </w:p>
          <w:p w14:paraId="1AF3E24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lang w:val="en-US" w:eastAsia="zh-CN"/>
              </w:rPr>
              <w:t>评审</w:t>
            </w:r>
            <w:r>
              <w:rPr>
                <w:rFonts w:hint="eastAsia" w:ascii="宋体" w:hAnsi="宋体" w:eastAsia="宋体" w:cs="宋体"/>
                <w:color w:val="auto"/>
                <w:sz w:val="24"/>
                <w:szCs w:val="24"/>
                <w:highlight w:val="none"/>
              </w:rPr>
              <w:t>专家确定方式：</w:t>
            </w:r>
            <w:r>
              <w:rPr>
                <w:rFonts w:hint="eastAsia" w:ascii="宋体" w:hAnsi="宋体" w:eastAsia="宋体" w:cs="宋体"/>
                <w:color w:val="auto"/>
                <w:sz w:val="24"/>
                <w:szCs w:val="24"/>
                <w:highlight w:val="none"/>
                <w:lang w:val="en-US" w:eastAsia="zh-CN"/>
              </w:rPr>
              <w:t>在</w:t>
            </w:r>
            <w:r>
              <w:rPr>
                <w:rFonts w:hint="eastAsia" w:ascii="宋体" w:hAnsi="宋体" w:eastAsia="宋体" w:cs="宋体"/>
                <w:color w:val="auto"/>
                <w:sz w:val="24"/>
                <w:szCs w:val="24"/>
                <w:highlight w:val="none"/>
              </w:rPr>
              <w:t>陕西省</w:t>
            </w:r>
            <w:r>
              <w:rPr>
                <w:rFonts w:hint="eastAsia" w:ascii="宋体" w:hAnsi="宋体" w:eastAsia="宋体" w:cs="宋体"/>
                <w:color w:val="auto"/>
                <w:sz w:val="24"/>
                <w:szCs w:val="24"/>
                <w:highlight w:val="none"/>
                <w:lang w:val="en-US" w:eastAsia="zh-CN"/>
              </w:rPr>
              <w:t>政府采购</w:t>
            </w:r>
            <w:r>
              <w:rPr>
                <w:rFonts w:hint="eastAsia" w:ascii="宋体" w:hAnsi="宋体" w:eastAsia="宋体" w:cs="宋体"/>
                <w:color w:val="auto"/>
                <w:sz w:val="24"/>
                <w:szCs w:val="24"/>
                <w:highlight w:val="none"/>
              </w:rPr>
              <w:t>专家库中随机抽取</w:t>
            </w:r>
            <w:r>
              <w:rPr>
                <w:rFonts w:hint="eastAsia" w:ascii="宋体" w:hAnsi="宋体" w:eastAsia="宋体" w:cs="宋体"/>
                <w:color w:val="auto"/>
                <w:sz w:val="24"/>
                <w:szCs w:val="24"/>
                <w:highlight w:val="none"/>
                <w:lang w:val="en-US" w:eastAsia="zh-CN"/>
              </w:rPr>
              <w:t>产生</w:t>
            </w:r>
          </w:p>
        </w:tc>
      </w:tr>
      <w:tr w14:paraId="3535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2B50F80D">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082EC4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成交</w:t>
            </w:r>
            <w:r>
              <w:rPr>
                <w:rFonts w:hint="eastAsia" w:ascii="宋体" w:hAnsi="宋体" w:eastAsia="宋体" w:cs="宋体"/>
                <w:color w:val="auto"/>
                <w:sz w:val="24"/>
                <w:szCs w:val="24"/>
                <w:highlight w:val="none"/>
                <w:lang w:val="en-US" w:eastAsia="zh-CN"/>
              </w:rPr>
              <w:t>候选单位</w:t>
            </w:r>
          </w:p>
          <w:p w14:paraId="77BAD5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推荐</w:t>
            </w:r>
            <w:r>
              <w:rPr>
                <w:rFonts w:hint="eastAsia" w:ascii="宋体" w:hAnsi="宋体" w:eastAsia="宋体" w:cs="宋体"/>
                <w:color w:val="auto"/>
                <w:sz w:val="24"/>
                <w:szCs w:val="24"/>
                <w:highlight w:val="none"/>
                <w:lang w:val="en-US" w:eastAsia="zh-CN"/>
              </w:rPr>
              <w:t>数量</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596F42A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磋商小组推荐成交候选单位数量为3个</w:t>
            </w:r>
          </w:p>
        </w:tc>
      </w:tr>
      <w:tr w14:paraId="21C5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414B01E7">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4B032B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履约保证金</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69C975F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无需缴纳</w:t>
            </w:r>
          </w:p>
        </w:tc>
      </w:tr>
      <w:tr w14:paraId="0474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6AC9A3A6">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48ACE0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放弃磋商说明</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03757E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供应商登记免费领取采购文件的，如不参与项目磋商的，应在递交竞争性磋响应文件递交截止时间前1日以书面形式告知采购代理机构。否则，采购代理机构可以向财政部门反映情况并提供相应的佐证。供应商一年内累计出现三次该情形的，将被监管部门记录为失信行为。</w:t>
            </w:r>
          </w:p>
        </w:tc>
      </w:tr>
      <w:tr w14:paraId="1BFA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2"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237B8FC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sz w:val="24"/>
                <w:szCs w:val="24"/>
                <w:highlight w:val="none"/>
                <w:lang w:val="en-US" w:eastAsia="zh-CN"/>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5D68A4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代理服务费</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3B740C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w:t>
            </w:r>
            <w:r>
              <w:rPr>
                <w:rFonts w:hint="eastAsia" w:ascii="宋体" w:hAnsi="宋体" w:eastAsia="宋体" w:cs="宋体"/>
                <w:color w:val="auto"/>
                <w:sz w:val="24"/>
                <w:szCs w:val="24"/>
                <w:highlight w:val="none"/>
                <w:lang w:val="en-US" w:eastAsia="zh-Hans"/>
              </w:rPr>
              <w:t>项目</w:t>
            </w:r>
            <w:r>
              <w:rPr>
                <w:rFonts w:hint="eastAsia" w:ascii="宋体" w:hAnsi="宋体" w:eastAsia="宋体" w:cs="宋体"/>
                <w:color w:val="auto"/>
                <w:sz w:val="24"/>
                <w:szCs w:val="24"/>
                <w:highlight w:val="none"/>
                <w:lang w:val="en-US" w:eastAsia="zh-CN"/>
              </w:rPr>
              <w:t>代理服务费参照国家计委颁布的《招标代理服务收费管理暂行办法》（计价格[2002]1980号）中的收费标准计取，成交供应商在领取成交通知书前一次性支付。</w:t>
            </w:r>
          </w:p>
          <w:p w14:paraId="3BB7F7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Hans"/>
              </w:rPr>
            </w:pPr>
            <w:r>
              <w:rPr>
                <w:rFonts w:hint="eastAsia" w:ascii="宋体" w:hAnsi="宋体" w:eastAsia="宋体" w:cs="宋体"/>
                <w:color w:val="auto"/>
                <w:sz w:val="24"/>
                <w:szCs w:val="24"/>
                <w:highlight w:val="none"/>
                <w:lang w:val="en-US" w:eastAsia="zh-CN"/>
              </w:rPr>
              <w:t>2、缴费账户信息</w:t>
            </w:r>
          </w:p>
          <w:p w14:paraId="3736B8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Hans"/>
              </w:rPr>
            </w:pPr>
            <w:r>
              <w:rPr>
                <w:rFonts w:hint="eastAsia" w:ascii="宋体" w:hAnsi="宋体" w:eastAsia="宋体" w:cs="宋体"/>
                <w:color w:val="auto"/>
                <w:sz w:val="24"/>
                <w:szCs w:val="24"/>
                <w:highlight w:val="none"/>
                <w:lang w:val="en-US" w:eastAsia="zh-Hans"/>
              </w:rPr>
              <w:t>名称:亿诚建设项目管理有限公司</w:t>
            </w:r>
          </w:p>
          <w:p w14:paraId="3A8A08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Hans"/>
              </w:rPr>
            </w:pPr>
            <w:r>
              <w:rPr>
                <w:rFonts w:hint="eastAsia" w:ascii="宋体" w:hAnsi="宋体" w:eastAsia="宋体" w:cs="宋体"/>
                <w:color w:val="auto"/>
                <w:sz w:val="24"/>
                <w:szCs w:val="24"/>
                <w:highlight w:val="none"/>
                <w:lang w:val="en-US" w:eastAsia="zh-Hans"/>
              </w:rPr>
              <w:t>纳税人识别号:916100007979068451</w:t>
            </w:r>
          </w:p>
          <w:p w14:paraId="39E07B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Hans"/>
              </w:rPr>
            </w:pPr>
            <w:r>
              <w:rPr>
                <w:rFonts w:hint="eastAsia" w:ascii="宋体" w:hAnsi="宋体" w:eastAsia="宋体" w:cs="宋体"/>
                <w:color w:val="auto"/>
                <w:sz w:val="24"/>
                <w:szCs w:val="24"/>
                <w:highlight w:val="none"/>
                <w:lang w:val="en-US" w:eastAsia="zh-Hans"/>
              </w:rPr>
              <w:t>地址:陕西省西安市高新区丈八五路高科尚都ONE尚城A座10F</w:t>
            </w:r>
          </w:p>
          <w:p w14:paraId="07B57C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Hans"/>
              </w:rPr>
            </w:pPr>
            <w:r>
              <w:rPr>
                <w:rFonts w:hint="eastAsia" w:ascii="宋体" w:hAnsi="宋体" w:eastAsia="宋体" w:cs="宋体"/>
                <w:color w:val="auto"/>
                <w:sz w:val="24"/>
                <w:szCs w:val="24"/>
                <w:highlight w:val="none"/>
                <w:lang w:val="en-US" w:eastAsia="zh-Hans"/>
              </w:rPr>
              <w:t>电话:029-68688088</w:t>
            </w:r>
          </w:p>
          <w:p w14:paraId="15F811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Hans"/>
              </w:rPr>
            </w:pPr>
            <w:r>
              <w:rPr>
                <w:rFonts w:hint="eastAsia" w:ascii="宋体" w:hAnsi="宋体" w:eastAsia="宋体" w:cs="宋体"/>
                <w:color w:val="auto"/>
                <w:sz w:val="24"/>
                <w:szCs w:val="24"/>
                <w:highlight w:val="none"/>
                <w:lang w:val="en-US" w:eastAsia="zh-Hans"/>
              </w:rPr>
              <w:t>开户行:中国民生银行西安吉祥路支行</w:t>
            </w:r>
          </w:p>
          <w:p w14:paraId="08161A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Hans"/>
              </w:rPr>
            </w:pPr>
            <w:r>
              <w:rPr>
                <w:rFonts w:hint="eastAsia" w:ascii="宋体" w:hAnsi="宋体" w:eastAsia="宋体" w:cs="宋体"/>
                <w:color w:val="auto"/>
                <w:sz w:val="24"/>
                <w:szCs w:val="24"/>
                <w:highlight w:val="none"/>
                <w:lang w:val="en-US" w:eastAsia="zh-Hans"/>
              </w:rPr>
              <w:t>账号:699295538</w:t>
            </w:r>
          </w:p>
          <w:p w14:paraId="435714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Hans"/>
              </w:rPr>
              <w:t>行号:305791012112</w:t>
            </w:r>
          </w:p>
        </w:tc>
      </w:tr>
      <w:tr w14:paraId="07327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14:paraId="0C94AACB">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hanging="425"/>
              <w:jc w:val="center"/>
              <w:textAlignment w:val="auto"/>
              <w:rPr>
                <w:rFonts w:hint="eastAsia" w:ascii="宋体" w:hAnsi="宋体" w:eastAsia="宋体" w:cs="宋体"/>
                <w:color w:val="auto"/>
                <w:kern w:val="2"/>
                <w:sz w:val="24"/>
                <w:szCs w:val="24"/>
                <w:highlight w:val="none"/>
                <w:lang w:val="en-US" w:eastAsia="zh-CN" w:bidi="ar-SA"/>
              </w:rPr>
            </w:pPr>
          </w:p>
        </w:tc>
        <w:tc>
          <w:tcPr>
            <w:tcW w:w="2191" w:type="dxa"/>
            <w:tcBorders>
              <w:top w:val="single" w:color="auto" w:sz="4" w:space="0"/>
              <w:left w:val="single" w:color="auto" w:sz="4" w:space="0"/>
              <w:bottom w:val="single" w:color="auto" w:sz="4" w:space="0"/>
              <w:right w:val="single" w:color="auto" w:sz="4" w:space="0"/>
            </w:tcBorders>
            <w:noWrap w:val="0"/>
            <w:vAlign w:val="center"/>
          </w:tcPr>
          <w:p w14:paraId="3E47EE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其他</w:t>
            </w:r>
          </w:p>
        </w:tc>
        <w:tc>
          <w:tcPr>
            <w:tcW w:w="6665" w:type="dxa"/>
            <w:tcBorders>
              <w:top w:val="single" w:color="auto" w:sz="4" w:space="0"/>
              <w:left w:val="single" w:color="auto" w:sz="4" w:space="0"/>
              <w:bottom w:val="single" w:color="auto" w:sz="4" w:space="0"/>
              <w:right w:val="single" w:color="auto" w:sz="4" w:space="0"/>
            </w:tcBorders>
            <w:noWrap w:val="0"/>
            <w:vAlign w:val="center"/>
          </w:tcPr>
          <w:p w14:paraId="4DC23FF4">
            <w:pPr>
              <w:keepNext w:val="0"/>
              <w:keepLines w:val="0"/>
              <w:pageBreakBefore w:val="0"/>
              <w:widowControl w:val="0"/>
              <w:tabs>
                <w:tab w:val="left" w:pos="36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供应商应对其提供的相关材料的真实性负责，采购人有权对所有供应商所提供的文件材料核查。如提交的相关材料被采购人核查发现伪造、弄虚作假等现象，一经核实，取消该供应商磋商资格。</w:t>
            </w:r>
          </w:p>
          <w:p w14:paraId="2B20A981">
            <w:pPr>
              <w:keepNext w:val="0"/>
              <w:keepLines w:val="0"/>
              <w:pageBreakBefore w:val="0"/>
              <w:widowControl w:val="0"/>
              <w:tabs>
                <w:tab w:val="left" w:pos="36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本前附表所列内容与供应商须知内容不一致时，以前附表内容为准。</w:t>
            </w:r>
          </w:p>
          <w:p w14:paraId="1A1D8A98">
            <w:pPr>
              <w:keepNext w:val="0"/>
              <w:keepLines w:val="0"/>
              <w:pageBreakBefore w:val="0"/>
              <w:widowControl w:val="0"/>
              <w:tabs>
                <w:tab w:val="left" w:pos="36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3、请供应商按照《陕西省财政厅关于政府采购供应商注册登记有关事项的通知》的要求，通过陕西省政府采购网（http://www.ccgp-shaanxi.gov.cn/）注册登记加入陕西省政府采购供应商库。</w:t>
            </w:r>
          </w:p>
        </w:tc>
      </w:tr>
    </w:tbl>
    <w:p w14:paraId="5736A262">
      <w:pP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br w:type="page"/>
      </w:r>
    </w:p>
    <w:p w14:paraId="39FA0A3F">
      <w:pPr>
        <w:pStyle w:val="42"/>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8"/>
          <w:szCs w:val="28"/>
          <w:highlight w:val="none"/>
          <w:lang w:val="en-US" w:eastAsia="zh-CN"/>
        </w:rPr>
        <w:t>A、名词解释</w:t>
      </w:r>
    </w:p>
    <w:p w14:paraId="03C5F2D2">
      <w:pPr>
        <w:spacing w:line="360" w:lineRule="auto"/>
        <w:ind w:firstLine="482" w:firstLineChars="200"/>
        <w:rPr>
          <w:rFonts w:hint="eastAsia" w:ascii="宋体" w:hAnsi="宋体" w:eastAsia="宋体" w:cs="宋体"/>
          <w:b/>
          <w:bCs/>
          <w:color w:val="auto"/>
          <w:sz w:val="24"/>
          <w:szCs w:val="24"/>
          <w:highlight w:val="none"/>
          <w:lang w:val="en-US" w:eastAsia="zh-CN"/>
        </w:rPr>
      </w:pPr>
      <w:bookmarkStart w:id="0" w:name="_Toc19141"/>
      <w:r>
        <w:rPr>
          <w:rFonts w:hint="eastAsia" w:ascii="宋体" w:hAnsi="宋体" w:eastAsia="宋体" w:cs="宋体"/>
          <w:b/>
          <w:bCs/>
          <w:color w:val="auto"/>
          <w:sz w:val="24"/>
          <w:szCs w:val="24"/>
          <w:highlight w:val="none"/>
          <w:lang w:val="en-US" w:eastAsia="zh-CN"/>
        </w:rPr>
        <w:t>1. 适用范围</w:t>
      </w:r>
    </w:p>
    <w:p w14:paraId="4A091ECE">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本竞争性磋商文件适用于本次竞争性磋商所叙述的项目采购。</w:t>
      </w:r>
    </w:p>
    <w:bookmarkEnd w:id="0"/>
    <w:p w14:paraId="06D0B9C9">
      <w:pPr>
        <w:spacing w:line="360" w:lineRule="auto"/>
        <w:ind w:firstLine="482" w:firstLineChars="200"/>
        <w:rPr>
          <w:rFonts w:hint="eastAsia" w:ascii="宋体" w:hAnsi="宋体" w:eastAsia="宋体" w:cs="宋体"/>
          <w:b/>
          <w:bCs/>
          <w:color w:val="auto"/>
          <w:sz w:val="24"/>
          <w:szCs w:val="24"/>
          <w:highlight w:val="none"/>
          <w:lang w:val="en-US" w:eastAsia="zh-CN"/>
        </w:rPr>
      </w:pPr>
      <w:bookmarkStart w:id="1" w:name="_Toc26849"/>
      <w:r>
        <w:rPr>
          <w:rFonts w:hint="eastAsia" w:ascii="宋体" w:hAnsi="宋体" w:eastAsia="宋体" w:cs="宋体"/>
          <w:b/>
          <w:bCs/>
          <w:color w:val="auto"/>
          <w:sz w:val="24"/>
          <w:szCs w:val="24"/>
          <w:highlight w:val="none"/>
          <w:lang w:val="en-US" w:eastAsia="zh-CN"/>
        </w:rPr>
        <w:t>2.名词解释</w:t>
      </w:r>
      <w:bookmarkEnd w:id="1"/>
    </w:p>
    <w:p w14:paraId="2AA3E460">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2.1采购人：见供应商须知前附表</w:t>
      </w:r>
    </w:p>
    <w:p w14:paraId="5F4D9E64">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2.2采购代理机构：亿诚建设项目管理有限公司</w:t>
      </w:r>
    </w:p>
    <w:p w14:paraId="1A9C9117">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2.3监督机构：同级人民政府财政部门</w:t>
      </w:r>
    </w:p>
    <w:p w14:paraId="2A4821F0">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2.4供应商：是指响应和符合磋商文件规定资格条件且参与磋商竞争的法人、其他组织或者自然人。</w:t>
      </w:r>
    </w:p>
    <w:p w14:paraId="3BA86D5D">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2.5竞争性磋商文件（后文“磋商文件”均指“竞争性磋商文件”）：是指由采购人或采购代理机构发出的文本、文件，包括全部章节和附件及答疑会议纪要。</w:t>
      </w:r>
    </w:p>
    <w:p w14:paraId="507114FF">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2.6竞争性磋商响应文件（后文“磋商响应文件”均指“竞争性磋商响应文件”）：是指供应商根据本竞争性磋商文件向采购人提交的全部文件。</w:t>
      </w:r>
    </w:p>
    <w:p w14:paraId="01D6AE34">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2.7书面形式：是指任何手写、打印或印刷的各种函件，包括电传、电子邮件。</w:t>
      </w:r>
    </w:p>
    <w:p w14:paraId="5E999048">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2.8服务：是指供应商为满足竞争性磋商文件要求而提供的服务。</w:t>
      </w:r>
    </w:p>
    <w:p w14:paraId="38BE256C">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2.9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737FD960">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8792E5F">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2.11残疾人福利性单位：是指符合《三部门联合发布关于促进残疾人就业政府采购政策的通知》财库〔2017〕141号规定的对残疾人福利性单位划分标准的单位。</w:t>
      </w:r>
    </w:p>
    <w:p w14:paraId="2ECBB9BC">
      <w:pPr>
        <w:spacing w:line="360" w:lineRule="auto"/>
        <w:ind w:firstLine="482" w:firstLineChars="200"/>
        <w:rPr>
          <w:rFonts w:hint="eastAsia" w:ascii="宋体" w:hAnsi="宋体" w:eastAsia="宋体" w:cs="宋体"/>
          <w:b/>
          <w:bCs/>
          <w:color w:val="auto"/>
          <w:sz w:val="24"/>
          <w:szCs w:val="24"/>
          <w:highlight w:val="none"/>
          <w:lang w:val="en-US" w:eastAsia="zh-CN"/>
        </w:rPr>
      </w:pPr>
      <w:bookmarkStart w:id="2" w:name="_Toc3145"/>
      <w:r>
        <w:rPr>
          <w:rFonts w:hint="eastAsia" w:ascii="宋体" w:hAnsi="宋体" w:eastAsia="宋体" w:cs="宋体"/>
          <w:b/>
          <w:bCs/>
          <w:color w:val="auto"/>
          <w:sz w:val="24"/>
          <w:szCs w:val="24"/>
          <w:highlight w:val="none"/>
          <w:lang w:val="en-US" w:eastAsia="zh-CN"/>
        </w:rPr>
        <w:t>3.合格的</w:t>
      </w:r>
      <w:bookmarkEnd w:id="2"/>
      <w:r>
        <w:rPr>
          <w:rFonts w:hint="eastAsia" w:ascii="宋体" w:hAnsi="宋体" w:eastAsia="宋体" w:cs="宋体"/>
          <w:b/>
          <w:bCs/>
          <w:color w:val="auto"/>
          <w:sz w:val="24"/>
          <w:szCs w:val="24"/>
          <w:highlight w:val="none"/>
          <w:lang w:val="en-US" w:eastAsia="zh-CN"/>
        </w:rPr>
        <w:t>供应商</w:t>
      </w:r>
    </w:p>
    <w:p w14:paraId="6B580F7E">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3.1合格的供应商应具备以下条件：</w:t>
      </w:r>
    </w:p>
    <w:p w14:paraId="45904D3B">
      <w:pPr>
        <w:spacing w:line="360" w:lineRule="auto"/>
        <w:ind w:firstLine="480" w:firstLineChars="200"/>
        <w:rPr>
          <w:rFonts w:hint="eastAsia" w:ascii="宋体" w:hAnsi="宋体" w:eastAsia="宋体" w:cs="宋体"/>
          <w:b w:val="0"/>
          <w:bCs w:val="0"/>
          <w:color w:val="auto"/>
          <w:sz w:val="24"/>
          <w:szCs w:val="24"/>
          <w:highlight w:val="none"/>
          <w:lang w:val="es-ES" w:eastAsia="zh-CN"/>
        </w:rPr>
      </w:pPr>
      <w:r>
        <w:rPr>
          <w:rFonts w:hint="eastAsia" w:ascii="宋体" w:hAnsi="宋体" w:eastAsia="宋体" w:cs="宋体"/>
          <w:b w:val="0"/>
          <w:bCs w:val="0"/>
          <w:color w:val="auto"/>
          <w:sz w:val="24"/>
          <w:szCs w:val="24"/>
          <w:highlight w:val="none"/>
          <w:lang w:val="en-US" w:eastAsia="zh-CN"/>
        </w:rPr>
        <w:t>（1）合格供应商应具备“供应商须知前附表”中要求供应商应具备的资格条件和能力；</w:t>
      </w:r>
    </w:p>
    <w:p w14:paraId="7090C8CA">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（2）依法向采购代理机构获取了竞争性磋商文件；</w:t>
      </w:r>
    </w:p>
    <w:p w14:paraId="64975ABC">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（3）遵守国家、陕西省和</w:t>
      </w:r>
      <w:r>
        <w:rPr>
          <w:rFonts w:hint="eastAsia" w:ascii="宋体" w:hAnsi="宋体" w:cs="宋体"/>
          <w:b w:val="0"/>
          <w:bCs w:val="0"/>
          <w:color w:val="auto"/>
          <w:sz w:val="24"/>
          <w:szCs w:val="24"/>
          <w:highlight w:val="none"/>
          <w:lang w:val="en-US" w:eastAsia="zh-CN"/>
        </w:rPr>
        <w:t>咸阳</w:t>
      </w:r>
      <w:r>
        <w:rPr>
          <w:rFonts w:hint="eastAsia" w:ascii="宋体" w:hAnsi="宋体" w:eastAsia="宋体" w:cs="宋体"/>
          <w:b w:val="0"/>
          <w:bCs w:val="0"/>
          <w:color w:val="auto"/>
          <w:sz w:val="24"/>
          <w:szCs w:val="24"/>
          <w:highlight w:val="none"/>
          <w:lang w:val="en-US" w:eastAsia="zh-CN"/>
        </w:rPr>
        <w:t>市有关的法律、法规和规范性文件要求；</w:t>
      </w:r>
    </w:p>
    <w:p w14:paraId="7813C12E">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（4）竞争性磋商文件和法律、行政法规规定的其他条件。</w:t>
      </w:r>
    </w:p>
    <w:p w14:paraId="10452F66">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3.2供应商不得直接或间接地与采购单位（包括采购代理机构、采购人及用户）有任何关联，亦不得是采购单位的附属机构。如果供应商在采购活动中隐瞒了上述关系，则该磋商响应文件无效。</w:t>
      </w:r>
    </w:p>
    <w:p w14:paraId="5A9178C3">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3.3如果在竞争性磋商文件中接受联合体（见供应商须知前附表），则两个以上供应商可以组成一个联合体，以一个供应商的身份参加磋商。以联合体形式参加采购的，联合体各方均应当符合《</w:t>
      </w:r>
      <w:r>
        <w:rPr>
          <w:rFonts w:hint="eastAsia" w:ascii="宋体" w:hAnsi="宋体" w:eastAsia="宋体" w:cs="宋体"/>
          <w:color w:val="auto"/>
          <w:sz w:val="24"/>
          <w:szCs w:val="24"/>
          <w:highlight w:val="none"/>
          <w:lang w:val="en-US" w:eastAsia="zh-CN"/>
        </w:rPr>
        <w:t>中华人民共和国</w:t>
      </w:r>
      <w:r>
        <w:rPr>
          <w:rFonts w:hint="eastAsia" w:ascii="宋体" w:hAnsi="宋体" w:eastAsia="宋体" w:cs="宋体"/>
          <w:b w:val="0"/>
          <w:bCs w:val="0"/>
          <w:color w:val="auto"/>
          <w:sz w:val="24"/>
          <w:szCs w:val="24"/>
          <w:highlight w:val="none"/>
          <w:lang w:val="en-US" w:eastAsia="zh-CN"/>
        </w:rPr>
        <w:t>政府采购法》第二十二条第一款规定的条件。采购人根据采购项目的特殊要求规定供应商特定条件的，联合体各方中至少应当有一方符合采购人规定的特定条件。联合体中有同类资质的供应商按照联合体分工承担相同工作的，按照资质等级较低的供应商确定资质等级。</w:t>
      </w:r>
    </w:p>
    <w:p w14:paraId="00C5EFF3">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联合体各方之间应当签订联合体协议书，明确约定联合体各方承担的工作和相应的责任，并将联合体协议书附在响应文件中一并提交。联合体各方签订联合体协议书后，不得再以自己名义单独在同一项目中参加采购，也不得组成新的联合体参加同一项目参加磋商，否则，其相关磋商均为无效。</w:t>
      </w:r>
    </w:p>
    <w:p w14:paraId="1E59FBFA">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3.4供应商不得存在下列情形之一：</w:t>
      </w:r>
    </w:p>
    <w:p w14:paraId="38F9F14F">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（l）与采购代理机构存在隶属关系或者其他利害关系；</w:t>
      </w:r>
    </w:p>
    <w:p w14:paraId="10CE9727">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（2）与其他人的法定代表人（或者负责人）为同一人，或者与其他人存在控股、关联关系；</w:t>
      </w:r>
    </w:p>
    <w:p w14:paraId="633439A0">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（3）受到刑事处罚；</w:t>
      </w:r>
    </w:p>
    <w:p w14:paraId="6C02437B">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（4）被责令停产停业、暂扣或者吊销许可证、暂扣或者吊销执照的行政处罚；</w:t>
      </w:r>
    </w:p>
    <w:p w14:paraId="414698FB">
      <w:pPr>
        <w:spacing w:line="360" w:lineRule="auto"/>
        <w:ind w:firstLine="480" w:firstLineChars="200"/>
        <w:rPr>
          <w:rFonts w:hint="eastAsia" w:ascii="宋体" w:hAnsi="宋体" w:eastAsia="宋体" w:cs="宋体"/>
          <w:b/>
          <w:color w:val="auto"/>
          <w:kern w:val="1"/>
          <w:sz w:val="24"/>
          <w:szCs w:val="24"/>
          <w:highlight w:val="none"/>
        </w:rPr>
      </w:pPr>
      <w:r>
        <w:rPr>
          <w:rFonts w:hint="eastAsia" w:ascii="宋体" w:hAnsi="宋体" w:eastAsia="宋体" w:cs="宋体"/>
          <w:b w:val="0"/>
          <w:bCs w:val="0"/>
          <w:color w:val="auto"/>
          <w:sz w:val="24"/>
          <w:szCs w:val="24"/>
          <w:highlight w:val="none"/>
          <w:lang w:val="en-US" w:eastAsia="zh-CN"/>
        </w:rPr>
        <w:t>（5）在一至三年内禁止参加政府采购活动或存在财政部门认定的其他重大违法记录。</w:t>
      </w:r>
    </w:p>
    <w:p w14:paraId="2BC37C5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4.服务内容合格性和合法性</w:t>
      </w:r>
    </w:p>
    <w:p w14:paraId="7690137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4.1成交供应商在项目实施过程中，所有工作成果及工作内容必须符合技术要求，符合国家有关标准要求，并满足竞争性磋商文件的规定，同时还应符合国家法律法规、行业管理部门所要求的其他强制性标准。</w:t>
      </w:r>
    </w:p>
    <w:p w14:paraId="6CA7E62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4.2采购人有权拒绝接受不合格的服务质量，由此产生的费用及相关后果均由供应商自行承担。</w:t>
      </w:r>
    </w:p>
    <w:p w14:paraId="0987FF3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5.竞争性磋商响应文件内容的真实性</w:t>
      </w:r>
    </w:p>
    <w:p w14:paraId="1C878C3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供应商应保证其竞争性磋商响应文件中所提供的所有有关磋商的资料、信息是真实的，并且来源于合法的渠道。因竞争性磋商响应文件中所提供的有关磋商的资料、信息不真实，或者其来源不合法而导致的所有法律责任，由供应商自行承担。</w:t>
      </w:r>
    </w:p>
    <w:p w14:paraId="2D990F5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6.知识产权</w:t>
      </w:r>
    </w:p>
    <w:p w14:paraId="59332B6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6.1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6771011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6.2采购人享有本项目实施过程中产生的知识成果及知识产权。</w:t>
      </w:r>
    </w:p>
    <w:p w14:paraId="5683668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6.3供应商如欲在项目实施过程中采用自有知识成果，需在竞争性磋商响应文件中声明，并提供相关知识产权证明文件。使用该知识成果后，供应商需提供开发接口和开发手册等技术文档，并承诺提供无限期技术支持，采购人享有永久使用权。</w:t>
      </w:r>
    </w:p>
    <w:p w14:paraId="7F302ED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6.4如采用供应商所不拥有的知识产权，则在磋商报价中必须包括合法获取该知识产权的相关费用。</w:t>
      </w:r>
    </w:p>
    <w:p w14:paraId="7B096CF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7.监督和管理</w:t>
      </w:r>
    </w:p>
    <w:p w14:paraId="6CBE590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同级人民政府财政部门及有关部门依法履行对竞争性磋商采购过程的监督管理职责。</w:t>
      </w:r>
    </w:p>
    <w:p w14:paraId="54BB6625">
      <w:pPr>
        <w:pStyle w:val="4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B、竞争性磋商文件</w:t>
      </w:r>
    </w:p>
    <w:p w14:paraId="3BEEB81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8.竞争性磋商文件</w:t>
      </w:r>
    </w:p>
    <w:p w14:paraId="7EE8F34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8.1 竞争性磋商文件是供应商准备竞争性磋商响应文件和参加磋商谈判的依据，同时也是磋商小组评审的重要依据。竞争性磋商文件包括以下内容：</w:t>
      </w:r>
    </w:p>
    <w:p w14:paraId="4CFE1B1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第一章   竞争性磋商公告</w:t>
      </w:r>
    </w:p>
    <w:p w14:paraId="5EB6DFC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第二章   供应商须知及前附表</w:t>
      </w:r>
    </w:p>
    <w:p w14:paraId="76A90DC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第三章   采购内容及要求</w:t>
      </w:r>
    </w:p>
    <w:p w14:paraId="204C368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第四章   合同格式及主要条款</w:t>
      </w:r>
    </w:p>
    <w:p w14:paraId="608146B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第五章   竞争性磋商响应文件格式</w:t>
      </w:r>
    </w:p>
    <w:p w14:paraId="28123DEB">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8.2供应商应认真阅读竞争性磋商文件中所有的事项、格式、条款和规范等要求。如果供应商没有按照竞争性磋商文件要求提交全部资料，或者竞争性磋商响应文件没有对竞争性磋商文件在各方面都做出实质性响应，由此带来的不利于供应商的磋商谈判结果，其风险由供应商承担。</w:t>
      </w:r>
    </w:p>
    <w:p w14:paraId="06F5027B">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8.3本竞争性磋商文件的解释权归代理机构，如发现磋商文件内容与现行法律法规不相符的情况，以现行法律法规为准。</w:t>
      </w:r>
    </w:p>
    <w:p w14:paraId="4D4E022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9.竞争性磋商文件的澄清或修改</w:t>
      </w:r>
    </w:p>
    <w:p w14:paraId="5254AB0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9.1 在磋商响应文件递交截止时间前，采购代理机构无论出于何种原因，可以对已发出竞争性磋商文件进行必要的澄清或者修改，但不得修改采购标的和资格条件。</w:t>
      </w:r>
    </w:p>
    <w:p w14:paraId="1847FC3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9.2 采购人或采购代理机构对已发出的竞争性磋商文件进行必要的澄清或者修改，澄清或修改的内容可能影响竞争性磋商响应文件编制的，应当在竞争性磋商响应文件截止时间至少5日前，以书面形式将澄清或者修改的内容通知所有获取竞争性磋商文件的潜在供应商。供应商在收到上述通知后，应立即以书面形式向采购代理机构确认。不足5日，将相应顺延磋商响应文件截止时间。</w:t>
      </w:r>
    </w:p>
    <w:p w14:paraId="4DA34D0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9.3供应商应仔细阅读和检查竞争性磋商文件的全部内容。如发现缺页或附件不全，应及时向采购代理机构提出，以便补齐。如需要询问或澄清的（除质疑外），或认为有必要与采购代理机构进行技术交流的，均应在磋商响应文件递交截止时间3天前按公竞争性磋商文件中的通讯地址以书面形式递交代理机构，采购代理机构应当以书面形式予以答复，或认为有必要召开答疑会。超过该时间收到的需要询问或澄清的内容，采购代理机构有权不予答复。</w:t>
      </w:r>
    </w:p>
    <w:p w14:paraId="7A007FD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9.4 在磋商文件递交截止时间前，采购代理机构可以视采购具体情况，延长磋商响应文件截止时间和磋商时间，并在竞争性磋商文件要求提交竞争性磋商响应文件的截止时间前，将变更时间以书面形式通知所有获取竞争性磋商文件的潜在供应商，同时在原信息发布媒体上发布变更公告。</w:t>
      </w:r>
    </w:p>
    <w:p w14:paraId="66C251F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9.5 竞争性磋商文件澄清、答复、修改或补充的内容为竞争性磋商文件的组成部分。当竞争性磋商文件澄清、答复、修改或补充通知与竞争性磋商文件就同一内容表述不一致时，以最后发出的书面文件内容为准。</w:t>
      </w:r>
    </w:p>
    <w:p w14:paraId="34583AF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10.踏勘和磋商预备会</w:t>
      </w:r>
    </w:p>
    <w:p w14:paraId="01CA6D2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 xml:space="preserve">10.1 踏勘： </w:t>
      </w:r>
    </w:p>
    <w:p w14:paraId="35914EA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10.1.1本项目不组织现场踏勘，供应商可自行进行现场踏勘以便获取有关编制竞争性磋商文件和签署合同所涉及现场的资料，但供应商不得因此使采购人承担有关的责任和蒙受损失。供应商应承担踏勘现场的责任和风险，应对其自行查明或核实的有关资料的解释、推论和应用负责，在现场踏勘期间发生的费用由供应商自负。</w:t>
      </w:r>
    </w:p>
    <w:p w14:paraId="7F24590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10.1.2采购代理机构向供应商提供的有关数据和资料，是采购人现有的能被供应商利用的资料，采购人对供应商做出的任何推论、理解和结论均不负责任。</w:t>
      </w:r>
    </w:p>
    <w:p w14:paraId="2997D15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10.2 磋商预备会</w:t>
      </w:r>
    </w:p>
    <w:p w14:paraId="79D2A0D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本项目不召开磋商预备会，供应商如有疑问，请以书面形式在规定时间内提交至代理机构。</w:t>
      </w:r>
    </w:p>
    <w:p w14:paraId="354D91A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11.备选磋商方案</w:t>
      </w:r>
    </w:p>
    <w:p w14:paraId="1CDDC69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本项目允许提交备选方案。</w:t>
      </w:r>
    </w:p>
    <w:p w14:paraId="3030A83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12.转包、分包</w:t>
      </w:r>
    </w:p>
    <w:p w14:paraId="4D67EC1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本项目不允许转包、分包。</w:t>
      </w:r>
    </w:p>
    <w:p w14:paraId="6881A2B6">
      <w:pPr>
        <w:pStyle w:val="4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C、竞争性磋商响应文件</w:t>
      </w:r>
    </w:p>
    <w:p w14:paraId="2134EEB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13.竞争性磋商响应文件计量单位</w:t>
      </w:r>
    </w:p>
    <w:p w14:paraId="2AE55AF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磋商响应文件中所使用的计量单位，除有特殊要求外，均采用国家法定计量单位。</w:t>
      </w:r>
    </w:p>
    <w:p w14:paraId="00A078C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14.竞争性磋商响应文件的组成</w:t>
      </w:r>
    </w:p>
    <w:p w14:paraId="3EE7352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14.1 磋商响应文件必须根据采购代理机构发售的竞争性磋商文件格式和顺序认真编制，具体内容包括：</w:t>
      </w:r>
    </w:p>
    <w:p w14:paraId="58303F5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（1）磋商响应函；</w:t>
      </w:r>
    </w:p>
    <w:p w14:paraId="5825A1E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（2）磋商报价表；</w:t>
      </w:r>
    </w:p>
    <w:p w14:paraId="142DB74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（3）技术和商务偏离表；</w:t>
      </w:r>
    </w:p>
    <w:p w14:paraId="0BE8FDC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（4）资格证明资料；</w:t>
      </w:r>
    </w:p>
    <w:p w14:paraId="4A7820D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（5）服务方案；</w:t>
      </w:r>
    </w:p>
    <w:p w14:paraId="7AC7924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（6）类似业绩案例证明材料；</w:t>
      </w:r>
    </w:p>
    <w:p w14:paraId="04FC5E0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（7）服务承诺及合理化建议；</w:t>
      </w:r>
    </w:p>
    <w:p w14:paraId="6E473F1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 xml:space="preserve">（8）其他资料。  </w:t>
      </w:r>
    </w:p>
    <w:p w14:paraId="09EEBD0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 xml:space="preserve"> 14.2 磋商响应文件中磋商报价表内容与分项报价表内容不一致的，以磋商报价表为准。</w:t>
      </w:r>
    </w:p>
    <w:p w14:paraId="074134F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15.磋商报价</w:t>
      </w:r>
    </w:p>
    <w:p w14:paraId="1F9ABB4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15.1磋商报价是供应商正确、全面完成本项目所述全部工作内容的价格体现：</w:t>
      </w:r>
    </w:p>
    <w:p w14:paraId="07389E0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 xml:space="preserve">（1）供应商所提供的磋商报价须包含完成项目所有内容的全部费用。供应商漏报或不报，采购人或采购代理机构将视为有关费用已包括在磋商报价中而不予支付。服务期内采购人不再增加任何费用（所有税费不必分别单列，计入报价内即可）。 </w:t>
      </w:r>
    </w:p>
    <w:p w14:paraId="4674263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2）供应商应根据本项目所列采购内容及要求并结合实际情况自主报价。凡本磋商文件要求（或允许）及供应商认为需要进行磋商报价的各项费用项目，若报价时未报或未在响应文件中予以说明，采购人将认为这些费用供应商已计取，并包含在报价中。</w:t>
      </w:r>
    </w:p>
    <w:p w14:paraId="36B56FC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（3）参照国家、陕西省、</w:t>
      </w:r>
      <w:r>
        <w:rPr>
          <w:rFonts w:hint="eastAsia" w:ascii="宋体" w:hAnsi="宋体" w:cs="宋体"/>
          <w:color w:val="auto"/>
          <w:kern w:val="1"/>
          <w:sz w:val="24"/>
          <w:szCs w:val="24"/>
          <w:highlight w:val="none"/>
          <w:lang w:val="en-US" w:eastAsia="zh-CN"/>
        </w:rPr>
        <w:t>咸阳市</w:t>
      </w:r>
      <w:r>
        <w:rPr>
          <w:rFonts w:hint="eastAsia" w:ascii="宋体" w:hAnsi="宋体" w:eastAsia="宋体" w:cs="宋体"/>
          <w:color w:val="auto"/>
          <w:kern w:val="1"/>
          <w:sz w:val="24"/>
          <w:szCs w:val="24"/>
          <w:highlight w:val="none"/>
          <w:lang w:val="en-US" w:eastAsia="zh-CN"/>
        </w:rPr>
        <w:t>物价等有关收费标准的规定。</w:t>
      </w:r>
    </w:p>
    <w:p w14:paraId="43A68A8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（4）磋商报价包含国家现行税率征收的一切税费。</w:t>
      </w:r>
    </w:p>
    <w:p w14:paraId="55338E2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15.2供应商应按竞争性磋商文件所提供的相关需求，报出合理唯一的报价，采购人不接受任何有选择性的报价。</w:t>
      </w:r>
    </w:p>
    <w:p w14:paraId="7F11184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15.3供应商应根据上述因素结合其他方面因素自行考虑含入磋商报价中，采购人不因其磋商报价中的任何遗漏而予以增加或补偿费用，磋商报价表标明的价格，在合同执行过程中是固定不变的，不得以任何理由变更。</w:t>
      </w:r>
    </w:p>
    <w:p w14:paraId="70C1B09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15.4凡因供应商对竞争性磋商文件阅读不深、理解不透、误解、疏漏或因市场行情了解不清造成的后果和风险均由各供应商自负。磋商报价不因市场因素、政府政策调整、费率调整和税收变化等而作任何调整，磋商单位应充分考虑到各种风险因素。</w:t>
      </w:r>
    </w:p>
    <w:p w14:paraId="396F124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15.5当竞争性磋商小组认为，某供应商的报价存在明显低于其他通过符合性审查供应商的报价，有可能影响服务质量和不能诚信履约的，应当要求其在磋商现场规定时间内，提供必要的书面文件予以解释和说明，必要时提交相关证明材料；若供应商不能证明其报价合理性，竞争性磋商小组将其作无效磋商响应文件处理。</w:t>
      </w:r>
    </w:p>
    <w:p w14:paraId="0C1C8EA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15.6报价货币：人民币。</w:t>
      </w:r>
    </w:p>
    <w:p w14:paraId="5406D4A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15.7本次磋商采取二次报价，即：磋商响应文件中的磋商报价为第一次报价；在供应商初审合格后，第一次报价为有效报价。通过初审的各供应商单位与磋商小组进行逐一磋商后，在规定时间内，提交第二次磋商报价，第二次磋商报价即为最终报价。最终报价，在采购内容无实质性变更下，不得高于第一次报价。对于差异较大的报价，须做出明确说明。</w:t>
      </w:r>
    </w:p>
    <w:p w14:paraId="04201C1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15.8 特殊情况处理：根据磋商情况，磋商小组有权决定是否进行第三次报价。</w:t>
      </w:r>
    </w:p>
    <w:p w14:paraId="3F53BDC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15.9 最低报价不是磋商成交的唯一依据。</w:t>
      </w:r>
    </w:p>
    <w:p w14:paraId="26D9412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15.10 任何一次报价超出采购预算或最高限价的，按响应无效处理。</w:t>
      </w:r>
    </w:p>
    <w:p w14:paraId="383BB59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15.11 本项目不公开任何一次报价。</w:t>
      </w:r>
    </w:p>
    <w:p w14:paraId="0D007E8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15.12本次磋商的最小单元：见供应商须知前附表，供应商可根据自身的资质情况和经营范围对本次项目进行响应，不得将其子目再行分解或只对本次项目中的品目进行不完全响应，任何不完全的响应将按无效响应处理。</w:t>
      </w:r>
    </w:p>
    <w:p w14:paraId="6C437C7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16.磋商有效期</w:t>
      </w:r>
    </w:p>
    <w:p w14:paraId="6E18BF4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16.1磋商有效期为自磋商开始之日起90个日历日，在有效期内竞争性磋商响应文件对供应商具有法律约束力，以保证采购人完成评审、定标以及合同签订事项。成交单位的磋商有效期自动延长至合同执行完毕。</w:t>
      </w:r>
    </w:p>
    <w:p w14:paraId="5D28242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16.2特殊情况需延长磋商有效期的，采购代理机构可于磋商有效期届满之前，要求供应商同意延长有效期，采购代理机构的要求与供应商的答复均应为书面形式。供应商拒绝延长的，其磋商在原磋商有效期届满后将不再有效；供应商同意延长的，但不允许修改或撤回竞争性磋商响应文件且不得修改竞争性磋商响应文件的实质性内容。</w:t>
      </w:r>
    </w:p>
    <w:p w14:paraId="045797C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17. 磋商保证金</w:t>
      </w:r>
    </w:p>
    <w:p w14:paraId="24A8ABE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bookmarkStart w:id="3" w:name="_Toc24827"/>
      <w:r>
        <w:rPr>
          <w:rFonts w:hint="eastAsia" w:ascii="宋体" w:hAnsi="宋体" w:eastAsia="宋体" w:cs="宋体"/>
          <w:color w:val="auto"/>
          <w:kern w:val="1"/>
          <w:sz w:val="24"/>
          <w:szCs w:val="24"/>
          <w:highlight w:val="none"/>
          <w:lang w:val="en-US" w:eastAsia="zh-CN"/>
        </w:rPr>
        <w:t>根据《财政部关于促进政府采购公平竞争优化营商环境的通知》（财库〔2019〕38号）及《咸阳市财政局关于促进政府采购公平竞争优化营商环境的通知》（咸财采购〔2021〕9号）的规定，本项目不收取磋商保证金。</w:t>
      </w:r>
    </w:p>
    <w:p w14:paraId="3AE98C59">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18.响应文件的制作和签章</w:t>
      </w:r>
    </w:p>
    <w:p w14:paraId="12A3F9D3">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18.1</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应按 “</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格式”进行编写，如有必要，可以增加附页，作为</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的组成部分。其中，</w:t>
      </w:r>
      <w:r>
        <w:rPr>
          <w:rFonts w:hint="eastAsia" w:ascii="宋体" w:hAnsi="宋体" w:eastAsia="宋体" w:cs="宋体"/>
          <w:color w:val="auto"/>
          <w:sz w:val="24"/>
          <w:szCs w:val="24"/>
          <w:highlight w:val="none"/>
          <w:lang w:eastAsia="zh-CN"/>
        </w:rPr>
        <w:t>磋商响应函</w:t>
      </w:r>
      <w:r>
        <w:rPr>
          <w:rFonts w:hint="eastAsia" w:ascii="宋体" w:hAnsi="宋体" w:eastAsia="宋体" w:cs="宋体"/>
          <w:color w:val="auto"/>
          <w:sz w:val="24"/>
          <w:szCs w:val="24"/>
          <w:highlight w:val="none"/>
        </w:rPr>
        <w:t>在满足</w:t>
      </w: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实质性要求的基础上，可以提出比</w:t>
      </w: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要求更有利于</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的承诺。</w:t>
      </w:r>
    </w:p>
    <w:p w14:paraId="4D06A395">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18.2</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应当对</w:t>
      </w:r>
      <w:r>
        <w:rPr>
          <w:rFonts w:hint="eastAsia" w:ascii="宋体" w:hAnsi="宋体" w:eastAsia="宋体" w:cs="宋体"/>
          <w:color w:val="auto"/>
          <w:sz w:val="24"/>
          <w:szCs w:val="24"/>
          <w:highlight w:val="none"/>
          <w:lang w:eastAsia="zh-CN"/>
        </w:rPr>
        <w:t>磋商文件有关</w:t>
      </w:r>
      <w:r>
        <w:rPr>
          <w:rFonts w:hint="eastAsia" w:ascii="宋体" w:hAnsi="宋体" w:eastAsia="宋体" w:cs="宋体"/>
          <w:color w:val="auto"/>
          <w:sz w:val="24"/>
          <w:szCs w:val="24"/>
          <w:highlight w:val="none"/>
          <w:lang w:val="en-US" w:eastAsia="zh-CN"/>
        </w:rPr>
        <w:t>服务期</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磋商有效期</w:t>
      </w:r>
      <w:r>
        <w:rPr>
          <w:rFonts w:hint="eastAsia" w:ascii="宋体" w:hAnsi="宋体" w:eastAsia="宋体" w:cs="宋体"/>
          <w:color w:val="auto"/>
          <w:sz w:val="24"/>
          <w:szCs w:val="24"/>
          <w:highlight w:val="none"/>
        </w:rPr>
        <w:t>、质量要求、</w:t>
      </w:r>
      <w:r>
        <w:rPr>
          <w:rFonts w:hint="eastAsia" w:ascii="宋体" w:hAnsi="宋体" w:eastAsia="宋体" w:cs="宋体"/>
          <w:color w:val="auto"/>
          <w:sz w:val="24"/>
          <w:szCs w:val="24"/>
          <w:highlight w:val="none"/>
          <w:lang w:val="en-US" w:eastAsia="zh-CN"/>
        </w:rPr>
        <w:t>参数及商务要求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招标内容</w:t>
      </w:r>
      <w:r>
        <w:rPr>
          <w:rFonts w:hint="eastAsia" w:ascii="宋体" w:hAnsi="宋体" w:eastAsia="宋体" w:cs="宋体"/>
          <w:color w:val="auto"/>
          <w:sz w:val="24"/>
          <w:szCs w:val="24"/>
          <w:highlight w:val="none"/>
        </w:rPr>
        <w:t>等实质性内容作出响应。</w:t>
      </w:r>
      <w:r>
        <w:rPr>
          <w:rFonts w:hint="eastAsia" w:ascii="宋体" w:hAnsi="宋体" w:eastAsia="宋体" w:cs="宋体"/>
          <w:b w:val="0"/>
          <w:bCs w:val="0"/>
          <w:color w:val="auto"/>
          <w:sz w:val="24"/>
          <w:szCs w:val="24"/>
          <w:highlight w:val="none"/>
          <w:lang w:val="en-US" w:eastAsia="zh-CN"/>
        </w:rPr>
        <w:t xml:space="preserve"> </w:t>
      </w:r>
    </w:p>
    <w:p w14:paraId="08032B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18.3</w:t>
      </w:r>
      <w:r>
        <w:rPr>
          <w:rFonts w:hint="eastAsia" w:ascii="宋体" w:hAnsi="宋体" w:eastAsia="宋体" w:cs="宋体"/>
          <w:color w:val="auto"/>
          <w:sz w:val="24"/>
          <w:szCs w:val="24"/>
          <w:highlight w:val="none"/>
        </w:rPr>
        <w:t>纸质</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应用不褪色的材料书写或打印，文件封面及其它有要求的部位应加盖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印章并经法定代表人或其委托代理人签字或盖章。由委托代理人签字或盖章的</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中须同时提交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签署的授权代理委托书。</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签署授权代理委托书格式、签字、盖章、及内容均应符合要求，否则</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签署授权代理委托书无效。</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应尽量避免涂改、行间插字或删除。如果出现上述情况，改动之处应加盖单位章或由</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的法定代表人或其授权的代理人签字确认。签字或盖章的具体要求见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 xml:space="preserve">须知前附表。 </w:t>
      </w:r>
    </w:p>
    <w:p w14:paraId="12443E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18.4</w:t>
      </w:r>
      <w:r>
        <w:rPr>
          <w:rFonts w:hint="eastAsia" w:ascii="宋体" w:hAnsi="宋体" w:eastAsia="宋体" w:cs="宋体"/>
          <w:color w:val="auto"/>
          <w:sz w:val="24"/>
          <w:szCs w:val="24"/>
          <w:highlight w:val="none"/>
        </w:rPr>
        <w:t>纸质</w:t>
      </w:r>
      <w:r>
        <w:rPr>
          <w:rFonts w:hint="eastAsia" w:ascii="宋体" w:hAnsi="宋体" w:eastAsia="宋体" w:cs="宋体"/>
          <w:color w:val="auto"/>
          <w:sz w:val="24"/>
          <w:szCs w:val="24"/>
          <w:highlight w:val="none"/>
          <w:lang w:eastAsia="zh-CN"/>
        </w:rPr>
        <w:t>磋商响应文件份数：</w:t>
      </w:r>
      <w:r>
        <w:rPr>
          <w:rFonts w:hint="eastAsia" w:ascii="宋体" w:hAnsi="宋体" w:eastAsia="宋体" w:cs="宋体"/>
          <w:color w:val="auto"/>
          <w:sz w:val="24"/>
          <w:szCs w:val="24"/>
          <w:highlight w:val="none"/>
        </w:rPr>
        <w:t>正本、副本</w:t>
      </w:r>
      <w:r>
        <w:rPr>
          <w:rFonts w:hint="eastAsia" w:ascii="宋体" w:hAnsi="宋体" w:eastAsia="宋体" w:cs="宋体"/>
          <w:color w:val="auto"/>
          <w:sz w:val="24"/>
          <w:szCs w:val="24"/>
          <w:highlight w:val="none"/>
          <w:lang w:eastAsia="zh-CN"/>
        </w:rPr>
        <w:t>、电子版文件</w:t>
      </w:r>
      <w:r>
        <w:rPr>
          <w:rFonts w:hint="eastAsia" w:ascii="宋体" w:hAnsi="宋体" w:eastAsia="宋体" w:cs="宋体"/>
          <w:color w:val="auto"/>
          <w:sz w:val="24"/>
          <w:szCs w:val="24"/>
          <w:highlight w:val="none"/>
        </w:rPr>
        <w:t>份数见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25DA3F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18.5</w:t>
      </w:r>
      <w:r>
        <w:rPr>
          <w:rFonts w:hint="eastAsia" w:ascii="宋体" w:hAnsi="宋体" w:eastAsia="宋体" w:cs="宋体"/>
          <w:color w:val="auto"/>
          <w:sz w:val="24"/>
          <w:szCs w:val="24"/>
          <w:highlight w:val="none"/>
        </w:rPr>
        <w:t>纸质</w:t>
      </w:r>
      <w:r>
        <w:rPr>
          <w:rFonts w:hint="eastAsia" w:ascii="宋体" w:hAnsi="宋体" w:eastAsia="宋体" w:cs="宋体"/>
          <w:color w:val="auto"/>
          <w:sz w:val="24"/>
          <w:szCs w:val="24"/>
          <w:highlight w:val="none"/>
          <w:lang w:eastAsia="zh-CN"/>
        </w:rPr>
        <w:t>磋商响应文件装订、包装、密封及标记要求：</w:t>
      </w:r>
      <w:r>
        <w:rPr>
          <w:rFonts w:hint="eastAsia" w:ascii="宋体" w:hAnsi="宋体" w:eastAsia="宋体" w:cs="宋体"/>
          <w:color w:val="auto"/>
          <w:sz w:val="24"/>
          <w:szCs w:val="24"/>
          <w:highlight w:val="none"/>
        </w:rPr>
        <w:t>应分别装订成册，并编制目录，具体要求见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w:t>
      </w:r>
    </w:p>
    <w:p w14:paraId="0505A2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18.6</w:t>
      </w:r>
      <w:r>
        <w:rPr>
          <w:rFonts w:hint="eastAsia" w:ascii="宋体" w:hAnsi="宋体" w:eastAsia="宋体" w:cs="宋体"/>
          <w:color w:val="auto"/>
          <w:sz w:val="24"/>
          <w:szCs w:val="24"/>
          <w:highlight w:val="none"/>
        </w:rPr>
        <w:t>电子</w:t>
      </w:r>
      <w:r>
        <w:rPr>
          <w:rFonts w:hint="eastAsia" w:ascii="宋体" w:hAnsi="宋体" w:eastAsia="宋体" w:cs="宋体"/>
          <w:color w:val="auto"/>
          <w:sz w:val="24"/>
          <w:szCs w:val="24"/>
          <w:highlight w:val="none"/>
          <w:lang w:eastAsia="zh-CN"/>
        </w:rPr>
        <w:t>版文件</w:t>
      </w:r>
      <w:r>
        <w:rPr>
          <w:rFonts w:hint="eastAsia" w:ascii="宋体" w:hAnsi="宋体" w:eastAsia="宋体" w:cs="宋体"/>
          <w:color w:val="auto"/>
          <w:sz w:val="24"/>
          <w:szCs w:val="24"/>
          <w:highlight w:val="none"/>
        </w:rPr>
        <w:t>的编制要求见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0692B9F0">
      <w:pPr>
        <w:pStyle w:val="4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D、竞争性磋商响应文件的递交</w:t>
      </w:r>
    </w:p>
    <w:p w14:paraId="1847C52A">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19.磋商响应文件的密封和标记</w:t>
      </w:r>
    </w:p>
    <w:p w14:paraId="7150804B">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19.1</w:t>
      </w:r>
      <w:r>
        <w:rPr>
          <w:rFonts w:hint="eastAsia" w:ascii="宋体" w:hAnsi="宋体" w:eastAsia="宋体" w:cs="宋体"/>
          <w:color w:val="auto"/>
          <w:sz w:val="24"/>
          <w:szCs w:val="24"/>
          <w:highlight w:val="none"/>
        </w:rPr>
        <w:t>纸质</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lang w:val="en-US" w:eastAsia="zh-CN"/>
        </w:rPr>
        <w:t>正本</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副本、</w:t>
      </w:r>
      <w:r>
        <w:rPr>
          <w:rFonts w:hint="eastAsia" w:ascii="宋体" w:hAnsi="宋体" w:eastAsia="宋体" w:cs="宋体"/>
          <w:color w:val="auto"/>
          <w:sz w:val="24"/>
          <w:szCs w:val="24"/>
          <w:highlight w:val="none"/>
          <w:lang w:eastAsia="zh-CN"/>
        </w:rPr>
        <w:t>电子版文件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U盘2份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按磋商</w:t>
      </w:r>
      <w:r>
        <w:rPr>
          <w:rFonts w:hint="eastAsia" w:ascii="宋体" w:hAnsi="宋体" w:eastAsia="宋体" w:cs="宋体"/>
          <w:color w:val="auto"/>
          <w:sz w:val="24"/>
          <w:szCs w:val="24"/>
          <w:highlight w:val="none"/>
          <w:lang w:eastAsia="zh-CN"/>
        </w:rPr>
        <w:t>须知前附表的要求进行密封</w:t>
      </w:r>
      <w:r>
        <w:rPr>
          <w:rFonts w:hint="eastAsia" w:ascii="宋体" w:hAnsi="宋体" w:eastAsia="宋体" w:cs="宋体"/>
          <w:color w:val="auto"/>
          <w:sz w:val="24"/>
          <w:szCs w:val="24"/>
          <w:highlight w:val="none"/>
        </w:rPr>
        <w:t>。</w:t>
      </w:r>
    </w:p>
    <w:p w14:paraId="12A501A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19.2</w:t>
      </w:r>
      <w:r>
        <w:rPr>
          <w:rFonts w:hint="eastAsia" w:ascii="宋体" w:hAnsi="宋体" w:eastAsia="宋体" w:cs="宋体"/>
          <w:color w:val="auto"/>
          <w:sz w:val="24"/>
          <w:szCs w:val="24"/>
          <w:highlight w:val="none"/>
        </w:rPr>
        <w:t>纸质</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的封套上应写明的其他内容见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p>
    <w:p w14:paraId="37771B28">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19.3</w:t>
      </w:r>
      <w:r>
        <w:rPr>
          <w:rFonts w:hint="eastAsia" w:ascii="宋体" w:hAnsi="宋体" w:eastAsia="宋体" w:cs="宋体"/>
          <w:color w:val="auto"/>
          <w:sz w:val="24"/>
          <w:szCs w:val="24"/>
          <w:highlight w:val="none"/>
        </w:rPr>
        <w:t>未按本章第</w:t>
      </w: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1项</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.2项要求密封和加写标记的</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lang w:val="en-US" w:eastAsia="zh-CN"/>
        </w:rPr>
        <w:t>和采购代理机构将拒绝接收</w:t>
      </w:r>
      <w:r>
        <w:rPr>
          <w:rFonts w:hint="eastAsia" w:ascii="宋体" w:hAnsi="宋体" w:eastAsia="宋体" w:cs="宋体"/>
          <w:color w:val="auto"/>
          <w:sz w:val="24"/>
          <w:szCs w:val="24"/>
          <w:highlight w:val="none"/>
        </w:rPr>
        <w:t>。</w:t>
      </w:r>
    </w:p>
    <w:p w14:paraId="75A75D91">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19.4上传文件有误或需要重新提交的，可先撤销已经上传的文件，然后重新上传新文件。</w:t>
      </w:r>
    </w:p>
    <w:p w14:paraId="5DCAFDD1">
      <w:pPr>
        <w:spacing w:line="360" w:lineRule="auto"/>
        <w:ind w:firstLine="482" w:firstLineChars="200"/>
        <w:rPr>
          <w:rFonts w:hint="eastAsia" w:ascii="宋体" w:hAnsi="宋体" w:eastAsia="宋体" w:cs="宋体"/>
          <w:b/>
          <w:bCs/>
          <w:color w:val="auto"/>
          <w:sz w:val="24"/>
          <w:szCs w:val="24"/>
          <w:highlight w:val="none"/>
          <w:lang w:val="en-US" w:eastAsia="zh-CN"/>
        </w:rPr>
      </w:pPr>
      <w:bookmarkStart w:id="4" w:name="_Toc179632575"/>
      <w:bookmarkStart w:id="5" w:name="_Toc144974525"/>
      <w:bookmarkStart w:id="6" w:name="_Toc152045557"/>
      <w:bookmarkStart w:id="7" w:name="_Toc21228"/>
      <w:bookmarkStart w:id="8" w:name="_Toc152042333"/>
      <w:r>
        <w:rPr>
          <w:rFonts w:hint="eastAsia" w:ascii="宋体" w:hAnsi="宋体" w:eastAsia="宋体" w:cs="宋体"/>
          <w:b/>
          <w:bCs/>
          <w:color w:val="auto"/>
          <w:sz w:val="24"/>
          <w:szCs w:val="24"/>
          <w:highlight w:val="none"/>
          <w:lang w:val="en-US" w:eastAsia="zh-CN"/>
        </w:rPr>
        <w:t>20.磋商响应文件的递交</w:t>
      </w:r>
      <w:bookmarkEnd w:id="4"/>
      <w:bookmarkEnd w:id="5"/>
      <w:bookmarkEnd w:id="6"/>
      <w:bookmarkEnd w:id="7"/>
      <w:bookmarkEnd w:id="8"/>
    </w:p>
    <w:p w14:paraId="545904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bookmarkStart w:id="9" w:name="_Toc15951"/>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.1 递交</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截止时间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bookmarkEnd w:id="9"/>
    </w:p>
    <w:p w14:paraId="09A272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bookmarkStart w:id="10" w:name="_Toc13743"/>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.2 递交</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的地点：见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w:t>
      </w:r>
      <w:bookmarkEnd w:id="10"/>
    </w:p>
    <w:p w14:paraId="4C6AD5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bookmarkStart w:id="11" w:name="_Toc29162"/>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.3 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须知前附表另有规定外，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所递交的</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不予退还。</w:t>
      </w:r>
      <w:bookmarkEnd w:id="11"/>
    </w:p>
    <w:p w14:paraId="7810BD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bookmarkStart w:id="12" w:name="_Toc10583"/>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未在</w:t>
      </w:r>
      <w:r>
        <w:rPr>
          <w:rFonts w:hint="eastAsia" w:ascii="宋体" w:hAnsi="宋体" w:eastAsia="宋体" w:cs="宋体"/>
          <w:color w:val="auto"/>
          <w:sz w:val="24"/>
          <w:szCs w:val="24"/>
          <w:highlight w:val="none"/>
          <w:lang w:eastAsia="zh-CN"/>
        </w:rPr>
        <w:t>递交截止</w:t>
      </w:r>
      <w:r>
        <w:rPr>
          <w:rFonts w:hint="eastAsia" w:ascii="宋体" w:hAnsi="宋体" w:eastAsia="宋体" w:cs="宋体"/>
          <w:color w:val="auto"/>
          <w:sz w:val="24"/>
          <w:szCs w:val="24"/>
          <w:highlight w:val="none"/>
        </w:rPr>
        <w:t>前</w:t>
      </w:r>
      <w:r>
        <w:rPr>
          <w:rFonts w:hint="eastAsia" w:ascii="宋体" w:hAnsi="宋体" w:eastAsia="宋体" w:cs="宋体"/>
          <w:color w:val="auto"/>
          <w:sz w:val="24"/>
          <w:szCs w:val="24"/>
          <w:highlight w:val="none"/>
          <w:lang w:val="en-US" w:eastAsia="zh-CN"/>
        </w:rPr>
        <w:t>送达递交地点的视为</w:t>
      </w:r>
      <w:r>
        <w:rPr>
          <w:rFonts w:hint="eastAsia" w:ascii="宋体" w:hAnsi="宋体" w:eastAsia="宋体" w:cs="宋体"/>
          <w:color w:val="auto"/>
          <w:sz w:val="24"/>
          <w:szCs w:val="24"/>
          <w:highlight w:val="none"/>
        </w:rPr>
        <w:t>逾期送达</w:t>
      </w:r>
      <w:r>
        <w:rPr>
          <w:rFonts w:hint="eastAsia" w:ascii="宋体" w:hAnsi="宋体" w:eastAsia="宋体" w:cs="宋体"/>
          <w:color w:val="auto"/>
          <w:sz w:val="24"/>
          <w:szCs w:val="24"/>
          <w:highlight w:val="none"/>
          <w:lang w:eastAsia="zh-CN"/>
        </w:rPr>
        <w:t>，</w:t>
      </w:r>
      <w:bookmarkEnd w:id="12"/>
      <w:bookmarkStart w:id="13" w:name="_Toc1316"/>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lang w:val="en-US" w:eastAsia="zh-CN"/>
        </w:rPr>
        <w:t>和采购代理机构将</w:t>
      </w:r>
      <w:r>
        <w:rPr>
          <w:rFonts w:hint="eastAsia" w:ascii="宋体" w:hAnsi="宋体" w:eastAsia="宋体" w:cs="宋体"/>
          <w:color w:val="auto"/>
          <w:sz w:val="24"/>
          <w:szCs w:val="24"/>
          <w:highlight w:val="none"/>
        </w:rPr>
        <w:t>不予受理。</w:t>
      </w:r>
      <w:bookmarkEnd w:id="13"/>
    </w:p>
    <w:p w14:paraId="3AA9CD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20.5在磋商响应文件递交截止时间至磋商有效期满之前，供应商不得撤回其磋商响应文件。</w:t>
      </w:r>
    </w:p>
    <w:p w14:paraId="76D7C731">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21.响应文件被拒绝接收的情形</w:t>
      </w:r>
    </w:p>
    <w:p w14:paraId="3FCE1D98">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（1）逾期提交磋商响应文件的。</w:t>
      </w:r>
    </w:p>
    <w:p w14:paraId="0FE3E74A">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（2）提交的响应文件与本项目不相符的。</w:t>
      </w:r>
    </w:p>
    <w:p w14:paraId="6C5DB775">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22.放弃磋商</w:t>
      </w:r>
    </w:p>
    <w:p w14:paraId="4FA7D872">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供应商登记免费领取采购文件的，如不参与项目磋商的，应在递交竞争性磋商响应文件递交截止时间前1日以书面形式告知采购代理机构。否则，采购代理机构可以向财政部门反映情况并提供相应的佐证。供应商一年内累计出现三次该情形的，将被监管部门记录为失信行为。</w:t>
      </w:r>
    </w:p>
    <w:p w14:paraId="088372B9">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23.响应文件的补充、修改和撤回</w:t>
      </w:r>
    </w:p>
    <w:p w14:paraId="191DF62A">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23.1供应商在响应文件提交截止时间前，可以对所提交的响应文件进行补充、修改或者撤回，并书面通知采购人、采购代理机构。补充、修改的内容作为响应文件的组成部分。补充、修改的内容与响应文件不一致的，以补充、修改的内容为准。</w:t>
      </w:r>
    </w:p>
    <w:p w14:paraId="2AA2DA1F">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23.2供应商修改或撤回已递交磋商响应文件的书面通知应由法定代表人或其授权代理人签字并加盖公章。</w:t>
      </w:r>
    </w:p>
    <w:p w14:paraId="529D770F">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23.3修改的内容为磋商响应文件的组成部分。修改的磋商响应文件应按照本章规定进行编制、密封、标记和递交，并标明“修改”字样</w:t>
      </w:r>
    </w:p>
    <w:p w14:paraId="142AF35B">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23.4供应商在提交响应文件提交截止时间后撤回响应文件的，采购人有权将此情况如实反映财政部门，由财政部门予以记录并纳入供应商失信行为名单。</w:t>
      </w:r>
    </w:p>
    <w:p w14:paraId="3C070CBF">
      <w:pPr>
        <w:pStyle w:val="4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E、磋商及评审</w:t>
      </w:r>
    </w:p>
    <w:bookmarkEnd w:id="3"/>
    <w:p w14:paraId="6012BCD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24.磋商会议</w:t>
      </w:r>
    </w:p>
    <w:p w14:paraId="618DF91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24.1 采购代理机构在规定的时间组织响应文件的开启、评审工作，整个过程受政府采购监管机构的监督、管理。</w:t>
      </w:r>
    </w:p>
    <w:p w14:paraId="38FB8B45">
      <w:pPr>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b w:val="0"/>
          <w:bCs w:val="0"/>
          <w:color w:val="auto"/>
          <w:sz w:val="24"/>
          <w:szCs w:val="24"/>
          <w:highlight w:val="none"/>
          <w:lang w:val="en-US" w:eastAsia="zh-CN"/>
        </w:rPr>
        <w:t>24.2 采购代理机构在磋商文件规定的时间和地点组织磋商及评审，供应商须派法定代表人或被授权代表参加。</w:t>
      </w:r>
    </w:p>
    <w:p w14:paraId="678A6A3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 xml:space="preserve">24.3 磋商会议仪式由采购代理机构主持，磋商程序如下： </w:t>
      </w:r>
    </w:p>
    <w:p w14:paraId="52BA37A7">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（1）宣布磋商会议纪律；</w:t>
      </w:r>
    </w:p>
    <w:p w14:paraId="62D5CA54">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（2）宣布参加磋商会议的工作人员姓名；</w:t>
      </w:r>
    </w:p>
    <w:p w14:paraId="579B2B9A">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bCs w:val="0"/>
          <w:color w:val="auto"/>
          <w:kern w:val="2"/>
          <w:sz w:val="24"/>
          <w:szCs w:val="24"/>
          <w:highlight w:val="none"/>
          <w:lang w:val="en-US" w:eastAsia="zh-CN" w:bidi="ar-SA"/>
        </w:rPr>
        <w:t>由监标人检查法人授权委托书及被授权人身份证</w:t>
      </w:r>
      <w:r>
        <w:rPr>
          <w:rFonts w:hint="eastAsia" w:ascii="宋体" w:hAnsi="宋体" w:eastAsia="宋体" w:cs="宋体"/>
          <w:bCs/>
          <w:color w:val="auto"/>
          <w:kern w:val="2"/>
          <w:sz w:val="24"/>
          <w:szCs w:val="24"/>
          <w:highlight w:val="none"/>
          <w:lang w:val="en-US" w:eastAsia="zh-CN" w:bidi="ar-SA"/>
        </w:rPr>
        <w:t>原件（</w:t>
      </w:r>
      <w:r>
        <w:rPr>
          <w:rFonts w:hint="eastAsia" w:ascii="宋体" w:hAnsi="宋体" w:cs="宋体"/>
          <w:bCs/>
          <w:color w:val="auto"/>
          <w:kern w:val="2"/>
          <w:sz w:val="24"/>
          <w:szCs w:val="24"/>
          <w:highlight w:val="none"/>
          <w:lang w:val="en-US" w:eastAsia="zh-CN" w:bidi="ar-SA"/>
        </w:rPr>
        <w:t>法定代表人</w:t>
      </w:r>
      <w:r>
        <w:rPr>
          <w:rFonts w:hint="eastAsia" w:ascii="宋体" w:hAnsi="宋体" w:eastAsia="宋体" w:cs="宋体"/>
          <w:bCs/>
          <w:color w:val="auto"/>
          <w:kern w:val="2"/>
          <w:sz w:val="24"/>
          <w:szCs w:val="24"/>
          <w:highlight w:val="none"/>
          <w:lang w:val="en-US" w:eastAsia="zh-CN" w:bidi="ar-SA"/>
        </w:rPr>
        <w:t>直接参与投标的，提供法定代表人</w:t>
      </w:r>
      <w:r>
        <w:rPr>
          <w:rFonts w:hint="eastAsia" w:ascii="宋体" w:hAnsi="宋体" w:cs="宋体"/>
          <w:bCs/>
          <w:color w:val="auto"/>
          <w:kern w:val="2"/>
          <w:sz w:val="24"/>
          <w:szCs w:val="24"/>
          <w:highlight w:val="none"/>
          <w:lang w:val="en-US" w:eastAsia="zh-CN" w:bidi="ar-SA"/>
        </w:rPr>
        <w:t>身份证明书及</w:t>
      </w:r>
      <w:r>
        <w:rPr>
          <w:rFonts w:hint="eastAsia" w:ascii="宋体" w:hAnsi="宋体" w:eastAsia="宋体" w:cs="宋体"/>
          <w:bCs/>
          <w:color w:val="auto"/>
          <w:kern w:val="2"/>
          <w:sz w:val="24"/>
          <w:szCs w:val="24"/>
          <w:highlight w:val="none"/>
          <w:lang w:val="en-US" w:eastAsia="zh-CN" w:bidi="ar-SA"/>
        </w:rPr>
        <w:t>身份证原件）</w:t>
      </w:r>
      <w:r>
        <w:rPr>
          <w:rFonts w:hint="eastAsia" w:ascii="宋体" w:hAnsi="宋体" w:eastAsia="宋体" w:cs="宋体"/>
          <w:color w:val="auto"/>
          <w:sz w:val="24"/>
          <w:szCs w:val="24"/>
          <w:highlight w:val="none"/>
        </w:rPr>
        <w:t>。</w:t>
      </w:r>
    </w:p>
    <w:p w14:paraId="6506C874">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代表检查确认响应文件的密封情况；</w:t>
      </w:r>
    </w:p>
    <w:p w14:paraId="61482707">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（5）工作人员按</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须知前附表规定的顺序开启响应文件，并宣布响应文件份数。</w:t>
      </w:r>
    </w:p>
    <w:p w14:paraId="2135A6E9">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）将开启的响应文件送</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小组进行初步评审。</w:t>
      </w:r>
    </w:p>
    <w:p w14:paraId="564B85B8">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小组逐一与通过初步评审的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进行磋商，并由</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进行二次报价；</w:t>
      </w:r>
    </w:p>
    <w:p w14:paraId="439FEC4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）磋商会议结束。</w:t>
      </w:r>
    </w:p>
    <w:p w14:paraId="6E4E956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24.4 供应商对开启过程有疑义，以及认为采购人、采购代理机构相关工作人员有需要回避情形的，应及时提出询问或回避申请，采购人、采购代理机构应当及时处理。</w:t>
      </w:r>
    </w:p>
    <w:p w14:paraId="548CA65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25.评审</w:t>
      </w:r>
    </w:p>
    <w:p w14:paraId="7A4E9A2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25.1竞争性磋商小组</w:t>
      </w:r>
    </w:p>
    <w:p w14:paraId="5CC16CC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25.1.1采购代理机构根据《中华人民共和国政府采购法》、《中华人民共和国政府采购法实施条例》及《政府采购竞争性磋商采购方式管理暂行办法》（财库〔2014〕214号）等规定，依法组建竞争性磋商小组（以下简称“磋商小组”）。</w:t>
      </w:r>
    </w:p>
    <w:p w14:paraId="486AC27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25.1.2磋商小组在评审过程中发现供应商有行贿、提供虚假材料或者串通等违法行为的，应当及时向财政部门报告。</w:t>
      </w:r>
    </w:p>
    <w:p w14:paraId="4B3E876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25.1.3磋商小组在评审过程中受到非法干涉的，应当及时向财政、监察等部门举报。</w:t>
      </w:r>
    </w:p>
    <w:p w14:paraId="7D80BE1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25.1.4磋商小组成员应当按照客观、公正、审慎的原则，根据竞争性磋商文件规定的评审程序、评审方法和评审标准进行独立评审。</w:t>
      </w:r>
    </w:p>
    <w:p w14:paraId="12B8D8D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25.1.5磋商小组成员有下列情形之一的，应当回避：</w:t>
      </w:r>
    </w:p>
    <w:p w14:paraId="2541B87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zh-CN" w:eastAsia="zh-CN"/>
        </w:rPr>
        <w:t>（1）</w:t>
      </w:r>
      <w:r>
        <w:rPr>
          <w:rFonts w:hint="eastAsia" w:ascii="宋体" w:hAnsi="宋体" w:eastAsia="宋体" w:cs="宋体"/>
          <w:color w:val="auto"/>
          <w:kern w:val="1"/>
          <w:sz w:val="24"/>
          <w:szCs w:val="24"/>
          <w:highlight w:val="none"/>
          <w:lang w:val="en-US" w:eastAsia="zh-CN"/>
        </w:rPr>
        <w:t xml:space="preserve">参加采购活动前三年内,与供应商存在劳动关系,或者担任过供应商的董事、监事,或者是供应商的控股股东或实际控制人； </w:t>
      </w:r>
    </w:p>
    <w:p w14:paraId="66166C7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zh-CN" w:eastAsia="zh-CN"/>
        </w:rPr>
        <w:t>（</w:t>
      </w:r>
      <w:r>
        <w:rPr>
          <w:rFonts w:hint="eastAsia" w:ascii="宋体" w:hAnsi="宋体" w:eastAsia="宋体" w:cs="宋体"/>
          <w:color w:val="auto"/>
          <w:kern w:val="1"/>
          <w:sz w:val="24"/>
          <w:szCs w:val="24"/>
          <w:highlight w:val="none"/>
          <w:lang w:val="en-US" w:eastAsia="zh-CN"/>
        </w:rPr>
        <w:t>2</w:t>
      </w:r>
      <w:r>
        <w:rPr>
          <w:rFonts w:hint="eastAsia" w:ascii="宋体" w:hAnsi="宋体" w:eastAsia="宋体" w:cs="宋体"/>
          <w:color w:val="auto"/>
          <w:kern w:val="1"/>
          <w:sz w:val="24"/>
          <w:szCs w:val="24"/>
          <w:highlight w:val="none"/>
          <w:lang w:val="zh-CN" w:eastAsia="zh-CN"/>
        </w:rPr>
        <w:t>）</w:t>
      </w:r>
      <w:r>
        <w:rPr>
          <w:rFonts w:hint="eastAsia" w:ascii="宋体" w:hAnsi="宋体" w:eastAsia="宋体" w:cs="宋体"/>
          <w:color w:val="auto"/>
          <w:kern w:val="1"/>
          <w:sz w:val="24"/>
          <w:szCs w:val="24"/>
          <w:highlight w:val="none"/>
          <w:lang w:val="en-US" w:eastAsia="zh-CN"/>
        </w:rPr>
        <w:t xml:space="preserve">参加采购活动前三年内,与供应商发生过法律纠纷； </w:t>
      </w:r>
    </w:p>
    <w:p w14:paraId="7D341A0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zh-CN" w:eastAsia="zh-CN"/>
        </w:rPr>
        <w:t>（</w:t>
      </w:r>
      <w:r>
        <w:rPr>
          <w:rFonts w:hint="eastAsia" w:ascii="宋体" w:hAnsi="宋体" w:eastAsia="宋体" w:cs="宋体"/>
          <w:color w:val="auto"/>
          <w:kern w:val="1"/>
          <w:sz w:val="24"/>
          <w:szCs w:val="24"/>
          <w:highlight w:val="none"/>
          <w:lang w:val="en-US" w:eastAsia="zh-CN"/>
        </w:rPr>
        <w:t>3</w:t>
      </w:r>
      <w:r>
        <w:rPr>
          <w:rFonts w:hint="eastAsia" w:ascii="宋体" w:hAnsi="宋体" w:eastAsia="宋体" w:cs="宋体"/>
          <w:color w:val="auto"/>
          <w:kern w:val="1"/>
          <w:sz w:val="24"/>
          <w:szCs w:val="24"/>
          <w:highlight w:val="none"/>
          <w:lang w:val="zh-CN" w:eastAsia="zh-CN"/>
        </w:rPr>
        <w:t>）</w:t>
      </w:r>
      <w:r>
        <w:rPr>
          <w:rFonts w:hint="eastAsia" w:ascii="宋体" w:hAnsi="宋体" w:eastAsia="宋体" w:cs="宋体"/>
          <w:color w:val="auto"/>
          <w:kern w:val="1"/>
          <w:sz w:val="24"/>
          <w:szCs w:val="24"/>
          <w:highlight w:val="none"/>
          <w:lang w:val="en-US" w:eastAsia="zh-CN"/>
        </w:rPr>
        <w:t>与供应商的法定代表人或者负责人有夫妻、直系血亲、三代以内旁系血亲或者近姻亲关系；</w:t>
      </w:r>
    </w:p>
    <w:p w14:paraId="3622D2B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zh-CN" w:eastAsia="zh-CN"/>
        </w:rPr>
        <w:t>（</w:t>
      </w:r>
      <w:r>
        <w:rPr>
          <w:rFonts w:hint="eastAsia" w:ascii="宋体" w:hAnsi="宋体" w:eastAsia="宋体" w:cs="宋体"/>
          <w:color w:val="auto"/>
          <w:kern w:val="1"/>
          <w:sz w:val="24"/>
          <w:szCs w:val="24"/>
          <w:highlight w:val="none"/>
          <w:lang w:val="en-US" w:eastAsia="zh-CN"/>
        </w:rPr>
        <w:t>4</w:t>
      </w:r>
      <w:r>
        <w:rPr>
          <w:rFonts w:hint="eastAsia" w:ascii="宋体" w:hAnsi="宋体" w:eastAsia="宋体" w:cs="宋体"/>
          <w:color w:val="auto"/>
          <w:kern w:val="1"/>
          <w:sz w:val="24"/>
          <w:szCs w:val="24"/>
          <w:highlight w:val="none"/>
          <w:lang w:val="zh-CN" w:eastAsia="zh-CN"/>
        </w:rPr>
        <w:t>）</w:t>
      </w:r>
      <w:r>
        <w:rPr>
          <w:rFonts w:hint="eastAsia" w:ascii="宋体" w:hAnsi="宋体" w:eastAsia="宋体" w:cs="宋体"/>
          <w:color w:val="auto"/>
          <w:kern w:val="1"/>
          <w:sz w:val="24"/>
          <w:szCs w:val="24"/>
          <w:highlight w:val="none"/>
          <w:lang w:val="en-US" w:eastAsia="zh-CN"/>
        </w:rPr>
        <w:t>与供应商有其他可能影响政府采购活动公平、公正进行的关系。</w:t>
      </w:r>
    </w:p>
    <w:p w14:paraId="3C8383E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25.1.6磋商小组成员在应遵守并履行下列职责及义务：</w:t>
      </w:r>
    </w:p>
    <w:p w14:paraId="4B5E5BD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（1）遵纪守法，客观、公正、认真负责地履行职责，根据竞争性磋商文件规定的评审程序、评审方法和评审标准审查磋商响应文件；</w:t>
      </w:r>
    </w:p>
    <w:p w14:paraId="0185BC1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（2）确认竞争性磋商响应文件，进行资格审查、符合性审查及评价磋商响应文件是否符合竞争性磋商文件的商务、技术等实质性要求；</w:t>
      </w:r>
    </w:p>
    <w:p w14:paraId="6507BE8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（3）要求供应商对磋商响应文件有关事项作出澄清或者说明；</w:t>
      </w:r>
    </w:p>
    <w:p w14:paraId="5DD5258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（4）对磋商响应文件进行比较和评价；</w:t>
      </w:r>
    </w:p>
    <w:p w14:paraId="5DC6A1D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（5）确定成交候选人名单，以及根据采购人委托直接确定成交供应商；</w:t>
      </w:r>
    </w:p>
    <w:p w14:paraId="447E283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 xml:space="preserve">（6）向采购人、采购代理机构或者有关部门报告评审中发现的违法行为； </w:t>
      </w:r>
    </w:p>
    <w:p w14:paraId="73A26AC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（7）对评审过程及各供应商的商业机密予以保密；</w:t>
      </w:r>
    </w:p>
    <w:p w14:paraId="6F75B9A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（8）配合采购人、采购代理机构答复各供应商提出的质疑；</w:t>
      </w:r>
    </w:p>
    <w:p w14:paraId="2222DC0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（9）配合各部门的投诉处理和监督检查工作。</w:t>
      </w:r>
    </w:p>
    <w:p w14:paraId="35F49FA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2</w:t>
      </w:r>
      <w:r>
        <w:rPr>
          <w:rFonts w:hint="eastAsia" w:ascii="宋体" w:hAnsi="宋体" w:eastAsia="宋体" w:cs="宋体"/>
          <w:color w:val="auto"/>
          <w:kern w:val="1"/>
          <w:sz w:val="24"/>
          <w:szCs w:val="24"/>
          <w:highlight w:val="none"/>
          <w:lang w:val="en-US" w:eastAsia="zh-CN"/>
        </w:rPr>
        <w:t>5</w:t>
      </w:r>
      <w:r>
        <w:rPr>
          <w:rFonts w:hint="eastAsia" w:ascii="宋体" w:hAnsi="宋体" w:eastAsia="宋体" w:cs="宋体"/>
          <w:color w:val="auto"/>
          <w:kern w:val="1"/>
          <w:sz w:val="24"/>
          <w:szCs w:val="24"/>
          <w:highlight w:val="none"/>
          <w:lang w:val="zh-CN" w:eastAsia="zh-CN"/>
        </w:rPr>
        <w:t>.1.</w:t>
      </w:r>
      <w:r>
        <w:rPr>
          <w:rFonts w:hint="eastAsia" w:ascii="宋体" w:hAnsi="宋体" w:eastAsia="宋体" w:cs="宋体"/>
          <w:color w:val="auto"/>
          <w:kern w:val="1"/>
          <w:sz w:val="24"/>
          <w:szCs w:val="24"/>
          <w:highlight w:val="none"/>
          <w:lang w:val="en-US" w:eastAsia="zh-CN"/>
        </w:rPr>
        <w:t xml:space="preserve">7竞争性磋商小组及其成员不得有下列行为： </w:t>
      </w:r>
    </w:p>
    <w:p w14:paraId="3722F8A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en-US" w:eastAsia="zh-CN"/>
        </w:rPr>
        <w:t xml:space="preserve">（1）确定参与评审至评审结束前私自接触供应商； </w:t>
      </w:r>
    </w:p>
    <w:p w14:paraId="32453F3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en-US" w:eastAsia="zh-CN"/>
        </w:rPr>
        <w:t xml:space="preserve">（2）接受供应商提出的与竞争性磋商响应文件不一致的澄清或者说明； </w:t>
      </w:r>
    </w:p>
    <w:p w14:paraId="4D2ADBA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en-US" w:eastAsia="zh-CN"/>
        </w:rPr>
        <w:t xml:space="preserve">（3）在评审过程中擅离职守，影响评审程序正常进行的； </w:t>
      </w:r>
    </w:p>
    <w:p w14:paraId="78FF1B4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en-US" w:eastAsia="zh-CN"/>
        </w:rPr>
        <w:t xml:space="preserve">（4）记录、复制或者带走任何评审资料； </w:t>
      </w:r>
    </w:p>
    <w:p w14:paraId="4167002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 xml:space="preserve">（5）其他不遵守评审纪律的行为。 </w:t>
      </w:r>
    </w:p>
    <w:p w14:paraId="05A72A8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en-US" w:eastAsia="zh-CN"/>
        </w:rPr>
        <w:t>竞争性磋商小组成员有前款第一至五项行为之一的，其评审意见无效，并不得获取评审劳务报酬和报销异地评审差旅费</w:t>
      </w:r>
    </w:p>
    <w:p w14:paraId="30CD9C0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2</w:t>
      </w:r>
      <w:r>
        <w:rPr>
          <w:rFonts w:hint="eastAsia" w:ascii="宋体" w:hAnsi="宋体" w:eastAsia="宋体" w:cs="宋体"/>
          <w:color w:val="auto"/>
          <w:kern w:val="1"/>
          <w:sz w:val="24"/>
          <w:szCs w:val="24"/>
          <w:highlight w:val="none"/>
          <w:lang w:val="en-US" w:eastAsia="zh-CN"/>
        </w:rPr>
        <w:t>5</w:t>
      </w:r>
      <w:r>
        <w:rPr>
          <w:rFonts w:hint="eastAsia" w:ascii="宋体" w:hAnsi="宋体" w:eastAsia="宋体" w:cs="宋体"/>
          <w:color w:val="auto"/>
          <w:kern w:val="1"/>
          <w:sz w:val="24"/>
          <w:szCs w:val="24"/>
          <w:highlight w:val="none"/>
          <w:lang w:val="zh-CN" w:eastAsia="zh-CN"/>
        </w:rPr>
        <w:t>.1.</w:t>
      </w:r>
      <w:r>
        <w:rPr>
          <w:rFonts w:hint="eastAsia" w:ascii="宋体" w:hAnsi="宋体" w:eastAsia="宋体" w:cs="宋体"/>
          <w:color w:val="auto"/>
          <w:kern w:val="1"/>
          <w:sz w:val="24"/>
          <w:szCs w:val="24"/>
          <w:highlight w:val="none"/>
          <w:lang w:val="en-US" w:eastAsia="zh-CN"/>
        </w:rPr>
        <w:t>8</w:t>
      </w:r>
      <w:r>
        <w:rPr>
          <w:rFonts w:hint="eastAsia" w:ascii="宋体" w:hAnsi="宋体" w:eastAsia="宋体" w:cs="宋体"/>
          <w:color w:val="auto"/>
          <w:kern w:val="1"/>
          <w:sz w:val="24"/>
          <w:szCs w:val="24"/>
          <w:highlight w:val="none"/>
          <w:lang w:val="zh-CN" w:eastAsia="zh-CN"/>
        </w:rPr>
        <w:t>竞争性磋商小组在评审过程中发现供应商有行贿、提供虚假材料或者串通等违法行为的，应当及时向财政部门报告。</w:t>
      </w:r>
    </w:p>
    <w:p w14:paraId="69B69C0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2</w:t>
      </w:r>
      <w:r>
        <w:rPr>
          <w:rFonts w:hint="eastAsia" w:ascii="宋体" w:hAnsi="宋体" w:eastAsia="宋体" w:cs="宋体"/>
          <w:color w:val="auto"/>
          <w:kern w:val="1"/>
          <w:sz w:val="24"/>
          <w:szCs w:val="24"/>
          <w:highlight w:val="none"/>
          <w:lang w:val="en-US" w:eastAsia="zh-CN"/>
        </w:rPr>
        <w:t>5</w:t>
      </w:r>
      <w:r>
        <w:rPr>
          <w:rFonts w:hint="eastAsia" w:ascii="宋体" w:hAnsi="宋体" w:eastAsia="宋体" w:cs="宋体"/>
          <w:color w:val="auto"/>
          <w:kern w:val="1"/>
          <w:sz w:val="24"/>
          <w:szCs w:val="24"/>
          <w:highlight w:val="none"/>
          <w:lang w:val="zh-CN" w:eastAsia="zh-CN"/>
        </w:rPr>
        <w:t>.1.</w:t>
      </w:r>
      <w:r>
        <w:rPr>
          <w:rFonts w:hint="eastAsia" w:ascii="宋体" w:hAnsi="宋体" w:eastAsia="宋体" w:cs="宋体"/>
          <w:color w:val="auto"/>
          <w:kern w:val="1"/>
          <w:sz w:val="24"/>
          <w:szCs w:val="24"/>
          <w:highlight w:val="none"/>
          <w:lang w:val="en-US" w:eastAsia="zh-CN"/>
        </w:rPr>
        <w:t>9</w:t>
      </w:r>
      <w:r>
        <w:rPr>
          <w:rFonts w:hint="eastAsia" w:ascii="宋体" w:hAnsi="宋体" w:eastAsia="宋体" w:cs="宋体"/>
          <w:color w:val="auto"/>
          <w:kern w:val="1"/>
          <w:sz w:val="24"/>
          <w:szCs w:val="24"/>
          <w:highlight w:val="none"/>
          <w:lang w:val="zh-CN" w:eastAsia="zh-CN"/>
        </w:rPr>
        <w:t>竞争性磋商小组在评审过程中</w:t>
      </w:r>
      <w:r>
        <w:rPr>
          <w:rFonts w:hint="eastAsia" w:ascii="宋体" w:hAnsi="宋体" w:eastAsia="宋体" w:cs="宋体"/>
          <w:color w:val="auto"/>
          <w:kern w:val="1"/>
          <w:sz w:val="24"/>
          <w:szCs w:val="24"/>
          <w:highlight w:val="none"/>
          <w:lang w:val="en-US" w:eastAsia="zh-CN"/>
        </w:rPr>
        <w:t>受到</w:t>
      </w:r>
      <w:r>
        <w:rPr>
          <w:rFonts w:hint="eastAsia" w:ascii="宋体" w:hAnsi="宋体" w:eastAsia="宋体" w:cs="宋体"/>
          <w:color w:val="auto"/>
          <w:kern w:val="1"/>
          <w:sz w:val="24"/>
          <w:szCs w:val="24"/>
          <w:highlight w:val="none"/>
          <w:lang w:val="zh-CN" w:eastAsia="zh-CN"/>
        </w:rPr>
        <w:t>非法干涉的，应当及时向财政、监察等部门举报。</w:t>
      </w:r>
    </w:p>
    <w:p w14:paraId="249B519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zh-CN" w:eastAsia="zh-CN"/>
        </w:rPr>
        <w:t>2</w:t>
      </w:r>
      <w:r>
        <w:rPr>
          <w:rFonts w:hint="eastAsia" w:ascii="宋体" w:hAnsi="宋体" w:eastAsia="宋体" w:cs="宋体"/>
          <w:color w:val="auto"/>
          <w:kern w:val="1"/>
          <w:sz w:val="24"/>
          <w:szCs w:val="24"/>
          <w:highlight w:val="none"/>
          <w:lang w:val="en-US" w:eastAsia="zh-CN"/>
        </w:rPr>
        <w:t>5.1.10磋商小组有权对整个评审过程中出现的所有问题，可根据《中华人民共和国政府采购法》及其实施条例、《政府采购竞争性磋商采购方式管理暂行办法》（财库〔2014〕214号）等相关规定进行处理。</w:t>
      </w:r>
    </w:p>
    <w:p w14:paraId="562B308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25.2评审原则：</w:t>
      </w:r>
    </w:p>
    <w:p w14:paraId="0CE5426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b/>
          <w:bCs/>
          <w:color w:val="auto"/>
          <w:kern w:val="1"/>
          <w:sz w:val="24"/>
          <w:szCs w:val="24"/>
          <w:highlight w:val="none"/>
          <w:lang w:val="en-US" w:eastAsia="zh-CN"/>
        </w:rPr>
        <w:t>“公平、公正、科学、择优”</w:t>
      </w:r>
      <w:r>
        <w:rPr>
          <w:rFonts w:hint="eastAsia" w:ascii="宋体" w:hAnsi="宋体" w:eastAsia="宋体" w:cs="宋体"/>
          <w:color w:val="auto"/>
          <w:kern w:val="1"/>
          <w:sz w:val="24"/>
          <w:szCs w:val="24"/>
          <w:highlight w:val="none"/>
          <w:lang w:val="en-US" w:eastAsia="zh-CN"/>
        </w:rPr>
        <w:t xml:space="preserve">为本次评审的基本原则，竞争性磋商小组应公正、平等地对待各供应商，同时在评审中恪守以下原则： </w:t>
      </w:r>
    </w:p>
    <w:p w14:paraId="2B35AE6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 xml:space="preserve">（1）统一性原则：竞争性磋商小组将按照统一的评审原则和方法，用统一标准进行评审。 </w:t>
      </w:r>
    </w:p>
    <w:p w14:paraId="129AEE9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en-US" w:eastAsia="zh-CN"/>
        </w:rPr>
        <w:t>（2）独立性原则：评审工作在竞争性磋商小组内部独立进行，不受外界任何因素的干扰和影响。竞争性磋商小组成员对其出具的意见承担个人责任。供应商试图影响或干预评审的任何行为，将导致其丧失磋商的资格，并承担相应的法律责任。</w:t>
      </w:r>
    </w:p>
    <w:p w14:paraId="271232C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en-US" w:eastAsia="zh-CN"/>
        </w:rPr>
        <w:t xml:space="preserve">（3）客观性原则：竞争性磋商小组将严格按照竞争性磋商文件要求，对供应商的竞争性磋商响应文件进行认真评审；竞争性磋商小组对竞争性磋商响应文件的评审仅依据竞争性磋商响应文件本身，而不依据竞争性磋商响应文件以外的任何因素。 </w:t>
      </w:r>
    </w:p>
    <w:p w14:paraId="4609988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en-US" w:eastAsia="zh-CN"/>
        </w:rPr>
        <w:t xml:space="preserve">（4）保密性原则：采购代理机构应当采取必要的措施，保证评审在严格保密情 况下进行。 </w:t>
      </w:r>
    </w:p>
    <w:p w14:paraId="175D4A8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 xml:space="preserve">（5）综合性原则：竞争性磋商小组将综合分析、评审供应商的各项指标，而不以单项指标的优劣评定出成交候选单位。 </w:t>
      </w:r>
    </w:p>
    <w:p w14:paraId="5A1CC27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25.3评审工作程序及流程</w:t>
      </w:r>
    </w:p>
    <w:p w14:paraId="5E46A87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25.3.1评审工作程序</w:t>
      </w:r>
    </w:p>
    <w:p w14:paraId="629ECC8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初步评审、澄清与修正、详细评审、推荐成交候选人的工作程序进行评审。</w:t>
      </w:r>
    </w:p>
    <w:p w14:paraId="21DA046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25.3.2评审工作流程及说明</w:t>
      </w:r>
    </w:p>
    <w:p w14:paraId="4BE71BC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（1）磋商小组先对供应商的磋商响应文件进行初步评审（资格审查/符合性审查），只有通过初步评审（资格审查/符合性审查）的供应商，才能进入第二阶段的磋商，否则被淘汰。</w:t>
      </w:r>
    </w:p>
    <w:p w14:paraId="5AF1F87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2）磋商小组所有成员集中与单一供应商分别进行磋商（磋商轮次为一轮），并给予所有参加磋商的供应商平等的磋商机会。在磋商过程中，磋商小组可以根据磋商文件和磋商情况实质性变动采购需求中的技术、服务要求以及合同草案条款，但不得变动磋商文件中的其他内容。实质性变动的内容，须经采购人代表确认。</w:t>
      </w:r>
    </w:p>
    <w:p w14:paraId="381D630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3）如磋商小组一致认为某个供应商的报价明显不合理，有降低质量、不能诚信履行的可能时，磋商小组有权决定是否通知供应商限期进行书面解释或提供相关证明材料。若已要求，而该供应商在规定期限内未做出解释、做出的解释不合理或不能提供证明材料的，磋商小组有权拒绝该磋商。</w:t>
      </w:r>
    </w:p>
    <w:p w14:paraId="48C24A3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（4）对磋商文件作出的实质性变动是磋商文件的有效组成部分，磋商小组应当及时以书面形式同时通知所有参加磋商的供应商。</w:t>
      </w:r>
    </w:p>
    <w:p w14:paraId="5D70E00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供应商应当按照磋商文件的变动情况和磋商小组的要求重新提交响应文件，并由其法定代表人或授权代表签章。</w:t>
      </w:r>
    </w:p>
    <w:p w14:paraId="4AB6FFE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（5）磋商结束后，磋商小组要求参加磋商的各供应商在规定的时间内集中提交最终报价。</w:t>
      </w:r>
    </w:p>
    <w:p w14:paraId="391505C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6）在确定最终采购需求和提交最后报价的供应商后，由磋商小组采用综合评分法对提交最后报价的供应商进行综合评分。磋商小组评分标准规定的各项因素进行比较、自主打分、综合评审。磋商小组将评审得分汇总后，按评审总得分由高到低汇总排序，推荐1～3名成交候选人；评审得分相同的，按照最后报价由低到高的顺序推荐。评审得分且最后报价相同的，按照技术指标优劣顺序推荐。</w:t>
      </w:r>
    </w:p>
    <w:p w14:paraId="003A0A1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25.4初步审查</w:t>
      </w:r>
    </w:p>
    <w:p w14:paraId="5395F9C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25.4.1资格审查</w:t>
      </w:r>
    </w:p>
    <w:p w14:paraId="5C7FE62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磋商结束后，依据法律法规和竞争性磋商文件的规定，由磋商小组对供应商的资格进行审查，资格审查内容如下：</w:t>
      </w:r>
    </w:p>
    <w:tbl>
      <w:tblPr>
        <w:tblStyle w:val="2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791"/>
        <w:gridCol w:w="2498"/>
        <w:gridCol w:w="4598"/>
      </w:tblGrid>
      <w:tr w14:paraId="251D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45" w:type="pct"/>
            <w:gridSpan w:val="2"/>
            <w:noWrap w:val="0"/>
            <w:vAlign w:val="center"/>
          </w:tcPr>
          <w:p w14:paraId="1F4FC594">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条款号</w:t>
            </w:r>
          </w:p>
        </w:tc>
        <w:tc>
          <w:tcPr>
            <w:tcW w:w="1462" w:type="pct"/>
            <w:noWrap w:val="0"/>
            <w:vAlign w:val="center"/>
          </w:tcPr>
          <w:p w14:paraId="1DD919C6">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评审因素</w:t>
            </w:r>
          </w:p>
        </w:tc>
        <w:tc>
          <w:tcPr>
            <w:tcW w:w="2692" w:type="pct"/>
            <w:noWrap w:val="0"/>
            <w:vAlign w:val="center"/>
          </w:tcPr>
          <w:p w14:paraId="12C5FF13">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评审标准</w:t>
            </w:r>
          </w:p>
        </w:tc>
      </w:tr>
      <w:tr w14:paraId="493F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82" w:type="pct"/>
            <w:vMerge w:val="restart"/>
            <w:noWrap w:val="0"/>
            <w:vAlign w:val="center"/>
          </w:tcPr>
          <w:p w14:paraId="109B6802">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2.1.1</w:t>
            </w:r>
          </w:p>
        </w:tc>
        <w:tc>
          <w:tcPr>
            <w:tcW w:w="463" w:type="pct"/>
            <w:vMerge w:val="restart"/>
            <w:noWrap w:val="0"/>
            <w:vAlign w:val="center"/>
          </w:tcPr>
          <w:p w14:paraId="744BC215">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资格评审</w:t>
            </w:r>
          </w:p>
          <w:p w14:paraId="6C314F80">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标准</w:t>
            </w:r>
          </w:p>
        </w:tc>
        <w:tc>
          <w:tcPr>
            <w:tcW w:w="1462" w:type="pct"/>
            <w:noWrap w:val="0"/>
            <w:vAlign w:val="center"/>
          </w:tcPr>
          <w:p w14:paraId="089C736C">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营业执照等主体资格证明文件</w:t>
            </w:r>
          </w:p>
        </w:tc>
        <w:tc>
          <w:tcPr>
            <w:tcW w:w="2692" w:type="pct"/>
            <w:noWrap w:val="0"/>
            <w:vAlign w:val="center"/>
          </w:tcPr>
          <w:p w14:paraId="4AF303F8">
            <w:pPr>
              <w:keepNext w:val="0"/>
              <w:keepLines w:val="0"/>
              <w:pageBreakBefore w:val="0"/>
              <w:widowControl w:val="0"/>
              <w:tabs>
                <w:tab w:val="left" w:pos="0"/>
              </w:tabs>
              <w:kinsoku/>
              <w:wordWrap w:val="0"/>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供应商应为具备独立承担民事责任能力的法人、其他组织或自然人，须提供合法有效的营业执照或事业单位法人证书或自然人身份证等证明资料；</w:t>
            </w:r>
          </w:p>
        </w:tc>
      </w:tr>
      <w:tr w14:paraId="2B66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82" w:type="pct"/>
            <w:vMerge w:val="continue"/>
            <w:noWrap w:val="0"/>
            <w:vAlign w:val="center"/>
          </w:tcPr>
          <w:p w14:paraId="147B1B45">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463" w:type="pct"/>
            <w:vMerge w:val="continue"/>
            <w:noWrap w:val="0"/>
            <w:vAlign w:val="center"/>
          </w:tcPr>
          <w:p w14:paraId="72BECBBC">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1462" w:type="pct"/>
            <w:noWrap w:val="0"/>
            <w:vAlign w:val="center"/>
          </w:tcPr>
          <w:p w14:paraId="1B838677">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财务要求</w:t>
            </w:r>
          </w:p>
        </w:tc>
        <w:tc>
          <w:tcPr>
            <w:tcW w:w="2692" w:type="pct"/>
            <w:noWrap w:val="0"/>
            <w:vAlign w:val="center"/>
          </w:tcPr>
          <w:p w14:paraId="14CA2527">
            <w:pPr>
              <w:keepNext w:val="0"/>
              <w:keepLines w:val="0"/>
              <w:pageBreakBefore w:val="0"/>
              <w:widowControl w:val="0"/>
              <w:tabs>
                <w:tab w:val="left" w:pos="0"/>
              </w:tabs>
              <w:kinsoku/>
              <w:wordWrap w:val="0"/>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供应商须提供2024年度经审计的财务报告（成立时间至提交投标文件截止时间不足一年的可提供成立后任意时段的资产负债表），或投标截止时间前六个月内基本开户银行出具的资信证明及其基本存款账户开户许可证（无基本存款账户开户许可证可提供其基本存款账户信息证明）；（以上两种形式的资料提供任何一种即可）；</w:t>
            </w:r>
          </w:p>
        </w:tc>
      </w:tr>
      <w:tr w14:paraId="68B4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82" w:type="pct"/>
            <w:vMerge w:val="continue"/>
            <w:noWrap w:val="0"/>
            <w:vAlign w:val="center"/>
          </w:tcPr>
          <w:p w14:paraId="028E4928">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463" w:type="pct"/>
            <w:vMerge w:val="continue"/>
            <w:noWrap w:val="0"/>
            <w:vAlign w:val="center"/>
          </w:tcPr>
          <w:p w14:paraId="561F9F78">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1462" w:type="pct"/>
            <w:noWrap w:val="0"/>
            <w:vAlign w:val="center"/>
          </w:tcPr>
          <w:p w14:paraId="54275B6B">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完税证明</w:t>
            </w:r>
          </w:p>
        </w:tc>
        <w:tc>
          <w:tcPr>
            <w:tcW w:w="2692" w:type="pct"/>
            <w:noWrap w:val="0"/>
            <w:vAlign w:val="center"/>
          </w:tcPr>
          <w:p w14:paraId="7E0E9C90">
            <w:pPr>
              <w:keepNext w:val="0"/>
              <w:keepLines w:val="0"/>
              <w:pageBreakBefore w:val="0"/>
              <w:widowControl w:val="0"/>
              <w:tabs>
                <w:tab w:val="left" w:pos="0"/>
              </w:tabs>
              <w:kinsoku/>
              <w:wordWrap w:val="0"/>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供应商须提供磋商截止时间前一年内，已缴纳的任意一个月的纳税证明或完税证明或无欠税证明，纳税证明或完税证明或无欠税证明上应有代收机构或税务机关的公章或业务专用章，依法免税的供应商应提供相关文件证明；</w:t>
            </w:r>
          </w:p>
        </w:tc>
      </w:tr>
      <w:tr w14:paraId="1266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82" w:type="pct"/>
            <w:vMerge w:val="continue"/>
            <w:noWrap w:val="0"/>
            <w:vAlign w:val="center"/>
          </w:tcPr>
          <w:p w14:paraId="0C4E6CD9">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463" w:type="pct"/>
            <w:vMerge w:val="continue"/>
            <w:noWrap w:val="0"/>
            <w:vAlign w:val="center"/>
          </w:tcPr>
          <w:p w14:paraId="1018F4E1">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1462" w:type="pct"/>
            <w:noWrap w:val="0"/>
            <w:vAlign w:val="center"/>
          </w:tcPr>
          <w:p w14:paraId="50AC6E25">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社保缴纳证明</w:t>
            </w:r>
          </w:p>
        </w:tc>
        <w:tc>
          <w:tcPr>
            <w:tcW w:w="2692" w:type="pct"/>
            <w:noWrap w:val="0"/>
            <w:vAlign w:val="center"/>
          </w:tcPr>
          <w:p w14:paraId="71BAE981">
            <w:pPr>
              <w:keepNext w:val="0"/>
              <w:keepLines w:val="0"/>
              <w:pageBreakBefore w:val="0"/>
              <w:widowControl w:val="0"/>
              <w:tabs>
                <w:tab w:val="left" w:pos="0"/>
              </w:tabs>
              <w:kinsoku/>
              <w:wordWrap w:val="0"/>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供应商须提供磋商截止时间前一年内，已缴存的任意一个月的社会保障资金缴存单据或社保机构开具的社会保险参保缴费情况证明，单据或证明上应有社保机构或代收机构的公章或业务专用章。依法不需要缴纳社会保障资金的供应商应提供相关文件证明；</w:t>
            </w:r>
          </w:p>
        </w:tc>
      </w:tr>
      <w:tr w14:paraId="27CB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82" w:type="pct"/>
            <w:vMerge w:val="continue"/>
            <w:noWrap w:val="0"/>
            <w:vAlign w:val="center"/>
          </w:tcPr>
          <w:p w14:paraId="2D5F0FA2">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463" w:type="pct"/>
            <w:vMerge w:val="continue"/>
            <w:noWrap w:val="0"/>
            <w:vAlign w:val="center"/>
          </w:tcPr>
          <w:p w14:paraId="3AAE4041">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1462" w:type="pct"/>
            <w:noWrap w:val="0"/>
            <w:vAlign w:val="center"/>
          </w:tcPr>
          <w:p w14:paraId="11E6ED32">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书面声明</w:t>
            </w:r>
          </w:p>
        </w:tc>
        <w:tc>
          <w:tcPr>
            <w:tcW w:w="2692" w:type="pct"/>
            <w:noWrap w:val="0"/>
            <w:vAlign w:val="center"/>
          </w:tcPr>
          <w:p w14:paraId="0433C5F9">
            <w:pPr>
              <w:keepNext w:val="0"/>
              <w:keepLines w:val="0"/>
              <w:pageBreakBefore w:val="0"/>
              <w:widowControl w:val="0"/>
              <w:numPr>
                <w:ilvl w:val="0"/>
                <w:numId w:val="0"/>
              </w:numPr>
              <w:tabs>
                <w:tab w:val="left" w:pos="0"/>
              </w:tabs>
              <w:kinsoku/>
              <w:wordWrap w:val="0"/>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1"/>
                <w:sz w:val="21"/>
                <w:szCs w:val="21"/>
                <w:highlight w:val="none"/>
                <w:lang w:val="en-US" w:eastAsia="zh-CN"/>
              </w:rPr>
              <w:t>具有履行合同所必需的设备和专业技术能力；</w:t>
            </w:r>
          </w:p>
        </w:tc>
      </w:tr>
      <w:tr w14:paraId="0B8D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382" w:type="pct"/>
            <w:vMerge w:val="continue"/>
            <w:noWrap w:val="0"/>
            <w:vAlign w:val="center"/>
          </w:tcPr>
          <w:p w14:paraId="2B943654">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463" w:type="pct"/>
            <w:vMerge w:val="continue"/>
            <w:noWrap w:val="0"/>
            <w:vAlign w:val="center"/>
          </w:tcPr>
          <w:p w14:paraId="6B82289C">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1462" w:type="pct"/>
            <w:noWrap w:val="0"/>
            <w:vAlign w:val="center"/>
          </w:tcPr>
          <w:p w14:paraId="378D8283">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重大违法记录声明</w:t>
            </w:r>
          </w:p>
        </w:tc>
        <w:tc>
          <w:tcPr>
            <w:tcW w:w="2692" w:type="pct"/>
            <w:noWrap w:val="0"/>
            <w:vAlign w:val="center"/>
          </w:tcPr>
          <w:p w14:paraId="33D01E66">
            <w:pPr>
              <w:pStyle w:val="10"/>
              <w:keepNext w:val="0"/>
              <w:keepLines w:val="0"/>
              <w:pageBreakBefore w:val="0"/>
              <w:widowControl w:val="0"/>
              <w:numPr>
                <w:ilvl w:val="0"/>
                <w:numId w:val="0"/>
              </w:numPr>
              <w:kinsoku/>
              <w:overflowPunct/>
              <w:topLinePunct w:val="0"/>
              <w:autoSpaceDE/>
              <w:autoSpaceDN/>
              <w:bidi w:val="0"/>
              <w:spacing w:line="360" w:lineRule="auto"/>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lang w:val="en-US" w:eastAsia="zh-CN"/>
              </w:rPr>
              <w:t>参加政府采购活动前三年内，在经营活动中没有重大违法记录；</w:t>
            </w:r>
          </w:p>
        </w:tc>
      </w:tr>
      <w:tr w14:paraId="396A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382" w:type="pct"/>
            <w:vMerge w:val="continue"/>
            <w:noWrap w:val="0"/>
            <w:vAlign w:val="center"/>
          </w:tcPr>
          <w:p w14:paraId="3BCD27A4">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463" w:type="pct"/>
            <w:vMerge w:val="continue"/>
            <w:noWrap w:val="0"/>
            <w:vAlign w:val="center"/>
          </w:tcPr>
          <w:p w14:paraId="377FD0CD">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1462" w:type="pct"/>
            <w:noWrap w:val="0"/>
            <w:vAlign w:val="center"/>
          </w:tcPr>
          <w:p w14:paraId="45FE6BAF">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关联关系</w:t>
            </w:r>
          </w:p>
        </w:tc>
        <w:tc>
          <w:tcPr>
            <w:tcW w:w="2692" w:type="pct"/>
            <w:noWrap w:val="0"/>
            <w:vAlign w:val="center"/>
          </w:tcPr>
          <w:p w14:paraId="4C122AE8">
            <w:pPr>
              <w:pStyle w:val="10"/>
              <w:keepNext w:val="0"/>
              <w:keepLines w:val="0"/>
              <w:pageBreakBefore w:val="0"/>
              <w:widowControl w:val="0"/>
              <w:numPr>
                <w:ilvl w:val="0"/>
                <w:numId w:val="0"/>
              </w:numPr>
              <w:kinsoku/>
              <w:overflowPunct/>
              <w:topLinePunct w:val="0"/>
              <w:autoSpaceDE/>
              <w:autoSpaceDN/>
              <w:bidi w:val="0"/>
              <w:spacing w:line="360" w:lineRule="auto"/>
              <w:textAlignment w:val="auto"/>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lang w:val="en-US" w:eastAsia="zh-CN"/>
              </w:rPr>
              <w:t>单位负责人为同一人或者存在直接控股、管理关系的不同供应商，不得参加同一合同项下的政府采购活动；</w:t>
            </w:r>
          </w:p>
        </w:tc>
      </w:tr>
      <w:tr w14:paraId="51A5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382" w:type="pct"/>
            <w:vMerge w:val="continue"/>
            <w:noWrap w:val="0"/>
            <w:vAlign w:val="center"/>
          </w:tcPr>
          <w:p w14:paraId="3B9324A5">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463" w:type="pct"/>
            <w:vMerge w:val="continue"/>
            <w:noWrap w:val="0"/>
            <w:vAlign w:val="center"/>
          </w:tcPr>
          <w:p w14:paraId="27539086">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1462" w:type="pct"/>
            <w:noWrap w:val="0"/>
            <w:vAlign w:val="center"/>
          </w:tcPr>
          <w:p w14:paraId="1A65E7E0">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法定代表人授权书/法定代表人身份证明</w:t>
            </w:r>
          </w:p>
        </w:tc>
        <w:tc>
          <w:tcPr>
            <w:tcW w:w="2692" w:type="pct"/>
            <w:noWrap w:val="0"/>
            <w:vAlign w:val="center"/>
          </w:tcPr>
          <w:p w14:paraId="2B98BA53">
            <w:pPr>
              <w:keepNext w:val="0"/>
              <w:keepLines w:val="0"/>
              <w:pageBreakBefore w:val="0"/>
              <w:widowControl w:val="0"/>
              <w:tabs>
                <w:tab w:val="left" w:pos="0"/>
              </w:tabs>
              <w:kinsoku/>
              <w:wordWrap w:val="0"/>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法定代表人授权委托书（附法定代表人、被授权人身份证复印件并加盖公章）和被授权人身份证原件。（法定代表人参加投标只须提供法定代表人身份证明书及身份证原件）；</w:t>
            </w:r>
          </w:p>
        </w:tc>
      </w:tr>
      <w:tr w14:paraId="6CC2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noWrap w:val="0"/>
            <w:vAlign w:val="center"/>
          </w:tcPr>
          <w:p w14:paraId="2A93A83B">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463" w:type="pct"/>
            <w:vMerge w:val="continue"/>
            <w:noWrap w:val="0"/>
            <w:vAlign w:val="center"/>
          </w:tcPr>
          <w:p w14:paraId="597A22FB">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1462" w:type="pct"/>
            <w:noWrap w:val="0"/>
            <w:vAlign w:val="center"/>
          </w:tcPr>
          <w:p w14:paraId="27BE6660">
            <w:pPr>
              <w:keepNext w:val="0"/>
              <w:keepLines w:val="0"/>
              <w:pageBreakBefore w:val="0"/>
              <w:widowControl w:val="0"/>
              <w:tabs>
                <w:tab w:val="left" w:pos="0"/>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企业信誉</w:t>
            </w:r>
          </w:p>
        </w:tc>
        <w:tc>
          <w:tcPr>
            <w:tcW w:w="2692" w:type="pct"/>
            <w:noWrap w:val="0"/>
            <w:vAlign w:val="center"/>
          </w:tcPr>
          <w:p w14:paraId="015D167C">
            <w:pPr>
              <w:keepNext w:val="0"/>
              <w:keepLines w:val="0"/>
              <w:pageBreakBefore w:val="0"/>
              <w:widowControl w:val="0"/>
              <w:tabs>
                <w:tab w:val="left" w:pos="0"/>
              </w:tabs>
              <w:kinsoku/>
              <w:wordWrap w:val="0"/>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供应商不得为“信用中国”网站（www.creditchina.gov.cn）列入“失信被执行人（页面跳转至“中国执行信息公开网”（https://zxgk.court.gov.cn/shixin/））、重大税收违法失信主体的供应商；不得为中国政府采购网（https://www.ccgp.gov.cn/index.shtml）“政府采购严重违法失信行为记录名单”中的供应商；</w:t>
            </w:r>
          </w:p>
        </w:tc>
      </w:tr>
      <w:tr w14:paraId="3079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2" w:type="pct"/>
            <w:vMerge w:val="continue"/>
            <w:noWrap w:val="0"/>
            <w:vAlign w:val="center"/>
          </w:tcPr>
          <w:p w14:paraId="59C3EEA1">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463" w:type="pct"/>
            <w:vMerge w:val="continue"/>
            <w:noWrap w:val="0"/>
            <w:vAlign w:val="center"/>
          </w:tcPr>
          <w:p w14:paraId="4FCE39D1">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1462" w:type="pct"/>
            <w:noWrap w:val="0"/>
            <w:vAlign w:val="center"/>
          </w:tcPr>
          <w:p w14:paraId="3F825089">
            <w:pPr>
              <w:keepNext w:val="0"/>
              <w:keepLines w:val="0"/>
              <w:pageBreakBefore w:val="0"/>
              <w:widowControl w:val="0"/>
              <w:tabs>
                <w:tab w:val="left" w:pos="0"/>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中小企业要求</w:t>
            </w:r>
          </w:p>
        </w:tc>
        <w:tc>
          <w:tcPr>
            <w:tcW w:w="2692" w:type="pct"/>
            <w:noWrap w:val="0"/>
            <w:vAlign w:val="center"/>
          </w:tcPr>
          <w:p w14:paraId="0F4B93CF">
            <w:pPr>
              <w:keepNext w:val="0"/>
              <w:keepLines w:val="0"/>
              <w:pageBreakBefore w:val="0"/>
              <w:widowControl w:val="0"/>
              <w:tabs>
                <w:tab w:val="left" w:pos="0"/>
              </w:tabs>
              <w:kinsoku/>
              <w:wordWrap w:val="0"/>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本项目为专门面向中小企业采购；</w:t>
            </w:r>
          </w:p>
        </w:tc>
      </w:tr>
      <w:tr w14:paraId="206D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82" w:type="pct"/>
            <w:vMerge w:val="continue"/>
            <w:noWrap w:val="0"/>
            <w:vAlign w:val="center"/>
          </w:tcPr>
          <w:p w14:paraId="791C7159">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463" w:type="pct"/>
            <w:vMerge w:val="continue"/>
            <w:noWrap w:val="0"/>
            <w:vAlign w:val="center"/>
          </w:tcPr>
          <w:p w14:paraId="223F9292">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p>
        </w:tc>
        <w:tc>
          <w:tcPr>
            <w:tcW w:w="1462" w:type="pct"/>
            <w:noWrap w:val="0"/>
            <w:vAlign w:val="center"/>
          </w:tcPr>
          <w:p w14:paraId="437DDA43">
            <w:pPr>
              <w:keepNext w:val="0"/>
              <w:keepLines w:val="0"/>
              <w:pageBreakBefore w:val="0"/>
              <w:widowControl w:val="0"/>
              <w:tabs>
                <w:tab w:val="left" w:pos="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联合体</w:t>
            </w:r>
          </w:p>
        </w:tc>
        <w:tc>
          <w:tcPr>
            <w:tcW w:w="2692" w:type="pct"/>
            <w:noWrap w:val="0"/>
            <w:vAlign w:val="center"/>
          </w:tcPr>
          <w:p w14:paraId="6CFFE829">
            <w:pPr>
              <w:keepNext w:val="0"/>
              <w:keepLines w:val="0"/>
              <w:pageBreakBefore w:val="0"/>
              <w:widowControl w:val="0"/>
              <w:tabs>
                <w:tab w:val="left" w:pos="0"/>
              </w:tabs>
              <w:kinsoku/>
              <w:wordWrap w:val="0"/>
              <w:overflowPunct/>
              <w:topLinePunct w:val="0"/>
              <w:autoSpaceDE/>
              <w:autoSpaceDN/>
              <w:bidi w:val="0"/>
              <w:adjustRightInd w:val="0"/>
              <w:snapToGrid w:val="0"/>
              <w:spacing w:line="360" w:lineRule="auto"/>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不允许联合体</w:t>
            </w:r>
            <w:r>
              <w:rPr>
                <w:rFonts w:hint="eastAsia" w:ascii="宋体" w:hAnsi="宋体" w:eastAsia="宋体" w:cs="宋体"/>
                <w:bCs/>
                <w:color w:val="auto"/>
                <w:sz w:val="21"/>
                <w:szCs w:val="21"/>
                <w:highlight w:val="none"/>
                <w:lang w:val="en-US" w:eastAsia="zh-CN"/>
              </w:rPr>
              <w:t>磋商</w:t>
            </w:r>
            <w:r>
              <w:rPr>
                <w:rFonts w:hint="eastAsia" w:ascii="宋体" w:hAnsi="宋体" w:eastAsia="宋体" w:cs="宋体"/>
                <w:bCs/>
                <w:color w:val="auto"/>
                <w:sz w:val="21"/>
                <w:szCs w:val="21"/>
                <w:highlight w:val="none"/>
                <w:lang w:eastAsia="zh-CN"/>
              </w:rPr>
              <w:t xml:space="preserve">。 </w:t>
            </w:r>
          </w:p>
        </w:tc>
      </w:tr>
      <w:tr w14:paraId="2568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5000" w:type="pct"/>
            <w:gridSpan w:val="4"/>
            <w:noWrap w:val="0"/>
            <w:vAlign w:val="center"/>
          </w:tcPr>
          <w:p w14:paraId="3AB13C23">
            <w:pPr>
              <w:keepNext w:val="0"/>
              <w:keepLines w:val="0"/>
              <w:pageBreakBefore w:val="0"/>
              <w:widowControl w:val="0"/>
              <w:tabs>
                <w:tab w:val="left" w:pos="0"/>
              </w:tabs>
              <w:kinsoku/>
              <w:overflowPunct/>
              <w:topLinePunct w:val="0"/>
              <w:autoSpaceDE/>
              <w:autoSpaceDN/>
              <w:bidi w:val="0"/>
              <w:adjustRightInd w:val="0"/>
              <w:snapToGrid w:val="0"/>
              <w:spacing w:line="360" w:lineRule="auto"/>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注：以上为必备资质，缺一项或某项达不到要求，按无效文件处理。资格审查时以磋商响应文件中所附证明材料为准，原件备查。</w:t>
            </w:r>
          </w:p>
        </w:tc>
      </w:tr>
    </w:tbl>
    <w:p w14:paraId="1197A9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注：（1）供应商须按“第五章·竞争性磋商响应文件格式”中“2、资格证明资料”的规定提供上述资料，未按要求提供上述资料的或提供的资料不符合要求的，按资格审查不合格处理。</w:t>
      </w:r>
    </w:p>
    <w:p w14:paraId="304AE74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（2）审查结论为 “合格”和“不合格”；上表所列项目有任意一项不符合要求则审查结论为“不合格”，则该供应商的竞争性磋商响应文件按无效文件处理。不再参与后续环节评审。</w:t>
      </w:r>
    </w:p>
    <w:p w14:paraId="126A8B73">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25.4.2 符合性审查</w:t>
      </w:r>
    </w:p>
    <w:p w14:paraId="4E5DB8A3">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竞争性磋商响应文件符合性审查：由磋商小组对资格审查合格的供应商的竞争性磋商响应文件的有效性、完整性及对竞争性磋商文件的响应程度进行符合性审查，以确定是否对竞争性磋商文件的实质性内容作出响应，具体如下：</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2254"/>
        <w:gridCol w:w="5625"/>
      </w:tblGrid>
      <w:tr w14:paraId="4F7C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exact"/>
        </w:trPr>
        <w:tc>
          <w:tcPr>
            <w:tcW w:w="391" w:type="pct"/>
            <w:tcBorders>
              <w:top w:val="single" w:color="auto" w:sz="4" w:space="0"/>
              <w:left w:val="single" w:color="auto" w:sz="4" w:space="0"/>
              <w:bottom w:val="single" w:color="auto" w:sz="4" w:space="0"/>
              <w:right w:val="single" w:color="auto" w:sz="4" w:space="0"/>
            </w:tcBorders>
            <w:noWrap w:val="0"/>
            <w:vAlign w:val="center"/>
          </w:tcPr>
          <w:p w14:paraId="671B3E97">
            <w:pPr>
              <w:snapToGrid w:val="0"/>
              <w:spacing w:line="360" w:lineRule="exact"/>
              <w:jc w:val="center"/>
              <w:rPr>
                <w:rFonts w:hint="eastAsia" w:ascii="宋体" w:hAnsi="宋体" w:eastAsia="宋体" w:cs="宋体"/>
                <w:b/>
                <w:bCs/>
                <w:snapToGrid w:val="0"/>
                <w:color w:val="auto"/>
                <w:sz w:val="21"/>
                <w:szCs w:val="21"/>
                <w:highlight w:val="none"/>
              </w:rPr>
            </w:pPr>
            <w:r>
              <w:rPr>
                <w:rFonts w:hint="eastAsia" w:ascii="宋体" w:hAnsi="宋体" w:eastAsia="宋体" w:cs="宋体"/>
                <w:b/>
                <w:bCs/>
                <w:snapToGrid w:val="0"/>
                <w:color w:val="auto"/>
                <w:sz w:val="21"/>
                <w:szCs w:val="21"/>
                <w:highlight w:val="none"/>
              </w:rPr>
              <w:t>序号</w:t>
            </w:r>
          </w:p>
        </w:tc>
        <w:tc>
          <w:tcPr>
            <w:tcW w:w="1318" w:type="pct"/>
            <w:tcBorders>
              <w:top w:val="single" w:color="auto" w:sz="4" w:space="0"/>
              <w:left w:val="single" w:color="auto" w:sz="4" w:space="0"/>
              <w:bottom w:val="single" w:color="auto" w:sz="4" w:space="0"/>
              <w:right w:val="single" w:color="auto" w:sz="4" w:space="0"/>
            </w:tcBorders>
            <w:noWrap w:val="0"/>
            <w:vAlign w:val="center"/>
          </w:tcPr>
          <w:p w14:paraId="7E4D26E1">
            <w:pPr>
              <w:snapToGrid w:val="0"/>
              <w:spacing w:line="360" w:lineRule="exact"/>
              <w:jc w:val="center"/>
              <w:rPr>
                <w:rFonts w:hint="eastAsia" w:ascii="宋体" w:hAnsi="宋体" w:eastAsia="宋体" w:cs="宋体"/>
                <w:b/>
                <w:bCs/>
                <w:snapToGrid w:val="0"/>
                <w:color w:val="auto"/>
                <w:sz w:val="21"/>
                <w:szCs w:val="21"/>
                <w:highlight w:val="none"/>
              </w:rPr>
            </w:pPr>
            <w:r>
              <w:rPr>
                <w:rFonts w:hint="eastAsia" w:ascii="宋体" w:hAnsi="宋体" w:eastAsia="宋体" w:cs="宋体"/>
                <w:b/>
                <w:bCs/>
                <w:snapToGrid w:val="0"/>
                <w:color w:val="auto"/>
                <w:sz w:val="21"/>
                <w:szCs w:val="21"/>
                <w:highlight w:val="none"/>
              </w:rPr>
              <w:t>评审内容</w:t>
            </w:r>
          </w:p>
        </w:tc>
        <w:tc>
          <w:tcPr>
            <w:tcW w:w="3289" w:type="pct"/>
            <w:tcBorders>
              <w:top w:val="single" w:color="auto" w:sz="4" w:space="0"/>
              <w:left w:val="single" w:color="auto" w:sz="4" w:space="0"/>
              <w:bottom w:val="single" w:color="auto" w:sz="4" w:space="0"/>
              <w:right w:val="single" w:color="auto" w:sz="4" w:space="0"/>
            </w:tcBorders>
            <w:noWrap w:val="0"/>
            <w:vAlign w:val="center"/>
          </w:tcPr>
          <w:p w14:paraId="5B1455DB">
            <w:pPr>
              <w:snapToGrid w:val="0"/>
              <w:spacing w:line="360" w:lineRule="exact"/>
              <w:jc w:val="center"/>
              <w:rPr>
                <w:rFonts w:hint="eastAsia" w:ascii="宋体" w:hAnsi="宋体" w:eastAsia="宋体" w:cs="宋体"/>
                <w:b/>
                <w:bCs/>
                <w:snapToGrid w:val="0"/>
                <w:color w:val="auto"/>
                <w:sz w:val="21"/>
                <w:szCs w:val="21"/>
                <w:highlight w:val="none"/>
              </w:rPr>
            </w:pPr>
            <w:r>
              <w:rPr>
                <w:rFonts w:hint="eastAsia" w:ascii="宋体" w:hAnsi="宋体" w:eastAsia="宋体" w:cs="宋体"/>
                <w:b/>
                <w:bCs/>
                <w:snapToGrid w:val="0"/>
                <w:color w:val="auto"/>
                <w:sz w:val="21"/>
                <w:szCs w:val="21"/>
                <w:highlight w:val="none"/>
              </w:rPr>
              <w:t>评审标准</w:t>
            </w:r>
          </w:p>
        </w:tc>
      </w:tr>
      <w:tr w14:paraId="6F21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391" w:type="pct"/>
            <w:tcBorders>
              <w:top w:val="single" w:color="auto" w:sz="4" w:space="0"/>
              <w:left w:val="single" w:color="auto" w:sz="4" w:space="0"/>
              <w:bottom w:val="single" w:color="auto" w:sz="4" w:space="0"/>
              <w:right w:val="single" w:color="auto" w:sz="4" w:space="0"/>
            </w:tcBorders>
            <w:noWrap w:val="0"/>
            <w:vAlign w:val="center"/>
          </w:tcPr>
          <w:p w14:paraId="44A8167E">
            <w:pPr>
              <w:tabs>
                <w:tab w:val="left" w:pos="360"/>
              </w:tabs>
              <w:snapToGrid w:val="0"/>
              <w:spacing w:line="276" w:lineRule="auto"/>
              <w:jc w:val="center"/>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lang w:val="en-US" w:eastAsia="zh-CN"/>
              </w:rPr>
              <w:t>1</w:t>
            </w:r>
          </w:p>
        </w:tc>
        <w:tc>
          <w:tcPr>
            <w:tcW w:w="1318" w:type="pct"/>
            <w:tcBorders>
              <w:top w:val="single" w:color="auto" w:sz="4" w:space="0"/>
              <w:left w:val="single" w:color="auto" w:sz="4" w:space="0"/>
              <w:bottom w:val="single" w:color="auto" w:sz="4" w:space="0"/>
              <w:right w:val="single" w:color="auto" w:sz="4" w:space="0"/>
            </w:tcBorders>
            <w:noWrap w:val="0"/>
            <w:vAlign w:val="center"/>
          </w:tcPr>
          <w:p w14:paraId="56283F0C">
            <w:pPr>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供应商名称</w:t>
            </w:r>
          </w:p>
        </w:tc>
        <w:tc>
          <w:tcPr>
            <w:tcW w:w="3289" w:type="pct"/>
            <w:tcBorders>
              <w:top w:val="single" w:color="auto" w:sz="4" w:space="0"/>
              <w:left w:val="single" w:color="auto" w:sz="4" w:space="0"/>
              <w:bottom w:val="single" w:color="auto" w:sz="4" w:space="0"/>
              <w:right w:val="single" w:color="auto" w:sz="4" w:space="0"/>
            </w:tcBorders>
            <w:noWrap w:val="0"/>
            <w:vAlign w:val="center"/>
          </w:tcPr>
          <w:p w14:paraId="6BBF421E">
            <w:pPr>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供应商名称和营业执照</w:t>
            </w:r>
            <w:r>
              <w:rPr>
                <w:rFonts w:hint="eastAsia" w:ascii="宋体" w:hAnsi="宋体" w:cs="宋体"/>
                <w:color w:val="auto"/>
                <w:sz w:val="21"/>
                <w:szCs w:val="21"/>
                <w:highlight w:val="none"/>
                <w:lang w:val="en-US" w:eastAsia="zh-CN"/>
              </w:rPr>
              <w:t>等</w:t>
            </w:r>
            <w:r>
              <w:rPr>
                <w:rFonts w:hint="eastAsia" w:ascii="宋体" w:hAnsi="宋体" w:eastAsia="宋体" w:cs="宋体"/>
                <w:color w:val="auto"/>
                <w:sz w:val="21"/>
                <w:szCs w:val="21"/>
                <w:highlight w:val="none"/>
                <w:lang w:val="en-US" w:eastAsia="zh-CN"/>
              </w:rPr>
              <w:t>合法证明文件一致</w:t>
            </w:r>
          </w:p>
        </w:tc>
      </w:tr>
      <w:tr w14:paraId="3AB4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391" w:type="pct"/>
            <w:tcBorders>
              <w:top w:val="single" w:color="auto" w:sz="4" w:space="0"/>
              <w:left w:val="single" w:color="auto" w:sz="4" w:space="0"/>
              <w:bottom w:val="single" w:color="auto" w:sz="4" w:space="0"/>
              <w:right w:val="single" w:color="auto" w:sz="4" w:space="0"/>
            </w:tcBorders>
            <w:noWrap w:val="0"/>
            <w:vAlign w:val="center"/>
          </w:tcPr>
          <w:p w14:paraId="11D56913">
            <w:pPr>
              <w:tabs>
                <w:tab w:val="left" w:pos="360"/>
              </w:tabs>
              <w:snapToGrid w:val="0"/>
              <w:spacing w:line="276" w:lineRule="auto"/>
              <w:jc w:val="center"/>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lang w:val="en-US" w:eastAsia="zh-CN"/>
              </w:rPr>
              <w:t>2</w:t>
            </w:r>
          </w:p>
        </w:tc>
        <w:tc>
          <w:tcPr>
            <w:tcW w:w="1318" w:type="pct"/>
            <w:tcBorders>
              <w:top w:val="single" w:color="auto" w:sz="4" w:space="0"/>
              <w:left w:val="single" w:color="auto" w:sz="4" w:space="0"/>
              <w:bottom w:val="single" w:color="auto" w:sz="4" w:space="0"/>
              <w:right w:val="single" w:color="auto" w:sz="4" w:space="0"/>
            </w:tcBorders>
            <w:noWrap w:val="0"/>
            <w:vAlign w:val="center"/>
          </w:tcPr>
          <w:p w14:paraId="6BC3F272">
            <w:pPr>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响应文件的有效性</w:t>
            </w:r>
          </w:p>
        </w:tc>
        <w:tc>
          <w:tcPr>
            <w:tcW w:w="3289" w:type="pct"/>
            <w:tcBorders>
              <w:top w:val="single" w:color="auto" w:sz="4" w:space="0"/>
              <w:left w:val="single" w:color="auto" w:sz="4" w:space="0"/>
              <w:bottom w:val="single" w:color="auto" w:sz="4" w:space="0"/>
              <w:right w:val="single" w:color="auto" w:sz="4" w:space="0"/>
            </w:tcBorders>
            <w:noWrap w:val="0"/>
            <w:vAlign w:val="center"/>
          </w:tcPr>
          <w:p w14:paraId="0048C0BC">
            <w:pPr>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签署、盖章合格、有效</w:t>
            </w:r>
          </w:p>
        </w:tc>
      </w:tr>
      <w:tr w14:paraId="2D91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391" w:type="pct"/>
            <w:tcBorders>
              <w:top w:val="single" w:color="auto" w:sz="4" w:space="0"/>
              <w:left w:val="single" w:color="auto" w:sz="4" w:space="0"/>
              <w:bottom w:val="single" w:color="auto" w:sz="4" w:space="0"/>
              <w:right w:val="single" w:color="auto" w:sz="4" w:space="0"/>
            </w:tcBorders>
            <w:noWrap w:val="0"/>
            <w:vAlign w:val="center"/>
          </w:tcPr>
          <w:p w14:paraId="0E1DB3DA">
            <w:pPr>
              <w:tabs>
                <w:tab w:val="left" w:pos="360"/>
              </w:tabs>
              <w:snapToGrid w:val="0"/>
              <w:spacing w:line="276" w:lineRule="auto"/>
              <w:jc w:val="center"/>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lang w:val="en-US" w:eastAsia="zh-CN"/>
              </w:rPr>
              <w:t>3</w:t>
            </w:r>
          </w:p>
        </w:tc>
        <w:tc>
          <w:tcPr>
            <w:tcW w:w="1318" w:type="pct"/>
            <w:tcBorders>
              <w:top w:val="single" w:color="auto" w:sz="4" w:space="0"/>
              <w:left w:val="single" w:color="auto" w:sz="4" w:space="0"/>
              <w:bottom w:val="single" w:color="auto" w:sz="4" w:space="0"/>
              <w:right w:val="single" w:color="auto" w:sz="4" w:space="0"/>
            </w:tcBorders>
            <w:noWrap w:val="0"/>
            <w:vAlign w:val="center"/>
          </w:tcPr>
          <w:p w14:paraId="4E82AB2A">
            <w:pPr>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磋商响应文件格式</w:t>
            </w:r>
          </w:p>
        </w:tc>
        <w:tc>
          <w:tcPr>
            <w:tcW w:w="3289" w:type="pct"/>
            <w:tcBorders>
              <w:top w:val="single" w:color="auto" w:sz="4" w:space="0"/>
              <w:left w:val="single" w:color="auto" w:sz="4" w:space="0"/>
              <w:bottom w:val="single" w:color="auto" w:sz="4" w:space="0"/>
              <w:right w:val="single" w:color="auto" w:sz="4" w:space="0"/>
            </w:tcBorders>
            <w:noWrap w:val="0"/>
            <w:vAlign w:val="center"/>
          </w:tcPr>
          <w:p w14:paraId="5425E7DB">
            <w:pPr>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应符合“磋商响应文件格式”要求</w:t>
            </w:r>
          </w:p>
        </w:tc>
      </w:tr>
      <w:tr w14:paraId="486B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391" w:type="pct"/>
            <w:tcBorders>
              <w:top w:val="single" w:color="auto" w:sz="4" w:space="0"/>
              <w:left w:val="single" w:color="auto" w:sz="4" w:space="0"/>
              <w:bottom w:val="single" w:color="auto" w:sz="4" w:space="0"/>
              <w:right w:val="single" w:color="auto" w:sz="4" w:space="0"/>
            </w:tcBorders>
            <w:noWrap w:val="0"/>
            <w:vAlign w:val="center"/>
          </w:tcPr>
          <w:p w14:paraId="1DBACEE9">
            <w:pPr>
              <w:tabs>
                <w:tab w:val="left" w:pos="360"/>
              </w:tabs>
              <w:snapToGrid w:val="0"/>
              <w:spacing w:line="276" w:lineRule="auto"/>
              <w:jc w:val="center"/>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lang w:val="en-US" w:eastAsia="zh-CN"/>
              </w:rPr>
              <w:t>4</w:t>
            </w:r>
          </w:p>
        </w:tc>
        <w:tc>
          <w:tcPr>
            <w:tcW w:w="1318" w:type="pct"/>
            <w:tcBorders>
              <w:top w:val="single" w:color="auto" w:sz="4" w:space="0"/>
              <w:left w:val="single" w:color="auto" w:sz="4" w:space="0"/>
              <w:bottom w:val="single" w:color="auto" w:sz="4" w:space="0"/>
              <w:right w:val="single" w:color="auto" w:sz="4" w:space="0"/>
            </w:tcBorders>
            <w:noWrap w:val="0"/>
            <w:vAlign w:val="center"/>
          </w:tcPr>
          <w:p w14:paraId="0E82E2FF">
            <w:pPr>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磋商响应文件份数</w:t>
            </w:r>
          </w:p>
        </w:tc>
        <w:tc>
          <w:tcPr>
            <w:tcW w:w="3289" w:type="pct"/>
            <w:tcBorders>
              <w:top w:val="single" w:color="auto" w:sz="4" w:space="0"/>
              <w:left w:val="single" w:color="auto" w:sz="4" w:space="0"/>
              <w:bottom w:val="single" w:color="auto" w:sz="4" w:space="0"/>
              <w:right w:val="single" w:color="auto" w:sz="4" w:space="0"/>
            </w:tcBorders>
            <w:noWrap w:val="0"/>
            <w:vAlign w:val="center"/>
          </w:tcPr>
          <w:p w14:paraId="5C289907">
            <w:pPr>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应符合“供应商须知前附表”规定的正本、副本、电子版文件数量</w:t>
            </w:r>
          </w:p>
        </w:tc>
      </w:tr>
      <w:tr w14:paraId="6DF1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391" w:type="pct"/>
            <w:tcBorders>
              <w:top w:val="single" w:color="auto" w:sz="4" w:space="0"/>
              <w:left w:val="single" w:color="auto" w:sz="4" w:space="0"/>
              <w:bottom w:val="single" w:color="auto" w:sz="4" w:space="0"/>
              <w:right w:val="single" w:color="auto" w:sz="4" w:space="0"/>
            </w:tcBorders>
            <w:noWrap w:val="0"/>
            <w:vAlign w:val="center"/>
          </w:tcPr>
          <w:p w14:paraId="1619BAB2">
            <w:pPr>
              <w:tabs>
                <w:tab w:val="left" w:pos="360"/>
              </w:tabs>
              <w:snapToGrid w:val="0"/>
              <w:spacing w:line="276" w:lineRule="auto"/>
              <w:jc w:val="center"/>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lang w:val="en-US" w:eastAsia="zh-CN"/>
              </w:rPr>
              <w:t>5</w:t>
            </w:r>
          </w:p>
        </w:tc>
        <w:tc>
          <w:tcPr>
            <w:tcW w:w="1318" w:type="pct"/>
            <w:tcBorders>
              <w:top w:val="single" w:color="auto" w:sz="4" w:space="0"/>
              <w:left w:val="single" w:color="auto" w:sz="4" w:space="0"/>
              <w:bottom w:val="single" w:color="auto" w:sz="4" w:space="0"/>
              <w:right w:val="single" w:color="auto" w:sz="4" w:space="0"/>
            </w:tcBorders>
            <w:noWrap w:val="0"/>
            <w:vAlign w:val="center"/>
          </w:tcPr>
          <w:p w14:paraId="1C96F9B1">
            <w:pPr>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磋商报价</w:t>
            </w:r>
          </w:p>
        </w:tc>
        <w:tc>
          <w:tcPr>
            <w:tcW w:w="3289" w:type="pct"/>
            <w:tcBorders>
              <w:top w:val="single" w:color="auto" w:sz="4" w:space="0"/>
              <w:left w:val="single" w:color="auto" w:sz="4" w:space="0"/>
              <w:bottom w:val="single" w:color="auto" w:sz="4" w:space="0"/>
              <w:right w:val="single" w:color="auto" w:sz="4" w:space="0"/>
            </w:tcBorders>
            <w:noWrap w:val="0"/>
            <w:vAlign w:val="center"/>
          </w:tcPr>
          <w:p w14:paraId="6794C203">
            <w:pPr>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只能有一个有效报价，不得提交选择性报价，按要求提交二次或多次报价，且每轮报价不超过采购预算金额或最高限价或磋商小组认为低于成本价的报价</w:t>
            </w:r>
          </w:p>
        </w:tc>
      </w:tr>
      <w:tr w14:paraId="788D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trPr>
        <w:tc>
          <w:tcPr>
            <w:tcW w:w="391" w:type="pct"/>
            <w:tcBorders>
              <w:top w:val="single" w:color="auto" w:sz="4" w:space="0"/>
              <w:left w:val="single" w:color="auto" w:sz="4" w:space="0"/>
              <w:bottom w:val="single" w:color="auto" w:sz="4" w:space="0"/>
              <w:right w:val="single" w:color="auto" w:sz="4" w:space="0"/>
            </w:tcBorders>
            <w:noWrap w:val="0"/>
            <w:vAlign w:val="center"/>
          </w:tcPr>
          <w:p w14:paraId="399ECB13">
            <w:pPr>
              <w:tabs>
                <w:tab w:val="left" w:pos="360"/>
              </w:tabs>
              <w:snapToGrid w:val="0"/>
              <w:spacing w:line="276" w:lineRule="auto"/>
              <w:jc w:val="center"/>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lang w:val="en-US" w:eastAsia="zh-CN"/>
              </w:rPr>
              <w:t>6</w:t>
            </w:r>
          </w:p>
        </w:tc>
        <w:tc>
          <w:tcPr>
            <w:tcW w:w="1318" w:type="pct"/>
            <w:tcBorders>
              <w:top w:val="single" w:color="auto" w:sz="4" w:space="0"/>
              <w:left w:val="single" w:color="auto" w:sz="4" w:space="0"/>
              <w:bottom w:val="single" w:color="auto" w:sz="4" w:space="0"/>
              <w:right w:val="single" w:color="auto" w:sz="4" w:space="0"/>
            </w:tcBorders>
            <w:noWrap w:val="0"/>
            <w:vAlign w:val="center"/>
          </w:tcPr>
          <w:p w14:paraId="093F1406">
            <w:pPr>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磋商有效期</w:t>
            </w:r>
          </w:p>
        </w:tc>
        <w:tc>
          <w:tcPr>
            <w:tcW w:w="3289" w:type="pct"/>
            <w:tcBorders>
              <w:top w:val="single" w:color="auto" w:sz="4" w:space="0"/>
              <w:left w:val="single" w:color="auto" w:sz="4" w:space="0"/>
              <w:bottom w:val="single" w:color="auto" w:sz="4" w:space="0"/>
              <w:right w:val="single" w:color="auto" w:sz="4" w:space="0"/>
            </w:tcBorders>
            <w:noWrap w:val="0"/>
            <w:vAlign w:val="center"/>
          </w:tcPr>
          <w:p w14:paraId="19C0AED7">
            <w:pPr>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自竞争性磋商开始之日起90个日历日</w:t>
            </w:r>
          </w:p>
        </w:tc>
      </w:tr>
      <w:tr w14:paraId="01D7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391" w:type="pct"/>
            <w:tcBorders>
              <w:top w:val="single" w:color="auto" w:sz="4" w:space="0"/>
              <w:left w:val="single" w:color="auto" w:sz="4" w:space="0"/>
              <w:bottom w:val="single" w:color="auto" w:sz="4" w:space="0"/>
              <w:right w:val="single" w:color="auto" w:sz="4" w:space="0"/>
            </w:tcBorders>
            <w:noWrap w:val="0"/>
            <w:vAlign w:val="center"/>
          </w:tcPr>
          <w:p w14:paraId="5A06888C">
            <w:pPr>
              <w:tabs>
                <w:tab w:val="left" w:pos="360"/>
              </w:tabs>
              <w:snapToGrid w:val="0"/>
              <w:spacing w:line="276" w:lineRule="auto"/>
              <w:jc w:val="center"/>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lang w:val="en-US" w:eastAsia="zh-CN"/>
              </w:rPr>
              <w:t>7</w:t>
            </w:r>
          </w:p>
        </w:tc>
        <w:tc>
          <w:tcPr>
            <w:tcW w:w="1318" w:type="pct"/>
            <w:tcBorders>
              <w:top w:val="single" w:color="auto" w:sz="4" w:space="0"/>
              <w:left w:val="single" w:color="auto" w:sz="4" w:space="0"/>
              <w:bottom w:val="single" w:color="auto" w:sz="4" w:space="0"/>
              <w:right w:val="single" w:color="auto" w:sz="4" w:space="0"/>
            </w:tcBorders>
            <w:noWrap w:val="0"/>
            <w:vAlign w:val="center"/>
          </w:tcPr>
          <w:p w14:paraId="3AB198E1">
            <w:pPr>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服务期</w:t>
            </w:r>
          </w:p>
        </w:tc>
        <w:tc>
          <w:tcPr>
            <w:tcW w:w="3289" w:type="pct"/>
            <w:tcBorders>
              <w:top w:val="single" w:color="auto" w:sz="4" w:space="0"/>
              <w:left w:val="single" w:color="auto" w:sz="4" w:space="0"/>
              <w:bottom w:val="single" w:color="auto" w:sz="4" w:space="0"/>
              <w:right w:val="single" w:color="auto" w:sz="4" w:space="0"/>
            </w:tcBorders>
            <w:noWrap w:val="0"/>
            <w:vAlign w:val="center"/>
          </w:tcPr>
          <w:p w14:paraId="593B15FE">
            <w:pPr>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自签订合同之日起1年</w:t>
            </w:r>
          </w:p>
        </w:tc>
      </w:tr>
      <w:tr w14:paraId="2934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exact"/>
        </w:trPr>
        <w:tc>
          <w:tcPr>
            <w:tcW w:w="391" w:type="pct"/>
            <w:tcBorders>
              <w:top w:val="single" w:color="auto" w:sz="4" w:space="0"/>
              <w:left w:val="single" w:color="auto" w:sz="4" w:space="0"/>
              <w:bottom w:val="single" w:color="auto" w:sz="4" w:space="0"/>
              <w:right w:val="single" w:color="auto" w:sz="4" w:space="0"/>
            </w:tcBorders>
            <w:noWrap w:val="0"/>
            <w:vAlign w:val="center"/>
          </w:tcPr>
          <w:p w14:paraId="6E80F0DC">
            <w:pPr>
              <w:tabs>
                <w:tab w:val="left" w:pos="360"/>
              </w:tabs>
              <w:snapToGrid w:val="0"/>
              <w:spacing w:line="276" w:lineRule="auto"/>
              <w:jc w:val="center"/>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lang w:val="en-US" w:eastAsia="zh-CN"/>
              </w:rPr>
              <w:t>8</w:t>
            </w:r>
          </w:p>
        </w:tc>
        <w:tc>
          <w:tcPr>
            <w:tcW w:w="1318" w:type="pct"/>
            <w:tcBorders>
              <w:top w:val="single" w:color="auto" w:sz="4" w:space="0"/>
              <w:left w:val="single" w:color="auto" w:sz="4" w:space="0"/>
              <w:bottom w:val="single" w:color="auto" w:sz="4" w:space="0"/>
              <w:right w:val="single" w:color="auto" w:sz="4" w:space="0"/>
            </w:tcBorders>
            <w:noWrap w:val="0"/>
            <w:vAlign w:val="center"/>
          </w:tcPr>
          <w:p w14:paraId="7E21CBC8">
            <w:pPr>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其他要求</w:t>
            </w:r>
          </w:p>
        </w:tc>
        <w:tc>
          <w:tcPr>
            <w:tcW w:w="3289" w:type="pct"/>
            <w:tcBorders>
              <w:top w:val="single" w:color="auto" w:sz="4" w:space="0"/>
              <w:left w:val="single" w:color="auto" w:sz="4" w:space="0"/>
              <w:bottom w:val="single" w:color="auto" w:sz="4" w:space="0"/>
              <w:right w:val="single" w:color="auto" w:sz="4" w:space="0"/>
            </w:tcBorders>
            <w:noWrap w:val="0"/>
            <w:vAlign w:val="center"/>
          </w:tcPr>
          <w:p w14:paraId="313A0DE9">
            <w:pPr>
              <w:snapToGrid w:val="0"/>
              <w:spacing w:line="240" w:lineRule="auto"/>
              <w:jc w:val="left"/>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符合竞争性磋商文件中的实质性规定</w:t>
            </w:r>
          </w:p>
        </w:tc>
      </w:tr>
    </w:tbl>
    <w:p w14:paraId="36DAE8D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注：以上内容有一项不符合要求，则符合性审查评定为不合格，视为不实质性响应竞争性磋商文件，其文件将按无效竞争性磋商响应文件处理，不再参与后续环节评审。</w:t>
      </w:r>
    </w:p>
    <w:p w14:paraId="6C8FE4B4">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25.6 竞争性磋商响应文件的澄清</w:t>
      </w:r>
    </w:p>
    <w:p w14:paraId="59450A61">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磋商小组在对磋商响应文件的有效性、完整性和响应程度进行审查时，磋商小组有权就磋商响应文件中非实质性（含义不明确、同类问题表述不一致或者有明显文字和计算错误的内容）等有关问题做出必要的澄清、说明或者更正。</w:t>
      </w:r>
    </w:p>
    <w:p w14:paraId="5389900E">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供应商有关澄清、说明或者更正不得超出磋商响应文件的范围或者改变磋商响应文件的实质性内容。不得借此对磋商报价、服务期限、服务内容等实质性内容做任何修改。</w:t>
      </w:r>
    </w:p>
    <w:p w14:paraId="6421B52F">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供应商必须按照磋商小组要求的内容和时间做出答复。供应商拒不按照要求对磋商响应文件进行澄清、说明或更正的，视为无效磋商响应文件。磋商小组不接受供应商主动提出的澄清、说明。有效的书面澄清材料是磋商响应文件的补充材料，成为磋商响应文件的组成部分。</w:t>
      </w:r>
    </w:p>
    <w:p w14:paraId="0917C79E">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25.7竞争性磋商响应文件比较与评价</w:t>
      </w:r>
    </w:p>
    <w:p w14:paraId="4CD30F68">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en-US" w:eastAsia="zh-CN"/>
        </w:rPr>
        <w:t>25.7.1磋商小组应按照竞争性磋商文件中规定的评审方法和标准，对符合性检</w:t>
      </w:r>
      <w:r>
        <w:rPr>
          <w:rFonts w:hint="eastAsia" w:ascii="宋体" w:hAnsi="宋体" w:eastAsia="宋体" w:cs="宋体"/>
          <w:color w:val="auto"/>
          <w:kern w:val="1"/>
          <w:sz w:val="24"/>
          <w:szCs w:val="24"/>
          <w:highlight w:val="none"/>
          <w:lang w:val="zh-CN" w:eastAsia="zh-CN"/>
        </w:rPr>
        <w:t>查通过的竞争性磋商响应文件进行商务和技术</w:t>
      </w:r>
      <w:r>
        <w:rPr>
          <w:rFonts w:hint="eastAsia" w:ascii="宋体" w:hAnsi="宋体" w:eastAsia="宋体" w:cs="宋体"/>
          <w:color w:val="auto"/>
          <w:kern w:val="1"/>
          <w:sz w:val="24"/>
          <w:szCs w:val="24"/>
          <w:highlight w:val="none"/>
          <w:lang w:val="en-US" w:eastAsia="zh-CN"/>
        </w:rPr>
        <w:t>评审</w:t>
      </w:r>
      <w:r>
        <w:rPr>
          <w:rFonts w:hint="eastAsia" w:ascii="宋体" w:hAnsi="宋体" w:eastAsia="宋体" w:cs="宋体"/>
          <w:color w:val="auto"/>
          <w:kern w:val="1"/>
          <w:sz w:val="24"/>
          <w:szCs w:val="24"/>
          <w:highlight w:val="none"/>
          <w:lang w:val="zh-CN" w:eastAsia="zh-CN"/>
        </w:rPr>
        <w:t>，综合比较与评价。</w:t>
      </w:r>
    </w:p>
    <w:p w14:paraId="29B967EC">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2</w:t>
      </w:r>
      <w:r>
        <w:rPr>
          <w:rFonts w:hint="eastAsia" w:ascii="宋体" w:hAnsi="宋体" w:eastAsia="宋体" w:cs="宋体"/>
          <w:color w:val="auto"/>
          <w:kern w:val="1"/>
          <w:sz w:val="24"/>
          <w:szCs w:val="24"/>
          <w:highlight w:val="none"/>
          <w:lang w:val="en-US" w:eastAsia="zh-CN"/>
        </w:rPr>
        <w:t>5</w:t>
      </w:r>
      <w:r>
        <w:rPr>
          <w:rFonts w:hint="eastAsia" w:ascii="宋体" w:hAnsi="宋体" w:eastAsia="宋体" w:cs="宋体"/>
          <w:color w:val="auto"/>
          <w:kern w:val="1"/>
          <w:sz w:val="24"/>
          <w:szCs w:val="24"/>
          <w:highlight w:val="none"/>
          <w:lang w:val="zh-CN" w:eastAsia="zh-CN"/>
        </w:rPr>
        <w:t>.</w:t>
      </w:r>
      <w:r>
        <w:rPr>
          <w:rFonts w:hint="eastAsia" w:ascii="宋体" w:hAnsi="宋体" w:eastAsia="宋体" w:cs="宋体"/>
          <w:color w:val="auto"/>
          <w:kern w:val="1"/>
          <w:sz w:val="24"/>
          <w:szCs w:val="24"/>
          <w:highlight w:val="none"/>
          <w:lang w:val="en-US" w:eastAsia="zh-CN"/>
        </w:rPr>
        <w:t>7</w:t>
      </w:r>
      <w:r>
        <w:rPr>
          <w:rFonts w:hint="eastAsia" w:ascii="宋体" w:hAnsi="宋体" w:eastAsia="宋体" w:cs="宋体"/>
          <w:color w:val="auto"/>
          <w:kern w:val="1"/>
          <w:sz w:val="24"/>
          <w:szCs w:val="24"/>
          <w:highlight w:val="none"/>
          <w:lang w:val="zh-CN" w:eastAsia="zh-CN"/>
        </w:rPr>
        <w:t>.2如果竞争性磋商响应文件没有实质性响应竞争性磋商文件的要求，磋商小组将予以拒绝。供应商不得通过修正或撤销不合要求的偏离或保留，从而使其磋商成为实质性响应的磋商。</w:t>
      </w:r>
    </w:p>
    <w:p w14:paraId="071FB043">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2</w:t>
      </w:r>
      <w:r>
        <w:rPr>
          <w:rFonts w:hint="eastAsia" w:ascii="宋体" w:hAnsi="宋体" w:eastAsia="宋体" w:cs="宋体"/>
          <w:color w:val="auto"/>
          <w:kern w:val="1"/>
          <w:sz w:val="24"/>
          <w:szCs w:val="24"/>
          <w:highlight w:val="none"/>
          <w:lang w:val="en-US" w:eastAsia="zh-CN"/>
        </w:rPr>
        <w:t>5</w:t>
      </w:r>
      <w:r>
        <w:rPr>
          <w:rFonts w:hint="eastAsia" w:ascii="宋体" w:hAnsi="宋体" w:eastAsia="宋体" w:cs="宋体"/>
          <w:color w:val="auto"/>
          <w:kern w:val="1"/>
          <w:sz w:val="24"/>
          <w:szCs w:val="24"/>
          <w:highlight w:val="none"/>
          <w:lang w:val="zh-CN" w:eastAsia="zh-CN"/>
        </w:rPr>
        <w:t>.</w:t>
      </w:r>
      <w:r>
        <w:rPr>
          <w:rFonts w:hint="eastAsia" w:ascii="宋体" w:hAnsi="宋体" w:eastAsia="宋体" w:cs="宋体"/>
          <w:color w:val="auto"/>
          <w:kern w:val="1"/>
          <w:sz w:val="24"/>
          <w:szCs w:val="24"/>
          <w:highlight w:val="none"/>
          <w:lang w:val="en-US" w:eastAsia="zh-CN"/>
        </w:rPr>
        <w:t>7</w:t>
      </w:r>
      <w:r>
        <w:rPr>
          <w:rFonts w:hint="eastAsia" w:ascii="宋体" w:hAnsi="宋体" w:eastAsia="宋体" w:cs="宋体"/>
          <w:color w:val="auto"/>
          <w:kern w:val="1"/>
          <w:sz w:val="24"/>
          <w:szCs w:val="24"/>
          <w:highlight w:val="none"/>
          <w:lang w:val="zh-CN" w:eastAsia="zh-CN"/>
        </w:rPr>
        <w:t>.3竞争性磋商响应文件的偏离</w:t>
      </w:r>
    </w:p>
    <w:p w14:paraId="15317088">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竞争性磋商响应文件的偏离分为重大偏离和非实质性偏离，具体说明为：</w:t>
      </w:r>
    </w:p>
    <w:p w14:paraId="0D0E4FF5">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（1）重大偏离系指磋商</w:t>
      </w:r>
      <w:r>
        <w:rPr>
          <w:rFonts w:hint="eastAsia" w:ascii="宋体" w:hAnsi="宋体" w:eastAsia="宋体" w:cs="宋体"/>
          <w:color w:val="auto"/>
          <w:kern w:val="1"/>
          <w:sz w:val="24"/>
          <w:szCs w:val="24"/>
          <w:highlight w:val="none"/>
          <w:lang w:val="en-US" w:eastAsia="zh-CN"/>
        </w:rPr>
        <w:t>响应文件</w:t>
      </w:r>
      <w:r>
        <w:rPr>
          <w:rFonts w:hint="eastAsia" w:ascii="宋体" w:hAnsi="宋体" w:eastAsia="宋体" w:cs="宋体"/>
          <w:color w:val="auto"/>
          <w:kern w:val="1"/>
          <w:sz w:val="24"/>
          <w:szCs w:val="24"/>
          <w:highlight w:val="none"/>
          <w:lang w:val="zh-CN" w:eastAsia="zh-CN"/>
        </w:rPr>
        <w:t>所</w:t>
      </w:r>
      <w:r>
        <w:rPr>
          <w:rFonts w:hint="eastAsia" w:ascii="宋体" w:hAnsi="宋体" w:eastAsia="宋体" w:cs="宋体"/>
          <w:color w:val="auto"/>
          <w:kern w:val="1"/>
          <w:sz w:val="24"/>
          <w:szCs w:val="24"/>
          <w:highlight w:val="none"/>
          <w:lang w:val="en-US" w:eastAsia="zh-CN"/>
        </w:rPr>
        <w:t>提供服务方案</w:t>
      </w:r>
      <w:r>
        <w:rPr>
          <w:rFonts w:hint="eastAsia" w:ascii="宋体" w:hAnsi="宋体" w:eastAsia="宋体" w:cs="宋体"/>
          <w:color w:val="auto"/>
          <w:kern w:val="1"/>
          <w:sz w:val="24"/>
          <w:szCs w:val="24"/>
          <w:highlight w:val="none"/>
          <w:lang w:val="zh-CN" w:eastAsia="zh-CN"/>
        </w:rPr>
        <w:t>的</w:t>
      </w:r>
      <w:r>
        <w:rPr>
          <w:rFonts w:hint="eastAsia" w:ascii="宋体" w:hAnsi="宋体" w:eastAsia="宋体" w:cs="宋体"/>
          <w:color w:val="auto"/>
          <w:kern w:val="1"/>
          <w:sz w:val="24"/>
          <w:szCs w:val="24"/>
          <w:highlight w:val="none"/>
          <w:lang w:val="en-US" w:eastAsia="zh-CN"/>
        </w:rPr>
        <w:t>内容</w:t>
      </w:r>
      <w:r>
        <w:rPr>
          <w:rFonts w:hint="eastAsia" w:ascii="宋体" w:hAnsi="宋体" w:eastAsia="宋体" w:cs="宋体"/>
          <w:color w:val="auto"/>
          <w:kern w:val="1"/>
          <w:sz w:val="24"/>
          <w:szCs w:val="24"/>
          <w:highlight w:val="none"/>
          <w:lang w:val="zh-CN" w:eastAsia="zh-CN"/>
        </w:rPr>
        <w:t>、</w:t>
      </w:r>
      <w:r>
        <w:rPr>
          <w:rFonts w:hint="eastAsia" w:ascii="宋体" w:hAnsi="宋体" w:eastAsia="宋体" w:cs="宋体"/>
          <w:color w:val="auto"/>
          <w:kern w:val="1"/>
          <w:sz w:val="24"/>
          <w:szCs w:val="24"/>
          <w:highlight w:val="none"/>
          <w:lang w:val="en-US" w:eastAsia="zh-CN"/>
        </w:rPr>
        <w:t>质量</w:t>
      </w:r>
      <w:r>
        <w:rPr>
          <w:rFonts w:hint="eastAsia" w:ascii="宋体" w:hAnsi="宋体" w:eastAsia="宋体" w:cs="宋体"/>
          <w:color w:val="auto"/>
          <w:kern w:val="1"/>
          <w:sz w:val="24"/>
          <w:szCs w:val="24"/>
          <w:highlight w:val="none"/>
          <w:lang w:val="zh-CN" w:eastAsia="zh-CN"/>
        </w:rPr>
        <w:t>及资格证明文件中明显不能满足竞争性磋商文件的要求。这些偏离不允许在磋商后修正。但允许修改不构成重大偏离的、微小的、非正规的不一致或不规则的地方。与竞争性磋商文件有重大偏离的竞争性磋商响应文件将按无效文件处理。</w:t>
      </w:r>
    </w:p>
    <w:p w14:paraId="59C6C0E0">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2）非实质性偏离是指竞争性磋商响应文件在实质上响应竞争性磋商文件的要求，但在个别地方存在一些不规则、不一致、不完整的内容，并且澄清、说明或者补正这些内容不会改变竞争性磋商响应文件的实质性内容。以下情况属于非实质性偏离：</w:t>
      </w:r>
    </w:p>
    <w:p w14:paraId="7DA445AE">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1）文字表述的内容含义不明确；</w:t>
      </w:r>
    </w:p>
    <w:p w14:paraId="49D7A0D8">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2）同类问题表述不一致；</w:t>
      </w:r>
    </w:p>
    <w:p w14:paraId="7DD0A3A5">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3）有明显文字和计算错误；</w:t>
      </w:r>
    </w:p>
    <w:p w14:paraId="7F90F7B4">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4）提供的技术信息和数据资料不完整；</w:t>
      </w:r>
    </w:p>
    <w:p w14:paraId="1A8B6262">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5）磋商小组认定的其他非实质性偏离。</w:t>
      </w:r>
    </w:p>
    <w:p w14:paraId="79FC36D8">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竞争性磋商响应文件有上述1）至4）情形之一的，磋商小组应当书面要求供应商在规定的时间内予以澄清、说明或补正。供应商拒不或在规定的时间内没有进行澄清、说明或补正或澄清、说明、补正的内容也不能说明问题的，视为不实质性响应竞争性磋商文件，其</w:t>
      </w:r>
      <w:r>
        <w:rPr>
          <w:rFonts w:hint="eastAsia" w:ascii="宋体" w:hAnsi="宋体" w:eastAsia="宋体" w:cs="宋体"/>
          <w:color w:val="auto"/>
          <w:kern w:val="1"/>
          <w:sz w:val="24"/>
          <w:szCs w:val="24"/>
          <w:highlight w:val="none"/>
          <w:lang w:val="en-US" w:eastAsia="zh-CN"/>
        </w:rPr>
        <w:t>响应</w:t>
      </w:r>
      <w:r>
        <w:rPr>
          <w:rFonts w:hint="eastAsia" w:ascii="宋体" w:hAnsi="宋体" w:eastAsia="宋体" w:cs="宋体"/>
          <w:color w:val="auto"/>
          <w:kern w:val="1"/>
          <w:sz w:val="24"/>
          <w:szCs w:val="24"/>
          <w:highlight w:val="none"/>
          <w:lang w:val="zh-CN" w:eastAsia="zh-CN"/>
        </w:rPr>
        <w:t>文件按无效文件处理。</w:t>
      </w:r>
    </w:p>
    <w:p w14:paraId="2FF2B3AD">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2</w:t>
      </w:r>
      <w:r>
        <w:rPr>
          <w:rFonts w:hint="eastAsia" w:ascii="宋体" w:hAnsi="宋体" w:eastAsia="宋体" w:cs="宋体"/>
          <w:color w:val="auto"/>
          <w:kern w:val="1"/>
          <w:sz w:val="24"/>
          <w:szCs w:val="24"/>
          <w:highlight w:val="none"/>
          <w:lang w:val="en-US" w:eastAsia="zh-CN"/>
        </w:rPr>
        <w:t>5</w:t>
      </w:r>
      <w:r>
        <w:rPr>
          <w:rFonts w:hint="eastAsia" w:ascii="宋体" w:hAnsi="宋体" w:eastAsia="宋体" w:cs="宋体"/>
          <w:color w:val="auto"/>
          <w:kern w:val="1"/>
          <w:sz w:val="24"/>
          <w:szCs w:val="24"/>
          <w:highlight w:val="none"/>
          <w:lang w:val="zh-CN" w:eastAsia="zh-CN"/>
        </w:rPr>
        <w:t>.</w:t>
      </w:r>
      <w:r>
        <w:rPr>
          <w:rFonts w:hint="eastAsia" w:ascii="宋体" w:hAnsi="宋体" w:eastAsia="宋体" w:cs="宋体"/>
          <w:color w:val="auto"/>
          <w:kern w:val="1"/>
          <w:sz w:val="24"/>
          <w:szCs w:val="24"/>
          <w:highlight w:val="none"/>
          <w:lang w:val="en-US" w:eastAsia="zh-CN"/>
        </w:rPr>
        <w:t>7</w:t>
      </w:r>
      <w:r>
        <w:rPr>
          <w:rFonts w:hint="eastAsia" w:ascii="宋体" w:hAnsi="宋体" w:eastAsia="宋体" w:cs="宋体"/>
          <w:color w:val="auto"/>
          <w:kern w:val="1"/>
          <w:sz w:val="24"/>
          <w:szCs w:val="24"/>
          <w:highlight w:val="none"/>
          <w:lang w:val="zh-CN" w:eastAsia="zh-CN"/>
        </w:rPr>
        <w:t>.4对竞争性磋商响应文件的比较与评价，只依据竞争性磋商响应文件所列内容，不依靠磋商后的任何外来证明。</w:t>
      </w:r>
    </w:p>
    <w:p w14:paraId="1DB76050">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zh-CN" w:eastAsia="zh-CN"/>
        </w:rPr>
      </w:pPr>
      <w:r>
        <w:rPr>
          <w:rFonts w:hint="eastAsia" w:ascii="宋体" w:hAnsi="宋体" w:eastAsia="宋体" w:cs="宋体"/>
          <w:b/>
          <w:bCs/>
          <w:color w:val="auto"/>
          <w:kern w:val="1"/>
          <w:sz w:val="24"/>
          <w:szCs w:val="24"/>
          <w:highlight w:val="none"/>
          <w:lang w:val="zh-CN" w:eastAsia="zh-CN"/>
        </w:rPr>
        <w:t>2</w:t>
      </w:r>
      <w:r>
        <w:rPr>
          <w:rFonts w:hint="eastAsia" w:ascii="宋体" w:hAnsi="宋体" w:eastAsia="宋体" w:cs="宋体"/>
          <w:b/>
          <w:bCs/>
          <w:color w:val="auto"/>
          <w:kern w:val="1"/>
          <w:sz w:val="24"/>
          <w:szCs w:val="24"/>
          <w:highlight w:val="none"/>
          <w:lang w:val="en-US" w:eastAsia="zh-CN"/>
        </w:rPr>
        <w:t>5</w:t>
      </w:r>
      <w:r>
        <w:rPr>
          <w:rFonts w:hint="eastAsia" w:ascii="宋体" w:hAnsi="宋体" w:eastAsia="宋体" w:cs="宋体"/>
          <w:b/>
          <w:bCs/>
          <w:color w:val="auto"/>
          <w:kern w:val="1"/>
          <w:sz w:val="24"/>
          <w:szCs w:val="24"/>
          <w:highlight w:val="none"/>
          <w:lang w:val="zh-CN" w:eastAsia="zh-CN"/>
        </w:rPr>
        <w:t>.</w:t>
      </w:r>
      <w:r>
        <w:rPr>
          <w:rFonts w:hint="eastAsia" w:ascii="宋体" w:hAnsi="宋体" w:eastAsia="宋体" w:cs="宋体"/>
          <w:b/>
          <w:bCs/>
          <w:color w:val="auto"/>
          <w:kern w:val="1"/>
          <w:sz w:val="24"/>
          <w:szCs w:val="24"/>
          <w:highlight w:val="none"/>
          <w:lang w:val="en-US" w:eastAsia="zh-CN"/>
        </w:rPr>
        <w:t>8</w:t>
      </w:r>
      <w:r>
        <w:rPr>
          <w:rFonts w:hint="eastAsia" w:ascii="宋体" w:hAnsi="宋体" w:eastAsia="宋体" w:cs="宋体"/>
          <w:b/>
          <w:bCs/>
          <w:color w:val="auto"/>
          <w:kern w:val="1"/>
          <w:sz w:val="24"/>
          <w:szCs w:val="24"/>
          <w:highlight w:val="none"/>
          <w:lang w:val="zh-CN" w:eastAsia="zh-CN"/>
        </w:rPr>
        <w:t>竞争性磋商响应文件（</w:t>
      </w:r>
      <w:r>
        <w:rPr>
          <w:rFonts w:hint="eastAsia" w:ascii="宋体" w:hAnsi="宋体" w:eastAsia="宋体" w:cs="宋体"/>
          <w:b/>
          <w:bCs/>
          <w:color w:val="auto"/>
          <w:kern w:val="1"/>
          <w:sz w:val="24"/>
          <w:szCs w:val="24"/>
          <w:highlight w:val="none"/>
          <w:lang w:val="en-US" w:eastAsia="zh-CN"/>
        </w:rPr>
        <w:t>响应文件</w:t>
      </w:r>
      <w:r>
        <w:rPr>
          <w:rFonts w:hint="eastAsia" w:ascii="宋体" w:hAnsi="宋体" w:eastAsia="宋体" w:cs="宋体"/>
          <w:b/>
          <w:bCs/>
          <w:color w:val="auto"/>
          <w:kern w:val="1"/>
          <w:sz w:val="24"/>
          <w:szCs w:val="24"/>
          <w:highlight w:val="none"/>
          <w:lang w:val="zh-CN" w:eastAsia="zh-CN"/>
        </w:rPr>
        <w:t>）的修正</w:t>
      </w:r>
    </w:p>
    <w:p w14:paraId="562F487F">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竞争性磋商响应文件报价出现前后不一致的，除竞争性磋商文件另有规定外，按照下列规定修正：</w:t>
      </w:r>
    </w:p>
    <w:p w14:paraId="64D292F7">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w:t>
      </w:r>
      <w:r>
        <w:rPr>
          <w:rFonts w:hint="eastAsia" w:ascii="宋体" w:hAnsi="宋体" w:eastAsia="宋体" w:cs="宋体"/>
          <w:color w:val="auto"/>
          <w:kern w:val="1"/>
          <w:sz w:val="24"/>
          <w:szCs w:val="24"/>
          <w:highlight w:val="none"/>
          <w:lang w:val="en-US" w:eastAsia="zh-CN"/>
        </w:rPr>
        <w:t>1</w:t>
      </w:r>
      <w:r>
        <w:rPr>
          <w:rFonts w:hint="eastAsia" w:ascii="宋体" w:hAnsi="宋体" w:eastAsia="宋体" w:cs="宋体"/>
          <w:color w:val="auto"/>
          <w:kern w:val="1"/>
          <w:sz w:val="24"/>
          <w:szCs w:val="24"/>
          <w:highlight w:val="none"/>
          <w:lang w:val="zh-CN" w:eastAsia="zh-CN"/>
        </w:rPr>
        <w:t>）大写金额和小写金额不一致的，以大写金额为准；</w:t>
      </w:r>
    </w:p>
    <w:p w14:paraId="22CBAD8E">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w:t>
      </w:r>
      <w:r>
        <w:rPr>
          <w:rFonts w:hint="eastAsia" w:ascii="宋体" w:hAnsi="宋体" w:eastAsia="宋体" w:cs="宋体"/>
          <w:color w:val="auto"/>
          <w:kern w:val="1"/>
          <w:sz w:val="24"/>
          <w:szCs w:val="24"/>
          <w:highlight w:val="none"/>
          <w:lang w:val="en-US" w:eastAsia="zh-CN"/>
        </w:rPr>
        <w:t>2</w:t>
      </w:r>
      <w:r>
        <w:rPr>
          <w:rFonts w:hint="eastAsia" w:ascii="宋体" w:hAnsi="宋体" w:eastAsia="宋体" w:cs="宋体"/>
          <w:color w:val="auto"/>
          <w:kern w:val="1"/>
          <w:sz w:val="24"/>
          <w:szCs w:val="24"/>
          <w:highlight w:val="none"/>
          <w:lang w:val="zh-CN" w:eastAsia="zh-CN"/>
        </w:rPr>
        <w:t>）单价金额小数点或者百分比有明显错位的，以</w:t>
      </w:r>
      <w:r>
        <w:rPr>
          <w:rFonts w:hint="eastAsia" w:ascii="宋体" w:hAnsi="宋体" w:eastAsia="宋体" w:cs="宋体"/>
          <w:color w:val="auto"/>
          <w:kern w:val="1"/>
          <w:sz w:val="24"/>
          <w:szCs w:val="24"/>
          <w:highlight w:val="none"/>
          <w:lang w:val="en-US" w:eastAsia="zh-CN"/>
        </w:rPr>
        <w:t>磋商报价表</w:t>
      </w:r>
      <w:r>
        <w:rPr>
          <w:rFonts w:hint="eastAsia" w:ascii="宋体" w:hAnsi="宋体" w:eastAsia="宋体" w:cs="宋体"/>
          <w:color w:val="auto"/>
          <w:kern w:val="1"/>
          <w:sz w:val="24"/>
          <w:szCs w:val="24"/>
          <w:highlight w:val="none"/>
          <w:lang w:val="zh-CN" w:eastAsia="zh-CN"/>
        </w:rPr>
        <w:t>的总价为准，并修改单价；</w:t>
      </w:r>
    </w:p>
    <w:p w14:paraId="31AE3693">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zh-CN" w:eastAsia="zh-CN"/>
        </w:rPr>
        <w:t>（</w:t>
      </w:r>
      <w:r>
        <w:rPr>
          <w:rFonts w:hint="eastAsia" w:ascii="宋体" w:hAnsi="宋体" w:eastAsia="宋体" w:cs="宋体"/>
          <w:color w:val="auto"/>
          <w:kern w:val="1"/>
          <w:sz w:val="24"/>
          <w:szCs w:val="24"/>
          <w:highlight w:val="none"/>
          <w:lang w:val="en-US" w:eastAsia="zh-CN"/>
        </w:rPr>
        <w:t>3</w:t>
      </w:r>
      <w:r>
        <w:rPr>
          <w:rFonts w:hint="eastAsia" w:ascii="宋体" w:hAnsi="宋体" w:eastAsia="宋体" w:cs="宋体"/>
          <w:color w:val="auto"/>
          <w:kern w:val="1"/>
          <w:sz w:val="24"/>
          <w:szCs w:val="24"/>
          <w:highlight w:val="none"/>
          <w:lang w:val="zh-CN" w:eastAsia="zh-CN"/>
        </w:rPr>
        <w:t>）总价金额与按单价汇总金额不一致的，以单价金额计算结果为准</w:t>
      </w:r>
      <w:r>
        <w:rPr>
          <w:rFonts w:hint="eastAsia" w:ascii="宋体" w:hAnsi="宋体" w:eastAsia="宋体" w:cs="宋体"/>
          <w:color w:val="auto"/>
          <w:kern w:val="1"/>
          <w:sz w:val="24"/>
          <w:szCs w:val="24"/>
          <w:highlight w:val="none"/>
          <w:lang w:val="en-US" w:eastAsia="zh-CN"/>
        </w:rPr>
        <w:t>；</w:t>
      </w:r>
    </w:p>
    <w:p w14:paraId="2C757322">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w:t>
      </w:r>
      <w:r>
        <w:rPr>
          <w:rFonts w:hint="eastAsia" w:ascii="宋体" w:hAnsi="宋体" w:eastAsia="宋体" w:cs="宋体"/>
          <w:color w:val="auto"/>
          <w:kern w:val="1"/>
          <w:sz w:val="24"/>
          <w:szCs w:val="24"/>
          <w:highlight w:val="none"/>
          <w:lang w:val="en-US" w:eastAsia="zh-CN"/>
        </w:rPr>
        <w:t>4</w:t>
      </w:r>
      <w:r>
        <w:rPr>
          <w:rFonts w:hint="eastAsia" w:ascii="宋体" w:hAnsi="宋体" w:eastAsia="宋体" w:cs="宋体"/>
          <w:color w:val="auto"/>
          <w:kern w:val="1"/>
          <w:sz w:val="24"/>
          <w:szCs w:val="24"/>
          <w:highlight w:val="none"/>
          <w:lang w:val="zh-CN" w:eastAsia="zh-CN"/>
        </w:rPr>
        <w:t>）文字与图表不符时，以文字为准；</w:t>
      </w:r>
    </w:p>
    <w:p w14:paraId="24A7174A">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w:t>
      </w:r>
      <w:r>
        <w:rPr>
          <w:rFonts w:hint="eastAsia" w:ascii="宋体" w:hAnsi="宋体" w:eastAsia="宋体" w:cs="宋体"/>
          <w:color w:val="auto"/>
          <w:kern w:val="1"/>
          <w:sz w:val="24"/>
          <w:szCs w:val="24"/>
          <w:highlight w:val="none"/>
          <w:lang w:val="en-US" w:eastAsia="zh-CN"/>
        </w:rPr>
        <w:t>5</w:t>
      </w:r>
      <w:r>
        <w:rPr>
          <w:rFonts w:hint="eastAsia" w:ascii="宋体" w:hAnsi="宋体" w:eastAsia="宋体" w:cs="宋体"/>
          <w:color w:val="auto"/>
          <w:kern w:val="1"/>
          <w:sz w:val="24"/>
          <w:szCs w:val="24"/>
          <w:highlight w:val="none"/>
          <w:lang w:val="zh-CN" w:eastAsia="zh-CN"/>
        </w:rPr>
        <w:t>）对不同文字文本竞争性磋商文件的解释发生异议的，以中文文本为准。</w:t>
      </w:r>
    </w:p>
    <w:p w14:paraId="4600ACB8">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同时出现两种以上不一致的，按照前款规定的顺序修正。修正后的报价经</w:t>
      </w:r>
      <w:r>
        <w:rPr>
          <w:rFonts w:hint="eastAsia" w:ascii="宋体" w:hAnsi="宋体" w:eastAsia="宋体" w:cs="宋体"/>
          <w:color w:val="auto"/>
          <w:kern w:val="1"/>
          <w:sz w:val="24"/>
          <w:szCs w:val="24"/>
          <w:highlight w:val="none"/>
          <w:lang w:val="en-US" w:eastAsia="zh-CN"/>
        </w:rPr>
        <w:t>供应商</w:t>
      </w:r>
      <w:r>
        <w:rPr>
          <w:rFonts w:hint="eastAsia" w:ascii="宋体" w:hAnsi="宋体" w:eastAsia="宋体" w:cs="宋体"/>
          <w:color w:val="auto"/>
          <w:kern w:val="1"/>
          <w:sz w:val="24"/>
          <w:szCs w:val="24"/>
          <w:highlight w:val="none"/>
          <w:lang w:val="zh-CN" w:eastAsia="zh-CN"/>
        </w:rPr>
        <w:t>确认后产生约束力，</w:t>
      </w:r>
      <w:r>
        <w:rPr>
          <w:rFonts w:hint="eastAsia" w:ascii="宋体" w:hAnsi="宋体" w:eastAsia="宋体" w:cs="宋体"/>
          <w:color w:val="auto"/>
          <w:kern w:val="1"/>
          <w:sz w:val="24"/>
          <w:szCs w:val="24"/>
          <w:highlight w:val="none"/>
          <w:lang w:val="en-US" w:eastAsia="zh-CN"/>
        </w:rPr>
        <w:t>供应商</w:t>
      </w:r>
      <w:r>
        <w:rPr>
          <w:rFonts w:hint="eastAsia" w:ascii="宋体" w:hAnsi="宋体" w:eastAsia="宋体" w:cs="宋体"/>
          <w:color w:val="auto"/>
          <w:kern w:val="1"/>
          <w:sz w:val="24"/>
          <w:szCs w:val="24"/>
          <w:highlight w:val="none"/>
          <w:lang w:val="zh-CN" w:eastAsia="zh-CN"/>
        </w:rPr>
        <w:t>不确认的，其</w:t>
      </w:r>
      <w:r>
        <w:rPr>
          <w:rFonts w:hint="eastAsia" w:ascii="宋体" w:hAnsi="宋体" w:eastAsia="宋体" w:cs="宋体"/>
          <w:color w:val="auto"/>
          <w:kern w:val="1"/>
          <w:sz w:val="24"/>
          <w:szCs w:val="24"/>
          <w:highlight w:val="none"/>
          <w:lang w:val="en-US" w:eastAsia="zh-CN"/>
        </w:rPr>
        <w:t>磋商</w:t>
      </w:r>
      <w:r>
        <w:rPr>
          <w:rFonts w:hint="eastAsia" w:ascii="宋体" w:hAnsi="宋体" w:eastAsia="宋体" w:cs="宋体"/>
          <w:color w:val="auto"/>
          <w:kern w:val="1"/>
          <w:sz w:val="24"/>
          <w:szCs w:val="24"/>
          <w:highlight w:val="none"/>
          <w:lang w:val="zh-CN" w:eastAsia="zh-CN"/>
        </w:rPr>
        <w:t>无效。</w:t>
      </w:r>
    </w:p>
    <w:p w14:paraId="513868B1">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供应商不同意以上修正，则其磋商将被拒绝。供应商同意后，按上述规定修正后的报价对供应商起约束作用。</w:t>
      </w:r>
    </w:p>
    <w:p w14:paraId="1D862BA5">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auto"/>
          <w:kern w:val="1"/>
          <w:sz w:val="24"/>
          <w:szCs w:val="24"/>
          <w:highlight w:val="none"/>
          <w:lang w:val="zh-CN" w:eastAsia="zh-CN"/>
        </w:rPr>
      </w:pPr>
      <w:r>
        <w:rPr>
          <w:rFonts w:hint="eastAsia" w:ascii="宋体" w:hAnsi="宋体" w:eastAsia="宋体" w:cs="宋体"/>
          <w:b/>
          <w:bCs/>
          <w:color w:val="auto"/>
          <w:kern w:val="1"/>
          <w:sz w:val="24"/>
          <w:szCs w:val="24"/>
          <w:highlight w:val="none"/>
          <w:lang w:val="zh-CN" w:eastAsia="zh-CN"/>
        </w:rPr>
        <w:t>2</w:t>
      </w:r>
      <w:r>
        <w:rPr>
          <w:rFonts w:hint="eastAsia" w:ascii="宋体" w:hAnsi="宋体" w:eastAsia="宋体" w:cs="宋体"/>
          <w:b/>
          <w:bCs/>
          <w:color w:val="auto"/>
          <w:kern w:val="1"/>
          <w:sz w:val="24"/>
          <w:szCs w:val="24"/>
          <w:highlight w:val="none"/>
          <w:lang w:val="en-US" w:eastAsia="zh-CN"/>
        </w:rPr>
        <w:t>5</w:t>
      </w:r>
      <w:r>
        <w:rPr>
          <w:rFonts w:hint="eastAsia" w:ascii="宋体" w:hAnsi="宋体" w:eastAsia="宋体" w:cs="宋体"/>
          <w:b/>
          <w:bCs/>
          <w:color w:val="auto"/>
          <w:kern w:val="1"/>
          <w:sz w:val="24"/>
          <w:szCs w:val="24"/>
          <w:highlight w:val="none"/>
          <w:lang w:val="zh-CN" w:eastAsia="zh-CN"/>
        </w:rPr>
        <w:t>.</w:t>
      </w:r>
      <w:r>
        <w:rPr>
          <w:rFonts w:hint="eastAsia" w:ascii="宋体" w:hAnsi="宋体" w:eastAsia="宋体" w:cs="宋体"/>
          <w:b/>
          <w:bCs/>
          <w:color w:val="auto"/>
          <w:kern w:val="1"/>
          <w:sz w:val="24"/>
          <w:szCs w:val="24"/>
          <w:highlight w:val="none"/>
          <w:lang w:val="en-US" w:eastAsia="zh-CN"/>
        </w:rPr>
        <w:t>9</w:t>
      </w:r>
      <w:r>
        <w:rPr>
          <w:rFonts w:hint="eastAsia" w:ascii="宋体" w:hAnsi="宋体" w:eastAsia="宋体" w:cs="宋体"/>
          <w:b/>
          <w:bCs/>
          <w:color w:val="auto"/>
          <w:kern w:val="1"/>
          <w:sz w:val="24"/>
          <w:szCs w:val="24"/>
          <w:highlight w:val="none"/>
          <w:lang w:val="zh-CN" w:eastAsia="zh-CN"/>
        </w:rPr>
        <w:t xml:space="preserve"> 磋商、谈判</w:t>
      </w:r>
    </w:p>
    <w:p w14:paraId="37DDEEC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.1磋商小组所有成员集中与通过评审的单一供应商分别进行磋商谈判。磋商小组可根据供应商的报价，响应内容及磋商的情况，给予每个正在参加磋商的供应商相同的机会。</w:t>
      </w:r>
    </w:p>
    <w:p w14:paraId="10B51CA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（1）磋商过程中，磋商小组可以根据磋商文件和磋商情况实质性变动采购需求中的技术、服务要求以及合同条款，但不得变动磋商文件中的其他内容。实质性变动的内容，须经采购人代表确认。 </w:t>
      </w:r>
    </w:p>
    <w:p w14:paraId="77B0D99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（2）对磋商文件作出的实质性变动是磋商文件的有效组成部分，磋商小组应当及时以书面形式同时通知所有参加磋商的供应商。 </w:t>
      </w:r>
    </w:p>
    <w:p w14:paraId="3EE800A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（3）供应商应当按照磋商文件的变动情况和磋商小组的要求重新提交磋商响应文件，并由其授权代表签章。</w:t>
      </w:r>
    </w:p>
    <w:p w14:paraId="5F97A02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（4）在磋商过程中，磋商的任何一方不得透露与磋商有关的其他供应商的技术资料、价格和其他信息</w:t>
      </w:r>
      <w:r>
        <w:rPr>
          <w:rFonts w:hint="eastAsia" w:ascii="宋体" w:hAnsi="宋体" w:eastAsia="宋体" w:cs="宋体"/>
          <w:color w:val="auto"/>
          <w:sz w:val="24"/>
          <w:szCs w:val="24"/>
          <w:highlight w:val="none"/>
          <w:lang w:eastAsia="zh-CN"/>
        </w:rPr>
        <w:t>。</w:t>
      </w:r>
    </w:p>
    <w:p w14:paraId="3E80C1E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.2.磋商结束后，满足磋商文件实质性要求的供应商须按磋商小组的要求进行承诺和二次报价。参加磋商的供应商应当对磋商的承诺和报价以书面形式确认，并由法定代表人或其授权代表签字或加盖公章。</w:t>
      </w:r>
    </w:p>
    <w:p w14:paraId="268DAB1B">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kern w:val="1"/>
          <w:sz w:val="24"/>
          <w:szCs w:val="24"/>
          <w:highlight w:val="none"/>
        </w:rPr>
      </w:pPr>
      <w:r>
        <w:rPr>
          <w:rFonts w:hint="eastAsia" w:ascii="宋体" w:hAnsi="宋体" w:eastAsia="宋体" w:cs="宋体"/>
          <w:b/>
          <w:color w:val="auto"/>
          <w:kern w:val="1"/>
          <w:sz w:val="24"/>
          <w:szCs w:val="24"/>
          <w:highlight w:val="none"/>
        </w:rPr>
        <w:t>2</w:t>
      </w:r>
      <w:r>
        <w:rPr>
          <w:rFonts w:hint="eastAsia" w:ascii="宋体" w:hAnsi="宋体" w:eastAsia="宋体" w:cs="宋体"/>
          <w:b/>
          <w:color w:val="auto"/>
          <w:kern w:val="1"/>
          <w:sz w:val="24"/>
          <w:szCs w:val="24"/>
          <w:highlight w:val="none"/>
          <w:lang w:val="en-US" w:eastAsia="zh-CN"/>
        </w:rPr>
        <w:t>5</w:t>
      </w:r>
      <w:r>
        <w:rPr>
          <w:rFonts w:hint="eastAsia" w:ascii="宋体" w:hAnsi="宋体" w:eastAsia="宋体" w:cs="宋体"/>
          <w:b/>
          <w:color w:val="auto"/>
          <w:kern w:val="1"/>
          <w:sz w:val="24"/>
          <w:szCs w:val="24"/>
          <w:highlight w:val="none"/>
        </w:rPr>
        <w:t>.</w:t>
      </w:r>
      <w:r>
        <w:rPr>
          <w:rFonts w:hint="eastAsia" w:ascii="宋体" w:hAnsi="宋体" w:eastAsia="宋体" w:cs="宋体"/>
          <w:b/>
          <w:color w:val="auto"/>
          <w:kern w:val="1"/>
          <w:sz w:val="24"/>
          <w:szCs w:val="24"/>
          <w:highlight w:val="none"/>
          <w:lang w:val="en-US" w:eastAsia="zh-CN"/>
        </w:rPr>
        <w:t>10</w:t>
      </w:r>
      <w:r>
        <w:rPr>
          <w:rFonts w:hint="eastAsia" w:ascii="宋体" w:hAnsi="宋体" w:eastAsia="宋体" w:cs="宋体"/>
          <w:b/>
          <w:color w:val="auto"/>
          <w:kern w:val="1"/>
          <w:sz w:val="24"/>
          <w:szCs w:val="24"/>
          <w:highlight w:val="none"/>
        </w:rPr>
        <w:t>详细评审</w:t>
      </w:r>
    </w:p>
    <w:p w14:paraId="3698A34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1"/>
          <w:sz w:val="24"/>
          <w:szCs w:val="24"/>
          <w:highlight w:val="none"/>
        </w:rPr>
        <w:t>2</w:t>
      </w:r>
      <w:r>
        <w:rPr>
          <w:rFonts w:hint="eastAsia" w:ascii="宋体" w:hAnsi="宋体" w:eastAsia="宋体" w:cs="宋体"/>
          <w:color w:val="auto"/>
          <w:kern w:val="1"/>
          <w:sz w:val="24"/>
          <w:szCs w:val="24"/>
          <w:highlight w:val="none"/>
          <w:lang w:val="en-US" w:eastAsia="zh-CN"/>
        </w:rPr>
        <w:t>5</w:t>
      </w:r>
      <w:r>
        <w:rPr>
          <w:rFonts w:hint="eastAsia" w:ascii="宋体" w:hAnsi="宋体" w:eastAsia="宋体" w:cs="宋体"/>
          <w:color w:val="auto"/>
          <w:kern w:val="1"/>
          <w:sz w:val="24"/>
          <w:szCs w:val="24"/>
          <w:highlight w:val="none"/>
        </w:rPr>
        <w:t>.</w:t>
      </w:r>
      <w:r>
        <w:rPr>
          <w:rFonts w:hint="eastAsia" w:ascii="宋体" w:hAnsi="宋体" w:eastAsia="宋体" w:cs="宋体"/>
          <w:color w:val="auto"/>
          <w:kern w:val="1"/>
          <w:sz w:val="24"/>
          <w:szCs w:val="24"/>
          <w:highlight w:val="none"/>
          <w:lang w:val="en-US" w:eastAsia="zh-CN"/>
        </w:rPr>
        <w:t>10</w:t>
      </w:r>
      <w:r>
        <w:rPr>
          <w:rFonts w:hint="eastAsia" w:ascii="宋体" w:hAnsi="宋体" w:eastAsia="宋体" w:cs="宋体"/>
          <w:color w:val="auto"/>
          <w:sz w:val="24"/>
          <w:szCs w:val="24"/>
          <w:highlight w:val="none"/>
        </w:rPr>
        <w:t>.1</w:t>
      </w:r>
      <w:r>
        <w:rPr>
          <w:rFonts w:hint="eastAsia" w:ascii="宋体" w:hAnsi="宋体" w:eastAsia="宋体" w:cs="宋体"/>
          <w:b/>
          <w:color w:val="auto"/>
          <w:sz w:val="24"/>
          <w:szCs w:val="24"/>
          <w:highlight w:val="none"/>
        </w:rPr>
        <w:t>本项目评审办法采用综合评分法</w:t>
      </w:r>
      <w:r>
        <w:rPr>
          <w:rFonts w:hint="eastAsia" w:ascii="宋体" w:hAnsi="宋体" w:eastAsia="宋体" w:cs="宋体"/>
          <w:color w:val="auto"/>
          <w:sz w:val="24"/>
          <w:szCs w:val="24"/>
          <w:highlight w:val="none"/>
        </w:rPr>
        <w:t>，即竞争性磋商响应文件满足竞争性磋商文件全部实质性要求且按评审因素的量化指标评审得分最高的供应商推荐为成交候选供应商的评审方法。</w:t>
      </w:r>
    </w:p>
    <w:p w14:paraId="2854490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1"/>
          <w:sz w:val="24"/>
          <w:szCs w:val="24"/>
          <w:highlight w:val="none"/>
        </w:rPr>
        <w:t>2</w:t>
      </w:r>
      <w:r>
        <w:rPr>
          <w:rFonts w:hint="eastAsia" w:ascii="宋体" w:hAnsi="宋体" w:eastAsia="宋体" w:cs="宋体"/>
          <w:color w:val="auto"/>
          <w:kern w:val="1"/>
          <w:sz w:val="24"/>
          <w:szCs w:val="24"/>
          <w:highlight w:val="none"/>
          <w:lang w:val="en-US" w:eastAsia="zh-CN"/>
        </w:rPr>
        <w:t>5</w:t>
      </w:r>
      <w:r>
        <w:rPr>
          <w:rFonts w:hint="eastAsia" w:ascii="宋体" w:hAnsi="宋体" w:eastAsia="宋体" w:cs="宋体"/>
          <w:color w:val="auto"/>
          <w:kern w:val="1"/>
          <w:sz w:val="24"/>
          <w:szCs w:val="24"/>
          <w:highlight w:val="none"/>
        </w:rPr>
        <w:t>.</w:t>
      </w:r>
      <w:r>
        <w:rPr>
          <w:rFonts w:hint="eastAsia" w:ascii="宋体" w:hAnsi="宋体" w:eastAsia="宋体" w:cs="宋体"/>
          <w:color w:val="auto"/>
          <w:kern w:val="1"/>
          <w:sz w:val="24"/>
          <w:szCs w:val="24"/>
          <w:highlight w:val="none"/>
          <w:lang w:val="en-US" w:eastAsia="zh-CN"/>
        </w:rPr>
        <w:t>10</w:t>
      </w:r>
      <w:r>
        <w:rPr>
          <w:rFonts w:hint="eastAsia" w:ascii="宋体" w:hAnsi="宋体" w:eastAsia="宋体" w:cs="宋体"/>
          <w:color w:val="auto"/>
          <w:sz w:val="24"/>
          <w:szCs w:val="24"/>
          <w:highlight w:val="none"/>
        </w:rPr>
        <w:t>.2综合评分法评审标准中的分值设置应当与评审因素的量化指标相对应。竞争性磋商文件中没有规定的评审标准不得作为评审依据。</w:t>
      </w:r>
    </w:p>
    <w:p w14:paraId="278FB73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1"/>
          <w:sz w:val="24"/>
          <w:szCs w:val="24"/>
          <w:highlight w:val="none"/>
        </w:rPr>
        <w:t>2</w:t>
      </w:r>
      <w:r>
        <w:rPr>
          <w:rFonts w:hint="eastAsia" w:ascii="宋体" w:hAnsi="宋体" w:eastAsia="宋体" w:cs="宋体"/>
          <w:color w:val="auto"/>
          <w:kern w:val="1"/>
          <w:sz w:val="24"/>
          <w:szCs w:val="24"/>
          <w:highlight w:val="none"/>
          <w:lang w:val="en-US" w:eastAsia="zh-CN"/>
        </w:rPr>
        <w:t>5</w:t>
      </w:r>
      <w:r>
        <w:rPr>
          <w:rFonts w:hint="eastAsia" w:ascii="宋体" w:hAnsi="宋体" w:eastAsia="宋体" w:cs="宋体"/>
          <w:color w:val="auto"/>
          <w:kern w:val="1"/>
          <w:sz w:val="24"/>
          <w:szCs w:val="24"/>
          <w:highlight w:val="none"/>
        </w:rPr>
        <w:t>.</w:t>
      </w:r>
      <w:r>
        <w:rPr>
          <w:rFonts w:hint="eastAsia" w:ascii="宋体" w:hAnsi="宋体" w:eastAsia="宋体" w:cs="宋体"/>
          <w:color w:val="auto"/>
          <w:kern w:val="1"/>
          <w:sz w:val="24"/>
          <w:szCs w:val="24"/>
          <w:highlight w:val="none"/>
          <w:lang w:val="en-US" w:eastAsia="zh-CN"/>
        </w:rPr>
        <w:t>10</w:t>
      </w:r>
      <w:r>
        <w:rPr>
          <w:rFonts w:hint="eastAsia" w:ascii="宋体" w:hAnsi="宋体" w:eastAsia="宋体" w:cs="宋体"/>
          <w:color w:val="auto"/>
          <w:sz w:val="24"/>
          <w:szCs w:val="24"/>
          <w:highlight w:val="none"/>
        </w:rPr>
        <w:t>.3磋商小组评审竞争性磋商响应文件只根据竞争性磋商响应文件本身的内容，而不寻求其他外部证据。</w:t>
      </w:r>
    </w:p>
    <w:p w14:paraId="29A6D22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.4其他需说明的情况：</w:t>
      </w:r>
    </w:p>
    <w:p w14:paraId="6787ACF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（1）对于竞争性磋商响应文件中不构成实质性偏差的小的不正规、不一致或不规则，采购人可以接受，但这种接受不能损害或影响任何供应商的相对排序；</w:t>
      </w:r>
    </w:p>
    <w:p w14:paraId="3ECD978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（2）最低报价不是成交的唯一条件；</w:t>
      </w:r>
    </w:p>
    <w:p w14:paraId="004BEFE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（3）如果磋商响应文件实质上没有响应竞争性磋商文件的要求，其文件将被拒绝，供应商不得通过修正或撤</w:t>
      </w:r>
      <w:r>
        <w:rPr>
          <w:rFonts w:hint="eastAsia" w:ascii="宋体" w:hAnsi="宋体" w:eastAsia="宋体" w:cs="宋体"/>
          <w:color w:val="auto"/>
          <w:sz w:val="24"/>
          <w:szCs w:val="24"/>
          <w:highlight w:val="none"/>
          <w:lang w:val="en-US" w:eastAsia="zh-CN"/>
        </w:rPr>
        <w:t>销</w:t>
      </w:r>
      <w:r>
        <w:rPr>
          <w:rFonts w:hint="eastAsia" w:ascii="宋体" w:hAnsi="宋体" w:eastAsia="宋体" w:cs="宋体"/>
          <w:color w:val="auto"/>
          <w:sz w:val="24"/>
          <w:szCs w:val="24"/>
          <w:highlight w:val="none"/>
        </w:rPr>
        <w:t>不合要求的偏离或保留从而使其磋商成为实质上响应的磋商响应文件。</w:t>
      </w:r>
    </w:p>
    <w:p w14:paraId="50388E7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.5评审标准如下：</w:t>
      </w:r>
    </w:p>
    <w:tbl>
      <w:tblPr>
        <w:tblStyle w:val="27"/>
        <w:tblW w:w="937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7997"/>
      </w:tblGrid>
      <w:tr w14:paraId="6E1E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382" w:type="dxa"/>
            <w:tcBorders>
              <w:top w:val="single" w:color="auto" w:sz="4" w:space="0"/>
              <w:left w:val="single" w:color="auto" w:sz="4" w:space="0"/>
              <w:bottom w:val="single" w:color="auto" w:sz="4" w:space="0"/>
              <w:right w:val="single" w:color="auto" w:sz="4" w:space="0"/>
            </w:tcBorders>
            <w:noWrap w:val="0"/>
            <w:vAlign w:val="center"/>
          </w:tcPr>
          <w:p w14:paraId="48476E8E">
            <w:pPr>
              <w:jc w:val="center"/>
              <w:rPr>
                <w:rFonts w:hint="eastAsia" w:ascii="宋体" w:hAnsi="宋体" w:eastAsia="宋体" w:cs="宋体"/>
                <w:b/>
                <w:color w:val="auto"/>
                <w:highlight w:val="none"/>
              </w:rPr>
            </w:pPr>
            <w:r>
              <w:rPr>
                <w:rFonts w:hint="eastAsia" w:ascii="宋体" w:hAnsi="宋体" w:eastAsia="宋体" w:cs="宋体"/>
                <w:b/>
                <w:color w:val="auto"/>
                <w:highlight w:val="none"/>
              </w:rPr>
              <w:t>评审内容</w:t>
            </w:r>
          </w:p>
        </w:tc>
        <w:tc>
          <w:tcPr>
            <w:tcW w:w="7997" w:type="dxa"/>
            <w:tcBorders>
              <w:top w:val="single" w:color="auto" w:sz="4" w:space="0"/>
              <w:left w:val="single" w:color="auto" w:sz="4" w:space="0"/>
              <w:bottom w:val="single" w:color="auto" w:sz="4" w:space="0"/>
              <w:right w:val="single" w:color="auto" w:sz="4" w:space="0"/>
            </w:tcBorders>
            <w:noWrap w:val="0"/>
            <w:vAlign w:val="center"/>
          </w:tcPr>
          <w:p w14:paraId="5A0D0CE2">
            <w:pPr>
              <w:jc w:val="center"/>
              <w:rPr>
                <w:rFonts w:hint="eastAsia" w:ascii="宋体" w:hAnsi="宋体" w:eastAsia="宋体" w:cs="宋体"/>
                <w:b/>
                <w:color w:val="auto"/>
                <w:highlight w:val="none"/>
              </w:rPr>
            </w:pPr>
            <w:r>
              <w:rPr>
                <w:rFonts w:hint="eastAsia" w:ascii="宋体" w:hAnsi="宋体" w:eastAsia="宋体" w:cs="宋体"/>
                <w:b/>
                <w:color w:val="auto"/>
                <w:highlight w:val="none"/>
              </w:rPr>
              <w:t>评审原则与标准</w:t>
            </w:r>
          </w:p>
        </w:tc>
      </w:tr>
      <w:tr w14:paraId="0E67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382" w:type="dxa"/>
            <w:tcBorders>
              <w:top w:val="single" w:color="auto" w:sz="4" w:space="0"/>
              <w:left w:val="single" w:color="auto" w:sz="4" w:space="0"/>
              <w:bottom w:val="single" w:color="auto" w:sz="4" w:space="0"/>
              <w:right w:val="single" w:color="auto" w:sz="4" w:space="0"/>
            </w:tcBorders>
            <w:noWrap w:val="0"/>
            <w:vAlign w:val="center"/>
          </w:tcPr>
          <w:p w14:paraId="4E7B30C4">
            <w:pPr>
              <w:spacing w:line="240" w:lineRule="auto"/>
              <w:jc w:val="center"/>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磋商报价</w:t>
            </w:r>
          </w:p>
          <w:p w14:paraId="2B6EE4FC">
            <w:pPr>
              <w:spacing w:line="240" w:lineRule="auto"/>
              <w:jc w:val="center"/>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w:t>
            </w:r>
            <w:r>
              <w:rPr>
                <w:rFonts w:hint="eastAsia" w:ascii="宋体" w:hAnsi="宋体" w:eastAsia="宋体" w:cs="宋体"/>
                <w:bCs/>
                <w:color w:val="auto"/>
                <w:szCs w:val="21"/>
                <w:highlight w:val="none"/>
                <w:lang w:val="en-US" w:eastAsia="zh-CN"/>
              </w:rPr>
              <w:t>10</w:t>
            </w:r>
            <w:r>
              <w:rPr>
                <w:rFonts w:hint="eastAsia" w:ascii="宋体" w:hAnsi="宋体" w:eastAsia="宋体" w:cs="宋体"/>
                <w:bCs/>
                <w:color w:val="auto"/>
                <w:szCs w:val="21"/>
                <w:highlight w:val="none"/>
                <w:lang w:val="zh-CN" w:eastAsia="zh-CN"/>
              </w:rPr>
              <w:t>分）</w:t>
            </w:r>
          </w:p>
        </w:tc>
        <w:tc>
          <w:tcPr>
            <w:tcW w:w="7997" w:type="dxa"/>
            <w:tcBorders>
              <w:top w:val="single" w:color="auto" w:sz="4" w:space="0"/>
              <w:left w:val="single" w:color="auto" w:sz="4" w:space="0"/>
              <w:bottom w:val="single" w:color="auto" w:sz="4" w:space="0"/>
              <w:right w:val="single" w:color="auto" w:sz="4" w:space="0"/>
            </w:tcBorders>
            <w:noWrap w:val="0"/>
            <w:vAlign w:val="center"/>
          </w:tcPr>
          <w:p w14:paraId="312B81F8">
            <w:pPr>
              <w:spacing w:line="240" w:lineRule="auto"/>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zh-CN" w:eastAsia="zh-CN"/>
              </w:rPr>
              <w:t>采用低价优先法计算，即满足磋商文件要求且报价最低的报价为磋商基准价，其价格分为满分，磋商报价得分＝（磋商基准价/最后磋商报价）×</w:t>
            </w:r>
            <w:r>
              <w:rPr>
                <w:rFonts w:hint="eastAsia" w:ascii="宋体" w:hAnsi="宋体" w:eastAsia="宋体" w:cs="宋体"/>
                <w:bCs/>
                <w:color w:val="auto"/>
                <w:szCs w:val="21"/>
                <w:highlight w:val="none"/>
                <w:lang w:val="en-US" w:eastAsia="zh-CN"/>
              </w:rPr>
              <w:t>10</w:t>
            </w:r>
            <w:r>
              <w:rPr>
                <w:rFonts w:hint="eastAsia" w:ascii="宋体" w:hAnsi="宋体" w:eastAsia="宋体" w:cs="宋体"/>
                <w:bCs/>
                <w:color w:val="auto"/>
                <w:szCs w:val="21"/>
                <w:highlight w:val="none"/>
                <w:lang w:val="zh-CN" w:eastAsia="zh-CN"/>
              </w:rPr>
              <w:t xml:space="preserve"> </w:t>
            </w:r>
          </w:p>
        </w:tc>
      </w:tr>
      <w:tr w14:paraId="23E3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382" w:type="dxa"/>
            <w:vMerge w:val="restart"/>
            <w:tcBorders>
              <w:top w:val="single" w:color="auto" w:sz="4" w:space="0"/>
              <w:left w:val="single" w:color="auto" w:sz="4" w:space="0"/>
              <w:right w:val="single" w:color="auto" w:sz="4" w:space="0"/>
            </w:tcBorders>
            <w:noWrap w:val="0"/>
            <w:vAlign w:val="center"/>
          </w:tcPr>
          <w:p w14:paraId="140F90B4">
            <w:pPr>
              <w:spacing w:line="240" w:lineRule="auto"/>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服务方案</w:t>
            </w:r>
          </w:p>
          <w:p w14:paraId="6AEC4217">
            <w:pPr>
              <w:spacing w:line="240" w:lineRule="auto"/>
              <w:jc w:val="center"/>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en-US" w:eastAsia="zh-CN"/>
              </w:rPr>
              <w:t>（</w:t>
            </w:r>
            <w:r>
              <w:rPr>
                <w:rFonts w:hint="eastAsia" w:ascii="宋体" w:hAnsi="宋体" w:cs="宋体"/>
                <w:bCs/>
                <w:color w:val="auto"/>
                <w:szCs w:val="21"/>
                <w:highlight w:val="none"/>
                <w:lang w:val="en-US" w:eastAsia="zh-CN"/>
              </w:rPr>
              <w:t>24</w:t>
            </w:r>
            <w:r>
              <w:rPr>
                <w:rFonts w:hint="eastAsia" w:ascii="宋体" w:hAnsi="宋体" w:eastAsia="宋体" w:cs="宋体"/>
                <w:bCs/>
                <w:color w:val="auto"/>
                <w:szCs w:val="21"/>
                <w:highlight w:val="none"/>
                <w:lang w:val="en-US" w:eastAsia="zh-CN"/>
              </w:rPr>
              <w:t>分）</w:t>
            </w:r>
          </w:p>
        </w:tc>
        <w:tc>
          <w:tcPr>
            <w:tcW w:w="7997" w:type="dxa"/>
            <w:tcBorders>
              <w:top w:val="single" w:color="auto" w:sz="4" w:space="0"/>
              <w:left w:val="single" w:color="auto" w:sz="4" w:space="0"/>
              <w:bottom w:val="single" w:color="auto" w:sz="4" w:space="0"/>
              <w:right w:val="single" w:color="auto" w:sz="4" w:space="0"/>
            </w:tcBorders>
            <w:noWrap w:val="0"/>
            <w:vAlign w:val="center"/>
          </w:tcPr>
          <w:p w14:paraId="52E64F3A">
            <w:pPr>
              <w:keepNext w:val="0"/>
              <w:keepLines w:val="0"/>
              <w:widowControl/>
              <w:suppressLineNumbers w:val="0"/>
              <w:jc w:val="left"/>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zh-CN" w:eastAsia="zh-CN"/>
              </w:rPr>
              <w:t>项目理解及分析（</w:t>
            </w:r>
            <w:r>
              <w:rPr>
                <w:rFonts w:hint="eastAsia" w:ascii="宋体" w:hAnsi="宋体" w:eastAsia="宋体" w:cs="宋体"/>
                <w:bCs/>
                <w:color w:val="auto"/>
                <w:szCs w:val="21"/>
                <w:highlight w:val="none"/>
                <w:lang w:val="en-US" w:eastAsia="zh-CN"/>
              </w:rPr>
              <w:t>对本项目的概况理解及分析，包含从项目的优势及劣势、项目目前的关键性问题等方面</w:t>
            </w:r>
            <w:r>
              <w:rPr>
                <w:rFonts w:hint="eastAsia" w:ascii="宋体" w:hAnsi="宋体" w:eastAsia="宋体" w:cs="宋体"/>
                <w:bCs/>
                <w:color w:val="auto"/>
                <w:szCs w:val="21"/>
                <w:highlight w:val="none"/>
                <w:lang w:val="zh-CN" w:eastAsia="zh-CN"/>
              </w:rPr>
              <w:t>）</w:t>
            </w:r>
            <w:r>
              <w:rPr>
                <w:rFonts w:hint="eastAsia" w:ascii="宋体" w:hAnsi="宋体" w:eastAsia="宋体" w:cs="宋体"/>
                <w:bCs/>
                <w:color w:val="auto"/>
                <w:szCs w:val="21"/>
                <w:highlight w:val="none"/>
                <w:lang w:val="en-US" w:eastAsia="zh-CN"/>
              </w:rPr>
              <w:t>：全面合理得</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lang w:val="en-US" w:eastAsia="zh-CN"/>
              </w:rPr>
              <w:t>分，基本合理得</w:t>
            </w:r>
            <w:r>
              <w:rPr>
                <w:rFonts w:hint="eastAsia" w:ascii="宋体" w:hAnsi="宋体" w:cs="宋体"/>
                <w:bCs/>
                <w:color w:val="auto"/>
                <w:szCs w:val="21"/>
                <w:highlight w:val="none"/>
                <w:lang w:val="en-US" w:eastAsia="zh-CN"/>
              </w:rPr>
              <w:t>3</w:t>
            </w:r>
            <w:r>
              <w:rPr>
                <w:rFonts w:hint="eastAsia" w:ascii="宋体" w:hAnsi="宋体" w:eastAsia="宋体" w:cs="宋体"/>
                <w:bCs/>
                <w:color w:val="auto"/>
                <w:szCs w:val="21"/>
                <w:highlight w:val="none"/>
                <w:lang w:val="en-US" w:eastAsia="zh-CN"/>
              </w:rPr>
              <w:t>分，欠合理得</w:t>
            </w:r>
            <w:r>
              <w:rPr>
                <w:rFonts w:hint="eastAsia" w:ascii="宋体" w:hAnsi="宋体" w:cs="宋体"/>
                <w:bCs/>
                <w:color w:val="auto"/>
                <w:szCs w:val="21"/>
                <w:highlight w:val="none"/>
                <w:lang w:val="en-US" w:eastAsia="zh-CN"/>
              </w:rPr>
              <w:t>2</w:t>
            </w:r>
            <w:r>
              <w:rPr>
                <w:rFonts w:hint="eastAsia" w:ascii="宋体" w:hAnsi="宋体" w:eastAsia="宋体" w:cs="宋体"/>
                <w:bCs/>
                <w:color w:val="auto"/>
                <w:szCs w:val="21"/>
                <w:highlight w:val="none"/>
                <w:lang w:val="en-US" w:eastAsia="zh-CN"/>
              </w:rPr>
              <w:t>分，未提供或与本项目严重不符得0分。</w:t>
            </w:r>
          </w:p>
        </w:tc>
      </w:tr>
      <w:tr w14:paraId="1535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382" w:type="dxa"/>
            <w:vMerge w:val="continue"/>
            <w:tcBorders>
              <w:left w:val="single" w:color="auto" w:sz="4" w:space="0"/>
              <w:right w:val="single" w:color="auto" w:sz="4" w:space="0"/>
            </w:tcBorders>
            <w:noWrap w:val="0"/>
            <w:vAlign w:val="center"/>
          </w:tcPr>
          <w:p w14:paraId="604D2EB5">
            <w:pPr>
              <w:spacing w:line="240" w:lineRule="auto"/>
              <w:jc w:val="center"/>
              <w:rPr>
                <w:rFonts w:hint="eastAsia" w:ascii="宋体" w:hAnsi="宋体" w:eastAsia="宋体" w:cs="宋体"/>
                <w:bCs/>
                <w:color w:val="auto"/>
                <w:szCs w:val="21"/>
                <w:highlight w:val="none"/>
                <w:lang w:val="en-US" w:eastAsia="zh-CN"/>
              </w:rPr>
            </w:pPr>
          </w:p>
        </w:tc>
        <w:tc>
          <w:tcPr>
            <w:tcW w:w="7997" w:type="dxa"/>
            <w:tcBorders>
              <w:top w:val="single" w:color="auto" w:sz="4" w:space="0"/>
              <w:left w:val="single" w:color="auto" w:sz="4" w:space="0"/>
              <w:bottom w:val="single" w:color="auto" w:sz="4" w:space="0"/>
              <w:right w:val="single" w:color="auto" w:sz="4" w:space="0"/>
            </w:tcBorders>
            <w:noWrap w:val="0"/>
            <w:vAlign w:val="center"/>
          </w:tcPr>
          <w:p w14:paraId="502F8B3E">
            <w:pPr>
              <w:keepNext w:val="0"/>
              <w:keepLines w:val="0"/>
              <w:widowControl/>
              <w:suppressLineNumbers w:val="0"/>
              <w:jc w:val="left"/>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服务方案（内容能够结合</w:t>
            </w:r>
            <w:r>
              <w:rPr>
                <w:rFonts w:hint="eastAsia" w:ascii="宋体" w:hAnsi="宋体" w:cs="宋体"/>
                <w:bCs/>
                <w:color w:val="auto"/>
                <w:szCs w:val="21"/>
                <w:highlight w:val="none"/>
                <w:lang w:val="en-US" w:eastAsia="zh-CN"/>
              </w:rPr>
              <w:t>当地</w:t>
            </w:r>
            <w:r>
              <w:rPr>
                <w:rFonts w:hint="eastAsia" w:ascii="宋体" w:hAnsi="宋体" w:eastAsia="宋体" w:cs="宋体"/>
                <w:bCs/>
                <w:color w:val="auto"/>
                <w:szCs w:val="21"/>
                <w:highlight w:val="none"/>
                <w:lang w:val="en-US" w:eastAsia="zh-CN"/>
              </w:rPr>
              <w:t>城市发展现状和本项目服务需求，总体思路清晰，针对性及可实施性强）：全面合理得</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lang w:val="en-US" w:eastAsia="zh-CN"/>
              </w:rPr>
              <w:t>分，基本合理得</w:t>
            </w:r>
            <w:r>
              <w:rPr>
                <w:rFonts w:hint="eastAsia" w:ascii="宋体" w:hAnsi="宋体" w:cs="宋体"/>
                <w:bCs/>
                <w:color w:val="auto"/>
                <w:szCs w:val="21"/>
                <w:highlight w:val="none"/>
                <w:lang w:val="en-US" w:eastAsia="zh-CN"/>
              </w:rPr>
              <w:t>3</w:t>
            </w:r>
            <w:r>
              <w:rPr>
                <w:rFonts w:hint="eastAsia" w:ascii="宋体" w:hAnsi="宋体" w:eastAsia="宋体" w:cs="宋体"/>
                <w:bCs/>
                <w:color w:val="auto"/>
                <w:szCs w:val="21"/>
                <w:highlight w:val="none"/>
                <w:lang w:val="en-US" w:eastAsia="zh-CN"/>
              </w:rPr>
              <w:t>分，欠合理得2分，未提供或与本项目严重不符得0分。</w:t>
            </w:r>
          </w:p>
        </w:tc>
      </w:tr>
      <w:tr w14:paraId="7C66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382" w:type="dxa"/>
            <w:vMerge w:val="continue"/>
            <w:tcBorders>
              <w:left w:val="single" w:color="auto" w:sz="4" w:space="0"/>
              <w:right w:val="single" w:color="auto" w:sz="4" w:space="0"/>
            </w:tcBorders>
            <w:noWrap w:val="0"/>
            <w:vAlign w:val="center"/>
          </w:tcPr>
          <w:p w14:paraId="6D9D9B2B">
            <w:pPr>
              <w:spacing w:line="240" w:lineRule="auto"/>
              <w:jc w:val="center"/>
              <w:rPr>
                <w:rFonts w:hint="eastAsia" w:ascii="宋体" w:hAnsi="宋体" w:eastAsia="宋体" w:cs="宋体"/>
                <w:bCs/>
                <w:color w:val="auto"/>
                <w:szCs w:val="21"/>
                <w:highlight w:val="none"/>
                <w:lang w:val="en-US" w:eastAsia="zh-CN"/>
              </w:rPr>
            </w:pPr>
          </w:p>
        </w:tc>
        <w:tc>
          <w:tcPr>
            <w:tcW w:w="7997" w:type="dxa"/>
            <w:tcBorders>
              <w:top w:val="single" w:color="auto" w:sz="4" w:space="0"/>
              <w:left w:val="single" w:color="auto" w:sz="4" w:space="0"/>
              <w:bottom w:val="single" w:color="auto" w:sz="4" w:space="0"/>
              <w:right w:val="single" w:color="auto" w:sz="4" w:space="0"/>
            </w:tcBorders>
            <w:noWrap w:val="0"/>
            <w:vAlign w:val="center"/>
          </w:tcPr>
          <w:p w14:paraId="477C4B9B">
            <w:pPr>
              <w:keepNext w:val="0"/>
              <w:keepLines w:val="0"/>
              <w:widowControl/>
              <w:suppressLineNumbers w:val="0"/>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Cs w:val="21"/>
                <w:highlight w:val="none"/>
                <w:lang w:val="zh-CN" w:eastAsia="zh-CN"/>
              </w:rPr>
              <w:t>项目重难点分析（</w:t>
            </w:r>
            <w:r>
              <w:rPr>
                <w:rFonts w:hint="eastAsia" w:ascii="宋体" w:hAnsi="宋体" w:eastAsia="宋体" w:cs="宋体"/>
                <w:bCs/>
                <w:color w:val="auto"/>
                <w:szCs w:val="21"/>
                <w:highlight w:val="none"/>
                <w:lang w:val="en-US" w:eastAsia="zh-CN"/>
              </w:rPr>
              <w:t>各供应商根据本项目的概况，对本项目的重难点进行准确分析和阐述，并给予解决方案</w:t>
            </w:r>
            <w:r>
              <w:rPr>
                <w:rFonts w:hint="eastAsia" w:ascii="宋体" w:hAnsi="宋体" w:eastAsia="宋体" w:cs="宋体"/>
                <w:bCs/>
                <w:color w:val="auto"/>
                <w:szCs w:val="21"/>
                <w:highlight w:val="none"/>
                <w:lang w:val="zh-CN" w:eastAsia="zh-CN"/>
              </w:rPr>
              <w:t>）：</w:t>
            </w:r>
            <w:r>
              <w:rPr>
                <w:rFonts w:hint="eastAsia" w:ascii="宋体" w:hAnsi="宋体" w:eastAsia="宋体" w:cs="宋体"/>
                <w:bCs/>
                <w:color w:val="auto"/>
                <w:szCs w:val="21"/>
                <w:highlight w:val="none"/>
                <w:lang w:val="en-US" w:eastAsia="zh-CN"/>
              </w:rPr>
              <w:t>全面合理得</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lang w:val="en-US" w:eastAsia="zh-CN"/>
              </w:rPr>
              <w:t>分，基本合理得</w:t>
            </w:r>
            <w:r>
              <w:rPr>
                <w:rFonts w:hint="eastAsia" w:ascii="宋体" w:hAnsi="宋体" w:cs="宋体"/>
                <w:bCs/>
                <w:color w:val="auto"/>
                <w:szCs w:val="21"/>
                <w:highlight w:val="none"/>
                <w:lang w:val="en-US" w:eastAsia="zh-CN"/>
              </w:rPr>
              <w:t>5</w:t>
            </w:r>
            <w:r>
              <w:rPr>
                <w:rFonts w:hint="eastAsia" w:ascii="宋体" w:hAnsi="宋体" w:eastAsia="宋体" w:cs="宋体"/>
                <w:bCs/>
                <w:color w:val="auto"/>
                <w:szCs w:val="21"/>
                <w:highlight w:val="none"/>
                <w:lang w:val="en-US" w:eastAsia="zh-CN"/>
              </w:rPr>
              <w:t>分，欠合理得2分，未提供或与本项目严重不符得0分。</w:t>
            </w:r>
          </w:p>
        </w:tc>
      </w:tr>
      <w:tr w14:paraId="2475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382" w:type="dxa"/>
            <w:vMerge w:val="continue"/>
            <w:tcBorders>
              <w:left w:val="single" w:color="auto" w:sz="4" w:space="0"/>
              <w:right w:val="single" w:color="auto" w:sz="4" w:space="0"/>
            </w:tcBorders>
            <w:noWrap w:val="0"/>
            <w:vAlign w:val="center"/>
          </w:tcPr>
          <w:p w14:paraId="4B51B9E5">
            <w:pPr>
              <w:spacing w:line="240" w:lineRule="auto"/>
              <w:jc w:val="center"/>
              <w:rPr>
                <w:rFonts w:hint="eastAsia" w:ascii="宋体" w:hAnsi="宋体" w:eastAsia="宋体" w:cs="宋体"/>
                <w:bCs/>
                <w:color w:val="auto"/>
                <w:szCs w:val="21"/>
                <w:highlight w:val="none"/>
                <w:lang w:val="en-US" w:eastAsia="zh-CN"/>
              </w:rPr>
            </w:pPr>
          </w:p>
        </w:tc>
        <w:tc>
          <w:tcPr>
            <w:tcW w:w="7997" w:type="dxa"/>
            <w:tcBorders>
              <w:top w:val="single" w:color="auto" w:sz="4" w:space="0"/>
              <w:left w:val="single" w:color="auto" w:sz="4" w:space="0"/>
              <w:bottom w:val="single" w:color="auto" w:sz="4" w:space="0"/>
              <w:right w:val="single" w:color="auto" w:sz="4" w:space="0"/>
            </w:tcBorders>
            <w:noWrap w:val="0"/>
            <w:vAlign w:val="center"/>
          </w:tcPr>
          <w:p w14:paraId="19B2F971">
            <w:pPr>
              <w:keepNext w:val="0"/>
              <w:keepLines w:val="0"/>
              <w:widowControl/>
              <w:suppressLineNumbers w:val="0"/>
              <w:jc w:val="left"/>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廉洁、保密措施：内容完整、措施可行且针对性强得</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lang w:val="zh-CN" w:eastAsia="zh-CN"/>
              </w:rPr>
              <w:t>分；</w:t>
            </w:r>
            <w:r>
              <w:rPr>
                <w:rFonts w:hint="eastAsia" w:ascii="宋体" w:hAnsi="宋体" w:eastAsia="宋体" w:cs="宋体"/>
                <w:bCs/>
                <w:color w:val="auto"/>
                <w:szCs w:val="21"/>
                <w:highlight w:val="none"/>
                <w:lang w:val="en-US" w:eastAsia="zh-CN"/>
              </w:rPr>
              <w:t>内容较完整、措施较可行，针对性一般得</w:t>
            </w:r>
            <w:r>
              <w:rPr>
                <w:rFonts w:hint="eastAsia" w:ascii="宋体" w:hAnsi="宋体" w:cs="宋体"/>
                <w:bCs/>
                <w:color w:val="auto"/>
                <w:szCs w:val="21"/>
                <w:highlight w:val="none"/>
                <w:lang w:val="en-US" w:eastAsia="zh-CN"/>
              </w:rPr>
              <w:t>3</w:t>
            </w:r>
            <w:r>
              <w:rPr>
                <w:rFonts w:hint="eastAsia" w:ascii="宋体" w:hAnsi="宋体" w:eastAsia="宋体" w:cs="宋体"/>
                <w:bCs/>
                <w:color w:val="auto"/>
                <w:szCs w:val="21"/>
                <w:highlight w:val="none"/>
                <w:lang w:val="zh-CN" w:eastAsia="zh-CN"/>
              </w:rPr>
              <w:t>分；</w:t>
            </w:r>
            <w:r>
              <w:rPr>
                <w:rFonts w:hint="eastAsia" w:ascii="宋体" w:hAnsi="宋体" w:eastAsia="宋体" w:cs="宋体"/>
                <w:bCs/>
                <w:color w:val="auto"/>
                <w:szCs w:val="21"/>
                <w:highlight w:val="none"/>
                <w:lang w:val="en-US" w:eastAsia="zh-CN"/>
              </w:rPr>
              <w:t>内容简略、措施不可行、针对性差得1</w:t>
            </w:r>
            <w:r>
              <w:rPr>
                <w:rFonts w:hint="eastAsia" w:ascii="宋体" w:hAnsi="宋体" w:eastAsia="宋体" w:cs="宋体"/>
                <w:bCs/>
                <w:color w:val="auto"/>
                <w:szCs w:val="21"/>
                <w:highlight w:val="none"/>
                <w:lang w:val="zh-CN" w:eastAsia="zh-CN"/>
              </w:rPr>
              <w:t>分</w:t>
            </w:r>
            <w:r>
              <w:rPr>
                <w:rFonts w:hint="eastAsia" w:ascii="宋体" w:hAnsi="宋体" w:eastAsia="宋体" w:cs="宋体"/>
                <w:bCs/>
                <w:color w:val="auto"/>
                <w:szCs w:val="21"/>
                <w:highlight w:val="none"/>
                <w:lang w:val="en-US" w:eastAsia="zh-CN"/>
              </w:rPr>
              <w:t>，未提供或与本项目严重不符得0分。</w:t>
            </w:r>
          </w:p>
        </w:tc>
      </w:tr>
      <w:tr w14:paraId="3D59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82" w:type="dxa"/>
            <w:tcBorders>
              <w:left w:val="single" w:color="auto" w:sz="4" w:space="0"/>
              <w:right w:val="single" w:color="auto" w:sz="4" w:space="0"/>
            </w:tcBorders>
            <w:noWrap w:val="0"/>
            <w:vAlign w:val="center"/>
          </w:tcPr>
          <w:p w14:paraId="3B620F33">
            <w:pPr>
              <w:spacing w:line="240" w:lineRule="auto"/>
              <w:jc w:val="center"/>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质量保证</w:t>
            </w:r>
            <w:r>
              <w:rPr>
                <w:rFonts w:hint="eastAsia" w:asciiTheme="minorEastAsia" w:hAnsiTheme="minorEastAsia" w:eastAsiaTheme="minorEastAsia" w:cstheme="minorEastAsia"/>
                <w:bCs/>
                <w:color w:val="auto"/>
                <w:szCs w:val="21"/>
                <w:highlight w:val="none"/>
                <w:lang w:val="en-US" w:eastAsia="zh-CN"/>
              </w:rPr>
              <w:t>（10分）</w:t>
            </w:r>
          </w:p>
        </w:tc>
        <w:tc>
          <w:tcPr>
            <w:tcW w:w="7997" w:type="dxa"/>
            <w:tcBorders>
              <w:top w:val="single" w:color="auto" w:sz="4" w:space="0"/>
              <w:left w:val="single" w:color="auto" w:sz="4" w:space="0"/>
              <w:bottom w:val="single" w:color="auto" w:sz="4" w:space="0"/>
              <w:right w:val="single" w:color="auto" w:sz="4" w:space="0"/>
            </w:tcBorders>
            <w:noWrap w:val="0"/>
            <w:vAlign w:val="center"/>
          </w:tcPr>
          <w:p w14:paraId="42DEF2C5">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sz w:val="21"/>
                <w:szCs w:val="21"/>
                <w:highlight w:val="none"/>
                <w:lang w:val="zh-CN"/>
              </w:rPr>
            </w:pPr>
            <w:r>
              <w:rPr>
                <w:rFonts w:hint="eastAsia" w:asciiTheme="minorEastAsia" w:hAnsiTheme="minorEastAsia" w:eastAsiaTheme="minorEastAsia" w:cstheme="minorEastAsia"/>
                <w:sz w:val="21"/>
                <w:szCs w:val="21"/>
                <w:highlight w:val="none"/>
                <w:lang w:val="en-US" w:eastAsia="zh-CN"/>
              </w:rPr>
              <w:t>供应商根据本合同包采购情况提供具体的质量管理制度、质量保证措施</w:t>
            </w:r>
            <w:r>
              <w:rPr>
                <w:rFonts w:hint="eastAsia" w:asciiTheme="minorEastAsia" w:hAnsiTheme="minorEastAsia" w:eastAsiaTheme="minorEastAsia" w:cstheme="minorEastAsia"/>
                <w:sz w:val="21"/>
                <w:szCs w:val="21"/>
                <w:highlight w:val="none"/>
                <w:lang w:val="zh-CN"/>
              </w:rPr>
              <w:t>，</w:t>
            </w:r>
            <w:r>
              <w:rPr>
                <w:rFonts w:hint="eastAsia" w:asciiTheme="minorEastAsia" w:hAnsiTheme="minorEastAsia" w:eastAsiaTheme="minorEastAsia" w:cstheme="minorEastAsia"/>
                <w:sz w:val="21"/>
                <w:szCs w:val="21"/>
                <w:highlight w:val="none"/>
                <w:lang w:val="en-US" w:eastAsia="zh-CN"/>
              </w:rPr>
              <w:t>保证服务工作的正常开展</w:t>
            </w:r>
            <w:r>
              <w:rPr>
                <w:rFonts w:hint="eastAsia" w:asciiTheme="minorEastAsia" w:hAnsiTheme="minorEastAsia" w:eastAsiaTheme="minorEastAsia" w:cstheme="minorEastAsia"/>
                <w:sz w:val="21"/>
                <w:szCs w:val="21"/>
                <w:highlight w:val="none"/>
                <w:lang w:val="zh-CN"/>
              </w:rPr>
              <w:t>。</w:t>
            </w:r>
          </w:p>
          <w:p w14:paraId="0D54AD02">
            <w:pPr>
              <w:keepNext w:val="0"/>
              <w:keepLines w:val="0"/>
              <w:pageBreakBefore w:val="0"/>
              <w:widowControl/>
              <w:numPr>
                <w:ilvl w:val="0"/>
                <w:numId w:val="4"/>
              </w:numPr>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制度、措施内容具体、全面、针对性强的，计[8-10]分；</w:t>
            </w:r>
          </w:p>
          <w:p w14:paraId="6844E960">
            <w:pPr>
              <w:keepNext w:val="0"/>
              <w:keepLines w:val="0"/>
              <w:pageBreakBefore w:val="0"/>
              <w:widowControl/>
              <w:numPr>
                <w:ilvl w:val="0"/>
                <w:numId w:val="4"/>
              </w:numPr>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制度、措施内容较具体、较全面、针对性较强的，计[6-8)分；</w:t>
            </w:r>
          </w:p>
          <w:p w14:paraId="15448D1A">
            <w:pPr>
              <w:keepNext w:val="0"/>
              <w:keepLines w:val="0"/>
              <w:pageBreakBefore w:val="0"/>
              <w:widowControl/>
              <w:numPr>
                <w:ilvl w:val="0"/>
                <w:numId w:val="4"/>
              </w:numPr>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制度、措施内容有缺漏，针对性较差的，计[4-6)分；</w:t>
            </w:r>
          </w:p>
          <w:p w14:paraId="54B6E9FE">
            <w:pPr>
              <w:keepNext w:val="0"/>
              <w:keepLines w:val="0"/>
              <w:pageBreakBefore w:val="0"/>
              <w:widowControl/>
              <w:numPr>
                <w:ilvl w:val="0"/>
                <w:numId w:val="4"/>
              </w:numPr>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制度、措施内容欠缺较多，实施较为困难的，计[2-4)分；</w:t>
            </w:r>
          </w:p>
          <w:p w14:paraId="54DBF3CE">
            <w:pPr>
              <w:keepNext w:val="0"/>
              <w:keepLines w:val="0"/>
              <w:pageBreakBefore w:val="0"/>
              <w:widowControl/>
              <w:numPr>
                <w:ilvl w:val="0"/>
                <w:numId w:val="4"/>
              </w:numPr>
              <w:kinsoku/>
              <w:wordWrap/>
              <w:overflowPunct/>
              <w:topLinePunct w:val="0"/>
              <w:autoSpaceDE/>
              <w:autoSpaceDN/>
              <w:bidi w:val="0"/>
              <w:adjustRightInd/>
              <w:snapToGrid/>
              <w:spacing w:line="240" w:lineRule="auto"/>
              <w:ind w:firstLine="0" w:firstLineChars="0"/>
              <w:jc w:val="left"/>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制度、措施内容严重欠缺，难以实施的，计[0-2)分；</w:t>
            </w:r>
          </w:p>
          <w:p w14:paraId="659B8CFE">
            <w:pPr>
              <w:keepNext w:val="0"/>
              <w:keepLines w:val="0"/>
              <w:widowControl/>
              <w:suppressLineNumbers w:val="0"/>
              <w:jc w:val="left"/>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未提供不计分。</w:t>
            </w:r>
          </w:p>
        </w:tc>
      </w:tr>
      <w:tr w14:paraId="4FF3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82" w:type="dxa"/>
            <w:tcBorders>
              <w:left w:val="single" w:color="auto" w:sz="4" w:space="0"/>
              <w:right w:val="single" w:color="auto" w:sz="4" w:space="0"/>
            </w:tcBorders>
            <w:noWrap w:val="0"/>
            <w:vAlign w:val="center"/>
          </w:tcPr>
          <w:p w14:paraId="1A4762C1">
            <w:pPr>
              <w:spacing w:line="240" w:lineRule="auto"/>
              <w:jc w:val="center"/>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安全保障措施</w:t>
            </w:r>
            <w:r>
              <w:rPr>
                <w:rFonts w:hint="eastAsia" w:asciiTheme="minorEastAsia" w:hAnsiTheme="minorEastAsia" w:eastAsiaTheme="minorEastAsia" w:cstheme="minorEastAsia"/>
                <w:bCs/>
                <w:color w:val="auto"/>
                <w:szCs w:val="21"/>
                <w:highlight w:val="none"/>
                <w:lang w:val="en-US" w:eastAsia="zh-CN"/>
              </w:rPr>
              <w:t>（10分）</w:t>
            </w:r>
          </w:p>
        </w:tc>
        <w:tc>
          <w:tcPr>
            <w:tcW w:w="7997" w:type="dxa"/>
            <w:tcBorders>
              <w:top w:val="single" w:color="auto" w:sz="4" w:space="0"/>
              <w:left w:val="single" w:color="auto" w:sz="4" w:space="0"/>
              <w:bottom w:val="single" w:color="auto" w:sz="4" w:space="0"/>
              <w:right w:val="single" w:color="auto" w:sz="4" w:space="0"/>
            </w:tcBorders>
            <w:noWrap w:val="0"/>
            <w:vAlign w:val="center"/>
          </w:tcPr>
          <w:p w14:paraId="264365A7">
            <w:pPr>
              <w:keepNext w:val="0"/>
              <w:keepLines w:val="0"/>
              <w:pageBreakBefore w:val="0"/>
              <w:widowControl w:val="0"/>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供应商根据本合同包采购情况提供具体的安全保障措施。</w:t>
            </w:r>
          </w:p>
          <w:p w14:paraId="132822A3">
            <w:pPr>
              <w:keepNext w:val="0"/>
              <w:keepLines w:val="0"/>
              <w:pageBreakBefore w:val="0"/>
              <w:widowControl w:val="0"/>
              <w:numPr>
                <w:ilvl w:val="0"/>
                <w:numId w:val="5"/>
              </w:numPr>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措施内容具体、全面、针对性强的，计[8-10]分；</w:t>
            </w:r>
          </w:p>
          <w:p w14:paraId="490311AC">
            <w:pPr>
              <w:keepNext w:val="0"/>
              <w:keepLines w:val="0"/>
              <w:pageBreakBefore w:val="0"/>
              <w:widowControl w:val="0"/>
              <w:numPr>
                <w:ilvl w:val="0"/>
                <w:numId w:val="5"/>
              </w:numPr>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措施内容较具体、较全面、针对性较强的，计[6-8)分；</w:t>
            </w:r>
          </w:p>
          <w:p w14:paraId="3142E779">
            <w:pPr>
              <w:keepNext w:val="0"/>
              <w:keepLines w:val="0"/>
              <w:pageBreakBefore w:val="0"/>
              <w:widowControl w:val="0"/>
              <w:numPr>
                <w:ilvl w:val="0"/>
                <w:numId w:val="5"/>
              </w:numPr>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措施内容有缺漏，针对性较差的，计[4-6)分；</w:t>
            </w:r>
          </w:p>
          <w:p w14:paraId="595176D9">
            <w:pPr>
              <w:keepNext w:val="0"/>
              <w:keepLines w:val="0"/>
              <w:pageBreakBefore w:val="0"/>
              <w:widowControl w:val="0"/>
              <w:numPr>
                <w:ilvl w:val="0"/>
                <w:numId w:val="5"/>
              </w:numPr>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措施内容欠缺较多，实施较为困难的，计[2-4)分；</w:t>
            </w:r>
          </w:p>
          <w:p w14:paraId="0B794ADC">
            <w:pPr>
              <w:keepNext w:val="0"/>
              <w:keepLines w:val="0"/>
              <w:pageBreakBefore w:val="0"/>
              <w:widowControl w:val="0"/>
              <w:numPr>
                <w:ilvl w:val="0"/>
                <w:numId w:val="5"/>
              </w:numPr>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措施内容严重欠缺，难以实施的，计[0-2)分；</w:t>
            </w:r>
          </w:p>
          <w:p w14:paraId="56EF85FE">
            <w:pPr>
              <w:keepNext w:val="0"/>
              <w:keepLines w:val="0"/>
              <w:widowControl/>
              <w:suppressLineNumbers w:val="0"/>
              <w:jc w:val="left"/>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未提供不计分。</w:t>
            </w:r>
          </w:p>
        </w:tc>
      </w:tr>
      <w:tr w14:paraId="0EF6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82" w:type="dxa"/>
            <w:tcBorders>
              <w:left w:val="single" w:color="auto" w:sz="4" w:space="0"/>
              <w:right w:val="single" w:color="auto" w:sz="4" w:space="0"/>
            </w:tcBorders>
            <w:noWrap w:val="0"/>
            <w:vAlign w:val="center"/>
          </w:tcPr>
          <w:p w14:paraId="61CE9B10">
            <w:pPr>
              <w:spacing w:line="240" w:lineRule="auto"/>
              <w:jc w:val="center"/>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应急处理措施</w:t>
            </w:r>
            <w:r>
              <w:rPr>
                <w:rFonts w:hint="eastAsia" w:asciiTheme="minorEastAsia" w:hAnsiTheme="minorEastAsia" w:eastAsiaTheme="minorEastAsia" w:cstheme="minorEastAsia"/>
                <w:bCs/>
                <w:color w:val="auto"/>
                <w:szCs w:val="21"/>
                <w:highlight w:val="none"/>
                <w:lang w:val="en-US" w:eastAsia="zh-CN"/>
              </w:rPr>
              <w:t>（10分）</w:t>
            </w:r>
          </w:p>
        </w:tc>
        <w:tc>
          <w:tcPr>
            <w:tcW w:w="7997" w:type="dxa"/>
            <w:tcBorders>
              <w:top w:val="single" w:color="auto" w:sz="4" w:space="0"/>
              <w:left w:val="single" w:color="auto" w:sz="4" w:space="0"/>
              <w:bottom w:val="single" w:color="auto" w:sz="4" w:space="0"/>
              <w:right w:val="single" w:color="auto" w:sz="4" w:space="0"/>
            </w:tcBorders>
            <w:noWrap w:val="0"/>
            <w:vAlign w:val="center"/>
          </w:tcPr>
          <w:p w14:paraId="07BEB37D">
            <w:pPr>
              <w:keepNext w:val="0"/>
              <w:keepLines w:val="0"/>
              <w:pageBreakBefore w:val="0"/>
              <w:widowControl w:val="0"/>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供应商根据本合同包采购情况提供具体的应急处理措施。</w:t>
            </w:r>
          </w:p>
          <w:p w14:paraId="065EAEFD">
            <w:pPr>
              <w:keepNext w:val="0"/>
              <w:keepLines w:val="0"/>
              <w:pageBreakBefore w:val="0"/>
              <w:widowControl w:val="0"/>
              <w:numPr>
                <w:ilvl w:val="0"/>
                <w:numId w:val="6"/>
              </w:numPr>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措施内容具体、全面、针对性强的，计[8-10]分；</w:t>
            </w:r>
          </w:p>
          <w:p w14:paraId="6EC71C9F">
            <w:pPr>
              <w:keepNext w:val="0"/>
              <w:keepLines w:val="0"/>
              <w:pageBreakBefore w:val="0"/>
              <w:widowControl w:val="0"/>
              <w:numPr>
                <w:ilvl w:val="0"/>
                <w:numId w:val="6"/>
              </w:numPr>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措施内容较具体、较全面、针对性较强的，计[6-8)分；</w:t>
            </w:r>
          </w:p>
          <w:p w14:paraId="4F3F618D">
            <w:pPr>
              <w:keepNext w:val="0"/>
              <w:keepLines w:val="0"/>
              <w:pageBreakBefore w:val="0"/>
              <w:widowControl w:val="0"/>
              <w:numPr>
                <w:ilvl w:val="0"/>
                <w:numId w:val="6"/>
              </w:numPr>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措施内容有缺漏，针对性较差的，计[4-6)分；</w:t>
            </w:r>
          </w:p>
          <w:p w14:paraId="09088B49">
            <w:pPr>
              <w:keepNext w:val="0"/>
              <w:keepLines w:val="0"/>
              <w:pageBreakBefore w:val="0"/>
              <w:widowControl w:val="0"/>
              <w:numPr>
                <w:ilvl w:val="0"/>
                <w:numId w:val="6"/>
              </w:numPr>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措施内容欠缺较多，实施较为困难的，计[2-4)分；</w:t>
            </w:r>
          </w:p>
          <w:p w14:paraId="4FDAFD54">
            <w:pPr>
              <w:keepNext w:val="0"/>
              <w:keepLines w:val="0"/>
              <w:pageBreakBefore w:val="0"/>
              <w:widowControl w:val="0"/>
              <w:numPr>
                <w:ilvl w:val="0"/>
                <w:numId w:val="6"/>
              </w:numPr>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措施内容严重欠缺，难以实施的，计[0-2)分；</w:t>
            </w:r>
          </w:p>
          <w:p w14:paraId="7678125C">
            <w:pPr>
              <w:keepNext w:val="0"/>
              <w:keepLines w:val="0"/>
              <w:widowControl/>
              <w:suppressLineNumbers w:val="0"/>
              <w:jc w:val="left"/>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未提供不计分。</w:t>
            </w:r>
          </w:p>
        </w:tc>
      </w:tr>
      <w:tr w14:paraId="7FF3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82" w:type="dxa"/>
            <w:tcBorders>
              <w:left w:val="single" w:color="auto" w:sz="4" w:space="0"/>
              <w:right w:val="single" w:color="auto" w:sz="4" w:space="0"/>
            </w:tcBorders>
            <w:noWrap w:val="0"/>
            <w:vAlign w:val="center"/>
          </w:tcPr>
          <w:p w14:paraId="6B34D42B">
            <w:pPr>
              <w:spacing w:line="240" w:lineRule="auto"/>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合理化建议</w:t>
            </w:r>
            <w:r>
              <w:rPr>
                <w:rFonts w:hint="eastAsia" w:asciiTheme="minorEastAsia" w:hAnsiTheme="minorEastAsia" w:eastAsiaTheme="minorEastAsia" w:cstheme="minorEastAsia"/>
                <w:bCs/>
                <w:color w:val="auto"/>
                <w:szCs w:val="21"/>
                <w:highlight w:val="none"/>
                <w:lang w:val="en-US" w:eastAsia="zh-CN"/>
              </w:rPr>
              <w:t>（10分）</w:t>
            </w:r>
          </w:p>
        </w:tc>
        <w:tc>
          <w:tcPr>
            <w:tcW w:w="7997" w:type="dxa"/>
            <w:tcBorders>
              <w:top w:val="single" w:color="auto" w:sz="4" w:space="0"/>
              <w:left w:val="single" w:color="auto" w:sz="4" w:space="0"/>
              <w:bottom w:val="single" w:color="auto" w:sz="4" w:space="0"/>
              <w:right w:val="single" w:color="auto" w:sz="4" w:space="0"/>
            </w:tcBorders>
            <w:noWrap w:val="0"/>
            <w:vAlign w:val="center"/>
          </w:tcPr>
          <w:p w14:paraId="28887A65">
            <w:pPr>
              <w:keepNext w:val="0"/>
              <w:keepLines w:val="0"/>
              <w:pageBreakBefore w:val="0"/>
              <w:widowControl w:val="0"/>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供应商根据本合同包采购情况提供具体的合理建议。</w:t>
            </w:r>
          </w:p>
          <w:p w14:paraId="564DBE9C">
            <w:pPr>
              <w:keepNext w:val="0"/>
              <w:keepLines w:val="0"/>
              <w:pageBreakBefore w:val="0"/>
              <w:widowControl w:val="0"/>
              <w:numPr>
                <w:ilvl w:val="0"/>
                <w:numId w:val="7"/>
              </w:numPr>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建议内容具体、全面、针对性强的，计[8-10]分；</w:t>
            </w:r>
          </w:p>
          <w:p w14:paraId="2CFAB15B">
            <w:pPr>
              <w:keepNext w:val="0"/>
              <w:keepLines w:val="0"/>
              <w:pageBreakBefore w:val="0"/>
              <w:widowControl w:val="0"/>
              <w:numPr>
                <w:ilvl w:val="0"/>
                <w:numId w:val="7"/>
              </w:numPr>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建议内容较具体、较全面、针对性较强的，计[6-8)分；</w:t>
            </w:r>
          </w:p>
          <w:p w14:paraId="19DDF030">
            <w:pPr>
              <w:keepNext w:val="0"/>
              <w:keepLines w:val="0"/>
              <w:pageBreakBefore w:val="0"/>
              <w:widowControl w:val="0"/>
              <w:numPr>
                <w:ilvl w:val="0"/>
                <w:numId w:val="7"/>
              </w:numPr>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建议内容有缺漏，针对性较差的，计[4-6)分；</w:t>
            </w:r>
          </w:p>
          <w:p w14:paraId="13074165">
            <w:pPr>
              <w:keepNext w:val="0"/>
              <w:keepLines w:val="0"/>
              <w:pageBreakBefore w:val="0"/>
              <w:widowControl w:val="0"/>
              <w:numPr>
                <w:ilvl w:val="0"/>
                <w:numId w:val="7"/>
              </w:numPr>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建议内容欠缺较多，实施较为困难的，计[2-4)分；</w:t>
            </w:r>
          </w:p>
          <w:p w14:paraId="179EAF6A">
            <w:pPr>
              <w:keepNext w:val="0"/>
              <w:keepLines w:val="0"/>
              <w:pageBreakBefore w:val="0"/>
              <w:widowControl w:val="0"/>
              <w:numPr>
                <w:ilvl w:val="0"/>
                <w:numId w:val="7"/>
              </w:numPr>
              <w:tabs>
                <w:tab w:val="left" w:pos="0"/>
              </w:tabs>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建议内容严重欠缺，难以实施的，计[0-2)分；</w:t>
            </w:r>
          </w:p>
          <w:p w14:paraId="76C609A8">
            <w:pPr>
              <w:keepNext w:val="0"/>
              <w:keepLines w:val="0"/>
              <w:widowControl/>
              <w:suppressLineNumbers w:val="0"/>
              <w:jc w:val="left"/>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未提供不计分。</w:t>
            </w:r>
          </w:p>
        </w:tc>
      </w:tr>
      <w:tr w14:paraId="323C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1382" w:type="dxa"/>
            <w:tcBorders>
              <w:left w:val="single" w:color="auto" w:sz="4" w:space="0"/>
              <w:right w:val="single" w:color="auto" w:sz="4" w:space="0"/>
            </w:tcBorders>
            <w:noWrap w:val="0"/>
            <w:vAlign w:val="center"/>
          </w:tcPr>
          <w:p w14:paraId="0DF2DB23">
            <w:pPr>
              <w:spacing w:line="240" w:lineRule="auto"/>
              <w:jc w:val="center"/>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bCs/>
                <w:color w:val="auto"/>
                <w:szCs w:val="21"/>
                <w:highlight w:val="none"/>
                <w:lang w:val="en-US" w:eastAsia="zh-CN"/>
              </w:rPr>
              <w:t>项目人员</w:t>
            </w:r>
          </w:p>
          <w:p w14:paraId="744A87B7">
            <w:pPr>
              <w:spacing w:line="240" w:lineRule="auto"/>
              <w:jc w:val="center"/>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bCs/>
                <w:color w:val="auto"/>
                <w:szCs w:val="21"/>
                <w:highlight w:val="none"/>
                <w:lang w:val="en-US" w:eastAsia="zh-CN"/>
              </w:rPr>
              <w:t>配备</w:t>
            </w:r>
          </w:p>
          <w:p w14:paraId="2510AD58">
            <w:pPr>
              <w:spacing w:line="240" w:lineRule="auto"/>
              <w:jc w:val="center"/>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Cs w:val="21"/>
                <w:highlight w:val="none"/>
                <w:lang w:val="en-US" w:eastAsia="zh-CN"/>
              </w:rPr>
              <w:t>（10分）</w:t>
            </w:r>
          </w:p>
        </w:tc>
        <w:tc>
          <w:tcPr>
            <w:tcW w:w="7997" w:type="dxa"/>
            <w:tcBorders>
              <w:top w:val="single" w:color="auto" w:sz="4" w:space="0"/>
              <w:left w:val="single" w:color="auto" w:sz="4" w:space="0"/>
              <w:bottom w:val="single" w:color="auto" w:sz="4" w:space="0"/>
              <w:right w:val="single" w:color="auto" w:sz="4" w:space="0"/>
            </w:tcBorders>
            <w:noWrap w:val="0"/>
            <w:vAlign w:val="center"/>
          </w:tcPr>
          <w:p w14:paraId="4FEDE00C">
            <w:pP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Cs/>
                <w:color w:val="auto"/>
                <w:szCs w:val="21"/>
                <w:highlight w:val="none"/>
                <w:lang w:val="en-US" w:eastAsia="zh-CN"/>
              </w:rPr>
              <w:t>从拟投入本项目服务团队人员数量、组成结构、经历等方面进行综合比较：组织结构较合理，配备齐全、人员分工明确得10分；组织结构较合理，配备较齐全，人员分工一般得6分；组织结构欠合理，配备欠齐全，人员分工不明确得2分；未提供或与本项目严重不符得0分。</w:t>
            </w:r>
          </w:p>
        </w:tc>
      </w:tr>
      <w:tr w14:paraId="71AB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1382" w:type="dxa"/>
            <w:tcBorders>
              <w:top w:val="single" w:color="auto" w:sz="4" w:space="0"/>
              <w:left w:val="single" w:color="auto" w:sz="4" w:space="0"/>
              <w:bottom w:val="single" w:color="auto" w:sz="4" w:space="0"/>
              <w:right w:val="single" w:color="auto" w:sz="4" w:space="0"/>
            </w:tcBorders>
            <w:noWrap w:val="0"/>
            <w:vAlign w:val="center"/>
          </w:tcPr>
          <w:p w14:paraId="55D9AEBB">
            <w:pPr>
              <w:spacing w:line="240" w:lineRule="auto"/>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服务承诺</w:t>
            </w:r>
          </w:p>
          <w:p w14:paraId="5B7FEF0C">
            <w:pPr>
              <w:spacing w:line="240" w:lineRule="auto"/>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（10分）</w:t>
            </w:r>
          </w:p>
        </w:tc>
        <w:tc>
          <w:tcPr>
            <w:tcW w:w="7997" w:type="dxa"/>
            <w:tcBorders>
              <w:top w:val="single" w:color="auto" w:sz="4" w:space="0"/>
              <w:left w:val="single" w:color="auto" w:sz="4" w:space="0"/>
              <w:bottom w:val="single" w:color="auto" w:sz="4" w:space="0"/>
              <w:right w:val="single" w:color="auto" w:sz="4" w:space="0"/>
            </w:tcBorders>
            <w:noWrap w:val="0"/>
            <w:vAlign w:val="center"/>
          </w:tcPr>
          <w:p w14:paraId="406005C8">
            <w:pPr>
              <w:spacing w:line="240" w:lineRule="auto"/>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服务承诺（包括但不限于服务质量承诺、进度计划、人员分工安排、合同签订后项目实施等方面）完整，合理、可行，针对性强得10分；具体，较合理、可行，针对性一般得6</w:t>
            </w:r>
            <w:r>
              <w:rPr>
                <w:rFonts w:hint="eastAsia" w:ascii="宋体" w:hAnsi="宋体" w:eastAsia="宋体" w:cs="宋体"/>
                <w:bCs/>
                <w:color w:val="auto"/>
                <w:szCs w:val="21"/>
                <w:highlight w:val="none"/>
                <w:lang w:val="zh-CN" w:eastAsia="zh-CN"/>
              </w:rPr>
              <w:t>分；</w:t>
            </w:r>
            <w:r>
              <w:rPr>
                <w:rFonts w:hint="eastAsia" w:ascii="宋体" w:hAnsi="宋体" w:eastAsia="宋体" w:cs="宋体"/>
                <w:bCs/>
                <w:color w:val="auto"/>
                <w:szCs w:val="21"/>
                <w:highlight w:val="none"/>
                <w:lang w:val="en-US" w:eastAsia="zh-CN"/>
              </w:rPr>
              <w:t>简略，欠合理、可行，针对性差得2</w:t>
            </w:r>
            <w:r>
              <w:rPr>
                <w:rFonts w:hint="eastAsia" w:ascii="宋体" w:hAnsi="宋体" w:eastAsia="宋体" w:cs="宋体"/>
                <w:bCs/>
                <w:color w:val="auto"/>
                <w:szCs w:val="21"/>
                <w:highlight w:val="none"/>
                <w:lang w:val="zh-CN" w:eastAsia="zh-CN"/>
              </w:rPr>
              <w:t>分，</w:t>
            </w:r>
            <w:r>
              <w:rPr>
                <w:rFonts w:hint="eastAsia" w:ascii="宋体" w:hAnsi="宋体" w:eastAsia="宋体" w:cs="宋体"/>
                <w:bCs/>
                <w:color w:val="auto"/>
                <w:szCs w:val="21"/>
                <w:highlight w:val="none"/>
                <w:lang w:val="en-US" w:eastAsia="zh-CN"/>
              </w:rPr>
              <w:t>未提供或与本项目严重不符得0分。</w:t>
            </w:r>
          </w:p>
        </w:tc>
      </w:tr>
      <w:tr w14:paraId="14CD2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382" w:type="dxa"/>
            <w:tcBorders>
              <w:top w:val="single" w:color="auto" w:sz="4" w:space="0"/>
              <w:left w:val="single" w:color="auto" w:sz="4" w:space="0"/>
              <w:bottom w:val="single" w:color="auto" w:sz="4" w:space="0"/>
              <w:right w:val="single" w:color="auto" w:sz="4" w:space="0"/>
            </w:tcBorders>
            <w:noWrap w:val="0"/>
            <w:vAlign w:val="center"/>
          </w:tcPr>
          <w:p w14:paraId="69DC6071">
            <w:pPr>
              <w:spacing w:line="240" w:lineRule="auto"/>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业绩</w:t>
            </w:r>
          </w:p>
          <w:p w14:paraId="5E7E3CBD">
            <w:pPr>
              <w:spacing w:line="240" w:lineRule="auto"/>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lang w:val="en-US" w:eastAsia="zh-CN"/>
              </w:rPr>
              <w:t>分）</w:t>
            </w:r>
          </w:p>
        </w:tc>
        <w:tc>
          <w:tcPr>
            <w:tcW w:w="7997" w:type="dxa"/>
            <w:tcBorders>
              <w:top w:val="single" w:color="auto" w:sz="4" w:space="0"/>
              <w:left w:val="single" w:color="auto" w:sz="4" w:space="0"/>
              <w:bottom w:val="single" w:color="auto" w:sz="4" w:space="0"/>
              <w:right w:val="single" w:color="auto" w:sz="4" w:space="0"/>
            </w:tcBorders>
            <w:noWrap w:val="0"/>
            <w:vAlign w:val="center"/>
          </w:tcPr>
          <w:p w14:paraId="6D9DD57E">
            <w:pPr>
              <w:spacing w:line="240" w:lineRule="auto"/>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提供近</w:t>
            </w:r>
            <w:r>
              <w:rPr>
                <w:rFonts w:hint="eastAsia" w:ascii="宋体" w:hAnsi="宋体" w:cs="宋体"/>
                <w:bCs/>
                <w:color w:val="auto"/>
                <w:szCs w:val="21"/>
                <w:highlight w:val="none"/>
                <w:lang w:val="en-US" w:eastAsia="zh-CN"/>
              </w:rPr>
              <w:t>三</w:t>
            </w:r>
            <w:r>
              <w:rPr>
                <w:rFonts w:hint="eastAsia" w:ascii="宋体" w:hAnsi="宋体" w:eastAsia="宋体" w:cs="宋体"/>
                <w:bCs/>
                <w:color w:val="auto"/>
                <w:szCs w:val="21"/>
                <w:highlight w:val="none"/>
                <w:lang w:val="en-US" w:eastAsia="zh-CN"/>
              </w:rPr>
              <w:t>年类似项目业绩，每提供一份有效业绩得2分，满分</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lang w:val="en-US" w:eastAsia="zh-CN"/>
              </w:rPr>
              <w:t>分（以合同复印件为准，时间以合同签订时间为准，合同内容须完整清晰可辨认无涂改，否则视为无效合同）</w:t>
            </w:r>
          </w:p>
        </w:tc>
      </w:tr>
    </w:tbl>
    <w:p w14:paraId="3D98B17C">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 w:val="24"/>
          <w:szCs w:val="24"/>
          <w:highlight w:val="none"/>
        </w:rPr>
      </w:pPr>
    </w:p>
    <w:p w14:paraId="0222710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 w:val="24"/>
          <w:szCs w:val="24"/>
          <w:highlight w:val="none"/>
        </w:rPr>
      </w:pPr>
    </w:p>
    <w:p w14:paraId="53707B37">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备注： </w:t>
      </w:r>
    </w:p>
    <w:p w14:paraId="3F7AFC9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磋商小组认为供应商的报价明显低于其他通过符合性审查的供应商的报价，有可能影响服务质量或者不能诚信履约的，应当要求其在评审现场合理的时间内提供书面说明，必要时提交相关证明材料；供应商不能证明其报价合理性的，磋商小组应当将其视作为无效文件处理。</w:t>
      </w:r>
    </w:p>
    <w:p w14:paraId="314D638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②</w:t>
      </w:r>
      <w:r>
        <w:rPr>
          <w:rFonts w:hint="eastAsia" w:ascii="宋体" w:hAnsi="宋体" w:eastAsia="宋体" w:cs="宋体"/>
          <w:color w:val="auto"/>
          <w:sz w:val="24"/>
          <w:szCs w:val="24"/>
          <w:highlight w:val="none"/>
          <w:lang w:val="zh-CN"/>
        </w:rPr>
        <w:t>磋商小组成员对各响应文件进行横向对比，</w:t>
      </w:r>
      <w:r>
        <w:rPr>
          <w:rFonts w:hint="eastAsia" w:ascii="宋体" w:hAnsi="宋体" w:eastAsia="宋体" w:cs="宋体"/>
          <w:color w:val="auto"/>
          <w:sz w:val="24"/>
          <w:szCs w:val="24"/>
          <w:highlight w:val="none"/>
        </w:rPr>
        <w:t>独立打分，对竞争性磋商响应文件进行自主赋分。</w:t>
      </w:r>
    </w:p>
    <w:p w14:paraId="07DE857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③评审过程中，若出现特殊情况时，由磋商小组决定暂停评审，并提出具体处理意见。</w:t>
      </w:r>
    </w:p>
    <w:p w14:paraId="1A9E7B1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④评审后得分由高到低顺序</w:t>
      </w:r>
      <w:r>
        <w:rPr>
          <w:rFonts w:hint="eastAsia" w:ascii="宋体" w:hAnsi="宋体" w:eastAsia="宋体" w:cs="宋体"/>
          <w:color w:val="auto"/>
          <w:sz w:val="24"/>
          <w:szCs w:val="24"/>
          <w:highlight w:val="none"/>
          <w:lang w:eastAsia="zh-CN"/>
        </w:rPr>
        <w:t>排序</w:t>
      </w:r>
      <w:r>
        <w:rPr>
          <w:rFonts w:hint="eastAsia" w:ascii="宋体" w:hAnsi="宋体" w:eastAsia="宋体" w:cs="宋体"/>
          <w:color w:val="auto"/>
          <w:sz w:val="24"/>
          <w:szCs w:val="24"/>
          <w:highlight w:val="none"/>
        </w:rPr>
        <w:t>。得分相同的，按</w:t>
      </w:r>
      <w:r>
        <w:rPr>
          <w:rFonts w:hint="eastAsia" w:ascii="宋体" w:hAnsi="宋体" w:eastAsia="宋体" w:cs="宋体"/>
          <w:color w:val="auto"/>
          <w:sz w:val="24"/>
          <w:szCs w:val="24"/>
          <w:highlight w:val="none"/>
          <w:lang w:val="en-US" w:eastAsia="zh-CN"/>
        </w:rPr>
        <w:t>服务方案</w:t>
      </w:r>
      <w:r>
        <w:rPr>
          <w:rFonts w:hint="eastAsia" w:ascii="宋体" w:hAnsi="宋体" w:eastAsia="宋体" w:cs="宋体"/>
          <w:color w:val="auto"/>
          <w:sz w:val="24"/>
          <w:szCs w:val="24"/>
          <w:highlight w:val="none"/>
        </w:rPr>
        <w:t>部分优劣顺序</w:t>
      </w:r>
      <w:r>
        <w:rPr>
          <w:rFonts w:hint="eastAsia" w:ascii="宋体" w:hAnsi="宋体" w:eastAsia="宋体" w:cs="宋体"/>
          <w:color w:val="auto"/>
          <w:sz w:val="24"/>
          <w:szCs w:val="24"/>
          <w:highlight w:val="none"/>
          <w:lang w:eastAsia="zh-CN"/>
        </w:rPr>
        <w:t>排序</w:t>
      </w:r>
      <w:r>
        <w:rPr>
          <w:rFonts w:hint="eastAsia" w:ascii="宋体" w:hAnsi="宋体" w:eastAsia="宋体" w:cs="宋体"/>
          <w:color w:val="auto"/>
          <w:sz w:val="24"/>
          <w:szCs w:val="24"/>
          <w:highlight w:val="none"/>
        </w:rPr>
        <w:t>。</w:t>
      </w:r>
    </w:p>
    <w:p w14:paraId="3E12D2A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⑤竞争性磋商响应文件中缺少某分项时，该分项为0分。</w:t>
      </w:r>
    </w:p>
    <w:p w14:paraId="7FF37A5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⑥评审过程中，</w:t>
      </w:r>
      <w:r>
        <w:rPr>
          <w:rFonts w:hint="eastAsia" w:ascii="宋体" w:hAnsi="宋体" w:eastAsia="宋体" w:cs="宋体"/>
          <w:color w:val="auto"/>
          <w:sz w:val="24"/>
          <w:szCs w:val="24"/>
          <w:highlight w:val="none"/>
          <w:lang w:val="zh-CN"/>
        </w:rPr>
        <w:t>各种计算采用插入法，</w:t>
      </w:r>
      <w:r>
        <w:rPr>
          <w:rFonts w:hint="eastAsia" w:ascii="宋体" w:hAnsi="宋体" w:eastAsia="宋体" w:cs="宋体"/>
          <w:color w:val="auto"/>
          <w:sz w:val="24"/>
          <w:szCs w:val="24"/>
          <w:highlight w:val="none"/>
        </w:rPr>
        <w:t>各种数字计算均精确至小数点后二位。</w:t>
      </w:r>
    </w:p>
    <w:p w14:paraId="4D74517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⑦</w:t>
      </w:r>
      <w:r>
        <w:rPr>
          <w:rFonts w:hint="eastAsia" w:ascii="宋体" w:hAnsi="宋体" w:eastAsia="宋体" w:cs="宋体"/>
          <w:color w:val="auto"/>
          <w:sz w:val="24"/>
          <w:szCs w:val="24"/>
          <w:highlight w:val="none"/>
          <w:lang w:val="zh-CN"/>
        </w:rPr>
        <w:t>由于</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响应文件内容模糊等情况，造成对供应商不利的评审结果，由供应商自负。</w:t>
      </w:r>
    </w:p>
    <w:p w14:paraId="2C46E20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⑧最低报价不是成交的唯一条件。</w:t>
      </w:r>
    </w:p>
    <w:p w14:paraId="2DDFC83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⑨政府采购相关政策按照竞争性磋商文件相关规定执行。</w:t>
      </w:r>
    </w:p>
    <w:p w14:paraId="65EBB85D">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10</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复核与核对评审结果</w:t>
      </w:r>
    </w:p>
    <w:p w14:paraId="12F17BB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 评分汇总结束后，磋商小组应当进行复核，特别要对拟推荐成交候选人的、报价最低的、竞争性磋商响应文件被认定无效的进行重点复核。</w:t>
      </w:r>
    </w:p>
    <w:p w14:paraId="60A1C6C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.2 评审结果汇总完成后，评审报告签署前，采购代理机构应当核对评审结果，除下列情形外，任何人不得修改评审结果：</w:t>
      </w:r>
    </w:p>
    <w:p w14:paraId="21D8CC7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（1）分值汇总计算错误的；</w:t>
      </w:r>
    </w:p>
    <w:p w14:paraId="406912A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（2）分项评分超出评分标准范围的；</w:t>
      </w:r>
    </w:p>
    <w:p w14:paraId="3EA6DD4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（3）磋商小组对客观评审因素评分不一致的；</w:t>
      </w:r>
    </w:p>
    <w:p w14:paraId="4357B36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（4）经磋商小组认定评分畸高、畸低的。</w:t>
      </w:r>
    </w:p>
    <w:p w14:paraId="15B9408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经复核发现存在以上情形之一的，磋商小组应当当场修改评审结果，并在评审报告中记载。</w:t>
      </w:r>
    </w:p>
    <w:p w14:paraId="00306F80">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.11编写评审报告</w:t>
      </w:r>
    </w:p>
    <w:p w14:paraId="077DFD0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依据评审办法，经过符合性审查、澄清、比较与评审等程序后，在最大限度满足竞争性磋商文件实质性要求前提下进行综合评审，以评审总得分由高到低的顺序推荐3名以上成交候选人，并编写评审报告。　</w:t>
      </w:r>
    </w:p>
    <w:p w14:paraId="424EF98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成员应当在评审报告上签字，对自己的评审意见承担法律责任。磋商小组成员对需要共同认定的事项存在争议的，应当按照少数服从多数的原则作出结论。持不同意见的磋商小组成员应当在评审报告上签署不同意见及理由，否则视为同意评审报告。</w:t>
      </w:r>
    </w:p>
    <w:p w14:paraId="455FBE13">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5.12</w:t>
      </w:r>
      <w:r>
        <w:rPr>
          <w:rFonts w:hint="eastAsia" w:ascii="宋体" w:hAnsi="宋体" w:eastAsia="宋体" w:cs="宋体"/>
          <w:b/>
          <w:bCs/>
          <w:color w:val="auto"/>
          <w:sz w:val="24"/>
          <w:szCs w:val="24"/>
          <w:highlight w:val="none"/>
        </w:rPr>
        <w:t>无效磋商响应文件</w:t>
      </w:r>
    </w:p>
    <w:p w14:paraId="399EF99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竞争性磋商响应文件中出现下列情况之一者（但不限于），按无效竞争性磋商响应文件处理：</w:t>
      </w:r>
    </w:p>
    <w:p w14:paraId="26B6129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（1）响应</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val="en-US" w:eastAsia="zh-CN"/>
        </w:rPr>
        <w:t>无</w:t>
      </w:r>
      <w:r>
        <w:rPr>
          <w:rFonts w:hint="eastAsia" w:ascii="宋体" w:hAnsi="宋体" w:eastAsia="宋体" w:cs="宋体"/>
          <w:color w:val="auto"/>
          <w:sz w:val="24"/>
          <w:szCs w:val="24"/>
          <w:highlight w:val="none"/>
        </w:rPr>
        <w:t>法定代表人授权书（法定代表人直接参加</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除外）或授权书的合法性或有效性不符合</w:t>
      </w:r>
      <w:r>
        <w:rPr>
          <w:rFonts w:hint="eastAsia" w:ascii="宋体" w:hAnsi="宋体" w:eastAsia="宋体" w:cs="宋体"/>
          <w:color w:val="auto"/>
          <w:sz w:val="24"/>
          <w:szCs w:val="24"/>
          <w:highlight w:val="none"/>
          <w:lang w:val="en-US" w:eastAsia="zh-CN"/>
        </w:rPr>
        <w:t>竞争性磋商</w:t>
      </w:r>
      <w:r>
        <w:rPr>
          <w:rFonts w:hint="eastAsia" w:ascii="宋体" w:hAnsi="宋体" w:eastAsia="宋体" w:cs="宋体"/>
          <w:color w:val="auto"/>
          <w:sz w:val="24"/>
          <w:szCs w:val="24"/>
          <w:highlight w:val="none"/>
        </w:rPr>
        <w:t>文件规定；</w:t>
      </w:r>
    </w:p>
    <w:p w14:paraId="029DAF2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（2）供应商</w:t>
      </w:r>
      <w:r>
        <w:rPr>
          <w:rFonts w:hint="eastAsia" w:ascii="宋体" w:hAnsi="宋体" w:eastAsia="宋体" w:cs="宋体"/>
          <w:color w:val="auto"/>
          <w:sz w:val="24"/>
          <w:szCs w:val="24"/>
          <w:highlight w:val="none"/>
          <w:lang w:val="zh-CN"/>
        </w:rPr>
        <w:t>的</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 xml:space="preserve">报价超过采购预算或者最高限价； </w:t>
      </w:r>
    </w:p>
    <w:p w14:paraId="65ABDF7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（3）响应文件</w:t>
      </w:r>
      <w:r>
        <w:rPr>
          <w:rFonts w:hint="eastAsia" w:ascii="宋体" w:hAnsi="宋体" w:eastAsia="宋体" w:cs="宋体"/>
          <w:color w:val="auto"/>
          <w:sz w:val="24"/>
          <w:szCs w:val="24"/>
          <w:highlight w:val="none"/>
          <w:lang w:val="zh-CN"/>
        </w:rPr>
        <w:t>未按</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文件要求</w:t>
      </w:r>
      <w:r>
        <w:rPr>
          <w:rFonts w:hint="eastAsia" w:ascii="宋体" w:hAnsi="宋体" w:eastAsia="宋体" w:cs="宋体"/>
          <w:color w:val="auto"/>
          <w:sz w:val="24"/>
          <w:szCs w:val="24"/>
          <w:highlight w:val="none"/>
        </w:rPr>
        <w:t>编制、签署、盖章</w:t>
      </w:r>
      <w:r>
        <w:rPr>
          <w:rFonts w:hint="eastAsia" w:ascii="宋体" w:hAnsi="宋体" w:eastAsia="宋体" w:cs="宋体"/>
          <w:color w:val="auto"/>
          <w:sz w:val="24"/>
          <w:szCs w:val="24"/>
          <w:highlight w:val="none"/>
          <w:lang w:eastAsia="zh-CN"/>
        </w:rPr>
        <w:t>；</w:t>
      </w:r>
    </w:p>
    <w:p w14:paraId="2BF5DFC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rPr>
        <w:t>无</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有效期或有效期达不到</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文件要求的；</w:t>
      </w:r>
    </w:p>
    <w:p w14:paraId="6773983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（5）响应</w:t>
      </w:r>
      <w:r>
        <w:rPr>
          <w:rFonts w:hint="eastAsia" w:ascii="宋体" w:hAnsi="宋体" w:eastAsia="宋体" w:cs="宋体"/>
          <w:color w:val="auto"/>
          <w:sz w:val="24"/>
          <w:szCs w:val="24"/>
          <w:highlight w:val="none"/>
          <w:lang w:val="zh-CN"/>
        </w:rPr>
        <w:t>文件的关键内容字迹模糊、无法辨认的；</w:t>
      </w:r>
    </w:p>
    <w:p w14:paraId="1BFD3A1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（6）供应商</w:t>
      </w:r>
      <w:r>
        <w:rPr>
          <w:rFonts w:hint="eastAsia" w:ascii="宋体" w:hAnsi="宋体" w:eastAsia="宋体" w:cs="宋体"/>
          <w:color w:val="auto"/>
          <w:sz w:val="24"/>
          <w:szCs w:val="24"/>
          <w:highlight w:val="none"/>
          <w:lang w:val="zh-CN"/>
        </w:rPr>
        <w:t>资质的有效性或符合性不符合要求的</w:t>
      </w:r>
    </w:p>
    <w:p w14:paraId="109D260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（7）供应商</w:t>
      </w:r>
      <w:r>
        <w:rPr>
          <w:rFonts w:hint="eastAsia" w:ascii="宋体" w:hAnsi="宋体" w:eastAsia="宋体" w:cs="宋体"/>
          <w:color w:val="auto"/>
          <w:sz w:val="24"/>
          <w:szCs w:val="24"/>
          <w:highlight w:val="none"/>
          <w:lang w:val="zh-CN"/>
        </w:rPr>
        <w:t>针对同一项目递交两份或多份内容不同的</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val="zh-CN"/>
        </w:rPr>
        <w:t>文件，未书面声明哪一份是有效的或出现选择性报价的；</w:t>
      </w:r>
    </w:p>
    <w:p w14:paraId="48F94C4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（8）供应商</w:t>
      </w:r>
      <w:r>
        <w:rPr>
          <w:rFonts w:hint="eastAsia" w:ascii="宋体" w:hAnsi="宋体" w:eastAsia="宋体" w:cs="宋体"/>
          <w:color w:val="auto"/>
          <w:sz w:val="24"/>
          <w:szCs w:val="24"/>
          <w:highlight w:val="none"/>
          <w:lang w:val="zh-CN"/>
        </w:rPr>
        <w:t>的报价明显低于其他通过符合性审查</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zh-CN"/>
        </w:rPr>
        <w:t>的报价，有可能影响服务质量或者不能诚信履约的，不能按照</w:t>
      </w:r>
      <w:r>
        <w:rPr>
          <w:rFonts w:hint="eastAsia" w:ascii="宋体" w:hAnsi="宋体" w:eastAsia="宋体" w:cs="宋体"/>
          <w:color w:val="auto"/>
          <w:sz w:val="24"/>
          <w:szCs w:val="24"/>
          <w:highlight w:val="none"/>
          <w:lang w:val="en-US" w:eastAsia="zh-CN"/>
        </w:rPr>
        <w:t>磋商小组</w:t>
      </w:r>
      <w:r>
        <w:rPr>
          <w:rFonts w:hint="eastAsia" w:ascii="宋体" w:hAnsi="宋体" w:eastAsia="宋体" w:cs="宋体"/>
          <w:color w:val="auto"/>
          <w:sz w:val="24"/>
          <w:szCs w:val="24"/>
          <w:highlight w:val="none"/>
          <w:lang w:val="zh-CN"/>
        </w:rPr>
        <w:t>要求在</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现场合理的时间内提供书面说明及相关证明材料且证明其报价合理性的；</w:t>
      </w:r>
    </w:p>
    <w:p w14:paraId="78FC516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（9）磋商</w:t>
      </w:r>
      <w:r>
        <w:rPr>
          <w:rFonts w:hint="eastAsia" w:ascii="宋体" w:hAnsi="宋体" w:eastAsia="宋体" w:cs="宋体"/>
          <w:color w:val="auto"/>
          <w:sz w:val="24"/>
          <w:szCs w:val="24"/>
          <w:highlight w:val="none"/>
          <w:lang w:val="zh-CN"/>
        </w:rPr>
        <w:t>报价出现漏项或服务方案内容未实质响应</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文件要求的；</w:t>
      </w:r>
    </w:p>
    <w:p w14:paraId="3A807AD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（10）响应</w:t>
      </w:r>
      <w:r>
        <w:rPr>
          <w:rFonts w:hint="eastAsia" w:ascii="宋体" w:hAnsi="宋体" w:eastAsia="宋体" w:cs="宋体"/>
          <w:color w:val="auto"/>
          <w:sz w:val="24"/>
          <w:szCs w:val="24"/>
          <w:highlight w:val="none"/>
          <w:lang w:val="zh-CN"/>
        </w:rPr>
        <w:t>文件在商务响应方面（付款方式、服务期限限等）与</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文件要求不一致或附加了采购单位难以接受的条件或条款的；</w:t>
      </w:r>
    </w:p>
    <w:p w14:paraId="26F8B2A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lang w:val="zh-CN"/>
        </w:rPr>
        <w:t>如澄清、补正、说明的内容与</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val="zh-CN"/>
        </w:rPr>
        <w:t>文件内容有重大相悖或矛盾，将被认定为无效</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w:t>
      </w:r>
    </w:p>
    <w:p w14:paraId="3DB5B4C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val="zh-CN"/>
        </w:rPr>
        <w:t>提供虚假证明，开具虚假资质，出现虚假应答；</w:t>
      </w:r>
    </w:p>
    <w:p w14:paraId="16E4B90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（13）供应商</w:t>
      </w:r>
      <w:r>
        <w:rPr>
          <w:rFonts w:hint="eastAsia" w:ascii="宋体" w:hAnsi="宋体" w:eastAsia="宋体" w:cs="宋体"/>
          <w:color w:val="auto"/>
          <w:sz w:val="24"/>
          <w:szCs w:val="24"/>
          <w:highlight w:val="none"/>
          <w:lang w:val="zh-CN"/>
        </w:rPr>
        <w:t>有违法违规行为的；</w:t>
      </w:r>
    </w:p>
    <w:p w14:paraId="5C50F86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lang w:val="zh-CN"/>
        </w:rPr>
        <w:t>其他法律法规规定的情况。</w:t>
      </w:r>
    </w:p>
    <w:p w14:paraId="6BC3CF30">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2</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zh-CN"/>
        </w:rPr>
        <w:t>特殊情况的处理</w:t>
      </w:r>
    </w:p>
    <w:p w14:paraId="53F94D2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在磋商文件及程序符合法律规定的前提下，递交磋商响应文件或对磋商文件做出实质响应的供应商少于3家时，采购人或者采购代理机构应当终止竞争性磋商采购活动，发布项目终止公告并说明原因，重新开展采购活动。</w:t>
      </w:r>
    </w:p>
    <w:p w14:paraId="2B24282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若二次磋商后，采购过程中符合要求的供应商只有2家的，竞争性磋商采购活动可以继续进行。采购过程中符合要求的供应商只有1家的，采购人或者采购代理机构应当终止竞争性磋商活动，发布项目终止公告并说明原因，重新开展采购活动。</w:t>
      </w:r>
    </w:p>
    <w:p w14:paraId="4E310038">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zh-CN"/>
        </w:rPr>
        <w:t>评审过程保密</w:t>
      </w:r>
    </w:p>
    <w:p w14:paraId="4A28AA1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.1从磋商之日到确定成交单位止，磋商小组成员不得向供应商或其他无关人员透露有关审查、澄清、评价等情况。</w:t>
      </w:r>
    </w:p>
    <w:p w14:paraId="70D9336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.2磋商小组与评审有关的人员应当对评审情况和评审过程中获悉的国家秘密、商业秘密予以保密。</w:t>
      </w:r>
    </w:p>
    <w:p w14:paraId="3E753F8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.3任何人员如发生泄密现象，将承担相应的法律责任。</w:t>
      </w:r>
    </w:p>
    <w:p w14:paraId="3A9D3B5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.4 供应商企图影响采购人的任何行为，将导致该供应商被拒绝，并承担相应的法律责任。</w:t>
      </w:r>
    </w:p>
    <w:p w14:paraId="44EB8868">
      <w:pPr>
        <w:pStyle w:val="4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auto"/>
          <w:sz w:val="28"/>
          <w:szCs w:val="28"/>
          <w:highlight w:val="none"/>
          <w:lang w:val="zh-CN" w:eastAsia="zh-CN"/>
        </w:rPr>
      </w:pPr>
      <w:r>
        <w:rPr>
          <w:rFonts w:hint="eastAsia" w:ascii="宋体" w:hAnsi="宋体" w:eastAsia="宋体" w:cs="宋体"/>
          <w:b/>
          <w:color w:val="auto"/>
          <w:sz w:val="28"/>
          <w:szCs w:val="28"/>
          <w:highlight w:val="none"/>
          <w:lang w:val="en-US" w:eastAsia="zh-CN"/>
        </w:rPr>
        <w:t>F</w:t>
      </w:r>
      <w:r>
        <w:rPr>
          <w:rFonts w:hint="eastAsia" w:ascii="宋体" w:hAnsi="宋体" w:eastAsia="宋体" w:cs="宋体"/>
          <w:b/>
          <w:color w:val="auto"/>
          <w:sz w:val="28"/>
          <w:szCs w:val="28"/>
          <w:highlight w:val="none"/>
          <w:lang w:val="zh-CN" w:eastAsia="zh-CN"/>
        </w:rPr>
        <w:t>、确定成交</w:t>
      </w:r>
    </w:p>
    <w:p w14:paraId="474F9F9A">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en-US" w:eastAsia="zh-CN"/>
        </w:rPr>
        <w:t>28</w:t>
      </w:r>
      <w:r>
        <w:rPr>
          <w:rFonts w:hint="eastAsia" w:ascii="宋体" w:hAnsi="宋体" w:eastAsia="宋体" w:cs="宋体"/>
          <w:b/>
          <w:bCs/>
          <w:color w:val="auto"/>
          <w:sz w:val="24"/>
          <w:szCs w:val="24"/>
          <w:highlight w:val="none"/>
          <w:lang w:val="zh-CN"/>
        </w:rPr>
        <w:t>.定标</w:t>
      </w:r>
    </w:p>
    <w:p w14:paraId="2AAF3AF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lang w:val="zh-CN"/>
        </w:rPr>
        <w:t>.1采购代理机构应当在评审结束后</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zh-CN"/>
        </w:rPr>
        <w:t>个工作日内将评审报告送采购人。采购人应当自收到评审报告之日起</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rPr>
        <w:t>个工作日内，在评审报告确定的成交候选人名单中按顺序确定成交单位。成交候选人并列的，由采购人或者采购人委托磋商小组按照竞争性磋商文件规定的方式确定成交单位；竞争性磋商文件未规定的，采取随机抽取的方式确定。</w:t>
      </w:r>
    </w:p>
    <w:p w14:paraId="2287BD9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lang w:val="zh-CN"/>
        </w:rPr>
        <w:t>.2采购人在收到评审报告</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rPr>
        <w:t>个工作日内未按评审报告推荐的成交候选人顺序确定成交单位，又不能说明合法理由的，视同按评审报告推荐的顺序确定排名第一的成交候选人为成交单位。</w:t>
      </w:r>
    </w:p>
    <w:p w14:paraId="335EC975">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en-US" w:eastAsia="zh-CN"/>
        </w:rPr>
        <w:t>29</w:t>
      </w:r>
      <w:r>
        <w:rPr>
          <w:rFonts w:hint="eastAsia" w:ascii="宋体" w:hAnsi="宋体" w:eastAsia="宋体" w:cs="宋体"/>
          <w:b/>
          <w:bCs/>
          <w:color w:val="auto"/>
          <w:sz w:val="24"/>
          <w:szCs w:val="24"/>
          <w:highlight w:val="none"/>
          <w:lang w:val="zh-CN"/>
        </w:rPr>
        <w:t>.成交公告</w:t>
      </w:r>
    </w:p>
    <w:p w14:paraId="6A7DFFA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lang w:val="zh-CN"/>
        </w:rPr>
        <w:t>.1成交公告内容应当包括采购人和采购代理机构的名称、地址、联系方式，项目名称和项目编号，</w:t>
      </w: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lang w:val="zh-CN"/>
        </w:rPr>
        <w:t>成交单位名称、地址和成交金额，主要成交标的的名称以及磋商小组成员等相关信息。</w:t>
      </w:r>
    </w:p>
    <w:p w14:paraId="217A389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lang w:val="zh-CN"/>
        </w:rPr>
        <w:t>.2供应商对成交公告有异议的，按照《中华人民共和国政府采购法》第五十二条之有关规定执行。提出质疑的供应商应当有明确的请求和必要的证明材料，应保证提出的质疑内容及相应证明材料的真实性及来源的合法性，并承担相应的法律责任。</w:t>
      </w:r>
    </w:p>
    <w:p w14:paraId="242160E3">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en-US" w:eastAsia="zh-CN"/>
        </w:rPr>
        <w:t>30</w:t>
      </w:r>
      <w:r>
        <w:rPr>
          <w:rFonts w:hint="eastAsia" w:ascii="宋体" w:hAnsi="宋体" w:eastAsia="宋体" w:cs="宋体"/>
          <w:b/>
          <w:bCs/>
          <w:color w:val="auto"/>
          <w:sz w:val="24"/>
          <w:szCs w:val="24"/>
          <w:highlight w:val="none"/>
          <w:lang w:val="zh-CN"/>
        </w:rPr>
        <w:t>.成交通知书</w:t>
      </w:r>
    </w:p>
    <w:p w14:paraId="7C6A21D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lang w:val="zh-CN"/>
        </w:rPr>
        <w:t>.1采购代理机构应在成交公告发布的当日向成交单位发放成交通知书。</w:t>
      </w:r>
    </w:p>
    <w:p w14:paraId="4A33408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lang w:val="zh-CN"/>
        </w:rPr>
        <w:t>.2成交通知书将是合同文件的组成部分，对采购人和成交单位具有同等法律效力。成交通知书发出后，采购人改变成交结果，或者成交单位放弃成交，应按相关法规、规章、规范性文件的要求承担相应的法律责任。</w:t>
      </w:r>
    </w:p>
    <w:p w14:paraId="2054113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lang w:val="zh-CN"/>
        </w:rPr>
        <w:t>.3成交单位应当在接到采购代理机构通知之日起7个工作日内，领取成交通知书。</w:t>
      </w:r>
    </w:p>
    <w:p w14:paraId="7A73B1E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lang w:val="zh-CN"/>
        </w:rPr>
        <w:t>.4在成交通知书发出后，发现成交单位有政府采购法律法规规章制度规定的成交无效情形的，采购代理机构在取得有权主体认定后，应当宣布发出的成交通知书无效，并收回发出的成交通知书，同时依法重新确定成交单位或重新开展采购活动。</w:t>
      </w:r>
    </w:p>
    <w:p w14:paraId="4CAD1C9A">
      <w:pPr>
        <w:pStyle w:val="4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color w:val="auto"/>
          <w:sz w:val="28"/>
          <w:szCs w:val="28"/>
          <w:highlight w:val="none"/>
          <w:lang w:val="zh-CN" w:eastAsia="zh-CN"/>
        </w:rPr>
      </w:pPr>
      <w:r>
        <w:rPr>
          <w:rFonts w:hint="eastAsia" w:ascii="宋体" w:hAnsi="宋体" w:eastAsia="宋体" w:cs="宋体"/>
          <w:b/>
          <w:color w:val="auto"/>
          <w:sz w:val="28"/>
          <w:szCs w:val="28"/>
          <w:highlight w:val="none"/>
          <w:lang w:val="en-US" w:eastAsia="zh-CN"/>
        </w:rPr>
        <w:t>G</w:t>
      </w:r>
      <w:r>
        <w:rPr>
          <w:rFonts w:hint="eastAsia" w:ascii="宋体" w:hAnsi="宋体" w:eastAsia="宋体" w:cs="宋体"/>
          <w:b/>
          <w:color w:val="auto"/>
          <w:sz w:val="28"/>
          <w:szCs w:val="28"/>
          <w:highlight w:val="none"/>
          <w:lang w:val="zh-CN" w:eastAsia="zh-CN"/>
        </w:rPr>
        <w:t>、合同授予</w:t>
      </w:r>
    </w:p>
    <w:p w14:paraId="0ED9182C">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en-US" w:eastAsia="zh-CN"/>
        </w:rPr>
        <w:t>31</w:t>
      </w:r>
      <w:r>
        <w:rPr>
          <w:rFonts w:hint="eastAsia" w:ascii="宋体" w:hAnsi="宋体" w:eastAsia="宋体" w:cs="宋体"/>
          <w:b/>
          <w:bCs/>
          <w:color w:val="auto"/>
          <w:sz w:val="24"/>
          <w:szCs w:val="24"/>
          <w:highlight w:val="none"/>
          <w:lang w:val="zh-CN"/>
        </w:rPr>
        <w:t>.合同订立</w:t>
      </w:r>
    </w:p>
    <w:p w14:paraId="49EC816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lang w:val="zh-CN"/>
        </w:rPr>
        <w:t>.1成交单位应在成交通知书发出之日起</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zh-CN"/>
        </w:rPr>
        <w:t>日内与采购人签订采购合同。因成交单位的原因逾期未与采购人签订采购合同的，将视为放弃成交，取消其成交资格。给采购人造成的损失，采购人</w:t>
      </w:r>
      <w:r>
        <w:rPr>
          <w:rFonts w:hint="eastAsia" w:ascii="宋体" w:hAnsi="宋体" w:eastAsia="宋体" w:cs="宋体"/>
          <w:color w:val="auto"/>
          <w:sz w:val="24"/>
          <w:szCs w:val="24"/>
          <w:highlight w:val="none"/>
          <w:lang w:val="en-US" w:eastAsia="zh-CN"/>
        </w:rPr>
        <w:t>有权要求其予以赔偿</w:t>
      </w:r>
      <w:r>
        <w:rPr>
          <w:rFonts w:hint="eastAsia" w:ascii="宋体" w:hAnsi="宋体" w:eastAsia="宋体" w:cs="宋体"/>
          <w:color w:val="auto"/>
          <w:sz w:val="24"/>
          <w:szCs w:val="24"/>
          <w:highlight w:val="none"/>
          <w:lang w:val="zh-CN"/>
        </w:rPr>
        <w:t>。</w:t>
      </w:r>
    </w:p>
    <w:p w14:paraId="08E42E7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lang w:val="zh-CN"/>
        </w:rPr>
        <w:t>.2采购人与成交单位洽谈合同条款及所签订的合同不得对竞争性磋商文件和成交单位竞争性磋商响应文件作实质性修改。竞争性磋商文件、成交单位的竞争性磋商响应文件及评审过程中有关澄清文件均应作为合同附件，并与合同具有相同的法律效力。</w:t>
      </w:r>
    </w:p>
    <w:p w14:paraId="1BBA6F9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lang w:val="zh-CN"/>
        </w:rPr>
        <w:t>.3成交单位因不可抗力不能履行采购合同或放弃成交的，采购人可以按照评审报告推荐的成交候选人名单排序，顺延下一候选人为成交单位，也可以重新开展政府采购活动。</w:t>
      </w:r>
    </w:p>
    <w:p w14:paraId="757CBEF1">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en-US" w:eastAsia="zh-CN"/>
        </w:rPr>
        <w:t>32</w:t>
      </w:r>
      <w:r>
        <w:rPr>
          <w:rFonts w:hint="eastAsia" w:ascii="宋体" w:hAnsi="宋体" w:eastAsia="宋体" w:cs="宋体"/>
          <w:b/>
          <w:bCs/>
          <w:color w:val="auto"/>
          <w:sz w:val="24"/>
          <w:szCs w:val="24"/>
          <w:highlight w:val="none"/>
          <w:lang w:val="zh-CN"/>
        </w:rPr>
        <w:t>.合同履行</w:t>
      </w:r>
    </w:p>
    <w:p w14:paraId="221E38C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lang w:val="zh-CN"/>
        </w:rPr>
        <w:t>.1政府采购合同订立后，合同各方不得擅自变更、中止或终止合同。政府采购合同需要变更的，采购人应将有关合同变更内容，以书面形式报政府采购监督管理部门备案。因特殊情况需要中止或终止合同的，采购人应将中止或终止合同的原因以及相应措施，以书面形式报政府采购监督管理部门备案。</w:t>
      </w:r>
    </w:p>
    <w:p w14:paraId="0CB38EF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lang w:val="zh-CN"/>
        </w:rPr>
        <w:t>.2政府采购合同签订后，合同双方当事人应当按照合同规定履行义务。未经采购人同意，成交单位不得向他人转让成交项目。</w:t>
      </w:r>
    </w:p>
    <w:p w14:paraId="756BD73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lang w:val="zh-CN"/>
        </w:rPr>
        <w:t>.3政府采购合同履行中，采购人需追加与合同标的相同的服务或货物的，在不改变合同其他条款的前提下，可以与成交单位签订补充合同，但补充合同的采购金额不得超过原合同金额的10%。签订补充合同的应按规定备案。</w:t>
      </w:r>
    </w:p>
    <w:p w14:paraId="5B91C9CD">
      <w:pPr>
        <w:pStyle w:val="42"/>
        <w:keepNext w:val="0"/>
        <w:keepLines w:val="0"/>
        <w:pageBreakBefore w:val="0"/>
        <w:kinsoku/>
        <w:wordWrap/>
        <w:overflowPunct/>
        <w:topLinePunct w:val="0"/>
        <w:autoSpaceDE/>
        <w:autoSpaceDN/>
        <w:bidi w:val="0"/>
        <w:adjustRightInd/>
        <w:snapToGrid/>
        <w:spacing w:line="360" w:lineRule="auto"/>
        <w:ind w:firstLine="313" w:firstLineChars="130"/>
        <w:jc w:val="center"/>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en-US" w:eastAsia="zh-CN"/>
        </w:rPr>
        <w:t>G</w:t>
      </w:r>
      <w:r>
        <w:rPr>
          <w:rFonts w:hint="eastAsia" w:ascii="宋体" w:hAnsi="宋体" w:eastAsia="宋体" w:cs="宋体"/>
          <w:b/>
          <w:color w:val="auto"/>
          <w:sz w:val="24"/>
          <w:szCs w:val="24"/>
          <w:highlight w:val="none"/>
          <w:lang w:val="zh-CN"/>
        </w:rPr>
        <w:t>、采购代理服务费</w:t>
      </w:r>
    </w:p>
    <w:p w14:paraId="78A521E3">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en-US" w:eastAsia="zh-CN"/>
        </w:rPr>
        <w:t>33</w:t>
      </w:r>
      <w:r>
        <w:rPr>
          <w:rFonts w:hint="eastAsia" w:ascii="宋体" w:hAnsi="宋体" w:eastAsia="宋体" w:cs="宋体"/>
          <w:b/>
          <w:bCs/>
          <w:color w:val="auto"/>
          <w:sz w:val="24"/>
          <w:szCs w:val="24"/>
          <w:highlight w:val="none"/>
          <w:lang w:val="zh-CN"/>
        </w:rPr>
        <w:t>.成交</w:t>
      </w:r>
      <w:r>
        <w:rPr>
          <w:rFonts w:hint="eastAsia" w:ascii="宋体" w:hAnsi="宋体" w:cs="宋体"/>
          <w:b/>
          <w:bCs/>
          <w:color w:val="auto"/>
          <w:sz w:val="24"/>
          <w:szCs w:val="24"/>
          <w:highlight w:val="none"/>
          <w:lang w:val="en-US" w:eastAsia="zh-CN"/>
        </w:rPr>
        <w:t>代理</w:t>
      </w:r>
      <w:r>
        <w:rPr>
          <w:rFonts w:hint="eastAsia" w:ascii="宋体" w:hAnsi="宋体" w:eastAsia="宋体" w:cs="宋体"/>
          <w:b/>
          <w:bCs/>
          <w:color w:val="auto"/>
          <w:sz w:val="24"/>
          <w:szCs w:val="24"/>
          <w:highlight w:val="none"/>
          <w:lang w:val="zh-CN"/>
        </w:rPr>
        <w:t>服务费</w:t>
      </w:r>
    </w:p>
    <w:p w14:paraId="56B331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33.1</w:t>
      </w:r>
      <w:r>
        <w:rPr>
          <w:rFonts w:hint="eastAsia" w:ascii="宋体" w:hAnsi="宋体" w:eastAsia="宋体" w:cs="宋体"/>
          <w:color w:val="auto"/>
          <w:sz w:val="24"/>
          <w:szCs w:val="24"/>
          <w:highlight w:val="none"/>
          <w:lang w:val="en-US" w:eastAsia="zh-CN"/>
        </w:rPr>
        <w:t>本项目代理服务费参照国家计委颁布的《招标代理服务收费管理暂行办法》（计价格[2002]1980号）中的收费标准计取，成交供应商在领取成交通知书前一次性支付。</w:t>
      </w:r>
    </w:p>
    <w:p w14:paraId="3403CD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33.2</w:t>
      </w:r>
      <w:r>
        <w:rPr>
          <w:rFonts w:hint="eastAsia" w:ascii="宋体" w:hAnsi="宋体" w:eastAsia="宋体" w:cs="宋体"/>
          <w:color w:val="auto"/>
          <w:sz w:val="24"/>
          <w:szCs w:val="24"/>
          <w:highlight w:val="none"/>
          <w:lang w:val="en-US" w:eastAsia="zh-CN"/>
        </w:rPr>
        <w:t>缴费账户信息</w:t>
      </w:r>
    </w:p>
    <w:p w14:paraId="3CAA43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名称:亿诚建设项目管理有限公司</w:t>
      </w:r>
    </w:p>
    <w:p w14:paraId="2930B5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纳税人识别号:916100007979068451</w:t>
      </w:r>
    </w:p>
    <w:p w14:paraId="14386E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地址:陕西省西安市高新区丈八五路高科尚都ONE尚城A座10F</w:t>
      </w:r>
    </w:p>
    <w:p w14:paraId="68CDEA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电话:029-68688088</w:t>
      </w:r>
    </w:p>
    <w:p w14:paraId="5B3799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开户行:中国民生银行西安吉祥路支行</w:t>
      </w:r>
    </w:p>
    <w:p w14:paraId="1490BA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账号:699295538</w:t>
      </w:r>
    </w:p>
    <w:p w14:paraId="49FF31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行号:305791012112</w:t>
      </w:r>
    </w:p>
    <w:p w14:paraId="0BB38802">
      <w:pPr>
        <w:pStyle w:val="42"/>
        <w:keepNext w:val="0"/>
        <w:keepLines w:val="0"/>
        <w:pageBreakBefore w:val="0"/>
        <w:widowControl w:val="0"/>
        <w:kinsoku/>
        <w:wordWrap/>
        <w:overflowPunct/>
        <w:topLinePunct w:val="0"/>
        <w:autoSpaceDE/>
        <w:autoSpaceDN/>
        <w:bidi w:val="0"/>
        <w:adjustRightInd/>
        <w:snapToGrid/>
        <w:spacing w:line="360" w:lineRule="auto"/>
        <w:ind w:firstLine="313" w:firstLineChars="130"/>
        <w:jc w:val="center"/>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en-US" w:eastAsia="zh-CN"/>
        </w:rPr>
        <w:t>H</w:t>
      </w:r>
      <w:r>
        <w:rPr>
          <w:rFonts w:hint="eastAsia" w:ascii="宋体" w:hAnsi="宋体" w:eastAsia="宋体" w:cs="宋体"/>
          <w:b/>
          <w:color w:val="auto"/>
          <w:sz w:val="24"/>
          <w:szCs w:val="24"/>
          <w:highlight w:val="none"/>
          <w:lang w:val="zh-CN"/>
        </w:rPr>
        <w:t>、其他</w:t>
      </w:r>
    </w:p>
    <w:p w14:paraId="3C8F629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en-US" w:eastAsia="zh-CN"/>
        </w:rPr>
        <w:t>34</w:t>
      </w:r>
      <w:r>
        <w:rPr>
          <w:rFonts w:hint="eastAsia" w:ascii="宋体" w:hAnsi="宋体" w:eastAsia="宋体" w:cs="宋体"/>
          <w:b/>
          <w:bCs/>
          <w:color w:val="auto"/>
          <w:sz w:val="24"/>
          <w:szCs w:val="24"/>
          <w:highlight w:val="none"/>
          <w:lang w:val="zh-CN"/>
        </w:rPr>
        <w:t>、需要落实的政府采购政策</w:t>
      </w:r>
    </w:p>
    <w:p w14:paraId="2C844C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rPr>
        <w:t>.1中小企业政策</w:t>
      </w:r>
    </w:p>
    <w:p w14:paraId="61A356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小、微</w:t>
      </w:r>
      <w:r>
        <w:rPr>
          <w:rFonts w:hint="eastAsia" w:ascii="宋体" w:hAnsi="宋体" w:eastAsia="宋体" w:cs="宋体"/>
          <w:color w:val="auto"/>
          <w:sz w:val="24"/>
          <w:szCs w:val="24"/>
          <w:highlight w:val="none"/>
          <w:lang w:val="zh-CN"/>
        </w:rPr>
        <w:t>企业政策</w:t>
      </w:r>
    </w:p>
    <w:p w14:paraId="41EE48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zh-CN"/>
        </w:rPr>
        <w:t>①</w:t>
      </w:r>
      <w:r>
        <w:rPr>
          <w:rFonts w:hint="eastAsia" w:ascii="宋体" w:hAnsi="宋体" w:eastAsia="宋体" w:cs="宋体"/>
          <w:bCs/>
          <w:color w:val="auto"/>
          <w:sz w:val="24"/>
          <w:szCs w:val="24"/>
          <w:highlight w:val="none"/>
          <w:lang w:val="en-US" w:eastAsia="zh-CN"/>
        </w:rPr>
        <w:t>根据《政府采购促进中小企业发展管理办法》（财库〔2020〕46号）</w:t>
      </w:r>
    </w:p>
    <w:p w14:paraId="2CDC41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en-US" w:eastAsia="zh-CN"/>
        </w:rPr>
        <w:t>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则参与政府采购活动时，货物和服务项目对小型和微型企业产品的价格给予 6%-10%的价格扣除，工程项目给予3%-5%的价格扣除，用扣除后的价格参与评审。</w:t>
      </w:r>
    </w:p>
    <w:p w14:paraId="39F06F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在货物采购项目中，供应商提供的货物既有中小企业制造货物，也有大型企业制造货物的，不享受政府采购价格扣除优惠政策。</w:t>
      </w:r>
    </w:p>
    <w:p w14:paraId="5DF9B7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接受大中型企业与小微企业组成联合体或者允许大中型企业向一家或者多家小微企业分包的采购项目，对于联合协议或者分包意向协议约定小微企业的合同份额占到合同总金额 30%以上的，货物和服务项目可给予联合体或者大中型企业的报价 2%-3%的扣除，工程项目为 1%-2%的扣除。联合体各方均为小型、微型企业的，联合体视同为小型、微型企业。组成联合体或者接受分包的小微企业与联合体内其他企业、分包企业之间存在直接控股、管理关系的，不享受价格扣除优惠政策。</w:t>
      </w:r>
    </w:p>
    <w:p w14:paraId="3683D2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zh-CN"/>
        </w:rPr>
        <w:t>②</w:t>
      </w:r>
      <w:r>
        <w:rPr>
          <w:rFonts w:hint="eastAsia" w:ascii="宋体" w:hAnsi="宋体" w:eastAsia="宋体" w:cs="宋体"/>
          <w:bCs/>
          <w:color w:val="auto"/>
          <w:sz w:val="24"/>
          <w:szCs w:val="24"/>
          <w:highlight w:val="none"/>
          <w:lang w:val="en-US" w:eastAsia="zh-CN"/>
        </w:rPr>
        <w:t>根据《关于进一步加大政府采购支持中小企业力度的通知》（财库〔2022〕19 号）的有关规定，货物服务采购项目给予小微企业的价格扣除优惠，由财库〔2020〕46 号文件规定的 6%—10%提高至10%—20%。大中型企业与小微企业组成联合体或者大中型企业向小微企业分包的，评审优惠幅度由2%—3%提高至 4%—6%。2022年下半年面向中小企业的预留份额由30%以上阶段性提高至40%以上。</w:t>
      </w:r>
    </w:p>
    <w:p w14:paraId="16F621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③</w:t>
      </w:r>
      <w:r>
        <w:rPr>
          <w:rFonts w:hint="eastAsia" w:ascii="宋体" w:hAnsi="宋体" w:eastAsia="宋体" w:cs="宋体"/>
          <w:bCs/>
          <w:color w:val="auto"/>
          <w:sz w:val="24"/>
          <w:szCs w:val="24"/>
          <w:highlight w:val="none"/>
          <w:lang w:val="en-US" w:eastAsia="zh-CN"/>
        </w:rPr>
        <w:t>中</w:t>
      </w:r>
      <w:r>
        <w:rPr>
          <w:rFonts w:hint="eastAsia" w:ascii="宋体" w:hAnsi="宋体" w:eastAsia="宋体" w:cs="宋体"/>
          <w:bCs/>
          <w:color w:val="auto"/>
          <w:sz w:val="24"/>
          <w:szCs w:val="24"/>
          <w:highlight w:val="none"/>
          <w:lang w:val="zh-CN"/>
        </w:rPr>
        <w:t>小微企业按《工业和信息化部、国家统计局、国家发展和改革委员会、财政部关于印发&lt;中小企业划型标准规定&gt;的通知》（工信部联企业【2011】300号）文件规定标准确认。</w:t>
      </w:r>
    </w:p>
    <w:p w14:paraId="626DEA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④中小企业参加政府采购活动</w:t>
      </w:r>
      <w:r>
        <w:rPr>
          <w:rFonts w:hint="eastAsia" w:ascii="宋体" w:hAnsi="宋体" w:eastAsia="宋体" w:cs="宋体"/>
          <w:bCs/>
          <w:color w:val="auto"/>
          <w:sz w:val="24"/>
          <w:szCs w:val="24"/>
          <w:highlight w:val="none"/>
          <w:lang w:val="en-US" w:eastAsia="zh-CN"/>
        </w:rPr>
        <w:t>应当</w:t>
      </w:r>
      <w:r>
        <w:rPr>
          <w:rFonts w:hint="eastAsia" w:ascii="宋体" w:hAnsi="宋体" w:eastAsia="宋体" w:cs="宋体"/>
          <w:bCs/>
          <w:color w:val="auto"/>
          <w:sz w:val="24"/>
          <w:szCs w:val="24"/>
          <w:highlight w:val="none"/>
          <w:lang w:val="zh-CN"/>
        </w:rPr>
        <w:t>提供《中小企业声明函》。</w:t>
      </w:r>
    </w:p>
    <w:p w14:paraId="123446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en-US" w:eastAsia="zh-CN"/>
        </w:rPr>
        <w:t>供应商</w:t>
      </w:r>
      <w:r>
        <w:rPr>
          <w:rFonts w:hint="eastAsia" w:ascii="宋体" w:hAnsi="宋体" w:eastAsia="宋体" w:cs="宋体"/>
          <w:bCs/>
          <w:color w:val="auto"/>
          <w:sz w:val="24"/>
          <w:szCs w:val="24"/>
          <w:highlight w:val="none"/>
          <w:lang w:val="zh-CN"/>
        </w:rPr>
        <w:t>未提供《中小企业声明函》或</w:t>
      </w:r>
      <w:r>
        <w:rPr>
          <w:rFonts w:hint="eastAsia" w:ascii="宋体" w:hAnsi="宋体" w:eastAsia="宋体" w:cs="宋体"/>
          <w:bCs/>
          <w:color w:val="auto"/>
          <w:sz w:val="24"/>
          <w:szCs w:val="24"/>
          <w:highlight w:val="none"/>
          <w:lang w:val="en-US" w:eastAsia="zh-CN"/>
        </w:rPr>
        <w:t>声明函</w:t>
      </w:r>
      <w:r>
        <w:rPr>
          <w:rFonts w:hint="eastAsia" w:ascii="宋体" w:hAnsi="宋体" w:eastAsia="宋体" w:cs="宋体"/>
          <w:bCs/>
          <w:color w:val="auto"/>
          <w:sz w:val="24"/>
          <w:szCs w:val="24"/>
          <w:highlight w:val="none"/>
          <w:lang w:val="zh-CN"/>
        </w:rPr>
        <w:t>有瑕疵的，在评审时不享受政府采购优惠政策。</w:t>
      </w:r>
    </w:p>
    <w:p w14:paraId="5E3E39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en-US" w:eastAsia="zh-CN"/>
        </w:rPr>
        <w:t>供应商应对其</w:t>
      </w:r>
      <w:r>
        <w:rPr>
          <w:rFonts w:hint="eastAsia" w:ascii="宋体" w:hAnsi="宋体" w:eastAsia="宋体" w:cs="宋体"/>
          <w:bCs/>
          <w:color w:val="auto"/>
          <w:sz w:val="24"/>
          <w:szCs w:val="24"/>
          <w:highlight w:val="none"/>
          <w:lang w:val="zh-CN"/>
        </w:rPr>
        <w:t>《中小企业声明函》</w:t>
      </w:r>
      <w:r>
        <w:rPr>
          <w:rFonts w:hint="eastAsia" w:ascii="宋体" w:hAnsi="宋体" w:eastAsia="宋体" w:cs="宋体"/>
          <w:bCs/>
          <w:color w:val="auto"/>
          <w:sz w:val="24"/>
          <w:szCs w:val="24"/>
          <w:highlight w:val="none"/>
          <w:lang w:val="en-US" w:eastAsia="zh-CN"/>
        </w:rPr>
        <w:t>的</w:t>
      </w:r>
      <w:r>
        <w:rPr>
          <w:rFonts w:hint="eastAsia" w:ascii="宋体" w:hAnsi="宋体" w:eastAsia="宋体" w:cs="宋体"/>
          <w:bCs/>
          <w:color w:val="auto"/>
          <w:sz w:val="24"/>
          <w:szCs w:val="24"/>
          <w:highlight w:val="none"/>
          <w:lang w:val="zh-CN"/>
        </w:rPr>
        <w:t>真实性</w:t>
      </w:r>
      <w:r>
        <w:rPr>
          <w:rFonts w:hint="eastAsia" w:ascii="宋体" w:hAnsi="宋体" w:eastAsia="宋体" w:cs="宋体"/>
          <w:bCs/>
          <w:color w:val="auto"/>
          <w:sz w:val="24"/>
          <w:szCs w:val="24"/>
          <w:highlight w:val="none"/>
          <w:lang w:val="en-US" w:eastAsia="zh-CN"/>
        </w:rPr>
        <w:t>负责，</w:t>
      </w:r>
      <w:r>
        <w:rPr>
          <w:rFonts w:hint="eastAsia" w:ascii="宋体" w:hAnsi="宋体" w:eastAsia="宋体" w:cs="宋体"/>
          <w:bCs/>
          <w:color w:val="auto"/>
          <w:sz w:val="24"/>
          <w:szCs w:val="24"/>
          <w:highlight w:val="none"/>
          <w:lang w:val="zh-CN"/>
        </w:rPr>
        <w:t>如存在虚假应标，将取消其</w:t>
      </w:r>
      <w:r>
        <w:rPr>
          <w:rFonts w:hint="eastAsia" w:ascii="宋体" w:hAnsi="宋体" w:eastAsia="宋体" w:cs="宋体"/>
          <w:bCs/>
          <w:color w:val="auto"/>
          <w:sz w:val="24"/>
          <w:szCs w:val="24"/>
          <w:highlight w:val="none"/>
          <w:lang w:val="en-US" w:eastAsia="zh-CN"/>
        </w:rPr>
        <w:t>采购</w:t>
      </w:r>
      <w:r>
        <w:rPr>
          <w:rFonts w:hint="eastAsia" w:ascii="宋体" w:hAnsi="宋体" w:eastAsia="宋体" w:cs="宋体"/>
          <w:bCs/>
          <w:color w:val="auto"/>
          <w:sz w:val="24"/>
          <w:szCs w:val="24"/>
          <w:highlight w:val="none"/>
          <w:lang w:val="zh-CN"/>
        </w:rPr>
        <w:t>资格</w:t>
      </w:r>
      <w:r>
        <w:rPr>
          <w:rFonts w:hint="eastAsia" w:ascii="宋体" w:hAnsi="宋体" w:eastAsia="宋体" w:cs="宋体"/>
          <w:bCs/>
          <w:color w:val="auto"/>
          <w:sz w:val="24"/>
          <w:szCs w:val="24"/>
          <w:highlight w:val="none"/>
          <w:lang w:val="zh-CN" w:eastAsia="zh-CN"/>
        </w:rPr>
        <w:t>。</w:t>
      </w:r>
    </w:p>
    <w:p w14:paraId="130C09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rPr>
        <w:t>）监狱企业政策</w:t>
      </w:r>
    </w:p>
    <w:p w14:paraId="3C9A51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根据《关于政府采购支持监狱企业发展有关问题的通知》（财库（2014）68号）规定，在政府采购活动中，</w:t>
      </w:r>
      <w:r>
        <w:rPr>
          <w:rFonts w:hint="eastAsia" w:ascii="宋体" w:hAnsi="宋体" w:eastAsia="宋体" w:cs="宋体"/>
          <w:color w:val="auto"/>
          <w:sz w:val="24"/>
          <w:szCs w:val="24"/>
          <w:highlight w:val="none"/>
          <w:lang w:val="en-US" w:eastAsia="zh-CN"/>
        </w:rPr>
        <w:t>监狱企业</w:t>
      </w:r>
      <w:r>
        <w:rPr>
          <w:rFonts w:hint="eastAsia" w:ascii="宋体" w:hAnsi="宋体" w:eastAsia="宋体" w:cs="宋体"/>
          <w:color w:val="auto"/>
          <w:sz w:val="24"/>
          <w:szCs w:val="24"/>
          <w:highlight w:val="none"/>
          <w:lang w:val="zh-CN"/>
        </w:rPr>
        <w:t>视同小型、微型企业，享受预留份额、评审中价格扣除等促进中小企业发展的政府采购政策。</w:t>
      </w:r>
    </w:p>
    <w:p w14:paraId="384A3E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监狱企业参加政府采购活动时，应当提供《监狱企业声明函》，</w:t>
      </w:r>
      <w:r>
        <w:rPr>
          <w:rFonts w:hint="eastAsia" w:ascii="宋体" w:hAnsi="宋体" w:eastAsia="宋体" w:cs="宋体"/>
          <w:color w:val="auto"/>
          <w:sz w:val="24"/>
          <w:szCs w:val="24"/>
          <w:highlight w:val="none"/>
          <w:lang w:val="en-US" w:eastAsia="zh-CN"/>
        </w:rPr>
        <w:t>同时出具</w:t>
      </w:r>
      <w:r>
        <w:rPr>
          <w:rFonts w:hint="eastAsia" w:ascii="宋体" w:hAnsi="宋体" w:eastAsia="宋体" w:cs="宋体"/>
          <w:color w:val="auto"/>
          <w:sz w:val="24"/>
          <w:szCs w:val="24"/>
          <w:highlight w:val="none"/>
          <w:lang w:val="zh-CN"/>
        </w:rPr>
        <w:t>由省级以上监狱管理局、戒毒管理局（含新疆生产建设兵团）出具的属于监狱企业的证明文件。</w:t>
      </w:r>
    </w:p>
    <w:p w14:paraId="1637A4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监狱企业未提供</w:t>
      </w:r>
      <w:r>
        <w:rPr>
          <w:rFonts w:hint="eastAsia" w:ascii="宋体" w:hAnsi="宋体" w:eastAsia="宋体" w:cs="宋体"/>
          <w:color w:val="auto"/>
          <w:sz w:val="24"/>
          <w:szCs w:val="24"/>
          <w:highlight w:val="none"/>
          <w:lang w:val="zh-CN"/>
        </w:rPr>
        <w:t>《监狱企业声明函》</w:t>
      </w:r>
      <w:r>
        <w:rPr>
          <w:rFonts w:hint="eastAsia" w:ascii="宋体" w:hAnsi="宋体" w:eastAsia="宋体" w:cs="宋体"/>
          <w:color w:val="auto"/>
          <w:sz w:val="24"/>
          <w:szCs w:val="24"/>
          <w:highlight w:val="none"/>
          <w:lang w:val="en-US" w:eastAsia="zh-CN"/>
        </w:rPr>
        <w:t>及证明文件或</w:t>
      </w:r>
      <w:r>
        <w:rPr>
          <w:rFonts w:hint="eastAsia" w:ascii="宋体" w:hAnsi="宋体" w:eastAsia="宋体" w:cs="宋体"/>
          <w:bCs/>
          <w:color w:val="auto"/>
          <w:sz w:val="24"/>
          <w:szCs w:val="24"/>
          <w:highlight w:val="none"/>
          <w:lang w:val="en-US" w:eastAsia="zh-CN"/>
        </w:rPr>
        <w:t>声明函及证明文件</w:t>
      </w:r>
      <w:r>
        <w:rPr>
          <w:rFonts w:hint="eastAsia" w:ascii="宋体" w:hAnsi="宋体" w:eastAsia="宋体" w:cs="宋体"/>
          <w:bCs/>
          <w:color w:val="auto"/>
          <w:sz w:val="24"/>
          <w:szCs w:val="24"/>
          <w:highlight w:val="none"/>
          <w:lang w:val="zh-CN"/>
        </w:rPr>
        <w:t>有瑕疵的</w:t>
      </w:r>
      <w:r>
        <w:rPr>
          <w:rFonts w:hint="eastAsia" w:ascii="宋体" w:hAnsi="宋体" w:eastAsia="宋体" w:cs="宋体"/>
          <w:color w:val="auto"/>
          <w:sz w:val="24"/>
          <w:szCs w:val="24"/>
          <w:highlight w:val="none"/>
          <w:lang w:val="zh-CN"/>
        </w:rPr>
        <w:t>的，在评审时不享受政府采购优惠政策。</w:t>
      </w:r>
    </w:p>
    <w:p w14:paraId="140149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监狱企业应对其</w:t>
      </w:r>
      <w:r>
        <w:rPr>
          <w:rFonts w:hint="eastAsia" w:ascii="宋体" w:hAnsi="宋体" w:eastAsia="宋体" w:cs="宋体"/>
          <w:color w:val="auto"/>
          <w:sz w:val="24"/>
          <w:szCs w:val="24"/>
          <w:highlight w:val="none"/>
          <w:lang w:val="zh-CN"/>
        </w:rPr>
        <w:t>《监狱企业声明函》</w:t>
      </w:r>
      <w:r>
        <w:rPr>
          <w:rFonts w:hint="eastAsia" w:ascii="宋体" w:hAnsi="宋体" w:eastAsia="宋体" w:cs="宋体"/>
          <w:color w:val="auto"/>
          <w:sz w:val="24"/>
          <w:szCs w:val="24"/>
          <w:highlight w:val="none"/>
          <w:lang w:val="en-US" w:eastAsia="zh-CN"/>
        </w:rPr>
        <w:t>及证明文件的</w:t>
      </w:r>
      <w:r>
        <w:rPr>
          <w:rFonts w:hint="eastAsia" w:ascii="宋体" w:hAnsi="宋体" w:eastAsia="宋体" w:cs="宋体"/>
          <w:color w:val="auto"/>
          <w:sz w:val="24"/>
          <w:szCs w:val="24"/>
          <w:highlight w:val="none"/>
          <w:lang w:val="zh-CN"/>
        </w:rPr>
        <w:t>真实性</w:t>
      </w:r>
      <w:r>
        <w:rPr>
          <w:rFonts w:hint="eastAsia" w:ascii="宋体" w:hAnsi="宋体" w:eastAsia="宋体" w:cs="宋体"/>
          <w:color w:val="auto"/>
          <w:sz w:val="24"/>
          <w:szCs w:val="24"/>
          <w:highlight w:val="none"/>
          <w:lang w:val="en-US" w:eastAsia="zh-CN"/>
        </w:rPr>
        <w:t>负责，</w:t>
      </w:r>
      <w:r>
        <w:rPr>
          <w:rFonts w:hint="eastAsia" w:ascii="宋体" w:hAnsi="宋体" w:eastAsia="宋体" w:cs="宋体"/>
          <w:color w:val="auto"/>
          <w:sz w:val="24"/>
          <w:szCs w:val="24"/>
          <w:highlight w:val="none"/>
          <w:lang w:val="zh-CN"/>
        </w:rPr>
        <w:t>如存在虚假应标，将取消其</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lang w:val="zh-CN"/>
        </w:rPr>
        <w:t>资格</w:t>
      </w:r>
    </w:p>
    <w:p w14:paraId="5F9FD5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监狱企业</w:t>
      </w:r>
      <w:r>
        <w:rPr>
          <w:rFonts w:hint="eastAsia" w:ascii="宋体" w:hAnsi="宋体" w:eastAsia="宋体" w:cs="宋体"/>
          <w:color w:val="auto"/>
          <w:sz w:val="24"/>
          <w:szCs w:val="24"/>
          <w:highlight w:val="none"/>
          <w:lang w:val="zh-CN"/>
        </w:rPr>
        <w:t>属于小型、微型企业的，不重复享受政策。</w:t>
      </w:r>
    </w:p>
    <w:p w14:paraId="724376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）残疾人福利企业政策</w:t>
      </w:r>
    </w:p>
    <w:p w14:paraId="5D5D63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根据《关于促进残疾人就业政府采购政策的通知》（财库〔2017〕141号）</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lang w:val="zh-CN"/>
        </w:rPr>
        <w:t>《关于政府采购优先购买福利性企业产品和服务的意见》（陕民发〔2015〕1号）规定，在政府采购活动中，残疾人福利企业视同小型、微型企业，享受预留份额、评审中价格扣除等促进中小企业发展的政府采购政策。</w:t>
      </w:r>
    </w:p>
    <w:p w14:paraId="08743F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残疾人</w:t>
      </w:r>
      <w:r>
        <w:rPr>
          <w:rFonts w:hint="eastAsia" w:ascii="宋体" w:hAnsi="宋体" w:eastAsia="宋体" w:cs="宋体"/>
          <w:color w:val="auto"/>
          <w:sz w:val="24"/>
          <w:szCs w:val="24"/>
          <w:highlight w:val="none"/>
          <w:lang w:val="zh-CN"/>
        </w:rPr>
        <w:t>福利企业参加政府采购活动时，应当提供《残疾人福利性单位声明函》。</w:t>
      </w:r>
    </w:p>
    <w:p w14:paraId="6E702B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残疾人</w:t>
      </w:r>
      <w:r>
        <w:rPr>
          <w:rFonts w:hint="eastAsia" w:ascii="宋体" w:hAnsi="宋体" w:eastAsia="宋体" w:cs="宋体"/>
          <w:color w:val="auto"/>
          <w:sz w:val="24"/>
          <w:szCs w:val="24"/>
          <w:highlight w:val="none"/>
          <w:lang w:val="zh-CN"/>
        </w:rPr>
        <w:t>福利企业</w:t>
      </w:r>
      <w:r>
        <w:rPr>
          <w:rFonts w:hint="eastAsia" w:ascii="宋体" w:hAnsi="宋体" w:eastAsia="宋体" w:cs="宋体"/>
          <w:color w:val="auto"/>
          <w:sz w:val="24"/>
          <w:szCs w:val="24"/>
          <w:highlight w:val="none"/>
          <w:lang w:val="en-US" w:eastAsia="zh-CN"/>
        </w:rPr>
        <w:t>未提供</w:t>
      </w:r>
      <w:r>
        <w:rPr>
          <w:rFonts w:hint="eastAsia" w:ascii="宋体" w:hAnsi="宋体" w:eastAsia="宋体" w:cs="宋体"/>
          <w:color w:val="auto"/>
          <w:sz w:val="24"/>
          <w:szCs w:val="24"/>
          <w:highlight w:val="none"/>
          <w:lang w:val="zh-CN"/>
        </w:rPr>
        <w:t>《残疾人福利性单位声明函》</w:t>
      </w:r>
      <w:r>
        <w:rPr>
          <w:rFonts w:hint="eastAsia" w:ascii="宋体" w:hAnsi="宋体" w:eastAsia="宋体" w:cs="宋体"/>
          <w:color w:val="auto"/>
          <w:sz w:val="24"/>
          <w:szCs w:val="24"/>
          <w:highlight w:val="none"/>
          <w:lang w:val="en-US" w:eastAsia="zh-CN"/>
        </w:rPr>
        <w:t>或声明函</w:t>
      </w:r>
      <w:r>
        <w:rPr>
          <w:rFonts w:hint="eastAsia" w:ascii="宋体" w:hAnsi="宋体" w:eastAsia="宋体" w:cs="宋体"/>
          <w:color w:val="auto"/>
          <w:sz w:val="24"/>
          <w:szCs w:val="24"/>
          <w:highlight w:val="none"/>
          <w:lang w:val="zh-CN"/>
        </w:rPr>
        <w:t>有瑕疵的，在评审时不享受政府采购优惠政策。</w:t>
      </w:r>
    </w:p>
    <w:p w14:paraId="7DCA9F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残疾人福利企业</w:t>
      </w:r>
      <w:r>
        <w:rPr>
          <w:rFonts w:hint="eastAsia" w:ascii="宋体" w:hAnsi="宋体" w:eastAsia="宋体" w:cs="宋体"/>
          <w:color w:val="auto"/>
          <w:sz w:val="24"/>
          <w:szCs w:val="24"/>
          <w:highlight w:val="none"/>
          <w:lang w:val="zh-CN"/>
        </w:rPr>
        <w:t>属于小型、微型企业的，不重复享受政策。</w:t>
      </w:r>
    </w:p>
    <w:p w14:paraId="7EC3A90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34.2</w:t>
      </w:r>
      <w:r>
        <w:rPr>
          <w:rFonts w:hint="eastAsia" w:ascii="宋体" w:hAnsi="宋体" w:eastAsia="宋体" w:cs="宋体"/>
          <w:b/>
          <w:bCs/>
          <w:color w:val="auto"/>
          <w:sz w:val="24"/>
          <w:szCs w:val="24"/>
          <w:highlight w:val="none"/>
          <w:lang w:val="zh-CN"/>
        </w:rPr>
        <w:t>信用担保及信用融资政策</w:t>
      </w:r>
    </w:p>
    <w:p w14:paraId="0B46A24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（1）陕西省有关</w:t>
      </w:r>
      <w:r>
        <w:rPr>
          <w:rFonts w:hint="eastAsia" w:ascii="宋体" w:hAnsi="宋体" w:eastAsia="宋体" w:cs="宋体"/>
          <w:color w:val="auto"/>
          <w:sz w:val="24"/>
          <w:szCs w:val="24"/>
          <w:highlight w:val="none"/>
          <w:lang w:val="zh-CN"/>
        </w:rPr>
        <w:t>政府采购信用担保及信用融资政策</w:t>
      </w:r>
    </w:p>
    <w:p w14:paraId="0B16242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sz w:val="24"/>
          <w:szCs w:val="24"/>
          <w:highlight w:val="none"/>
          <w:lang w:val="en-US" w:eastAsia="zh-CN"/>
        </w:rPr>
        <w:t>①《陕西省中小企业政府采购信用</w:t>
      </w:r>
      <w:r>
        <w:rPr>
          <w:rFonts w:hint="eastAsia" w:ascii="宋体" w:hAnsi="宋体" w:eastAsia="宋体" w:cs="宋体"/>
          <w:color w:val="auto"/>
          <w:kern w:val="1"/>
          <w:sz w:val="24"/>
          <w:szCs w:val="24"/>
          <w:highlight w:val="none"/>
          <w:lang w:val="en-US" w:eastAsia="zh-CN"/>
        </w:rPr>
        <w:t>融资办法》（陕财办采〔2018〕23号）</w:t>
      </w:r>
    </w:p>
    <w:p w14:paraId="0520FB6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各银行可自主决定是否提供政府采购信用融资以及融资额度，并与供应商签订融资协议；各供应商也可自行决定是否参加政府采购信用融资，并自愿选择合适的融资银行及在该银行开设银行账户。任何单位和个人均不得干预银企双方开展政府采购信用融资业务。</w:t>
      </w:r>
    </w:p>
    <w:p w14:paraId="2CB25C8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2A92960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 xml:space="preserve">《陕西省财政厅关于印发 &lt;陕西省中小企业政府采购信用融资办法&gt;的通知》（陕财 办 采 〔 2018〕 23 号 ） 相 关 政 策 、 业 务 流 程 、 办 理 平 台 </w:t>
      </w:r>
    </w:p>
    <w:p w14:paraId="3A9FCAA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（http://www.ccgp-shaanxi.gov.cn/zcdservice/zcd/shanxi/）。</w:t>
      </w:r>
    </w:p>
    <w:p w14:paraId="6D935AA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②《陕西省财政厅关于加快推进我省中小企业政府采购信用融资工作的通知》（陕财办采〔2020〕15 号）</w:t>
      </w:r>
    </w:p>
    <w:p w14:paraId="240684D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政府采购供应商要根据自身资金需求自愿对接金融机构，依法参加政府采购信用融资活动。严格按照政府采购合同履约，严格按照签约责任和借款合同偿还借贷债务。供应商通过弄虚作假骗取融资或无故不按时还款的，金融机构可以解除融资协议并追究其违约责任。财政部门视情节轻重，依据相关法律法规作出处理处罚；涉嫌犯罪的，移送司法机关处理。为避免一合同多贷引发金融贷款风险，供应商在政府采购融资平台上每次只能向一家金融机构提交贷款申请，金融机构拒贷后方可向其他金融机构提交申请。</w:t>
      </w:r>
    </w:p>
    <w:p w14:paraId="70FCB49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供应商和金融机构按照双方自愿的原则开展融资业务活动，其他任何单位和个人不得违规干预。</w:t>
      </w:r>
    </w:p>
    <w:p w14:paraId="2807F9D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有融资需求的供应商可根据自身情况，在陕西省政府采购信用融资平台（含各市分平台）自主选择金融机构及其融资产品，凭政府采购成交（成交）通知书或政府采购合同向金融机构提出融资申请。</w:t>
      </w:r>
    </w:p>
    <w:p w14:paraId="746D25F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政府采购合同签订前确定融资的，供应商将约定的政府采购项目回款账户在合同中予以明确。政府采购合同签订后确定融资的，如需修改回款账户信息，供应商向采购人提出变更合同账户申请，经采购人确认后办理合同变更手续。已经发生融资业务的政府采购合同，原则上不得变更，确需变更的，供应商须向金融机构提交书面申请，经金融机构同意后方可提交采购人请求进行变更。财政部门根据金融机构反馈的融资成交信息，对对应的政府采购合同进行标记。</w:t>
      </w:r>
    </w:p>
    <w:p w14:paraId="1DEE7DA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③对拟用于信用融资的政府采购合同，</w:t>
      </w:r>
      <w:r>
        <w:rPr>
          <w:rFonts w:hint="eastAsia" w:ascii="宋体" w:hAnsi="宋体" w:eastAsia="宋体" w:cs="宋体"/>
          <w:color w:val="auto"/>
          <w:kern w:val="1"/>
          <w:sz w:val="24"/>
          <w:szCs w:val="24"/>
          <w:highlight w:val="none"/>
          <w:lang w:val="en-US" w:eastAsia="zh-CN"/>
        </w:rPr>
        <w:t>成交</w:t>
      </w:r>
      <w:r>
        <w:rPr>
          <w:rFonts w:hint="eastAsia" w:ascii="宋体" w:hAnsi="宋体" w:eastAsia="宋体" w:cs="宋体"/>
          <w:color w:val="auto"/>
          <w:kern w:val="1"/>
          <w:sz w:val="24"/>
          <w:szCs w:val="24"/>
          <w:highlight w:val="none"/>
          <w:lang w:val="zh-CN" w:eastAsia="zh-CN"/>
        </w:rPr>
        <w:t>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497FFCF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zh-CN" w:eastAsia="zh-CN"/>
        </w:rPr>
        <w:t>供应商弄虚作假或以伪造政府采购合同等方式违规获取政府采购信用融资，或无故不及时还款的，或出现其他违反本办法规定情形的，除按融资合同约定承担违约责任外，同级财政部门应当将其行为按“不良行为”记入供应商诚信档案；情节严重的，应记入供应商“黑名单”；涉嫌犯罪的，移送司法机关处理。</w:t>
      </w:r>
    </w:p>
    <w:p w14:paraId="2120D02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1"/>
          <w:sz w:val="24"/>
          <w:szCs w:val="24"/>
          <w:highlight w:val="none"/>
          <w:lang w:val="zh-CN" w:eastAsia="zh-CN"/>
        </w:rPr>
      </w:pPr>
      <w:r>
        <w:rPr>
          <w:rFonts w:hint="eastAsia" w:ascii="宋体" w:hAnsi="宋体" w:eastAsia="宋体" w:cs="宋体"/>
          <w:color w:val="auto"/>
          <w:kern w:val="1"/>
          <w:sz w:val="24"/>
          <w:szCs w:val="24"/>
          <w:highlight w:val="none"/>
          <w:lang w:val="zh-CN" w:eastAsia="zh-CN"/>
        </w:rPr>
        <w:t>④陕西省政府采购信用融资平台链接：</w:t>
      </w:r>
    </w:p>
    <w:p w14:paraId="454E2DE5">
      <w:pPr>
        <w:keepNext w:val="0"/>
        <w:keepLines w:val="0"/>
        <w:pageBreakBefore w:val="0"/>
        <w:widowControl w:val="0"/>
        <w:kinsoku/>
        <w:wordWrap/>
        <w:overflowPunct/>
        <w:topLinePunct w:val="0"/>
        <w:autoSpaceDE/>
        <w:autoSpaceDN/>
        <w:bidi w:val="0"/>
        <w:adjustRightInd/>
        <w:snapToGrid/>
        <w:spacing w:line="360" w:lineRule="auto"/>
        <w:ind w:firstLine="48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1"/>
          <w:sz w:val="24"/>
          <w:szCs w:val="24"/>
          <w:highlight w:val="none"/>
          <w:lang w:val="zh-CN" w:eastAsia="zh-CN"/>
        </w:rPr>
        <w:t>http://www.ccgp-shaanxi.gov.cn/zcdservice/zcd/shanxi/）</w:t>
      </w:r>
    </w:p>
    <w:p w14:paraId="37A8BE0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34.3如有最新颁布的政府采购政策，按最新的文件执行。</w:t>
      </w:r>
    </w:p>
    <w:p w14:paraId="7056804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zh-CN" w:eastAsia="zh-CN"/>
        </w:rPr>
      </w:pPr>
      <w:r>
        <w:rPr>
          <w:rFonts w:hint="eastAsia" w:ascii="宋体" w:hAnsi="宋体" w:eastAsia="宋体" w:cs="宋体"/>
          <w:b/>
          <w:bCs/>
          <w:color w:val="auto"/>
          <w:sz w:val="24"/>
          <w:szCs w:val="24"/>
          <w:highlight w:val="none"/>
          <w:lang w:val="en-US" w:eastAsia="zh-CN"/>
        </w:rPr>
        <w:t>35.关于信用记录的查询和使用</w:t>
      </w:r>
    </w:p>
    <w:p w14:paraId="6FAD22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zh-CN" w:eastAsia="zh-CN"/>
        </w:rPr>
        <w:t>根据《财政部关于在政府采购活动中查询及使用信用记录有关问题的通知》（财库〔2016〕125号）的规定，在公告发布之日起至竞争性</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eastAsia="zh-CN"/>
        </w:rPr>
        <w:t>响应文件递交截止时间前，供应商不得存在失信行</w:t>
      </w:r>
      <w:r>
        <w:rPr>
          <w:rFonts w:hint="eastAsia" w:ascii="宋体" w:hAnsi="宋体" w:eastAsia="宋体" w:cs="宋体"/>
          <w:color w:val="auto"/>
          <w:sz w:val="24"/>
          <w:szCs w:val="24"/>
          <w:highlight w:val="none"/>
          <w:lang w:val="zh-CN"/>
        </w:rPr>
        <w:t>为。</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lang w:val="zh-CN"/>
        </w:rPr>
        <w:t>代理机构通过“信用中国”网站(www.creditchina.gov.cn)、中国政府采购网(www.ccgp.gov.cn)等渠道，对供应商的相关主体信用记录进行查询。如果供应商被查实存在列入失信被执行人、</w:t>
      </w:r>
      <w:r>
        <w:rPr>
          <w:rFonts w:hint="eastAsia" w:ascii="宋体" w:hAnsi="宋体" w:eastAsia="宋体" w:cs="宋体"/>
          <w:color w:val="auto"/>
          <w:sz w:val="24"/>
          <w:szCs w:val="24"/>
          <w:highlight w:val="none"/>
          <w:lang w:val="zh-CN" w:eastAsia="zh-CN"/>
        </w:rPr>
        <w:t>重大税收违法失信主体</w:t>
      </w:r>
      <w:r>
        <w:rPr>
          <w:rFonts w:hint="eastAsia" w:ascii="宋体" w:hAnsi="宋体" w:eastAsia="宋体" w:cs="宋体"/>
          <w:color w:val="auto"/>
          <w:sz w:val="24"/>
          <w:szCs w:val="24"/>
          <w:highlight w:val="none"/>
          <w:lang w:val="zh-CN"/>
        </w:rPr>
        <w:t>、政府采购严重违法失信行为记录名单的情形，其</w:t>
      </w:r>
      <w:r>
        <w:rPr>
          <w:rFonts w:hint="eastAsia" w:ascii="宋体" w:hAnsi="宋体" w:eastAsia="宋体" w:cs="宋体"/>
          <w:color w:val="auto"/>
          <w:sz w:val="24"/>
          <w:szCs w:val="24"/>
          <w:highlight w:val="none"/>
          <w:lang w:val="zh-CN" w:eastAsia="zh-CN"/>
        </w:rPr>
        <w:t>竞争性</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eastAsia="zh-CN"/>
        </w:rPr>
        <w:t>响应</w:t>
      </w:r>
      <w:r>
        <w:rPr>
          <w:rFonts w:hint="eastAsia" w:ascii="宋体" w:hAnsi="宋体" w:eastAsia="宋体" w:cs="宋体"/>
          <w:color w:val="auto"/>
          <w:sz w:val="24"/>
          <w:szCs w:val="24"/>
          <w:highlight w:val="none"/>
          <w:lang w:val="zh-CN"/>
        </w:rPr>
        <w:t>文件为无效文件。</w:t>
      </w:r>
      <w:r>
        <w:rPr>
          <w:rFonts w:hint="eastAsia" w:ascii="宋体" w:hAnsi="宋体" w:eastAsia="宋体" w:cs="宋体"/>
          <w:bCs/>
          <w:color w:val="auto"/>
          <w:sz w:val="24"/>
          <w:szCs w:val="24"/>
          <w:highlight w:val="none"/>
          <w:lang w:val="en-US" w:eastAsia="zh-CN"/>
        </w:rPr>
        <w:t>采购</w:t>
      </w:r>
      <w:r>
        <w:rPr>
          <w:rFonts w:hint="eastAsia" w:ascii="宋体" w:hAnsi="宋体" w:eastAsia="宋体" w:cs="宋体"/>
          <w:bCs/>
          <w:color w:val="auto"/>
          <w:sz w:val="24"/>
          <w:szCs w:val="24"/>
          <w:highlight w:val="none"/>
          <w:lang w:val="zh-CN"/>
        </w:rPr>
        <w:t>代理机构</w:t>
      </w:r>
      <w:r>
        <w:rPr>
          <w:rFonts w:hint="eastAsia" w:ascii="宋体" w:hAnsi="宋体" w:eastAsia="宋体" w:cs="宋体"/>
          <w:bCs/>
          <w:color w:val="auto"/>
          <w:sz w:val="24"/>
          <w:szCs w:val="24"/>
          <w:highlight w:val="none"/>
          <w:lang w:val="en-US" w:eastAsia="zh-CN"/>
        </w:rPr>
        <w:t>对所</w:t>
      </w:r>
      <w:r>
        <w:rPr>
          <w:rFonts w:hint="eastAsia" w:ascii="宋体" w:hAnsi="宋体" w:eastAsia="宋体" w:cs="宋体"/>
          <w:bCs/>
          <w:color w:val="auto"/>
          <w:sz w:val="24"/>
          <w:szCs w:val="24"/>
          <w:highlight w:val="none"/>
          <w:lang w:val="zh-CN"/>
        </w:rPr>
        <w:t>查询</w:t>
      </w:r>
      <w:r>
        <w:rPr>
          <w:rFonts w:hint="eastAsia" w:ascii="宋体" w:hAnsi="宋体" w:eastAsia="宋体" w:cs="宋体"/>
          <w:bCs/>
          <w:color w:val="auto"/>
          <w:sz w:val="24"/>
          <w:szCs w:val="24"/>
          <w:highlight w:val="none"/>
          <w:lang w:val="en-US" w:eastAsia="zh-CN"/>
        </w:rPr>
        <w:t>信息的截图及相关内容电子版进行</w:t>
      </w:r>
      <w:r>
        <w:rPr>
          <w:rFonts w:hint="eastAsia" w:ascii="宋体" w:hAnsi="宋体" w:eastAsia="宋体" w:cs="宋体"/>
          <w:bCs/>
          <w:color w:val="auto"/>
          <w:sz w:val="24"/>
          <w:szCs w:val="24"/>
          <w:highlight w:val="none"/>
          <w:lang w:val="zh-CN"/>
        </w:rPr>
        <w:t>留存。</w:t>
      </w:r>
    </w:p>
    <w:p w14:paraId="5BC07D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对列入失信被执行人、</w:t>
      </w:r>
      <w:r>
        <w:rPr>
          <w:rFonts w:hint="eastAsia" w:ascii="宋体" w:hAnsi="宋体" w:eastAsia="宋体" w:cs="宋体"/>
          <w:color w:val="auto"/>
          <w:sz w:val="24"/>
          <w:szCs w:val="24"/>
          <w:highlight w:val="none"/>
          <w:lang w:val="zh-CN" w:eastAsia="zh-CN"/>
        </w:rPr>
        <w:t>重大税收违法失信主体</w:t>
      </w:r>
      <w:r>
        <w:rPr>
          <w:rFonts w:hint="eastAsia" w:ascii="宋体" w:hAnsi="宋体" w:eastAsia="宋体" w:cs="宋体"/>
          <w:color w:val="auto"/>
          <w:sz w:val="24"/>
          <w:szCs w:val="24"/>
          <w:highlight w:val="none"/>
          <w:lang w:val="zh-CN"/>
        </w:rPr>
        <w:t>、政府采购严重违法失信行为记录名单及其他不符合《中华人民共和国政府采购法》第二十二条规定条件的供应商，应当拒绝其参与政府采购活动。</w:t>
      </w:r>
    </w:p>
    <w:p w14:paraId="345AAD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E0A50B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en-US" w:eastAsia="zh-CN"/>
        </w:rPr>
        <w:t>36</w:t>
      </w:r>
      <w:r>
        <w:rPr>
          <w:rFonts w:hint="eastAsia" w:ascii="宋体" w:hAnsi="宋体" w:eastAsia="宋体" w:cs="宋体"/>
          <w:b/>
          <w:bCs/>
          <w:color w:val="auto"/>
          <w:sz w:val="24"/>
          <w:szCs w:val="24"/>
          <w:highlight w:val="none"/>
          <w:lang w:val="zh-CN"/>
        </w:rPr>
        <w:t>、质疑与投诉</w:t>
      </w:r>
    </w:p>
    <w:p w14:paraId="71D1CCE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en-US" w:eastAsia="zh-CN"/>
        </w:rPr>
        <w:t>36</w:t>
      </w:r>
      <w:r>
        <w:rPr>
          <w:rFonts w:hint="eastAsia" w:ascii="宋体" w:hAnsi="宋体" w:eastAsia="宋体" w:cs="宋体"/>
          <w:b/>
          <w:bCs/>
          <w:color w:val="auto"/>
          <w:sz w:val="24"/>
          <w:szCs w:val="24"/>
          <w:highlight w:val="none"/>
          <w:lang w:val="zh-CN"/>
        </w:rPr>
        <w:t>.1质疑</w:t>
      </w:r>
    </w:p>
    <w:p w14:paraId="4746A8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lang w:val="zh-CN"/>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rPr>
        <w:t>质疑</w:t>
      </w:r>
      <w:r>
        <w:rPr>
          <w:rFonts w:hint="eastAsia" w:ascii="宋体" w:hAnsi="宋体" w:eastAsia="宋体" w:cs="宋体"/>
          <w:color w:val="auto"/>
          <w:sz w:val="24"/>
          <w:szCs w:val="24"/>
          <w:highlight w:val="none"/>
          <w:lang w:val="en-US" w:eastAsia="zh-CN"/>
        </w:rPr>
        <w:t>的相关规定</w:t>
      </w:r>
    </w:p>
    <w:p w14:paraId="54F10F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供应商对本次采购或有疑问的，按照《中华人民共和国政府采购法》、《中华人民共和国政府采购法实施条例》及《政府采购质疑和投诉办法》（财政部94号令）的规定办理。</w:t>
      </w:r>
    </w:p>
    <w:p w14:paraId="300549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（1）供应商认为竞争性磋商文件、采购过程和成交结果使自己的权益受到损害的，可以向采购人、采购代理机构提出质疑，具体时限为：</w:t>
      </w:r>
    </w:p>
    <w:p w14:paraId="7287DE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1）对可以质疑的采购文件提出质疑的，为收到采购文件之日起七个工作日内；</w:t>
      </w:r>
      <w:r>
        <w:rPr>
          <w:rFonts w:hint="eastAsia" w:ascii="宋体" w:hAnsi="宋体" w:eastAsia="宋体" w:cs="宋体"/>
          <w:color w:val="auto"/>
          <w:sz w:val="24"/>
          <w:szCs w:val="24"/>
          <w:highlight w:val="none"/>
          <w:lang w:val="zh-CN"/>
        </w:rPr>
        <w:br w:type="textWrapping"/>
      </w:r>
      <w:r>
        <w:rPr>
          <w:rFonts w:hint="eastAsia" w:ascii="宋体" w:hAnsi="宋体" w:eastAsia="宋体" w:cs="宋体"/>
          <w:color w:val="auto"/>
          <w:sz w:val="24"/>
          <w:szCs w:val="24"/>
          <w:highlight w:val="none"/>
          <w:lang w:val="zh-CN"/>
        </w:rPr>
        <w:t>　　2）对采购过程提出质疑的，为各采购程序环节结束之日起七个工作日内；</w:t>
      </w:r>
      <w:r>
        <w:rPr>
          <w:rFonts w:hint="eastAsia" w:ascii="宋体" w:hAnsi="宋体" w:eastAsia="宋体" w:cs="宋体"/>
          <w:color w:val="auto"/>
          <w:sz w:val="24"/>
          <w:szCs w:val="24"/>
          <w:highlight w:val="none"/>
          <w:lang w:val="zh-CN"/>
        </w:rPr>
        <w:br w:type="textWrapping"/>
      </w:r>
      <w:r>
        <w:rPr>
          <w:rFonts w:hint="eastAsia" w:ascii="宋体" w:hAnsi="宋体" w:eastAsia="宋体" w:cs="宋体"/>
          <w:color w:val="auto"/>
          <w:sz w:val="24"/>
          <w:szCs w:val="24"/>
          <w:highlight w:val="none"/>
          <w:lang w:val="zh-CN"/>
        </w:rPr>
        <w:t>　　3）对成交结果提出质疑的，为成交结果公告期限届满之日起七个工作日内</w:t>
      </w:r>
      <w:r>
        <w:rPr>
          <w:rFonts w:hint="eastAsia" w:ascii="宋体" w:hAnsi="宋体" w:eastAsia="宋体" w:cs="宋体"/>
          <w:color w:val="auto"/>
          <w:sz w:val="24"/>
          <w:szCs w:val="24"/>
          <w:highlight w:val="none"/>
          <w:lang w:val="en-US" w:eastAsia="zh-CN"/>
        </w:rPr>
        <w:t>；</w:t>
      </w:r>
    </w:p>
    <w:p w14:paraId="32DCF2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b/>
          <w:bCs/>
          <w:color w:val="auto"/>
          <w:sz w:val="24"/>
          <w:szCs w:val="24"/>
          <w:highlight w:val="none"/>
          <w:lang w:val="zh-CN"/>
        </w:rPr>
        <w:t>供应商须在法定质疑期内一次性提出针对同一采购程序环节的质疑</w:t>
      </w:r>
      <w:r>
        <w:rPr>
          <w:rFonts w:hint="eastAsia" w:ascii="宋体" w:hAnsi="宋体" w:eastAsia="宋体" w:cs="宋体"/>
          <w:color w:val="auto"/>
          <w:sz w:val="24"/>
          <w:szCs w:val="24"/>
          <w:highlight w:val="none"/>
          <w:lang w:val="zh-CN"/>
        </w:rPr>
        <w:t>。</w:t>
      </w:r>
    </w:p>
    <w:p w14:paraId="6205CF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（3）供应商必须按照财政部发布的《政府采购供应商质疑函范本》及其制作说明提出质疑。</w:t>
      </w:r>
    </w:p>
    <w:p w14:paraId="723F02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（4）供应商应在法定期限内以书面形式提出质疑。接受质疑函的联系部门、联系电话和通讯地址同采购公告。</w:t>
      </w:r>
    </w:p>
    <w:p w14:paraId="3ECFFA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（5）有下列情形之一的，属于无效质疑，采购代理机构和采购人不予受理：</w:t>
      </w:r>
    </w:p>
    <w:p w14:paraId="30306A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1）质疑人不是参与本次政府采购项目的供应商；</w:t>
      </w:r>
    </w:p>
    <w:p w14:paraId="4AAC2B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2）质疑人与质疑事项不存在利害关系的；</w:t>
      </w:r>
    </w:p>
    <w:p w14:paraId="4A7AD3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w:t>
      </w:r>
      <w:r>
        <w:rPr>
          <w:rFonts w:hint="eastAsia" w:ascii="宋体" w:hAnsi="宋体" w:eastAsia="宋体" w:cs="宋体"/>
          <w:color w:val="auto"/>
          <w:sz w:val="24"/>
          <w:szCs w:val="24"/>
          <w:highlight w:val="none"/>
          <w:lang w:val="en-US" w:eastAsia="zh-CN"/>
        </w:rPr>
        <w:t>超过法定期限，或未以线上、书面形式提出的；</w:t>
      </w:r>
    </w:p>
    <w:p w14:paraId="32DB11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4）质疑未以书面形式提出，以传真、电子邮件、移动通信等形式即时收悉提交的质疑材料；</w:t>
      </w:r>
    </w:p>
    <w:p w14:paraId="74D28A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5）质疑未按质疑函范本格式提出的；</w:t>
      </w:r>
    </w:p>
    <w:p w14:paraId="4A7B31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6）质疑书主要内容构成不完整的；</w:t>
      </w:r>
    </w:p>
    <w:p w14:paraId="71AFC2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7）</w:t>
      </w:r>
      <w:r>
        <w:rPr>
          <w:rFonts w:hint="eastAsia" w:ascii="宋体" w:hAnsi="宋体" w:eastAsia="宋体" w:cs="宋体"/>
          <w:color w:val="auto"/>
          <w:sz w:val="24"/>
          <w:szCs w:val="24"/>
          <w:highlight w:val="none"/>
          <w:lang w:val="en-US" w:eastAsia="zh-CN"/>
        </w:rPr>
        <w:t xml:space="preserve">书面质疑函没有合法有效的签字、盖章或委托授权书的（代理人提出质疑和投诉，应当提交供应商签署的授权委托书）； </w:t>
      </w:r>
    </w:p>
    <w:p w14:paraId="04D559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8）以非法手段取得证据、材料的；</w:t>
      </w:r>
    </w:p>
    <w:p w14:paraId="14EE91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9）</w:t>
      </w:r>
      <w:r>
        <w:rPr>
          <w:rFonts w:hint="eastAsia" w:ascii="宋体" w:hAnsi="宋体" w:eastAsia="宋体" w:cs="宋体"/>
          <w:color w:val="auto"/>
          <w:sz w:val="24"/>
          <w:szCs w:val="24"/>
          <w:highlight w:val="none"/>
          <w:lang w:val="en-US" w:eastAsia="zh-CN"/>
        </w:rPr>
        <w:t xml:space="preserve">针对同一采购程序环节又提出其他质疑事项的，或质疑答复后就同一事项再次提出质疑的； </w:t>
      </w:r>
    </w:p>
    <w:p w14:paraId="0F511A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10）不符合法律、法规、规章和政府采购监管机构规定的其他条件的；</w:t>
      </w:r>
    </w:p>
    <w:p w14:paraId="5E7BFF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（6）采购代理机构或采购人将在收到书面质疑后7个工作日内做出答复，并以书面形式通知质疑人和其他有关供应商。</w:t>
      </w:r>
    </w:p>
    <w:p w14:paraId="7B886F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lang w:val="zh-CN"/>
        </w:rPr>
        <w:t>.1</w:t>
      </w:r>
      <w:r>
        <w:rPr>
          <w:rFonts w:hint="eastAsia"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lang w:val="zh-CN"/>
        </w:rPr>
        <w:t>质疑</w:t>
      </w:r>
      <w:r>
        <w:rPr>
          <w:rFonts w:hint="eastAsia" w:ascii="宋体" w:hAnsi="宋体" w:eastAsia="宋体" w:cs="宋体"/>
          <w:color w:val="auto"/>
          <w:sz w:val="24"/>
          <w:szCs w:val="24"/>
          <w:highlight w:val="none"/>
          <w:lang w:val="en-US" w:eastAsia="zh-CN"/>
        </w:rPr>
        <w:t>提出</w:t>
      </w:r>
    </w:p>
    <w:p w14:paraId="7F2B7C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书面质疑：</w:t>
      </w:r>
    </w:p>
    <w:p w14:paraId="7900F5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 xml:space="preserve">书面质疑函应按照财政部国库司制定的《政府采购供应商质疑函范本》（见附件）进行填写，签字、盖章后提交至采购代理机构。 </w:t>
      </w:r>
    </w:p>
    <w:p w14:paraId="51E05A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 xml:space="preserve">供应商为自然人的，应当由本人签字；供应商为法人或者其他组织的，应当由法定代表人、主要负责人，或者其授权代表签字或者盖章，并加盖公章，公章不得以合同章或其他印章代替。供应商委托代理人提出质疑的，应当同时提交供应商签署的授权委托书。 </w:t>
      </w:r>
    </w:p>
    <w:p w14:paraId="096012E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en-US" w:eastAsia="zh-CN"/>
        </w:rPr>
        <w:t>36</w:t>
      </w:r>
      <w:r>
        <w:rPr>
          <w:rFonts w:hint="eastAsia" w:ascii="宋体" w:hAnsi="宋体" w:eastAsia="宋体" w:cs="宋体"/>
          <w:b/>
          <w:bCs/>
          <w:color w:val="auto"/>
          <w:sz w:val="24"/>
          <w:szCs w:val="24"/>
          <w:highlight w:val="none"/>
          <w:lang w:val="zh-CN"/>
        </w:rPr>
        <w:t>.2投诉</w:t>
      </w:r>
    </w:p>
    <w:p w14:paraId="31D637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质疑供应商对采购人、采购代理机构的答复不满意或者采购人、采购代理机构未在规定的时间内作出答复的，可按《政府采购法》第55条和《政府采购质疑和投诉办法》（财政部令第94号）第17条等有关规定执行。</w:t>
      </w:r>
    </w:p>
    <w:p w14:paraId="4D74B2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3其他</w:t>
      </w:r>
    </w:p>
    <w:p w14:paraId="1FFB3F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lang w:val="zh-CN"/>
        </w:rPr>
        <w:t xml:space="preserve">对捏造事实、提供虚假材料进行质疑、投诉的行为予以严肃处理： </w:t>
      </w:r>
    </w:p>
    <w:p w14:paraId="3BDE10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依据《政府采购质疑和投诉办法》（财政部 94 号令）有关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3FDD47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lang w:val="zh-CN"/>
        </w:rPr>
        <w:t xml:space="preserve">对捏造事实诬告陷害他人、诽谤他人的法律适用： </w:t>
      </w:r>
    </w:p>
    <w:p w14:paraId="45B614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《中华人民共和国刑法》第 243 条【诬告陷害罪】捏造事实诬告陷害他人，意图使他人受刑事追究，情节严重的，处三年以下有期徒刑、拘役或者管制；造成严重后果的，处三年以上十年以下有期徒刑。</w:t>
      </w:r>
    </w:p>
    <w:p w14:paraId="318089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color w:val="auto"/>
          <w:sz w:val="24"/>
          <w:szCs w:val="24"/>
          <w:highlight w:val="none"/>
          <w:lang w:val="zh-CN"/>
        </w:rPr>
        <w:t>《中华人民共和国刑法》第 246 条【侮辱罪、诽谤罪】以暴力或者其他方法公然侮辱他人或者捏造事实诽谤他人，情节严重的，处三年以下有期徒刑、拘役、管制或者剥夺政治权利。</w:t>
      </w:r>
    </w:p>
    <w:p w14:paraId="2C4815C5">
      <w:pPr>
        <w:pStyle w:val="18"/>
        <w:rPr>
          <w:rFonts w:hint="eastAsia" w:ascii="宋体" w:hAnsi="宋体" w:eastAsia="宋体" w:cs="宋体"/>
          <w:b w:val="0"/>
          <w:bCs/>
          <w:color w:val="auto"/>
          <w:sz w:val="24"/>
          <w:szCs w:val="24"/>
          <w:highlight w:val="none"/>
        </w:rPr>
      </w:pPr>
    </w:p>
    <w:p w14:paraId="083157CC">
      <w:pPr>
        <w:pStyle w:val="16"/>
        <w:rPr>
          <w:rFonts w:hint="eastAsia" w:ascii="宋体" w:hAnsi="宋体" w:eastAsia="宋体" w:cs="宋体"/>
          <w:b w:val="0"/>
          <w:bCs/>
          <w:color w:val="auto"/>
          <w:sz w:val="24"/>
          <w:szCs w:val="24"/>
          <w:highlight w:val="none"/>
        </w:rPr>
      </w:pPr>
    </w:p>
    <w:p w14:paraId="4FEF3F27">
      <w:pPr>
        <w:rPr>
          <w:rFonts w:hint="eastAsia" w:ascii="宋体" w:hAnsi="宋体" w:eastAsia="宋体" w:cs="宋体"/>
          <w:b w:val="0"/>
          <w:bCs/>
          <w:color w:val="auto"/>
          <w:sz w:val="24"/>
          <w:szCs w:val="24"/>
          <w:highlight w:val="none"/>
        </w:rPr>
      </w:pPr>
    </w:p>
    <w:p w14:paraId="3B28D3ED">
      <w:pP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br w:type="page"/>
      </w:r>
    </w:p>
    <w:p w14:paraId="4896B1C9">
      <w:pPr>
        <w:pStyle w:val="13"/>
        <w:keepNext w:val="0"/>
        <w:keepLines w:val="0"/>
        <w:pageBreakBefore w:val="0"/>
        <w:widowControl w:val="0"/>
        <w:numPr>
          <w:ilvl w:val="0"/>
          <w:numId w:val="8"/>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kern w:val="1"/>
          <w:sz w:val="32"/>
          <w:szCs w:val="32"/>
          <w:highlight w:val="none"/>
          <w:lang w:eastAsia="zh-CN"/>
        </w:rPr>
      </w:pPr>
      <w:r>
        <w:rPr>
          <w:rFonts w:hint="eastAsia" w:ascii="宋体" w:hAnsi="宋体" w:eastAsia="宋体" w:cs="宋体"/>
          <w:b/>
          <w:bCs/>
          <w:color w:val="auto"/>
          <w:kern w:val="1"/>
          <w:sz w:val="32"/>
          <w:szCs w:val="32"/>
          <w:highlight w:val="none"/>
          <w:lang w:eastAsia="zh-CN"/>
        </w:rPr>
        <w:t xml:space="preserve"> 采购内容及要求</w:t>
      </w:r>
    </w:p>
    <w:p w14:paraId="11826038">
      <w:pPr>
        <w:pStyle w:val="5"/>
        <w:rPr>
          <w:rFonts w:hint="default"/>
          <w:lang w:val="en-US" w:eastAsia="zh-CN"/>
        </w:rPr>
      </w:pPr>
      <w:r>
        <w:rPr>
          <w:rFonts w:hint="eastAsia"/>
          <w:highlight w:val="none"/>
        </w:rPr>
        <w:t>一、</w:t>
      </w:r>
      <w:r>
        <w:rPr>
          <w:rFonts w:hint="eastAsia"/>
          <w:highlight w:val="none"/>
          <w:lang w:eastAsia="zh-CN"/>
        </w:rPr>
        <w:t>采购内容</w:t>
      </w:r>
      <w:r>
        <w:rPr>
          <w:rFonts w:hint="eastAsia"/>
          <w:highlight w:val="none"/>
          <w:lang w:val="en-US" w:eastAsia="zh-CN"/>
        </w:rPr>
        <w:t>及单价</w:t>
      </w:r>
    </w:p>
    <w:tbl>
      <w:tblPr>
        <w:tblStyle w:val="27"/>
        <w:tblW w:w="847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0"/>
        <w:gridCol w:w="696"/>
        <w:gridCol w:w="1296"/>
        <w:gridCol w:w="2280"/>
        <w:gridCol w:w="1356"/>
        <w:gridCol w:w="816"/>
        <w:gridCol w:w="1176"/>
      </w:tblGrid>
      <w:tr w14:paraId="076C5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73453">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项目</w:t>
            </w:r>
          </w:p>
          <w:p w14:paraId="5D97140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015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33D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花卉名称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04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图片</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88A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BB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12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（元/盆）</w:t>
            </w:r>
          </w:p>
        </w:tc>
      </w:tr>
      <w:tr w14:paraId="6FADB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745FF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     鲜    花</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D3A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774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红叶鸡冠</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7C6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72390</wp:posOffset>
                  </wp:positionH>
                  <wp:positionV relativeFrom="paragraph">
                    <wp:posOffset>55245</wp:posOffset>
                  </wp:positionV>
                  <wp:extent cx="1146810" cy="650240"/>
                  <wp:effectExtent l="0" t="0" r="11430" b="5080"/>
                  <wp:wrapNone/>
                  <wp:docPr id="8" name="图片_3"/>
                  <wp:cNvGraphicFramePr/>
                  <a:graphic xmlns:a="http://schemas.openxmlformats.org/drawingml/2006/main">
                    <a:graphicData uri="http://schemas.openxmlformats.org/drawingml/2006/picture">
                      <pic:pic xmlns:pic="http://schemas.openxmlformats.org/drawingml/2006/picture">
                        <pic:nvPicPr>
                          <pic:cNvPr id="8" name="图片_3"/>
                          <pic:cNvPicPr/>
                        </pic:nvPicPr>
                        <pic:blipFill>
                          <a:blip r:embed="rId13"/>
                          <a:stretch>
                            <a:fillRect/>
                          </a:stretch>
                        </pic:blipFill>
                        <pic:spPr>
                          <a:xfrm>
                            <a:off x="0" y="0"/>
                            <a:ext cx="1146810" cy="65024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B75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077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919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3.19</w:t>
            </w:r>
          </w:p>
        </w:tc>
      </w:tr>
      <w:tr w14:paraId="1A010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5D5A2E7">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D26E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DB4E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E5641">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0C8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99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3A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4.15 </w:t>
            </w:r>
          </w:p>
        </w:tc>
      </w:tr>
      <w:tr w14:paraId="551FF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2E854F7">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5E6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AF9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绿叶鸡冠</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844D2">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65405</wp:posOffset>
                  </wp:positionV>
                  <wp:extent cx="1241425" cy="742315"/>
                  <wp:effectExtent l="0" t="0" r="8255" b="4445"/>
                  <wp:wrapNone/>
                  <wp:docPr id="13" name="图片_1"/>
                  <wp:cNvGraphicFramePr/>
                  <a:graphic xmlns:a="http://schemas.openxmlformats.org/drawingml/2006/main">
                    <a:graphicData uri="http://schemas.openxmlformats.org/drawingml/2006/picture">
                      <pic:pic xmlns:pic="http://schemas.openxmlformats.org/drawingml/2006/picture">
                        <pic:nvPicPr>
                          <pic:cNvPr id="13" name="图片_1"/>
                          <pic:cNvPicPr/>
                        </pic:nvPicPr>
                        <pic:blipFill>
                          <a:blip r:embed="rId14"/>
                          <a:stretch>
                            <a:fillRect/>
                          </a:stretch>
                        </pic:blipFill>
                        <pic:spPr>
                          <a:xfrm>
                            <a:off x="0" y="0"/>
                            <a:ext cx="1241425" cy="74231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B6D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11F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BF6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2.99</w:t>
            </w:r>
          </w:p>
        </w:tc>
      </w:tr>
      <w:tr w14:paraId="1B2BB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B46A739">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9A9FB">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68ACE">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ED0C2">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49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5B5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F1C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3.95 </w:t>
            </w:r>
          </w:p>
        </w:tc>
      </w:tr>
      <w:tr w14:paraId="047E3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6CEC0AF">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3C4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BDC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四季海棠</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F66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83820</wp:posOffset>
                  </wp:positionV>
                  <wp:extent cx="1273810" cy="711835"/>
                  <wp:effectExtent l="0" t="0" r="6350" b="4445"/>
                  <wp:wrapNone/>
                  <wp:docPr id="1" name="图片_19"/>
                  <wp:cNvGraphicFramePr/>
                  <a:graphic xmlns:a="http://schemas.openxmlformats.org/drawingml/2006/main">
                    <a:graphicData uri="http://schemas.openxmlformats.org/drawingml/2006/picture">
                      <pic:pic xmlns:pic="http://schemas.openxmlformats.org/drawingml/2006/picture">
                        <pic:nvPicPr>
                          <pic:cNvPr id="1" name="图片_19"/>
                          <pic:cNvPicPr/>
                        </pic:nvPicPr>
                        <pic:blipFill>
                          <a:blip r:embed="rId15"/>
                          <a:stretch>
                            <a:fillRect/>
                          </a:stretch>
                        </pic:blipFill>
                        <pic:spPr>
                          <a:xfrm>
                            <a:off x="0" y="0"/>
                            <a:ext cx="1273810" cy="71183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C83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A03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A2C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3.27 </w:t>
            </w:r>
          </w:p>
        </w:tc>
      </w:tr>
      <w:tr w14:paraId="1F513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7937E65">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B882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130AD">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AD7B4">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B26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B2C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424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5.80 </w:t>
            </w:r>
          </w:p>
        </w:tc>
      </w:tr>
      <w:tr w14:paraId="7AA56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B28621B">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34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9BF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大花海棠</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F60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118745</wp:posOffset>
                  </wp:positionV>
                  <wp:extent cx="1336040" cy="641350"/>
                  <wp:effectExtent l="0" t="0" r="5080" b="13970"/>
                  <wp:wrapNone/>
                  <wp:docPr id="2" name="图片_18"/>
                  <wp:cNvGraphicFramePr/>
                  <a:graphic xmlns:a="http://schemas.openxmlformats.org/drawingml/2006/main">
                    <a:graphicData uri="http://schemas.openxmlformats.org/drawingml/2006/picture">
                      <pic:pic xmlns:pic="http://schemas.openxmlformats.org/drawingml/2006/picture">
                        <pic:nvPicPr>
                          <pic:cNvPr id="2" name="图片_18"/>
                          <pic:cNvPicPr/>
                        </pic:nvPicPr>
                        <pic:blipFill>
                          <a:blip r:embed="rId16"/>
                          <a:stretch>
                            <a:fillRect/>
                          </a:stretch>
                        </pic:blipFill>
                        <pic:spPr>
                          <a:xfrm>
                            <a:off x="0" y="0"/>
                            <a:ext cx="1336040" cy="64135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0CD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146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114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5.54 </w:t>
            </w:r>
          </w:p>
        </w:tc>
      </w:tr>
      <w:tr w14:paraId="5F4D4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4E66CF2">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979DE">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8E998">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31605">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F8D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F53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122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8.01 </w:t>
            </w:r>
          </w:p>
        </w:tc>
      </w:tr>
      <w:tr w14:paraId="255BF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E46A2A1">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F4A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51D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超级海棠</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99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wp:posOffset>
                  </wp:positionH>
                  <wp:positionV relativeFrom="paragraph">
                    <wp:posOffset>26035</wp:posOffset>
                  </wp:positionV>
                  <wp:extent cx="1447165" cy="836295"/>
                  <wp:effectExtent l="0" t="0" r="635" b="1905"/>
                  <wp:wrapNone/>
                  <wp:docPr id="7" name="图片_5"/>
                  <wp:cNvGraphicFramePr/>
                  <a:graphic xmlns:a="http://schemas.openxmlformats.org/drawingml/2006/main">
                    <a:graphicData uri="http://schemas.openxmlformats.org/drawingml/2006/picture">
                      <pic:pic xmlns:pic="http://schemas.openxmlformats.org/drawingml/2006/picture">
                        <pic:nvPicPr>
                          <pic:cNvPr id="7" name="图片_5"/>
                          <pic:cNvPicPr/>
                        </pic:nvPicPr>
                        <pic:blipFill>
                          <a:blip r:embed="rId17"/>
                          <a:stretch>
                            <a:fillRect/>
                          </a:stretch>
                        </pic:blipFill>
                        <pic:spPr>
                          <a:xfrm>
                            <a:off x="0" y="0"/>
                            <a:ext cx="1447165" cy="83629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E1F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42E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2A1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7.20 </w:t>
            </w:r>
          </w:p>
        </w:tc>
      </w:tr>
      <w:tr w14:paraId="5B101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966CB19">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9506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E1121">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4014F">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ADF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472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028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9.51</w:t>
            </w:r>
          </w:p>
        </w:tc>
      </w:tr>
      <w:tr w14:paraId="465B2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5952609">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E31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F0F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巨无霸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彩叶草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20A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wp:posOffset>
                  </wp:positionH>
                  <wp:positionV relativeFrom="paragraph">
                    <wp:posOffset>29210</wp:posOffset>
                  </wp:positionV>
                  <wp:extent cx="1454150" cy="875665"/>
                  <wp:effectExtent l="0" t="0" r="8890" b="8255"/>
                  <wp:wrapNone/>
                  <wp:docPr id="3" name="图片_20"/>
                  <wp:cNvGraphicFramePr/>
                  <a:graphic xmlns:a="http://schemas.openxmlformats.org/drawingml/2006/main">
                    <a:graphicData uri="http://schemas.openxmlformats.org/drawingml/2006/picture">
                      <pic:pic xmlns:pic="http://schemas.openxmlformats.org/drawingml/2006/picture">
                        <pic:nvPicPr>
                          <pic:cNvPr id="3" name="图片_20"/>
                          <pic:cNvPicPr/>
                        </pic:nvPicPr>
                        <pic:blipFill>
                          <a:blip r:embed="rId18"/>
                          <a:stretch>
                            <a:fillRect/>
                          </a:stretch>
                        </pic:blipFill>
                        <pic:spPr>
                          <a:xfrm>
                            <a:off x="0" y="0"/>
                            <a:ext cx="1454150" cy="8756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863600</wp:posOffset>
                  </wp:positionV>
                  <wp:extent cx="1435100" cy="854710"/>
                  <wp:effectExtent l="0" t="0" r="12700" b="13970"/>
                  <wp:wrapNone/>
                  <wp:docPr id="14" name="图片_6"/>
                  <wp:cNvGraphicFramePr/>
                  <a:graphic xmlns:a="http://schemas.openxmlformats.org/drawingml/2006/main">
                    <a:graphicData uri="http://schemas.openxmlformats.org/drawingml/2006/picture">
                      <pic:pic xmlns:pic="http://schemas.openxmlformats.org/drawingml/2006/picture">
                        <pic:nvPicPr>
                          <pic:cNvPr id="14" name="图片_6"/>
                          <pic:cNvPicPr/>
                        </pic:nvPicPr>
                        <pic:blipFill>
                          <a:blip r:embed="rId19"/>
                          <a:stretch>
                            <a:fillRect/>
                          </a:stretch>
                        </pic:blipFill>
                        <pic:spPr>
                          <a:xfrm>
                            <a:off x="0" y="0"/>
                            <a:ext cx="1435100" cy="85471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0E1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9C5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C75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5.12</w:t>
            </w:r>
          </w:p>
        </w:tc>
      </w:tr>
      <w:tr w14:paraId="7CFC3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723B77B">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94EB6">
            <w:pPr>
              <w:jc w:val="center"/>
              <w:rPr>
                <w:rFonts w:hint="eastAsia" w:ascii="宋体" w:hAnsi="宋体" w:eastAsia="宋体" w:cs="宋体"/>
                <w:i w:val="0"/>
                <w:iCs w:val="0"/>
                <w:color w:val="000000"/>
                <w:sz w:val="24"/>
                <w:szCs w:val="24"/>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67BF2">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38628">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EC9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6C9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4B8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6.91</w:t>
            </w:r>
          </w:p>
        </w:tc>
      </w:tr>
      <w:tr w14:paraId="15B4A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25337B3">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437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CB7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彩叶草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539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898525</wp:posOffset>
                  </wp:positionV>
                  <wp:extent cx="1465580" cy="873125"/>
                  <wp:effectExtent l="0" t="0" r="12700" b="10795"/>
                  <wp:wrapNone/>
                  <wp:docPr id="26" name="图片_16"/>
                  <wp:cNvGraphicFramePr/>
                  <a:graphic xmlns:a="http://schemas.openxmlformats.org/drawingml/2006/main">
                    <a:graphicData uri="http://schemas.openxmlformats.org/drawingml/2006/picture">
                      <pic:pic xmlns:pic="http://schemas.openxmlformats.org/drawingml/2006/picture">
                        <pic:nvPicPr>
                          <pic:cNvPr id="26" name="图片_16"/>
                          <pic:cNvPicPr/>
                        </pic:nvPicPr>
                        <pic:blipFill>
                          <a:blip r:embed="rId20"/>
                          <a:stretch>
                            <a:fillRect/>
                          </a:stretch>
                        </pic:blipFill>
                        <pic:spPr>
                          <a:xfrm>
                            <a:off x="0" y="0"/>
                            <a:ext cx="1465580" cy="87312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274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B10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A13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3.91</w:t>
            </w:r>
          </w:p>
        </w:tc>
      </w:tr>
      <w:tr w14:paraId="70B65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379B5B4">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E4893">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4E37">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53346">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BD1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C09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8C7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6.16</w:t>
            </w:r>
          </w:p>
        </w:tc>
      </w:tr>
      <w:tr w14:paraId="699C4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B684D44">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35D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EFA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矮牵牛</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365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D10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6AD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546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3.15 </w:t>
            </w:r>
          </w:p>
        </w:tc>
      </w:tr>
      <w:tr w14:paraId="29C4B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DC0EC58">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896F9">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65045">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2349A">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A91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6B9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ED9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4.91</w:t>
            </w:r>
          </w:p>
        </w:tc>
      </w:tr>
      <w:tr w14:paraId="7B566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7"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34039C0">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7F8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459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垂吊牵牛</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0EB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62865</wp:posOffset>
                  </wp:positionV>
                  <wp:extent cx="1275080" cy="850265"/>
                  <wp:effectExtent l="0" t="0" r="5080" b="3175"/>
                  <wp:wrapNone/>
                  <wp:docPr id="18" name="图片_17"/>
                  <wp:cNvGraphicFramePr/>
                  <a:graphic xmlns:a="http://schemas.openxmlformats.org/drawingml/2006/main">
                    <a:graphicData uri="http://schemas.openxmlformats.org/drawingml/2006/picture">
                      <pic:pic xmlns:pic="http://schemas.openxmlformats.org/drawingml/2006/picture">
                        <pic:nvPicPr>
                          <pic:cNvPr id="18" name="图片_17"/>
                          <pic:cNvPicPr/>
                        </pic:nvPicPr>
                        <pic:blipFill>
                          <a:blip r:embed="rId21"/>
                          <a:stretch>
                            <a:fillRect/>
                          </a:stretch>
                        </pic:blipFill>
                        <pic:spPr>
                          <a:xfrm>
                            <a:off x="0" y="0"/>
                            <a:ext cx="1275080" cy="85026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2A9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4DC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F89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5.95 </w:t>
            </w:r>
          </w:p>
        </w:tc>
      </w:tr>
      <w:tr w14:paraId="27F7C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4223094">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19177">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31C43">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72BE2">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E5B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E3D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6F1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8.01 </w:t>
            </w:r>
          </w:p>
        </w:tc>
      </w:tr>
      <w:tr w14:paraId="6D772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8570E2B">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461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FB3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长春花</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C82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863600</wp:posOffset>
                  </wp:positionV>
                  <wp:extent cx="1473835" cy="873760"/>
                  <wp:effectExtent l="0" t="0" r="4445" b="10160"/>
                  <wp:wrapNone/>
                  <wp:docPr id="19" name="图片_22"/>
                  <wp:cNvGraphicFramePr/>
                  <a:graphic xmlns:a="http://schemas.openxmlformats.org/drawingml/2006/main">
                    <a:graphicData uri="http://schemas.openxmlformats.org/drawingml/2006/picture">
                      <pic:pic xmlns:pic="http://schemas.openxmlformats.org/drawingml/2006/picture">
                        <pic:nvPicPr>
                          <pic:cNvPr id="19" name="图片_22"/>
                          <pic:cNvPicPr/>
                        </pic:nvPicPr>
                        <pic:blipFill>
                          <a:blip r:embed="rId22"/>
                          <a:stretch>
                            <a:fillRect/>
                          </a:stretch>
                        </pic:blipFill>
                        <pic:spPr>
                          <a:xfrm>
                            <a:off x="0" y="0"/>
                            <a:ext cx="1473835" cy="8737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10160</wp:posOffset>
                  </wp:positionV>
                  <wp:extent cx="1418590" cy="840105"/>
                  <wp:effectExtent l="0" t="0" r="13970" b="13335"/>
                  <wp:wrapNone/>
                  <wp:docPr id="21" name="图片_21"/>
                  <wp:cNvGraphicFramePr/>
                  <a:graphic xmlns:a="http://schemas.openxmlformats.org/drawingml/2006/main">
                    <a:graphicData uri="http://schemas.openxmlformats.org/drawingml/2006/picture">
                      <pic:pic xmlns:pic="http://schemas.openxmlformats.org/drawingml/2006/picture">
                        <pic:nvPicPr>
                          <pic:cNvPr id="21" name="图片_21"/>
                          <pic:cNvPicPr/>
                        </pic:nvPicPr>
                        <pic:blipFill>
                          <a:blip r:embed="rId23"/>
                          <a:stretch>
                            <a:fillRect/>
                          </a:stretch>
                        </pic:blipFill>
                        <pic:spPr>
                          <a:xfrm>
                            <a:off x="0" y="0"/>
                            <a:ext cx="1418590" cy="84010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1CD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007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981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3.03 </w:t>
            </w:r>
          </w:p>
        </w:tc>
      </w:tr>
      <w:tr w14:paraId="66D60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8B1C178">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90FB0">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28C6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B8737">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73B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6E2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745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4.11 </w:t>
            </w:r>
          </w:p>
        </w:tc>
      </w:tr>
      <w:tr w14:paraId="4CD2A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11480F0">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C04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A9A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孔雀草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D34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853440</wp:posOffset>
                  </wp:positionV>
                  <wp:extent cx="1442720" cy="892175"/>
                  <wp:effectExtent l="0" t="0" r="5080" b="6985"/>
                  <wp:wrapNone/>
                  <wp:docPr id="33" name="图片_23"/>
                  <wp:cNvGraphicFramePr/>
                  <a:graphic xmlns:a="http://schemas.openxmlformats.org/drawingml/2006/main">
                    <a:graphicData uri="http://schemas.openxmlformats.org/drawingml/2006/picture">
                      <pic:pic xmlns:pic="http://schemas.openxmlformats.org/drawingml/2006/picture">
                        <pic:nvPicPr>
                          <pic:cNvPr id="33" name="图片_23"/>
                          <pic:cNvPicPr/>
                        </pic:nvPicPr>
                        <pic:blipFill>
                          <a:blip r:embed="rId24"/>
                          <a:stretch>
                            <a:fillRect/>
                          </a:stretch>
                        </pic:blipFill>
                        <pic:spPr>
                          <a:xfrm>
                            <a:off x="0" y="0"/>
                            <a:ext cx="1442720" cy="89217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23D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985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173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3.23 </w:t>
            </w:r>
          </w:p>
        </w:tc>
      </w:tr>
      <w:tr w14:paraId="2A4C5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D230C6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73E6F">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B6718">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78C62">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12B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184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D5A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4.31 </w:t>
            </w:r>
          </w:p>
        </w:tc>
      </w:tr>
      <w:tr w14:paraId="1CEA1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95AD3CF">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8DA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141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百日草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8966A">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CA7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1C2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D40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4.27 </w:t>
            </w:r>
          </w:p>
        </w:tc>
      </w:tr>
      <w:tr w14:paraId="4592A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21FFA1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42A8B">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360AC">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CFFF5">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7C8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C5A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19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6.71 </w:t>
            </w:r>
          </w:p>
        </w:tc>
      </w:tr>
      <w:tr w14:paraId="5DEA6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52DFD1A">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BFA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BCC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千头菊</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B6C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28575</wp:posOffset>
                  </wp:positionV>
                  <wp:extent cx="1461135" cy="829945"/>
                  <wp:effectExtent l="0" t="0" r="1905" b="8255"/>
                  <wp:wrapNone/>
                  <wp:docPr id="27" name="图片_24"/>
                  <wp:cNvGraphicFramePr/>
                  <a:graphic xmlns:a="http://schemas.openxmlformats.org/drawingml/2006/main">
                    <a:graphicData uri="http://schemas.openxmlformats.org/drawingml/2006/picture">
                      <pic:pic xmlns:pic="http://schemas.openxmlformats.org/drawingml/2006/picture">
                        <pic:nvPicPr>
                          <pic:cNvPr id="27" name="图片_24"/>
                          <pic:cNvPicPr/>
                        </pic:nvPicPr>
                        <pic:blipFill>
                          <a:blip r:embed="rId25"/>
                          <a:stretch>
                            <a:fillRect/>
                          </a:stretch>
                        </pic:blipFill>
                        <pic:spPr>
                          <a:xfrm>
                            <a:off x="0" y="0"/>
                            <a:ext cx="1461135" cy="82994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48F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0BE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05C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7.10 </w:t>
            </w:r>
          </w:p>
        </w:tc>
      </w:tr>
      <w:tr w14:paraId="5D928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2B12BE8">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7D0A3">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61B10">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11CC5">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32B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933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E39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10.90 </w:t>
            </w:r>
          </w:p>
        </w:tc>
      </w:tr>
      <w:tr w14:paraId="35CE1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FC3B262">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1C5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5F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羽衣甘蓝</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D0A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18415</wp:posOffset>
                  </wp:positionV>
                  <wp:extent cx="1459865" cy="885190"/>
                  <wp:effectExtent l="0" t="0" r="3175" b="13970"/>
                  <wp:wrapNone/>
                  <wp:docPr id="30" name="图片_25"/>
                  <wp:cNvGraphicFramePr/>
                  <a:graphic xmlns:a="http://schemas.openxmlformats.org/drawingml/2006/main">
                    <a:graphicData uri="http://schemas.openxmlformats.org/drawingml/2006/picture">
                      <pic:pic xmlns:pic="http://schemas.openxmlformats.org/drawingml/2006/picture">
                        <pic:nvPicPr>
                          <pic:cNvPr id="30" name="图片_25"/>
                          <pic:cNvPicPr/>
                        </pic:nvPicPr>
                        <pic:blipFill>
                          <a:blip r:embed="rId26"/>
                          <a:stretch>
                            <a:fillRect/>
                          </a:stretch>
                        </pic:blipFill>
                        <pic:spPr>
                          <a:xfrm>
                            <a:off x="0" y="0"/>
                            <a:ext cx="1459865" cy="88519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D5C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2C8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8B3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3.15 </w:t>
            </w:r>
          </w:p>
        </w:tc>
      </w:tr>
      <w:tr w14:paraId="6EA8E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6AAAE5F">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60E5">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4F133">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EBC56">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7BD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636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B11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4.47 </w:t>
            </w:r>
          </w:p>
        </w:tc>
      </w:tr>
      <w:tr w14:paraId="17704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BA0AC7E">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555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FD2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欧石竹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A8F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47625</wp:posOffset>
                  </wp:positionV>
                  <wp:extent cx="1445895" cy="882015"/>
                  <wp:effectExtent l="0" t="0" r="1905" b="1905"/>
                  <wp:wrapNone/>
                  <wp:docPr id="20" name="图片_30"/>
                  <wp:cNvGraphicFramePr/>
                  <a:graphic xmlns:a="http://schemas.openxmlformats.org/drawingml/2006/main">
                    <a:graphicData uri="http://schemas.openxmlformats.org/drawingml/2006/picture">
                      <pic:pic xmlns:pic="http://schemas.openxmlformats.org/drawingml/2006/picture">
                        <pic:nvPicPr>
                          <pic:cNvPr id="20" name="图片_30"/>
                          <pic:cNvPicPr/>
                        </pic:nvPicPr>
                        <pic:blipFill>
                          <a:blip r:embed="rId27"/>
                          <a:stretch>
                            <a:fillRect/>
                          </a:stretch>
                        </pic:blipFill>
                        <pic:spPr>
                          <a:xfrm>
                            <a:off x="0" y="0"/>
                            <a:ext cx="1445895" cy="88201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BD5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481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193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3.15</w:t>
            </w:r>
          </w:p>
        </w:tc>
      </w:tr>
      <w:tr w14:paraId="18E33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550777D">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51681">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CD34B">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3C05B">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008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148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CF7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4.11 </w:t>
            </w:r>
          </w:p>
        </w:tc>
      </w:tr>
      <w:tr w14:paraId="33920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E5832FD">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E25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3A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角堇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3B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19050</wp:posOffset>
                  </wp:positionV>
                  <wp:extent cx="1466850" cy="892810"/>
                  <wp:effectExtent l="0" t="0" r="11430" b="6350"/>
                  <wp:wrapNone/>
                  <wp:docPr id="17" name="图片_39"/>
                  <wp:cNvGraphicFramePr/>
                  <a:graphic xmlns:a="http://schemas.openxmlformats.org/drawingml/2006/main">
                    <a:graphicData uri="http://schemas.openxmlformats.org/drawingml/2006/picture">
                      <pic:pic xmlns:pic="http://schemas.openxmlformats.org/drawingml/2006/picture">
                        <pic:nvPicPr>
                          <pic:cNvPr id="17" name="图片_39"/>
                          <pic:cNvPicPr/>
                        </pic:nvPicPr>
                        <pic:blipFill>
                          <a:blip r:embed="rId28"/>
                          <a:stretch>
                            <a:fillRect/>
                          </a:stretch>
                        </pic:blipFill>
                        <pic:spPr>
                          <a:xfrm>
                            <a:off x="0" y="0"/>
                            <a:ext cx="1466850" cy="89281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653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1F4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E40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3.27</w:t>
            </w:r>
          </w:p>
        </w:tc>
      </w:tr>
      <w:tr w14:paraId="06BEE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727DACF">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DC940">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A8D4F">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AB928">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7A4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B08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8B8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4.60 </w:t>
            </w:r>
          </w:p>
        </w:tc>
      </w:tr>
      <w:tr w14:paraId="21482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A723435">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6FD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DBD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三色堇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E6E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28575</wp:posOffset>
                  </wp:positionV>
                  <wp:extent cx="1489710" cy="855980"/>
                  <wp:effectExtent l="0" t="0" r="3810" b="12700"/>
                  <wp:wrapNone/>
                  <wp:docPr id="28" name="图片_27"/>
                  <wp:cNvGraphicFramePr/>
                  <a:graphic xmlns:a="http://schemas.openxmlformats.org/drawingml/2006/main">
                    <a:graphicData uri="http://schemas.openxmlformats.org/drawingml/2006/picture">
                      <pic:pic xmlns:pic="http://schemas.openxmlformats.org/drawingml/2006/picture">
                        <pic:nvPicPr>
                          <pic:cNvPr id="28" name="图片_27"/>
                          <pic:cNvPicPr/>
                        </pic:nvPicPr>
                        <pic:blipFill>
                          <a:blip r:embed="rId29"/>
                          <a:stretch>
                            <a:fillRect/>
                          </a:stretch>
                        </pic:blipFill>
                        <pic:spPr>
                          <a:xfrm>
                            <a:off x="0" y="0"/>
                            <a:ext cx="1489710" cy="85598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46C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B54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36E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3.19 </w:t>
            </w:r>
          </w:p>
        </w:tc>
      </w:tr>
      <w:tr w14:paraId="4F1ED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FBBC471">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75707">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E2D7">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954F7">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BBA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EB6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E41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4.51 </w:t>
            </w:r>
          </w:p>
        </w:tc>
      </w:tr>
      <w:tr w14:paraId="5A568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D1D8D52">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CA9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9A4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金鱼草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D74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28575</wp:posOffset>
                  </wp:positionV>
                  <wp:extent cx="1401445" cy="831850"/>
                  <wp:effectExtent l="0" t="0" r="635" b="6350"/>
                  <wp:wrapNone/>
                  <wp:docPr id="16" name="图片_1_SpCnt_1"/>
                  <wp:cNvGraphicFramePr/>
                  <a:graphic xmlns:a="http://schemas.openxmlformats.org/drawingml/2006/main">
                    <a:graphicData uri="http://schemas.openxmlformats.org/drawingml/2006/picture">
                      <pic:pic xmlns:pic="http://schemas.openxmlformats.org/drawingml/2006/picture">
                        <pic:nvPicPr>
                          <pic:cNvPr id="16" name="图片_1_SpCnt_1"/>
                          <pic:cNvPicPr/>
                        </pic:nvPicPr>
                        <pic:blipFill>
                          <a:blip r:embed="rId30"/>
                          <a:stretch>
                            <a:fillRect/>
                          </a:stretch>
                        </pic:blipFill>
                        <pic:spPr>
                          <a:xfrm>
                            <a:off x="0" y="0"/>
                            <a:ext cx="1401445" cy="83185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F93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A47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D65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4.31 </w:t>
            </w:r>
          </w:p>
        </w:tc>
      </w:tr>
      <w:tr w14:paraId="51EC3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6484713">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48A40">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DCD04">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E4279">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50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CF5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DF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6.27 </w:t>
            </w:r>
          </w:p>
        </w:tc>
      </w:tr>
      <w:tr w14:paraId="539F3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1CB98E5">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54F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A9B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天竺葵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AAD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28575</wp:posOffset>
                  </wp:positionV>
                  <wp:extent cx="1397000" cy="1052195"/>
                  <wp:effectExtent l="0" t="0" r="5080" b="14605"/>
                  <wp:wrapNone/>
                  <wp:docPr id="32" name="图片_15"/>
                  <wp:cNvGraphicFramePr/>
                  <a:graphic xmlns:a="http://schemas.openxmlformats.org/drawingml/2006/main">
                    <a:graphicData uri="http://schemas.openxmlformats.org/drawingml/2006/picture">
                      <pic:pic xmlns:pic="http://schemas.openxmlformats.org/drawingml/2006/picture">
                        <pic:nvPicPr>
                          <pic:cNvPr id="32" name="图片_15"/>
                          <pic:cNvPicPr/>
                        </pic:nvPicPr>
                        <pic:blipFill>
                          <a:blip r:embed="rId31"/>
                          <a:stretch>
                            <a:fillRect/>
                          </a:stretch>
                        </pic:blipFill>
                        <pic:spPr>
                          <a:xfrm>
                            <a:off x="0" y="0"/>
                            <a:ext cx="1397000" cy="105219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0A7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0F6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CEB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5.50 </w:t>
            </w:r>
          </w:p>
        </w:tc>
      </w:tr>
      <w:tr w14:paraId="73694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053E69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7940E">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ABAA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1AA55">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FD1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F97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F47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7.90 </w:t>
            </w:r>
          </w:p>
        </w:tc>
      </w:tr>
      <w:tr w14:paraId="198A5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FFBAD96">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2E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ACC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荷花</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972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66675</wp:posOffset>
                  </wp:positionV>
                  <wp:extent cx="1443990" cy="1137285"/>
                  <wp:effectExtent l="0" t="0" r="3810" b="5715"/>
                  <wp:wrapNone/>
                  <wp:docPr id="25" name="图片_32"/>
                  <wp:cNvGraphicFramePr/>
                  <a:graphic xmlns:a="http://schemas.openxmlformats.org/drawingml/2006/main">
                    <a:graphicData uri="http://schemas.openxmlformats.org/drawingml/2006/picture">
                      <pic:pic xmlns:pic="http://schemas.openxmlformats.org/drawingml/2006/picture">
                        <pic:nvPicPr>
                          <pic:cNvPr id="25" name="图片_32"/>
                          <pic:cNvPicPr/>
                        </pic:nvPicPr>
                        <pic:blipFill>
                          <a:blip r:embed="rId32"/>
                          <a:stretch>
                            <a:fillRect/>
                          </a:stretch>
                        </pic:blipFill>
                        <pic:spPr>
                          <a:xfrm>
                            <a:off x="0" y="0"/>
                            <a:ext cx="1443990" cy="1137285"/>
                          </a:xfrm>
                          <a:prstGeom prst="rect">
                            <a:avLst/>
                          </a:prstGeom>
                          <a:noFill/>
                          <a:ln>
                            <a:noFill/>
                          </a:ln>
                        </pic:spPr>
                      </pic:pic>
                    </a:graphicData>
                  </a:graphic>
                </wp:anchor>
              </w:drawing>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48E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塑料盆直径32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3B7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06F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51.25</w:t>
            </w:r>
          </w:p>
        </w:tc>
      </w:tr>
      <w:tr w14:paraId="0C778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5003BA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E1085">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7DBDB">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4CB3C">
            <w:pPr>
              <w:jc w:val="center"/>
              <w:rPr>
                <w:rFonts w:hint="eastAsia" w:ascii="宋体" w:hAnsi="宋体" w:eastAsia="宋体" w:cs="宋体"/>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7D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塑料盆直径26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C7F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AA0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38.00 </w:t>
            </w:r>
          </w:p>
        </w:tc>
      </w:tr>
      <w:tr w14:paraId="43433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2C2F2F7">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959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C76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荷花</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004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40640</wp:posOffset>
                  </wp:positionV>
                  <wp:extent cx="1442720" cy="953770"/>
                  <wp:effectExtent l="0" t="0" r="5080" b="6350"/>
                  <wp:wrapNone/>
                  <wp:docPr id="29" name="图片_32_SpCnt_1"/>
                  <wp:cNvGraphicFramePr/>
                  <a:graphic xmlns:a="http://schemas.openxmlformats.org/drawingml/2006/main">
                    <a:graphicData uri="http://schemas.openxmlformats.org/drawingml/2006/picture">
                      <pic:pic xmlns:pic="http://schemas.openxmlformats.org/drawingml/2006/picture">
                        <pic:nvPicPr>
                          <pic:cNvPr id="29" name="图片_32_SpCnt_1"/>
                          <pic:cNvPicPr/>
                        </pic:nvPicPr>
                        <pic:blipFill>
                          <a:blip r:embed="rId33"/>
                          <a:stretch>
                            <a:fillRect/>
                          </a:stretch>
                        </pic:blipFill>
                        <pic:spPr>
                          <a:xfrm>
                            <a:off x="0" y="0"/>
                            <a:ext cx="1442720" cy="953770"/>
                          </a:xfrm>
                          <a:prstGeom prst="rect">
                            <a:avLst/>
                          </a:prstGeom>
                          <a:noFill/>
                          <a:ln>
                            <a:noFill/>
                          </a:ln>
                        </pic:spPr>
                      </pic:pic>
                    </a:graphicData>
                  </a:graphic>
                </wp:anchor>
              </w:drawing>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A7F5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塑料盆直径36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39C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1EF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63.50 </w:t>
            </w:r>
          </w:p>
        </w:tc>
      </w:tr>
      <w:tr w14:paraId="20922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8BA5D50">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7007F">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94848">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B2D2C">
            <w:pPr>
              <w:jc w:val="center"/>
              <w:rPr>
                <w:rFonts w:hint="eastAsia" w:ascii="宋体" w:hAnsi="宋体" w:eastAsia="宋体" w:cs="宋体"/>
                <w:i w:val="0"/>
                <w:iCs w:val="0"/>
                <w:color w:val="000000"/>
                <w:sz w:val="24"/>
                <w:szCs w:val="24"/>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48AC5">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EAD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AFACF">
            <w:pPr>
              <w:jc w:val="center"/>
              <w:rPr>
                <w:rFonts w:hint="eastAsia" w:ascii="宋体" w:hAnsi="宋体" w:eastAsia="宋体" w:cs="宋体"/>
                <w:i w:val="0"/>
                <w:iCs w:val="0"/>
                <w:color w:val="000000"/>
                <w:sz w:val="24"/>
                <w:szCs w:val="24"/>
                <w:u w:val="none"/>
              </w:rPr>
            </w:pPr>
          </w:p>
        </w:tc>
      </w:tr>
      <w:tr w14:paraId="6BC11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720B107">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DB1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8B9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一串红</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1BA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18415</wp:posOffset>
                  </wp:positionV>
                  <wp:extent cx="1417955" cy="949325"/>
                  <wp:effectExtent l="0" t="0" r="14605" b="10795"/>
                  <wp:wrapNone/>
                  <wp:docPr id="23" name="图片_34"/>
                  <wp:cNvGraphicFramePr/>
                  <a:graphic xmlns:a="http://schemas.openxmlformats.org/drawingml/2006/main">
                    <a:graphicData uri="http://schemas.openxmlformats.org/drawingml/2006/picture">
                      <pic:pic xmlns:pic="http://schemas.openxmlformats.org/drawingml/2006/picture">
                        <pic:nvPicPr>
                          <pic:cNvPr id="23" name="图片_34"/>
                          <pic:cNvPicPr/>
                        </pic:nvPicPr>
                        <pic:blipFill>
                          <a:blip r:embed="rId34"/>
                          <a:stretch>
                            <a:fillRect/>
                          </a:stretch>
                        </pic:blipFill>
                        <pic:spPr>
                          <a:xfrm>
                            <a:off x="0" y="0"/>
                            <a:ext cx="1417955" cy="94932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BFA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7E5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AB2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3.19 </w:t>
            </w:r>
          </w:p>
        </w:tc>
      </w:tr>
      <w:tr w14:paraId="429A4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511A336">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6501F">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D487E">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918D3">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67A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616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201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4.11</w:t>
            </w:r>
          </w:p>
        </w:tc>
      </w:tr>
      <w:tr w14:paraId="6E88F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2A3E952">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44F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120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非洲凤仙</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E90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38735</wp:posOffset>
                  </wp:positionV>
                  <wp:extent cx="1402715" cy="1022985"/>
                  <wp:effectExtent l="0" t="0" r="14605" b="13335"/>
                  <wp:wrapNone/>
                  <wp:docPr id="24" name="图片_35"/>
                  <wp:cNvGraphicFramePr/>
                  <a:graphic xmlns:a="http://schemas.openxmlformats.org/drawingml/2006/main">
                    <a:graphicData uri="http://schemas.openxmlformats.org/drawingml/2006/picture">
                      <pic:pic xmlns:pic="http://schemas.openxmlformats.org/drawingml/2006/picture">
                        <pic:nvPicPr>
                          <pic:cNvPr id="24" name="图片_35"/>
                          <pic:cNvPicPr/>
                        </pic:nvPicPr>
                        <pic:blipFill>
                          <a:blip r:embed="rId35"/>
                          <a:stretch>
                            <a:fillRect/>
                          </a:stretch>
                        </pic:blipFill>
                        <pic:spPr>
                          <a:xfrm>
                            <a:off x="0" y="0"/>
                            <a:ext cx="1402715" cy="102298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29D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B6D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346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4.31</w:t>
            </w:r>
          </w:p>
        </w:tc>
      </w:tr>
      <w:tr w14:paraId="39B21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97AD216">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DC3D1">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5971E">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00AD9">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48E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DC6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81C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6.03 </w:t>
            </w:r>
          </w:p>
        </w:tc>
      </w:tr>
      <w:tr w14:paraId="6BFF3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9B6D34D">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08F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C88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超级凤仙</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9BD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10160</wp:posOffset>
                  </wp:positionV>
                  <wp:extent cx="1397000" cy="1029335"/>
                  <wp:effectExtent l="0" t="0" r="5080" b="6985"/>
                  <wp:wrapNone/>
                  <wp:docPr id="22" name="图片_36"/>
                  <wp:cNvGraphicFramePr/>
                  <a:graphic xmlns:a="http://schemas.openxmlformats.org/drawingml/2006/main">
                    <a:graphicData uri="http://schemas.openxmlformats.org/drawingml/2006/picture">
                      <pic:pic xmlns:pic="http://schemas.openxmlformats.org/drawingml/2006/picture">
                        <pic:nvPicPr>
                          <pic:cNvPr id="22" name="图片_36"/>
                          <pic:cNvPicPr/>
                        </pic:nvPicPr>
                        <pic:blipFill>
                          <a:blip r:embed="rId36"/>
                          <a:stretch>
                            <a:fillRect/>
                          </a:stretch>
                        </pic:blipFill>
                        <pic:spPr>
                          <a:xfrm>
                            <a:off x="0" y="0"/>
                            <a:ext cx="1397000" cy="102933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160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775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BB1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7.11 </w:t>
            </w:r>
          </w:p>
        </w:tc>
      </w:tr>
      <w:tr w14:paraId="6BCCA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A008BD3">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D0C11">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8DF65">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90AF7">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76E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676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9AF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9.51 </w:t>
            </w:r>
          </w:p>
        </w:tc>
      </w:tr>
      <w:tr w14:paraId="16C46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9132DD5">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8DE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F40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美女樱</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B0C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28575</wp:posOffset>
                  </wp:positionV>
                  <wp:extent cx="1446530" cy="1178560"/>
                  <wp:effectExtent l="0" t="0" r="1270" b="10160"/>
                  <wp:wrapNone/>
                  <wp:docPr id="31" name="图片_37"/>
                  <wp:cNvGraphicFramePr/>
                  <a:graphic xmlns:a="http://schemas.openxmlformats.org/drawingml/2006/main">
                    <a:graphicData uri="http://schemas.openxmlformats.org/drawingml/2006/picture">
                      <pic:pic xmlns:pic="http://schemas.openxmlformats.org/drawingml/2006/picture">
                        <pic:nvPicPr>
                          <pic:cNvPr id="31" name="图片_37"/>
                          <pic:cNvPicPr/>
                        </pic:nvPicPr>
                        <pic:blipFill>
                          <a:blip r:embed="rId37"/>
                          <a:stretch>
                            <a:fillRect/>
                          </a:stretch>
                        </pic:blipFill>
                        <pic:spPr>
                          <a:xfrm>
                            <a:off x="0" y="0"/>
                            <a:ext cx="1446530" cy="117856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53A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5E4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C5F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3.83 </w:t>
            </w:r>
          </w:p>
        </w:tc>
      </w:tr>
      <w:tr w14:paraId="3004E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BA0DBE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B31D">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61949">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A2CA4">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475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F83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E0B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5.79 </w:t>
            </w:r>
          </w:p>
        </w:tc>
      </w:tr>
      <w:tr w14:paraId="4EAEE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12806C9">
            <w:pPr>
              <w:jc w:val="center"/>
              <w:rPr>
                <w:rFonts w:hint="eastAsia" w:ascii="宋体" w:hAnsi="宋体" w:eastAsia="宋体" w:cs="宋体"/>
                <w:i w:val="0"/>
                <w:iCs w:val="0"/>
                <w:color w:val="000000"/>
                <w:sz w:val="24"/>
                <w:szCs w:val="24"/>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16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    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6ACA9">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DECA0">
            <w:pP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779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392.45</w:t>
            </w:r>
          </w:p>
        </w:tc>
      </w:tr>
      <w:tr w14:paraId="5A272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6B5D5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 养 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D38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D19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5FD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2700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单价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B04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费用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（元/月）</w:t>
            </w:r>
          </w:p>
        </w:tc>
      </w:tr>
      <w:tr w14:paraId="50C08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E764004">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787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512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33D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9F9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EF4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16000</w:t>
            </w:r>
          </w:p>
        </w:tc>
      </w:tr>
      <w:tr w14:paraId="7BB4C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C4FA1DE">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2CE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E3C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农药、水溶肥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8C8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188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1BE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r>
      <w:tr w14:paraId="797BF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77C1C8F">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343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AF5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632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E32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DB0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4000</w:t>
            </w:r>
          </w:p>
        </w:tc>
      </w:tr>
      <w:tr w14:paraId="3F1B8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C695432">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531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C9D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23D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BF0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5D5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w:t>
            </w:r>
          </w:p>
        </w:tc>
      </w:tr>
      <w:tr w14:paraId="27A60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752FC0C8">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9AE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117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工具设备成本及维修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6C5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448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DFC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r>
      <w:tr w14:paraId="5C4F2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87BE9FF">
            <w:pPr>
              <w:jc w:val="center"/>
              <w:rPr>
                <w:rFonts w:hint="eastAsia" w:ascii="宋体" w:hAnsi="宋体" w:eastAsia="宋体" w:cs="宋体"/>
                <w:i w:val="0"/>
                <w:iCs w:val="0"/>
                <w:color w:val="000000"/>
                <w:sz w:val="24"/>
                <w:szCs w:val="24"/>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ADE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  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E68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22700</w:t>
            </w:r>
          </w:p>
        </w:tc>
      </w:tr>
      <w:tr w14:paraId="24A26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3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       计</w:t>
            </w:r>
          </w:p>
        </w:tc>
        <w:tc>
          <w:tcPr>
            <w:tcW w:w="0" w:type="auto"/>
            <w:gridSpan w:val="2"/>
            <w:tcBorders>
              <w:top w:val="single" w:color="000000" w:sz="4" w:space="0"/>
              <w:left w:val="single" w:color="000000" w:sz="4" w:space="0"/>
              <w:bottom w:val="single" w:color="000000" w:sz="4" w:space="0"/>
              <w:right w:val="nil"/>
            </w:tcBorders>
            <w:shd w:val="clear" w:color="auto" w:fill="auto"/>
            <w:noWrap/>
            <w:vAlign w:val="center"/>
          </w:tcPr>
          <w:p w14:paraId="015EF256">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ACA89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23092.45</w:t>
            </w:r>
          </w:p>
        </w:tc>
      </w:tr>
    </w:tbl>
    <w:p w14:paraId="012D8AB7">
      <w:pPr>
        <w:pStyle w:val="5"/>
        <w:bidi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二、</w:t>
      </w:r>
      <w:r>
        <w:rPr>
          <w:rFonts w:hint="eastAsia" w:asciiTheme="minorEastAsia" w:hAnsiTheme="minorEastAsia" w:eastAsiaTheme="minorEastAsia" w:cstheme="minorEastAsia"/>
          <w:sz w:val="24"/>
          <w:szCs w:val="24"/>
          <w:highlight w:val="none"/>
          <w:lang w:eastAsia="zh-CN"/>
        </w:rPr>
        <w:t>项目实施要求</w:t>
      </w:r>
    </w:p>
    <w:p w14:paraId="31AAA212">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color w:val="auto"/>
          <w:sz w:val="24"/>
          <w:szCs w:val="24"/>
          <w:highlight w:val="none"/>
          <w:lang w:val="en-US" w:eastAsia="zh-CN"/>
        </w:rPr>
      </w:pPr>
      <w:bookmarkStart w:id="14" w:name="_Toc2193"/>
      <w:r>
        <w:rPr>
          <w:rFonts w:hint="eastAsia" w:asciiTheme="minorEastAsia" w:hAnsiTheme="minorEastAsia" w:eastAsiaTheme="minorEastAsia" w:cstheme="minorEastAsia"/>
          <w:b w:val="0"/>
          <w:bCs w:val="0"/>
          <w:color w:val="auto"/>
          <w:sz w:val="24"/>
          <w:szCs w:val="24"/>
          <w:highlight w:val="none"/>
          <w:lang w:val="en-US" w:eastAsia="zh-CN"/>
        </w:rPr>
        <w:t>1、实施要求</w:t>
      </w:r>
      <w:bookmarkEnd w:id="14"/>
      <w:bookmarkStart w:id="15" w:name="_Toc30998"/>
      <w:r>
        <w:rPr>
          <w:rFonts w:hint="eastAsia" w:asciiTheme="minorEastAsia" w:hAnsiTheme="minorEastAsia" w:eastAsiaTheme="minorEastAsia" w:cstheme="minorEastAsia"/>
          <w:b w:val="0"/>
          <w:bCs w:val="0"/>
          <w:color w:val="auto"/>
          <w:sz w:val="24"/>
          <w:szCs w:val="24"/>
          <w:highlight w:val="none"/>
          <w:lang w:val="en-US" w:eastAsia="zh-CN"/>
        </w:rPr>
        <w:t>：为提升县城城市品质、扮靓县城，现采购新一轮鲜花采购摆放服务，共选用时令鲜花25种，养护项目5项。实现“三季有花、四季常青”的县城环境。</w:t>
      </w:r>
    </w:p>
    <w:p w14:paraId="3D21CBA9">
      <w:pPr>
        <w:keepNext w:val="0"/>
        <w:keepLines w:val="0"/>
        <w:numPr>
          <w:ilvl w:val="0"/>
          <w:numId w:val="0"/>
        </w:numPr>
        <w:bidi w:val="0"/>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w:t>
      </w:r>
      <w:bookmarkEnd w:id="15"/>
      <w:r>
        <w:rPr>
          <w:rFonts w:hint="eastAsia" w:asciiTheme="minorEastAsia" w:hAnsiTheme="minorEastAsia" w:eastAsiaTheme="minorEastAsia" w:cstheme="minorEastAsia"/>
          <w:b w:val="0"/>
          <w:bCs w:val="0"/>
          <w:color w:val="auto"/>
          <w:sz w:val="24"/>
          <w:szCs w:val="24"/>
          <w:highlight w:val="none"/>
          <w:lang w:val="en-US" w:eastAsia="zh-CN"/>
        </w:rPr>
        <w:t>合同履行期限：自签订合同之日起1年</w:t>
      </w:r>
    </w:p>
    <w:p w14:paraId="61D459EE">
      <w:pPr>
        <w:pStyle w:val="5"/>
        <w:bidi w:val="0"/>
        <w:ind w:firstLine="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b w:val="0"/>
          <w:bCs w:val="0"/>
          <w:color w:val="auto"/>
          <w:sz w:val="24"/>
          <w:szCs w:val="24"/>
          <w:highlight w:val="none"/>
          <w:lang w:val="en-US" w:eastAsia="zh-CN"/>
        </w:rPr>
        <w:t>3、工作内容</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rPr>
        <w:t>花卉摆放、日常养护、换季更换、应急处置</w:t>
      </w:r>
      <w:r>
        <w:rPr>
          <w:rFonts w:hint="eastAsia" w:asciiTheme="minorEastAsia" w:hAnsiTheme="minorEastAsia" w:eastAsiaTheme="minorEastAsia" w:cstheme="minorEastAsia"/>
          <w:b w:val="0"/>
          <w:bCs w:val="0"/>
          <w:color w:val="auto"/>
          <w:sz w:val="24"/>
          <w:szCs w:val="24"/>
          <w:highlight w:val="none"/>
          <w:lang w:eastAsia="zh-CN"/>
        </w:rPr>
        <w:t>。</w:t>
      </w:r>
    </w:p>
    <w:p w14:paraId="67A4CA05">
      <w:pPr>
        <w:pStyle w:val="5"/>
        <w:bidi w:val="0"/>
        <w:ind w:firstLine="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三、</w:t>
      </w:r>
      <w:r>
        <w:rPr>
          <w:rFonts w:hint="eastAsia" w:asciiTheme="minorEastAsia" w:hAnsiTheme="minorEastAsia" w:eastAsiaTheme="minorEastAsia" w:cstheme="minorEastAsia"/>
          <w:sz w:val="24"/>
          <w:szCs w:val="24"/>
          <w:highlight w:val="none"/>
          <w:lang w:val="en-US" w:eastAsia="zh-CN"/>
        </w:rPr>
        <w:t>其他要求：采购标的需执行的相关标准规范</w:t>
      </w:r>
    </w:p>
    <w:p w14:paraId="608E840D">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合同签订和服务期限： 本项目合同履行期限：自签订合同之日起1年，采用“年度签约+考核续签”模式，合同一年一签，最多续签</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次。</w:t>
      </w:r>
    </w:p>
    <w:p w14:paraId="7C358AE1">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合同续签条件：每年度服务期满前，采购人将依据本年度考评结果，考评合格且预算资金落实的，双方续签下一年度合同；考评不合格或因政策调整、不可抗力等因素，采购人有权终止合同，不再续签。</w:t>
      </w:r>
    </w:p>
    <w:p w14:paraId="2A8A1293">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其他说明：各年度服务内容、标准、预算金额等均按本采购需求执行，无特殊约定不得变更；年度合同履行时间以双方签署的书面合同为准。</w:t>
      </w:r>
    </w:p>
    <w:p w14:paraId="30FEB9CC">
      <w:pPr>
        <w:bidi w:val="0"/>
        <w:spacing w:line="360" w:lineRule="auto"/>
        <w:rPr>
          <w:rFonts w:hint="eastAsia" w:asciiTheme="minorEastAsia" w:hAnsiTheme="minorEastAsia" w:eastAsiaTheme="minorEastAsia" w:cstheme="minorEastAsia"/>
          <w:b w:val="0"/>
          <w:bCs w:val="0"/>
          <w:color w:val="auto"/>
          <w:sz w:val="24"/>
          <w:szCs w:val="24"/>
          <w:highlight w:val="none"/>
          <w:lang w:eastAsia="zh-CN"/>
        </w:rPr>
      </w:pPr>
    </w:p>
    <w:p w14:paraId="0B95C76B">
      <w:pPr>
        <w:spacing w:line="560" w:lineRule="exact"/>
        <w:ind w:firstLine="482" w:firstLineChars="200"/>
        <w:rPr>
          <w:rStyle w:val="43"/>
          <w:rFonts w:hint="eastAsia" w:asciiTheme="minorEastAsia" w:hAnsiTheme="minorEastAsia" w:eastAsiaTheme="minorEastAsia" w:cstheme="minorEastAsia"/>
          <w:bCs/>
          <w:color w:val="auto"/>
          <w:sz w:val="24"/>
          <w:szCs w:val="24"/>
          <w:highlight w:val="none"/>
          <w:lang w:val="en-US" w:eastAsia="zh-CN" w:bidi="ar-SA"/>
        </w:rPr>
      </w:pPr>
      <w:r>
        <w:rPr>
          <w:rStyle w:val="43"/>
          <w:rFonts w:hint="eastAsia" w:asciiTheme="minorEastAsia" w:hAnsiTheme="minorEastAsia" w:eastAsiaTheme="minorEastAsia" w:cstheme="minorEastAsia"/>
          <w:bCs/>
          <w:color w:val="auto"/>
          <w:sz w:val="24"/>
          <w:szCs w:val="24"/>
          <w:highlight w:val="none"/>
          <w:lang w:val="en-US" w:eastAsia="zh-CN" w:bidi="ar-SA"/>
        </w:rPr>
        <w:br w:type="page"/>
      </w:r>
    </w:p>
    <w:p w14:paraId="6D6F525B">
      <w:pPr>
        <w:spacing w:line="360" w:lineRule="auto"/>
        <w:jc w:val="center"/>
        <w:outlineLvl w:val="0"/>
        <w:rPr>
          <w:rStyle w:val="43"/>
          <w:rFonts w:hint="eastAsia" w:ascii="宋体" w:hAnsi="宋体" w:eastAsia="宋体" w:cs="宋体"/>
          <w:bCs/>
          <w:color w:val="auto"/>
          <w:sz w:val="32"/>
          <w:szCs w:val="32"/>
          <w:highlight w:val="none"/>
          <w:lang w:val="en-US" w:eastAsia="zh-CN" w:bidi="ar-SA"/>
        </w:rPr>
      </w:pPr>
      <w:r>
        <w:rPr>
          <w:rStyle w:val="43"/>
          <w:rFonts w:hint="eastAsia" w:ascii="宋体" w:hAnsi="宋体" w:eastAsia="宋体" w:cs="宋体"/>
          <w:bCs/>
          <w:color w:val="auto"/>
          <w:sz w:val="32"/>
          <w:szCs w:val="32"/>
          <w:highlight w:val="none"/>
          <w:lang w:val="en-US" w:eastAsia="zh-CN" w:bidi="ar-SA"/>
        </w:rPr>
        <w:t>第四章   合同格式及主要条款</w:t>
      </w:r>
    </w:p>
    <w:p w14:paraId="5C8B9E78">
      <w:pPr>
        <w:pStyle w:val="6"/>
        <w:ind w:left="0" w:leftChars="0" w:firstLine="0" w:firstLineChars="0"/>
        <w:rPr>
          <w:rFonts w:hint="eastAsia" w:ascii="宋体" w:hAnsi="宋体" w:eastAsia="宋体" w:cs="宋体"/>
          <w:color w:val="auto"/>
          <w:highlight w:val="none"/>
          <w:lang w:val="en-US" w:eastAsia="zh-CN"/>
        </w:rPr>
      </w:pPr>
    </w:p>
    <w:p w14:paraId="36F15FF5">
      <w:pPr>
        <w:pStyle w:val="10"/>
        <w:spacing w:before="71" w:line="222" w:lineRule="auto"/>
        <w:ind w:left="96"/>
        <w:rPr>
          <w:rFonts w:hint="eastAsia" w:ascii="宋体" w:hAnsi="宋体" w:eastAsia="宋体" w:cs="宋体"/>
          <w:color w:val="auto"/>
          <w:sz w:val="22"/>
          <w:szCs w:val="22"/>
          <w:highlight w:val="none"/>
        </w:rPr>
      </w:pPr>
      <w:r>
        <w:rPr>
          <w:rFonts w:hint="eastAsia" w:ascii="宋体" w:hAnsi="宋体" w:eastAsia="宋体" w:cs="宋体"/>
          <w:b/>
          <w:bCs/>
          <w:color w:val="auto"/>
          <w:spacing w:val="-2"/>
          <w:sz w:val="22"/>
          <w:szCs w:val="22"/>
          <w:highlight w:val="none"/>
        </w:rPr>
        <w:t>（本格式条款供双方签订合同参考，采购人可根据项目的实际情况增加条款和内容）</w:t>
      </w:r>
    </w:p>
    <w:p w14:paraId="4769F82C">
      <w:pPr>
        <w:spacing w:line="246" w:lineRule="auto"/>
        <w:rPr>
          <w:rFonts w:hint="eastAsia" w:ascii="宋体" w:hAnsi="宋体" w:eastAsia="宋体" w:cs="宋体"/>
          <w:color w:val="auto"/>
          <w:sz w:val="21"/>
          <w:highlight w:val="none"/>
        </w:rPr>
      </w:pPr>
    </w:p>
    <w:p w14:paraId="38101549">
      <w:pPr>
        <w:spacing w:line="246" w:lineRule="auto"/>
        <w:rPr>
          <w:rFonts w:hint="eastAsia" w:ascii="宋体" w:hAnsi="宋体" w:eastAsia="宋体" w:cs="宋体"/>
          <w:color w:val="auto"/>
          <w:sz w:val="21"/>
          <w:highlight w:val="none"/>
        </w:rPr>
      </w:pPr>
    </w:p>
    <w:p w14:paraId="5420637D">
      <w:pPr>
        <w:spacing w:line="246" w:lineRule="auto"/>
        <w:rPr>
          <w:rFonts w:hint="eastAsia" w:ascii="宋体" w:hAnsi="宋体" w:eastAsia="宋体" w:cs="宋体"/>
          <w:color w:val="auto"/>
          <w:sz w:val="21"/>
          <w:highlight w:val="none"/>
        </w:rPr>
      </w:pPr>
    </w:p>
    <w:p w14:paraId="6E0D8FFB">
      <w:pPr>
        <w:spacing w:line="246" w:lineRule="auto"/>
        <w:rPr>
          <w:rFonts w:hint="eastAsia" w:ascii="宋体" w:hAnsi="宋体" w:eastAsia="宋体" w:cs="宋体"/>
          <w:color w:val="auto"/>
          <w:sz w:val="21"/>
          <w:highlight w:val="none"/>
        </w:rPr>
      </w:pPr>
    </w:p>
    <w:p w14:paraId="1374808A">
      <w:pPr>
        <w:spacing w:line="246" w:lineRule="auto"/>
        <w:rPr>
          <w:rFonts w:hint="eastAsia" w:ascii="宋体" w:hAnsi="宋体" w:eastAsia="宋体" w:cs="宋体"/>
          <w:color w:val="auto"/>
          <w:sz w:val="21"/>
          <w:highlight w:val="none"/>
        </w:rPr>
      </w:pPr>
    </w:p>
    <w:p w14:paraId="4D93A0C1">
      <w:pPr>
        <w:spacing w:line="246" w:lineRule="auto"/>
        <w:rPr>
          <w:rFonts w:hint="eastAsia" w:ascii="宋体" w:hAnsi="宋体" w:eastAsia="宋体" w:cs="宋体"/>
          <w:color w:val="auto"/>
          <w:sz w:val="21"/>
          <w:highlight w:val="none"/>
        </w:rPr>
      </w:pPr>
    </w:p>
    <w:p w14:paraId="064FD5F3">
      <w:pPr>
        <w:spacing w:line="246" w:lineRule="auto"/>
        <w:rPr>
          <w:rFonts w:hint="eastAsia" w:ascii="宋体" w:hAnsi="宋体" w:eastAsia="宋体" w:cs="宋体"/>
          <w:color w:val="auto"/>
          <w:sz w:val="21"/>
          <w:highlight w:val="none"/>
        </w:rPr>
      </w:pPr>
    </w:p>
    <w:p w14:paraId="4528A35A">
      <w:pPr>
        <w:pStyle w:val="10"/>
        <w:spacing w:before="140" w:line="226" w:lineRule="auto"/>
        <w:ind w:left="683"/>
        <w:jc w:val="center"/>
        <w:rPr>
          <w:rFonts w:hint="eastAsia" w:ascii="宋体" w:hAnsi="宋体" w:eastAsia="宋体" w:cs="宋体"/>
          <w:b/>
          <w:bCs/>
          <w:color w:val="auto"/>
          <w:sz w:val="48"/>
          <w:szCs w:val="48"/>
          <w:highlight w:val="none"/>
          <w:lang w:eastAsia="zh-CN"/>
        </w:rPr>
      </w:pPr>
      <w:r>
        <w:rPr>
          <w:rFonts w:hint="eastAsia" w:ascii="宋体" w:hAnsi="宋体" w:cs="宋体"/>
          <w:b/>
          <w:bCs/>
          <w:color w:val="auto"/>
          <w:spacing w:val="4"/>
          <w:sz w:val="48"/>
          <w:szCs w:val="48"/>
          <w:highlight w:val="none"/>
          <w:lang w:eastAsia="zh-CN"/>
        </w:rPr>
        <w:t>长武县城区摆放时令鲜花项目</w:t>
      </w:r>
    </w:p>
    <w:p w14:paraId="16A5B243">
      <w:pPr>
        <w:spacing w:line="242" w:lineRule="auto"/>
        <w:rPr>
          <w:rFonts w:hint="eastAsia" w:ascii="宋体" w:hAnsi="宋体" w:eastAsia="宋体" w:cs="宋体"/>
          <w:color w:val="auto"/>
          <w:sz w:val="21"/>
          <w:highlight w:val="none"/>
        </w:rPr>
      </w:pPr>
    </w:p>
    <w:p w14:paraId="0882D84E">
      <w:pPr>
        <w:spacing w:line="242" w:lineRule="auto"/>
        <w:rPr>
          <w:rFonts w:hint="eastAsia" w:ascii="宋体" w:hAnsi="宋体" w:eastAsia="宋体" w:cs="宋体"/>
          <w:color w:val="auto"/>
          <w:sz w:val="21"/>
          <w:highlight w:val="none"/>
        </w:rPr>
      </w:pPr>
    </w:p>
    <w:p w14:paraId="677CA917">
      <w:pPr>
        <w:spacing w:line="242" w:lineRule="auto"/>
        <w:rPr>
          <w:rFonts w:hint="eastAsia" w:ascii="宋体" w:hAnsi="宋体" w:eastAsia="宋体" w:cs="宋体"/>
          <w:color w:val="auto"/>
          <w:sz w:val="21"/>
          <w:highlight w:val="none"/>
        </w:rPr>
      </w:pPr>
    </w:p>
    <w:p w14:paraId="737D4597">
      <w:pPr>
        <w:spacing w:line="242" w:lineRule="auto"/>
        <w:rPr>
          <w:rFonts w:hint="eastAsia" w:ascii="宋体" w:hAnsi="宋体" w:eastAsia="宋体" w:cs="宋体"/>
          <w:color w:val="auto"/>
          <w:sz w:val="21"/>
          <w:highlight w:val="none"/>
        </w:rPr>
      </w:pPr>
    </w:p>
    <w:p w14:paraId="63AE5E75">
      <w:pPr>
        <w:spacing w:line="243" w:lineRule="auto"/>
        <w:rPr>
          <w:rFonts w:hint="eastAsia" w:ascii="宋体" w:hAnsi="宋体" w:eastAsia="宋体" w:cs="宋体"/>
          <w:color w:val="auto"/>
          <w:sz w:val="21"/>
          <w:highlight w:val="none"/>
        </w:rPr>
      </w:pPr>
    </w:p>
    <w:p w14:paraId="03AEFF3E">
      <w:pPr>
        <w:spacing w:line="243" w:lineRule="auto"/>
        <w:rPr>
          <w:rFonts w:hint="eastAsia" w:ascii="宋体" w:hAnsi="宋体" w:eastAsia="宋体" w:cs="宋体"/>
          <w:color w:val="auto"/>
          <w:sz w:val="21"/>
          <w:highlight w:val="none"/>
        </w:rPr>
      </w:pPr>
    </w:p>
    <w:p w14:paraId="5C78B332">
      <w:pPr>
        <w:spacing w:line="243" w:lineRule="auto"/>
        <w:rPr>
          <w:rFonts w:hint="eastAsia" w:ascii="宋体" w:hAnsi="宋体" w:eastAsia="宋体" w:cs="宋体"/>
          <w:color w:val="auto"/>
          <w:sz w:val="21"/>
          <w:highlight w:val="none"/>
        </w:rPr>
      </w:pPr>
    </w:p>
    <w:p w14:paraId="1C9724D4">
      <w:pPr>
        <w:spacing w:line="243" w:lineRule="auto"/>
        <w:rPr>
          <w:rFonts w:hint="eastAsia" w:ascii="宋体" w:hAnsi="宋体" w:eastAsia="宋体" w:cs="宋体"/>
          <w:color w:val="auto"/>
          <w:sz w:val="21"/>
          <w:highlight w:val="none"/>
        </w:rPr>
      </w:pPr>
    </w:p>
    <w:p w14:paraId="10B9FEAC">
      <w:pPr>
        <w:spacing w:line="243" w:lineRule="auto"/>
        <w:rPr>
          <w:rFonts w:hint="eastAsia" w:ascii="宋体" w:hAnsi="宋体" w:eastAsia="宋体" w:cs="宋体"/>
          <w:color w:val="auto"/>
          <w:sz w:val="21"/>
          <w:highlight w:val="none"/>
        </w:rPr>
      </w:pPr>
    </w:p>
    <w:p w14:paraId="2066A04D">
      <w:pPr>
        <w:pStyle w:val="10"/>
        <w:spacing w:before="136" w:line="227" w:lineRule="auto"/>
        <w:ind w:left="0" w:firstLine="2554" w:firstLineChars="600"/>
        <w:rPr>
          <w:rFonts w:hint="eastAsia" w:ascii="宋体" w:hAnsi="宋体" w:eastAsia="宋体" w:cs="宋体"/>
          <w:color w:val="auto"/>
          <w:sz w:val="42"/>
          <w:szCs w:val="42"/>
          <w:highlight w:val="none"/>
        </w:rPr>
      </w:pPr>
      <w:r>
        <w:rPr>
          <w:rFonts w:hint="eastAsia" w:ascii="宋体" w:hAnsi="宋体" w:eastAsia="宋体" w:cs="宋体"/>
          <w:b/>
          <w:bCs/>
          <w:color w:val="auto"/>
          <w:spacing w:val="2"/>
          <w:sz w:val="42"/>
          <w:szCs w:val="42"/>
          <w:highlight w:val="none"/>
        </w:rPr>
        <w:t>政府采购</w:t>
      </w:r>
      <w:r>
        <w:rPr>
          <w:rFonts w:hint="eastAsia" w:ascii="宋体" w:hAnsi="宋体" w:cs="宋体"/>
          <w:b/>
          <w:bCs/>
          <w:color w:val="auto"/>
          <w:spacing w:val="2"/>
          <w:sz w:val="42"/>
          <w:szCs w:val="42"/>
          <w:highlight w:val="none"/>
          <w:lang w:val="en-US" w:eastAsia="zh-CN"/>
        </w:rPr>
        <w:t>服务</w:t>
      </w:r>
      <w:r>
        <w:rPr>
          <w:rFonts w:hint="eastAsia" w:ascii="宋体" w:hAnsi="宋体" w:eastAsia="宋体" w:cs="宋体"/>
          <w:b/>
          <w:bCs/>
          <w:color w:val="auto"/>
          <w:spacing w:val="2"/>
          <w:sz w:val="42"/>
          <w:szCs w:val="42"/>
          <w:highlight w:val="none"/>
        </w:rPr>
        <w:t>合同</w:t>
      </w:r>
    </w:p>
    <w:p w14:paraId="40625F66">
      <w:pPr>
        <w:spacing w:line="241" w:lineRule="auto"/>
        <w:rPr>
          <w:rFonts w:hint="eastAsia" w:ascii="宋体" w:hAnsi="宋体" w:eastAsia="宋体" w:cs="宋体"/>
          <w:color w:val="auto"/>
          <w:sz w:val="21"/>
          <w:highlight w:val="none"/>
        </w:rPr>
      </w:pPr>
    </w:p>
    <w:p w14:paraId="7CBB99FB">
      <w:pPr>
        <w:spacing w:line="241" w:lineRule="auto"/>
        <w:rPr>
          <w:rFonts w:hint="eastAsia" w:ascii="宋体" w:hAnsi="宋体" w:eastAsia="宋体" w:cs="宋体"/>
          <w:color w:val="auto"/>
          <w:sz w:val="21"/>
          <w:highlight w:val="none"/>
        </w:rPr>
      </w:pPr>
    </w:p>
    <w:p w14:paraId="29BD5989">
      <w:pPr>
        <w:spacing w:line="241" w:lineRule="auto"/>
        <w:rPr>
          <w:rFonts w:hint="eastAsia" w:ascii="宋体" w:hAnsi="宋体" w:eastAsia="宋体" w:cs="宋体"/>
          <w:color w:val="auto"/>
          <w:sz w:val="21"/>
          <w:highlight w:val="none"/>
        </w:rPr>
      </w:pPr>
    </w:p>
    <w:p w14:paraId="7BC4D669">
      <w:pPr>
        <w:spacing w:line="241" w:lineRule="auto"/>
        <w:rPr>
          <w:rFonts w:hint="eastAsia" w:ascii="宋体" w:hAnsi="宋体" w:eastAsia="宋体" w:cs="宋体"/>
          <w:color w:val="auto"/>
          <w:sz w:val="21"/>
          <w:highlight w:val="none"/>
        </w:rPr>
      </w:pPr>
    </w:p>
    <w:p w14:paraId="31B0C020">
      <w:pPr>
        <w:spacing w:line="241" w:lineRule="auto"/>
        <w:rPr>
          <w:rFonts w:hint="eastAsia" w:ascii="宋体" w:hAnsi="宋体" w:eastAsia="宋体" w:cs="宋体"/>
          <w:color w:val="auto"/>
          <w:sz w:val="21"/>
          <w:highlight w:val="none"/>
        </w:rPr>
      </w:pPr>
    </w:p>
    <w:p w14:paraId="397030D2">
      <w:pPr>
        <w:spacing w:line="241" w:lineRule="auto"/>
        <w:rPr>
          <w:rFonts w:hint="eastAsia" w:ascii="宋体" w:hAnsi="宋体" w:eastAsia="宋体" w:cs="宋体"/>
          <w:color w:val="auto"/>
          <w:sz w:val="21"/>
          <w:highlight w:val="none"/>
        </w:rPr>
      </w:pPr>
    </w:p>
    <w:p w14:paraId="3F8053F2">
      <w:pPr>
        <w:spacing w:line="241" w:lineRule="auto"/>
        <w:rPr>
          <w:rFonts w:hint="eastAsia" w:ascii="宋体" w:hAnsi="宋体" w:eastAsia="宋体" w:cs="宋体"/>
          <w:color w:val="auto"/>
          <w:sz w:val="21"/>
          <w:highlight w:val="none"/>
        </w:rPr>
      </w:pPr>
    </w:p>
    <w:p w14:paraId="64F690F3">
      <w:pPr>
        <w:spacing w:line="241" w:lineRule="auto"/>
        <w:rPr>
          <w:rFonts w:hint="eastAsia" w:ascii="宋体" w:hAnsi="宋体" w:eastAsia="宋体" w:cs="宋体"/>
          <w:color w:val="auto"/>
          <w:sz w:val="21"/>
          <w:highlight w:val="none"/>
        </w:rPr>
      </w:pPr>
    </w:p>
    <w:p w14:paraId="3077A537">
      <w:pPr>
        <w:spacing w:line="241" w:lineRule="auto"/>
        <w:rPr>
          <w:rFonts w:hint="eastAsia" w:ascii="宋体" w:hAnsi="宋体" w:eastAsia="宋体" w:cs="宋体"/>
          <w:color w:val="auto"/>
          <w:sz w:val="21"/>
          <w:highlight w:val="none"/>
        </w:rPr>
      </w:pPr>
    </w:p>
    <w:p w14:paraId="6197D96C">
      <w:pPr>
        <w:spacing w:line="241" w:lineRule="auto"/>
        <w:rPr>
          <w:rFonts w:hint="eastAsia" w:ascii="宋体" w:hAnsi="宋体" w:eastAsia="宋体" w:cs="宋体"/>
          <w:color w:val="auto"/>
          <w:sz w:val="21"/>
          <w:highlight w:val="none"/>
        </w:rPr>
      </w:pPr>
    </w:p>
    <w:p w14:paraId="2F08FA15">
      <w:pPr>
        <w:spacing w:line="241" w:lineRule="auto"/>
        <w:rPr>
          <w:rFonts w:hint="eastAsia" w:ascii="宋体" w:hAnsi="宋体" w:eastAsia="宋体" w:cs="宋体"/>
          <w:color w:val="auto"/>
          <w:sz w:val="21"/>
          <w:highlight w:val="none"/>
        </w:rPr>
      </w:pPr>
    </w:p>
    <w:p w14:paraId="6A0A7832">
      <w:pPr>
        <w:spacing w:line="241" w:lineRule="auto"/>
        <w:rPr>
          <w:rFonts w:hint="eastAsia" w:ascii="宋体" w:hAnsi="宋体" w:eastAsia="宋体" w:cs="宋体"/>
          <w:color w:val="auto"/>
          <w:sz w:val="21"/>
          <w:highlight w:val="none"/>
        </w:rPr>
      </w:pPr>
    </w:p>
    <w:p w14:paraId="16E1D7ED">
      <w:pPr>
        <w:spacing w:line="241" w:lineRule="auto"/>
        <w:rPr>
          <w:rFonts w:hint="eastAsia" w:ascii="宋体" w:hAnsi="宋体" w:eastAsia="宋体" w:cs="宋体"/>
          <w:color w:val="auto"/>
          <w:sz w:val="21"/>
          <w:highlight w:val="none"/>
        </w:rPr>
      </w:pPr>
    </w:p>
    <w:p w14:paraId="03BC5EB1">
      <w:pPr>
        <w:spacing w:line="241" w:lineRule="auto"/>
        <w:rPr>
          <w:rFonts w:hint="eastAsia" w:ascii="宋体" w:hAnsi="宋体" w:eastAsia="宋体" w:cs="宋体"/>
          <w:color w:val="auto"/>
          <w:sz w:val="21"/>
          <w:highlight w:val="none"/>
        </w:rPr>
      </w:pPr>
    </w:p>
    <w:p w14:paraId="13FEEBFB">
      <w:pPr>
        <w:spacing w:line="242" w:lineRule="auto"/>
        <w:rPr>
          <w:rFonts w:hint="eastAsia" w:ascii="宋体" w:hAnsi="宋体" w:eastAsia="宋体" w:cs="宋体"/>
          <w:color w:val="auto"/>
          <w:sz w:val="21"/>
          <w:highlight w:val="none"/>
        </w:rPr>
      </w:pPr>
    </w:p>
    <w:p w14:paraId="143FC702">
      <w:pPr>
        <w:pStyle w:val="10"/>
        <w:spacing w:before="91" w:line="223" w:lineRule="auto"/>
        <w:ind w:left="843"/>
        <w:rPr>
          <w:rFonts w:hint="eastAsia" w:ascii="宋体" w:hAnsi="宋体" w:eastAsia="宋体" w:cs="宋体"/>
          <w:color w:val="auto"/>
          <w:sz w:val="28"/>
          <w:szCs w:val="28"/>
          <w:highlight w:val="none"/>
          <w:u w:val="single"/>
          <w:lang w:val="en-US" w:eastAsia="zh-CN"/>
        </w:rPr>
      </w:pPr>
      <w:r>
        <w:rPr>
          <w:rFonts w:hint="eastAsia" w:ascii="宋体" w:hAnsi="宋体" w:eastAsia="宋体" w:cs="宋体"/>
          <w:b/>
          <w:bCs/>
          <w:color w:val="auto"/>
          <w:spacing w:val="-4"/>
          <w:sz w:val="28"/>
          <w:szCs w:val="28"/>
          <w:highlight w:val="none"/>
        </w:rPr>
        <w:t>采购人：</w:t>
      </w:r>
      <w:r>
        <w:rPr>
          <w:rFonts w:hint="eastAsia" w:ascii="宋体" w:hAnsi="宋体" w:eastAsia="宋体" w:cs="宋体"/>
          <w:b/>
          <w:bCs/>
          <w:color w:val="auto"/>
          <w:spacing w:val="-4"/>
          <w:sz w:val="28"/>
          <w:szCs w:val="28"/>
          <w:highlight w:val="none"/>
          <w:u w:val="single"/>
          <w:lang w:val="en-US" w:eastAsia="zh-CN"/>
        </w:rPr>
        <w:t xml:space="preserve">                            </w:t>
      </w:r>
    </w:p>
    <w:p w14:paraId="4C0950FB">
      <w:pPr>
        <w:pStyle w:val="10"/>
        <w:spacing w:before="285" w:line="224" w:lineRule="auto"/>
        <w:ind w:left="844"/>
        <w:rPr>
          <w:rFonts w:hint="eastAsia" w:ascii="宋体" w:hAnsi="宋体" w:eastAsia="宋体" w:cs="宋体"/>
          <w:color w:val="auto"/>
          <w:sz w:val="28"/>
          <w:szCs w:val="28"/>
          <w:highlight w:val="none"/>
          <w:u w:val="single"/>
          <w:lang w:val="en-US" w:eastAsia="zh-CN"/>
        </w:rPr>
        <w:sectPr>
          <w:footerReference r:id="rId9" w:type="default"/>
          <w:pgSz w:w="11906" w:h="16840"/>
          <w:pgMar w:top="1389" w:right="1786" w:bottom="1389" w:left="1786" w:header="0" w:footer="668" w:gutter="0"/>
          <w:pgNumType w:fmt="decimal"/>
          <w:cols w:space="720" w:num="1"/>
          <w:rtlGutter w:val="0"/>
        </w:sectPr>
      </w:pPr>
      <w:r>
        <w:rPr>
          <w:rFonts w:hint="eastAsia" w:ascii="宋体" w:hAnsi="宋体" w:eastAsia="宋体" w:cs="宋体"/>
          <w:b/>
          <w:bCs/>
          <w:color w:val="auto"/>
          <w:spacing w:val="-8"/>
          <w:sz w:val="28"/>
          <w:szCs w:val="28"/>
          <w:highlight w:val="none"/>
        </w:rPr>
        <w:t>供应商：</w:t>
      </w:r>
      <w:r>
        <w:rPr>
          <w:rFonts w:hint="eastAsia" w:ascii="宋体" w:hAnsi="宋体" w:eastAsia="宋体" w:cs="宋体"/>
          <w:b/>
          <w:bCs/>
          <w:color w:val="auto"/>
          <w:spacing w:val="-8"/>
          <w:sz w:val="28"/>
          <w:szCs w:val="28"/>
          <w:highlight w:val="none"/>
          <w:u w:val="single"/>
          <w:lang w:val="en-US" w:eastAsia="zh-CN"/>
        </w:rPr>
        <w:t xml:space="preserve">                             </w:t>
      </w:r>
    </w:p>
    <w:p w14:paraId="6E00315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甲方：</w:t>
      </w:r>
      <w:r>
        <w:rPr>
          <w:rFonts w:hint="eastAsia" w:ascii="宋体" w:hAnsi="宋体" w:eastAsia="宋体" w:cs="宋体"/>
          <w:kern w:val="0"/>
          <w:sz w:val="24"/>
          <w:szCs w:val="24"/>
          <w:highlight w:val="none"/>
          <w:u w:val="single"/>
          <w:lang w:val="en-US" w:eastAsia="zh-CN"/>
        </w:rPr>
        <w:t xml:space="preserve">                 </w:t>
      </w:r>
    </w:p>
    <w:p w14:paraId="30CF0B8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乙方：</w:t>
      </w:r>
      <w:r>
        <w:rPr>
          <w:rFonts w:hint="eastAsia" w:ascii="宋体" w:hAnsi="宋体" w:eastAsia="宋体" w:cs="宋体"/>
          <w:kern w:val="0"/>
          <w:sz w:val="24"/>
          <w:szCs w:val="24"/>
          <w:highlight w:val="none"/>
          <w:u w:val="single"/>
          <w:lang w:val="en-US" w:eastAsia="zh-CN"/>
        </w:rPr>
        <w:t xml:space="preserve">                 </w:t>
      </w:r>
    </w:p>
    <w:p w14:paraId="76EB830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依据《中华人民共和国民法典》《中华人民共和国政府采购法》及</w:t>
      </w:r>
      <w:r>
        <w:rPr>
          <w:rFonts w:hint="eastAsia" w:ascii="宋体" w:hAnsi="宋体" w:eastAsia="宋体" w:cs="宋体"/>
          <w:sz w:val="24"/>
          <w:szCs w:val="24"/>
          <w:highlight w:val="none"/>
          <w:lang w:val="en-US" w:eastAsia="zh-CN"/>
        </w:rPr>
        <w:t>采购合同涉及</w:t>
      </w:r>
      <w:r>
        <w:rPr>
          <w:rFonts w:hint="eastAsia" w:ascii="宋体" w:hAnsi="宋体" w:eastAsia="宋体" w:cs="宋体"/>
          <w:sz w:val="24"/>
          <w:szCs w:val="24"/>
          <w:highlight w:val="none"/>
        </w:rPr>
        <w:t>行业有关的法律法规，甲、乙双方同意签订本合同。本项目的</w:t>
      </w: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val="en-US" w:eastAsia="zh-CN"/>
        </w:rPr>
        <w:t>中标</w:t>
      </w:r>
      <w:r>
        <w:rPr>
          <w:rFonts w:hint="eastAsia" w:ascii="宋体" w:hAnsi="宋体" w:eastAsia="宋体" w:cs="宋体"/>
          <w:sz w:val="24"/>
          <w:szCs w:val="24"/>
          <w:highlight w:val="none"/>
        </w:rPr>
        <w:t>通知书</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补充协议</w:t>
      </w:r>
      <w:r>
        <w:rPr>
          <w:rFonts w:hint="eastAsia" w:ascii="宋体" w:hAnsi="宋体" w:eastAsia="宋体" w:cs="宋体"/>
          <w:sz w:val="24"/>
          <w:szCs w:val="24"/>
          <w:highlight w:val="none"/>
        </w:rPr>
        <w:t>等均为本合同的组成部分。</w:t>
      </w:r>
    </w:p>
    <w:p w14:paraId="2A452BC4">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jc w:val="left"/>
        <w:textAlignment w:val="auto"/>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第一条 货物名称、规格</w:t>
      </w:r>
    </w:p>
    <w:p w14:paraId="31BFF2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项目名称：</w:t>
      </w:r>
      <w:r>
        <w:rPr>
          <w:rFonts w:hint="eastAsia" w:ascii="宋体" w:hAnsi="宋体" w:eastAsia="宋体" w:cs="宋体"/>
          <w:kern w:val="0"/>
          <w:sz w:val="24"/>
          <w:szCs w:val="24"/>
          <w:highlight w:val="none"/>
          <w:u w:val="single"/>
          <w:lang w:val="en-US" w:eastAsia="zh-CN" w:bidi="ar-SA"/>
        </w:rPr>
        <w:t xml:space="preserve">                              </w:t>
      </w:r>
    </w:p>
    <w:p w14:paraId="14B877D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jc w:val="left"/>
        <w:textAlignment w:val="auto"/>
        <w:rPr>
          <w:rFonts w:hint="default"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第二条 货物质量、包装、运输要求</w:t>
      </w:r>
    </w:p>
    <w:p w14:paraId="58F7F0DE">
      <w:pPr>
        <w:keepNext w:val="0"/>
        <w:keepLines w:val="0"/>
        <w:pageBreakBefore w:val="0"/>
        <w:kinsoku/>
        <w:wordWrap/>
        <w:overflowPunct/>
        <w:topLinePunct w:val="0"/>
        <w:bidi w:val="0"/>
        <w:spacing w:line="360" w:lineRule="auto"/>
        <w:ind w:left="0" w:leftChars="0" w:right="0" w:firstLine="482" w:firstLineChars="200"/>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1、质量保证</w:t>
      </w:r>
    </w:p>
    <w:p w14:paraId="176B7C78">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(1)乙方提供货物必须是原品牌制造厂家生产的产品；所有货物质量必须符合国家有关规范和相关政策</w:t>
      </w:r>
      <w:r>
        <w:rPr>
          <w:rFonts w:hint="eastAsia" w:ascii="宋体" w:hAnsi="宋体" w:cs="宋体"/>
          <w:kern w:val="0"/>
          <w:sz w:val="24"/>
          <w:szCs w:val="24"/>
          <w:highlight w:val="none"/>
          <w:lang w:eastAsia="zh-CN"/>
        </w:rPr>
        <w:t>；</w:t>
      </w:r>
      <w:r>
        <w:rPr>
          <w:rFonts w:hint="eastAsia" w:ascii="宋体" w:hAnsi="宋体" w:eastAsia="宋体" w:cs="宋体"/>
          <w:kern w:val="0"/>
          <w:sz w:val="24"/>
          <w:szCs w:val="24"/>
          <w:highlight w:val="none"/>
        </w:rPr>
        <w:t>所有货物及辅材必须是未使用过的新货物，质量优良、渠道正当，配置合理。</w:t>
      </w:r>
    </w:p>
    <w:p w14:paraId="0641C4B5">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(2)所供货物是经过质检、注册、准许市场销售的合格产品。</w:t>
      </w:r>
    </w:p>
    <w:p w14:paraId="6D37A6FE">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(3)货物性能稳定、使用效果良好，质量保证、措施完善，符合相关标准。</w:t>
      </w:r>
    </w:p>
    <w:p w14:paraId="5224FD18">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4</w:t>
      </w:r>
      <w:r>
        <w:rPr>
          <w:rFonts w:hint="eastAsia" w:ascii="宋体" w:hAnsi="宋体" w:eastAsia="宋体" w:cs="宋体"/>
          <w:kern w:val="0"/>
          <w:sz w:val="24"/>
          <w:szCs w:val="24"/>
          <w:highlight w:val="none"/>
          <w:lang w:eastAsia="zh-CN"/>
        </w:rPr>
        <w:t>）质保期出现的质量问题由</w:t>
      </w:r>
      <w:r>
        <w:rPr>
          <w:rFonts w:hint="eastAsia" w:ascii="宋体" w:hAnsi="宋体" w:eastAsia="宋体" w:cs="宋体"/>
          <w:kern w:val="0"/>
          <w:sz w:val="24"/>
          <w:szCs w:val="24"/>
          <w:highlight w:val="none"/>
          <w:lang w:val="en-US" w:eastAsia="zh-CN"/>
        </w:rPr>
        <w:t>乙方</w:t>
      </w:r>
      <w:r>
        <w:rPr>
          <w:rFonts w:hint="eastAsia" w:ascii="宋体" w:hAnsi="宋体" w:eastAsia="宋体" w:cs="宋体"/>
          <w:kern w:val="0"/>
          <w:sz w:val="24"/>
          <w:szCs w:val="24"/>
          <w:highlight w:val="none"/>
          <w:lang w:eastAsia="zh-CN"/>
        </w:rPr>
        <w:t>负责解决并承担所有费用。</w:t>
      </w:r>
    </w:p>
    <w:p w14:paraId="52618250">
      <w:pPr>
        <w:keepNext w:val="0"/>
        <w:keepLines w:val="0"/>
        <w:pageBreakBefore w:val="0"/>
        <w:kinsoku/>
        <w:wordWrap/>
        <w:overflowPunct/>
        <w:topLinePunct w:val="0"/>
        <w:bidi w:val="0"/>
        <w:spacing w:line="360" w:lineRule="auto"/>
        <w:ind w:left="0" w:leftChars="0" w:right="0" w:firstLine="482" w:firstLineChars="200"/>
        <w:jc w:val="left"/>
        <w:rPr>
          <w:rFonts w:hint="eastAsia" w:ascii="宋体" w:hAnsi="宋体" w:eastAsia="宋体" w:cs="宋体"/>
          <w:kern w:val="0"/>
          <w:sz w:val="24"/>
          <w:szCs w:val="24"/>
          <w:highlight w:val="none"/>
        </w:rPr>
      </w:pPr>
      <w:r>
        <w:rPr>
          <w:rFonts w:hint="eastAsia" w:ascii="宋体" w:hAnsi="宋体" w:eastAsia="宋体" w:cs="宋体"/>
          <w:b/>
          <w:kern w:val="0"/>
          <w:sz w:val="24"/>
          <w:szCs w:val="24"/>
          <w:highlight w:val="none"/>
        </w:rPr>
        <w:t>2、包装要求</w:t>
      </w:r>
    </w:p>
    <w:p w14:paraId="62B222D3">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乙方应采取防潮、防晒、防腐蚀、防震动及防止其它损坏的必要措施。</w:t>
      </w:r>
      <w:r>
        <w:rPr>
          <w:rFonts w:hint="eastAsia" w:ascii="宋体" w:hAnsi="宋体" w:cs="宋体"/>
          <w:kern w:val="0"/>
          <w:sz w:val="24"/>
          <w:szCs w:val="24"/>
          <w:highlight w:val="none"/>
          <w:lang w:val="en-US" w:eastAsia="zh-CN"/>
        </w:rPr>
        <w:t>乙方</w:t>
      </w:r>
      <w:r>
        <w:rPr>
          <w:rFonts w:hint="eastAsia" w:ascii="宋体" w:hAnsi="宋体" w:eastAsia="宋体" w:cs="宋体"/>
          <w:kern w:val="0"/>
          <w:sz w:val="24"/>
          <w:szCs w:val="24"/>
          <w:highlight w:val="none"/>
        </w:rPr>
        <w:t>应承担由于其包装或防护措施不妥而引起的货物锈蚀、损坏和丢失等任何损失造成的责任或费用。</w:t>
      </w:r>
    </w:p>
    <w:p w14:paraId="0C8A010D">
      <w:pPr>
        <w:keepNext w:val="0"/>
        <w:keepLines w:val="0"/>
        <w:pageBreakBefore w:val="0"/>
        <w:kinsoku/>
        <w:wordWrap/>
        <w:overflowPunct/>
        <w:topLinePunct w:val="0"/>
        <w:bidi w:val="0"/>
        <w:spacing w:line="360" w:lineRule="auto"/>
        <w:ind w:left="0" w:leftChars="0" w:right="0" w:firstLine="482" w:firstLineChars="200"/>
        <w:jc w:val="left"/>
        <w:rPr>
          <w:rFonts w:hint="eastAsia" w:ascii="宋体" w:hAnsi="宋体" w:eastAsia="宋体" w:cs="宋体"/>
          <w:b/>
          <w:kern w:val="0"/>
          <w:sz w:val="24"/>
          <w:szCs w:val="24"/>
          <w:highlight w:val="none"/>
          <w:lang w:val="en-US" w:eastAsia="zh-CN"/>
        </w:rPr>
      </w:pPr>
      <w:r>
        <w:rPr>
          <w:rFonts w:hint="eastAsia" w:ascii="宋体" w:hAnsi="宋体" w:eastAsia="宋体" w:cs="宋体"/>
          <w:b/>
          <w:kern w:val="0"/>
          <w:sz w:val="24"/>
          <w:szCs w:val="24"/>
          <w:highlight w:val="none"/>
          <w:lang w:val="en-US" w:eastAsia="zh-CN"/>
        </w:rPr>
        <w:t>3、运输要求</w:t>
      </w:r>
    </w:p>
    <w:p w14:paraId="76D0295F">
      <w:pPr>
        <w:keepNext w:val="0"/>
        <w:keepLines w:val="0"/>
        <w:pageBreakBefore w:val="0"/>
        <w:kinsoku/>
        <w:wordWrap/>
        <w:overflowPunct/>
        <w:topLinePunct w:val="0"/>
        <w:bidi w:val="0"/>
        <w:spacing w:line="360" w:lineRule="auto"/>
        <w:ind w:left="0" w:leftChars="0" w:right="0" w:firstLine="480" w:firstLineChars="200"/>
        <w:jc w:val="left"/>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乙方应当采取</w:t>
      </w:r>
      <w:r>
        <w:rPr>
          <w:rFonts w:hint="default" w:ascii="宋体" w:hAnsi="宋体" w:eastAsia="宋体" w:cs="宋体"/>
          <w:kern w:val="0"/>
          <w:sz w:val="24"/>
          <w:szCs w:val="24"/>
          <w:highlight w:val="none"/>
          <w:lang w:val="en-US" w:eastAsia="zh-CN"/>
        </w:rPr>
        <w:t>选择运输风险小、运费低、距离短的运输路线。运杂费一次包死在总价内，包括生产厂到施工现场所需的装卸、运输（含保险费）、二次倒运费、吊装费等费用。</w:t>
      </w:r>
    </w:p>
    <w:p w14:paraId="56A8D52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jc w:val="left"/>
        <w:textAlignment w:val="auto"/>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第三条 合同供货期</w:t>
      </w:r>
    </w:p>
    <w:p w14:paraId="6C346299">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自签订合同之日起</w:t>
      </w:r>
      <w:r>
        <w:rPr>
          <w:rFonts w:hint="eastAsia" w:ascii="宋体" w:hAnsi="宋体" w:eastAsia="宋体" w:cs="宋体"/>
          <w:b/>
          <w:bCs/>
          <w:sz w:val="24"/>
          <w:szCs w:val="24"/>
          <w:highlight w:val="none"/>
          <w:u w:val="single"/>
        </w:rPr>
        <w:t>壹</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服务</w:t>
      </w:r>
      <w:r>
        <w:rPr>
          <w:rFonts w:hint="eastAsia" w:ascii="宋体" w:hAnsi="宋体" w:eastAsia="宋体" w:cs="宋体"/>
          <w:sz w:val="24"/>
          <w:szCs w:val="24"/>
          <w:highlight w:val="none"/>
        </w:rPr>
        <w:t>期限从</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日止。</w:t>
      </w:r>
    </w:p>
    <w:p w14:paraId="1661237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jc w:val="left"/>
        <w:textAlignment w:val="auto"/>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第四条  合同价款及付款方式</w:t>
      </w:r>
    </w:p>
    <w:p w14:paraId="1CB4D04C">
      <w:pPr>
        <w:keepNext w:val="0"/>
        <w:keepLines w:val="0"/>
        <w:pageBreakBefore w:val="0"/>
        <w:kinsoku/>
        <w:wordWrap/>
        <w:overflowPunct/>
        <w:topLinePunct w:val="0"/>
        <w:bidi w:val="0"/>
        <w:spacing w:line="360" w:lineRule="auto"/>
        <w:ind w:left="0" w:leftChars="0" w:right="0" w:firstLine="482" w:firstLineChars="200"/>
        <w:jc w:val="left"/>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1、合同</w:t>
      </w:r>
      <w:r>
        <w:rPr>
          <w:rFonts w:hint="eastAsia" w:ascii="宋体" w:hAnsi="宋体" w:eastAsia="宋体" w:cs="宋体"/>
          <w:b/>
          <w:color w:val="000000"/>
          <w:sz w:val="24"/>
          <w:szCs w:val="24"/>
          <w:highlight w:val="none"/>
          <w:lang w:val="en-US" w:eastAsia="zh-CN"/>
        </w:rPr>
        <w:t>单价</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kern w:val="0"/>
          <w:sz w:val="24"/>
          <w:szCs w:val="24"/>
          <w:highlight w:val="none"/>
          <w:u w:val="none"/>
        </w:rPr>
        <w:t>元</w:t>
      </w:r>
    </w:p>
    <w:p w14:paraId="3D4AEDA7">
      <w:pPr>
        <w:keepNext w:val="0"/>
        <w:keepLines w:val="0"/>
        <w:pageBreakBefore w:val="0"/>
        <w:kinsoku/>
        <w:wordWrap/>
        <w:overflowPunct/>
        <w:topLinePunct w:val="0"/>
        <w:bidi w:val="0"/>
        <w:spacing w:line="360" w:lineRule="auto"/>
        <w:ind w:left="0" w:leftChars="0" w:right="0" w:firstLine="482" w:firstLineChars="20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本合同为固定综合单价合同，综合单价以乙方分项报价表中单价为准，不受市场价格变化因素的影响。</w:t>
      </w:r>
    </w:p>
    <w:p w14:paraId="0D26D221">
      <w:pPr>
        <w:keepNext w:val="0"/>
        <w:keepLines w:val="0"/>
        <w:pageBreakBefore w:val="0"/>
        <w:kinsoku/>
        <w:wordWrap/>
        <w:overflowPunct/>
        <w:topLinePunct w:val="0"/>
        <w:bidi w:val="0"/>
        <w:spacing w:line="360" w:lineRule="auto"/>
        <w:ind w:left="0" w:leftChars="0" w:right="0" w:firstLine="482" w:firstLineChars="200"/>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2、</w:t>
      </w:r>
      <w:r>
        <w:rPr>
          <w:rFonts w:hint="eastAsia" w:ascii="宋体" w:hAnsi="宋体" w:eastAsia="宋体" w:cs="宋体"/>
          <w:b/>
          <w:color w:val="000000"/>
          <w:sz w:val="24"/>
          <w:szCs w:val="24"/>
          <w:highlight w:val="none"/>
        </w:rPr>
        <w:t>付款方式：</w:t>
      </w:r>
    </w:p>
    <w:p w14:paraId="7FCB0357">
      <w:pPr>
        <w:numPr>
          <w:ilvl w:val="-1"/>
          <w:numId w:val="0"/>
        </w:numPr>
        <w:spacing w:line="360" w:lineRule="auto"/>
        <w:ind w:leftChars="0" w:firstLine="480" w:firstLineChars="200"/>
        <w:rPr>
          <w:rFonts w:hint="eastAsia"/>
          <w:lang w:val="en-US" w:eastAsia="zh-CN"/>
        </w:rPr>
      </w:pPr>
      <w:r>
        <w:rPr>
          <w:rFonts w:hint="eastAsia" w:ascii="宋体" w:hAnsi="宋体" w:cs="宋体"/>
          <w:sz w:val="24"/>
          <w:szCs w:val="24"/>
          <w:highlight w:val="none"/>
          <w:lang w:val="en-US" w:eastAsia="zh-CN"/>
        </w:rPr>
        <w:t>（1）付款方式：银行转账</w:t>
      </w:r>
    </w:p>
    <w:p w14:paraId="681654E9">
      <w:pPr>
        <w:keepNext w:val="0"/>
        <w:keepLines w:val="0"/>
        <w:pageBreakBefore w:val="0"/>
        <w:numPr>
          <w:ilvl w:val="0"/>
          <w:numId w:val="0"/>
        </w:numPr>
        <w:kinsoku/>
        <w:wordWrap/>
        <w:overflowPunct/>
        <w:topLinePunct w:val="0"/>
        <w:bidi w:val="0"/>
        <w:spacing w:line="360" w:lineRule="auto"/>
        <w:ind w:left="0" w:leftChars="0" w:right="0" w:firstLine="480" w:firstLineChars="20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（2）付款进度安排：</w:t>
      </w:r>
      <w:r>
        <w:rPr>
          <w:rFonts w:hint="eastAsia" w:ascii="宋体" w:hAnsi="宋体" w:eastAsia="宋体" w:cs="宋体"/>
          <w:b w:val="0"/>
          <w:bCs w:val="0"/>
          <w:color w:val="auto"/>
          <w:sz w:val="24"/>
          <w:szCs w:val="24"/>
          <w:highlight w:val="none"/>
        </w:rPr>
        <w:t>甲方</w:t>
      </w:r>
      <w:r>
        <w:rPr>
          <w:rFonts w:hint="eastAsia" w:ascii="宋体" w:hAnsi="宋体" w:eastAsia="宋体" w:cs="宋体"/>
          <w:b w:val="0"/>
          <w:bCs w:val="0"/>
          <w:color w:val="auto"/>
          <w:sz w:val="24"/>
          <w:szCs w:val="24"/>
          <w:highlight w:val="none"/>
          <w:lang w:val="en-US" w:eastAsia="zh-CN"/>
        </w:rPr>
        <w:t>根据</w:t>
      </w:r>
      <w:r>
        <w:rPr>
          <w:rFonts w:hint="eastAsia" w:ascii="宋体" w:hAnsi="宋体" w:eastAsia="宋体" w:cs="宋体"/>
          <w:b w:val="0"/>
          <w:bCs w:val="0"/>
          <w:color w:val="auto"/>
          <w:sz w:val="24"/>
          <w:szCs w:val="24"/>
          <w:highlight w:val="none"/>
        </w:rPr>
        <w:t>实际</w:t>
      </w:r>
      <w:r>
        <w:rPr>
          <w:rFonts w:hint="eastAsia" w:ascii="宋体" w:hAnsi="宋体" w:eastAsia="宋体" w:cs="宋体"/>
          <w:b w:val="0"/>
          <w:bCs w:val="0"/>
          <w:color w:val="auto"/>
          <w:sz w:val="24"/>
          <w:szCs w:val="24"/>
          <w:highlight w:val="none"/>
          <w:u w:val="none"/>
          <w:lang w:val="en-US" w:eastAsia="zh-CN"/>
        </w:rPr>
        <w:t>摆放量数量和养护情况</w:t>
      </w:r>
      <w:r>
        <w:rPr>
          <w:rFonts w:hint="eastAsia" w:ascii="宋体" w:hAnsi="宋体" w:eastAsia="宋体" w:cs="宋体"/>
          <w:b w:val="0"/>
          <w:bCs w:val="0"/>
          <w:color w:val="auto"/>
          <w:sz w:val="24"/>
          <w:szCs w:val="24"/>
          <w:highlight w:val="none"/>
        </w:rPr>
        <w:t>据实结算。</w:t>
      </w:r>
    </w:p>
    <w:p w14:paraId="28F521B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jc w:val="left"/>
        <w:textAlignment w:val="auto"/>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第五条  双方权责</w:t>
      </w:r>
    </w:p>
    <w:p w14:paraId="4614A93E">
      <w:pPr>
        <w:keepNext w:val="0"/>
        <w:keepLines w:val="0"/>
        <w:pageBreakBefore w:val="0"/>
        <w:kinsoku/>
        <w:wordWrap/>
        <w:overflowPunct/>
        <w:topLinePunct w:val="0"/>
        <w:bidi w:val="0"/>
        <w:spacing w:line="360" w:lineRule="auto"/>
        <w:ind w:left="0" w:leftChars="0" w:right="0" w:firstLine="482" w:firstLineChars="200"/>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1、甲方权责</w:t>
      </w:r>
    </w:p>
    <w:p w14:paraId="216382DD">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(1)甲方提供</w:t>
      </w:r>
      <w:r>
        <w:rPr>
          <w:rFonts w:hint="eastAsia" w:ascii="宋体" w:hAnsi="宋体" w:eastAsia="宋体" w:cs="宋体"/>
          <w:kern w:val="0"/>
          <w:sz w:val="24"/>
          <w:szCs w:val="24"/>
          <w:highlight w:val="none"/>
          <w:lang w:val="en-US" w:eastAsia="zh-CN"/>
        </w:rPr>
        <w:t>摆放时间和地点</w:t>
      </w:r>
      <w:r>
        <w:rPr>
          <w:rFonts w:hint="eastAsia" w:ascii="宋体" w:hAnsi="宋体" w:eastAsia="宋体" w:cs="宋体"/>
          <w:kern w:val="0"/>
          <w:sz w:val="24"/>
          <w:szCs w:val="24"/>
          <w:highlight w:val="none"/>
        </w:rPr>
        <w:t>，收到乙方发票后15个工作日内向乙方支付货款。</w:t>
      </w:r>
    </w:p>
    <w:p w14:paraId="7476E6C6">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(2)甲方有权对乙方所</w:t>
      </w:r>
      <w:r>
        <w:rPr>
          <w:rFonts w:hint="eastAsia" w:ascii="宋体" w:hAnsi="宋体" w:eastAsia="宋体" w:cs="宋体"/>
          <w:kern w:val="0"/>
          <w:sz w:val="24"/>
          <w:szCs w:val="24"/>
          <w:highlight w:val="none"/>
          <w:lang w:val="en-US" w:eastAsia="zh-CN"/>
        </w:rPr>
        <w:t>摆放鲜花</w:t>
      </w:r>
      <w:r>
        <w:rPr>
          <w:rFonts w:hint="eastAsia" w:ascii="宋体" w:hAnsi="宋体" w:eastAsia="宋体" w:cs="宋体"/>
          <w:kern w:val="0"/>
          <w:sz w:val="24"/>
          <w:szCs w:val="24"/>
          <w:highlight w:val="none"/>
        </w:rPr>
        <w:t>进行抽检；当乙方所送</w:t>
      </w:r>
      <w:r>
        <w:rPr>
          <w:rFonts w:hint="eastAsia" w:ascii="宋体" w:hAnsi="宋体" w:eastAsia="宋体" w:cs="宋体"/>
          <w:kern w:val="0"/>
          <w:sz w:val="24"/>
          <w:szCs w:val="24"/>
          <w:highlight w:val="none"/>
          <w:lang w:val="en-US" w:eastAsia="zh-CN"/>
        </w:rPr>
        <w:t>鲜花</w:t>
      </w:r>
      <w:r>
        <w:rPr>
          <w:rFonts w:hint="eastAsia" w:ascii="宋体" w:hAnsi="宋体" w:eastAsia="宋体" w:cs="宋体"/>
          <w:kern w:val="0"/>
          <w:sz w:val="24"/>
          <w:szCs w:val="24"/>
          <w:highlight w:val="none"/>
        </w:rPr>
        <w:t>无法满足甲方要求，且甲方通知乙方进行调整后仍无法满足时，甲方有权提前解除本合同。</w:t>
      </w:r>
    </w:p>
    <w:p w14:paraId="04058704">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3</w:t>
      </w:r>
      <w:r>
        <w:rPr>
          <w:rFonts w:hint="eastAsia" w:ascii="宋体" w:hAnsi="宋体" w:eastAsia="宋体" w:cs="宋体"/>
          <w:kern w:val="0"/>
          <w:sz w:val="24"/>
          <w:szCs w:val="24"/>
          <w:highlight w:val="none"/>
          <w:lang w:eastAsia="zh-CN"/>
        </w:rPr>
        <w:t>）采购人有权对本次采购</w:t>
      </w:r>
      <w:r>
        <w:rPr>
          <w:rFonts w:hint="eastAsia" w:ascii="宋体" w:hAnsi="宋体" w:eastAsia="宋体" w:cs="宋体"/>
          <w:kern w:val="0"/>
          <w:sz w:val="24"/>
          <w:szCs w:val="24"/>
          <w:highlight w:val="none"/>
          <w:lang w:val="en-US" w:eastAsia="zh-CN"/>
        </w:rPr>
        <w:t>服务</w:t>
      </w:r>
      <w:r>
        <w:rPr>
          <w:rFonts w:hint="eastAsia" w:ascii="宋体" w:hAnsi="宋体" w:eastAsia="宋体" w:cs="宋体"/>
          <w:kern w:val="0"/>
          <w:sz w:val="24"/>
          <w:szCs w:val="24"/>
          <w:highlight w:val="none"/>
          <w:lang w:eastAsia="zh-CN"/>
        </w:rPr>
        <w:t>的</w:t>
      </w:r>
      <w:r>
        <w:rPr>
          <w:rFonts w:hint="eastAsia" w:ascii="宋体" w:hAnsi="宋体" w:eastAsia="宋体" w:cs="宋体"/>
          <w:kern w:val="0"/>
          <w:sz w:val="24"/>
          <w:szCs w:val="24"/>
          <w:highlight w:val="none"/>
          <w:lang w:val="en-US" w:eastAsia="zh-CN"/>
        </w:rPr>
        <w:t>摆放</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运输</w:t>
      </w:r>
      <w:r>
        <w:rPr>
          <w:rFonts w:hint="eastAsia" w:ascii="宋体" w:hAnsi="宋体" w:eastAsia="宋体" w:cs="宋体"/>
          <w:kern w:val="0"/>
          <w:sz w:val="24"/>
          <w:szCs w:val="24"/>
          <w:highlight w:val="none"/>
          <w:lang w:eastAsia="zh-CN"/>
        </w:rPr>
        <w:t>及</w:t>
      </w:r>
      <w:r>
        <w:rPr>
          <w:rFonts w:hint="eastAsia" w:ascii="宋体" w:hAnsi="宋体" w:eastAsia="宋体" w:cs="宋体"/>
          <w:kern w:val="0"/>
          <w:sz w:val="24"/>
          <w:szCs w:val="24"/>
          <w:highlight w:val="none"/>
          <w:lang w:val="en-US" w:eastAsia="zh-CN"/>
        </w:rPr>
        <w:t>相关过程</w:t>
      </w:r>
      <w:r>
        <w:rPr>
          <w:rFonts w:hint="eastAsia" w:ascii="宋体" w:hAnsi="宋体" w:eastAsia="宋体" w:cs="宋体"/>
          <w:kern w:val="0"/>
          <w:sz w:val="24"/>
          <w:szCs w:val="24"/>
          <w:highlight w:val="none"/>
          <w:lang w:eastAsia="zh-CN"/>
        </w:rPr>
        <w:t>进行生产监督，</w:t>
      </w:r>
      <w:r>
        <w:rPr>
          <w:rFonts w:hint="eastAsia" w:ascii="宋体" w:hAnsi="宋体" w:eastAsia="宋体" w:cs="宋体"/>
          <w:kern w:val="0"/>
          <w:sz w:val="24"/>
          <w:szCs w:val="24"/>
          <w:highlight w:val="none"/>
          <w:lang w:val="en-US" w:eastAsia="zh-CN"/>
        </w:rPr>
        <w:t>供应商</w:t>
      </w:r>
      <w:r>
        <w:rPr>
          <w:rFonts w:hint="eastAsia" w:ascii="宋体" w:hAnsi="宋体" w:eastAsia="宋体" w:cs="宋体"/>
          <w:kern w:val="0"/>
          <w:sz w:val="24"/>
          <w:szCs w:val="24"/>
          <w:highlight w:val="none"/>
          <w:lang w:eastAsia="zh-CN"/>
        </w:rPr>
        <w:t>应积极配合，不得拒绝。</w:t>
      </w:r>
    </w:p>
    <w:p w14:paraId="5E91DAAB">
      <w:pPr>
        <w:keepNext w:val="0"/>
        <w:keepLines w:val="0"/>
        <w:pageBreakBefore w:val="0"/>
        <w:kinsoku/>
        <w:wordWrap/>
        <w:overflowPunct/>
        <w:topLinePunct w:val="0"/>
        <w:bidi w:val="0"/>
        <w:spacing w:line="360" w:lineRule="auto"/>
        <w:ind w:left="0" w:leftChars="0" w:right="0" w:firstLine="482" w:firstLineChars="200"/>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2、乙方权责 </w:t>
      </w:r>
    </w:p>
    <w:p w14:paraId="40128E4A">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r>
        <w:rPr>
          <w:rFonts w:hint="eastAsia" w:ascii="宋体" w:hAnsi="宋体" w:eastAsia="宋体" w:cs="宋体"/>
          <w:sz w:val="24"/>
          <w:szCs w:val="24"/>
          <w:highlight w:val="none"/>
        </w:rPr>
        <w:t>乙方</w:t>
      </w:r>
      <w:r>
        <w:rPr>
          <w:rFonts w:hint="eastAsia" w:ascii="宋体" w:hAnsi="宋体" w:eastAsia="宋体" w:cs="宋体"/>
          <w:kern w:val="0"/>
          <w:sz w:val="24"/>
          <w:szCs w:val="24"/>
          <w:highlight w:val="none"/>
        </w:rPr>
        <w:t>在接到甲方的</w:t>
      </w:r>
      <w:r>
        <w:rPr>
          <w:rFonts w:hint="eastAsia" w:ascii="宋体" w:hAnsi="宋体" w:eastAsia="宋体" w:cs="宋体"/>
          <w:kern w:val="0"/>
          <w:sz w:val="24"/>
          <w:szCs w:val="24"/>
          <w:highlight w:val="none"/>
          <w:lang w:val="en-US" w:eastAsia="zh-CN"/>
        </w:rPr>
        <w:t>摆放</w:t>
      </w:r>
      <w:r>
        <w:rPr>
          <w:rFonts w:hint="eastAsia" w:ascii="宋体" w:hAnsi="宋体" w:eastAsia="宋体" w:cs="宋体"/>
          <w:kern w:val="0"/>
          <w:sz w:val="24"/>
          <w:szCs w:val="24"/>
          <w:highlight w:val="none"/>
        </w:rPr>
        <w:t>通知后，</w:t>
      </w:r>
      <w:r>
        <w:rPr>
          <w:rFonts w:hint="eastAsia" w:ascii="宋体" w:hAnsi="宋体" w:cs="宋体"/>
          <w:kern w:val="0"/>
          <w:sz w:val="24"/>
          <w:szCs w:val="24"/>
          <w:highlight w:val="none"/>
          <w:lang w:val="en-US" w:eastAsia="zh-CN"/>
        </w:rPr>
        <w:t>按规定时间</w:t>
      </w:r>
      <w:r>
        <w:rPr>
          <w:rFonts w:hint="eastAsia" w:ascii="宋体" w:hAnsi="宋体" w:eastAsia="宋体" w:cs="宋体"/>
          <w:kern w:val="0"/>
          <w:sz w:val="24"/>
          <w:szCs w:val="24"/>
          <w:highlight w:val="none"/>
        </w:rPr>
        <w:t>送达</w:t>
      </w:r>
      <w:r>
        <w:rPr>
          <w:rFonts w:hint="eastAsia" w:ascii="宋体" w:hAnsi="宋体" w:eastAsia="宋体" w:cs="宋体"/>
          <w:kern w:val="0"/>
          <w:sz w:val="24"/>
          <w:szCs w:val="24"/>
          <w:highlight w:val="none"/>
          <w:lang w:val="en-US" w:eastAsia="zh-CN"/>
        </w:rPr>
        <w:t>并摆放至</w:t>
      </w:r>
      <w:r>
        <w:rPr>
          <w:rFonts w:hint="eastAsia" w:ascii="宋体" w:hAnsi="宋体" w:eastAsia="宋体" w:cs="宋体"/>
          <w:kern w:val="0"/>
          <w:sz w:val="24"/>
          <w:szCs w:val="24"/>
          <w:highlight w:val="none"/>
        </w:rPr>
        <w:t>甲方指定地点。</w:t>
      </w:r>
    </w:p>
    <w:p w14:paraId="20984A08">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(2)乙方负责所有</w:t>
      </w:r>
      <w:r>
        <w:rPr>
          <w:rFonts w:hint="eastAsia" w:ascii="宋体" w:hAnsi="宋体" w:eastAsia="宋体" w:cs="宋体"/>
          <w:kern w:val="0"/>
          <w:sz w:val="24"/>
          <w:szCs w:val="24"/>
          <w:highlight w:val="none"/>
          <w:lang w:val="en-US" w:eastAsia="zh-CN"/>
        </w:rPr>
        <w:t>鲜花</w:t>
      </w:r>
      <w:r>
        <w:rPr>
          <w:rFonts w:hint="eastAsia" w:ascii="宋体" w:hAnsi="宋体" w:eastAsia="宋体" w:cs="宋体"/>
          <w:kern w:val="0"/>
          <w:sz w:val="24"/>
          <w:szCs w:val="24"/>
          <w:highlight w:val="none"/>
        </w:rPr>
        <w:t>的运输，确保</w:t>
      </w:r>
      <w:r>
        <w:rPr>
          <w:rFonts w:hint="eastAsia" w:ascii="宋体" w:hAnsi="宋体" w:eastAsia="宋体" w:cs="宋体"/>
          <w:kern w:val="0"/>
          <w:sz w:val="24"/>
          <w:szCs w:val="24"/>
          <w:highlight w:val="none"/>
          <w:lang w:val="en-US" w:eastAsia="zh-CN"/>
        </w:rPr>
        <w:t>鲜花</w:t>
      </w:r>
      <w:r>
        <w:rPr>
          <w:rFonts w:hint="eastAsia" w:ascii="宋体" w:hAnsi="宋体" w:eastAsia="宋体" w:cs="宋体"/>
          <w:kern w:val="0"/>
          <w:sz w:val="24"/>
          <w:szCs w:val="24"/>
          <w:highlight w:val="none"/>
        </w:rPr>
        <w:t xml:space="preserve">安全、完整到达使用地点，运杂费用包含在总价内，包括货物从供货地点到使用地点的运输费、保险费、搬运费等。   </w:t>
      </w:r>
    </w:p>
    <w:p w14:paraId="0DE7BE56">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3</w:t>
      </w:r>
      <w:r>
        <w:rPr>
          <w:rFonts w:hint="eastAsia" w:ascii="宋体" w:hAnsi="宋体" w:eastAsia="宋体" w:cs="宋体"/>
          <w:kern w:val="0"/>
          <w:sz w:val="24"/>
          <w:szCs w:val="24"/>
          <w:highlight w:val="none"/>
        </w:rPr>
        <w:t>)乙方在运输及卸货过程中，车辆和人员发生的一切事故所产生的法律责任和费用由乙方承担，甲方不承担任何法律责任和费用。</w:t>
      </w:r>
    </w:p>
    <w:p w14:paraId="18809AB1">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4</w:t>
      </w:r>
      <w:r>
        <w:rPr>
          <w:rFonts w:hint="eastAsia" w:ascii="宋体" w:hAnsi="宋体" w:eastAsia="宋体" w:cs="宋体"/>
          <w:kern w:val="0"/>
          <w:sz w:val="24"/>
          <w:szCs w:val="24"/>
          <w:highlight w:val="none"/>
          <w:lang w:eastAsia="zh-CN"/>
        </w:rPr>
        <w:t>）如果乙方产品有缺陷或包装破损无法使用的，乙方必须采取必要的补救措施，风险和费用将由乙方承担。</w:t>
      </w:r>
    </w:p>
    <w:p w14:paraId="66B095ED">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jc w:val="left"/>
        <w:textAlignment w:val="auto"/>
        <w:rPr>
          <w:rFonts w:hint="default"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第七条 验收标准及方案</w:t>
      </w:r>
    </w:p>
    <w:p w14:paraId="547186F2">
      <w:pPr>
        <w:keepNext w:val="0"/>
        <w:keepLines w:val="0"/>
        <w:pageBreakBefore w:val="0"/>
        <w:kinsoku/>
        <w:wordWrap/>
        <w:overflowPunct/>
        <w:topLinePunct w:val="0"/>
        <w:bidi w:val="0"/>
        <w:spacing w:line="360" w:lineRule="auto"/>
        <w:ind w:left="0" w:leftChars="0" w:right="0" w:firstLine="482" w:firstLineChars="200"/>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t>1、验收依据</w:t>
      </w:r>
    </w:p>
    <w:p w14:paraId="538205CA">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本项目的验收以项目</w:t>
      </w:r>
      <w:r>
        <w:rPr>
          <w:rFonts w:hint="eastAsia" w:ascii="宋体" w:hAnsi="宋体" w:eastAsia="宋体" w:cs="宋体"/>
          <w:kern w:val="0"/>
          <w:sz w:val="24"/>
          <w:szCs w:val="24"/>
          <w:highlight w:val="none"/>
          <w:lang w:val="en-US" w:eastAsia="zh-CN"/>
        </w:rPr>
        <w:t>竞争性磋商</w:t>
      </w:r>
      <w:r>
        <w:rPr>
          <w:rFonts w:hint="eastAsia" w:ascii="宋体" w:hAnsi="宋体" w:eastAsia="宋体" w:cs="宋体"/>
          <w:kern w:val="0"/>
          <w:sz w:val="24"/>
          <w:szCs w:val="24"/>
          <w:highlight w:val="none"/>
        </w:rPr>
        <w:t>文件、合同书和相关政策法规等作为项目验收依据，供应商在项目验收前须提供详细的初验方案，经采购人确认可后方可执行。项目验收合格后，双方签署验收报告。本项目将由采购人、供应商及项目相关人员组成的验收小组，负责对本项目进行全面的验收。成交供应商应在全面完成工程项目的前提下，提交全部相关文档、</w:t>
      </w:r>
      <w:r>
        <w:rPr>
          <w:rFonts w:hint="eastAsia" w:ascii="宋体" w:hAnsi="宋体" w:eastAsia="宋体" w:cs="宋体"/>
          <w:kern w:val="0"/>
          <w:sz w:val="24"/>
          <w:szCs w:val="24"/>
          <w:highlight w:val="none"/>
          <w:lang w:val="en-US" w:eastAsia="zh-CN"/>
        </w:rPr>
        <w:t>资料</w:t>
      </w:r>
      <w:r>
        <w:rPr>
          <w:rFonts w:hint="eastAsia" w:ascii="宋体" w:hAnsi="宋体" w:eastAsia="宋体" w:cs="宋体"/>
          <w:kern w:val="0"/>
          <w:sz w:val="24"/>
          <w:szCs w:val="24"/>
          <w:highlight w:val="none"/>
        </w:rPr>
        <w:t>等。若验收不通过，采购人就如何处理提出整改意见，中标供应商须按照意见提出具体解决方案，处理时间应由双方协商决定。</w:t>
      </w:r>
    </w:p>
    <w:p w14:paraId="1E77E91A">
      <w:pPr>
        <w:keepNext w:val="0"/>
        <w:keepLines w:val="0"/>
        <w:pageBreakBefore w:val="0"/>
        <w:kinsoku/>
        <w:wordWrap/>
        <w:overflowPunct/>
        <w:topLinePunct w:val="0"/>
        <w:autoSpaceDE w:val="0"/>
        <w:autoSpaceDN w:val="0"/>
        <w:bidi w:val="0"/>
        <w:spacing w:line="360" w:lineRule="auto"/>
        <w:ind w:left="0" w:leftChars="0" w:right="0" w:firstLine="482" w:firstLineChars="200"/>
        <w:jc w:val="left"/>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第八条 合同组成 </w:t>
      </w:r>
    </w:p>
    <w:p w14:paraId="14D7479D">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1、国家相关规范及标准 </w:t>
      </w:r>
    </w:p>
    <w:p w14:paraId="49839961">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2、合同文件</w:t>
      </w:r>
    </w:p>
    <w:p w14:paraId="08A5A648">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w:t>
      </w:r>
      <w:r>
        <w:rPr>
          <w:rFonts w:hint="eastAsia" w:ascii="宋体" w:hAnsi="宋体" w:eastAsia="宋体" w:cs="宋体"/>
          <w:kern w:val="0"/>
          <w:sz w:val="24"/>
          <w:szCs w:val="24"/>
          <w:highlight w:val="none"/>
          <w:lang w:eastAsia="zh-CN"/>
        </w:rPr>
        <w:t>中标通知书</w:t>
      </w:r>
      <w:r>
        <w:rPr>
          <w:rFonts w:hint="eastAsia" w:ascii="宋体" w:hAnsi="宋体" w:eastAsia="宋体" w:cs="宋体"/>
          <w:kern w:val="0"/>
          <w:sz w:val="24"/>
          <w:szCs w:val="24"/>
          <w:highlight w:val="none"/>
        </w:rPr>
        <w:t> </w:t>
      </w:r>
    </w:p>
    <w:p w14:paraId="702DFB80">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4、供货产品技术规格及参数表</w:t>
      </w:r>
    </w:p>
    <w:p w14:paraId="0F108325">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5、招、投标文件</w:t>
      </w:r>
    </w:p>
    <w:p w14:paraId="009D409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jc w:val="left"/>
        <w:textAlignment w:val="auto"/>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第九条 违约责任与解决争议的方法</w:t>
      </w:r>
    </w:p>
    <w:p w14:paraId="3CACAA9B">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1、按《中华人民共和国民法典》中的相关条款执行。</w:t>
      </w:r>
    </w:p>
    <w:p w14:paraId="52838BA7">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2、未按合同要求提供货物或货物质量不能满足要求和标准，采购人有权终止合同，并对供方违约行为进行追究，同时按《中华人民共和国政府采购法》的有关规定进行处罚。</w:t>
      </w:r>
    </w:p>
    <w:p w14:paraId="06454631">
      <w:pPr>
        <w:keepNext w:val="0"/>
        <w:keepLines w:val="0"/>
        <w:pageBreakBefore w:val="0"/>
        <w:kinsoku/>
        <w:wordWrap/>
        <w:overflowPunct/>
        <w:topLinePunct w:val="0"/>
        <w:bidi w:val="0"/>
        <w:spacing w:line="360" w:lineRule="auto"/>
        <w:ind w:left="0" w:leftChars="0" w:righ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3、本采购合同履行过程中发生的任何争议，甲乙双方均可通过和解或调解解决；不愿和解、调解或者和解、调解不成的，可以向</w:t>
      </w:r>
      <w:r>
        <w:rPr>
          <w:rFonts w:hint="eastAsia" w:ascii="宋体" w:hAnsi="宋体" w:eastAsia="宋体" w:cs="宋体"/>
          <w:sz w:val="24"/>
          <w:szCs w:val="24"/>
          <w:highlight w:val="none"/>
          <w:u w:val="single"/>
        </w:rPr>
        <w:t>合同履行地</w:t>
      </w:r>
      <w:r>
        <w:rPr>
          <w:rFonts w:hint="eastAsia" w:ascii="宋体" w:hAnsi="宋体" w:eastAsia="宋体" w:cs="宋体"/>
          <w:sz w:val="24"/>
          <w:szCs w:val="24"/>
          <w:highlight w:val="none"/>
        </w:rPr>
        <w:t>人民法院起诉。</w:t>
      </w:r>
    </w:p>
    <w:p w14:paraId="6C04C29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2" w:firstLineChars="200"/>
        <w:jc w:val="left"/>
        <w:textAlignment w:val="auto"/>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第十条 合同生效及其它</w:t>
      </w:r>
    </w:p>
    <w:p w14:paraId="3CA5B78E">
      <w:pPr>
        <w:keepNext w:val="0"/>
        <w:keepLines w:val="0"/>
        <w:pageBreakBefore w:val="0"/>
        <w:widowControl/>
        <w:kinsoku/>
        <w:wordWrap/>
        <w:overflowPunct/>
        <w:topLinePunct w:val="0"/>
        <w:autoSpaceDE w:val="0"/>
        <w:autoSpaceDN w:val="0"/>
        <w:bidi w:val="0"/>
        <w:snapToGrid w:val="0"/>
        <w:spacing w:line="360" w:lineRule="auto"/>
        <w:ind w:left="0" w:leftChars="0" w:right="0" w:firstLine="480" w:firstLineChars="200"/>
        <w:jc w:val="left"/>
        <w:textAlignment w:val="bottom"/>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1、合同未尽事宜、由甲、乙双方协商，作为合同补充，与原合同具有同等法律效力。</w:t>
      </w:r>
    </w:p>
    <w:p w14:paraId="621C246B">
      <w:pPr>
        <w:keepNext w:val="0"/>
        <w:keepLines w:val="0"/>
        <w:pageBreakBefore w:val="0"/>
        <w:widowControl/>
        <w:tabs>
          <w:tab w:val="left" w:pos="8391"/>
        </w:tabs>
        <w:kinsoku/>
        <w:wordWrap/>
        <w:overflowPunct/>
        <w:topLinePunct w:val="0"/>
        <w:autoSpaceDE w:val="0"/>
        <w:autoSpaceDN w:val="0"/>
        <w:bidi w:val="0"/>
        <w:snapToGrid w:val="0"/>
        <w:spacing w:line="360" w:lineRule="auto"/>
        <w:ind w:left="0" w:leftChars="0" w:right="0" w:firstLine="480" w:firstLineChars="200"/>
        <w:jc w:val="left"/>
        <w:textAlignment w:val="bottom"/>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2、本合同正本一式</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份，</w:t>
      </w:r>
      <w:r>
        <w:rPr>
          <w:rFonts w:hint="eastAsia" w:ascii="宋体" w:hAnsi="宋体" w:eastAsia="宋体" w:cs="宋体"/>
          <w:kern w:val="0"/>
          <w:sz w:val="24"/>
          <w:szCs w:val="24"/>
          <w:highlight w:val="none"/>
          <w:lang w:val="en-US" w:eastAsia="zh-CN"/>
        </w:rPr>
        <w:t>其中，</w:t>
      </w:r>
      <w:r>
        <w:rPr>
          <w:rFonts w:hint="eastAsia" w:ascii="宋体" w:hAnsi="宋体" w:eastAsia="宋体" w:cs="宋体"/>
          <w:kern w:val="0"/>
          <w:sz w:val="24"/>
          <w:szCs w:val="24"/>
          <w:highlight w:val="none"/>
        </w:rPr>
        <w:t>甲方</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份</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乙方</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份</w:t>
      </w:r>
      <w:r>
        <w:rPr>
          <w:rFonts w:hint="eastAsia" w:ascii="宋体" w:hAnsi="宋体" w:eastAsia="宋体" w:cs="宋体"/>
          <w:kern w:val="0"/>
          <w:sz w:val="24"/>
          <w:szCs w:val="24"/>
          <w:highlight w:val="none"/>
        </w:rPr>
        <w:t>。</w:t>
      </w:r>
    </w:p>
    <w:p w14:paraId="49730B89">
      <w:pPr>
        <w:keepNext w:val="0"/>
        <w:keepLines w:val="0"/>
        <w:pageBreakBefore w:val="0"/>
        <w:widowControl/>
        <w:tabs>
          <w:tab w:val="left" w:pos="8391"/>
        </w:tabs>
        <w:kinsoku/>
        <w:wordWrap/>
        <w:overflowPunct/>
        <w:topLinePunct w:val="0"/>
        <w:autoSpaceDE w:val="0"/>
        <w:autoSpaceDN w:val="0"/>
        <w:bidi w:val="0"/>
        <w:snapToGrid w:val="0"/>
        <w:spacing w:line="360" w:lineRule="auto"/>
        <w:ind w:left="0" w:leftChars="0" w:right="0" w:firstLine="480" w:firstLineChars="200"/>
        <w:jc w:val="left"/>
        <w:textAlignment w:val="bottom"/>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3、合同经甲乙双方盖章、签字后生效，合同签订地点为</w:t>
      </w:r>
      <w:r>
        <w:rPr>
          <w:rFonts w:hint="eastAsia" w:ascii="宋体" w:hAnsi="宋体" w:eastAsia="宋体" w:cs="宋体"/>
          <w:kern w:val="0"/>
          <w:sz w:val="24"/>
          <w:szCs w:val="24"/>
          <w:highlight w:val="none"/>
          <w:u w:val="single"/>
          <w:lang w:val="en-US" w:eastAsia="zh-CN"/>
        </w:rPr>
        <w:t>长武县污水处理厂</w:t>
      </w:r>
      <w:r>
        <w:rPr>
          <w:rFonts w:hint="eastAsia" w:ascii="宋体" w:hAnsi="宋体" w:eastAsia="宋体" w:cs="宋体"/>
          <w:kern w:val="0"/>
          <w:sz w:val="24"/>
          <w:szCs w:val="24"/>
          <w:highlight w:val="none"/>
        </w:rPr>
        <w:t>。</w:t>
      </w:r>
    </w:p>
    <w:tbl>
      <w:tblPr>
        <w:tblStyle w:val="27"/>
        <w:tblpPr w:leftFromText="180" w:rightFromText="180" w:vertAnchor="text" w:horzAnchor="page" w:tblpX="1755" w:tblpY="501"/>
        <w:tblOverlap w:val="never"/>
        <w:tblW w:w="8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6"/>
        <w:gridCol w:w="4163"/>
      </w:tblGrid>
      <w:tr w14:paraId="22FF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896" w:type="dxa"/>
            <w:noWrap w:val="0"/>
            <w:tcMar>
              <w:top w:w="113" w:type="dxa"/>
              <w:left w:w="113" w:type="dxa"/>
              <w:bottom w:w="113" w:type="dxa"/>
              <w:right w:w="113" w:type="dxa"/>
            </w:tcMar>
            <w:vAlign w:val="top"/>
          </w:tcPr>
          <w:p w14:paraId="610707E7">
            <w:pPr>
              <w:spacing w:line="240" w:lineRule="auto"/>
              <w:ind w:left="0" w:firstLine="0" w:firstLineChars="0"/>
              <w:jc w:val="both"/>
              <w:rPr>
                <w:rFonts w:hint="eastAsia" w:ascii="宋体" w:hAnsi="宋体" w:eastAsia="宋体" w:cs="宋体"/>
                <w:sz w:val="24"/>
                <w:szCs w:val="24"/>
                <w:highlight w:val="none"/>
              </w:rPr>
            </w:pPr>
          </w:p>
          <w:p w14:paraId="03BF16C1">
            <w:pPr>
              <w:spacing w:line="240" w:lineRule="auto"/>
              <w:ind w:left="1470" w:hanging="1680" w:hangingChars="700"/>
              <w:jc w:val="both"/>
              <w:rPr>
                <w:rFonts w:hint="default" w:ascii="宋体" w:hAnsi="宋体" w:eastAsia="宋体" w:cs="宋体"/>
                <w:kern w:val="0"/>
                <w:sz w:val="24"/>
                <w:szCs w:val="24"/>
                <w:highlight w:val="none"/>
                <w:lang w:val="en-US" w:eastAsia="zh-CN"/>
              </w:rPr>
            </w:pPr>
            <w:r>
              <w:rPr>
                <w:rFonts w:hint="eastAsia" w:ascii="宋体" w:hAnsi="宋体" w:eastAsia="宋体" w:cs="宋体"/>
                <w:sz w:val="24"/>
                <w:szCs w:val="24"/>
                <w:highlight w:val="none"/>
              </w:rPr>
              <w:t>甲方（盖章）：</w:t>
            </w:r>
            <w:r>
              <w:rPr>
                <w:rFonts w:hint="eastAsia" w:ascii="宋体" w:hAnsi="宋体" w:eastAsia="宋体" w:cs="宋体"/>
                <w:kern w:val="0"/>
                <w:sz w:val="24"/>
                <w:szCs w:val="24"/>
                <w:highlight w:val="none"/>
                <w:lang w:val="en-US" w:eastAsia="zh-CN"/>
              </w:rPr>
              <w:t xml:space="preserve">        </w:t>
            </w:r>
          </w:p>
          <w:p w14:paraId="17F84FA9">
            <w:pPr>
              <w:spacing w:line="520" w:lineRule="exact"/>
              <w:ind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法定代表人或委托代理人（签字或盖章）：</w:t>
            </w:r>
          </w:p>
          <w:p w14:paraId="51F292CE">
            <w:pPr>
              <w:spacing w:line="520" w:lineRule="exact"/>
              <w:ind w:firstLine="0" w:firstLineChars="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lang w:val="en-US" w:eastAsia="zh-CN"/>
              </w:rPr>
              <w:t xml:space="preserve">      </w:t>
            </w:r>
          </w:p>
          <w:p w14:paraId="69A56F67">
            <w:pPr>
              <w:spacing w:line="520" w:lineRule="exact"/>
              <w:ind w:firstLine="0" w:firstLineChars="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开户银行：</w:t>
            </w:r>
            <w:r>
              <w:rPr>
                <w:rFonts w:hint="eastAsia" w:ascii="宋体" w:hAnsi="宋体" w:eastAsia="宋体" w:cs="宋体"/>
                <w:sz w:val="24"/>
                <w:szCs w:val="24"/>
                <w:highlight w:val="none"/>
                <w:lang w:val="en-US" w:eastAsia="zh-CN"/>
              </w:rPr>
              <w:t xml:space="preserve">          </w:t>
            </w:r>
          </w:p>
          <w:p w14:paraId="40123F93">
            <w:pPr>
              <w:spacing w:line="520" w:lineRule="exact"/>
              <w:ind w:firstLine="0" w:firstLineChars="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账    号</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 xml:space="preserve">           </w:t>
            </w:r>
          </w:p>
          <w:p w14:paraId="74B62875">
            <w:pPr>
              <w:spacing w:line="520" w:lineRule="exact"/>
              <w:ind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tc>
        <w:tc>
          <w:tcPr>
            <w:tcW w:w="4163" w:type="dxa"/>
            <w:noWrap w:val="0"/>
            <w:tcMar>
              <w:top w:w="113" w:type="dxa"/>
              <w:left w:w="113" w:type="dxa"/>
              <w:bottom w:w="113" w:type="dxa"/>
              <w:right w:w="113" w:type="dxa"/>
            </w:tcMar>
            <w:vAlign w:val="top"/>
          </w:tcPr>
          <w:p w14:paraId="3E54EB43">
            <w:pPr>
              <w:spacing w:line="520" w:lineRule="exact"/>
              <w:ind w:firstLine="0" w:firstLineChars="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乙方（盖章）：</w:t>
            </w:r>
            <w:r>
              <w:rPr>
                <w:rFonts w:hint="eastAsia" w:ascii="宋体" w:hAnsi="宋体" w:eastAsia="宋体" w:cs="宋体"/>
                <w:sz w:val="24"/>
                <w:szCs w:val="24"/>
                <w:highlight w:val="none"/>
                <w:lang w:val="en-US" w:eastAsia="zh-CN"/>
              </w:rPr>
              <w:t xml:space="preserve">        </w:t>
            </w:r>
          </w:p>
          <w:p w14:paraId="375E5143">
            <w:pPr>
              <w:spacing w:line="520" w:lineRule="exact"/>
              <w:ind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法定代表人或委托代理人（签字或盖章）：</w:t>
            </w:r>
          </w:p>
          <w:p w14:paraId="5E618A6D">
            <w:pPr>
              <w:spacing w:line="520" w:lineRule="exact"/>
              <w:ind w:firstLine="0" w:firstLineChars="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lang w:val="en-US" w:eastAsia="zh-CN"/>
              </w:rPr>
              <w:t xml:space="preserve">        </w:t>
            </w:r>
          </w:p>
          <w:p w14:paraId="70B9182B">
            <w:pPr>
              <w:spacing w:line="520" w:lineRule="exact"/>
              <w:ind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开户银行：</w:t>
            </w:r>
            <w:r>
              <w:rPr>
                <w:rFonts w:hint="eastAsia" w:ascii="宋体" w:hAnsi="宋体" w:eastAsia="宋体" w:cs="宋体"/>
                <w:sz w:val="24"/>
                <w:szCs w:val="24"/>
                <w:highlight w:val="none"/>
                <w:lang w:val="en-US" w:eastAsia="zh-CN"/>
              </w:rPr>
              <w:t xml:space="preserve">      </w:t>
            </w:r>
          </w:p>
          <w:p w14:paraId="7FB73D53">
            <w:pPr>
              <w:spacing w:line="520" w:lineRule="exact"/>
              <w:ind w:firstLine="0" w:firstLineChars="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账  号：</w:t>
            </w:r>
            <w:r>
              <w:rPr>
                <w:rFonts w:hint="eastAsia" w:ascii="宋体" w:hAnsi="宋体" w:eastAsia="宋体" w:cs="宋体"/>
                <w:sz w:val="24"/>
                <w:szCs w:val="24"/>
                <w:highlight w:val="none"/>
                <w:lang w:val="en-US" w:eastAsia="zh-CN"/>
              </w:rPr>
              <w:t xml:space="preserve">              </w:t>
            </w:r>
          </w:p>
          <w:p w14:paraId="7F9A80DB">
            <w:pPr>
              <w:spacing w:line="520" w:lineRule="exact"/>
              <w:ind w:firstLine="0" w:firstLineChars="0"/>
              <w:jc w:val="left"/>
              <w:rPr>
                <w:rFonts w:hint="eastAsia" w:ascii="宋体" w:hAnsi="宋体" w:eastAsia="宋体" w:cs="宋体"/>
                <w:sz w:val="24"/>
                <w:szCs w:val="24"/>
                <w:highlight w:val="none"/>
              </w:rPr>
            </w:pPr>
          </w:p>
        </w:tc>
      </w:tr>
    </w:tbl>
    <w:p w14:paraId="60E30A09">
      <w:pPr>
        <w:keepNext w:val="0"/>
        <w:keepLines w:val="0"/>
        <w:pageBreakBefore w:val="0"/>
        <w:widowControl/>
        <w:tabs>
          <w:tab w:val="left" w:pos="8391"/>
        </w:tabs>
        <w:kinsoku/>
        <w:wordWrap/>
        <w:overflowPunct/>
        <w:topLinePunct w:val="0"/>
        <w:autoSpaceDE w:val="0"/>
        <w:autoSpaceDN w:val="0"/>
        <w:bidi w:val="0"/>
        <w:snapToGrid w:val="0"/>
        <w:spacing w:line="360" w:lineRule="auto"/>
        <w:ind w:left="0" w:leftChars="0" w:right="0" w:firstLine="480" w:firstLineChars="200"/>
        <w:jc w:val="left"/>
        <w:textAlignment w:val="bottom"/>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4、生效时间：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p>
    <w:p w14:paraId="33D8D29C">
      <w:pPr>
        <w:spacing w:line="360" w:lineRule="auto"/>
        <w:jc w:val="center"/>
        <w:outlineLvl w:val="0"/>
        <w:rPr>
          <w:rStyle w:val="43"/>
          <w:rFonts w:hint="eastAsia" w:ascii="宋体" w:hAnsi="宋体" w:eastAsia="宋体" w:cs="宋体"/>
          <w:bCs/>
          <w:color w:val="auto"/>
          <w:sz w:val="32"/>
          <w:szCs w:val="32"/>
          <w:highlight w:val="none"/>
          <w:lang w:val="en-US" w:eastAsia="zh-CN" w:bidi="ar-SA"/>
        </w:rPr>
      </w:pPr>
    </w:p>
    <w:p w14:paraId="77B4202A">
      <w:pPr>
        <w:spacing w:line="360" w:lineRule="auto"/>
        <w:jc w:val="center"/>
        <w:outlineLvl w:val="0"/>
        <w:rPr>
          <w:rStyle w:val="43"/>
          <w:rFonts w:hint="eastAsia" w:ascii="宋体" w:hAnsi="宋体" w:eastAsia="宋体" w:cs="宋体"/>
          <w:bCs/>
          <w:color w:val="auto"/>
          <w:sz w:val="32"/>
          <w:szCs w:val="32"/>
          <w:highlight w:val="none"/>
          <w:lang w:val="en-US" w:eastAsia="zh-CN" w:bidi="ar-SA"/>
        </w:rPr>
      </w:pPr>
    </w:p>
    <w:p w14:paraId="29EB2A28">
      <w:pPr>
        <w:spacing w:line="360" w:lineRule="auto"/>
        <w:jc w:val="center"/>
        <w:outlineLvl w:val="0"/>
        <w:rPr>
          <w:rStyle w:val="43"/>
          <w:rFonts w:hint="eastAsia" w:ascii="宋体" w:hAnsi="宋体" w:eastAsia="宋体" w:cs="宋体"/>
          <w:bCs/>
          <w:color w:val="auto"/>
          <w:sz w:val="32"/>
          <w:szCs w:val="32"/>
          <w:highlight w:val="none"/>
          <w:lang w:val="en-US" w:eastAsia="zh-CN" w:bidi="ar-SA"/>
        </w:rPr>
      </w:pPr>
    </w:p>
    <w:p w14:paraId="77CF4E9A">
      <w:pPr>
        <w:spacing w:line="360" w:lineRule="auto"/>
        <w:jc w:val="center"/>
        <w:outlineLvl w:val="0"/>
        <w:rPr>
          <w:rStyle w:val="43"/>
          <w:rFonts w:hint="eastAsia" w:ascii="宋体" w:hAnsi="宋体" w:eastAsia="宋体" w:cs="宋体"/>
          <w:bCs/>
          <w:color w:val="auto"/>
          <w:sz w:val="32"/>
          <w:szCs w:val="32"/>
          <w:highlight w:val="none"/>
          <w:lang w:val="en-US" w:eastAsia="zh-CN" w:bidi="ar-SA"/>
        </w:rPr>
      </w:pPr>
    </w:p>
    <w:p w14:paraId="5A9E3FDB">
      <w:pPr>
        <w:spacing w:line="360" w:lineRule="auto"/>
        <w:jc w:val="center"/>
        <w:outlineLvl w:val="0"/>
        <w:rPr>
          <w:rStyle w:val="43"/>
          <w:rFonts w:hint="eastAsia" w:ascii="宋体" w:hAnsi="宋体" w:eastAsia="宋体" w:cs="宋体"/>
          <w:bCs/>
          <w:color w:val="auto"/>
          <w:sz w:val="32"/>
          <w:szCs w:val="32"/>
          <w:highlight w:val="none"/>
          <w:lang w:val="en-US" w:eastAsia="zh-CN" w:bidi="ar-SA"/>
        </w:rPr>
      </w:pPr>
    </w:p>
    <w:p w14:paraId="37013B03">
      <w:pPr>
        <w:spacing w:line="360" w:lineRule="auto"/>
        <w:jc w:val="center"/>
        <w:outlineLvl w:val="0"/>
        <w:rPr>
          <w:rStyle w:val="43"/>
          <w:rFonts w:hint="eastAsia" w:ascii="宋体" w:hAnsi="宋体" w:eastAsia="宋体" w:cs="宋体"/>
          <w:bCs/>
          <w:color w:val="auto"/>
          <w:sz w:val="32"/>
          <w:szCs w:val="32"/>
          <w:highlight w:val="none"/>
          <w:lang w:val="en-US" w:eastAsia="zh-CN" w:bidi="ar-SA"/>
        </w:rPr>
      </w:pPr>
    </w:p>
    <w:p w14:paraId="2A952250">
      <w:pPr>
        <w:spacing w:line="360" w:lineRule="auto"/>
        <w:jc w:val="center"/>
        <w:outlineLvl w:val="0"/>
        <w:rPr>
          <w:rStyle w:val="43"/>
          <w:rFonts w:hint="eastAsia" w:ascii="宋体" w:hAnsi="宋体" w:eastAsia="宋体" w:cs="宋体"/>
          <w:bCs/>
          <w:color w:val="auto"/>
          <w:sz w:val="32"/>
          <w:szCs w:val="32"/>
          <w:highlight w:val="none"/>
          <w:lang w:val="en-US" w:eastAsia="zh-CN" w:bidi="ar-SA"/>
        </w:rPr>
      </w:pPr>
    </w:p>
    <w:p w14:paraId="0747AD3D">
      <w:pPr>
        <w:spacing w:line="360" w:lineRule="auto"/>
        <w:jc w:val="center"/>
        <w:outlineLvl w:val="0"/>
        <w:rPr>
          <w:rStyle w:val="43"/>
          <w:rFonts w:hint="eastAsia" w:ascii="宋体" w:hAnsi="宋体" w:eastAsia="宋体" w:cs="宋体"/>
          <w:bCs/>
          <w:color w:val="auto"/>
          <w:sz w:val="32"/>
          <w:szCs w:val="32"/>
          <w:highlight w:val="none"/>
          <w:lang w:val="en-US" w:eastAsia="zh-CN" w:bidi="ar-SA"/>
        </w:rPr>
      </w:pPr>
      <w:r>
        <w:rPr>
          <w:rStyle w:val="43"/>
          <w:rFonts w:hint="eastAsia" w:ascii="宋体" w:hAnsi="宋体" w:eastAsia="宋体" w:cs="宋体"/>
          <w:bCs/>
          <w:color w:val="auto"/>
          <w:sz w:val="32"/>
          <w:szCs w:val="32"/>
          <w:highlight w:val="none"/>
          <w:lang w:val="en-US" w:eastAsia="zh-CN" w:bidi="ar-SA"/>
        </w:rPr>
        <w:t>第五章  磋商响应文件格式</w:t>
      </w:r>
    </w:p>
    <w:p w14:paraId="17EA234A">
      <w:pPr>
        <w:pStyle w:val="18"/>
        <w:rPr>
          <w:rFonts w:hint="eastAsia" w:ascii="宋体" w:hAnsi="宋体" w:eastAsia="宋体" w:cs="宋体"/>
          <w:color w:val="auto"/>
          <w:highlight w:val="none"/>
        </w:rPr>
      </w:pPr>
    </w:p>
    <w:p w14:paraId="4BF2DDF9">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编制说明：</w:t>
      </w:r>
    </w:p>
    <w:p w14:paraId="7EC2EE98">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1、本磋商响应文件格式，仅起到样式作用，编制磋商响应文件前，请详细阅读竞争性磋商文件。</w:t>
      </w:r>
    </w:p>
    <w:p w14:paraId="6377F83B">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2、磋商响应文件的编制应按照本格式提供的内容，做出逐一的明确答复；供应商认为必要，还可以做其它补充说明。</w:t>
      </w:r>
    </w:p>
    <w:p w14:paraId="32A2CBAC">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3、本竞争性磋商文件中相关表格如不够填写时，供应商可以自行扩展。</w:t>
      </w:r>
    </w:p>
    <w:p w14:paraId="3418177A">
      <w:pPr>
        <w:autoSpaceDE w:val="0"/>
        <w:autoSpaceDN w:val="0"/>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color w:val="auto"/>
          <w:sz w:val="28"/>
          <w:szCs w:val="28"/>
          <w:highlight w:val="none"/>
        </w:rPr>
        <w:br w:type="page"/>
      </w:r>
      <w:r>
        <w:rPr>
          <w:rFonts w:hint="eastAsia" w:ascii="宋体" w:hAnsi="宋体" w:eastAsia="宋体" w:cs="宋体"/>
          <w:b/>
          <w:color w:val="auto"/>
          <w:sz w:val="28"/>
          <w:szCs w:val="28"/>
          <w:highlight w:val="none"/>
        </w:rPr>
        <w:t xml:space="preserve">  </w:t>
      </w:r>
      <w:r>
        <w:rPr>
          <w:rFonts w:hint="eastAsia" w:ascii="宋体" w:hAnsi="宋体" w:eastAsia="宋体" w:cs="宋体"/>
          <w:b w:val="0"/>
          <w:bCs w:val="0"/>
          <w:color w:val="auto"/>
          <w:sz w:val="24"/>
          <w:szCs w:val="24"/>
          <w:highlight w:val="none"/>
          <w:lang w:val="zh-CN"/>
        </w:rPr>
        <w:t>项目编号：</w:t>
      </w:r>
      <w:r>
        <w:rPr>
          <w:rFonts w:hint="eastAsia" w:ascii="宋体" w:hAnsi="宋体" w:cs="宋体"/>
          <w:color w:val="auto"/>
          <w:spacing w:val="4"/>
          <w:sz w:val="24"/>
          <w:szCs w:val="24"/>
          <w:highlight w:val="none"/>
          <w:lang w:eastAsia="zh-CN"/>
        </w:rPr>
        <w:t>YC26001016（CGP）</w:t>
      </w:r>
    </w:p>
    <w:p w14:paraId="4705D566">
      <w:pPr>
        <w:spacing w:line="360" w:lineRule="auto"/>
        <w:rPr>
          <w:rFonts w:hint="eastAsia" w:ascii="宋体" w:hAnsi="宋体" w:eastAsia="宋体" w:cs="宋体"/>
          <w:color w:val="auto"/>
          <w:sz w:val="24"/>
          <w:szCs w:val="24"/>
          <w:highlight w:val="none"/>
        </w:rPr>
      </w:pPr>
    </w:p>
    <w:p w14:paraId="745CF53C">
      <w:pPr>
        <w:pStyle w:val="4"/>
        <w:numPr>
          <w:ilvl w:val="1"/>
          <w:numId w:val="0"/>
        </w:numPr>
        <w:jc w:val="both"/>
        <w:rPr>
          <w:rFonts w:hint="eastAsia" w:ascii="宋体" w:hAnsi="宋体" w:eastAsia="宋体" w:cs="宋体"/>
          <w:color w:val="auto"/>
          <w:highlight w:val="none"/>
        </w:rPr>
      </w:pPr>
    </w:p>
    <w:p w14:paraId="492BBD4A">
      <w:pPr>
        <w:pStyle w:val="18"/>
        <w:spacing w:line="360" w:lineRule="auto"/>
        <w:jc w:val="center"/>
        <w:rPr>
          <w:rFonts w:hint="eastAsia" w:ascii="宋体" w:hAnsi="宋体" w:eastAsia="宋体" w:cs="宋体"/>
          <w:b/>
          <w:color w:val="auto"/>
          <w:sz w:val="36"/>
          <w:szCs w:val="36"/>
          <w:highlight w:val="none"/>
          <w:lang w:val="en-US" w:eastAsia="zh-CN"/>
        </w:rPr>
      </w:pPr>
      <w:r>
        <w:rPr>
          <w:rFonts w:hint="eastAsia" w:ascii="宋体" w:hAnsi="宋体" w:cs="宋体"/>
          <w:b/>
          <w:color w:val="auto"/>
          <w:sz w:val="36"/>
          <w:szCs w:val="36"/>
          <w:highlight w:val="none"/>
          <w:lang w:val="en-US" w:eastAsia="zh-CN"/>
        </w:rPr>
        <w:t>长武县城区摆放时令鲜花项目</w:t>
      </w:r>
    </w:p>
    <w:p w14:paraId="3268DC33">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eastAsia="zh-CN"/>
        </w:rPr>
        <w:t xml:space="preserve"> </w:t>
      </w:r>
      <w:r>
        <w:rPr>
          <w:rFonts w:hint="eastAsia" w:ascii="宋体" w:hAnsi="宋体" w:eastAsia="宋体" w:cs="宋体"/>
          <w:b/>
          <w:color w:val="auto"/>
          <w:sz w:val="44"/>
          <w:szCs w:val="44"/>
          <w:highlight w:val="none"/>
        </w:rPr>
        <w:t xml:space="preserve"> </w:t>
      </w:r>
    </w:p>
    <w:p w14:paraId="35730941">
      <w:pPr>
        <w:jc w:val="center"/>
        <w:rPr>
          <w:rFonts w:hint="eastAsia" w:ascii="宋体" w:hAnsi="宋体" w:eastAsia="宋体" w:cs="宋体"/>
          <w:b/>
          <w:color w:val="auto"/>
          <w:sz w:val="44"/>
          <w:szCs w:val="44"/>
          <w:highlight w:val="none"/>
        </w:rPr>
      </w:pPr>
    </w:p>
    <w:p w14:paraId="1B6398BB">
      <w:pPr>
        <w:pStyle w:val="25"/>
        <w:ind w:left="0" w:leftChars="0" w:firstLine="0" w:firstLineChars="0"/>
        <w:rPr>
          <w:rFonts w:hint="eastAsia" w:ascii="宋体" w:hAnsi="宋体" w:eastAsia="宋体" w:cs="宋体"/>
          <w:color w:val="auto"/>
          <w:sz w:val="24"/>
          <w:szCs w:val="24"/>
          <w:highlight w:val="none"/>
        </w:rPr>
      </w:pPr>
    </w:p>
    <w:p w14:paraId="6B83FEAB">
      <w:pPr>
        <w:pStyle w:val="25"/>
        <w:rPr>
          <w:rFonts w:hint="eastAsia" w:ascii="宋体" w:hAnsi="宋体" w:eastAsia="宋体" w:cs="宋体"/>
          <w:color w:val="auto"/>
          <w:highlight w:val="none"/>
        </w:rPr>
      </w:pPr>
    </w:p>
    <w:p w14:paraId="15F0A929">
      <w:pPr>
        <w:jc w:val="center"/>
        <w:rPr>
          <w:rFonts w:hint="eastAsia" w:ascii="宋体" w:hAnsi="宋体" w:eastAsia="宋体" w:cs="宋体"/>
          <w:b/>
          <w:color w:val="auto"/>
          <w:sz w:val="68"/>
          <w:highlight w:val="none"/>
        </w:rPr>
      </w:pPr>
      <w:r>
        <w:rPr>
          <w:rFonts w:hint="eastAsia" w:ascii="宋体" w:hAnsi="宋体" w:eastAsia="宋体" w:cs="宋体"/>
          <w:b/>
          <w:color w:val="auto"/>
          <w:sz w:val="68"/>
          <w:highlight w:val="none"/>
        </w:rPr>
        <w:t>竞争性磋商响应文件</w:t>
      </w:r>
    </w:p>
    <w:p w14:paraId="79A1F3FD">
      <w:pPr>
        <w:rPr>
          <w:rFonts w:hint="eastAsia" w:ascii="宋体" w:hAnsi="宋体" w:eastAsia="宋体" w:cs="宋体"/>
          <w:b/>
          <w:color w:val="auto"/>
          <w:sz w:val="32"/>
          <w:szCs w:val="32"/>
          <w:highlight w:val="none"/>
        </w:rPr>
      </w:pPr>
    </w:p>
    <w:p w14:paraId="6DEDF578">
      <w:pP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   </w:t>
      </w:r>
    </w:p>
    <w:p w14:paraId="5A10312E">
      <w:pPr>
        <w:rPr>
          <w:rFonts w:hint="eastAsia" w:ascii="宋体" w:hAnsi="宋体" w:eastAsia="宋体" w:cs="宋体"/>
          <w:b/>
          <w:color w:val="auto"/>
          <w:sz w:val="32"/>
          <w:szCs w:val="32"/>
          <w:highlight w:val="none"/>
        </w:rPr>
      </w:pPr>
    </w:p>
    <w:p w14:paraId="7FFBC4FB">
      <w:pPr>
        <w:pStyle w:val="31"/>
        <w:rPr>
          <w:rFonts w:hint="eastAsia" w:ascii="宋体" w:hAnsi="宋体" w:eastAsia="宋体" w:cs="宋体"/>
          <w:b/>
          <w:color w:val="auto"/>
          <w:sz w:val="32"/>
          <w:szCs w:val="32"/>
          <w:highlight w:val="none"/>
        </w:rPr>
      </w:pPr>
    </w:p>
    <w:p w14:paraId="7E4F45FE">
      <w:pPr>
        <w:pStyle w:val="31"/>
        <w:rPr>
          <w:rFonts w:hint="eastAsia" w:ascii="宋体" w:hAnsi="宋体" w:eastAsia="宋体" w:cs="宋体"/>
          <w:b/>
          <w:color w:val="auto"/>
          <w:sz w:val="32"/>
          <w:szCs w:val="32"/>
          <w:highlight w:val="none"/>
        </w:rPr>
      </w:pPr>
    </w:p>
    <w:p w14:paraId="7DEE6659">
      <w:pPr>
        <w:rPr>
          <w:rFonts w:hint="eastAsia" w:ascii="宋体" w:hAnsi="宋体" w:eastAsia="宋体" w:cs="宋体"/>
          <w:color w:val="auto"/>
          <w:sz w:val="30"/>
          <w:highlight w:val="none"/>
        </w:rPr>
      </w:pPr>
      <w:r>
        <w:rPr>
          <w:rFonts w:hint="eastAsia" w:ascii="宋体" w:hAnsi="宋体" w:eastAsia="宋体" w:cs="宋体"/>
          <w:color w:val="auto"/>
          <w:sz w:val="30"/>
          <w:highlight w:val="none"/>
        </w:rPr>
        <w:t xml:space="preserve">      </w:t>
      </w:r>
    </w:p>
    <w:p w14:paraId="2056D5FA">
      <w:pPr>
        <w:spacing w:line="600" w:lineRule="auto"/>
        <w:rPr>
          <w:rFonts w:hint="eastAsia" w:ascii="宋体" w:hAnsi="宋体" w:eastAsia="宋体" w:cs="宋体"/>
          <w:b/>
          <w:color w:val="auto"/>
          <w:sz w:val="32"/>
          <w:highlight w:val="none"/>
        </w:rPr>
      </w:pPr>
    </w:p>
    <w:p w14:paraId="59616320">
      <w:pPr>
        <w:pStyle w:val="6"/>
        <w:ind w:left="0" w:leftChars="0" w:firstLine="0" w:firstLineChars="0"/>
        <w:rPr>
          <w:rFonts w:hint="eastAsia" w:ascii="宋体" w:hAnsi="宋体" w:eastAsia="宋体" w:cs="宋体"/>
          <w:b/>
          <w:color w:val="auto"/>
          <w:sz w:val="32"/>
          <w:highlight w:val="none"/>
        </w:rPr>
      </w:pPr>
    </w:p>
    <w:p w14:paraId="3B0379DD">
      <w:pPr>
        <w:pStyle w:val="6"/>
        <w:rPr>
          <w:rFonts w:hint="eastAsia" w:ascii="宋体" w:hAnsi="宋体" w:eastAsia="宋体" w:cs="宋体"/>
          <w:color w:val="auto"/>
          <w:highlight w:val="none"/>
        </w:rPr>
      </w:pPr>
    </w:p>
    <w:p w14:paraId="2BE7F494">
      <w:pPr>
        <w:spacing w:line="600" w:lineRule="auto"/>
        <w:ind w:firstLine="1110" w:firstLineChars="395"/>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供 应 商：</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（盖章）</w:t>
      </w:r>
    </w:p>
    <w:p w14:paraId="25FC38FB">
      <w:pPr>
        <w:spacing w:line="600" w:lineRule="auto"/>
        <w:ind w:firstLine="1110" w:firstLineChars="395"/>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法定代表人或授权代表：</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（签字或盖章）</w:t>
      </w:r>
    </w:p>
    <w:p w14:paraId="1EB8119F">
      <w:pPr>
        <w:spacing w:line="60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20</w:t>
      </w:r>
      <w:r>
        <w:rPr>
          <w:rFonts w:hint="eastAsia" w:ascii="宋体" w:hAnsi="宋体" w:eastAsia="宋体" w:cs="宋体"/>
          <w:b/>
          <w:color w:val="auto"/>
          <w:sz w:val="28"/>
          <w:szCs w:val="28"/>
          <w:highlight w:val="none"/>
          <w:lang w:val="en-US" w:eastAsia="zh-CN"/>
        </w:rPr>
        <w:t>2</w:t>
      </w:r>
      <w:r>
        <w:rPr>
          <w:rFonts w:hint="eastAsia" w:ascii="宋体" w:hAnsi="宋体" w:cs="宋体"/>
          <w:b/>
          <w:color w:val="auto"/>
          <w:sz w:val="28"/>
          <w:szCs w:val="28"/>
          <w:highlight w:val="none"/>
          <w:lang w:val="en-US" w:eastAsia="zh-CN"/>
        </w:rPr>
        <w:t>6</w:t>
      </w:r>
      <w:r>
        <w:rPr>
          <w:rFonts w:hint="eastAsia" w:ascii="宋体" w:hAnsi="宋体" w:eastAsia="宋体" w:cs="宋体"/>
          <w:b/>
          <w:color w:val="auto"/>
          <w:sz w:val="28"/>
          <w:szCs w:val="28"/>
          <w:highlight w:val="none"/>
        </w:rPr>
        <w:t>年</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月</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日</w:t>
      </w:r>
    </w:p>
    <w:p w14:paraId="02289C5B">
      <w:pPr>
        <w:rPr>
          <w:rFonts w:hint="eastAsia" w:ascii="宋体" w:hAnsi="宋体" w:eastAsia="宋体" w:cs="宋体"/>
          <w:b/>
          <w:bCs/>
          <w:color w:val="auto"/>
          <w:sz w:val="36"/>
          <w:szCs w:val="36"/>
          <w:highlight w:val="none"/>
        </w:rPr>
      </w:pPr>
    </w:p>
    <w:p w14:paraId="1848ACE2">
      <w:pPr>
        <w:jc w:val="center"/>
        <w:rPr>
          <w:rFonts w:hint="eastAsia" w:ascii="宋体" w:hAnsi="宋体" w:eastAsia="宋体" w:cs="宋体"/>
          <w:b/>
          <w:bCs/>
          <w:color w:val="auto"/>
          <w:sz w:val="18"/>
          <w:szCs w:val="18"/>
          <w:highlight w:val="none"/>
        </w:rPr>
      </w:pPr>
    </w:p>
    <w:p w14:paraId="2B478121">
      <w:pPr>
        <w:jc w:val="center"/>
        <w:rPr>
          <w:rFonts w:hint="eastAsia" w:ascii="宋体" w:hAnsi="宋体" w:eastAsia="宋体" w:cs="宋体"/>
          <w:b/>
          <w:bCs/>
          <w:color w:val="auto"/>
          <w:sz w:val="52"/>
          <w:szCs w:val="52"/>
          <w:highlight w:val="none"/>
        </w:rPr>
      </w:pPr>
    </w:p>
    <w:p w14:paraId="64E582BC">
      <w:pPr>
        <w:jc w:val="center"/>
        <w:rPr>
          <w:rFonts w:hint="eastAsia" w:ascii="宋体" w:hAnsi="宋体" w:eastAsia="宋体" w:cs="宋体"/>
          <w:b/>
          <w:bCs/>
          <w:color w:val="auto"/>
          <w:sz w:val="52"/>
          <w:szCs w:val="52"/>
          <w:highlight w:val="none"/>
        </w:rPr>
      </w:pPr>
      <w:r>
        <w:rPr>
          <w:rFonts w:hint="eastAsia" w:ascii="宋体" w:hAnsi="宋体" w:eastAsia="宋体" w:cs="宋体"/>
          <w:b/>
          <w:bCs/>
          <w:color w:val="auto"/>
          <w:sz w:val="52"/>
          <w:szCs w:val="52"/>
          <w:highlight w:val="none"/>
        </w:rPr>
        <w:t>目   录</w:t>
      </w:r>
    </w:p>
    <w:p w14:paraId="2514277C">
      <w:pPr>
        <w:pStyle w:val="10"/>
        <w:rPr>
          <w:rFonts w:hint="eastAsia" w:ascii="宋体" w:hAnsi="宋体" w:eastAsia="宋体" w:cs="宋体"/>
          <w:color w:val="auto"/>
          <w:highlight w:val="none"/>
        </w:rPr>
      </w:pPr>
    </w:p>
    <w:p w14:paraId="6249FF32">
      <w:pPr>
        <w:spacing w:line="720" w:lineRule="auto"/>
        <w:ind w:firstLine="1680" w:firstLineChars="6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第一部分    磋商响应函</w:t>
      </w:r>
    </w:p>
    <w:p w14:paraId="6B44DA98">
      <w:pPr>
        <w:spacing w:line="720" w:lineRule="auto"/>
        <w:ind w:firstLine="1680" w:firstLineChars="6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第二部分    磋商报价表</w:t>
      </w:r>
    </w:p>
    <w:p w14:paraId="535D13AA">
      <w:pPr>
        <w:spacing w:line="720" w:lineRule="auto"/>
        <w:ind w:firstLine="1680" w:firstLineChars="600"/>
        <w:rPr>
          <w:rFonts w:hint="eastAsia" w:ascii="宋体" w:hAnsi="宋体" w:eastAsia="宋体" w:cs="宋体"/>
          <w:bCs/>
          <w:color w:val="auto"/>
          <w:sz w:val="28"/>
          <w:szCs w:val="28"/>
          <w:highlight w:val="none"/>
          <w:lang w:eastAsia="zh-CN"/>
        </w:rPr>
      </w:pPr>
      <w:r>
        <w:rPr>
          <w:rFonts w:hint="eastAsia" w:ascii="宋体" w:hAnsi="宋体" w:eastAsia="宋体" w:cs="宋体"/>
          <w:bCs/>
          <w:color w:val="auto"/>
          <w:sz w:val="28"/>
          <w:szCs w:val="28"/>
          <w:highlight w:val="none"/>
        </w:rPr>
        <w:t>第三部分    技术和商务偏离表</w:t>
      </w:r>
    </w:p>
    <w:p w14:paraId="622F2D1F">
      <w:pPr>
        <w:spacing w:line="720" w:lineRule="auto"/>
        <w:ind w:firstLine="1680" w:firstLineChars="6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第四部分    供应商证明资料</w:t>
      </w:r>
    </w:p>
    <w:p w14:paraId="1744CB50">
      <w:pPr>
        <w:spacing w:line="720" w:lineRule="auto"/>
        <w:ind w:firstLine="1680" w:firstLineChars="6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lang w:val="en-US" w:eastAsia="zh-CN"/>
        </w:rPr>
        <w:t>第五部分    服务方案</w:t>
      </w:r>
    </w:p>
    <w:p w14:paraId="5E30DCE2">
      <w:pPr>
        <w:spacing w:line="720" w:lineRule="auto"/>
        <w:ind w:firstLine="1680" w:firstLineChars="600"/>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rPr>
        <w:t>第六部分</w:t>
      </w:r>
      <w:r>
        <w:rPr>
          <w:rFonts w:hint="eastAsia" w:ascii="宋体" w:hAnsi="宋体" w:eastAsia="宋体" w:cs="宋体"/>
          <w:bCs/>
          <w:color w:val="auto"/>
          <w:sz w:val="28"/>
          <w:szCs w:val="28"/>
          <w:highlight w:val="none"/>
          <w:lang w:val="en-US" w:eastAsia="zh-CN"/>
        </w:rPr>
        <w:t xml:space="preserve">    类似业绩证明材料</w:t>
      </w:r>
    </w:p>
    <w:p w14:paraId="5CF48429">
      <w:pPr>
        <w:spacing w:line="720" w:lineRule="auto"/>
        <w:ind w:firstLine="1680" w:firstLineChars="600"/>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rPr>
        <w:t>第</w:t>
      </w:r>
      <w:r>
        <w:rPr>
          <w:rFonts w:hint="eastAsia" w:ascii="宋体" w:hAnsi="宋体" w:cs="宋体"/>
          <w:bCs/>
          <w:color w:val="auto"/>
          <w:sz w:val="28"/>
          <w:szCs w:val="28"/>
          <w:highlight w:val="none"/>
          <w:lang w:val="en-US" w:eastAsia="zh-CN"/>
        </w:rPr>
        <w:t>七</w:t>
      </w:r>
      <w:r>
        <w:rPr>
          <w:rFonts w:hint="eastAsia" w:ascii="宋体" w:hAnsi="宋体" w:eastAsia="宋体" w:cs="宋体"/>
          <w:bCs/>
          <w:color w:val="auto"/>
          <w:sz w:val="28"/>
          <w:szCs w:val="28"/>
          <w:highlight w:val="none"/>
        </w:rPr>
        <w:t xml:space="preserve">部分    </w:t>
      </w:r>
      <w:r>
        <w:rPr>
          <w:rFonts w:hint="eastAsia" w:ascii="宋体" w:hAnsi="宋体" w:eastAsia="宋体" w:cs="宋体"/>
          <w:bCs/>
          <w:color w:val="auto"/>
          <w:sz w:val="28"/>
          <w:szCs w:val="28"/>
          <w:highlight w:val="none"/>
          <w:lang w:val="en-US" w:eastAsia="zh-CN"/>
        </w:rPr>
        <w:t>其他资料</w:t>
      </w:r>
    </w:p>
    <w:p w14:paraId="29389F10">
      <w:pPr>
        <w:pStyle w:val="25"/>
        <w:rPr>
          <w:rFonts w:hint="eastAsia" w:ascii="宋体" w:hAnsi="宋体" w:eastAsia="宋体" w:cs="宋体"/>
          <w:bCs/>
          <w:color w:val="auto"/>
          <w:sz w:val="28"/>
          <w:szCs w:val="22"/>
          <w:highlight w:val="none"/>
          <w:lang w:val="en-US" w:eastAsia="zh-CN"/>
        </w:rPr>
      </w:pPr>
    </w:p>
    <w:p w14:paraId="31BA90E0">
      <w:pPr>
        <w:pStyle w:val="25"/>
        <w:rPr>
          <w:rFonts w:hint="eastAsia" w:ascii="宋体" w:hAnsi="宋体" w:eastAsia="宋体" w:cs="宋体"/>
          <w:bCs/>
          <w:color w:val="auto"/>
          <w:sz w:val="28"/>
          <w:szCs w:val="22"/>
          <w:highlight w:val="none"/>
          <w:lang w:val="en-US" w:eastAsia="zh-CN"/>
        </w:rPr>
      </w:pPr>
    </w:p>
    <w:p w14:paraId="0623F4B3">
      <w:pPr>
        <w:pStyle w:val="10"/>
        <w:rPr>
          <w:rFonts w:hint="eastAsia" w:ascii="宋体" w:hAnsi="宋体" w:eastAsia="宋体" w:cs="宋体"/>
          <w:color w:val="auto"/>
          <w:highlight w:val="none"/>
        </w:rPr>
      </w:pPr>
    </w:p>
    <w:p w14:paraId="47F759ED">
      <w:pPr>
        <w:spacing w:line="24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bookmarkStart w:id="16" w:name="_Toc291488680"/>
      <w:bookmarkStart w:id="17" w:name="_Toc290389791"/>
    </w:p>
    <w:p w14:paraId="03D4E33C">
      <w:pPr>
        <w:spacing w:line="240" w:lineRule="auto"/>
        <w:jc w:val="center"/>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lang w:val="en-US" w:eastAsia="zh-CN"/>
        </w:rPr>
        <w:t>第一部分  磋商响应函</w:t>
      </w:r>
      <w:bookmarkEnd w:id="16"/>
      <w:bookmarkEnd w:id="17"/>
    </w:p>
    <w:p w14:paraId="74226A7B">
      <w:pPr>
        <w:keepNext w:val="0"/>
        <w:keepLines w:val="0"/>
        <w:pageBreakBefore w:val="0"/>
        <w:widowControl w:val="0"/>
        <w:kinsoku/>
        <w:wordWrap/>
        <w:overflowPunct/>
        <w:topLinePunct w:val="0"/>
        <w:autoSpaceDE/>
        <w:autoSpaceDN/>
        <w:bidi w:val="0"/>
        <w:adjustRightInd/>
        <w:snapToGrid/>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致：</w:t>
      </w:r>
      <w:r>
        <w:rPr>
          <w:rFonts w:hint="eastAsia" w:ascii="宋体" w:hAnsi="宋体" w:cs="宋体"/>
          <w:color w:val="auto"/>
          <w:sz w:val="24"/>
          <w:szCs w:val="24"/>
          <w:highlight w:val="none"/>
          <w:lang w:eastAsia="zh-CN"/>
        </w:rPr>
        <w:t>长武县住房和城乡建设局</w:t>
      </w:r>
    </w:p>
    <w:p w14:paraId="22342709">
      <w:pPr>
        <w:keepNext w:val="0"/>
        <w:keepLines w:val="0"/>
        <w:pageBreakBefore w:val="0"/>
        <w:widowControl w:val="0"/>
        <w:kinsoku/>
        <w:wordWrap/>
        <w:overflowPunct/>
        <w:topLinePunct w:val="0"/>
        <w:autoSpaceDE/>
        <w:autoSpaceDN/>
        <w:bidi w:val="0"/>
        <w:adjustRightInd/>
        <w:snapToGrid/>
        <w:spacing w:line="5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我单位收到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u w:val="single"/>
          <w:lang w:val="en-US" w:eastAsia="zh-CN"/>
        </w:rPr>
        <w:t>[</w:t>
      </w:r>
      <w:r>
        <w:rPr>
          <w:rFonts w:hint="eastAsia" w:ascii="宋体" w:hAnsi="宋体" w:cs="宋体"/>
          <w:color w:val="auto"/>
          <w:sz w:val="24"/>
          <w:szCs w:val="24"/>
          <w:highlight w:val="none"/>
          <w:u w:val="single"/>
          <w:lang w:eastAsia="zh-CN"/>
        </w:rPr>
        <w:t>YC26001016（CGP）</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en-US" w:eastAsia="zh-CN"/>
        </w:rPr>
        <w:t>竞争性磋商</w:t>
      </w:r>
      <w:r>
        <w:rPr>
          <w:rFonts w:hint="eastAsia" w:ascii="宋体" w:hAnsi="宋体" w:eastAsia="宋体" w:cs="宋体"/>
          <w:color w:val="auto"/>
          <w:sz w:val="24"/>
          <w:szCs w:val="24"/>
          <w:highlight w:val="none"/>
        </w:rPr>
        <w:t>文件，经详细研究，我们决定参加该项目</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活动。为此，我方郑重声明以下诸点，并负法律责任</w:t>
      </w:r>
      <w:r>
        <w:rPr>
          <w:rFonts w:hint="eastAsia" w:ascii="宋体" w:hAnsi="宋体" w:eastAsia="宋体" w:cs="宋体"/>
          <w:color w:val="auto"/>
          <w:sz w:val="24"/>
          <w:szCs w:val="24"/>
          <w:highlight w:val="none"/>
          <w:lang w:eastAsia="zh-CN"/>
        </w:rPr>
        <w:t>：</w:t>
      </w:r>
    </w:p>
    <w:p w14:paraId="308B131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我方已详细审核全部</w:t>
      </w:r>
      <w:r>
        <w:rPr>
          <w:rFonts w:hint="eastAsia" w:ascii="宋体" w:hAnsi="宋体" w:eastAsia="宋体" w:cs="宋体"/>
          <w:color w:val="auto"/>
          <w:sz w:val="24"/>
          <w:szCs w:val="24"/>
          <w:highlight w:val="none"/>
          <w:lang w:eastAsia="zh-CN"/>
        </w:rPr>
        <w:t>竞争性</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文件，包括答疑纪要及有关附件。</w:t>
      </w:r>
    </w:p>
    <w:p w14:paraId="1946571C">
      <w:pPr>
        <w:keepNext w:val="0"/>
        <w:keepLines w:val="0"/>
        <w:pageBreakBefore w:val="0"/>
        <w:widowControl w:val="0"/>
        <w:kinsoku/>
        <w:wordWrap/>
        <w:overflowPunct/>
        <w:topLinePunct w:val="0"/>
        <w:autoSpaceDE/>
        <w:autoSpaceDN/>
        <w:bidi w:val="0"/>
        <w:adjustRightInd/>
        <w:snapToGrid/>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我方承诺在</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有效期内不修改、撤销</w:t>
      </w:r>
      <w:r>
        <w:rPr>
          <w:rFonts w:hint="eastAsia" w:ascii="宋体" w:hAnsi="宋体" w:eastAsia="宋体" w:cs="宋体"/>
          <w:color w:val="auto"/>
          <w:sz w:val="24"/>
          <w:szCs w:val="24"/>
          <w:highlight w:val="none"/>
          <w:lang w:val="en-US" w:eastAsia="zh-CN"/>
        </w:rPr>
        <w:t>磋商响应</w:t>
      </w:r>
      <w:r>
        <w:rPr>
          <w:rFonts w:hint="eastAsia" w:ascii="宋体" w:hAnsi="宋体" w:eastAsia="宋体" w:cs="宋体"/>
          <w:color w:val="auto"/>
          <w:sz w:val="24"/>
          <w:szCs w:val="24"/>
          <w:highlight w:val="none"/>
        </w:rPr>
        <w:t>文件。</w:t>
      </w:r>
    </w:p>
    <w:p w14:paraId="71919F2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我方保证上述</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报价不低于我单位的成本价。</w:t>
      </w:r>
    </w:p>
    <w:p w14:paraId="45C785C4">
      <w:pPr>
        <w:keepNext w:val="0"/>
        <w:keepLines w:val="0"/>
        <w:pageBreakBefore w:val="0"/>
        <w:widowControl w:val="0"/>
        <w:kinsoku/>
        <w:wordWrap/>
        <w:overflowPunct/>
        <w:topLinePunct w:val="0"/>
        <w:autoSpaceDE/>
        <w:autoSpaceDN/>
        <w:bidi w:val="0"/>
        <w:adjustRightInd/>
        <w:snapToGrid/>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我们理解，你们有选择</w:t>
      </w:r>
      <w:r>
        <w:rPr>
          <w:rFonts w:hint="eastAsia" w:ascii="宋体" w:hAnsi="宋体" w:eastAsia="宋体" w:cs="宋体"/>
          <w:color w:val="auto"/>
          <w:sz w:val="24"/>
          <w:szCs w:val="24"/>
          <w:highlight w:val="none"/>
          <w:lang w:val="en-US" w:eastAsia="zh-CN"/>
        </w:rPr>
        <w:t>成</w:t>
      </w:r>
      <w:r>
        <w:rPr>
          <w:rFonts w:hint="eastAsia" w:ascii="宋体" w:hAnsi="宋体" w:eastAsia="宋体" w:cs="宋体"/>
          <w:color w:val="auto"/>
          <w:sz w:val="24"/>
          <w:szCs w:val="24"/>
          <w:highlight w:val="none"/>
        </w:rPr>
        <w:t>单位的权力，最低报价不是</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的唯一条件。</w:t>
      </w:r>
    </w:p>
    <w:p w14:paraId="5870F15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5、磋商有效期为自磋商响应文件递交截止日起不少于90个日历日（包含90个日历日）。</w:t>
      </w:r>
    </w:p>
    <w:p w14:paraId="192A954A">
      <w:pPr>
        <w:keepNext w:val="0"/>
        <w:keepLines w:val="0"/>
        <w:pageBreakBefore w:val="0"/>
        <w:widowControl w:val="0"/>
        <w:kinsoku/>
        <w:wordWrap/>
        <w:overflowPunct/>
        <w:topLinePunct w:val="0"/>
        <w:autoSpaceDE/>
        <w:autoSpaceDN/>
        <w:bidi w:val="0"/>
        <w:adjustRightInd/>
        <w:snapToGrid/>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我方在此声明，所递交的</w:t>
      </w:r>
      <w:r>
        <w:rPr>
          <w:rFonts w:hint="eastAsia" w:ascii="宋体" w:hAnsi="宋体" w:eastAsia="宋体" w:cs="宋体"/>
          <w:color w:val="auto"/>
          <w:sz w:val="24"/>
          <w:szCs w:val="24"/>
          <w:highlight w:val="none"/>
          <w:lang w:val="en-US" w:eastAsia="zh-CN"/>
        </w:rPr>
        <w:t>磋商响应</w:t>
      </w:r>
      <w:r>
        <w:rPr>
          <w:rFonts w:hint="eastAsia" w:ascii="宋体" w:hAnsi="宋体" w:eastAsia="宋体" w:cs="宋体"/>
          <w:color w:val="auto"/>
          <w:sz w:val="24"/>
          <w:szCs w:val="24"/>
          <w:highlight w:val="none"/>
        </w:rPr>
        <w:t>文件及有关资料内容完整、真实和准确。</w:t>
      </w:r>
    </w:p>
    <w:p w14:paraId="74A0493C">
      <w:pPr>
        <w:keepNext w:val="0"/>
        <w:keepLines w:val="0"/>
        <w:pageBreakBefore w:val="0"/>
        <w:widowControl w:val="0"/>
        <w:kinsoku/>
        <w:wordWrap/>
        <w:overflowPunct/>
        <w:topLinePunct w:val="0"/>
        <w:autoSpaceDE/>
        <w:autoSpaceDN/>
        <w:bidi w:val="0"/>
        <w:adjustRightInd/>
        <w:snapToGrid/>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我们愿按《中华人民共和国</w:t>
      </w:r>
      <w:r>
        <w:rPr>
          <w:rFonts w:hint="eastAsia" w:ascii="宋体" w:hAnsi="宋体" w:eastAsia="宋体" w:cs="宋体"/>
          <w:color w:val="auto"/>
          <w:sz w:val="24"/>
          <w:szCs w:val="24"/>
          <w:highlight w:val="none"/>
          <w:lang w:eastAsia="zh-CN"/>
        </w:rPr>
        <w:t>民法典</w:t>
      </w:r>
      <w:r>
        <w:rPr>
          <w:rFonts w:hint="eastAsia" w:ascii="宋体" w:hAnsi="宋体" w:eastAsia="宋体" w:cs="宋体"/>
          <w:color w:val="auto"/>
          <w:sz w:val="24"/>
          <w:szCs w:val="24"/>
          <w:highlight w:val="none"/>
        </w:rPr>
        <w:t>》履行自己的全部责任。</w:t>
      </w:r>
    </w:p>
    <w:p w14:paraId="21F3F07C">
      <w:pPr>
        <w:keepNext w:val="0"/>
        <w:keepLines w:val="0"/>
        <w:pageBreakBefore w:val="0"/>
        <w:widowControl w:val="0"/>
        <w:kinsoku/>
        <w:wordWrap/>
        <w:overflowPunct/>
        <w:topLinePunct w:val="0"/>
        <w:autoSpaceDE/>
        <w:autoSpaceDN/>
        <w:bidi w:val="0"/>
        <w:adjustRightInd/>
        <w:snapToGrid/>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如我方</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w:t>
      </w:r>
    </w:p>
    <w:p w14:paraId="57D29869">
      <w:pPr>
        <w:keepNext w:val="0"/>
        <w:keepLines w:val="0"/>
        <w:pageBreakBefore w:val="0"/>
        <w:widowControl w:val="0"/>
        <w:kinsoku/>
        <w:wordWrap/>
        <w:overflowPunct/>
        <w:topLinePunct w:val="0"/>
        <w:autoSpaceDE/>
        <w:autoSpaceDN/>
        <w:bidi w:val="0"/>
        <w:adjustRightInd/>
        <w:snapToGrid/>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l）我方承诺在收到</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通知书后，在</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通知书规定的期限内与你方签订合同。</w:t>
      </w:r>
    </w:p>
    <w:p w14:paraId="7D6DB748">
      <w:pPr>
        <w:keepNext w:val="0"/>
        <w:keepLines w:val="0"/>
        <w:pageBreakBefore w:val="0"/>
        <w:widowControl w:val="0"/>
        <w:kinsoku/>
        <w:wordWrap/>
        <w:overflowPunct/>
        <w:topLinePunct w:val="0"/>
        <w:autoSpaceDE/>
        <w:autoSpaceDN/>
        <w:bidi w:val="0"/>
        <w:adjustRightInd/>
        <w:snapToGrid/>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2）我方承诺按照</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文件规定向你方递交履约担保。</w:t>
      </w:r>
    </w:p>
    <w:p w14:paraId="561600B8">
      <w:pPr>
        <w:keepNext w:val="0"/>
        <w:keepLines w:val="0"/>
        <w:pageBreakBefore w:val="0"/>
        <w:widowControl w:val="0"/>
        <w:kinsoku/>
        <w:wordWrap/>
        <w:overflowPunct/>
        <w:topLinePunct w:val="0"/>
        <w:autoSpaceDE/>
        <w:autoSpaceDN/>
        <w:bidi w:val="0"/>
        <w:adjustRightInd/>
        <w:snapToGrid/>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）我方承诺在合同约定的期限内完成所有工作。</w:t>
      </w:r>
    </w:p>
    <w:p w14:paraId="53B3E7E4">
      <w:pPr>
        <w:keepNext w:val="0"/>
        <w:keepLines w:val="0"/>
        <w:pageBreakBefore w:val="0"/>
        <w:widowControl w:val="0"/>
        <w:kinsoku/>
        <w:wordWrap/>
        <w:overflowPunct/>
        <w:topLinePunct w:val="0"/>
        <w:autoSpaceDE/>
        <w:autoSpaceDN/>
        <w:bidi w:val="0"/>
        <w:adjustRightInd/>
        <w:snapToGrid/>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与本</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有关的一切往来通信请寄：</w:t>
      </w:r>
    </w:p>
    <w:p w14:paraId="6F2840E2">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单位全称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（盖章）</w:t>
      </w:r>
    </w:p>
    <w:p w14:paraId="430B3C8C">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签字或盖章</w:t>
      </w:r>
      <w:r>
        <w:rPr>
          <w:rFonts w:hint="eastAsia" w:ascii="宋体" w:hAnsi="宋体" w:eastAsia="宋体" w:cs="宋体"/>
          <w:color w:val="auto"/>
          <w:sz w:val="24"/>
          <w:szCs w:val="24"/>
          <w:highlight w:val="none"/>
          <w:lang w:eastAsia="zh-CN"/>
        </w:rPr>
        <w:t>）</w:t>
      </w:r>
    </w:p>
    <w:p w14:paraId="788D2A8A">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p>
    <w:p w14:paraId="27B3C802">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开户银行：</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1779D6A8">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账号：</w:t>
      </w:r>
      <w:r>
        <w:rPr>
          <w:rFonts w:hint="eastAsia" w:ascii="宋体" w:hAnsi="宋体" w:eastAsia="宋体" w:cs="宋体"/>
          <w:color w:val="auto"/>
          <w:sz w:val="24"/>
          <w:szCs w:val="24"/>
          <w:highlight w:val="none"/>
          <w:u w:val="single"/>
        </w:rPr>
        <w:t xml:space="preserve">                             </w:t>
      </w:r>
    </w:p>
    <w:p w14:paraId="1B3F2CC0">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3BF2C9C5">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邮箱</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2E717895">
      <w:pPr>
        <w:keepNext w:val="0"/>
        <w:keepLines w:val="0"/>
        <w:pageBreakBefore w:val="0"/>
        <w:widowControl w:val="0"/>
        <w:kinsoku/>
        <w:wordWrap/>
        <w:overflowPunct/>
        <w:topLinePunct w:val="0"/>
        <w:autoSpaceDE/>
        <w:autoSpaceDN/>
        <w:bidi w:val="0"/>
        <w:adjustRightInd/>
        <w:snapToGrid/>
        <w:spacing w:line="500" w:lineRule="exact"/>
        <w:ind w:firstLine="5040" w:firstLineChars="2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月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2789B2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color w:val="auto"/>
          <w:sz w:val="18"/>
          <w:szCs w:val="18"/>
          <w:highlight w:val="none"/>
          <w:lang w:eastAsia="zh-CN"/>
        </w:rPr>
        <w:br w:type="page"/>
      </w:r>
      <w:r>
        <w:rPr>
          <w:rFonts w:hint="eastAsia" w:ascii="宋体" w:hAnsi="宋体" w:eastAsia="宋体" w:cs="宋体"/>
          <w:b/>
          <w:bCs/>
          <w:color w:val="auto"/>
          <w:sz w:val="28"/>
          <w:szCs w:val="28"/>
          <w:highlight w:val="none"/>
          <w:lang w:val="en-US" w:eastAsia="zh-CN"/>
        </w:rPr>
        <w:t>第二部分  磋商报价表</w:t>
      </w:r>
    </w:p>
    <w:tbl>
      <w:tblPr>
        <w:tblStyle w:val="27"/>
        <w:tblW w:w="8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3"/>
        <w:gridCol w:w="5906"/>
      </w:tblGrid>
      <w:tr w14:paraId="3B7F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2953" w:type="dxa"/>
            <w:noWrap w:val="0"/>
            <w:vAlign w:val="center"/>
          </w:tcPr>
          <w:p w14:paraId="30408B8D">
            <w:pPr>
              <w:spacing w:line="24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项目名称</w:t>
            </w:r>
          </w:p>
        </w:tc>
        <w:tc>
          <w:tcPr>
            <w:tcW w:w="5906" w:type="dxa"/>
            <w:noWrap w:val="0"/>
            <w:vAlign w:val="center"/>
          </w:tcPr>
          <w:p w14:paraId="53442E50">
            <w:pPr>
              <w:spacing w:line="24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长武县城区摆放时令鲜花项目</w:t>
            </w:r>
          </w:p>
        </w:tc>
      </w:tr>
      <w:tr w14:paraId="2AC9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trPr>
        <w:tc>
          <w:tcPr>
            <w:tcW w:w="2953" w:type="dxa"/>
            <w:noWrap w:val="0"/>
            <w:vAlign w:val="center"/>
          </w:tcPr>
          <w:p w14:paraId="6F423C05">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磋商报价</w:t>
            </w:r>
          </w:p>
          <w:p w14:paraId="2282F31E">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（元）</w:t>
            </w:r>
          </w:p>
        </w:tc>
        <w:tc>
          <w:tcPr>
            <w:tcW w:w="5906" w:type="dxa"/>
            <w:noWrap w:val="0"/>
            <w:vAlign w:val="center"/>
          </w:tcPr>
          <w:p w14:paraId="0299231D">
            <w:pPr>
              <w:spacing w:line="48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大写：</w:t>
            </w:r>
          </w:p>
          <w:p w14:paraId="0CCFB5BE">
            <w:pPr>
              <w:spacing w:line="480" w:lineRule="auto"/>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小写：</w:t>
            </w:r>
          </w:p>
        </w:tc>
      </w:tr>
      <w:tr w14:paraId="444B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2953" w:type="dxa"/>
            <w:noWrap w:val="0"/>
            <w:vAlign w:val="center"/>
          </w:tcPr>
          <w:p w14:paraId="660BB9CF">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color w:val="auto"/>
                <w:kern w:val="1"/>
                <w:sz w:val="21"/>
                <w:szCs w:val="21"/>
                <w:highlight w:val="none"/>
                <w:lang w:val="en-US" w:eastAsia="zh-CN"/>
              </w:rPr>
              <w:t>服务期</w:t>
            </w:r>
          </w:p>
        </w:tc>
        <w:tc>
          <w:tcPr>
            <w:tcW w:w="5906" w:type="dxa"/>
            <w:noWrap w:val="0"/>
            <w:vAlign w:val="center"/>
          </w:tcPr>
          <w:p w14:paraId="0883E9AB">
            <w:pPr>
              <w:spacing w:line="360" w:lineRule="auto"/>
              <w:jc w:val="center"/>
              <w:rPr>
                <w:rFonts w:hint="eastAsia" w:ascii="宋体" w:hAnsi="宋体" w:eastAsia="宋体" w:cs="宋体"/>
                <w:color w:val="auto"/>
                <w:sz w:val="21"/>
                <w:szCs w:val="21"/>
                <w:highlight w:val="none"/>
              </w:rPr>
            </w:pPr>
          </w:p>
        </w:tc>
      </w:tr>
      <w:tr w14:paraId="721A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trPr>
        <w:tc>
          <w:tcPr>
            <w:tcW w:w="2953" w:type="dxa"/>
            <w:noWrap w:val="0"/>
            <w:vAlign w:val="center"/>
          </w:tcPr>
          <w:p w14:paraId="4C152ED9">
            <w:pPr>
              <w:widowControl/>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1"/>
                <w:sz w:val="21"/>
                <w:szCs w:val="21"/>
                <w:highlight w:val="none"/>
                <w:lang w:val="en-US" w:eastAsia="zh-CN"/>
              </w:rPr>
              <w:t>备注</w:t>
            </w:r>
          </w:p>
        </w:tc>
        <w:tc>
          <w:tcPr>
            <w:tcW w:w="5906" w:type="dxa"/>
            <w:noWrap w:val="0"/>
            <w:vAlign w:val="center"/>
          </w:tcPr>
          <w:p w14:paraId="285066C4">
            <w:pPr>
              <w:widowControl/>
              <w:jc w:val="left"/>
              <w:rPr>
                <w:rFonts w:hint="eastAsia" w:ascii="宋体" w:hAnsi="宋体" w:eastAsia="宋体" w:cs="宋体"/>
                <w:color w:val="auto"/>
                <w:sz w:val="24"/>
                <w:szCs w:val="24"/>
                <w:highlight w:val="none"/>
              </w:rPr>
            </w:pPr>
          </w:p>
        </w:tc>
      </w:tr>
    </w:tbl>
    <w:p w14:paraId="1D32AC7F">
      <w:pPr>
        <w:spacing w:line="240" w:lineRule="auto"/>
        <w:rPr>
          <w:rFonts w:hint="eastAsia" w:ascii="宋体" w:hAnsi="宋体" w:eastAsia="宋体" w:cs="宋体"/>
          <w:color w:val="auto"/>
          <w:sz w:val="18"/>
          <w:szCs w:val="18"/>
          <w:highlight w:val="none"/>
        </w:rPr>
      </w:pPr>
    </w:p>
    <w:p w14:paraId="7175A364">
      <w:pPr>
        <w:spacing w:before="156" w:after="156"/>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注：1、本报价包含税金及项目实施过程中发生的一切费用。</w:t>
      </w:r>
    </w:p>
    <w:p w14:paraId="6327D8BA">
      <w:pPr>
        <w:pStyle w:val="10"/>
        <w:spacing w:before="156" w:after="156"/>
        <w:ind w:left="424" w:leftChars="202" w:firstLine="0" w:firstLineChars="0"/>
        <w:rPr>
          <w:rFonts w:hint="eastAsia" w:ascii="宋体" w:hAnsi="宋体" w:eastAsia="宋体" w:cs="宋体"/>
          <w:color w:val="auto"/>
          <w:highlight w:val="none"/>
        </w:rPr>
      </w:pPr>
      <w:r>
        <w:rPr>
          <w:rFonts w:hint="eastAsia" w:ascii="宋体" w:hAnsi="宋体" w:eastAsia="宋体" w:cs="宋体"/>
          <w:color w:val="auto"/>
          <w:sz w:val="24"/>
          <w:szCs w:val="24"/>
          <w:highlight w:val="none"/>
        </w:rPr>
        <w:t>2、报价金额保留至小数点后两位（四舍五入）。</w:t>
      </w:r>
    </w:p>
    <w:p w14:paraId="363B3501">
      <w:pPr>
        <w:spacing w:line="480" w:lineRule="auto"/>
        <w:ind w:firstLine="3360" w:firstLineChars="1400"/>
        <w:rPr>
          <w:rFonts w:hint="eastAsia" w:ascii="宋体" w:hAnsi="宋体" w:eastAsia="宋体" w:cs="宋体"/>
          <w:color w:val="auto"/>
          <w:sz w:val="24"/>
          <w:szCs w:val="24"/>
          <w:highlight w:val="none"/>
        </w:rPr>
      </w:pPr>
    </w:p>
    <w:p w14:paraId="19FF1BE7">
      <w:pPr>
        <w:spacing w:line="600" w:lineRule="auto"/>
        <w:ind w:firstLine="3360" w:firstLineChars="1400"/>
        <w:rPr>
          <w:rFonts w:hint="eastAsia" w:ascii="宋体" w:hAnsi="宋体" w:eastAsia="宋体" w:cs="宋体"/>
          <w:color w:val="auto"/>
          <w:sz w:val="24"/>
          <w:szCs w:val="24"/>
          <w:highlight w:val="none"/>
        </w:rPr>
      </w:pPr>
    </w:p>
    <w:p w14:paraId="24123B24">
      <w:pPr>
        <w:spacing w:line="60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单位全称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（盖章）</w:t>
      </w:r>
    </w:p>
    <w:p w14:paraId="6C4D8BF0">
      <w:pPr>
        <w:spacing w:line="60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3648EE06">
      <w:pPr>
        <w:pStyle w:val="18"/>
        <w:spacing w:line="600" w:lineRule="auto"/>
        <w:ind w:firstLine="3360" w:firstLineChars="1400"/>
        <w:rPr>
          <w:rFonts w:hint="eastAsia" w:ascii="宋体" w:hAnsi="宋体" w:eastAsia="宋体" w:cs="宋体"/>
          <w:color w:val="auto"/>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月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BD223A0">
      <w:pPr>
        <w:jc w:val="center"/>
        <w:rPr>
          <w:rFonts w:hint="eastAsia" w:ascii="宋体" w:hAnsi="宋体" w:eastAsia="宋体" w:cs="宋体"/>
          <w:b/>
          <w:color w:val="auto"/>
          <w:sz w:val="30"/>
          <w:szCs w:val="30"/>
          <w:highlight w:val="none"/>
        </w:rPr>
      </w:pPr>
    </w:p>
    <w:p w14:paraId="207E7AFA">
      <w:pPr>
        <w:jc w:val="center"/>
        <w:rPr>
          <w:rFonts w:hint="eastAsia" w:ascii="宋体" w:hAnsi="宋体" w:eastAsia="宋体" w:cs="宋体"/>
          <w:b/>
          <w:color w:val="auto"/>
          <w:sz w:val="30"/>
          <w:szCs w:val="30"/>
          <w:highlight w:val="none"/>
        </w:rPr>
      </w:pPr>
    </w:p>
    <w:p w14:paraId="3ECA4E7D">
      <w:pPr>
        <w:jc w:val="center"/>
        <w:rPr>
          <w:rFonts w:hint="eastAsia" w:ascii="宋体" w:hAnsi="宋体" w:eastAsia="宋体" w:cs="宋体"/>
          <w:b/>
          <w:color w:val="auto"/>
          <w:sz w:val="30"/>
          <w:szCs w:val="30"/>
          <w:highlight w:val="none"/>
        </w:rPr>
      </w:pPr>
    </w:p>
    <w:p w14:paraId="5A153328">
      <w:pPr>
        <w:jc w:val="center"/>
        <w:rPr>
          <w:rFonts w:hint="default" w:ascii="宋体" w:hAnsi="宋体" w:eastAsia="宋体" w:cs="宋体"/>
          <w:b/>
          <w:color w:val="auto"/>
          <w:sz w:val="30"/>
          <w:szCs w:val="30"/>
          <w:highlight w:val="none"/>
          <w:lang w:val="en-US" w:eastAsia="zh-CN"/>
        </w:rPr>
      </w:pPr>
      <w:r>
        <w:rPr>
          <w:rFonts w:hint="eastAsia" w:ascii="宋体" w:hAnsi="宋体" w:cs="宋体"/>
          <w:b/>
          <w:color w:val="auto"/>
          <w:sz w:val="30"/>
          <w:szCs w:val="30"/>
          <w:highlight w:val="none"/>
          <w:lang w:val="en-US" w:eastAsia="zh-CN"/>
        </w:rPr>
        <w:t>报价明细表</w:t>
      </w:r>
    </w:p>
    <w:tbl>
      <w:tblPr>
        <w:tblStyle w:val="27"/>
        <w:tblW w:w="847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0"/>
        <w:gridCol w:w="696"/>
        <w:gridCol w:w="1296"/>
        <w:gridCol w:w="2280"/>
        <w:gridCol w:w="1356"/>
        <w:gridCol w:w="816"/>
        <w:gridCol w:w="1008"/>
      </w:tblGrid>
      <w:tr w14:paraId="57D05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B1A0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项目</w:t>
            </w:r>
          </w:p>
          <w:p w14:paraId="4181BF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F85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12F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花卉名称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B99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图片</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DE9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C6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30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（元/盆）</w:t>
            </w:r>
          </w:p>
        </w:tc>
      </w:tr>
      <w:tr w14:paraId="73EB2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2F637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     鲜    花</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D24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1CA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红叶鸡冠</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BFC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72390</wp:posOffset>
                  </wp:positionH>
                  <wp:positionV relativeFrom="paragraph">
                    <wp:posOffset>55245</wp:posOffset>
                  </wp:positionV>
                  <wp:extent cx="1146810" cy="650240"/>
                  <wp:effectExtent l="0" t="0" r="11430" b="5080"/>
                  <wp:wrapNone/>
                  <wp:docPr id="34" name="图片_3"/>
                  <wp:cNvGraphicFramePr/>
                  <a:graphic xmlns:a="http://schemas.openxmlformats.org/drawingml/2006/main">
                    <a:graphicData uri="http://schemas.openxmlformats.org/drawingml/2006/picture">
                      <pic:pic xmlns:pic="http://schemas.openxmlformats.org/drawingml/2006/picture">
                        <pic:nvPicPr>
                          <pic:cNvPr id="34" name="图片_3"/>
                          <pic:cNvPicPr/>
                        </pic:nvPicPr>
                        <pic:blipFill>
                          <a:blip r:embed="rId13"/>
                          <a:stretch>
                            <a:fillRect/>
                          </a:stretch>
                        </pic:blipFill>
                        <pic:spPr>
                          <a:xfrm>
                            <a:off x="0" y="0"/>
                            <a:ext cx="1146810" cy="65024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F7E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58E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C0C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8294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92FD93C">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E1DB4">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83DB6">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40B11">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80E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F99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54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6B53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3F00FA3">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D69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BC6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绿叶鸡冠</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456E5">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21590</wp:posOffset>
                  </wp:positionH>
                  <wp:positionV relativeFrom="paragraph">
                    <wp:posOffset>65405</wp:posOffset>
                  </wp:positionV>
                  <wp:extent cx="1241425" cy="742315"/>
                  <wp:effectExtent l="0" t="0" r="8255" b="4445"/>
                  <wp:wrapNone/>
                  <wp:docPr id="35" name="图片_1"/>
                  <wp:cNvGraphicFramePr/>
                  <a:graphic xmlns:a="http://schemas.openxmlformats.org/drawingml/2006/main">
                    <a:graphicData uri="http://schemas.openxmlformats.org/drawingml/2006/picture">
                      <pic:pic xmlns:pic="http://schemas.openxmlformats.org/drawingml/2006/picture">
                        <pic:nvPicPr>
                          <pic:cNvPr id="35" name="图片_1"/>
                          <pic:cNvPicPr/>
                        </pic:nvPicPr>
                        <pic:blipFill>
                          <a:blip r:embed="rId14"/>
                          <a:stretch>
                            <a:fillRect/>
                          </a:stretch>
                        </pic:blipFill>
                        <pic:spPr>
                          <a:xfrm>
                            <a:off x="0" y="0"/>
                            <a:ext cx="1241425" cy="74231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02D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71D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2C4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1C15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FA63F48">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A6ABC">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1197">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28B7A">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6BE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62B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A11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251B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75B0D29">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1D1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B26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四季海棠</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28B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57150</wp:posOffset>
                  </wp:positionH>
                  <wp:positionV relativeFrom="paragraph">
                    <wp:posOffset>83820</wp:posOffset>
                  </wp:positionV>
                  <wp:extent cx="1273810" cy="711835"/>
                  <wp:effectExtent l="0" t="0" r="6350" b="4445"/>
                  <wp:wrapNone/>
                  <wp:docPr id="36" name="图片_19"/>
                  <wp:cNvGraphicFramePr/>
                  <a:graphic xmlns:a="http://schemas.openxmlformats.org/drawingml/2006/main">
                    <a:graphicData uri="http://schemas.openxmlformats.org/drawingml/2006/picture">
                      <pic:pic xmlns:pic="http://schemas.openxmlformats.org/drawingml/2006/picture">
                        <pic:nvPicPr>
                          <pic:cNvPr id="36" name="图片_19"/>
                          <pic:cNvPicPr/>
                        </pic:nvPicPr>
                        <pic:blipFill>
                          <a:blip r:embed="rId15"/>
                          <a:stretch>
                            <a:fillRect/>
                          </a:stretch>
                        </pic:blipFill>
                        <pic:spPr>
                          <a:xfrm>
                            <a:off x="0" y="0"/>
                            <a:ext cx="1273810" cy="71183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B2A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76A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E0C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44EBC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D4C1E3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A4CED">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D7127">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6DEFE">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656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AAA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0A4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4717A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557948C">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1F8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E45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大花海棠</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233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19050</wp:posOffset>
                  </wp:positionH>
                  <wp:positionV relativeFrom="paragraph">
                    <wp:posOffset>118745</wp:posOffset>
                  </wp:positionV>
                  <wp:extent cx="1336040" cy="641350"/>
                  <wp:effectExtent l="0" t="0" r="5080" b="13970"/>
                  <wp:wrapNone/>
                  <wp:docPr id="37" name="图片_18"/>
                  <wp:cNvGraphicFramePr/>
                  <a:graphic xmlns:a="http://schemas.openxmlformats.org/drawingml/2006/main">
                    <a:graphicData uri="http://schemas.openxmlformats.org/drawingml/2006/picture">
                      <pic:pic xmlns:pic="http://schemas.openxmlformats.org/drawingml/2006/picture">
                        <pic:nvPicPr>
                          <pic:cNvPr id="37" name="图片_18"/>
                          <pic:cNvPicPr/>
                        </pic:nvPicPr>
                        <pic:blipFill>
                          <a:blip r:embed="rId16"/>
                          <a:stretch>
                            <a:fillRect/>
                          </a:stretch>
                        </pic:blipFill>
                        <pic:spPr>
                          <a:xfrm>
                            <a:off x="0" y="0"/>
                            <a:ext cx="1336040" cy="64135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38D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DDF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61C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C1FA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D3A16D3">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BE734">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5BF2B">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C8022">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5B9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050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22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2F1A7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AC7AFEC">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342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D53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超级海棠</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CBD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-31115</wp:posOffset>
                  </wp:positionH>
                  <wp:positionV relativeFrom="paragraph">
                    <wp:posOffset>26035</wp:posOffset>
                  </wp:positionV>
                  <wp:extent cx="1447165" cy="836295"/>
                  <wp:effectExtent l="0" t="0" r="635" b="1905"/>
                  <wp:wrapNone/>
                  <wp:docPr id="38" name="图片_5"/>
                  <wp:cNvGraphicFramePr/>
                  <a:graphic xmlns:a="http://schemas.openxmlformats.org/drawingml/2006/main">
                    <a:graphicData uri="http://schemas.openxmlformats.org/drawingml/2006/picture">
                      <pic:pic xmlns:pic="http://schemas.openxmlformats.org/drawingml/2006/picture">
                        <pic:nvPicPr>
                          <pic:cNvPr id="38" name="图片_5"/>
                          <pic:cNvPicPr/>
                        </pic:nvPicPr>
                        <pic:blipFill>
                          <a:blip r:embed="rId17"/>
                          <a:stretch>
                            <a:fillRect/>
                          </a:stretch>
                        </pic:blipFill>
                        <pic:spPr>
                          <a:xfrm>
                            <a:off x="0" y="0"/>
                            <a:ext cx="1447165" cy="83629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871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36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0FF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DB4B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C4227EF">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FB892">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85BB0">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80D70">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A07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6B4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795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7931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35151D6">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BD9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9707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巨无霸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彩叶草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A7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-42545</wp:posOffset>
                  </wp:positionH>
                  <wp:positionV relativeFrom="paragraph">
                    <wp:posOffset>29210</wp:posOffset>
                  </wp:positionV>
                  <wp:extent cx="1454150" cy="875665"/>
                  <wp:effectExtent l="0" t="0" r="8890" b="8255"/>
                  <wp:wrapNone/>
                  <wp:docPr id="39" name="图片_20"/>
                  <wp:cNvGraphicFramePr/>
                  <a:graphic xmlns:a="http://schemas.openxmlformats.org/drawingml/2006/main">
                    <a:graphicData uri="http://schemas.openxmlformats.org/drawingml/2006/picture">
                      <pic:pic xmlns:pic="http://schemas.openxmlformats.org/drawingml/2006/picture">
                        <pic:nvPicPr>
                          <pic:cNvPr id="39" name="图片_20"/>
                          <pic:cNvPicPr/>
                        </pic:nvPicPr>
                        <pic:blipFill>
                          <a:blip r:embed="rId18"/>
                          <a:stretch>
                            <a:fillRect/>
                          </a:stretch>
                        </pic:blipFill>
                        <pic:spPr>
                          <a:xfrm>
                            <a:off x="0" y="0"/>
                            <a:ext cx="1454150" cy="8756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-54610</wp:posOffset>
                  </wp:positionH>
                  <wp:positionV relativeFrom="paragraph">
                    <wp:posOffset>863600</wp:posOffset>
                  </wp:positionV>
                  <wp:extent cx="1435100" cy="854710"/>
                  <wp:effectExtent l="0" t="0" r="12700" b="13970"/>
                  <wp:wrapNone/>
                  <wp:docPr id="40" name="图片_6"/>
                  <wp:cNvGraphicFramePr/>
                  <a:graphic xmlns:a="http://schemas.openxmlformats.org/drawingml/2006/main">
                    <a:graphicData uri="http://schemas.openxmlformats.org/drawingml/2006/picture">
                      <pic:pic xmlns:pic="http://schemas.openxmlformats.org/drawingml/2006/picture">
                        <pic:nvPicPr>
                          <pic:cNvPr id="40" name="图片_6"/>
                          <pic:cNvPicPr/>
                        </pic:nvPicPr>
                        <pic:blipFill>
                          <a:blip r:embed="rId19"/>
                          <a:stretch>
                            <a:fillRect/>
                          </a:stretch>
                        </pic:blipFill>
                        <pic:spPr>
                          <a:xfrm>
                            <a:off x="0" y="0"/>
                            <a:ext cx="1435100" cy="85471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1A5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616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77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DD1C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7677858">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7B06D">
            <w:pPr>
              <w:jc w:val="center"/>
              <w:rPr>
                <w:rFonts w:hint="eastAsia" w:ascii="宋体" w:hAnsi="宋体" w:eastAsia="宋体" w:cs="宋体"/>
                <w:i w:val="0"/>
                <w:iCs w:val="0"/>
                <w:color w:val="000000"/>
                <w:sz w:val="24"/>
                <w:szCs w:val="24"/>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7D178">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C79E7">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A9C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0B8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4BA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BAF6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4DF97BD">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C4C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8BC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彩叶草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219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-66040</wp:posOffset>
                  </wp:positionH>
                  <wp:positionV relativeFrom="paragraph">
                    <wp:posOffset>898525</wp:posOffset>
                  </wp:positionV>
                  <wp:extent cx="1465580" cy="873125"/>
                  <wp:effectExtent l="0" t="0" r="12700" b="10795"/>
                  <wp:wrapNone/>
                  <wp:docPr id="41" name="图片_16"/>
                  <wp:cNvGraphicFramePr/>
                  <a:graphic xmlns:a="http://schemas.openxmlformats.org/drawingml/2006/main">
                    <a:graphicData uri="http://schemas.openxmlformats.org/drawingml/2006/picture">
                      <pic:pic xmlns:pic="http://schemas.openxmlformats.org/drawingml/2006/picture">
                        <pic:nvPicPr>
                          <pic:cNvPr id="41" name="图片_16"/>
                          <pic:cNvPicPr/>
                        </pic:nvPicPr>
                        <pic:blipFill>
                          <a:blip r:embed="rId20"/>
                          <a:stretch>
                            <a:fillRect/>
                          </a:stretch>
                        </pic:blipFill>
                        <pic:spPr>
                          <a:xfrm>
                            <a:off x="0" y="0"/>
                            <a:ext cx="1465580" cy="87312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6BF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AC5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8AC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5D80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CB6B6DF">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31A81">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33A2C">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226F1">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2B5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1FC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E6F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FB80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371CA57">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D68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B03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矮牵牛</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786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15E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EDF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BCB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6688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7288171">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0E253">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5DED">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88182">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875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CEB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35E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F403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7"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8823CE0">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7F0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253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垂吊牵牛</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895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22225</wp:posOffset>
                  </wp:positionH>
                  <wp:positionV relativeFrom="paragraph">
                    <wp:posOffset>62865</wp:posOffset>
                  </wp:positionV>
                  <wp:extent cx="1275080" cy="850265"/>
                  <wp:effectExtent l="0" t="0" r="5080" b="3175"/>
                  <wp:wrapNone/>
                  <wp:docPr id="42" name="图片_17"/>
                  <wp:cNvGraphicFramePr/>
                  <a:graphic xmlns:a="http://schemas.openxmlformats.org/drawingml/2006/main">
                    <a:graphicData uri="http://schemas.openxmlformats.org/drawingml/2006/picture">
                      <pic:pic xmlns:pic="http://schemas.openxmlformats.org/drawingml/2006/picture">
                        <pic:nvPicPr>
                          <pic:cNvPr id="42" name="图片_17"/>
                          <pic:cNvPicPr/>
                        </pic:nvPicPr>
                        <pic:blipFill>
                          <a:blip r:embed="rId21"/>
                          <a:stretch>
                            <a:fillRect/>
                          </a:stretch>
                        </pic:blipFill>
                        <pic:spPr>
                          <a:xfrm>
                            <a:off x="0" y="0"/>
                            <a:ext cx="1275080" cy="85026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767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2FD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2CD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325A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5E360A9">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F62E5">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13FC6">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C0993">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E84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809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D27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6634A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6E648B0">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804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7AB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长春花</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44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10160</wp:posOffset>
                  </wp:positionH>
                  <wp:positionV relativeFrom="paragraph">
                    <wp:posOffset>863600</wp:posOffset>
                  </wp:positionV>
                  <wp:extent cx="1473835" cy="873760"/>
                  <wp:effectExtent l="0" t="0" r="4445" b="10160"/>
                  <wp:wrapNone/>
                  <wp:docPr id="43" name="图片_22"/>
                  <wp:cNvGraphicFramePr/>
                  <a:graphic xmlns:a="http://schemas.openxmlformats.org/drawingml/2006/main">
                    <a:graphicData uri="http://schemas.openxmlformats.org/drawingml/2006/picture">
                      <pic:pic xmlns:pic="http://schemas.openxmlformats.org/drawingml/2006/picture">
                        <pic:nvPicPr>
                          <pic:cNvPr id="43" name="图片_22"/>
                          <pic:cNvPicPr/>
                        </pic:nvPicPr>
                        <pic:blipFill>
                          <a:blip r:embed="rId22"/>
                          <a:stretch>
                            <a:fillRect/>
                          </a:stretch>
                        </pic:blipFill>
                        <pic:spPr>
                          <a:xfrm>
                            <a:off x="0" y="0"/>
                            <a:ext cx="1473835" cy="8737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48260</wp:posOffset>
                  </wp:positionH>
                  <wp:positionV relativeFrom="paragraph">
                    <wp:posOffset>10160</wp:posOffset>
                  </wp:positionV>
                  <wp:extent cx="1418590" cy="840105"/>
                  <wp:effectExtent l="0" t="0" r="13970" b="13335"/>
                  <wp:wrapNone/>
                  <wp:docPr id="44" name="图片_21"/>
                  <wp:cNvGraphicFramePr/>
                  <a:graphic xmlns:a="http://schemas.openxmlformats.org/drawingml/2006/main">
                    <a:graphicData uri="http://schemas.openxmlformats.org/drawingml/2006/picture">
                      <pic:pic xmlns:pic="http://schemas.openxmlformats.org/drawingml/2006/picture">
                        <pic:nvPicPr>
                          <pic:cNvPr id="44" name="图片_21"/>
                          <pic:cNvPicPr/>
                        </pic:nvPicPr>
                        <pic:blipFill>
                          <a:blip r:embed="rId23"/>
                          <a:stretch>
                            <a:fillRect/>
                          </a:stretch>
                        </pic:blipFill>
                        <pic:spPr>
                          <a:xfrm>
                            <a:off x="0" y="0"/>
                            <a:ext cx="1418590" cy="84010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EEF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14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CF3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0CB6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1B6AEFD">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A0EBD">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270A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2C4F6">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A60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D0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1E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9F94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60BD377">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9AB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4BB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孔雀草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4DC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29845</wp:posOffset>
                  </wp:positionH>
                  <wp:positionV relativeFrom="paragraph">
                    <wp:posOffset>853440</wp:posOffset>
                  </wp:positionV>
                  <wp:extent cx="1442720" cy="892175"/>
                  <wp:effectExtent l="0" t="0" r="5080" b="6985"/>
                  <wp:wrapNone/>
                  <wp:docPr id="45" name="图片_23"/>
                  <wp:cNvGraphicFramePr/>
                  <a:graphic xmlns:a="http://schemas.openxmlformats.org/drawingml/2006/main">
                    <a:graphicData uri="http://schemas.openxmlformats.org/drawingml/2006/picture">
                      <pic:pic xmlns:pic="http://schemas.openxmlformats.org/drawingml/2006/picture">
                        <pic:nvPicPr>
                          <pic:cNvPr id="45" name="图片_23"/>
                          <pic:cNvPicPr/>
                        </pic:nvPicPr>
                        <pic:blipFill>
                          <a:blip r:embed="rId24"/>
                          <a:stretch>
                            <a:fillRect/>
                          </a:stretch>
                        </pic:blipFill>
                        <pic:spPr>
                          <a:xfrm>
                            <a:off x="0" y="0"/>
                            <a:ext cx="1442720" cy="89217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1F6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95F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994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0ECEB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29C7D13">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2B14">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CD05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3A12C">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307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7D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5E1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6EBB9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7292DFF">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C63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04A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百日草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0D58F">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978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C93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A23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8678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B793F96">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16EAD">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B7081">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5A086">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D87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F90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75A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4DCB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A91BBF8">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2C0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D64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千头菊</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1C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56515</wp:posOffset>
                  </wp:positionH>
                  <wp:positionV relativeFrom="paragraph">
                    <wp:posOffset>28575</wp:posOffset>
                  </wp:positionV>
                  <wp:extent cx="1461135" cy="829945"/>
                  <wp:effectExtent l="0" t="0" r="1905" b="8255"/>
                  <wp:wrapNone/>
                  <wp:docPr id="46" name="图片_24"/>
                  <wp:cNvGraphicFramePr/>
                  <a:graphic xmlns:a="http://schemas.openxmlformats.org/drawingml/2006/main">
                    <a:graphicData uri="http://schemas.openxmlformats.org/drawingml/2006/picture">
                      <pic:pic xmlns:pic="http://schemas.openxmlformats.org/drawingml/2006/picture">
                        <pic:nvPicPr>
                          <pic:cNvPr id="46" name="图片_24"/>
                          <pic:cNvPicPr/>
                        </pic:nvPicPr>
                        <pic:blipFill>
                          <a:blip r:embed="rId25"/>
                          <a:stretch>
                            <a:fillRect/>
                          </a:stretch>
                        </pic:blipFill>
                        <pic:spPr>
                          <a:xfrm>
                            <a:off x="0" y="0"/>
                            <a:ext cx="1461135" cy="82994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4F6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F5C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CA8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75CF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1B1A51B">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1866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AC995">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4032C">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38F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7CC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80C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770BE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C4EFB01">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DBF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960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羽衣甘蓝</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391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29845</wp:posOffset>
                  </wp:positionH>
                  <wp:positionV relativeFrom="paragraph">
                    <wp:posOffset>18415</wp:posOffset>
                  </wp:positionV>
                  <wp:extent cx="1459865" cy="885190"/>
                  <wp:effectExtent l="0" t="0" r="3175" b="13970"/>
                  <wp:wrapNone/>
                  <wp:docPr id="47" name="图片_25"/>
                  <wp:cNvGraphicFramePr/>
                  <a:graphic xmlns:a="http://schemas.openxmlformats.org/drawingml/2006/main">
                    <a:graphicData uri="http://schemas.openxmlformats.org/drawingml/2006/picture">
                      <pic:pic xmlns:pic="http://schemas.openxmlformats.org/drawingml/2006/picture">
                        <pic:nvPicPr>
                          <pic:cNvPr id="47" name="图片_25"/>
                          <pic:cNvPicPr/>
                        </pic:nvPicPr>
                        <pic:blipFill>
                          <a:blip r:embed="rId26"/>
                          <a:stretch>
                            <a:fillRect/>
                          </a:stretch>
                        </pic:blipFill>
                        <pic:spPr>
                          <a:xfrm>
                            <a:off x="0" y="0"/>
                            <a:ext cx="1459865" cy="88519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D1B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14F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B08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4BEBC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87EDCDE">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0036E">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4D41">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C4CA9">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410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EB4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753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D4C3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D833C8D">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EA3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26B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欧石竹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8B9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29845</wp:posOffset>
                  </wp:positionH>
                  <wp:positionV relativeFrom="paragraph">
                    <wp:posOffset>47625</wp:posOffset>
                  </wp:positionV>
                  <wp:extent cx="1445895" cy="882015"/>
                  <wp:effectExtent l="0" t="0" r="1905" b="1905"/>
                  <wp:wrapNone/>
                  <wp:docPr id="48" name="图片_30"/>
                  <wp:cNvGraphicFramePr/>
                  <a:graphic xmlns:a="http://schemas.openxmlformats.org/drawingml/2006/main">
                    <a:graphicData uri="http://schemas.openxmlformats.org/drawingml/2006/picture">
                      <pic:pic xmlns:pic="http://schemas.openxmlformats.org/drawingml/2006/picture">
                        <pic:nvPicPr>
                          <pic:cNvPr id="48" name="图片_30"/>
                          <pic:cNvPicPr/>
                        </pic:nvPicPr>
                        <pic:blipFill>
                          <a:blip r:embed="rId27"/>
                          <a:stretch>
                            <a:fillRect/>
                          </a:stretch>
                        </pic:blipFill>
                        <pic:spPr>
                          <a:xfrm>
                            <a:off x="0" y="0"/>
                            <a:ext cx="1445895" cy="88201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214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0F2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27F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BB8D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AFFE9AF">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0B8D5">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7E80">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2E5A8">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948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414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8C5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A4AC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D451697">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A1F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17C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角堇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7B5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10160</wp:posOffset>
                  </wp:positionH>
                  <wp:positionV relativeFrom="paragraph">
                    <wp:posOffset>19050</wp:posOffset>
                  </wp:positionV>
                  <wp:extent cx="1466850" cy="892810"/>
                  <wp:effectExtent l="0" t="0" r="11430" b="6350"/>
                  <wp:wrapNone/>
                  <wp:docPr id="49" name="图片_39"/>
                  <wp:cNvGraphicFramePr/>
                  <a:graphic xmlns:a="http://schemas.openxmlformats.org/drawingml/2006/main">
                    <a:graphicData uri="http://schemas.openxmlformats.org/drawingml/2006/picture">
                      <pic:pic xmlns:pic="http://schemas.openxmlformats.org/drawingml/2006/picture">
                        <pic:nvPicPr>
                          <pic:cNvPr id="49" name="图片_39"/>
                          <pic:cNvPicPr/>
                        </pic:nvPicPr>
                        <pic:blipFill>
                          <a:blip r:embed="rId28"/>
                          <a:stretch>
                            <a:fillRect/>
                          </a:stretch>
                        </pic:blipFill>
                        <pic:spPr>
                          <a:xfrm>
                            <a:off x="0" y="0"/>
                            <a:ext cx="1466850" cy="89281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9AD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52F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C8B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AFEA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B4048FD">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50890">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436E2">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63C2E">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70D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BA5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C9E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89AA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3D26DA8">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A01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F52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三色堇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BD5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28575</wp:posOffset>
                  </wp:positionV>
                  <wp:extent cx="1489710" cy="855980"/>
                  <wp:effectExtent l="0" t="0" r="3810" b="12700"/>
                  <wp:wrapNone/>
                  <wp:docPr id="50" name="图片_27"/>
                  <wp:cNvGraphicFramePr/>
                  <a:graphic xmlns:a="http://schemas.openxmlformats.org/drawingml/2006/main">
                    <a:graphicData uri="http://schemas.openxmlformats.org/drawingml/2006/picture">
                      <pic:pic xmlns:pic="http://schemas.openxmlformats.org/drawingml/2006/picture">
                        <pic:nvPicPr>
                          <pic:cNvPr id="50" name="图片_27"/>
                          <pic:cNvPicPr/>
                        </pic:nvPicPr>
                        <pic:blipFill>
                          <a:blip r:embed="rId29"/>
                          <a:stretch>
                            <a:fillRect/>
                          </a:stretch>
                        </pic:blipFill>
                        <pic:spPr>
                          <a:xfrm>
                            <a:off x="0" y="0"/>
                            <a:ext cx="1489710" cy="85598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BC7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7BB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062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FFD2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534834F">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F32FB">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12E20">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FDF8E">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A4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CF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1DC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8650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8F0E969">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4B1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A25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金鱼草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B0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38100</wp:posOffset>
                  </wp:positionH>
                  <wp:positionV relativeFrom="paragraph">
                    <wp:posOffset>28575</wp:posOffset>
                  </wp:positionV>
                  <wp:extent cx="1401445" cy="831850"/>
                  <wp:effectExtent l="0" t="0" r="635" b="6350"/>
                  <wp:wrapNone/>
                  <wp:docPr id="51" name="图片_1_SpCnt_1"/>
                  <wp:cNvGraphicFramePr/>
                  <a:graphic xmlns:a="http://schemas.openxmlformats.org/drawingml/2006/main">
                    <a:graphicData uri="http://schemas.openxmlformats.org/drawingml/2006/picture">
                      <pic:pic xmlns:pic="http://schemas.openxmlformats.org/drawingml/2006/picture">
                        <pic:nvPicPr>
                          <pic:cNvPr id="51" name="图片_1_SpCnt_1"/>
                          <pic:cNvPicPr/>
                        </pic:nvPicPr>
                        <pic:blipFill>
                          <a:blip r:embed="rId30"/>
                          <a:stretch>
                            <a:fillRect/>
                          </a:stretch>
                        </pic:blipFill>
                        <pic:spPr>
                          <a:xfrm>
                            <a:off x="0" y="0"/>
                            <a:ext cx="1401445" cy="83185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494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5FB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BB0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E6F6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A825C74">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7AFD8">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5CA23">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F2F57">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241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DFC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10E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49628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5F0021D">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1E7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9A3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天竺葵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961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48260</wp:posOffset>
                  </wp:positionH>
                  <wp:positionV relativeFrom="paragraph">
                    <wp:posOffset>28575</wp:posOffset>
                  </wp:positionV>
                  <wp:extent cx="1397000" cy="1052195"/>
                  <wp:effectExtent l="0" t="0" r="5080" b="14605"/>
                  <wp:wrapNone/>
                  <wp:docPr id="52" name="图片_15"/>
                  <wp:cNvGraphicFramePr/>
                  <a:graphic xmlns:a="http://schemas.openxmlformats.org/drawingml/2006/main">
                    <a:graphicData uri="http://schemas.openxmlformats.org/drawingml/2006/picture">
                      <pic:pic xmlns:pic="http://schemas.openxmlformats.org/drawingml/2006/picture">
                        <pic:nvPicPr>
                          <pic:cNvPr id="52" name="图片_15"/>
                          <pic:cNvPicPr/>
                        </pic:nvPicPr>
                        <pic:blipFill>
                          <a:blip r:embed="rId31"/>
                          <a:stretch>
                            <a:fillRect/>
                          </a:stretch>
                        </pic:blipFill>
                        <pic:spPr>
                          <a:xfrm>
                            <a:off x="0" y="0"/>
                            <a:ext cx="1397000" cy="105219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5C3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925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7B0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B455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E8DF68E">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E6DAF">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E8A5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8CE4D">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7AA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41D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FD0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F8DD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B41F30A">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C9C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7F6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荷花</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140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8255</wp:posOffset>
                  </wp:positionH>
                  <wp:positionV relativeFrom="paragraph">
                    <wp:posOffset>66675</wp:posOffset>
                  </wp:positionV>
                  <wp:extent cx="1443990" cy="1137285"/>
                  <wp:effectExtent l="0" t="0" r="3810" b="5715"/>
                  <wp:wrapNone/>
                  <wp:docPr id="53" name="图片_32"/>
                  <wp:cNvGraphicFramePr/>
                  <a:graphic xmlns:a="http://schemas.openxmlformats.org/drawingml/2006/main">
                    <a:graphicData uri="http://schemas.openxmlformats.org/drawingml/2006/picture">
                      <pic:pic xmlns:pic="http://schemas.openxmlformats.org/drawingml/2006/picture">
                        <pic:nvPicPr>
                          <pic:cNvPr id="53" name="图片_32"/>
                          <pic:cNvPicPr/>
                        </pic:nvPicPr>
                        <pic:blipFill>
                          <a:blip r:embed="rId32"/>
                          <a:stretch>
                            <a:fillRect/>
                          </a:stretch>
                        </pic:blipFill>
                        <pic:spPr>
                          <a:xfrm>
                            <a:off x="0" y="0"/>
                            <a:ext cx="1443990" cy="1137285"/>
                          </a:xfrm>
                          <a:prstGeom prst="rect">
                            <a:avLst/>
                          </a:prstGeom>
                          <a:noFill/>
                          <a:ln>
                            <a:noFill/>
                          </a:ln>
                        </pic:spPr>
                      </pic:pic>
                    </a:graphicData>
                  </a:graphic>
                </wp:anchor>
              </w:drawing>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30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塑料盆直径32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76E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279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4AA0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05B698F">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9F96E">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6D373">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FBAEE">
            <w:pPr>
              <w:jc w:val="center"/>
              <w:rPr>
                <w:rFonts w:hint="eastAsia" w:ascii="宋体" w:hAnsi="宋体" w:eastAsia="宋体" w:cs="宋体"/>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61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塑料盆直径26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A04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104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19427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1F277E2">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044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73E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荷花</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547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18415</wp:posOffset>
                  </wp:positionH>
                  <wp:positionV relativeFrom="paragraph">
                    <wp:posOffset>40640</wp:posOffset>
                  </wp:positionV>
                  <wp:extent cx="1442720" cy="953770"/>
                  <wp:effectExtent l="0" t="0" r="5080" b="6350"/>
                  <wp:wrapNone/>
                  <wp:docPr id="54" name="图片_32_SpCnt_1"/>
                  <wp:cNvGraphicFramePr/>
                  <a:graphic xmlns:a="http://schemas.openxmlformats.org/drawingml/2006/main">
                    <a:graphicData uri="http://schemas.openxmlformats.org/drawingml/2006/picture">
                      <pic:pic xmlns:pic="http://schemas.openxmlformats.org/drawingml/2006/picture">
                        <pic:nvPicPr>
                          <pic:cNvPr id="54" name="图片_32_SpCnt_1"/>
                          <pic:cNvPicPr/>
                        </pic:nvPicPr>
                        <pic:blipFill>
                          <a:blip r:embed="rId33"/>
                          <a:stretch>
                            <a:fillRect/>
                          </a:stretch>
                        </pic:blipFill>
                        <pic:spPr>
                          <a:xfrm>
                            <a:off x="0" y="0"/>
                            <a:ext cx="1442720" cy="953770"/>
                          </a:xfrm>
                          <a:prstGeom prst="rect">
                            <a:avLst/>
                          </a:prstGeom>
                          <a:noFill/>
                          <a:ln>
                            <a:noFill/>
                          </a:ln>
                        </pic:spPr>
                      </pic:pic>
                    </a:graphicData>
                  </a:graphic>
                </wp:anchor>
              </w:drawing>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BD8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塑料盆直径36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850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BC4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16EF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1219C6C">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12A9D">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4BB9B">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E71CB">
            <w:pPr>
              <w:jc w:val="center"/>
              <w:rPr>
                <w:rFonts w:hint="eastAsia" w:ascii="宋体" w:hAnsi="宋体" w:eastAsia="宋体" w:cs="宋体"/>
                <w:i w:val="0"/>
                <w:iCs w:val="0"/>
                <w:color w:val="000000"/>
                <w:sz w:val="24"/>
                <w:szCs w:val="24"/>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33ED8">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3BC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DD4F">
            <w:pPr>
              <w:jc w:val="center"/>
              <w:rPr>
                <w:rFonts w:hint="eastAsia" w:ascii="宋体" w:hAnsi="宋体" w:eastAsia="宋体" w:cs="宋体"/>
                <w:i w:val="0"/>
                <w:iCs w:val="0"/>
                <w:color w:val="000000"/>
                <w:sz w:val="24"/>
                <w:szCs w:val="24"/>
                <w:u w:val="none"/>
              </w:rPr>
            </w:pPr>
          </w:p>
        </w:tc>
      </w:tr>
      <w:tr w14:paraId="7A846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3BAE82F">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5BA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940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一串红</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F7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18415</wp:posOffset>
                  </wp:positionH>
                  <wp:positionV relativeFrom="paragraph">
                    <wp:posOffset>18415</wp:posOffset>
                  </wp:positionV>
                  <wp:extent cx="1417955" cy="949325"/>
                  <wp:effectExtent l="0" t="0" r="14605" b="10795"/>
                  <wp:wrapNone/>
                  <wp:docPr id="55" name="图片_34"/>
                  <wp:cNvGraphicFramePr/>
                  <a:graphic xmlns:a="http://schemas.openxmlformats.org/drawingml/2006/main">
                    <a:graphicData uri="http://schemas.openxmlformats.org/drawingml/2006/picture">
                      <pic:pic xmlns:pic="http://schemas.openxmlformats.org/drawingml/2006/picture">
                        <pic:nvPicPr>
                          <pic:cNvPr id="55" name="图片_34"/>
                          <pic:cNvPicPr/>
                        </pic:nvPicPr>
                        <pic:blipFill>
                          <a:blip r:embed="rId34"/>
                          <a:stretch>
                            <a:fillRect/>
                          </a:stretch>
                        </pic:blipFill>
                        <pic:spPr>
                          <a:xfrm>
                            <a:off x="0" y="0"/>
                            <a:ext cx="1417955" cy="94932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831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FC2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141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45D0B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1930ADD">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B6221">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7D7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F5815">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7C3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26D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060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1021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563FB7B">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E3D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0B6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非洲凤仙</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5A9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8255</wp:posOffset>
                  </wp:positionH>
                  <wp:positionV relativeFrom="paragraph">
                    <wp:posOffset>38735</wp:posOffset>
                  </wp:positionV>
                  <wp:extent cx="1402715" cy="1022985"/>
                  <wp:effectExtent l="0" t="0" r="14605" b="13335"/>
                  <wp:wrapNone/>
                  <wp:docPr id="56" name="图片_35"/>
                  <wp:cNvGraphicFramePr/>
                  <a:graphic xmlns:a="http://schemas.openxmlformats.org/drawingml/2006/main">
                    <a:graphicData uri="http://schemas.openxmlformats.org/drawingml/2006/picture">
                      <pic:pic xmlns:pic="http://schemas.openxmlformats.org/drawingml/2006/picture">
                        <pic:nvPicPr>
                          <pic:cNvPr id="56" name="图片_35"/>
                          <pic:cNvPicPr/>
                        </pic:nvPicPr>
                        <pic:blipFill>
                          <a:blip r:embed="rId35"/>
                          <a:stretch>
                            <a:fillRect/>
                          </a:stretch>
                        </pic:blipFill>
                        <pic:spPr>
                          <a:xfrm>
                            <a:off x="0" y="0"/>
                            <a:ext cx="1402715" cy="102298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865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CB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128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2E55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621275B">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8AF21">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591F6">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40407">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AD7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7E1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B76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2C49A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78E2469">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031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966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超级凤仙</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8E1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18415</wp:posOffset>
                  </wp:positionH>
                  <wp:positionV relativeFrom="paragraph">
                    <wp:posOffset>10160</wp:posOffset>
                  </wp:positionV>
                  <wp:extent cx="1397000" cy="1029335"/>
                  <wp:effectExtent l="0" t="0" r="5080" b="6985"/>
                  <wp:wrapNone/>
                  <wp:docPr id="57" name="图片_36"/>
                  <wp:cNvGraphicFramePr/>
                  <a:graphic xmlns:a="http://schemas.openxmlformats.org/drawingml/2006/main">
                    <a:graphicData uri="http://schemas.openxmlformats.org/drawingml/2006/picture">
                      <pic:pic xmlns:pic="http://schemas.openxmlformats.org/drawingml/2006/picture">
                        <pic:nvPicPr>
                          <pic:cNvPr id="57" name="图片_36"/>
                          <pic:cNvPicPr/>
                        </pic:nvPicPr>
                        <pic:blipFill>
                          <a:blip r:embed="rId36"/>
                          <a:stretch>
                            <a:fillRect/>
                          </a:stretch>
                        </pic:blipFill>
                        <pic:spPr>
                          <a:xfrm>
                            <a:off x="0" y="0"/>
                            <a:ext cx="1397000" cy="102933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55F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50B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0B0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1E1AD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819AB4D">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BD31B">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EA9B3">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1467C">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A84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2AB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F6E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024FE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E601BB3">
            <w:pPr>
              <w:jc w:val="center"/>
              <w:rPr>
                <w:rFonts w:hint="eastAsia" w:ascii="宋体" w:hAnsi="宋体" w:eastAsia="宋体" w:cs="宋体"/>
                <w:i w:val="0"/>
                <w:iCs w:val="0"/>
                <w:color w:val="000000"/>
                <w:sz w:val="24"/>
                <w:szCs w:val="24"/>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773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EFF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美女樱</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7B3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10160</wp:posOffset>
                  </wp:positionH>
                  <wp:positionV relativeFrom="paragraph">
                    <wp:posOffset>28575</wp:posOffset>
                  </wp:positionV>
                  <wp:extent cx="1446530" cy="1178560"/>
                  <wp:effectExtent l="0" t="0" r="1270" b="10160"/>
                  <wp:wrapNone/>
                  <wp:docPr id="58" name="图片_37"/>
                  <wp:cNvGraphicFramePr/>
                  <a:graphic xmlns:a="http://schemas.openxmlformats.org/drawingml/2006/main">
                    <a:graphicData uri="http://schemas.openxmlformats.org/drawingml/2006/picture">
                      <pic:pic xmlns:pic="http://schemas.openxmlformats.org/drawingml/2006/picture">
                        <pic:nvPicPr>
                          <pic:cNvPr id="58" name="图片_37"/>
                          <pic:cNvPicPr/>
                        </pic:nvPicPr>
                        <pic:blipFill>
                          <a:blip r:embed="rId37"/>
                          <a:stretch>
                            <a:fillRect/>
                          </a:stretch>
                        </pic:blipFill>
                        <pic:spPr>
                          <a:xfrm>
                            <a:off x="0" y="0"/>
                            <a:ext cx="1446530" cy="117856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B72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46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A5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26C0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EC2955A">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4FAE7">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CCF5D">
            <w:pPr>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63845">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016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140双色盆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FA7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222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55BA1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A8F7AD6">
            <w:pPr>
              <w:jc w:val="center"/>
              <w:rPr>
                <w:rFonts w:hint="eastAsia" w:ascii="宋体" w:hAnsi="宋体" w:eastAsia="宋体" w:cs="宋体"/>
                <w:i w:val="0"/>
                <w:iCs w:val="0"/>
                <w:color w:val="000000"/>
                <w:sz w:val="24"/>
                <w:szCs w:val="24"/>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3A3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    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5E418">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78F1">
            <w:pP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6DE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0C64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37554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 养 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846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906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3FA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9F0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单价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E2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费用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（元/月）</w:t>
            </w:r>
          </w:p>
        </w:tc>
      </w:tr>
      <w:tr w14:paraId="28325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52CF0AC7">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63C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BB3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1E6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6A8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2AD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EC8C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99D6A62">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EC6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C39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农药、水溶肥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F11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C4F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C10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83A9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0551DB28">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F86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64F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FA4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110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90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0024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5168E86">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982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D1E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44D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1CC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7FF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5FFB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37C3B69">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0C1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F35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工具设备成本及维修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09A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087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511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DE98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28A8B97">
            <w:pPr>
              <w:jc w:val="center"/>
              <w:rPr>
                <w:rFonts w:hint="eastAsia" w:ascii="宋体" w:hAnsi="宋体" w:eastAsia="宋体" w:cs="宋体"/>
                <w:i w:val="0"/>
                <w:iCs w:val="0"/>
                <w:color w:val="000000"/>
                <w:sz w:val="24"/>
                <w:szCs w:val="24"/>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ED0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  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8B1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A5BE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C28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       计</w:t>
            </w:r>
          </w:p>
        </w:tc>
        <w:tc>
          <w:tcPr>
            <w:tcW w:w="0" w:type="auto"/>
            <w:gridSpan w:val="2"/>
            <w:tcBorders>
              <w:top w:val="single" w:color="000000" w:sz="4" w:space="0"/>
              <w:left w:val="single" w:color="000000" w:sz="4" w:space="0"/>
              <w:bottom w:val="single" w:color="000000" w:sz="4" w:space="0"/>
              <w:right w:val="nil"/>
            </w:tcBorders>
            <w:shd w:val="clear" w:color="auto" w:fill="auto"/>
            <w:noWrap/>
            <w:vAlign w:val="center"/>
          </w:tcPr>
          <w:p w14:paraId="1EDBC294">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44308B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bl>
    <w:p w14:paraId="45612BD0">
      <w:pPr>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color w:val="auto"/>
          <w:sz w:val="30"/>
          <w:szCs w:val="30"/>
          <w:highlight w:val="none"/>
        </w:rPr>
        <w:br w:type="page"/>
      </w:r>
      <w:r>
        <w:rPr>
          <w:rFonts w:hint="eastAsia" w:ascii="宋体" w:hAnsi="宋体" w:eastAsia="宋体" w:cs="宋体"/>
          <w:b/>
          <w:bCs/>
          <w:color w:val="auto"/>
          <w:sz w:val="28"/>
          <w:szCs w:val="28"/>
          <w:highlight w:val="none"/>
          <w:lang w:val="en-US" w:eastAsia="zh-CN"/>
        </w:rPr>
        <w:t>第三部分 技术和商务偏离表</w:t>
      </w:r>
    </w:p>
    <w:p w14:paraId="2C793289">
      <w:pPr>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1、技术偏离表</w:t>
      </w:r>
    </w:p>
    <w:tbl>
      <w:tblPr>
        <w:tblStyle w:val="27"/>
        <w:tblW w:w="9176"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487"/>
        <w:gridCol w:w="2067"/>
        <w:gridCol w:w="2160"/>
        <w:gridCol w:w="1446"/>
        <w:gridCol w:w="1446"/>
      </w:tblGrid>
      <w:tr w14:paraId="5C224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570" w:type="dxa"/>
            <w:tcBorders>
              <w:top w:val="single" w:color="auto" w:sz="4" w:space="0"/>
              <w:left w:val="single" w:color="auto" w:sz="4" w:space="0"/>
            </w:tcBorders>
            <w:noWrap w:val="0"/>
            <w:vAlign w:val="center"/>
          </w:tcPr>
          <w:p w14:paraId="6F705578">
            <w:pPr>
              <w:adjustRightInd w:val="0"/>
              <w:snapToGrid w:val="0"/>
              <w:ind w:right="23"/>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87" w:type="dxa"/>
            <w:tcBorders>
              <w:top w:val="single" w:color="auto" w:sz="4" w:space="0"/>
            </w:tcBorders>
            <w:noWrap w:val="0"/>
            <w:vAlign w:val="center"/>
          </w:tcPr>
          <w:p w14:paraId="51CB0E2F">
            <w:pPr>
              <w:adjustRightInd w:val="0"/>
              <w:snapToGrid w:val="0"/>
              <w:ind w:right="23"/>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文件条目号</w:t>
            </w:r>
          </w:p>
        </w:tc>
        <w:tc>
          <w:tcPr>
            <w:tcW w:w="2067" w:type="dxa"/>
            <w:tcBorders>
              <w:top w:val="single" w:color="auto" w:sz="4" w:space="0"/>
            </w:tcBorders>
            <w:noWrap w:val="0"/>
            <w:vAlign w:val="center"/>
          </w:tcPr>
          <w:p w14:paraId="736022AD">
            <w:pPr>
              <w:adjustRightInd w:val="0"/>
              <w:snapToGrid w:val="0"/>
              <w:ind w:right="23"/>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文件</w:t>
            </w:r>
            <w:r>
              <w:rPr>
                <w:rFonts w:hint="eastAsia" w:ascii="宋体" w:hAnsi="宋体" w:eastAsia="宋体" w:cs="宋体"/>
                <w:color w:val="auto"/>
                <w:szCs w:val="21"/>
                <w:highlight w:val="none"/>
                <w:lang w:val="en-US" w:eastAsia="zh-CN"/>
              </w:rPr>
              <w:t>技术</w:t>
            </w:r>
            <w:r>
              <w:rPr>
                <w:rFonts w:hint="eastAsia" w:ascii="宋体" w:hAnsi="宋体" w:eastAsia="宋体" w:cs="宋体"/>
                <w:color w:val="auto"/>
                <w:szCs w:val="21"/>
                <w:highlight w:val="none"/>
              </w:rPr>
              <w:t>要求</w:t>
            </w:r>
          </w:p>
        </w:tc>
        <w:tc>
          <w:tcPr>
            <w:tcW w:w="2160" w:type="dxa"/>
            <w:tcBorders>
              <w:top w:val="single" w:color="auto" w:sz="4" w:space="0"/>
            </w:tcBorders>
            <w:noWrap w:val="0"/>
            <w:vAlign w:val="center"/>
          </w:tcPr>
          <w:p w14:paraId="1823321B">
            <w:pPr>
              <w:adjustRightInd w:val="0"/>
              <w:snapToGrid w:val="0"/>
              <w:ind w:right="23"/>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磋商响应</w:t>
            </w:r>
            <w:r>
              <w:rPr>
                <w:rFonts w:hint="eastAsia" w:ascii="宋体" w:hAnsi="宋体" w:eastAsia="宋体" w:cs="宋体"/>
                <w:color w:val="auto"/>
                <w:szCs w:val="21"/>
                <w:highlight w:val="none"/>
              </w:rPr>
              <w:t>文件</w:t>
            </w:r>
          </w:p>
          <w:p w14:paraId="67BBE126">
            <w:pPr>
              <w:adjustRightInd w:val="0"/>
              <w:snapToGrid w:val="0"/>
              <w:ind w:right="23"/>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技术</w:t>
            </w:r>
            <w:r>
              <w:rPr>
                <w:rFonts w:hint="eastAsia" w:ascii="宋体" w:hAnsi="宋体" w:eastAsia="宋体" w:cs="宋体"/>
                <w:color w:val="auto"/>
                <w:szCs w:val="21"/>
                <w:highlight w:val="none"/>
              </w:rPr>
              <w:t>响应</w:t>
            </w:r>
          </w:p>
        </w:tc>
        <w:tc>
          <w:tcPr>
            <w:tcW w:w="1446" w:type="dxa"/>
            <w:tcBorders>
              <w:top w:val="single" w:color="auto" w:sz="4" w:space="0"/>
            </w:tcBorders>
            <w:noWrap w:val="0"/>
            <w:vAlign w:val="center"/>
          </w:tcPr>
          <w:p w14:paraId="1B0700DA">
            <w:pPr>
              <w:adjustRightInd w:val="0"/>
              <w:snapToGrid w:val="0"/>
              <w:ind w:right="23"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w:t>
            </w:r>
            <w:r>
              <w:rPr>
                <w:rFonts w:hint="eastAsia" w:ascii="宋体" w:hAnsi="宋体" w:eastAsia="宋体" w:cs="宋体"/>
                <w:color w:val="auto"/>
                <w:szCs w:val="21"/>
                <w:highlight w:val="none"/>
                <w:lang w:val="en-US" w:eastAsia="zh-CN"/>
              </w:rPr>
              <w:t>情况</w:t>
            </w:r>
          </w:p>
        </w:tc>
        <w:tc>
          <w:tcPr>
            <w:tcW w:w="1446" w:type="dxa"/>
            <w:tcBorders>
              <w:top w:val="single" w:color="auto" w:sz="4" w:space="0"/>
              <w:right w:val="single" w:color="auto" w:sz="4" w:space="0"/>
            </w:tcBorders>
            <w:noWrap w:val="0"/>
            <w:vAlign w:val="center"/>
          </w:tcPr>
          <w:p w14:paraId="2B2FEEA1">
            <w:pPr>
              <w:adjustRightInd w:val="0"/>
              <w:snapToGrid w:val="0"/>
              <w:ind w:right="23"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偏差说明</w:t>
            </w:r>
          </w:p>
        </w:tc>
      </w:tr>
      <w:tr w14:paraId="3B7F4A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70" w:type="dxa"/>
            <w:tcBorders>
              <w:left w:val="single" w:color="auto" w:sz="4" w:space="0"/>
            </w:tcBorders>
            <w:noWrap w:val="0"/>
            <w:vAlign w:val="top"/>
          </w:tcPr>
          <w:p w14:paraId="1A9B7D0D">
            <w:pPr>
              <w:adjustRightInd w:val="0"/>
              <w:snapToGrid w:val="0"/>
              <w:spacing w:line="360" w:lineRule="auto"/>
              <w:ind w:right="24"/>
              <w:rPr>
                <w:rFonts w:hint="eastAsia" w:ascii="宋体" w:hAnsi="宋体" w:eastAsia="宋体" w:cs="宋体"/>
                <w:bCs/>
                <w:color w:val="auto"/>
                <w:sz w:val="24"/>
                <w:highlight w:val="none"/>
              </w:rPr>
            </w:pPr>
          </w:p>
        </w:tc>
        <w:tc>
          <w:tcPr>
            <w:tcW w:w="1487" w:type="dxa"/>
            <w:noWrap w:val="0"/>
            <w:vAlign w:val="top"/>
          </w:tcPr>
          <w:p w14:paraId="33D65F89">
            <w:pPr>
              <w:adjustRightInd w:val="0"/>
              <w:snapToGrid w:val="0"/>
              <w:spacing w:line="360" w:lineRule="auto"/>
              <w:ind w:right="24"/>
              <w:rPr>
                <w:rFonts w:hint="eastAsia" w:ascii="宋体" w:hAnsi="宋体" w:eastAsia="宋体" w:cs="宋体"/>
                <w:bCs/>
                <w:color w:val="auto"/>
                <w:sz w:val="24"/>
                <w:highlight w:val="none"/>
              </w:rPr>
            </w:pPr>
          </w:p>
        </w:tc>
        <w:tc>
          <w:tcPr>
            <w:tcW w:w="2067" w:type="dxa"/>
            <w:noWrap w:val="0"/>
            <w:vAlign w:val="top"/>
          </w:tcPr>
          <w:p w14:paraId="254A6485">
            <w:pPr>
              <w:adjustRightInd w:val="0"/>
              <w:snapToGrid w:val="0"/>
              <w:spacing w:line="360" w:lineRule="auto"/>
              <w:ind w:right="24"/>
              <w:rPr>
                <w:rFonts w:hint="eastAsia" w:ascii="宋体" w:hAnsi="宋体" w:eastAsia="宋体" w:cs="宋体"/>
                <w:bCs/>
                <w:color w:val="auto"/>
                <w:sz w:val="24"/>
                <w:highlight w:val="none"/>
              </w:rPr>
            </w:pPr>
          </w:p>
        </w:tc>
        <w:tc>
          <w:tcPr>
            <w:tcW w:w="2160" w:type="dxa"/>
            <w:noWrap w:val="0"/>
            <w:vAlign w:val="top"/>
          </w:tcPr>
          <w:p w14:paraId="6694FC7A">
            <w:pPr>
              <w:adjustRightInd w:val="0"/>
              <w:snapToGrid w:val="0"/>
              <w:spacing w:line="360" w:lineRule="auto"/>
              <w:ind w:right="24"/>
              <w:rPr>
                <w:rFonts w:hint="eastAsia" w:ascii="宋体" w:hAnsi="宋体" w:eastAsia="宋体" w:cs="宋体"/>
                <w:bCs/>
                <w:color w:val="auto"/>
                <w:sz w:val="24"/>
                <w:highlight w:val="none"/>
              </w:rPr>
            </w:pPr>
          </w:p>
        </w:tc>
        <w:tc>
          <w:tcPr>
            <w:tcW w:w="1446" w:type="dxa"/>
            <w:noWrap w:val="0"/>
            <w:vAlign w:val="top"/>
          </w:tcPr>
          <w:p w14:paraId="2C895FD6">
            <w:pPr>
              <w:adjustRightInd w:val="0"/>
              <w:snapToGrid w:val="0"/>
              <w:spacing w:line="360" w:lineRule="auto"/>
              <w:ind w:right="24"/>
              <w:rPr>
                <w:rFonts w:hint="eastAsia" w:ascii="宋体" w:hAnsi="宋体" w:eastAsia="宋体" w:cs="宋体"/>
                <w:bCs/>
                <w:color w:val="auto"/>
                <w:sz w:val="24"/>
                <w:highlight w:val="none"/>
              </w:rPr>
            </w:pPr>
          </w:p>
        </w:tc>
        <w:tc>
          <w:tcPr>
            <w:tcW w:w="1446" w:type="dxa"/>
            <w:tcBorders>
              <w:right w:val="single" w:color="auto" w:sz="4" w:space="0"/>
            </w:tcBorders>
            <w:noWrap w:val="0"/>
            <w:vAlign w:val="top"/>
          </w:tcPr>
          <w:p w14:paraId="31F76DDC">
            <w:pPr>
              <w:adjustRightInd w:val="0"/>
              <w:snapToGrid w:val="0"/>
              <w:spacing w:line="360" w:lineRule="auto"/>
              <w:ind w:right="24"/>
              <w:rPr>
                <w:rFonts w:hint="eastAsia" w:ascii="宋体" w:hAnsi="宋体" w:eastAsia="宋体" w:cs="宋体"/>
                <w:bCs/>
                <w:color w:val="auto"/>
                <w:sz w:val="24"/>
                <w:highlight w:val="none"/>
              </w:rPr>
            </w:pPr>
          </w:p>
        </w:tc>
      </w:tr>
      <w:tr w14:paraId="55192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70" w:type="dxa"/>
            <w:tcBorders>
              <w:left w:val="single" w:color="auto" w:sz="4" w:space="0"/>
            </w:tcBorders>
            <w:noWrap w:val="0"/>
            <w:vAlign w:val="top"/>
          </w:tcPr>
          <w:p w14:paraId="275278E6">
            <w:pPr>
              <w:adjustRightInd w:val="0"/>
              <w:snapToGrid w:val="0"/>
              <w:spacing w:line="360" w:lineRule="auto"/>
              <w:ind w:right="24"/>
              <w:rPr>
                <w:rFonts w:hint="eastAsia" w:ascii="宋体" w:hAnsi="宋体" w:eastAsia="宋体" w:cs="宋体"/>
                <w:bCs/>
                <w:color w:val="auto"/>
                <w:sz w:val="24"/>
                <w:highlight w:val="none"/>
              </w:rPr>
            </w:pPr>
          </w:p>
        </w:tc>
        <w:tc>
          <w:tcPr>
            <w:tcW w:w="1487" w:type="dxa"/>
            <w:noWrap w:val="0"/>
            <w:vAlign w:val="top"/>
          </w:tcPr>
          <w:p w14:paraId="1463AE0F">
            <w:pPr>
              <w:adjustRightInd w:val="0"/>
              <w:snapToGrid w:val="0"/>
              <w:spacing w:line="360" w:lineRule="auto"/>
              <w:ind w:right="24"/>
              <w:rPr>
                <w:rFonts w:hint="eastAsia" w:ascii="宋体" w:hAnsi="宋体" w:eastAsia="宋体" w:cs="宋体"/>
                <w:bCs/>
                <w:color w:val="auto"/>
                <w:sz w:val="24"/>
                <w:highlight w:val="none"/>
              </w:rPr>
            </w:pPr>
          </w:p>
        </w:tc>
        <w:tc>
          <w:tcPr>
            <w:tcW w:w="2067" w:type="dxa"/>
            <w:noWrap w:val="0"/>
            <w:vAlign w:val="top"/>
          </w:tcPr>
          <w:p w14:paraId="4EAC57C2">
            <w:pPr>
              <w:adjustRightInd w:val="0"/>
              <w:snapToGrid w:val="0"/>
              <w:spacing w:line="360" w:lineRule="auto"/>
              <w:ind w:right="24"/>
              <w:rPr>
                <w:rFonts w:hint="eastAsia" w:ascii="宋体" w:hAnsi="宋体" w:eastAsia="宋体" w:cs="宋体"/>
                <w:bCs/>
                <w:color w:val="auto"/>
                <w:sz w:val="24"/>
                <w:highlight w:val="none"/>
              </w:rPr>
            </w:pPr>
          </w:p>
        </w:tc>
        <w:tc>
          <w:tcPr>
            <w:tcW w:w="2160" w:type="dxa"/>
            <w:noWrap w:val="0"/>
            <w:vAlign w:val="top"/>
          </w:tcPr>
          <w:p w14:paraId="4E1A8DE3">
            <w:pPr>
              <w:adjustRightInd w:val="0"/>
              <w:snapToGrid w:val="0"/>
              <w:spacing w:line="360" w:lineRule="auto"/>
              <w:ind w:right="24"/>
              <w:rPr>
                <w:rFonts w:hint="eastAsia" w:ascii="宋体" w:hAnsi="宋体" w:eastAsia="宋体" w:cs="宋体"/>
                <w:bCs/>
                <w:color w:val="auto"/>
                <w:sz w:val="24"/>
                <w:highlight w:val="none"/>
              </w:rPr>
            </w:pPr>
          </w:p>
        </w:tc>
        <w:tc>
          <w:tcPr>
            <w:tcW w:w="1446" w:type="dxa"/>
            <w:noWrap w:val="0"/>
            <w:vAlign w:val="top"/>
          </w:tcPr>
          <w:p w14:paraId="0B2955FC">
            <w:pPr>
              <w:adjustRightInd w:val="0"/>
              <w:snapToGrid w:val="0"/>
              <w:spacing w:line="360" w:lineRule="auto"/>
              <w:ind w:right="24"/>
              <w:rPr>
                <w:rFonts w:hint="eastAsia" w:ascii="宋体" w:hAnsi="宋体" w:eastAsia="宋体" w:cs="宋体"/>
                <w:bCs/>
                <w:color w:val="auto"/>
                <w:sz w:val="24"/>
                <w:highlight w:val="none"/>
              </w:rPr>
            </w:pPr>
          </w:p>
        </w:tc>
        <w:tc>
          <w:tcPr>
            <w:tcW w:w="1446" w:type="dxa"/>
            <w:tcBorders>
              <w:right w:val="single" w:color="auto" w:sz="4" w:space="0"/>
            </w:tcBorders>
            <w:noWrap w:val="0"/>
            <w:vAlign w:val="top"/>
          </w:tcPr>
          <w:p w14:paraId="56B70893">
            <w:pPr>
              <w:adjustRightInd w:val="0"/>
              <w:snapToGrid w:val="0"/>
              <w:spacing w:line="360" w:lineRule="auto"/>
              <w:ind w:right="24"/>
              <w:rPr>
                <w:rFonts w:hint="eastAsia" w:ascii="宋体" w:hAnsi="宋体" w:eastAsia="宋体" w:cs="宋体"/>
                <w:bCs/>
                <w:color w:val="auto"/>
                <w:sz w:val="24"/>
                <w:highlight w:val="none"/>
              </w:rPr>
            </w:pPr>
          </w:p>
        </w:tc>
      </w:tr>
      <w:tr w14:paraId="1A61E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70" w:type="dxa"/>
            <w:tcBorders>
              <w:left w:val="single" w:color="auto" w:sz="4" w:space="0"/>
            </w:tcBorders>
            <w:noWrap w:val="0"/>
            <w:vAlign w:val="top"/>
          </w:tcPr>
          <w:p w14:paraId="7E476F76">
            <w:pPr>
              <w:adjustRightInd w:val="0"/>
              <w:snapToGrid w:val="0"/>
              <w:spacing w:line="360" w:lineRule="auto"/>
              <w:ind w:right="24"/>
              <w:rPr>
                <w:rFonts w:hint="eastAsia" w:ascii="宋体" w:hAnsi="宋体" w:eastAsia="宋体" w:cs="宋体"/>
                <w:bCs/>
                <w:color w:val="auto"/>
                <w:sz w:val="24"/>
                <w:highlight w:val="none"/>
              </w:rPr>
            </w:pPr>
          </w:p>
        </w:tc>
        <w:tc>
          <w:tcPr>
            <w:tcW w:w="1487" w:type="dxa"/>
            <w:noWrap w:val="0"/>
            <w:vAlign w:val="top"/>
          </w:tcPr>
          <w:p w14:paraId="6E3AF521">
            <w:pPr>
              <w:adjustRightInd w:val="0"/>
              <w:snapToGrid w:val="0"/>
              <w:spacing w:line="360" w:lineRule="auto"/>
              <w:ind w:right="24"/>
              <w:rPr>
                <w:rFonts w:hint="eastAsia" w:ascii="宋体" w:hAnsi="宋体" w:eastAsia="宋体" w:cs="宋体"/>
                <w:bCs/>
                <w:color w:val="auto"/>
                <w:sz w:val="24"/>
                <w:highlight w:val="none"/>
              </w:rPr>
            </w:pPr>
          </w:p>
        </w:tc>
        <w:tc>
          <w:tcPr>
            <w:tcW w:w="2067" w:type="dxa"/>
            <w:noWrap w:val="0"/>
            <w:vAlign w:val="top"/>
          </w:tcPr>
          <w:p w14:paraId="077E4B13">
            <w:pPr>
              <w:adjustRightInd w:val="0"/>
              <w:snapToGrid w:val="0"/>
              <w:spacing w:line="360" w:lineRule="auto"/>
              <w:ind w:right="24"/>
              <w:rPr>
                <w:rFonts w:hint="eastAsia" w:ascii="宋体" w:hAnsi="宋体" w:eastAsia="宋体" w:cs="宋体"/>
                <w:bCs/>
                <w:color w:val="auto"/>
                <w:sz w:val="24"/>
                <w:highlight w:val="none"/>
              </w:rPr>
            </w:pPr>
          </w:p>
        </w:tc>
        <w:tc>
          <w:tcPr>
            <w:tcW w:w="2160" w:type="dxa"/>
            <w:noWrap w:val="0"/>
            <w:vAlign w:val="top"/>
          </w:tcPr>
          <w:p w14:paraId="57BB6EED">
            <w:pPr>
              <w:adjustRightInd w:val="0"/>
              <w:snapToGrid w:val="0"/>
              <w:spacing w:line="360" w:lineRule="auto"/>
              <w:ind w:right="24"/>
              <w:rPr>
                <w:rFonts w:hint="eastAsia" w:ascii="宋体" w:hAnsi="宋体" w:eastAsia="宋体" w:cs="宋体"/>
                <w:bCs/>
                <w:color w:val="auto"/>
                <w:sz w:val="24"/>
                <w:highlight w:val="none"/>
              </w:rPr>
            </w:pPr>
          </w:p>
        </w:tc>
        <w:tc>
          <w:tcPr>
            <w:tcW w:w="1446" w:type="dxa"/>
            <w:noWrap w:val="0"/>
            <w:vAlign w:val="top"/>
          </w:tcPr>
          <w:p w14:paraId="45C4E2D7">
            <w:pPr>
              <w:adjustRightInd w:val="0"/>
              <w:snapToGrid w:val="0"/>
              <w:spacing w:line="360" w:lineRule="auto"/>
              <w:ind w:right="24"/>
              <w:rPr>
                <w:rFonts w:hint="eastAsia" w:ascii="宋体" w:hAnsi="宋体" w:eastAsia="宋体" w:cs="宋体"/>
                <w:bCs/>
                <w:color w:val="auto"/>
                <w:sz w:val="24"/>
                <w:highlight w:val="none"/>
              </w:rPr>
            </w:pPr>
          </w:p>
        </w:tc>
        <w:tc>
          <w:tcPr>
            <w:tcW w:w="1446" w:type="dxa"/>
            <w:tcBorders>
              <w:right w:val="single" w:color="auto" w:sz="4" w:space="0"/>
            </w:tcBorders>
            <w:noWrap w:val="0"/>
            <w:vAlign w:val="top"/>
          </w:tcPr>
          <w:p w14:paraId="2279EA15">
            <w:pPr>
              <w:adjustRightInd w:val="0"/>
              <w:snapToGrid w:val="0"/>
              <w:spacing w:line="360" w:lineRule="auto"/>
              <w:ind w:right="24"/>
              <w:rPr>
                <w:rFonts w:hint="eastAsia" w:ascii="宋体" w:hAnsi="宋体" w:eastAsia="宋体" w:cs="宋体"/>
                <w:bCs/>
                <w:color w:val="auto"/>
                <w:sz w:val="24"/>
                <w:highlight w:val="none"/>
              </w:rPr>
            </w:pPr>
          </w:p>
        </w:tc>
      </w:tr>
      <w:tr w14:paraId="223D8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70" w:type="dxa"/>
            <w:tcBorders>
              <w:left w:val="single" w:color="auto" w:sz="4" w:space="0"/>
            </w:tcBorders>
            <w:noWrap w:val="0"/>
            <w:vAlign w:val="top"/>
          </w:tcPr>
          <w:p w14:paraId="52125DB8">
            <w:pPr>
              <w:adjustRightInd w:val="0"/>
              <w:snapToGrid w:val="0"/>
              <w:spacing w:line="360" w:lineRule="auto"/>
              <w:ind w:right="24"/>
              <w:rPr>
                <w:rFonts w:hint="eastAsia" w:ascii="宋体" w:hAnsi="宋体" w:eastAsia="宋体" w:cs="宋体"/>
                <w:bCs/>
                <w:color w:val="auto"/>
                <w:sz w:val="24"/>
                <w:highlight w:val="none"/>
              </w:rPr>
            </w:pPr>
          </w:p>
        </w:tc>
        <w:tc>
          <w:tcPr>
            <w:tcW w:w="1487" w:type="dxa"/>
            <w:noWrap w:val="0"/>
            <w:vAlign w:val="top"/>
          </w:tcPr>
          <w:p w14:paraId="21449F57">
            <w:pPr>
              <w:adjustRightInd w:val="0"/>
              <w:snapToGrid w:val="0"/>
              <w:spacing w:line="360" w:lineRule="auto"/>
              <w:ind w:right="24"/>
              <w:rPr>
                <w:rFonts w:hint="eastAsia" w:ascii="宋体" w:hAnsi="宋体" w:eastAsia="宋体" w:cs="宋体"/>
                <w:bCs/>
                <w:color w:val="auto"/>
                <w:sz w:val="24"/>
                <w:highlight w:val="none"/>
              </w:rPr>
            </w:pPr>
          </w:p>
        </w:tc>
        <w:tc>
          <w:tcPr>
            <w:tcW w:w="2067" w:type="dxa"/>
            <w:noWrap w:val="0"/>
            <w:vAlign w:val="top"/>
          </w:tcPr>
          <w:p w14:paraId="3132DEA8">
            <w:pPr>
              <w:adjustRightInd w:val="0"/>
              <w:snapToGrid w:val="0"/>
              <w:spacing w:line="360" w:lineRule="auto"/>
              <w:ind w:right="24"/>
              <w:rPr>
                <w:rFonts w:hint="eastAsia" w:ascii="宋体" w:hAnsi="宋体" w:eastAsia="宋体" w:cs="宋体"/>
                <w:bCs/>
                <w:color w:val="auto"/>
                <w:sz w:val="24"/>
                <w:highlight w:val="none"/>
              </w:rPr>
            </w:pPr>
          </w:p>
        </w:tc>
        <w:tc>
          <w:tcPr>
            <w:tcW w:w="2160" w:type="dxa"/>
            <w:noWrap w:val="0"/>
            <w:vAlign w:val="top"/>
          </w:tcPr>
          <w:p w14:paraId="5837D532">
            <w:pPr>
              <w:adjustRightInd w:val="0"/>
              <w:snapToGrid w:val="0"/>
              <w:spacing w:line="360" w:lineRule="auto"/>
              <w:ind w:right="24"/>
              <w:rPr>
                <w:rFonts w:hint="eastAsia" w:ascii="宋体" w:hAnsi="宋体" w:eastAsia="宋体" w:cs="宋体"/>
                <w:bCs/>
                <w:color w:val="auto"/>
                <w:sz w:val="24"/>
                <w:highlight w:val="none"/>
              </w:rPr>
            </w:pPr>
          </w:p>
        </w:tc>
        <w:tc>
          <w:tcPr>
            <w:tcW w:w="1446" w:type="dxa"/>
            <w:noWrap w:val="0"/>
            <w:vAlign w:val="top"/>
          </w:tcPr>
          <w:p w14:paraId="248B2230">
            <w:pPr>
              <w:adjustRightInd w:val="0"/>
              <w:snapToGrid w:val="0"/>
              <w:spacing w:line="360" w:lineRule="auto"/>
              <w:ind w:right="24"/>
              <w:rPr>
                <w:rFonts w:hint="eastAsia" w:ascii="宋体" w:hAnsi="宋体" w:eastAsia="宋体" w:cs="宋体"/>
                <w:bCs/>
                <w:color w:val="auto"/>
                <w:sz w:val="24"/>
                <w:highlight w:val="none"/>
              </w:rPr>
            </w:pPr>
          </w:p>
        </w:tc>
        <w:tc>
          <w:tcPr>
            <w:tcW w:w="1446" w:type="dxa"/>
            <w:tcBorders>
              <w:right w:val="single" w:color="auto" w:sz="4" w:space="0"/>
            </w:tcBorders>
            <w:noWrap w:val="0"/>
            <w:vAlign w:val="top"/>
          </w:tcPr>
          <w:p w14:paraId="7235B472">
            <w:pPr>
              <w:adjustRightInd w:val="0"/>
              <w:snapToGrid w:val="0"/>
              <w:spacing w:line="360" w:lineRule="auto"/>
              <w:ind w:right="24"/>
              <w:rPr>
                <w:rFonts w:hint="eastAsia" w:ascii="宋体" w:hAnsi="宋体" w:eastAsia="宋体" w:cs="宋体"/>
                <w:bCs/>
                <w:color w:val="auto"/>
                <w:sz w:val="24"/>
                <w:highlight w:val="none"/>
              </w:rPr>
            </w:pPr>
          </w:p>
        </w:tc>
      </w:tr>
      <w:tr w14:paraId="41FE9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70" w:type="dxa"/>
            <w:tcBorders>
              <w:left w:val="single" w:color="auto" w:sz="4" w:space="0"/>
            </w:tcBorders>
            <w:noWrap w:val="0"/>
            <w:vAlign w:val="top"/>
          </w:tcPr>
          <w:p w14:paraId="1E79D67E">
            <w:pPr>
              <w:adjustRightInd w:val="0"/>
              <w:snapToGrid w:val="0"/>
              <w:spacing w:line="360" w:lineRule="auto"/>
              <w:ind w:right="24"/>
              <w:rPr>
                <w:rFonts w:hint="eastAsia" w:ascii="宋体" w:hAnsi="宋体" w:eastAsia="宋体" w:cs="宋体"/>
                <w:bCs/>
                <w:color w:val="auto"/>
                <w:sz w:val="24"/>
                <w:highlight w:val="none"/>
              </w:rPr>
            </w:pPr>
          </w:p>
        </w:tc>
        <w:tc>
          <w:tcPr>
            <w:tcW w:w="1487" w:type="dxa"/>
            <w:noWrap w:val="0"/>
            <w:vAlign w:val="top"/>
          </w:tcPr>
          <w:p w14:paraId="5AFADC58">
            <w:pPr>
              <w:adjustRightInd w:val="0"/>
              <w:snapToGrid w:val="0"/>
              <w:spacing w:line="360" w:lineRule="auto"/>
              <w:ind w:right="24"/>
              <w:rPr>
                <w:rFonts w:hint="eastAsia" w:ascii="宋体" w:hAnsi="宋体" w:eastAsia="宋体" w:cs="宋体"/>
                <w:bCs/>
                <w:color w:val="auto"/>
                <w:sz w:val="24"/>
                <w:highlight w:val="none"/>
              </w:rPr>
            </w:pPr>
          </w:p>
        </w:tc>
        <w:tc>
          <w:tcPr>
            <w:tcW w:w="2067" w:type="dxa"/>
            <w:noWrap w:val="0"/>
            <w:vAlign w:val="top"/>
          </w:tcPr>
          <w:p w14:paraId="395E17A6">
            <w:pPr>
              <w:adjustRightInd w:val="0"/>
              <w:snapToGrid w:val="0"/>
              <w:spacing w:line="360" w:lineRule="auto"/>
              <w:ind w:right="24"/>
              <w:rPr>
                <w:rFonts w:hint="eastAsia" w:ascii="宋体" w:hAnsi="宋体" w:eastAsia="宋体" w:cs="宋体"/>
                <w:bCs/>
                <w:color w:val="auto"/>
                <w:sz w:val="24"/>
                <w:highlight w:val="none"/>
              </w:rPr>
            </w:pPr>
          </w:p>
        </w:tc>
        <w:tc>
          <w:tcPr>
            <w:tcW w:w="2160" w:type="dxa"/>
            <w:noWrap w:val="0"/>
            <w:vAlign w:val="top"/>
          </w:tcPr>
          <w:p w14:paraId="72A1450A">
            <w:pPr>
              <w:adjustRightInd w:val="0"/>
              <w:snapToGrid w:val="0"/>
              <w:spacing w:line="360" w:lineRule="auto"/>
              <w:ind w:right="24"/>
              <w:rPr>
                <w:rFonts w:hint="eastAsia" w:ascii="宋体" w:hAnsi="宋体" w:eastAsia="宋体" w:cs="宋体"/>
                <w:bCs/>
                <w:color w:val="auto"/>
                <w:sz w:val="24"/>
                <w:highlight w:val="none"/>
              </w:rPr>
            </w:pPr>
          </w:p>
        </w:tc>
        <w:tc>
          <w:tcPr>
            <w:tcW w:w="1446" w:type="dxa"/>
            <w:noWrap w:val="0"/>
            <w:vAlign w:val="top"/>
          </w:tcPr>
          <w:p w14:paraId="65A79DC0">
            <w:pPr>
              <w:adjustRightInd w:val="0"/>
              <w:snapToGrid w:val="0"/>
              <w:spacing w:line="360" w:lineRule="auto"/>
              <w:ind w:right="24"/>
              <w:rPr>
                <w:rFonts w:hint="eastAsia" w:ascii="宋体" w:hAnsi="宋体" w:eastAsia="宋体" w:cs="宋体"/>
                <w:bCs/>
                <w:color w:val="auto"/>
                <w:sz w:val="24"/>
                <w:highlight w:val="none"/>
              </w:rPr>
            </w:pPr>
          </w:p>
        </w:tc>
        <w:tc>
          <w:tcPr>
            <w:tcW w:w="1446" w:type="dxa"/>
            <w:tcBorders>
              <w:right w:val="single" w:color="auto" w:sz="4" w:space="0"/>
            </w:tcBorders>
            <w:noWrap w:val="0"/>
            <w:vAlign w:val="top"/>
          </w:tcPr>
          <w:p w14:paraId="08629102">
            <w:pPr>
              <w:adjustRightInd w:val="0"/>
              <w:snapToGrid w:val="0"/>
              <w:spacing w:line="360" w:lineRule="auto"/>
              <w:ind w:right="24"/>
              <w:rPr>
                <w:rFonts w:hint="eastAsia" w:ascii="宋体" w:hAnsi="宋体" w:eastAsia="宋体" w:cs="宋体"/>
                <w:bCs/>
                <w:color w:val="auto"/>
                <w:sz w:val="24"/>
                <w:highlight w:val="none"/>
              </w:rPr>
            </w:pPr>
          </w:p>
        </w:tc>
      </w:tr>
      <w:tr w14:paraId="6C0C3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70" w:type="dxa"/>
            <w:tcBorders>
              <w:left w:val="single" w:color="auto" w:sz="4" w:space="0"/>
            </w:tcBorders>
            <w:noWrap w:val="0"/>
            <w:vAlign w:val="top"/>
          </w:tcPr>
          <w:p w14:paraId="5AFDB7D3">
            <w:pPr>
              <w:adjustRightInd w:val="0"/>
              <w:snapToGrid w:val="0"/>
              <w:spacing w:line="360" w:lineRule="auto"/>
              <w:ind w:right="24"/>
              <w:rPr>
                <w:rFonts w:hint="eastAsia" w:ascii="宋体" w:hAnsi="宋体" w:eastAsia="宋体" w:cs="宋体"/>
                <w:bCs/>
                <w:color w:val="auto"/>
                <w:sz w:val="24"/>
                <w:highlight w:val="none"/>
              </w:rPr>
            </w:pPr>
          </w:p>
        </w:tc>
        <w:tc>
          <w:tcPr>
            <w:tcW w:w="1487" w:type="dxa"/>
            <w:noWrap w:val="0"/>
            <w:vAlign w:val="top"/>
          </w:tcPr>
          <w:p w14:paraId="28A227A4">
            <w:pPr>
              <w:adjustRightInd w:val="0"/>
              <w:snapToGrid w:val="0"/>
              <w:spacing w:line="360" w:lineRule="auto"/>
              <w:ind w:right="24"/>
              <w:rPr>
                <w:rFonts w:hint="eastAsia" w:ascii="宋体" w:hAnsi="宋体" w:eastAsia="宋体" w:cs="宋体"/>
                <w:bCs/>
                <w:color w:val="auto"/>
                <w:sz w:val="24"/>
                <w:highlight w:val="none"/>
              </w:rPr>
            </w:pPr>
          </w:p>
        </w:tc>
        <w:tc>
          <w:tcPr>
            <w:tcW w:w="2067" w:type="dxa"/>
            <w:noWrap w:val="0"/>
            <w:vAlign w:val="top"/>
          </w:tcPr>
          <w:p w14:paraId="5DDCEFAB">
            <w:pPr>
              <w:adjustRightInd w:val="0"/>
              <w:snapToGrid w:val="0"/>
              <w:spacing w:line="360" w:lineRule="auto"/>
              <w:ind w:right="24"/>
              <w:rPr>
                <w:rFonts w:hint="eastAsia" w:ascii="宋体" w:hAnsi="宋体" w:eastAsia="宋体" w:cs="宋体"/>
                <w:bCs/>
                <w:color w:val="auto"/>
                <w:sz w:val="24"/>
                <w:highlight w:val="none"/>
              </w:rPr>
            </w:pPr>
          </w:p>
        </w:tc>
        <w:tc>
          <w:tcPr>
            <w:tcW w:w="2160" w:type="dxa"/>
            <w:noWrap w:val="0"/>
            <w:vAlign w:val="top"/>
          </w:tcPr>
          <w:p w14:paraId="79996447">
            <w:pPr>
              <w:adjustRightInd w:val="0"/>
              <w:snapToGrid w:val="0"/>
              <w:spacing w:line="360" w:lineRule="auto"/>
              <w:ind w:right="24"/>
              <w:rPr>
                <w:rFonts w:hint="eastAsia" w:ascii="宋体" w:hAnsi="宋体" w:eastAsia="宋体" w:cs="宋体"/>
                <w:bCs/>
                <w:color w:val="auto"/>
                <w:sz w:val="24"/>
                <w:highlight w:val="none"/>
              </w:rPr>
            </w:pPr>
          </w:p>
        </w:tc>
        <w:tc>
          <w:tcPr>
            <w:tcW w:w="1446" w:type="dxa"/>
            <w:noWrap w:val="0"/>
            <w:vAlign w:val="top"/>
          </w:tcPr>
          <w:p w14:paraId="301A36D1">
            <w:pPr>
              <w:adjustRightInd w:val="0"/>
              <w:snapToGrid w:val="0"/>
              <w:spacing w:line="360" w:lineRule="auto"/>
              <w:ind w:right="24"/>
              <w:rPr>
                <w:rFonts w:hint="eastAsia" w:ascii="宋体" w:hAnsi="宋体" w:eastAsia="宋体" w:cs="宋体"/>
                <w:bCs/>
                <w:color w:val="auto"/>
                <w:sz w:val="24"/>
                <w:highlight w:val="none"/>
              </w:rPr>
            </w:pPr>
          </w:p>
        </w:tc>
        <w:tc>
          <w:tcPr>
            <w:tcW w:w="1446" w:type="dxa"/>
            <w:tcBorders>
              <w:right w:val="single" w:color="auto" w:sz="4" w:space="0"/>
            </w:tcBorders>
            <w:noWrap w:val="0"/>
            <w:vAlign w:val="top"/>
          </w:tcPr>
          <w:p w14:paraId="5F928133">
            <w:pPr>
              <w:adjustRightInd w:val="0"/>
              <w:snapToGrid w:val="0"/>
              <w:spacing w:line="360" w:lineRule="auto"/>
              <w:ind w:right="24"/>
              <w:rPr>
                <w:rFonts w:hint="eastAsia" w:ascii="宋体" w:hAnsi="宋体" w:eastAsia="宋体" w:cs="宋体"/>
                <w:bCs/>
                <w:color w:val="auto"/>
                <w:sz w:val="24"/>
                <w:highlight w:val="none"/>
              </w:rPr>
            </w:pPr>
          </w:p>
        </w:tc>
      </w:tr>
      <w:tr w14:paraId="77893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70" w:type="dxa"/>
            <w:tcBorders>
              <w:left w:val="single" w:color="auto" w:sz="4" w:space="0"/>
            </w:tcBorders>
            <w:noWrap w:val="0"/>
            <w:vAlign w:val="top"/>
          </w:tcPr>
          <w:p w14:paraId="2885F906">
            <w:pPr>
              <w:adjustRightInd w:val="0"/>
              <w:snapToGrid w:val="0"/>
              <w:spacing w:line="360" w:lineRule="auto"/>
              <w:ind w:right="24"/>
              <w:rPr>
                <w:rFonts w:hint="eastAsia" w:ascii="宋体" w:hAnsi="宋体" w:eastAsia="宋体" w:cs="宋体"/>
                <w:bCs/>
                <w:color w:val="auto"/>
                <w:sz w:val="24"/>
                <w:highlight w:val="none"/>
              </w:rPr>
            </w:pPr>
          </w:p>
        </w:tc>
        <w:tc>
          <w:tcPr>
            <w:tcW w:w="1487" w:type="dxa"/>
            <w:noWrap w:val="0"/>
            <w:vAlign w:val="top"/>
          </w:tcPr>
          <w:p w14:paraId="7F0ED180">
            <w:pPr>
              <w:adjustRightInd w:val="0"/>
              <w:snapToGrid w:val="0"/>
              <w:spacing w:line="360" w:lineRule="auto"/>
              <w:ind w:right="24"/>
              <w:rPr>
                <w:rFonts w:hint="eastAsia" w:ascii="宋体" w:hAnsi="宋体" w:eastAsia="宋体" w:cs="宋体"/>
                <w:bCs/>
                <w:color w:val="auto"/>
                <w:sz w:val="24"/>
                <w:highlight w:val="none"/>
              </w:rPr>
            </w:pPr>
          </w:p>
        </w:tc>
        <w:tc>
          <w:tcPr>
            <w:tcW w:w="2067" w:type="dxa"/>
            <w:noWrap w:val="0"/>
            <w:vAlign w:val="top"/>
          </w:tcPr>
          <w:p w14:paraId="1575B872">
            <w:pPr>
              <w:adjustRightInd w:val="0"/>
              <w:snapToGrid w:val="0"/>
              <w:spacing w:line="360" w:lineRule="auto"/>
              <w:ind w:right="24"/>
              <w:rPr>
                <w:rFonts w:hint="eastAsia" w:ascii="宋体" w:hAnsi="宋体" w:eastAsia="宋体" w:cs="宋体"/>
                <w:bCs/>
                <w:color w:val="auto"/>
                <w:sz w:val="24"/>
                <w:highlight w:val="none"/>
              </w:rPr>
            </w:pPr>
          </w:p>
        </w:tc>
        <w:tc>
          <w:tcPr>
            <w:tcW w:w="2160" w:type="dxa"/>
            <w:noWrap w:val="0"/>
            <w:vAlign w:val="top"/>
          </w:tcPr>
          <w:p w14:paraId="4AD643DA">
            <w:pPr>
              <w:adjustRightInd w:val="0"/>
              <w:snapToGrid w:val="0"/>
              <w:spacing w:line="360" w:lineRule="auto"/>
              <w:ind w:right="24"/>
              <w:rPr>
                <w:rFonts w:hint="eastAsia" w:ascii="宋体" w:hAnsi="宋体" w:eastAsia="宋体" w:cs="宋体"/>
                <w:bCs/>
                <w:color w:val="auto"/>
                <w:sz w:val="24"/>
                <w:highlight w:val="none"/>
              </w:rPr>
            </w:pPr>
          </w:p>
        </w:tc>
        <w:tc>
          <w:tcPr>
            <w:tcW w:w="1446" w:type="dxa"/>
            <w:noWrap w:val="0"/>
            <w:vAlign w:val="top"/>
          </w:tcPr>
          <w:p w14:paraId="0CE53602">
            <w:pPr>
              <w:adjustRightInd w:val="0"/>
              <w:snapToGrid w:val="0"/>
              <w:spacing w:line="360" w:lineRule="auto"/>
              <w:ind w:right="24"/>
              <w:rPr>
                <w:rFonts w:hint="eastAsia" w:ascii="宋体" w:hAnsi="宋体" w:eastAsia="宋体" w:cs="宋体"/>
                <w:bCs/>
                <w:color w:val="auto"/>
                <w:sz w:val="24"/>
                <w:highlight w:val="none"/>
              </w:rPr>
            </w:pPr>
          </w:p>
        </w:tc>
        <w:tc>
          <w:tcPr>
            <w:tcW w:w="1446" w:type="dxa"/>
            <w:tcBorders>
              <w:right w:val="single" w:color="auto" w:sz="4" w:space="0"/>
            </w:tcBorders>
            <w:noWrap w:val="0"/>
            <w:vAlign w:val="top"/>
          </w:tcPr>
          <w:p w14:paraId="06793BFD">
            <w:pPr>
              <w:adjustRightInd w:val="0"/>
              <w:snapToGrid w:val="0"/>
              <w:spacing w:line="360" w:lineRule="auto"/>
              <w:ind w:right="24"/>
              <w:rPr>
                <w:rFonts w:hint="eastAsia" w:ascii="宋体" w:hAnsi="宋体" w:eastAsia="宋体" w:cs="宋体"/>
                <w:bCs/>
                <w:color w:val="auto"/>
                <w:sz w:val="24"/>
                <w:highlight w:val="none"/>
              </w:rPr>
            </w:pPr>
          </w:p>
        </w:tc>
      </w:tr>
      <w:tr w14:paraId="1A838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70" w:type="dxa"/>
            <w:tcBorders>
              <w:left w:val="single" w:color="auto" w:sz="4" w:space="0"/>
            </w:tcBorders>
            <w:noWrap w:val="0"/>
            <w:vAlign w:val="top"/>
          </w:tcPr>
          <w:p w14:paraId="49CA0403">
            <w:pPr>
              <w:adjustRightInd w:val="0"/>
              <w:snapToGrid w:val="0"/>
              <w:spacing w:line="360" w:lineRule="auto"/>
              <w:ind w:right="24"/>
              <w:rPr>
                <w:rFonts w:hint="eastAsia" w:ascii="宋体" w:hAnsi="宋体" w:eastAsia="宋体" w:cs="宋体"/>
                <w:bCs/>
                <w:color w:val="auto"/>
                <w:sz w:val="24"/>
                <w:highlight w:val="none"/>
              </w:rPr>
            </w:pPr>
          </w:p>
        </w:tc>
        <w:tc>
          <w:tcPr>
            <w:tcW w:w="1487" w:type="dxa"/>
            <w:noWrap w:val="0"/>
            <w:vAlign w:val="top"/>
          </w:tcPr>
          <w:p w14:paraId="08089F1C">
            <w:pPr>
              <w:adjustRightInd w:val="0"/>
              <w:snapToGrid w:val="0"/>
              <w:spacing w:line="360" w:lineRule="auto"/>
              <w:ind w:right="24"/>
              <w:rPr>
                <w:rFonts w:hint="eastAsia" w:ascii="宋体" w:hAnsi="宋体" w:eastAsia="宋体" w:cs="宋体"/>
                <w:bCs/>
                <w:color w:val="auto"/>
                <w:sz w:val="24"/>
                <w:highlight w:val="none"/>
              </w:rPr>
            </w:pPr>
          </w:p>
        </w:tc>
        <w:tc>
          <w:tcPr>
            <w:tcW w:w="2067" w:type="dxa"/>
            <w:noWrap w:val="0"/>
            <w:vAlign w:val="top"/>
          </w:tcPr>
          <w:p w14:paraId="24B81E34">
            <w:pPr>
              <w:adjustRightInd w:val="0"/>
              <w:snapToGrid w:val="0"/>
              <w:spacing w:line="360" w:lineRule="auto"/>
              <w:ind w:right="24"/>
              <w:rPr>
                <w:rFonts w:hint="eastAsia" w:ascii="宋体" w:hAnsi="宋体" w:eastAsia="宋体" w:cs="宋体"/>
                <w:bCs/>
                <w:color w:val="auto"/>
                <w:sz w:val="24"/>
                <w:highlight w:val="none"/>
              </w:rPr>
            </w:pPr>
          </w:p>
        </w:tc>
        <w:tc>
          <w:tcPr>
            <w:tcW w:w="2160" w:type="dxa"/>
            <w:noWrap w:val="0"/>
            <w:vAlign w:val="top"/>
          </w:tcPr>
          <w:p w14:paraId="7EB273B2">
            <w:pPr>
              <w:adjustRightInd w:val="0"/>
              <w:snapToGrid w:val="0"/>
              <w:spacing w:line="360" w:lineRule="auto"/>
              <w:ind w:right="24"/>
              <w:rPr>
                <w:rFonts w:hint="eastAsia" w:ascii="宋体" w:hAnsi="宋体" w:eastAsia="宋体" w:cs="宋体"/>
                <w:bCs/>
                <w:color w:val="auto"/>
                <w:sz w:val="24"/>
                <w:highlight w:val="none"/>
              </w:rPr>
            </w:pPr>
          </w:p>
        </w:tc>
        <w:tc>
          <w:tcPr>
            <w:tcW w:w="1446" w:type="dxa"/>
            <w:noWrap w:val="0"/>
            <w:vAlign w:val="top"/>
          </w:tcPr>
          <w:p w14:paraId="66FD7AF3">
            <w:pPr>
              <w:adjustRightInd w:val="0"/>
              <w:snapToGrid w:val="0"/>
              <w:spacing w:line="360" w:lineRule="auto"/>
              <w:ind w:right="24"/>
              <w:rPr>
                <w:rFonts w:hint="eastAsia" w:ascii="宋体" w:hAnsi="宋体" w:eastAsia="宋体" w:cs="宋体"/>
                <w:bCs/>
                <w:color w:val="auto"/>
                <w:sz w:val="24"/>
                <w:highlight w:val="none"/>
              </w:rPr>
            </w:pPr>
          </w:p>
        </w:tc>
        <w:tc>
          <w:tcPr>
            <w:tcW w:w="1446" w:type="dxa"/>
            <w:tcBorders>
              <w:right w:val="single" w:color="auto" w:sz="4" w:space="0"/>
            </w:tcBorders>
            <w:noWrap w:val="0"/>
            <w:vAlign w:val="top"/>
          </w:tcPr>
          <w:p w14:paraId="3EDBA392">
            <w:pPr>
              <w:adjustRightInd w:val="0"/>
              <w:snapToGrid w:val="0"/>
              <w:spacing w:line="360" w:lineRule="auto"/>
              <w:ind w:right="24"/>
              <w:rPr>
                <w:rFonts w:hint="eastAsia" w:ascii="宋体" w:hAnsi="宋体" w:eastAsia="宋体" w:cs="宋体"/>
                <w:bCs/>
                <w:color w:val="auto"/>
                <w:sz w:val="24"/>
                <w:highlight w:val="none"/>
              </w:rPr>
            </w:pPr>
          </w:p>
        </w:tc>
      </w:tr>
      <w:tr w14:paraId="6CA63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70" w:type="dxa"/>
            <w:tcBorders>
              <w:left w:val="single" w:color="auto" w:sz="4" w:space="0"/>
            </w:tcBorders>
            <w:noWrap w:val="0"/>
            <w:vAlign w:val="top"/>
          </w:tcPr>
          <w:p w14:paraId="58F185A6">
            <w:pPr>
              <w:adjustRightInd w:val="0"/>
              <w:snapToGrid w:val="0"/>
              <w:spacing w:line="360" w:lineRule="auto"/>
              <w:ind w:right="24"/>
              <w:rPr>
                <w:rFonts w:hint="eastAsia" w:ascii="宋体" w:hAnsi="宋体" w:eastAsia="宋体" w:cs="宋体"/>
                <w:bCs/>
                <w:color w:val="auto"/>
                <w:sz w:val="24"/>
                <w:highlight w:val="none"/>
              </w:rPr>
            </w:pPr>
          </w:p>
        </w:tc>
        <w:tc>
          <w:tcPr>
            <w:tcW w:w="1487" w:type="dxa"/>
            <w:noWrap w:val="0"/>
            <w:vAlign w:val="top"/>
          </w:tcPr>
          <w:p w14:paraId="0095C070">
            <w:pPr>
              <w:adjustRightInd w:val="0"/>
              <w:snapToGrid w:val="0"/>
              <w:spacing w:line="360" w:lineRule="auto"/>
              <w:ind w:right="24"/>
              <w:rPr>
                <w:rFonts w:hint="eastAsia" w:ascii="宋体" w:hAnsi="宋体" w:eastAsia="宋体" w:cs="宋体"/>
                <w:bCs/>
                <w:color w:val="auto"/>
                <w:sz w:val="24"/>
                <w:highlight w:val="none"/>
              </w:rPr>
            </w:pPr>
          </w:p>
        </w:tc>
        <w:tc>
          <w:tcPr>
            <w:tcW w:w="2067" w:type="dxa"/>
            <w:noWrap w:val="0"/>
            <w:vAlign w:val="top"/>
          </w:tcPr>
          <w:p w14:paraId="11F5A776">
            <w:pPr>
              <w:adjustRightInd w:val="0"/>
              <w:snapToGrid w:val="0"/>
              <w:spacing w:line="360" w:lineRule="auto"/>
              <w:ind w:right="24"/>
              <w:rPr>
                <w:rFonts w:hint="eastAsia" w:ascii="宋体" w:hAnsi="宋体" w:eastAsia="宋体" w:cs="宋体"/>
                <w:bCs/>
                <w:color w:val="auto"/>
                <w:sz w:val="24"/>
                <w:highlight w:val="none"/>
              </w:rPr>
            </w:pPr>
          </w:p>
        </w:tc>
        <w:tc>
          <w:tcPr>
            <w:tcW w:w="2160" w:type="dxa"/>
            <w:noWrap w:val="0"/>
            <w:vAlign w:val="top"/>
          </w:tcPr>
          <w:p w14:paraId="11AFCF55">
            <w:pPr>
              <w:adjustRightInd w:val="0"/>
              <w:snapToGrid w:val="0"/>
              <w:spacing w:line="360" w:lineRule="auto"/>
              <w:ind w:right="24"/>
              <w:rPr>
                <w:rFonts w:hint="eastAsia" w:ascii="宋体" w:hAnsi="宋体" w:eastAsia="宋体" w:cs="宋体"/>
                <w:bCs/>
                <w:color w:val="auto"/>
                <w:sz w:val="24"/>
                <w:highlight w:val="none"/>
              </w:rPr>
            </w:pPr>
          </w:p>
        </w:tc>
        <w:tc>
          <w:tcPr>
            <w:tcW w:w="1446" w:type="dxa"/>
            <w:noWrap w:val="0"/>
            <w:vAlign w:val="top"/>
          </w:tcPr>
          <w:p w14:paraId="3794595E">
            <w:pPr>
              <w:adjustRightInd w:val="0"/>
              <w:snapToGrid w:val="0"/>
              <w:spacing w:line="360" w:lineRule="auto"/>
              <w:ind w:right="24"/>
              <w:rPr>
                <w:rFonts w:hint="eastAsia" w:ascii="宋体" w:hAnsi="宋体" w:eastAsia="宋体" w:cs="宋体"/>
                <w:bCs/>
                <w:color w:val="auto"/>
                <w:sz w:val="24"/>
                <w:highlight w:val="none"/>
              </w:rPr>
            </w:pPr>
          </w:p>
        </w:tc>
        <w:tc>
          <w:tcPr>
            <w:tcW w:w="1446" w:type="dxa"/>
            <w:tcBorders>
              <w:right w:val="single" w:color="auto" w:sz="4" w:space="0"/>
            </w:tcBorders>
            <w:noWrap w:val="0"/>
            <w:vAlign w:val="top"/>
          </w:tcPr>
          <w:p w14:paraId="32EB69FD">
            <w:pPr>
              <w:adjustRightInd w:val="0"/>
              <w:snapToGrid w:val="0"/>
              <w:spacing w:line="360" w:lineRule="auto"/>
              <w:ind w:right="24"/>
              <w:rPr>
                <w:rFonts w:hint="eastAsia" w:ascii="宋体" w:hAnsi="宋体" w:eastAsia="宋体" w:cs="宋体"/>
                <w:bCs/>
                <w:color w:val="auto"/>
                <w:sz w:val="24"/>
                <w:highlight w:val="none"/>
              </w:rPr>
            </w:pPr>
          </w:p>
        </w:tc>
      </w:tr>
      <w:tr w14:paraId="0FB61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70" w:type="dxa"/>
            <w:tcBorders>
              <w:left w:val="single" w:color="auto" w:sz="4" w:space="0"/>
              <w:bottom w:val="single" w:color="auto" w:sz="4" w:space="0"/>
            </w:tcBorders>
            <w:noWrap w:val="0"/>
            <w:vAlign w:val="top"/>
          </w:tcPr>
          <w:p w14:paraId="41524772">
            <w:pPr>
              <w:adjustRightInd w:val="0"/>
              <w:snapToGrid w:val="0"/>
              <w:spacing w:line="360" w:lineRule="auto"/>
              <w:ind w:right="24"/>
              <w:rPr>
                <w:rFonts w:hint="eastAsia" w:ascii="宋体" w:hAnsi="宋体" w:eastAsia="宋体" w:cs="宋体"/>
                <w:bCs/>
                <w:color w:val="auto"/>
                <w:sz w:val="24"/>
                <w:highlight w:val="none"/>
              </w:rPr>
            </w:pPr>
          </w:p>
        </w:tc>
        <w:tc>
          <w:tcPr>
            <w:tcW w:w="1487" w:type="dxa"/>
            <w:tcBorders>
              <w:bottom w:val="single" w:color="auto" w:sz="4" w:space="0"/>
            </w:tcBorders>
            <w:noWrap w:val="0"/>
            <w:vAlign w:val="top"/>
          </w:tcPr>
          <w:p w14:paraId="1EB3207A">
            <w:pPr>
              <w:adjustRightInd w:val="0"/>
              <w:snapToGrid w:val="0"/>
              <w:spacing w:line="360" w:lineRule="auto"/>
              <w:ind w:right="24"/>
              <w:rPr>
                <w:rFonts w:hint="eastAsia" w:ascii="宋体" w:hAnsi="宋体" w:eastAsia="宋体" w:cs="宋体"/>
                <w:bCs/>
                <w:color w:val="auto"/>
                <w:sz w:val="24"/>
                <w:highlight w:val="none"/>
              </w:rPr>
            </w:pPr>
          </w:p>
        </w:tc>
        <w:tc>
          <w:tcPr>
            <w:tcW w:w="2067" w:type="dxa"/>
            <w:tcBorders>
              <w:bottom w:val="single" w:color="auto" w:sz="4" w:space="0"/>
            </w:tcBorders>
            <w:noWrap w:val="0"/>
            <w:vAlign w:val="top"/>
          </w:tcPr>
          <w:p w14:paraId="75A23674">
            <w:pPr>
              <w:adjustRightInd w:val="0"/>
              <w:snapToGrid w:val="0"/>
              <w:spacing w:line="360" w:lineRule="auto"/>
              <w:ind w:right="24"/>
              <w:rPr>
                <w:rFonts w:hint="eastAsia" w:ascii="宋体" w:hAnsi="宋体" w:eastAsia="宋体" w:cs="宋体"/>
                <w:bCs/>
                <w:color w:val="auto"/>
                <w:sz w:val="24"/>
                <w:highlight w:val="none"/>
              </w:rPr>
            </w:pPr>
          </w:p>
        </w:tc>
        <w:tc>
          <w:tcPr>
            <w:tcW w:w="2160" w:type="dxa"/>
            <w:tcBorders>
              <w:bottom w:val="single" w:color="auto" w:sz="4" w:space="0"/>
            </w:tcBorders>
            <w:noWrap w:val="0"/>
            <w:vAlign w:val="top"/>
          </w:tcPr>
          <w:p w14:paraId="37A0FC59">
            <w:pPr>
              <w:adjustRightInd w:val="0"/>
              <w:snapToGrid w:val="0"/>
              <w:spacing w:line="360" w:lineRule="auto"/>
              <w:ind w:right="24"/>
              <w:rPr>
                <w:rFonts w:hint="eastAsia" w:ascii="宋体" w:hAnsi="宋体" w:eastAsia="宋体" w:cs="宋体"/>
                <w:bCs/>
                <w:color w:val="auto"/>
                <w:sz w:val="24"/>
                <w:highlight w:val="none"/>
              </w:rPr>
            </w:pPr>
          </w:p>
        </w:tc>
        <w:tc>
          <w:tcPr>
            <w:tcW w:w="1446" w:type="dxa"/>
            <w:tcBorders>
              <w:bottom w:val="single" w:color="auto" w:sz="4" w:space="0"/>
            </w:tcBorders>
            <w:noWrap w:val="0"/>
            <w:vAlign w:val="top"/>
          </w:tcPr>
          <w:p w14:paraId="2E5D8B43">
            <w:pPr>
              <w:adjustRightInd w:val="0"/>
              <w:snapToGrid w:val="0"/>
              <w:spacing w:line="360" w:lineRule="auto"/>
              <w:ind w:right="24"/>
              <w:rPr>
                <w:rFonts w:hint="eastAsia" w:ascii="宋体" w:hAnsi="宋体" w:eastAsia="宋体" w:cs="宋体"/>
                <w:bCs/>
                <w:color w:val="auto"/>
                <w:sz w:val="24"/>
                <w:highlight w:val="none"/>
              </w:rPr>
            </w:pPr>
          </w:p>
        </w:tc>
        <w:tc>
          <w:tcPr>
            <w:tcW w:w="1446" w:type="dxa"/>
            <w:tcBorders>
              <w:bottom w:val="single" w:color="auto" w:sz="4" w:space="0"/>
              <w:right w:val="single" w:color="auto" w:sz="4" w:space="0"/>
            </w:tcBorders>
            <w:noWrap w:val="0"/>
            <w:vAlign w:val="top"/>
          </w:tcPr>
          <w:p w14:paraId="08E6456B">
            <w:pPr>
              <w:adjustRightInd w:val="0"/>
              <w:snapToGrid w:val="0"/>
              <w:spacing w:line="360" w:lineRule="auto"/>
              <w:ind w:right="24"/>
              <w:rPr>
                <w:rFonts w:hint="eastAsia" w:ascii="宋体" w:hAnsi="宋体" w:eastAsia="宋体" w:cs="宋体"/>
                <w:bCs/>
                <w:color w:val="auto"/>
                <w:sz w:val="24"/>
                <w:highlight w:val="none"/>
              </w:rPr>
            </w:pPr>
          </w:p>
        </w:tc>
      </w:tr>
    </w:tbl>
    <w:p w14:paraId="137AB03D">
      <w:pPr>
        <w:spacing w:line="360" w:lineRule="auto"/>
        <w:ind w:firstLine="411" w:firstLineChars="196"/>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说明：</w:t>
      </w:r>
    </w:p>
    <w:p w14:paraId="6FD88E70">
      <w:pPr>
        <w:spacing w:line="240" w:lineRule="auto"/>
        <w:ind w:firstLine="411" w:firstLineChars="196"/>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1.本表只填写与磋商文件有偏离（包括正偏离和负偏离）的内容，与磋商文件要求完全一致的，可不用在此表中列出，但必须</w:t>
      </w:r>
      <w:r>
        <w:rPr>
          <w:rFonts w:hint="eastAsia" w:ascii="宋体" w:hAnsi="宋体" w:cs="宋体"/>
          <w:color w:val="auto"/>
          <w:szCs w:val="21"/>
          <w:highlight w:val="none"/>
          <w:lang w:val="en-US" w:eastAsia="zh-CN"/>
        </w:rPr>
        <w:t>盖章</w:t>
      </w:r>
      <w:r>
        <w:rPr>
          <w:rFonts w:hint="eastAsia" w:ascii="宋体" w:hAnsi="宋体" w:eastAsia="宋体" w:cs="宋体"/>
          <w:color w:val="auto"/>
          <w:szCs w:val="21"/>
          <w:highlight w:val="none"/>
          <w:lang w:val="en-US" w:eastAsia="zh-CN"/>
        </w:rPr>
        <w:t xml:space="preserve">提交空白表。正偏离（优于时）须提供佐证资料。 </w:t>
      </w:r>
    </w:p>
    <w:p w14:paraId="13274FD7">
      <w:pPr>
        <w:spacing w:line="240" w:lineRule="auto"/>
        <w:ind w:firstLine="411" w:firstLineChars="196"/>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2.供应商必须据实填写，不得虚假响应，否则将取消其磋商或成交资格，并按有关规定追究其相应责任并进行处罚。</w:t>
      </w:r>
    </w:p>
    <w:p w14:paraId="62488A9E">
      <w:pPr>
        <w:spacing w:line="240" w:lineRule="auto"/>
        <w:ind w:firstLine="411" w:firstLineChars="196"/>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3.表格不够用，各供应商可按此表复制。</w:t>
      </w:r>
    </w:p>
    <w:p w14:paraId="4F69A828">
      <w:pPr>
        <w:pStyle w:val="25"/>
        <w:ind w:left="0" w:leftChars="0" w:firstLine="0" w:firstLineChars="0"/>
        <w:rPr>
          <w:rFonts w:hint="eastAsia" w:ascii="宋体" w:hAnsi="宋体" w:eastAsia="宋体" w:cs="宋体"/>
          <w:color w:val="auto"/>
          <w:sz w:val="24"/>
          <w:highlight w:val="none"/>
        </w:rPr>
      </w:pPr>
    </w:p>
    <w:p w14:paraId="293C98DD">
      <w:pPr>
        <w:spacing w:line="600" w:lineRule="auto"/>
        <w:ind w:firstLine="2940" w:firstLineChars="1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供应商名称</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单位全称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（盖章）</w:t>
      </w:r>
    </w:p>
    <w:p w14:paraId="0738A0F8">
      <w:pPr>
        <w:spacing w:line="600" w:lineRule="auto"/>
        <w:ind w:firstLine="2940" w:firstLineChars="1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法定代表人或被授权人：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(签字或盖章)</w:t>
      </w:r>
    </w:p>
    <w:p w14:paraId="4B127838">
      <w:pPr>
        <w:spacing w:line="600" w:lineRule="auto"/>
        <w:ind w:firstLine="2940" w:firstLineChars="14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9969CF9">
      <w:pPr>
        <w:jc w:val="center"/>
        <w:rPr>
          <w:rFonts w:hint="eastAsia" w:ascii="宋体" w:hAnsi="宋体" w:eastAsia="宋体" w:cs="宋体"/>
          <w:color w:val="auto"/>
          <w:sz w:val="24"/>
          <w:highlight w:val="none"/>
        </w:rPr>
      </w:pPr>
    </w:p>
    <w:p w14:paraId="0CC6AF9F">
      <w:pPr>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2、商务偏离表</w:t>
      </w:r>
    </w:p>
    <w:p w14:paraId="0BC63DC1">
      <w:pPr>
        <w:pStyle w:val="10"/>
        <w:rPr>
          <w:rFonts w:hint="eastAsia" w:ascii="宋体" w:hAnsi="宋体" w:eastAsia="宋体" w:cs="宋体"/>
          <w:color w:val="auto"/>
          <w:highlight w:val="none"/>
        </w:rPr>
      </w:pPr>
    </w:p>
    <w:tbl>
      <w:tblPr>
        <w:tblStyle w:val="27"/>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426"/>
        <w:gridCol w:w="1981"/>
        <w:gridCol w:w="2070"/>
        <w:gridCol w:w="1386"/>
        <w:gridCol w:w="1386"/>
      </w:tblGrid>
      <w:tr w14:paraId="07639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79" w:hRule="atLeast"/>
        </w:trPr>
        <w:tc>
          <w:tcPr>
            <w:tcW w:w="549" w:type="dxa"/>
            <w:tcBorders>
              <w:top w:val="single" w:color="auto" w:sz="4" w:space="0"/>
              <w:left w:val="single" w:color="auto" w:sz="4" w:space="0"/>
            </w:tcBorders>
            <w:noWrap w:val="0"/>
            <w:vAlign w:val="center"/>
          </w:tcPr>
          <w:p w14:paraId="257DC19A">
            <w:pPr>
              <w:adjustRightInd w:val="0"/>
              <w:snapToGrid w:val="0"/>
              <w:ind w:right="23"/>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26" w:type="dxa"/>
            <w:tcBorders>
              <w:top w:val="single" w:color="auto" w:sz="4" w:space="0"/>
            </w:tcBorders>
            <w:noWrap w:val="0"/>
            <w:vAlign w:val="center"/>
          </w:tcPr>
          <w:p w14:paraId="202CBAFD">
            <w:pPr>
              <w:adjustRightInd w:val="0"/>
              <w:snapToGrid w:val="0"/>
              <w:ind w:right="23"/>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文件条目号</w:t>
            </w:r>
          </w:p>
        </w:tc>
        <w:tc>
          <w:tcPr>
            <w:tcW w:w="1981" w:type="dxa"/>
            <w:tcBorders>
              <w:top w:val="single" w:color="auto" w:sz="4" w:space="0"/>
            </w:tcBorders>
            <w:noWrap w:val="0"/>
            <w:vAlign w:val="center"/>
          </w:tcPr>
          <w:p w14:paraId="795BBA02">
            <w:pPr>
              <w:adjustRightInd w:val="0"/>
              <w:snapToGrid w:val="0"/>
              <w:ind w:right="23"/>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文件</w:t>
            </w:r>
            <w:r>
              <w:rPr>
                <w:rFonts w:hint="eastAsia" w:ascii="宋体" w:hAnsi="宋体" w:eastAsia="宋体" w:cs="宋体"/>
                <w:color w:val="auto"/>
                <w:szCs w:val="21"/>
                <w:highlight w:val="none"/>
                <w:lang w:val="en-US" w:eastAsia="zh-CN"/>
              </w:rPr>
              <w:t>商务</w:t>
            </w:r>
            <w:r>
              <w:rPr>
                <w:rFonts w:hint="eastAsia" w:ascii="宋体" w:hAnsi="宋体" w:eastAsia="宋体" w:cs="宋体"/>
                <w:color w:val="auto"/>
                <w:szCs w:val="21"/>
                <w:highlight w:val="none"/>
              </w:rPr>
              <w:t>要求</w:t>
            </w:r>
          </w:p>
        </w:tc>
        <w:tc>
          <w:tcPr>
            <w:tcW w:w="2070" w:type="dxa"/>
            <w:tcBorders>
              <w:top w:val="single" w:color="auto" w:sz="4" w:space="0"/>
            </w:tcBorders>
            <w:noWrap w:val="0"/>
            <w:vAlign w:val="center"/>
          </w:tcPr>
          <w:p w14:paraId="1681A395">
            <w:pPr>
              <w:adjustRightInd w:val="0"/>
              <w:snapToGrid w:val="0"/>
              <w:ind w:right="23"/>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磋商响应</w:t>
            </w:r>
            <w:r>
              <w:rPr>
                <w:rFonts w:hint="eastAsia" w:ascii="宋体" w:hAnsi="宋体" w:eastAsia="宋体" w:cs="宋体"/>
                <w:color w:val="auto"/>
                <w:szCs w:val="21"/>
                <w:highlight w:val="none"/>
              </w:rPr>
              <w:t>文件</w:t>
            </w:r>
          </w:p>
          <w:p w14:paraId="36A81EF8">
            <w:pPr>
              <w:adjustRightInd w:val="0"/>
              <w:snapToGrid w:val="0"/>
              <w:ind w:right="23"/>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商务</w:t>
            </w:r>
            <w:r>
              <w:rPr>
                <w:rFonts w:hint="eastAsia" w:ascii="宋体" w:hAnsi="宋体" w:eastAsia="宋体" w:cs="宋体"/>
                <w:color w:val="auto"/>
                <w:szCs w:val="21"/>
                <w:highlight w:val="none"/>
              </w:rPr>
              <w:t>响应</w:t>
            </w:r>
          </w:p>
        </w:tc>
        <w:tc>
          <w:tcPr>
            <w:tcW w:w="1386" w:type="dxa"/>
            <w:tcBorders>
              <w:top w:val="single" w:color="auto" w:sz="4" w:space="0"/>
            </w:tcBorders>
            <w:noWrap w:val="0"/>
            <w:vAlign w:val="center"/>
          </w:tcPr>
          <w:p w14:paraId="5E855DF9">
            <w:pPr>
              <w:adjustRightInd w:val="0"/>
              <w:snapToGrid w:val="0"/>
              <w:ind w:right="23"/>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偏离</w:t>
            </w:r>
            <w:r>
              <w:rPr>
                <w:rFonts w:hint="eastAsia" w:ascii="宋体" w:hAnsi="宋体" w:eastAsia="宋体" w:cs="宋体"/>
                <w:color w:val="auto"/>
                <w:szCs w:val="21"/>
                <w:highlight w:val="none"/>
                <w:lang w:val="en-US" w:eastAsia="zh-CN"/>
              </w:rPr>
              <w:t>情况</w:t>
            </w:r>
          </w:p>
        </w:tc>
        <w:tc>
          <w:tcPr>
            <w:tcW w:w="1386" w:type="dxa"/>
            <w:tcBorders>
              <w:top w:val="single" w:color="auto" w:sz="4" w:space="0"/>
              <w:right w:val="single" w:color="auto" w:sz="4" w:space="0"/>
            </w:tcBorders>
            <w:noWrap w:val="0"/>
            <w:vAlign w:val="center"/>
          </w:tcPr>
          <w:p w14:paraId="0B958299">
            <w:pPr>
              <w:adjustRightInd w:val="0"/>
              <w:snapToGrid w:val="0"/>
              <w:ind w:right="23"/>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偏差说明</w:t>
            </w:r>
          </w:p>
        </w:tc>
      </w:tr>
      <w:tr w14:paraId="7DA2E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49" w:type="dxa"/>
            <w:tcBorders>
              <w:left w:val="single" w:color="auto" w:sz="4" w:space="0"/>
            </w:tcBorders>
            <w:noWrap w:val="0"/>
            <w:vAlign w:val="top"/>
          </w:tcPr>
          <w:p w14:paraId="06F78507">
            <w:pPr>
              <w:adjustRightInd w:val="0"/>
              <w:snapToGrid w:val="0"/>
              <w:spacing w:line="360" w:lineRule="auto"/>
              <w:ind w:right="24"/>
              <w:rPr>
                <w:rFonts w:hint="eastAsia" w:ascii="宋体" w:hAnsi="宋体" w:eastAsia="宋体" w:cs="宋体"/>
                <w:bCs/>
                <w:color w:val="auto"/>
                <w:sz w:val="24"/>
                <w:highlight w:val="none"/>
              </w:rPr>
            </w:pPr>
          </w:p>
        </w:tc>
        <w:tc>
          <w:tcPr>
            <w:tcW w:w="1426" w:type="dxa"/>
            <w:noWrap w:val="0"/>
            <w:vAlign w:val="top"/>
          </w:tcPr>
          <w:p w14:paraId="7EFE68DB">
            <w:pPr>
              <w:adjustRightInd w:val="0"/>
              <w:snapToGrid w:val="0"/>
              <w:spacing w:line="360" w:lineRule="auto"/>
              <w:ind w:right="24"/>
              <w:rPr>
                <w:rFonts w:hint="eastAsia" w:ascii="宋体" w:hAnsi="宋体" w:eastAsia="宋体" w:cs="宋体"/>
                <w:bCs/>
                <w:color w:val="auto"/>
                <w:sz w:val="24"/>
                <w:highlight w:val="none"/>
              </w:rPr>
            </w:pPr>
          </w:p>
        </w:tc>
        <w:tc>
          <w:tcPr>
            <w:tcW w:w="1981" w:type="dxa"/>
            <w:noWrap w:val="0"/>
            <w:vAlign w:val="top"/>
          </w:tcPr>
          <w:p w14:paraId="090F8BA7">
            <w:pPr>
              <w:adjustRightInd w:val="0"/>
              <w:snapToGrid w:val="0"/>
              <w:spacing w:line="360" w:lineRule="auto"/>
              <w:ind w:right="24"/>
              <w:rPr>
                <w:rFonts w:hint="eastAsia" w:ascii="宋体" w:hAnsi="宋体" w:eastAsia="宋体" w:cs="宋体"/>
                <w:bCs/>
                <w:color w:val="auto"/>
                <w:sz w:val="24"/>
                <w:highlight w:val="none"/>
              </w:rPr>
            </w:pPr>
          </w:p>
        </w:tc>
        <w:tc>
          <w:tcPr>
            <w:tcW w:w="2070" w:type="dxa"/>
            <w:noWrap w:val="0"/>
            <w:vAlign w:val="top"/>
          </w:tcPr>
          <w:p w14:paraId="15128AD9">
            <w:pPr>
              <w:adjustRightInd w:val="0"/>
              <w:snapToGrid w:val="0"/>
              <w:spacing w:line="360" w:lineRule="auto"/>
              <w:ind w:right="24"/>
              <w:rPr>
                <w:rFonts w:hint="eastAsia" w:ascii="宋体" w:hAnsi="宋体" w:eastAsia="宋体" w:cs="宋体"/>
                <w:bCs/>
                <w:color w:val="auto"/>
                <w:sz w:val="24"/>
                <w:highlight w:val="none"/>
              </w:rPr>
            </w:pPr>
          </w:p>
        </w:tc>
        <w:tc>
          <w:tcPr>
            <w:tcW w:w="1386" w:type="dxa"/>
            <w:noWrap w:val="0"/>
            <w:vAlign w:val="top"/>
          </w:tcPr>
          <w:p w14:paraId="71F3A7BE">
            <w:pPr>
              <w:adjustRightInd w:val="0"/>
              <w:snapToGrid w:val="0"/>
              <w:spacing w:line="360" w:lineRule="auto"/>
              <w:ind w:right="24"/>
              <w:rPr>
                <w:rFonts w:hint="eastAsia" w:ascii="宋体" w:hAnsi="宋体" w:eastAsia="宋体" w:cs="宋体"/>
                <w:bCs/>
                <w:color w:val="auto"/>
                <w:sz w:val="24"/>
                <w:highlight w:val="none"/>
              </w:rPr>
            </w:pPr>
          </w:p>
        </w:tc>
        <w:tc>
          <w:tcPr>
            <w:tcW w:w="1386" w:type="dxa"/>
            <w:tcBorders>
              <w:right w:val="single" w:color="auto" w:sz="4" w:space="0"/>
            </w:tcBorders>
            <w:noWrap w:val="0"/>
            <w:vAlign w:val="top"/>
          </w:tcPr>
          <w:p w14:paraId="31C518C9">
            <w:pPr>
              <w:adjustRightInd w:val="0"/>
              <w:snapToGrid w:val="0"/>
              <w:spacing w:line="360" w:lineRule="auto"/>
              <w:ind w:right="24"/>
              <w:rPr>
                <w:rFonts w:hint="eastAsia" w:ascii="宋体" w:hAnsi="宋体" w:eastAsia="宋体" w:cs="宋体"/>
                <w:bCs/>
                <w:color w:val="auto"/>
                <w:sz w:val="24"/>
                <w:highlight w:val="none"/>
              </w:rPr>
            </w:pPr>
          </w:p>
        </w:tc>
      </w:tr>
      <w:tr w14:paraId="77CAB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49" w:type="dxa"/>
            <w:tcBorders>
              <w:left w:val="single" w:color="auto" w:sz="4" w:space="0"/>
            </w:tcBorders>
            <w:noWrap w:val="0"/>
            <w:vAlign w:val="top"/>
          </w:tcPr>
          <w:p w14:paraId="70B5CC49">
            <w:pPr>
              <w:adjustRightInd w:val="0"/>
              <w:snapToGrid w:val="0"/>
              <w:spacing w:line="360" w:lineRule="auto"/>
              <w:ind w:right="24"/>
              <w:rPr>
                <w:rFonts w:hint="eastAsia" w:ascii="宋体" w:hAnsi="宋体" w:eastAsia="宋体" w:cs="宋体"/>
                <w:bCs/>
                <w:color w:val="auto"/>
                <w:sz w:val="24"/>
                <w:highlight w:val="none"/>
              </w:rPr>
            </w:pPr>
          </w:p>
        </w:tc>
        <w:tc>
          <w:tcPr>
            <w:tcW w:w="1426" w:type="dxa"/>
            <w:noWrap w:val="0"/>
            <w:vAlign w:val="top"/>
          </w:tcPr>
          <w:p w14:paraId="284F877D">
            <w:pPr>
              <w:adjustRightInd w:val="0"/>
              <w:snapToGrid w:val="0"/>
              <w:spacing w:line="360" w:lineRule="auto"/>
              <w:ind w:right="24"/>
              <w:rPr>
                <w:rFonts w:hint="eastAsia" w:ascii="宋体" w:hAnsi="宋体" w:eastAsia="宋体" w:cs="宋体"/>
                <w:bCs/>
                <w:color w:val="auto"/>
                <w:sz w:val="24"/>
                <w:highlight w:val="none"/>
              </w:rPr>
            </w:pPr>
          </w:p>
        </w:tc>
        <w:tc>
          <w:tcPr>
            <w:tcW w:w="1981" w:type="dxa"/>
            <w:noWrap w:val="0"/>
            <w:vAlign w:val="top"/>
          </w:tcPr>
          <w:p w14:paraId="285DA4D4">
            <w:pPr>
              <w:adjustRightInd w:val="0"/>
              <w:snapToGrid w:val="0"/>
              <w:spacing w:line="360" w:lineRule="auto"/>
              <w:ind w:right="24"/>
              <w:rPr>
                <w:rFonts w:hint="eastAsia" w:ascii="宋体" w:hAnsi="宋体" w:eastAsia="宋体" w:cs="宋体"/>
                <w:bCs/>
                <w:color w:val="auto"/>
                <w:sz w:val="24"/>
                <w:highlight w:val="none"/>
              </w:rPr>
            </w:pPr>
          </w:p>
        </w:tc>
        <w:tc>
          <w:tcPr>
            <w:tcW w:w="2070" w:type="dxa"/>
            <w:noWrap w:val="0"/>
            <w:vAlign w:val="top"/>
          </w:tcPr>
          <w:p w14:paraId="643DCB9B">
            <w:pPr>
              <w:adjustRightInd w:val="0"/>
              <w:snapToGrid w:val="0"/>
              <w:spacing w:line="360" w:lineRule="auto"/>
              <w:ind w:right="24"/>
              <w:rPr>
                <w:rFonts w:hint="eastAsia" w:ascii="宋体" w:hAnsi="宋体" w:eastAsia="宋体" w:cs="宋体"/>
                <w:bCs/>
                <w:color w:val="auto"/>
                <w:sz w:val="24"/>
                <w:highlight w:val="none"/>
              </w:rPr>
            </w:pPr>
          </w:p>
        </w:tc>
        <w:tc>
          <w:tcPr>
            <w:tcW w:w="1386" w:type="dxa"/>
            <w:noWrap w:val="0"/>
            <w:vAlign w:val="top"/>
          </w:tcPr>
          <w:p w14:paraId="64E926D7">
            <w:pPr>
              <w:adjustRightInd w:val="0"/>
              <w:snapToGrid w:val="0"/>
              <w:spacing w:line="360" w:lineRule="auto"/>
              <w:ind w:right="24"/>
              <w:rPr>
                <w:rFonts w:hint="eastAsia" w:ascii="宋体" w:hAnsi="宋体" w:eastAsia="宋体" w:cs="宋体"/>
                <w:bCs/>
                <w:color w:val="auto"/>
                <w:sz w:val="24"/>
                <w:highlight w:val="none"/>
              </w:rPr>
            </w:pPr>
          </w:p>
        </w:tc>
        <w:tc>
          <w:tcPr>
            <w:tcW w:w="1386" w:type="dxa"/>
            <w:tcBorders>
              <w:right w:val="single" w:color="auto" w:sz="4" w:space="0"/>
            </w:tcBorders>
            <w:noWrap w:val="0"/>
            <w:vAlign w:val="top"/>
          </w:tcPr>
          <w:p w14:paraId="7E8595B6">
            <w:pPr>
              <w:adjustRightInd w:val="0"/>
              <w:snapToGrid w:val="0"/>
              <w:spacing w:line="360" w:lineRule="auto"/>
              <w:ind w:right="24"/>
              <w:rPr>
                <w:rFonts w:hint="eastAsia" w:ascii="宋体" w:hAnsi="宋体" w:eastAsia="宋体" w:cs="宋体"/>
                <w:bCs/>
                <w:color w:val="auto"/>
                <w:sz w:val="24"/>
                <w:highlight w:val="none"/>
              </w:rPr>
            </w:pPr>
          </w:p>
        </w:tc>
      </w:tr>
      <w:tr w14:paraId="53EEC1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49" w:type="dxa"/>
            <w:tcBorders>
              <w:left w:val="single" w:color="auto" w:sz="4" w:space="0"/>
            </w:tcBorders>
            <w:noWrap w:val="0"/>
            <w:vAlign w:val="top"/>
          </w:tcPr>
          <w:p w14:paraId="11AD6279">
            <w:pPr>
              <w:adjustRightInd w:val="0"/>
              <w:snapToGrid w:val="0"/>
              <w:spacing w:line="360" w:lineRule="auto"/>
              <w:ind w:right="24"/>
              <w:rPr>
                <w:rFonts w:hint="eastAsia" w:ascii="宋体" w:hAnsi="宋体" w:eastAsia="宋体" w:cs="宋体"/>
                <w:bCs/>
                <w:color w:val="auto"/>
                <w:sz w:val="24"/>
                <w:highlight w:val="none"/>
              </w:rPr>
            </w:pPr>
          </w:p>
        </w:tc>
        <w:tc>
          <w:tcPr>
            <w:tcW w:w="1426" w:type="dxa"/>
            <w:noWrap w:val="0"/>
            <w:vAlign w:val="top"/>
          </w:tcPr>
          <w:p w14:paraId="1431CEAD">
            <w:pPr>
              <w:adjustRightInd w:val="0"/>
              <w:snapToGrid w:val="0"/>
              <w:spacing w:line="360" w:lineRule="auto"/>
              <w:ind w:right="24"/>
              <w:rPr>
                <w:rFonts w:hint="eastAsia" w:ascii="宋体" w:hAnsi="宋体" w:eastAsia="宋体" w:cs="宋体"/>
                <w:bCs/>
                <w:color w:val="auto"/>
                <w:sz w:val="24"/>
                <w:highlight w:val="none"/>
              </w:rPr>
            </w:pPr>
          </w:p>
        </w:tc>
        <w:tc>
          <w:tcPr>
            <w:tcW w:w="1981" w:type="dxa"/>
            <w:noWrap w:val="0"/>
            <w:vAlign w:val="top"/>
          </w:tcPr>
          <w:p w14:paraId="7A13799D">
            <w:pPr>
              <w:adjustRightInd w:val="0"/>
              <w:snapToGrid w:val="0"/>
              <w:spacing w:line="360" w:lineRule="auto"/>
              <w:ind w:right="24"/>
              <w:rPr>
                <w:rFonts w:hint="eastAsia" w:ascii="宋体" w:hAnsi="宋体" w:eastAsia="宋体" w:cs="宋体"/>
                <w:bCs/>
                <w:color w:val="auto"/>
                <w:sz w:val="24"/>
                <w:highlight w:val="none"/>
              </w:rPr>
            </w:pPr>
          </w:p>
        </w:tc>
        <w:tc>
          <w:tcPr>
            <w:tcW w:w="2070" w:type="dxa"/>
            <w:noWrap w:val="0"/>
            <w:vAlign w:val="top"/>
          </w:tcPr>
          <w:p w14:paraId="70B2D8CE">
            <w:pPr>
              <w:adjustRightInd w:val="0"/>
              <w:snapToGrid w:val="0"/>
              <w:spacing w:line="360" w:lineRule="auto"/>
              <w:ind w:right="24"/>
              <w:rPr>
                <w:rFonts w:hint="eastAsia" w:ascii="宋体" w:hAnsi="宋体" w:eastAsia="宋体" w:cs="宋体"/>
                <w:bCs/>
                <w:color w:val="auto"/>
                <w:sz w:val="24"/>
                <w:highlight w:val="none"/>
              </w:rPr>
            </w:pPr>
          </w:p>
        </w:tc>
        <w:tc>
          <w:tcPr>
            <w:tcW w:w="1386" w:type="dxa"/>
            <w:noWrap w:val="0"/>
            <w:vAlign w:val="top"/>
          </w:tcPr>
          <w:p w14:paraId="73CF04F2">
            <w:pPr>
              <w:adjustRightInd w:val="0"/>
              <w:snapToGrid w:val="0"/>
              <w:spacing w:line="360" w:lineRule="auto"/>
              <w:ind w:right="24"/>
              <w:rPr>
                <w:rFonts w:hint="eastAsia" w:ascii="宋体" w:hAnsi="宋体" w:eastAsia="宋体" w:cs="宋体"/>
                <w:bCs/>
                <w:color w:val="auto"/>
                <w:sz w:val="24"/>
                <w:highlight w:val="none"/>
              </w:rPr>
            </w:pPr>
          </w:p>
        </w:tc>
        <w:tc>
          <w:tcPr>
            <w:tcW w:w="1386" w:type="dxa"/>
            <w:tcBorders>
              <w:right w:val="single" w:color="auto" w:sz="4" w:space="0"/>
            </w:tcBorders>
            <w:noWrap w:val="0"/>
            <w:vAlign w:val="top"/>
          </w:tcPr>
          <w:p w14:paraId="47B7024E">
            <w:pPr>
              <w:adjustRightInd w:val="0"/>
              <w:snapToGrid w:val="0"/>
              <w:spacing w:line="360" w:lineRule="auto"/>
              <w:ind w:right="24"/>
              <w:rPr>
                <w:rFonts w:hint="eastAsia" w:ascii="宋体" w:hAnsi="宋体" w:eastAsia="宋体" w:cs="宋体"/>
                <w:bCs/>
                <w:color w:val="auto"/>
                <w:sz w:val="24"/>
                <w:highlight w:val="none"/>
              </w:rPr>
            </w:pPr>
          </w:p>
        </w:tc>
      </w:tr>
      <w:tr w14:paraId="65B4D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49" w:type="dxa"/>
            <w:tcBorders>
              <w:left w:val="single" w:color="auto" w:sz="4" w:space="0"/>
            </w:tcBorders>
            <w:noWrap w:val="0"/>
            <w:vAlign w:val="top"/>
          </w:tcPr>
          <w:p w14:paraId="1A2344ED">
            <w:pPr>
              <w:adjustRightInd w:val="0"/>
              <w:snapToGrid w:val="0"/>
              <w:spacing w:line="360" w:lineRule="auto"/>
              <w:ind w:right="24"/>
              <w:rPr>
                <w:rFonts w:hint="eastAsia" w:ascii="宋体" w:hAnsi="宋体" w:eastAsia="宋体" w:cs="宋体"/>
                <w:bCs/>
                <w:color w:val="auto"/>
                <w:sz w:val="24"/>
                <w:highlight w:val="none"/>
              </w:rPr>
            </w:pPr>
          </w:p>
        </w:tc>
        <w:tc>
          <w:tcPr>
            <w:tcW w:w="1426" w:type="dxa"/>
            <w:noWrap w:val="0"/>
            <w:vAlign w:val="top"/>
          </w:tcPr>
          <w:p w14:paraId="38D55614">
            <w:pPr>
              <w:adjustRightInd w:val="0"/>
              <w:snapToGrid w:val="0"/>
              <w:spacing w:line="360" w:lineRule="auto"/>
              <w:ind w:right="24"/>
              <w:rPr>
                <w:rFonts w:hint="eastAsia" w:ascii="宋体" w:hAnsi="宋体" w:eastAsia="宋体" w:cs="宋体"/>
                <w:bCs/>
                <w:color w:val="auto"/>
                <w:sz w:val="24"/>
                <w:highlight w:val="none"/>
              </w:rPr>
            </w:pPr>
          </w:p>
        </w:tc>
        <w:tc>
          <w:tcPr>
            <w:tcW w:w="1981" w:type="dxa"/>
            <w:noWrap w:val="0"/>
            <w:vAlign w:val="top"/>
          </w:tcPr>
          <w:p w14:paraId="575E7E9F">
            <w:pPr>
              <w:adjustRightInd w:val="0"/>
              <w:snapToGrid w:val="0"/>
              <w:spacing w:line="360" w:lineRule="auto"/>
              <w:ind w:right="24"/>
              <w:rPr>
                <w:rFonts w:hint="eastAsia" w:ascii="宋体" w:hAnsi="宋体" w:eastAsia="宋体" w:cs="宋体"/>
                <w:bCs/>
                <w:color w:val="auto"/>
                <w:sz w:val="24"/>
                <w:highlight w:val="none"/>
              </w:rPr>
            </w:pPr>
          </w:p>
        </w:tc>
        <w:tc>
          <w:tcPr>
            <w:tcW w:w="2070" w:type="dxa"/>
            <w:noWrap w:val="0"/>
            <w:vAlign w:val="top"/>
          </w:tcPr>
          <w:p w14:paraId="0D58B528">
            <w:pPr>
              <w:adjustRightInd w:val="0"/>
              <w:snapToGrid w:val="0"/>
              <w:spacing w:line="360" w:lineRule="auto"/>
              <w:ind w:right="24"/>
              <w:rPr>
                <w:rFonts w:hint="eastAsia" w:ascii="宋体" w:hAnsi="宋体" w:eastAsia="宋体" w:cs="宋体"/>
                <w:bCs/>
                <w:color w:val="auto"/>
                <w:sz w:val="24"/>
                <w:highlight w:val="none"/>
              </w:rPr>
            </w:pPr>
          </w:p>
        </w:tc>
        <w:tc>
          <w:tcPr>
            <w:tcW w:w="1386" w:type="dxa"/>
            <w:noWrap w:val="0"/>
            <w:vAlign w:val="top"/>
          </w:tcPr>
          <w:p w14:paraId="5C0C48A4">
            <w:pPr>
              <w:adjustRightInd w:val="0"/>
              <w:snapToGrid w:val="0"/>
              <w:spacing w:line="360" w:lineRule="auto"/>
              <w:ind w:right="24"/>
              <w:rPr>
                <w:rFonts w:hint="eastAsia" w:ascii="宋体" w:hAnsi="宋体" w:eastAsia="宋体" w:cs="宋体"/>
                <w:bCs/>
                <w:color w:val="auto"/>
                <w:sz w:val="24"/>
                <w:highlight w:val="none"/>
              </w:rPr>
            </w:pPr>
          </w:p>
        </w:tc>
        <w:tc>
          <w:tcPr>
            <w:tcW w:w="1386" w:type="dxa"/>
            <w:tcBorders>
              <w:right w:val="single" w:color="auto" w:sz="4" w:space="0"/>
            </w:tcBorders>
            <w:noWrap w:val="0"/>
            <w:vAlign w:val="top"/>
          </w:tcPr>
          <w:p w14:paraId="633F992E">
            <w:pPr>
              <w:adjustRightInd w:val="0"/>
              <w:snapToGrid w:val="0"/>
              <w:spacing w:line="360" w:lineRule="auto"/>
              <w:ind w:right="24"/>
              <w:rPr>
                <w:rFonts w:hint="eastAsia" w:ascii="宋体" w:hAnsi="宋体" w:eastAsia="宋体" w:cs="宋体"/>
                <w:bCs/>
                <w:color w:val="auto"/>
                <w:sz w:val="24"/>
                <w:highlight w:val="none"/>
              </w:rPr>
            </w:pPr>
          </w:p>
        </w:tc>
      </w:tr>
      <w:tr w14:paraId="73206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49" w:type="dxa"/>
            <w:tcBorders>
              <w:left w:val="single" w:color="auto" w:sz="4" w:space="0"/>
            </w:tcBorders>
            <w:noWrap w:val="0"/>
            <w:vAlign w:val="top"/>
          </w:tcPr>
          <w:p w14:paraId="776CFF12">
            <w:pPr>
              <w:adjustRightInd w:val="0"/>
              <w:snapToGrid w:val="0"/>
              <w:spacing w:line="360" w:lineRule="auto"/>
              <w:ind w:right="24"/>
              <w:rPr>
                <w:rFonts w:hint="eastAsia" w:ascii="宋体" w:hAnsi="宋体" w:eastAsia="宋体" w:cs="宋体"/>
                <w:bCs/>
                <w:color w:val="auto"/>
                <w:sz w:val="24"/>
                <w:highlight w:val="none"/>
              </w:rPr>
            </w:pPr>
          </w:p>
        </w:tc>
        <w:tc>
          <w:tcPr>
            <w:tcW w:w="1426" w:type="dxa"/>
            <w:noWrap w:val="0"/>
            <w:vAlign w:val="top"/>
          </w:tcPr>
          <w:p w14:paraId="206D323D">
            <w:pPr>
              <w:adjustRightInd w:val="0"/>
              <w:snapToGrid w:val="0"/>
              <w:spacing w:line="360" w:lineRule="auto"/>
              <w:ind w:right="24"/>
              <w:rPr>
                <w:rFonts w:hint="eastAsia" w:ascii="宋体" w:hAnsi="宋体" w:eastAsia="宋体" w:cs="宋体"/>
                <w:bCs/>
                <w:color w:val="auto"/>
                <w:sz w:val="24"/>
                <w:highlight w:val="none"/>
              </w:rPr>
            </w:pPr>
          </w:p>
        </w:tc>
        <w:tc>
          <w:tcPr>
            <w:tcW w:w="1981" w:type="dxa"/>
            <w:noWrap w:val="0"/>
            <w:vAlign w:val="top"/>
          </w:tcPr>
          <w:p w14:paraId="21C8FC00">
            <w:pPr>
              <w:adjustRightInd w:val="0"/>
              <w:snapToGrid w:val="0"/>
              <w:spacing w:line="360" w:lineRule="auto"/>
              <w:ind w:right="24"/>
              <w:rPr>
                <w:rFonts w:hint="eastAsia" w:ascii="宋体" w:hAnsi="宋体" w:eastAsia="宋体" w:cs="宋体"/>
                <w:bCs/>
                <w:color w:val="auto"/>
                <w:sz w:val="24"/>
                <w:highlight w:val="none"/>
              </w:rPr>
            </w:pPr>
          </w:p>
        </w:tc>
        <w:tc>
          <w:tcPr>
            <w:tcW w:w="2070" w:type="dxa"/>
            <w:noWrap w:val="0"/>
            <w:vAlign w:val="top"/>
          </w:tcPr>
          <w:p w14:paraId="09003A2A">
            <w:pPr>
              <w:adjustRightInd w:val="0"/>
              <w:snapToGrid w:val="0"/>
              <w:spacing w:line="360" w:lineRule="auto"/>
              <w:ind w:right="24"/>
              <w:rPr>
                <w:rFonts w:hint="eastAsia" w:ascii="宋体" w:hAnsi="宋体" w:eastAsia="宋体" w:cs="宋体"/>
                <w:bCs/>
                <w:color w:val="auto"/>
                <w:sz w:val="24"/>
                <w:highlight w:val="none"/>
              </w:rPr>
            </w:pPr>
          </w:p>
        </w:tc>
        <w:tc>
          <w:tcPr>
            <w:tcW w:w="1386" w:type="dxa"/>
            <w:noWrap w:val="0"/>
            <w:vAlign w:val="top"/>
          </w:tcPr>
          <w:p w14:paraId="5DC8C24D">
            <w:pPr>
              <w:adjustRightInd w:val="0"/>
              <w:snapToGrid w:val="0"/>
              <w:spacing w:line="360" w:lineRule="auto"/>
              <w:ind w:right="24"/>
              <w:rPr>
                <w:rFonts w:hint="eastAsia" w:ascii="宋体" w:hAnsi="宋体" w:eastAsia="宋体" w:cs="宋体"/>
                <w:bCs/>
                <w:color w:val="auto"/>
                <w:sz w:val="24"/>
                <w:highlight w:val="none"/>
              </w:rPr>
            </w:pPr>
          </w:p>
        </w:tc>
        <w:tc>
          <w:tcPr>
            <w:tcW w:w="1386" w:type="dxa"/>
            <w:tcBorders>
              <w:right w:val="single" w:color="auto" w:sz="4" w:space="0"/>
            </w:tcBorders>
            <w:noWrap w:val="0"/>
            <w:vAlign w:val="top"/>
          </w:tcPr>
          <w:p w14:paraId="4DEFF443">
            <w:pPr>
              <w:adjustRightInd w:val="0"/>
              <w:snapToGrid w:val="0"/>
              <w:spacing w:line="360" w:lineRule="auto"/>
              <w:ind w:right="24"/>
              <w:rPr>
                <w:rFonts w:hint="eastAsia" w:ascii="宋体" w:hAnsi="宋体" w:eastAsia="宋体" w:cs="宋体"/>
                <w:bCs/>
                <w:color w:val="auto"/>
                <w:sz w:val="24"/>
                <w:highlight w:val="none"/>
              </w:rPr>
            </w:pPr>
          </w:p>
        </w:tc>
      </w:tr>
      <w:tr w14:paraId="2FCB4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49" w:type="dxa"/>
            <w:tcBorders>
              <w:left w:val="single" w:color="auto" w:sz="4" w:space="0"/>
            </w:tcBorders>
            <w:noWrap w:val="0"/>
            <w:vAlign w:val="top"/>
          </w:tcPr>
          <w:p w14:paraId="1EC2D0AF">
            <w:pPr>
              <w:adjustRightInd w:val="0"/>
              <w:snapToGrid w:val="0"/>
              <w:spacing w:line="360" w:lineRule="auto"/>
              <w:ind w:right="24"/>
              <w:rPr>
                <w:rFonts w:hint="eastAsia" w:ascii="宋体" w:hAnsi="宋体" w:eastAsia="宋体" w:cs="宋体"/>
                <w:bCs/>
                <w:color w:val="auto"/>
                <w:sz w:val="24"/>
                <w:highlight w:val="none"/>
              </w:rPr>
            </w:pPr>
          </w:p>
        </w:tc>
        <w:tc>
          <w:tcPr>
            <w:tcW w:w="1426" w:type="dxa"/>
            <w:noWrap w:val="0"/>
            <w:vAlign w:val="top"/>
          </w:tcPr>
          <w:p w14:paraId="0D7557BD">
            <w:pPr>
              <w:adjustRightInd w:val="0"/>
              <w:snapToGrid w:val="0"/>
              <w:spacing w:line="360" w:lineRule="auto"/>
              <w:ind w:right="24"/>
              <w:rPr>
                <w:rFonts w:hint="eastAsia" w:ascii="宋体" w:hAnsi="宋体" w:eastAsia="宋体" w:cs="宋体"/>
                <w:bCs/>
                <w:color w:val="auto"/>
                <w:sz w:val="24"/>
                <w:highlight w:val="none"/>
              </w:rPr>
            </w:pPr>
          </w:p>
        </w:tc>
        <w:tc>
          <w:tcPr>
            <w:tcW w:w="1981" w:type="dxa"/>
            <w:noWrap w:val="0"/>
            <w:vAlign w:val="top"/>
          </w:tcPr>
          <w:p w14:paraId="7A905977">
            <w:pPr>
              <w:adjustRightInd w:val="0"/>
              <w:snapToGrid w:val="0"/>
              <w:spacing w:line="360" w:lineRule="auto"/>
              <w:ind w:right="24"/>
              <w:rPr>
                <w:rFonts w:hint="eastAsia" w:ascii="宋体" w:hAnsi="宋体" w:eastAsia="宋体" w:cs="宋体"/>
                <w:bCs/>
                <w:color w:val="auto"/>
                <w:sz w:val="24"/>
                <w:highlight w:val="none"/>
              </w:rPr>
            </w:pPr>
          </w:p>
        </w:tc>
        <w:tc>
          <w:tcPr>
            <w:tcW w:w="2070" w:type="dxa"/>
            <w:noWrap w:val="0"/>
            <w:vAlign w:val="top"/>
          </w:tcPr>
          <w:p w14:paraId="4B72CEB8">
            <w:pPr>
              <w:adjustRightInd w:val="0"/>
              <w:snapToGrid w:val="0"/>
              <w:spacing w:line="360" w:lineRule="auto"/>
              <w:ind w:right="24"/>
              <w:rPr>
                <w:rFonts w:hint="eastAsia" w:ascii="宋体" w:hAnsi="宋体" w:eastAsia="宋体" w:cs="宋体"/>
                <w:bCs/>
                <w:color w:val="auto"/>
                <w:sz w:val="24"/>
                <w:highlight w:val="none"/>
              </w:rPr>
            </w:pPr>
          </w:p>
        </w:tc>
        <w:tc>
          <w:tcPr>
            <w:tcW w:w="1386" w:type="dxa"/>
            <w:noWrap w:val="0"/>
            <w:vAlign w:val="top"/>
          </w:tcPr>
          <w:p w14:paraId="3B9A63BE">
            <w:pPr>
              <w:adjustRightInd w:val="0"/>
              <w:snapToGrid w:val="0"/>
              <w:spacing w:line="360" w:lineRule="auto"/>
              <w:ind w:right="24"/>
              <w:rPr>
                <w:rFonts w:hint="eastAsia" w:ascii="宋体" w:hAnsi="宋体" w:eastAsia="宋体" w:cs="宋体"/>
                <w:bCs/>
                <w:color w:val="auto"/>
                <w:sz w:val="24"/>
                <w:highlight w:val="none"/>
              </w:rPr>
            </w:pPr>
          </w:p>
        </w:tc>
        <w:tc>
          <w:tcPr>
            <w:tcW w:w="1386" w:type="dxa"/>
            <w:tcBorders>
              <w:right w:val="single" w:color="auto" w:sz="4" w:space="0"/>
            </w:tcBorders>
            <w:noWrap w:val="0"/>
            <w:vAlign w:val="top"/>
          </w:tcPr>
          <w:p w14:paraId="738FD6A8">
            <w:pPr>
              <w:adjustRightInd w:val="0"/>
              <w:snapToGrid w:val="0"/>
              <w:spacing w:line="360" w:lineRule="auto"/>
              <w:ind w:right="24"/>
              <w:rPr>
                <w:rFonts w:hint="eastAsia" w:ascii="宋体" w:hAnsi="宋体" w:eastAsia="宋体" w:cs="宋体"/>
                <w:bCs/>
                <w:color w:val="auto"/>
                <w:sz w:val="24"/>
                <w:highlight w:val="none"/>
              </w:rPr>
            </w:pPr>
          </w:p>
        </w:tc>
      </w:tr>
      <w:tr w14:paraId="6374F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49" w:type="dxa"/>
            <w:tcBorders>
              <w:left w:val="single" w:color="auto" w:sz="4" w:space="0"/>
            </w:tcBorders>
            <w:noWrap w:val="0"/>
            <w:vAlign w:val="top"/>
          </w:tcPr>
          <w:p w14:paraId="28A71160">
            <w:pPr>
              <w:adjustRightInd w:val="0"/>
              <w:snapToGrid w:val="0"/>
              <w:spacing w:line="360" w:lineRule="auto"/>
              <w:ind w:right="24"/>
              <w:rPr>
                <w:rFonts w:hint="eastAsia" w:ascii="宋体" w:hAnsi="宋体" w:eastAsia="宋体" w:cs="宋体"/>
                <w:bCs/>
                <w:color w:val="auto"/>
                <w:sz w:val="24"/>
                <w:highlight w:val="none"/>
              </w:rPr>
            </w:pPr>
          </w:p>
        </w:tc>
        <w:tc>
          <w:tcPr>
            <w:tcW w:w="1426" w:type="dxa"/>
            <w:noWrap w:val="0"/>
            <w:vAlign w:val="top"/>
          </w:tcPr>
          <w:p w14:paraId="6033E8F0">
            <w:pPr>
              <w:adjustRightInd w:val="0"/>
              <w:snapToGrid w:val="0"/>
              <w:spacing w:line="360" w:lineRule="auto"/>
              <w:ind w:right="24"/>
              <w:rPr>
                <w:rFonts w:hint="eastAsia" w:ascii="宋体" w:hAnsi="宋体" w:eastAsia="宋体" w:cs="宋体"/>
                <w:bCs/>
                <w:color w:val="auto"/>
                <w:sz w:val="24"/>
                <w:highlight w:val="none"/>
              </w:rPr>
            </w:pPr>
          </w:p>
        </w:tc>
        <w:tc>
          <w:tcPr>
            <w:tcW w:w="1981" w:type="dxa"/>
            <w:noWrap w:val="0"/>
            <w:vAlign w:val="top"/>
          </w:tcPr>
          <w:p w14:paraId="1219D0BC">
            <w:pPr>
              <w:adjustRightInd w:val="0"/>
              <w:snapToGrid w:val="0"/>
              <w:spacing w:line="360" w:lineRule="auto"/>
              <w:ind w:right="24"/>
              <w:rPr>
                <w:rFonts w:hint="eastAsia" w:ascii="宋体" w:hAnsi="宋体" w:eastAsia="宋体" w:cs="宋体"/>
                <w:bCs/>
                <w:color w:val="auto"/>
                <w:sz w:val="24"/>
                <w:highlight w:val="none"/>
              </w:rPr>
            </w:pPr>
          </w:p>
        </w:tc>
        <w:tc>
          <w:tcPr>
            <w:tcW w:w="2070" w:type="dxa"/>
            <w:noWrap w:val="0"/>
            <w:vAlign w:val="top"/>
          </w:tcPr>
          <w:p w14:paraId="7EDA1D7D">
            <w:pPr>
              <w:adjustRightInd w:val="0"/>
              <w:snapToGrid w:val="0"/>
              <w:spacing w:line="360" w:lineRule="auto"/>
              <w:ind w:right="24"/>
              <w:rPr>
                <w:rFonts w:hint="eastAsia" w:ascii="宋体" w:hAnsi="宋体" w:eastAsia="宋体" w:cs="宋体"/>
                <w:bCs/>
                <w:color w:val="auto"/>
                <w:sz w:val="24"/>
                <w:highlight w:val="none"/>
              </w:rPr>
            </w:pPr>
          </w:p>
        </w:tc>
        <w:tc>
          <w:tcPr>
            <w:tcW w:w="1386" w:type="dxa"/>
            <w:noWrap w:val="0"/>
            <w:vAlign w:val="top"/>
          </w:tcPr>
          <w:p w14:paraId="2E102BC1">
            <w:pPr>
              <w:adjustRightInd w:val="0"/>
              <w:snapToGrid w:val="0"/>
              <w:spacing w:line="360" w:lineRule="auto"/>
              <w:ind w:right="24"/>
              <w:rPr>
                <w:rFonts w:hint="eastAsia" w:ascii="宋体" w:hAnsi="宋体" w:eastAsia="宋体" w:cs="宋体"/>
                <w:bCs/>
                <w:color w:val="auto"/>
                <w:sz w:val="24"/>
                <w:highlight w:val="none"/>
              </w:rPr>
            </w:pPr>
          </w:p>
        </w:tc>
        <w:tc>
          <w:tcPr>
            <w:tcW w:w="1386" w:type="dxa"/>
            <w:tcBorders>
              <w:right w:val="single" w:color="auto" w:sz="4" w:space="0"/>
            </w:tcBorders>
            <w:noWrap w:val="0"/>
            <w:vAlign w:val="top"/>
          </w:tcPr>
          <w:p w14:paraId="12D77542">
            <w:pPr>
              <w:adjustRightInd w:val="0"/>
              <w:snapToGrid w:val="0"/>
              <w:spacing w:line="360" w:lineRule="auto"/>
              <w:ind w:right="24"/>
              <w:rPr>
                <w:rFonts w:hint="eastAsia" w:ascii="宋体" w:hAnsi="宋体" w:eastAsia="宋体" w:cs="宋体"/>
                <w:bCs/>
                <w:color w:val="auto"/>
                <w:sz w:val="24"/>
                <w:highlight w:val="none"/>
              </w:rPr>
            </w:pPr>
          </w:p>
        </w:tc>
      </w:tr>
      <w:tr w14:paraId="503F6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49" w:type="dxa"/>
            <w:tcBorders>
              <w:left w:val="single" w:color="auto" w:sz="4" w:space="0"/>
            </w:tcBorders>
            <w:noWrap w:val="0"/>
            <w:vAlign w:val="top"/>
          </w:tcPr>
          <w:p w14:paraId="3A5F82F1">
            <w:pPr>
              <w:adjustRightInd w:val="0"/>
              <w:snapToGrid w:val="0"/>
              <w:spacing w:line="360" w:lineRule="auto"/>
              <w:ind w:right="24"/>
              <w:rPr>
                <w:rFonts w:hint="eastAsia" w:ascii="宋体" w:hAnsi="宋体" w:eastAsia="宋体" w:cs="宋体"/>
                <w:bCs/>
                <w:color w:val="auto"/>
                <w:sz w:val="24"/>
                <w:highlight w:val="none"/>
              </w:rPr>
            </w:pPr>
          </w:p>
        </w:tc>
        <w:tc>
          <w:tcPr>
            <w:tcW w:w="1426" w:type="dxa"/>
            <w:noWrap w:val="0"/>
            <w:vAlign w:val="top"/>
          </w:tcPr>
          <w:p w14:paraId="1D3CFE56">
            <w:pPr>
              <w:adjustRightInd w:val="0"/>
              <w:snapToGrid w:val="0"/>
              <w:spacing w:line="360" w:lineRule="auto"/>
              <w:ind w:right="24"/>
              <w:rPr>
                <w:rFonts w:hint="eastAsia" w:ascii="宋体" w:hAnsi="宋体" w:eastAsia="宋体" w:cs="宋体"/>
                <w:bCs/>
                <w:color w:val="auto"/>
                <w:sz w:val="24"/>
                <w:highlight w:val="none"/>
              </w:rPr>
            </w:pPr>
          </w:p>
        </w:tc>
        <w:tc>
          <w:tcPr>
            <w:tcW w:w="1981" w:type="dxa"/>
            <w:noWrap w:val="0"/>
            <w:vAlign w:val="top"/>
          </w:tcPr>
          <w:p w14:paraId="1F3E22FD">
            <w:pPr>
              <w:adjustRightInd w:val="0"/>
              <w:snapToGrid w:val="0"/>
              <w:spacing w:line="360" w:lineRule="auto"/>
              <w:ind w:right="24"/>
              <w:rPr>
                <w:rFonts w:hint="eastAsia" w:ascii="宋体" w:hAnsi="宋体" w:eastAsia="宋体" w:cs="宋体"/>
                <w:bCs/>
                <w:color w:val="auto"/>
                <w:sz w:val="24"/>
                <w:highlight w:val="none"/>
              </w:rPr>
            </w:pPr>
          </w:p>
        </w:tc>
        <w:tc>
          <w:tcPr>
            <w:tcW w:w="2070" w:type="dxa"/>
            <w:noWrap w:val="0"/>
            <w:vAlign w:val="top"/>
          </w:tcPr>
          <w:p w14:paraId="4FF7AFC2">
            <w:pPr>
              <w:adjustRightInd w:val="0"/>
              <w:snapToGrid w:val="0"/>
              <w:spacing w:line="360" w:lineRule="auto"/>
              <w:ind w:right="24"/>
              <w:rPr>
                <w:rFonts w:hint="eastAsia" w:ascii="宋体" w:hAnsi="宋体" w:eastAsia="宋体" w:cs="宋体"/>
                <w:bCs/>
                <w:color w:val="auto"/>
                <w:sz w:val="24"/>
                <w:highlight w:val="none"/>
              </w:rPr>
            </w:pPr>
          </w:p>
        </w:tc>
        <w:tc>
          <w:tcPr>
            <w:tcW w:w="1386" w:type="dxa"/>
            <w:noWrap w:val="0"/>
            <w:vAlign w:val="top"/>
          </w:tcPr>
          <w:p w14:paraId="5EF15E57">
            <w:pPr>
              <w:adjustRightInd w:val="0"/>
              <w:snapToGrid w:val="0"/>
              <w:spacing w:line="360" w:lineRule="auto"/>
              <w:ind w:right="24"/>
              <w:rPr>
                <w:rFonts w:hint="eastAsia" w:ascii="宋体" w:hAnsi="宋体" w:eastAsia="宋体" w:cs="宋体"/>
                <w:bCs/>
                <w:color w:val="auto"/>
                <w:sz w:val="24"/>
                <w:highlight w:val="none"/>
              </w:rPr>
            </w:pPr>
          </w:p>
        </w:tc>
        <w:tc>
          <w:tcPr>
            <w:tcW w:w="1386" w:type="dxa"/>
            <w:tcBorders>
              <w:right w:val="single" w:color="auto" w:sz="4" w:space="0"/>
            </w:tcBorders>
            <w:noWrap w:val="0"/>
            <w:vAlign w:val="top"/>
          </w:tcPr>
          <w:p w14:paraId="0B1F1729">
            <w:pPr>
              <w:adjustRightInd w:val="0"/>
              <w:snapToGrid w:val="0"/>
              <w:spacing w:line="360" w:lineRule="auto"/>
              <w:ind w:right="24"/>
              <w:rPr>
                <w:rFonts w:hint="eastAsia" w:ascii="宋体" w:hAnsi="宋体" w:eastAsia="宋体" w:cs="宋体"/>
                <w:bCs/>
                <w:color w:val="auto"/>
                <w:sz w:val="24"/>
                <w:highlight w:val="none"/>
              </w:rPr>
            </w:pPr>
          </w:p>
        </w:tc>
      </w:tr>
      <w:tr w14:paraId="4BD4D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49" w:type="dxa"/>
            <w:tcBorders>
              <w:left w:val="single" w:color="auto" w:sz="4" w:space="0"/>
            </w:tcBorders>
            <w:noWrap w:val="0"/>
            <w:vAlign w:val="top"/>
          </w:tcPr>
          <w:p w14:paraId="6EC220D5">
            <w:pPr>
              <w:adjustRightInd w:val="0"/>
              <w:snapToGrid w:val="0"/>
              <w:spacing w:line="360" w:lineRule="auto"/>
              <w:ind w:right="24"/>
              <w:rPr>
                <w:rFonts w:hint="eastAsia" w:ascii="宋体" w:hAnsi="宋体" w:eastAsia="宋体" w:cs="宋体"/>
                <w:bCs/>
                <w:color w:val="auto"/>
                <w:sz w:val="24"/>
                <w:highlight w:val="none"/>
              </w:rPr>
            </w:pPr>
          </w:p>
        </w:tc>
        <w:tc>
          <w:tcPr>
            <w:tcW w:w="1426" w:type="dxa"/>
            <w:noWrap w:val="0"/>
            <w:vAlign w:val="top"/>
          </w:tcPr>
          <w:p w14:paraId="070D7905">
            <w:pPr>
              <w:adjustRightInd w:val="0"/>
              <w:snapToGrid w:val="0"/>
              <w:spacing w:line="360" w:lineRule="auto"/>
              <w:ind w:right="24"/>
              <w:rPr>
                <w:rFonts w:hint="eastAsia" w:ascii="宋体" w:hAnsi="宋体" w:eastAsia="宋体" w:cs="宋体"/>
                <w:bCs/>
                <w:color w:val="auto"/>
                <w:sz w:val="24"/>
                <w:highlight w:val="none"/>
              </w:rPr>
            </w:pPr>
          </w:p>
        </w:tc>
        <w:tc>
          <w:tcPr>
            <w:tcW w:w="1981" w:type="dxa"/>
            <w:noWrap w:val="0"/>
            <w:vAlign w:val="top"/>
          </w:tcPr>
          <w:p w14:paraId="442DB9C1">
            <w:pPr>
              <w:adjustRightInd w:val="0"/>
              <w:snapToGrid w:val="0"/>
              <w:spacing w:line="360" w:lineRule="auto"/>
              <w:ind w:right="24"/>
              <w:rPr>
                <w:rFonts w:hint="eastAsia" w:ascii="宋体" w:hAnsi="宋体" w:eastAsia="宋体" w:cs="宋体"/>
                <w:bCs/>
                <w:color w:val="auto"/>
                <w:sz w:val="24"/>
                <w:highlight w:val="none"/>
              </w:rPr>
            </w:pPr>
          </w:p>
        </w:tc>
        <w:tc>
          <w:tcPr>
            <w:tcW w:w="2070" w:type="dxa"/>
            <w:noWrap w:val="0"/>
            <w:vAlign w:val="top"/>
          </w:tcPr>
          <w:p w14:paraId="289CD0E3">
            <w:pPr>
              <w:adjustRightInd w:val="0"/>
              <w:snapToGrid w:val="0"/>
              <w:spacing w:line="360" w:lineRule="auto"/>
              <w:ind w:right="24"/>
              <w:rPr>
                <w:rFonts w:hint="eastAsia" w:ascii="宋体" w:hAnsi="宋体" w:eastAsia="宋体" w:cs="宋体"/>
                <w:bCs/>
                <w:color w:val="auto"/>
                <w:sz w:val="24"/>
                <w:highlight w:val="none"/>
              </w:rPr>
            </w:pPr>
          </w:p>
        </w:tc>
        <w:tc>
          <w:tcPr>
            <w:tcW w:w="1386" w:type="dxa"/>
            <w:noWrap w:val="0"/>
            <w:vAlign w:val="top"/>
          </w:tcPr>
          <w:p w14:paraId="26715D9E">
            <w:pPr>
              <w:adjustRightInd w:val="0"/>
              <w:snapToGrid w:val="0"/>
              <w:spacing w:line="360" w:lineRule="auto"/>
              <w:ind w:right="24"/>
              <w:rPr>
                <w:rFonts w:hint="eastAsia" w:ascii="宋体" w:hAnsi="宋体" w:eastAsia="宋体" w:cs="宋体"/>
                <w:bCs/>
                <w:color w:val="auto"/>
                <w:sz w:val="24"/>
                <w:highlight w:val="none"/>
              </w:rPr>
            </w:pPr>
          </w:p>
        </w:tc>
        <w:tc>
          <w:tcPr>
            <w:tcW w:w="1386" w:type="dxa"/>
            <w:tcBorders>
              <w:right w:val="single" w:color="auto" w:sz="4" w:space="0"/>
            </w:tcBorders>
            <w:noWrap w:val="0"/>
            <w:vAlign w:val="top"/>
          </w:tcPr>
          <w:p w14:paraId="21C0DA6A">
            <w:pPr>
              <w:adjustRightInd w:val="0"/>
              <w:snapToGrid w:val="0"/>
              <w:spacing w:line="360" w:lineRule="auto"/>
              <w:ind w:right="24"/>
              <w:rPr>
                <w:rFonts w:hint="eastAsia" w:ascii="宋体" w:hAnsi="宋体" w:eastAsia="宋体" w:cs="宋体"/>
                <w:bCs/>
                <w:color w:val="auto"/>
                <w:sz w:val="24"/>
                <w:highlight w:val="none"/>
              </w:rPr>
            </w:pPr>
          </w:p>
        </w:tc>
      </w:tr>
      <w:tr w14:paraId="2816B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9" w:type="dxa"/>
            <w:tcBorders>
              <w:left w:val="single" w:color="auto" w:sz="4" w:space="0"/>
              <w:bottom w:val="single" w:color="auto" w:sz="4" w:space="0"/>
            </w:tcBorders>
            <w:noWrap w:val="0"/>
            <w:vAlign w:val="top"/>
          </w:tcPr>
          <w:p w14:paraId="61BE0AE9">
            <w:pPr>
              <w:adjustRightInd w:val="0"/>
              <w:snapToGrid w:val="0"/>
              <w:spacing w:line="360" w:lineRule="auto"/>
              <w:ind w:right="24"/>
              <w:rPr>
                <w:rFonts w:hint="eastAsia" w:ascii="宋体" w:hAnsi="宋体" w:eastAsia="宋体" w:cs="宋体"/>
                <w:bCs/>
                <w:color w:val="auto"/>
                <w:sz w:val="24"/>
                <w:highlight w:val="none"/>
              </w:rPr>
            </w:pPr>
          </w:p>
        </w:tc>
        <w:tc>
          <w:tcPr>
            <w:tcW w:w="1426" w:type="dxa"/>
            <w:tcBorders>
              <w:bottom w:val="single" w:color="auto" w:sz="4" w:space="0"/>
            </w:tcBorders>
            <w:noWrap w:val="0"/>
            <w:vAlign w:val="top"/>
          </w:tcPr>
          <w:p w14:paraId="327E657C">
            <w:pPr>
              <w:adjustRightInd w:val="0"/>
              <w:snapToGrid w:val="0"/>
              <w:spacing w:line="360" w:lineRule="auto"/>
              <w:ind w:right="24"/>
              <w:rPr>
                <w:rFonts w:hint="eastAsia" w:ascii="宋体" w:hAnsi="宋体" w:eastAsia="宋体" w:cs="宋体"/>
                <w:bCs/>
                <w:color w:val="auto"/>
                <w:sz w:val="24"/>
                <w:highlight w:val="none"/>
              </w:rPr>
            </w:pPr>
          </w:p>
        </w:tc>
        <w:tc>
          <w:tcPr>
            <w:tcW w:w="1981" w:type="dxa"/>
            <w:tcBorders>
              <w:bottom w:val="single" w:color="auto" w:sz="4" w:space="0"/>
            </w:tcBorders>
            <w:noWrap w:val="0"/>
            <w:vAlign w:val="top"/>
          </w:tcPr>
          <w:p w14:paraId="78473298">
            <w:pPr>
              <w:adjustRightInd w:val="0"/>
              <w:snapToGrid w:val="0"/>
              <w:spacing w:line="360" w:lineRule="auto"/>
              <w:ind w:right="24"/>
              <w:rPr>
                <w:rFonts w:hint="eastAsia" w:ascii="宋体" w:hAnsi="宋体" w:eastAsia="宋体" w:cs="宋体"/>
                <w:bCs/>
                <w:color w:val="auto"/>
                <w:sz w:val="24"/>
                <w:highlight w:val="none"/>
              </w:rPr>
            </w:pPr>
          </w:p>
        </w:tc>
        <w:tc>
          <w:tcPr>
            <w:tcW w:w="2070" w:type="dxa"/>
            <w:tcBorders>
              <w:bottom w:val="single" w:color="auto" w:sz="4" w:space="0"/>
            </w:tcBorders>
            <w:noWrap w:val="0"/>
            <w:vAlign w:val="top"/>
          </w:tcPr>
          <w:p w14:paraId="71B568AE">
            <w:pPr>
              <w:adjustRightInd w:val="0"/>
              <w:snapToGrid w:val="0"/>
              <w:spacing w:line="360" w:lineRule="auto"/>
              <w:ind w:right="24"/>
              <w:rPr>
                <w:rFonts w:hint="eastAsia" w:ascii="宋体" w:hAnsi="宋体" w:eastAsia="宋体" w:cs="宋体"/>
                <w:bCs/>
                <w:color w:val="auto"/>
                <w:sz w:val="24"/>
                <w:highlight w:val="none"/>
              </w:rPr>
            </w:pPr>
          </w:p>
        </w:tc>
        <w:tc>
          <w:tcPr>
            <w:tcW w:w="1386" w:type="dxa"/>
            <w:tcBorders>
              <w:bottom w:val="single" w:color="auto" w:sz="4" w:space="0"/>
            </w:tcBorders>
            <w:noWrap w:val="0"/>
            <w:vAlign w:val="top"/>
          </w:tcPr>
          <w:p w14:paraId="4F7AE0D8">
            <w:pPr>
              <w:adjustRightInd w:val="0"/>
              <w:snapToGrid w:val="0"/>
              <w:spacing w:line="360" w:lineRule="auto"/>
              <w:ind w:right="24"/>
              <w:rPr>
                <w:rFonts w:hint="eastAsia" w:ascii="宋体" w:hAnsi="宋体" w:eastAsia="宋体" w:cs="宋体"/>
                <w:bCs/>
                <w:color w:val="auto"/>
                <w:sz w:val="24"/>
                <w:highlight w:val="none"/>
              </w:rPr>
            </w:pPr>
          </w:p>
        </w:tc>
        <w:tc>
          <w:tcPr>
            <w:tcW w:w="1386" w:type="dxa"/>
            <w:tcBorders>
              <w:bottom w:val="single" w:color="auto" w:sz="4" w:space="0"/>
              <w:right w:val="single" w:color="auto" w:sz="4" w:space="0"/>
            </w:tcBorders>
            <w:noWrap w:val="0"/>
            <w:vAlign w:val="top"/>
          </w:tcPr>
          <w:p w14:paraId="67AE03B1">
            <w:pPr>
              <w:adjustRightInd w:val="0"/>
              <w:snapToGrid w:val="0"/>
              <w:spacing w:line="360" w:lineRule="auto"/>
              <w:ind w:right="24"/>
              <w:rPr>
                <w:rFonts w:hint="eastAsia" w:ascii="宋体" w:hAnsi="宋体" w:eastAsia="宋体" w:cs="宋体"/>
                <w:bCs/>
                <w:color w:val="auto"/>
                <w:sz w:val="24"/>
                <w:highlight w:val="none"/>
              </w:rPr>
            </w:pPr>
          </w:p>
        </w:tc>
      </w:tr>
    </w:tbl>
    <w:p w14:paraId="5BD9C60E">
      <w:pPr>
        <w:spacing w:line="360" w:lineRule="auto"/>
        <w:ind w:firstLine="411" w:firstLineChars="196"/>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说明：</w:t>
      </w:r>
    </w:p>
    <w:p w14:paraId="12A6B08E">
      <w:pPr>
        <w:spacing w:line="360" w:lineRule="auto"/>
        <w:ind w:firstLine="411" w:firstLineChars="196"/>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1.本表只填写与磋商文件有偏离（包括正偏离和负偏离）的内容，与磋商文件要求完全一致的，可不用在此表中列出，但必须</w:t>
      </w:r>
      <w:r>
        <w:rPr>
          <w:rFonts w:hint="eastAsia" w:ascii="宋体" w:hAnsi="宋体" w:cs="宋体"/>
          <w:color w:val="auto"/>
          <w:szCs w:val="21"/>
          <w:highlight w:val="none"/>
          <w:lang w:val="en-US" w:eastAsia="zh-CN"/>
        </w:rPr>
        <w:t>盖章</w:t>
      </w:r>
      <w:r>
        <w:rPr>
          <w:rFonts w:hint="eastAsia" w:ascii="宋体" w:hAnsi="宋体" w:eastAsia="宋体" w:cs="宋体"/>
          <w:color w:val="auto"/>
          <w:szCs w:val="21"/>
          <w:highlight w:val="none"/>
          <w:lang w:val="en-US" w:eastAsia="zh-CN"/>
        </w:rPr>
        <w:t xml:space="preserve">提交空白表。正偏离（优于时）须提供佐证资料。 </w:t>
      </w:r>
    </w:p>
    <w:p w14:paraId="42D0E720">
      <w:pPr>
        <w:spacing w:line="360" w:lineRule="auto"/>
        <w:ind w:firstLine="411" w:firstLineChars="196"/>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2.供应商必须据实填写，不得虚假响应，否则将取消其磋商或成交资格，并按有关规定追究其相应责任并进行处罚。</w:t>
      </w:r>
    </w:p>
    <w:p w14:paraId="2D04697F">
      <w:pPr>
        <w:spacing w:line="360" w:lineRule="auto"/>
        <w:ind w:firstLine="411" w:firstLineChars="196"/>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3.表格不够用，各供应商可按此表复制。</w:t>
      </w:r>
    </w:p>
    <w:p w14:paraId="04DB5206">
      <w:pPr>
        <w:pStyle w:val="25"/>
        <w:ind w:left="0" w:leftChars="0" w:firstLine="0" w:firstLineChars="0"/>
        <w:rPr>
          <w:rFonts w:hint="eastAsia" w:ascii="宋体" w:hAnsi="宋体" w:eastAsia="宋体" w:cs="宋体"/>
          <w:color w:val="auto"/>
          <w:sz w:val="24"/>
          <w:highlight w:val="none"/>
        </w:rPr>
      </w:pPr>
    </w:p>
    <w:p w14:paraId="72DB5AFB">
      <w:pPr>
        <w:spacing w:line="600" w:lineRule="auto"/>
        <w:ind w:firstLine="2940" w:firstLineChars="1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供应商名称</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单位全称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（盖章）</w:t>
      </w:r>
    </w:p>
    <w:p w14:paraId="4D64F712">
      <w:pPr>
        <w:spacing w:line="600" w:lineRule="auto"/>
        <w:ind w:firstLine="2940" w:firstLineChars="1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法定代表人或被授权人：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(签字或盖章)</w:t>
      </w:r>
    </w:p>
    <w:p w14:paraId="6B9ACA01">
      <w:pPr>
        <w:spacing w:line="600" w:lineRule="auto"/>
        <w:ind w:firstLine="2940" w:firstLineChars="14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6B91587">
      <w:pPr>
        <w:spacing w:line="360" w:lineRule="auto"/>
        <w:ind w:right="240" w:firstLine="4725" w:firstLineChars="2250"/>
        <w:rPr>
          <w:rFonts w:hint="eastAsia" w:ascii="宋体" w:hAnsi="宋体" w:eastAsia="宋体" w:cs="宋体"/>
          <w:color w:val="auto"/>
          <w:szCs w:val="21"/>
          <w:highlight w:val="none"/>
        </w:rPr>
      </w:pPr>
    </w:p>
    <w:p w14:paraId="629DE8A2">
      <w:pPr>
        <w:jc w:val="center"/>
        <w:rPr>
          <w:rFonts w:hint="eastAsia" w:ascii="宋体" w:hAnsi="宋体" w:eastAsia="宋体" w:cs="宋体"/>
          <w:b/>
          <w:color w:val="auto"/>
          <w:sz w:val="18"/>
          <w:szCs w:val="18"/>
          <w:highlight w:val="none"/>
        </w:rPr>
      </w:pPr>
      <w:r>
        <w:rPr>
          <w:rFonts w:hint="eastAsia" w:ascii="宋体" w:hAnsi="宋体" w:eastAsia="宋体" w:cs="宋体"/>
          <w:b/>
          <w:color w:val="auto"/>
          <w:sz w:val="28"/>
          <w:szCs w:val="28"/>
          <w:highlight w:val="none"/>
        </w:rPr>
        <w:t>第</w:t>
      </w:r>
      <w:r>
        <w:rPr>
          <w:rFonts w:hint="eastAsia" w:ascii="宋体" w:hAnsi="宋体" w:eastAsia="宋体" w:cs="宋体"/>
          <w:b/>
          <w:color w:val="auto"/>
          <w:sz w:val="28"/>
          <w:szCs w:val="28"/>
          <w:highlight w:val="none"/>
          <w:lang w:val="en-US" w:eastAsia="zh-CN"/>
        </w:rPr>
        <w:t>四</w:t>
      </w:r>
      <w:r>
        <w:rPr>
          <w:rFonts w:hint="eastAsia" w:ascii="宋体" w:hAnsi="宋体" w:eastAsia="宋体" w:cs="宋体"/>
          <w:b/>
          <w:color w:val="auto"/>
          <w:sz w:val="28"/>
          <w:szCs w:val="28"/>
          <w:highlight w:val="none"/>
        </w:rPr>
        <w:t>部分  供应商证明资料</w:t>
      </w:r>
    </w:p>
    <w:p w14:paraId="020BDB67">
      <w:pPr>
        <w:spacing w:line="480" w:lineRule="auto"/>
        <w:jc w:val="both"/>
        <w:rPr>
          <w:rFonts w:hint="eastAsia" w:ascii="宋体" w:hAnsi="宋体" w:eastAsia="宋体" w:cs="宋体"/>
          <w:color w:val="auto"/>
          <w:sz w:val="21"/>
          <w:szCs w:val="21"/>
          <w:highlight w:val="none"/>
          <w:lang w:eastAsia="zh-CN"/>
        </w:rPr>
      </w:pPr>
    </w:p>
    <w:p w14:paraId="39FC04E2">
      <w:pPr>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参加</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时提供的资格证明资料如下：</w:t>
      </w:r>
    </w:p>
    <w:p w14:paraId="58553D85">
      <w:pPr>
        <w:numPr>
          <w:ilvl w:val="0"/>
          <w:numId w:val="9"/>
        </w:numPr>
        <w:spacing w:line="440" w:lineRule="exact"/>
        <w:ind w:left="0" w:firstLine="420" w:firstLineChars="200"/>
        <w:jc w:val="left"/>
        <w:rPr>
          <w:rFonts w:hint="eastAsia" w:ascii="宋体" w:hAnsi="宋体" w:eastAsia="宋体" w:cs="宋体"/>
          <w:b w:val="0"/>
          <w:bCs w:val="0"/>
          <w:color w:val="auto"/>
          <w:sz w:val="21"/>
          <w:szCs w:val="21"/>
          <w:highlight w:val="none"/>
          <w:lang w:val="en-US" w:eastAsia="zh-CN"/>
        </w:rPr>
      </w:pPr>
      <w:bookmarkStart w:id="54" w:name="_GoBack"/>
      <w:r>
        <w:rPr>
          <w:rFonts w:hint="eastAsia" w:ascii="宋体" w:hAnsi="宋体" w:eastAsia="宋体" w:cs="宋体"/>
          <w:b w:val="0"/>
          <w:bCs w:val="0"/>
          <w:color w:val="auto"/>
          <w:sz w:val="21"/>
          <w:szCs w:val="21"/>
          <w:highlight w:val="none"/>
          <w:lang w:val="en-US" w:eastAsia="zh-CN"/>
        </w:rPr>
        <w:t>供应商应为具备独立承担民事责任能力的法人、其他组织</w:t>
      </w:r>
      <w:r>
        <w:rPr>
          <w:rFonts w:hint="eastAsia" w:ascii="宋体" w:hAnsi="宋体" w:cs="宋体"/>
          <w:b w:val="0"/>
          <w:bCs w:val="0"/>
          <w:color w:val="auto"/>
          <w:sz w:val="21"/>
          <w:szCs w:val="21"/>
          <w:highlight w:val="none"/>
          <w:lang w:val="en-US" w:eastAsia="zh-CN"/>
        </w:rPr>
        <w:t>或自然人</w:t>
      </w:r>
      <w:r>
        <w:rPr>
          <w:rFonts w:hint="eastAsia" w:ascii="宋体" w:hAnsi="宋体" w:eastAsia="宋体" w:cs="宋体"/>
          <w:b w:val="0"/>
          <w:bCs w:val="0"/>
          <w:color w:val="auto"/>
          <w:sz w:val="21"/>
          <w:szCs w:val="21"/>
          <w:highlight w:val="none"/>
          <w:lang w:val="en-US" w:eastAsia="zh-CN"/>
        </w:rPr>
        <w:t>，须提供合法有效的营业执照或事业单位法人证书</w:t>
      </w:r>
      <w:r>
        <w:rPr>
          <w:rFonts w:hint="eastAsia" w:ascii="宋体" w:hAnsi="宋体" w:cs="宋体"/>
          <w:b w:val="0"/>
          <w:bCs w:val="0"/>
          <w:color w:val="auto"/>
          <w:sz w:val="21"/>
          <w:szCs w:val="21"/>
          <w:highlight w:val="none"/>
          <w:lang w:val="en-US" w:eastAsia="zh-CN"/>
        </w:rPr>
        <w:t>或自然人身份证</w:t>
      </w:r>
      <w:r>
        <w:rPr>
          <w:rFonts w:hint="eastAsia" w:ascii="宋体" w:hAnsi="宋体" w:eastAsia="宋体" w:cs="宋体"/>
          <w:b w:val="0"/>
          <w:bCs w:val="0"/>
          <w:color w:val="auto"/>
          <w:sz w:val="21"/>
          <w:szCs w:val="21"/>
          <w:highlight w:val="none"/>
          <w:lang w:val="en-US" w:eastAsia="zh-CN"/>
        </w:rPr>
        <w:t>等证明资料；</w:t>
      </w:r>
    </w:p>
    <w:p w14:paraId="2EC50193">
      <w:pPr>
        <w:numPr>
          <w:ilvl w:val="0"/>
          <w:numId w:val="9"/>
        </w:numPr>
        <w:spacing w:line="440" w:lineRule="exact"/>
        <w:ind w:left="0"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供应商须提供2024年度经审计的财务报告（成立时间至提交投标文件截止时间不足一年的可提供成立后任意时段的资产负债表），或投标截止时间前六个月内基本开户银行出具的资信证明及其基本存款账户开户许可证（无基本存款账户开户许可证可提供其基本存款账户信息证明）；（以上两种形式的资料提供任何一种即可）</w:t>
      </w:r>
      <w:r>
        <w:rPr>
          <w:rFonts w:hint="eastAsia" w:ascii="宋体" w:hAnsi="宋体" w:cs="宋体"/>
          <w:b w:val="0"/>
          <w:bCs w:val="0"/>
          <w:color w:val="auto"/>
          <w:sz w:val="21"/>
          <w:szCs w:val="21"/>
          <w:highlight w:val="none"/>
          <w:lang w:val="en-US" w:eastAsia="zh-CN"/>
        </w:rPr>
        <w:t>；</w:t>
      </w:r>
    </w:p>
    <w:p w14:paraId="0BA43AB7">
      <w:pPr>
        <w:numPr>
          <w:ilvl w:val="0"/>
          <w:numId w:val="9"/>
        </w:numPr>
        <w:spacing w:line="440" w:lineRule="exact"/>
        <w:ind w:left="0"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供应商须提供</w:t>
      </w:r>
      <w:r>
        <w:rPr>
          <w:rFonts w:hint="eastAsia" w:ascii="宋体" w:hAnsi="宋体" w:cs="宋体"/>
          <w:b w:val="0"/>
          <w:bCs w:val="0"/>
          <w:color w:val="auto"/>
          <w:sz w:val="21"/>
          <w:szCs w:val="21"/>
          <w:highlight w:val="none"/>
          <w:lang w:val="en-US" w:eastAsia="zh-CN"/>
        </w:rPr>
        <w:t>磋商</w:t>
      </w:r>
      <w:r>
        <w:rPr>
          <w:rFonts w:hint="eastAsia" w:ascii="宋体" w:hAnsi="宋体" w:eastAsia="宋体" w:cs="宋体"/>
          <w:b w:val="0"/>
          <w:bCs w:val="0"/>
          <w:color w:val="auto"/>
          <w:sz w:val="21"/>
          <w:szCs w:val="21"/>
          <w:highlight w:val="none"/>
          <w:lang w:val="en-US" w:eastAsia="zh-CN"/>
        </w:rPr>
        <w:t>截止时间前一年内，已缴纳的任意一个月的纳税证明或完税证明或无欠税证明，纳税证明或完税证明或无欠税证明上应有代收机构或税务机关的公章或业务专用章，依法免税的供应商应提供相关文件证明</w:t>
      </w:r>
      <w:r>
        <w:rPr>
          <w:rFonts w:hint="eastAsia" w:ascii="宋体" w:hAnsi="宋体" w:cs="宋体"/>
          <w:b w:val="0"/>
          <w:bCs w:val="0"/>
          <w:color w:val="auto"/>
          <w:sz w:val="21"/>
          <w:szCs w:val="21"/>
          <w:highlight w:val="none"/>
          <w:lang w:val="en-US" w:eastAsia="zh-CN"/>
        </w:rPr>
        <w:t>；</w:t>
      </w:r>
    </w:p>
    <w:p w14:paraId="137B711B">
      <w:pPr>
        <w:numPr>
          <w:ilvl w:val="0"/>
          <w:numId w:val="9"/>
        </w:numPr>
        <w:spacing w:line="440" w:lineRule="exact"/>
        <w:ind w:left="0"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供应商须提供磋商截止时间前一年内，已缴存的任意一个月的社会保障资金缴存单据或社保机构开具的社会保险参保缴费情况证明，单据或证明上应有社保机构或代收机构的公章或业务专用章。依法不需要缴纳社会保障资金的供应商应提供相关文件证明</w:t>
      </w:r>
      <w:r>
        <w:rPr>
          <w:rFonts w:hint="eastAsia" w:ascii="宋体" w:hAnsi="宋体" w:cs="宋体"/>
          <w:b w:val="0"/>
          <w:bCs w:val="0"/>
          <w:color w:val="auto"/>
          <w:sz w:val="21"/>
          <w:szCs w:val="21"/>
          <w:highlight w:val="none"/>
          <w:lang w:val="en-US" w:eastAsia="zh-CN"/>
        </w:rPr>
        <w:t>；</w:t>
      </w:r>
    </w:p>
    <w:p w14:paraId="0505C71E">
      <w:pPr>
        <w:numPr>
          <w:ilvl w:val="0"/>
          <w:numId w:val="9"/>
        </w:numPr>
        <w:spacing w:line="440" w:lineRule="exact"/>
        <w:ind w:left="0"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具有履行合同所必需的设备和专业技术能力；</w:t>
      </w:r>
    </w:p>
    <w:p w14:paraId="69E448E6">
      <w:pPr>
        <w:numPr>
          <w:ilvl w:val="0"/>
          <w:numId w:val="9"/>
        </w:numPr>
        <w:spacing w:line="440" w:lineRule="exact"/>
        <w:ind w:left="0"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参加政府采购活动前三年内，在经营活动中没有重大违法记录；</w:t>
      </w:r>
    </w:p>
    <w:p w14:paraId="152DBD38">
      <w:pPr>
        <w:numPr>
          <w:ilvl w:val="0"/>
          <w:numId w:val="9"/>
        </w:numPr>
        <w:spacing w:line="440" w:lineRule="exact"/>
        <w:ind w:left="0"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单位负责人为同一人或者存在直接控股、管理关系的不同供应商，不得参加同一合同项下的政府采购活动</w:t>
      </w:r>
      <w:r>
        <w:rPr>
          <w:rFonts w:hint="eastAsia" w:ascii="宋体" w:hAnsi="宋体" w:cs="宋体"/>
          <w:b w:val="0"/>
          <w:bCs w:val="0"/>
          <w:color w:val="auto"/>
          <w:sz w:val="21"/>
          <w:szCs w:val="21"/>
          <w:highlight w:val="none"/>
          <w:lang w:val="en-US" w:eastAsia="zh-CN"/>
        </w:rPr>
        <w:t>；</w:t>
      </w:r>
    </w:p>
    <w:p w14:paraId="5F748977">
      <w:pPr>
        <w:numPr>
          <w:ilvl w:val="0"/>
          <w:numId w:val="9"/>
        </w:numPr>
        <w:spacing w:line="440" w:lineRule="exact"/>
        <w:ind w:left="0"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法定代表人授权委托书（附法定代表人、被授权人身份证复印件并加盖公章）和被授权人身份证原件。（法定代表人参加投标只须提供法定代表人身份证明书及身份证原件）；</w:t>
      </w:r>
    </w:p>
    <w:p w14:paraId="45334A46">
      <w:pPr>
        <w:numPr>
          <w:ilvl w:val="0"/>
          <w:numId w:val="9"/>
        </w:numPr>
        <w:spacing w:line="440" w:lineRule="exact"/>
        <w:ind w:left="0"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供应商不得为“信用中国”网站（www.creditchina.gov.cn）列入“失信被执行人（页面跳转至“中国执行信息公开网”</w:t>
      </w:r>
      <w:r>
        <w:rPr>
          <w:rFonts w:hint="eastAsia" w:ascii="宋体" w:hAnsi="宋体" w:cs="宋体"/>
          <w:b w:val="0"/>
          <w:bCs w:val="0"/>
          <w:color w:val="auto"/>
          <w:sz w:val="21"/>
          <w:szCs w:val="21"/>
          <w:highlight w:val="none"/>
          <w:lang w:val="en-US" w:eastAsia="zh-CN"/>
        </w:rPr>
        <w:t>（https://zxgk.court.gov.cn/shixin/）</w:t>
      </w:r>
      <w:r>
        <w:rPr>
          <w:rFonts w:hint="eastAsia" w:ascii="宋体" w:hAnsi="宋体" w:eastAsia="宋体" w:cs="宋体"/>
          <w:b w:val="0"/>
          <w:bCs w:val="0"/>
          <w:color w:val="auto"/>
          <w:sz w:val="21"/>
          <w:szCs w:val="21"/>
          <w:highlight w:val="none"/>
          <w:lang w:val="en-US" w:eastAsia="zh-CN"/>
        </w:rPr>
        <w:t>）、重大税收违法失信主体的供应商；不得为中国政府采购网</w:t>
      </w:r>
      <w:r>
        <w:rPr>
          <w:rFonts w:hint="eastAsia" w:ascii="宋体" w:hAnsi="宋体" w:cs="宋体"/>
          <w:b w:val="0"/>
          <w:bCs w:val="0"/>
          <w:color w:val="auto"/>
          <w:sz w:val="21"/>
          <w:szCs w:val="21"/>
          <w:highlight w:val="none"/>
          <w:lang w:val="en-US" w:eastAsia="zh-CN"/>
        </w:rPr>
        <w:t>（https://www.ccgp.gov.cn/index.shtml）</w:t>
      </w:r>
      <w:r>
        <w:rPr>
          <w:rFonts w:hint="eastAsia" w:ascii="宋体" w:hAnsi="宋体" w:eastAsia="宋体" w:cs="宋体"/>
          <w:b w:val="0"/>
          <w:bCs w:val="0"/>
          <w:color w:val="auto"/>
          <w:sz w:val="21"/>
          <w:szCs w:val="21"/>
          <w:highlight w:val="none"/>
          <w:lang w:val="en-US" w:eastAsia="zh-CN"/>
        </w:rPr>
        <w:t>“政府采购严重违法失信行为记录名单”中的供应商；</w:t>
      </w:r>
    </w:p>
    <w:p w14:paraId="70FD6434">
      <w:pPr>
        <w:numPr>
          <w:ilvl w:val="0"/>
          <w:numId w:val="9"/>
        </w:numPr>
        <w:spacing w:line="440" w:lineRule="exact"/>
        <w:ind w:left="0"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本项目为专门面向中小企业采购；</w:t>
      </w:r>
    </w:p>
    <w:p w14:paraId="6CA1EEA2">
      <w:pPr>
        <w:widowControl/>
        <w:numPr>
          <w:ilvl w:val="0"/>
          <w:numId w:val="9"/>
        </w:numPr>
        <w:spacing w:line="440" w:lineRule="exact"/>
        <w:ind w:left="14" w:firstLine="405" w:firstLineChars="193"/>
        <w:jc w:val="left"/>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本项目不接受联合体磋商。</w:t>
      </w:r>
    </w:p>
    <w:bookmarkEnd w:id="54"/>
    <w:p w14:paraId="02E202B9">
      <w:pPr>
        <w:widowControl/>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注：上述资料的复印件均需加盖单位公章，因证明资料的复印件若出现模糊、无法辨认等不利于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的情况，后果均由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承担。</w:t>
      </w:r>
    </w:p>
    <w:p w14:paraId="5713554B">
      <w:pPr>
        <w:widowControl/>
        <w:spacing w:line="360" w:lineRule="auto"/>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br w:type="page"/>
      </w:r>
    </w:p>
    <w:p w14:paraId="64512B05">
      <w:pPr>
        <w:spacing w:line="5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附件一：书面声明</w:t>
      </w:r>
    </w:p>
    <w:p w14:paraId="20401CCD">
      <w:pPr>
        <w:spacing w:line="500" w:lineRule="exact"/>
        <w:rPr>
          <w:rFonts w:hint="eastAsia" w:ascii="宋体" w:hAnsi="宋体" w:eastAsia="宋体" w:cs="宋体"/>
          <w:b/>
          <w:bCs/>
          <w:color w:val="auto"/>
          <w:sz w:val="24"/>
          <w:szCs w:val="24"/>
          <w:highlight w:val="none"/>
        </w:rPr>
      </w:pPr>
    </w:p>
    <w:p w14:paraId="4D9F990C">
      <w:pPr>
        <w:spacing w:line="500" w:lineRule="exact"/>
        <w:jc w:val="center"/>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具有履行合同所必需的设备和专业技术能力</w:t>
      </w:r>
    </w:p>
    <w:p w14:paraId="08CC2B4F">
      <w:pPr>
        <w:spacing w:line="5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rPr>
        <w:t>书面声明</w:t>
      </w:r>
    </w:p>
    <w:p w14:paraId="6E748050">
      <w:pPr>
        <w:spacing w:line="360" w:lineRule="auto"/>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lang w:val="en-US" w:eastAsia="zh-CN"/>
        </w:rPr>
        <w:t xml:space="preserve">                 </w:t>
      </w:r>
    </w:p>
    <w:p w14:paraId="471CD995">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30E3316A">
      <w:pPr>
        <w:pStyle w:val="1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我单位具有履行合同所必需的设备和专业技术能力。</w:t>
      </w:r>
    </w:p>
    <w:p w14:paraId="4CB4EB69">
      <w:pPr>
        <w:pStyle w:val="10"/>
        <w:spacing w:line="360" w:lineRule="auto"/>
        <w:rPr>
          <w:rFonts w:hint="eastAsia" w:ascii="宋体" w:hAnsi="宋体" w:eastAsia="宋体" w:cs="宋体"/>
          <w:color w:val="auto"/>
          <w:sz w:val="24"/>
          <w:szCs w:val="24"/>
          <w:highlight w:val="none"/>
        </w:rPr>
      </w:pPr>
    </w:p>
    <w:p w14:paraId="53E338B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14:paraId="74BE0E7D">
      <w:pPr>
        <w:spacing w:line="360" w:lineRule="auto"/>
        <w:ind w:firstLine="480" w:firstLineChars="200"/>
        <w:jc w:val="left"/>
        <w:rPr>
          <w:rFonts w:hint="eastAsia" w:ascii="宋体" w:hAnsi="宋体" w:eastAsia="宋体" w:cs="宋体"/>
          <w:color w:val="auto"/>
          <w:sz w:val="24"/>
          <w:szCs w:val="24"/>
          <w:highlight w:val="none"/>
        </w:rPr>
      </w:pPr>
    </w:p>
    <w:p w14:paraId="585579DB">
      <w:pPr>
        <w:spacing w:line="480" w:lineRule="auto"/>
        <w:ind w:firstLine="480" w:firstLineChars="200"/>
        <w:jc w:val="left"/>
        <w:rPr>
          <w:rFonts w:hint="eastAsia" w:ascii="宋体" w:hAnsi="宋体" w:eastAsia="宋体" w:cs="宋体"/>
          <w:color w:val="auto"/>
          <w:sz w:val="24"/>
          <w:szCs w:val="24"/>
          <w:highlight w:val="none"/>
        </w:rPr>
      </w:pPr>
    </w:p>
    <w:p w14:paraId="1CE86EEC">
      <w:pPr>
        <w:spacing w:line="48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供应商（公章）： </w:t>
      </w:r>
      <w:r>
        <w:rPr>
          <w:rFonts w:hint="eastAsia" w:ascii="宋体" w:hAnsi="宋体" w:eastAsia="宋体" w:cs="宋体"/>
          <w:color w:val="auto"/>
          <w:sz w:val="24"/>
          <w:szCs w:val="24"/>
          <w:highlight w:val="none"/>
          <w:u w:val="single"/>
        </w:rPr>
        <w:t>名称</w:t>
      </w:r>
      <w:r>
        <w:rPr>
          <w:rFonts w:hint="eastAsia" w:ascii="宋体" w:hAnsi="宋体" w:eastAsia="宋体" w:cs="宋体"/>
          <w:color w:val="auto"/>
          <w:sz w:val="24"/>
          <w:szCs w:val="24"/>
          <w:highlight w:val="none"/>
        </w:rPr>
        <w:t>（加盖公章）</w:t>
      </w:r>
    </w:p>
    <w:p w14:paraId="22D2E1AD">
      <w:pPr>
        <w:spacing w:line="48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法定代表人或被授权人（签字或盖章）：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p>
    <w:p w14:paraId="148E577D">
      <w:pPr>
        <w:spacing w:line="48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   期：      年    月    日 </w:t>
      </w:r>
    </w:p>
    <w:p w14:paraId="46B4A855">
      <w:pPr>
        <w:pStyle w:val="25"/>
        <w:spacing w:after="190"/>
        <w:ind w:firstLine="240"/>
        <w:rPr>
          <w:rFonts w:hint="eastAsia" w:ascii="宋体" w:hAnsi="宋体" w:eastAsia="宋体" w:cs="宋体"/>
          <w:color w:val="auto"/>
          <w:sz w:val="24"/>
          <w:szCs w:val="24"/>
          <w:highlight w:val="none"/>
        </w:rPr>
      </w:pPr>
    </w:p>
    <w:p w14:paraId="145C83B1">
      <w:pPr>
        <w:spacing w:line="500" w:lineRule="exact"/>
        <w:ind w:firstLine="561"/>
        <w:rPr>
          <w:rFonts w:hint="eastAsia" w:ascii="宋体" w:hAnsi="宋体" w:eastAsia="宋体" w:cs="宋体"/>
          <w:b/>
          <w:bCs/>
          <w:color w:val="auto"/>
          <w:sz w:val="24"/>
          <w:szCs w:val="24"/>
          <w:highlight w:val="none"/>
        </w:rPr>
      </w:pPr>
      <w:bookmarkStart w:id="18" w:name="_Toc7084"/>
      <w:bookmarkStart w:id="19" w:name="_Toc9165"/>
      <w:bookmarkStart w:id="20" w:name="_Toc1517"/>
      <w:bookmarkStart w:id="21" w:name="_Toc20662"/>
      <w:bookmarkStart w:id="22" w:name="_Toc32331"/>
      <w:bookmarkStart w:id="23" w:name="_Toc25524"/>
      <w:bookmarkStart w:id="24" w:name="_Toc15868"/>
      <w:bookmarkStart w:id="25" w:name="_Toc4561"/>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附件二：近三年无重大违法书面声明</w:t>
      </w:r>
    </w:p>
    <w:p w14:paraId="69E234EE">
      <w:pPr>
        <w:spacing w:line="360" w:lineRule="atLeast"/>
        <w:jc w:val="center"/>
        <w:rPr>
          <w:rFonts w:hint="eastAsia" w:ascii="宋体" w:hAnsi="宋体" w:eastAsia="宋体" w:cs="宋体"/>
          <w:b/>
          <w:color w:val="auto"/>
          <w:sz w:val="24"/>
          <w:szCs w:val="24"/>
          <w:highlight w:val="none"/>
        </w:rPr>
      </w:pPr>
    </w:p>
    <w:p w14:paraId="01FD0DF9">
      <w:pPr>
        <w:pStyle w:val="25"/>
        <w:widowControl/>
        <w:spacing w:line="360" w:lineRule="auto"/>
        <w:ind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近三年无重大违法书面声明</w:t>
      </w:r>
    </w:p>
    <w:p w14:paraId="7AEDC213">
      <w:pPr>
        <w:spacing w:line="360" w:lineRule="auto"/>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lang w:val="en-US" w:eastAsia="zh-CN"/>
        </w:rPr>
        <w:t xml:space="preserve">                </w:t>
      </w:r>
    </w:p>
    <w:p w14:paraId="14254740">
      <w:pPr>
        <w:spacing w:line="360" w:lineRule="auto"/>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我单位声明参加本次政府采购活动前三年内，在经营活动中没有重大</w:t>
      </w:r>
      <w:r>
        <w:rPr>
          <w:rFonts w:hint="eastAsia" w:ascii="宋体" w:hAnsi="宋体" w:cs="宋体"/>
          <w:color w:val="auto"/>
          <w:sz w:val="24"/>
          <w:szCs w:val="24"/>
          <w:highlight w:val="none"/>
          <w:lang w:val="en-US" w:eastAsia="zh-CN"/>
        </w:rPr>
        <w:t>违法</w:t>
      </w:r>
      <w:r>
        <w:rPr>
          <w:rFonts w:hint="eastAsia" w:ascii="宋体" w:hAnsi="宋体" w:eastAsia="宋体" w:cs="宋体"/>
          <w:color w:val="auto"/>
          <w:sz w:val="24"/>
          <w:szCs w:val="24"/>
          <w:highlight w:val="none"/>
        </w:rPr>
        <w:t>，以及未被列入失信被执行人、未在重大税收违法失信主体及政府采购严重违法失信行为记录名单中。</w:t>
      </w:r>
    </w:p>
    <w:p w14:paraId="67F81EA6">
      <w:pPr>
        <w:spacing w:line="360" w:lineRule="auto"/>
        <w:ind w:firstLine="424" w:firstLineChars="177"/>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以上如构成虚假，自愿承担相关法律责任。</w:t>
      </w:r>
    </w:p>
    <w:p w14:paraId="653ACF8C">
      <w:pPr>
        <w:spacing w:line="360" w:lineRule="auto"/>
        <w:jc w:val="left"/>
        <w:rPr>
          <w:rFonts w:hint="eastAsia" w:ascii="宋体" w:hAnsi="宋体" w:eastAsia="宋体" w:cs="宋体"/>
          <w:b/>
          <w:color w:val="auto"/>
          <w:sz w:val="24"/>
          <w:szCs w:val="24"/>
          <w:highlight w:val="none"/>
        </w:rPr>
      </w:pPr>
    </w:p>
    <w:p w14:paraId="6466D1DB">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14:paraId="5F6D62B3">
      <w:pPr>
        <w:spacing w:line="360" w:lineRule="auto"/>
        <w:ind w:firstLine="480" w:firstLineChars="200"/>
        <w:jc w:val="left"/>
        <w:rPr>
          <w:rFonts w:hint="eastAsia" w:ascii="宋体" w:hAnsi="宋体" w:eastAsia="宋体" w:cs="宋体"/>
          <w:color w:val="auto"/>
          <w:sz w:val="24"/>
          <w:szCs w:val="24"/>
          <w:highlight w:val="none"/>
        </w:rPr>
      </w:pPr>
    </w:p>
    <w:p w14:paraId="4B72AC0A">
      <w:pPr>
        <w:spacing w:line="480" w:lineRule="auto"/>
        <w:ind w:firstLine="480" w:firstLineChars="200"/>
        <w:jc w:val="left"/>
        <w:rPr>
          <w:rFonts w:hint="eastAsia" w:ascii="宋体" w:hAnsi="宋体" w:eastAsia="宋体" w:cs="宋体"/>
          <w:color w:val="auto"/>
          <w:sz w:val="24"/>
          <w:szCs w:val="24"/>
          <w:highlight w:val="none"/>
        </w:rPr>
      </w:pPr>
    </w:p>
    <w:p w14:paraId="242D1C0A">
      <w:pPr>
        <w:spacing w:line="48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供应商（公章）： </w:t>
      </w:r>
      <w:r>
        <w:rPr>
          <w:rFonts w:hint="eastAsia" w:ascii="宋体" w:hAnsi="宋体" w:eastAsia="宋体" w:cs="宋体"/>
          <w:color w:val="auto"/>
          <w:sz w:val="24"/>
          <w:szCs w:val="24"/>
          <w:highlight w:val="none"/>
          <w:u w:val="single"/>
        </w:rPr>
        <w:t>名称</w:t>
      </w:r>
      <w:r>
        <w:rPr>
          <w:rFonts w:hint="eastAsia" w:ascii="宋体" w:hAnsi="宋体" w:eastAsia="宋体" w:cs="宋体"/>
          <w:color w:val="auto"/>
          <w:sz w:val="24"/>
          <w:szCs w:val="24"/>
          <w:highlight w:val="none"/>
        </w:rPr>
        <w:t>（加盖公章）</w:t>
      </w:r>
    </w:p>
    <w:p w14:paraId="2690CD07">
      <w:pPr>
        <w:spacing w:line="48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法定代表人或被授权人（签字或盖章）：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p>
    <w:p w14:paraId="59AEEC2B">
      <w:pPr>
        <w:spacing w:line="48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   期：      年    月    日 </w:t>
      </w:r>
    </w:p>
    <w:p w14:paraId="4F77E4B3">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bookmarkEnd w:id="18"/>
    <w:bookmarkEnd w:id="19"/>
    <w:bookmarkEnd w:id="20"/>
    <w:bookmarkEnd w:id="21"/>
    <w:bookmarkEnd w:id="22"/>
    <w:bookmarkEnd w:id="23"/>
    <w:bookmarkEnd w:id="24"/>
    <w:bookmarkEnd w:id="25"/>
    <w:p w14:paraId="665E5E83">
      <w:pPr>
        <w:pStyle w:val="10"/>
        <w:keepLines w:val="0"/>
        <w:pageBreakBefore w:val="0"/>
        <w:widowControl w:val="0"/>
        <w:kinsoku/>
        <w:wordWrap/>
        <w:overflowPunct/>
        <w:topLinePunct w:val="0"/>
        <w:bidi w:val="0"/>
        <w:spacing w:after="120" w:afterLines="0"/>
        <w:jc w:val="both"/>
        <w:textAlignment w:val="auto"/>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w:t>
      </w: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w:t>
      </w:r>
    </w:p>
    <w:p w14:paraId="23A0DBE8">
      <w:pPr>
        <w:pStyle w:val="25"/>
        <w:widowControl/>
        <w:spacing w:line="360" w:lineRule="auto"/>
        <w:ind w:left="0" w:leftChars="0" w:firstLine="482" w:firstLineChars="20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企业关联关系声明</w:t>
      </w:r>
    </w:p>
    <w:p w14:paraId="7DD2458F">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kern w:val="2"/>
          <w:sz w:val="24"/>
          <w:szCs w:val="24"/>
          <w:u w:val="single"/>
        </w:rPr>
      </w:pPr>
      <w:r>
        <w:rPr>
          <w:rFonts w:hint="eastAsia" w:ascii="宋体" w:hAnsi="宋体" w:eastAsia="宋体" w:cs="宋体"/>
          <w:kern w:val="0"/>
          <w:sz w:val="24"/>
          <w:szCs w:val="24"/>
          <w:lang w:val="en-US" w:eastAsia="zh-CN" w:bidi="ar"/>
        </w:rPr>
        <w:t>致：</w:t>
      </w:r>
      <w:r>
        <w:rPr>
          <w:rFonts w:hint="eastAsia" w:ascii="宋体" w:hAnsi="宋体" w:eastAsia="宋体" w:cs="宋体"/>
          <w:kern w:val="0"/>
          <w:sz w:val="24"/>
          <w:szCs w:val="24"/>
          <w:u w:val="single"/>
          <w:lang w:val="en-US" w:eastAsia="zh-CN" w:bidi="ar"/>
        </w:rPr>
        <w:t xml:space="preserve">                </w:t>
      </w:r>
    </w:p>
    <w:p w14:paraId="0DCD4C3E">
      <w:pPr>
        <w:spacing w:line="360" w:lineRule="auto"/>
        <w:ind w:firstLine="0" w:firstLineChars="0"/>
        <w:rPr>
          <w:rFonts w:hint="eastAsia" w:ascii="宋体" w:hAnsi="宋体" w:eastAsia="宋体" w:cs="宋体"/>
          <w:color w:val="auto"/>
          <w:sz w:val="24"/>
          <w:highlight w:val="none"/>
        </w:rPr>
      </w:pPr>
    </w:p>
    <w:p w14:paraId="2BB5E9C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本单位郑重声明，参加</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）采购活动，</w:t>
      </w:r>
      <w:r>
        <w:rPr>
          <w:rFonts w:hint="eastAsia" w:ascii="宋体" w:hAnsi="宋体" w:eastAsia="宋体" w:cs="宋体"/>
          <w:color w:val="auto"/>
          <w:sz w:val="24"/>
          <w:highlight w:val="none"/>
          <w:lang w:val="en-US" w:eastAsia="zh-CN"/>
        </w:rPr>
        <w:t>不存在</w:t>
      </w:r>
      <w:r>
        <w:rPr>
          <w:rFonts w:hint="eastAsia" w:ascii="宋体" w:hAnsi="宋体" w:eastAsia="宋体" w:cs="宋体"/>
          <w:color w:val="auto"/>
          <w:sz w:val="24"/>
          <w:highlight w:val="none"/>
        </w:rPr>
        <w:t>单位负责人为同一人或者存在直接控股、管理关系的不同供应商，参加同一合同项下政府采购活动</w:t>
      </w:r>
      <w:r>
        <w:rPr>
          <w:rFonts w:hint="eastAsia" w:ascii="宋体" w:hAnsi="宋体" w:cs="宋体"/>
          <w:color w:val="auto"/>
          <w:sz w:val="24"/>
          <w:highlight w:val="none"/>
          <w:lang w:val="en-US" w:eastAsia="zh-CN"/>
        </w:rPr>
        <w:t>的情形</w:t>
      </w:r>
      <w:r>
        <w:rPr>
          <w:rFonts w:hint="eastAsia" w:ascii="宋体" w:hAnsi="宋体" w:eastAsia="宋体" w:cs="宋体"/>
          <w:color w:val="auto"/>
          <w:sz w:val="24"/>
          <w:highlight w:val="none"/>
        </w:rPr>
        <w:t>。</w:t>
      </w:r>
    </w:p>
    <w:p w14:paraId="7ABE1E4A">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04974379">
      <w:pPr>
        <w:spacing w:line="360" w:lineRule="auto"/>
        <w:ind w:firstLine="480" w:firstLineChars="200"/>
        <w:jc w:val="left"/>
        <w:rPr>
          <w:rFonts w:hint="eastAsia" w:ascii="宋体" w:hAnsi="宋体" w:eastAsia="宋体" w:cs="宋体"/>
          <w:color w:val="auto"/>
          <w:sz w:val="24"/>
          <w:highlight w:val="none"/>
        </w:rPr>
      </w:pPr>
    </w:p>
    <w:p w14:paraId="00EEC472">
      <w:pPr>
        <w:pStyle w:val="6"/>
        <w:spacing w:line="360" w:lineRule="auto"/>
        <w:ind w:firstLine="480"/>
        <w:rPr>
          <w:rFonts w:hint="eastAsia" w:ascii="宋体" w:hAnsi="宋体" w:eastAsia="宋体" w:cs="宋体"/>
          <w:color w:val="auto"/>
          <w:sz w:val="24"/>
          <w:highlight w:val="none"/>
        </w:rPr>
      </w:pPr>
    </w:p>
    <w:p w14:paraId="2BEC4353">
      <w:pPr>
        <w:spacing w:line="480" w:lineRule="auto"/>
        <w:ind w:firstLine="480" w:firstLineChars="200"/>
        <w:jc w:val="left"/>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r>
        <w:rPr>
          <w:rFonts w:hint="eastAsia" w:ascii="宋体" w:hAnsi="宋体" w:cs="宋体"/>
          <w:color w:val="auto"/>
          <w:sz w:val="24"/>
          <w:szCs w:val="28"/>
          <w:highlight w:val="none"/>
          <w:lang w:eastAsia="zh-CN"/>
        </w:rPr>
        <w:t>供应商</w:t>
      </w:r>
      <w:r>
        <w:rPr>
          <w:rFonts w:hint="eastAsia" w:ascii="宋体" w:hAnsi="宋体" w:eastAsia="宋体" w:cs="宋体"/>
          <w:color w:val="auto"/>
          <w:sz w:val="24"/>
          <w:highlight w:val="none"/>
        </w:rPr>
        <w:t xml:space="preserve">（公章）： </w:t>
      </w:r>
      <w:r>
        <w:rPr>
          <w:rFonts w:hint="eastAsia" w:ascii="宋体" w:hAnsi="宋体" w:eastAsia="宋体" w:cs="宋体"/>
          <w:color w:val="auto"/>
          <w:sz w:val="24"/>
          <w:highlight w:val="none"/>
          <w:u w:val="single"/>
        </w:rPr>
        <w:t>名称</w:t>
      </w:r>
      <w:r>
        <w:rPr>
          <w:rFonts w:hint="eastAsia" w:ascii="宋体" w:hAnsi="宋体" w:eastAsia="宋体" w:cs="宋体"/>
          <w:color w:val="auto"/>
          <w:sz w:val="24"/>
          <w:highlight w:val="none"/>
        </w:rPr>
        <w:t>（加盖公章）</w:t>
      </w:r>
    </w:p>
    <w:p w14:paraId="6EBE1169">
      <w:pPr>
        <w:spacing w:line="480" w:lineRule="auto"/>
        <w:ind w:firstLine="480" w:firstLineChars="200"/>
        <w:jc w:val="left"/>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法定代表人或被授权人（签字或盖章）：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14:paraId="35E82597">
      <w:pPr>
        <w:spacing w:line="48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      年    月    日 </w:t>
      </w:r>
    </w:p>
    <w:p w14:paraId="4950A07F">
      <w:pPr>
        <w:spacing w:line="360" w:lineRule="auto"/>
        <w:ind w:firstLine="480" w:firstLineChars="200"/>
        <w:jc w:val="left"/>
        <w:rPr>
          <w:rFonts w:hint="eastAsia" w:ascii="宋体" w:hAnsi="宋体" w:eastAsia="宋体" w:cs="宋体"/>
          <w:color w:val="auto"/>
          <w:sz w:val="24"/>
          <w:highlight w:val="none"/>
        </w:rPr>
      </w:pPr>
    </w:p>
    <w:p w14:paraId="7CC2F624">
      <w:pPr>
        <w:spacing w:line="480" w:lineRule="auto"/>
        <w:ind w:firstLine="480" w:firstLineChars="200"/>
        <w:jc w:val="left"/>
        <w:rPr>
          <w:rFonts w:hint="eastAsia" w:ascii="宋体" w:hAnsi="宋体" w:eastAsia="宋体" w:cs="宋体"/>
          <w:color w:val="auto"/>
          <w:sz w:val="24"/>
          <w:highlight w:val="none"/>
        </w:rPr>
      </w:pPr>
    </w:p>
    <w:p w14:paraId="7E9C53D5">
      <w:pPr>
        <w:spacing w:line="48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A4F7BE3">
      <w:pPr>
        <w:spacing w:before="312" w:beforeLines="100" w:after="156" w:afterLines="50" w:line="240" w:lineRule="auto"/>
        <w:jc w:val="right"/>
        <w:rPr>
          <w:rFonts w:hint="eastAsia" w:ascii="宋体" w:hAnsi="宋体" w:eastAsia="宋体" w:cs="宋体"/>
          <w:color w:val="auto"/>
          <w:spacing w:val="14"/>
          <w:kern w:val="0"/>
          <w:sz w:val="24"/>
          <w:highlight w:val="none"/>
        </w:rPr>
      </w:pPr>
      <w:r>
        <w:rPr>
          <w:rFonts w:hint="eastAsia" w:ascii="宋体" w:hAnsi="宋体" w:cs="宋体"/>
          <w:color w:val="auto"/>
          <w:spacing w:val="4"/>
          <w:sz w:val="24"/>
          <w:szCs w:val="24"/>
          <w:highlight w:val="none"/>
          <w:lang w:eastAsia="zh-CN"/>
        </w:rPr>
        <w:t>供应商</w:t>
      </w:r>
      <w:r>
        <w:rPr>
          <w:rFonts w:hint="eastAsia" w:ascii="宋体" w:hAnsi="宋体" w:eastAsia="宋体" w:cs="宋体"/>
          <w:color w:val="auto"/>
          <w:spacing w:val="4"/>
          <w:sz w:val="24"/>
          <w:szCs w:val="24"/>
          <w:highlight w:val="none"/>
        </w:rPr>
        <w:t>名称（盖章）：</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14"/>
          <w:kern w:val="0"/>
          <w:sz w:val="24"/>
          <w:highlight w:val="none"/>
          <w:u w:val="single"/>
        </w:rPr>
        <w:t>（单位全称</w:t>
      </w:r>
      <w:r>
        <w:rPr>
          <w:rFonts w:hint="eastAsia" w:ascii="宋体" w:hAnsi="宋体" w:eastAsia="宋体" w:cs="宋体"/>
          <w:color w:val="auto"/>
          <w:spacing w:val="14"/>
          <w:kern w:val="0"/>
          <w:sz w:val="24"/>
          <w:highlight w:val="none"/>
        </w:rPr>
        <w:t>）</w:t>
      </w:r>
    </w:p>
    <w:p w14:paraId="1448AA57">
      <w:pPr>
        <w:spacing w:before="312" w:beforeLines="100" w:after="156" w:afterLines="50" w:line="240" w:lineRule="auto"/>
        <w:jc w:val="center"/>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color w:val="auto"/>
          <w:spacing w:val="4"/>
          <w:sz w:val="24"/>
          <w:szCs w:val="24"/>
          <w:highlight w:val="none"/>
        </w:rPr>
        <w:t>法定代表人（签字或盖章）：</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4"/>
          <w:sz w:val="24"/>
          <w:szCs w:val="24"/>
          <w:highlight w:val="none"/>
          <w:u w:val="single"/>
          <w:lang w:val="en-US" w:eastAsia="zh-CN"/>
        </w:rPr>
        <w:t xml:space="preserve">      </w:t>
      </w:r>
      <w:r>
        <w:rPr>
          <w:rFonts w:hint="eastAsia" w:ascii="宋体" w:hAnsi="宋体" w:eastAsia="宋体" w:cs="宋体"/>
          <w:color w:val="auto"/>
          <w:spacing w:val="4"/>
          <w:sz w:val="24"/>
          <w:szCs w:val="24"/>
          <w:highlight w:val="none"/>
        </w:rPr>
        <w:t xml:space="preserve"> </w:t>
      </w:r>
    </w:p>
    <w:p w14:paraId="3C1AEC60">
      <w:pPr>
        <w:spacing w:line="240" w:lineRule="auto"/>
        <w:jc w:val="both"/>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 xml:space="preserve">                                            </w:t>
      </w:r>
    </w:p>
    <w:p w14:paraId="298F27A8">
      <w:pPr>
        <w:spacing w:line="240" w:lineRule="auto"/>
        <w:jc w:val="right"/>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color w:val="auto"/>
          <w:spacing w:val="4"/>
          <w:sz w:val="24"/>
          <w:szCs w:val="24"/>
          <w:highlight w:val="none"/>
        </w:rPr>
        <w:t>日期：</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4"/>
          <w:sz w:val="24"/>
          <w:szCs w:val="24"/>
          <w:highlight w:val="none"/>
          <w:u w:val="single"/>
          <w:lang w:val="en-US" w:eastAsia="zh-CN"/>
        </w:rPr>
        <w:t xml:space="preserve">    </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4"/>
          <w:sz w:val="24"/>
          <w:szCs w:val="24"/>
          <w:highlight w:val="none"/>
        </w:rPr>
        <w:t>年</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4"/>
          <w:sz w:val="24"/>
          <w:szCs w:val="24"/>
          <w:highlight w:val="none"/>
        </w:rPr>
        <w:t>月</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4"/>
          <w:sz w:val="24"/>
          <w:szCs w:val="24"/>
          <w:highlight w:val="none"/>
        </w:rPr>
        <w:t>日</w:t>
      </w:r>
    </w:p>
    <w:p w14:paraId="6612847F">
      <w:pPr>
        <w:spacing w:line="440" w:lineRule="exact"/>
        <w:jc w:val="both"/>
        <w:rPr>
          <w:rFonts w:hint="eastAsia" w:ascii="宋体" w:hAnsi="宋体" w:eastAsia="宋体" w:cs="宋体"/>
          <w:color w:val="auto"/>
          <w:highlight w:val="none"/>
          <w:lang w:val="en-US" w:eastAsia="zh-CN"/>
        </w:rPr>
      </w:pPr>
    </w:p>
    <w:p w14:paraId="2441164D">
      <w:pPr>
        <w:spacing w:line="440" w:lineRule="exact"/>
        <w:jc w:val="center"/>
        <w:rPr>
          <w:rFonts w:hint="eastAsia" w:ascii="宋体" w:hAnsi="宋体" w:eastAsia="宋体" w:cs="宋体"/>
          <w:color w:val="auto"/>
          <w:highlight w:val="none"/>
          <w:lang w:val="en-US" w:eastAsia="zh-CN"/>
        </w:rPr>
      </w:pPr>
    </w:p>
    <w:p w14:paraId="22584F4B">
      <w:pPr>
        <w:pStyle w:val="10"/>
        <w:rPr>
          <w:rFonts w:hint="eastAsia" w:ascii="宋体" w:hAnsi="宋体" w:eastAsia="宋体" w:cs="宋体"/>
          <w:color w:val="auto"/>
          <w:highlight w:val="none"/>
          <w:lang w:val="en-US" w:eastAsia="zh-CN"/>
        </w:rPr>
      </w:pPr>
    </w:p>
    <w:p w14:paraId="06D2808A"/>
    <w:p w14:paraId="7C50E7E8">
      <w:pPr>
        <w:pStyle w:val="10"/>
        <w:keepLines w:val="0"/>
        <w:pageBreakBefore w:val="0"/>
        <w:widowControl w:val="0"/>
        <w:kinsoku/>
        <w:wordWrap/>
        <w:overflowPunct/>
        <w:topLinePunct w:val="0"/>
        <w:bidi w:val="0"/>
        <w:spacing w:after="120" w:afterLines="0"/>
        <w:jc w:val="both"/>
        <w:textAlignment w:val="auto"/>
        <w:outlineLvl w:val="2"/>
        <w:rPr>
          <w:rFonts w:hint="eastAsia" w:ascii="宋体" w:hAnsi="宋体" w:eastAsia="宋体" w:cs="宋体"/>
          <w:b/>
          <w:bCs/>
          <w:color w:val="auto"/>
          <w:sz w:val="24"/>
          <w:szCs w:val="24"/>
          <w:highlight w:val="none"/>
        </w:rPr>
      </w:pPr>
    </w:p>
    <w:p w14:paraId="034B3550">
      <w:pPr>
        <w:pStyle w:val="10"/>
        <w:keepLines w:val="0"/>
        <w:pageBreakBefore w:val="0"/>
        <w:widowControl w:val="0"/>
        <w:kinsoku/>
        <w:wordWrap/>
        <w:overflowPunct/>
        <w:topLinePunct w:val="0"/>
        <w:bidi w:val="0"/>
        <w:spacing w:after="120" w:afterLines="0"/>
        <w:jc w:val="both"/>
        <w:textAlignment w:val="auto"/>
        <w:outlineLvl w:val="2"/>
        <w:rPr>
          <w:rFonts w:hint="eastAsia" w:ascii="宋体" w:hAnsi="宋体" w:eastAsia="宋体" w:cs="宋体"/>
          <w:b/>
          <w:bCs/>
          <w:color w:val="auto"/>
          <w:sz w:val="24"/>
          <w:szCs w:val="24"/>
          <w:highlight w:val="none"/>
        </w:rPr>
      </w:pPr>
    </w:p>
    <w:p w14:paraId="1D889BF6">
      <w:pPr>
        <w:pStyle w:val="10"/>
        <w:keepLines w:val="0"/>
        <w:pageBreakBefore w:val="0"/>
        <w:widowControl w:val="0"/>
        <w:kinsoku/>
        <w:wordWrap/>
        <w:overflowPunct/>
        <w:topLinePunct w:val="0"/>
        <w:bidi w:val="0"/>
        <w:spacing w:after="120" w:afterLines="0"/>
        <w:jc w:val="both"/>
        <w:textAlignment w:val="auto"/>
        <w:outlineLvl w:val="2"/>
        <w:rPr>
          <w:rFonts w:hint="eastAsia" w:ascii="宋体" w:hAnsi="宋体" w:eastAsia="宋体" w:cs="宋体"/>
          <w:b/>
          <w:bCs/>
          <w:color w:val="auto"/>
          <w:sz w:val="24"/>
          <w:szCs w:val="24"/>
          <w:highlight w:val="none"/>
        </w:rPr>
      </w:pPr>
    </w:p>
    <w:p w14:paraId="4E1A17C3">
      <w:pPr>
        <w:pStyle w:val="10"/>
        <w:keepLines w:val="0"/>
        <w:pageBreakBefore w:val="0"/>
        <w:widowControl w:val="0"/>
        <w:kinsoku/>
        <w:wordWrap/>
        <w:overflowPunct/>
        <w:topLinePunct w:val="0"/>
        <w:bidi w:val="0"/>
        <w:spacing w:after="120" w:afterLines="0"/>
        <w:jc w:val="both"/>
        <w:textAlignment w:val="auto"/>
        <w:outlineLvl w:val="2"/>
        <w:rPr>
          <w:rFonts w:hint="eastAsia" w:ascii="宋体" w:hAnsi="宋体" w:eastAsia="宋体" w:cs="宋体"/>
          <w:b/>
          <w:bCs/>
          <w:color w:val="auto"/>
          <w:sz w:val="24"/>
          <w:szCs w:val="24"/>
          <w:highlight w:val="none"/>
        </w:rPr>
      </w:pPr>
    </w:p>
    <w:p w14:paraId="5A61705D">
      <w:pPr>
        <w:pStyle w:val="10"/>
        <w:keepLines w:val="0"/>
        <w:pageBreakBefore w:val="0"/>
        <w:widowControl w:val="0"/>
        <w:kinsoku/>
        <w:wordWrap/>
        <w:overflowPunct/>
        <w:topLinePunct w:val="0"/>
        <w:bidi w:val="0"/>
        <w:spacing w:after="120" w:afterLines="0"/>
        <w:jc w:val="both"/>
        <w:textAlignment w:val="auto"/>
        <w:outlineLvl w:val="2"/>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附件四：</w:t>
      </w:r>
      <w:r>
        <w:rPr>
          <w:rFonts w:hint="eastAsia" w:ascii="宋体" w:hAnsi="宋体" w:eastAsia="宋体" w:cs="宋体"/>
          <w:b/>
          <w:bCs/>
          <w:color w:val="auto"/>
          <w:sz w:val="24"/>
          <w:szCs w:val="24"/>
          <w:highlight w:val="none"/>
          <w:lang w:val="en-US" w:eastAsia="zh-CN"/>
        </w:rPr>
        <w:t>法定代表人身份证明/法定代表人授权书</w:t>
      </w:r>
    </w:p>
    <w:p w14:paraId="64A37B62">
      <w:pPr>
        <w:keepLines w:val="0"/>
        <w:pageBreakBefore w:val="0"/>
        <w:widowControl w:val="0"/>
        <w:kinsoku/>
        <w:wordWrap/>
        <w:overflowPunct/>
        <w:topLinePunct w:val="0"/>
        <w:bidi w:val="0"/>
        <w:spacing w:after="120" w:afterLines="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法定代表人身份证明</w:t>
      </w:r>
    </w:p>
    <w:p w14:paraId="717FF180">
      <w:pPr>
        <w:keepNext w:val="0"/>
        <w:keepLines w:val="0"/>
        <w:pageBreakBefore w:val="0"/>
        <w:widowControl w:val="0"/>
        <w:kinsoku/>
        <w:wordWrap/>
        <w:overflowPunct/>
        <w:topLinePunct w:val="0"/>
        <w:autoSpaceDE w:val="0"/>
        <w:autoSpaceDN w:val="0"/>
        <w:bidi w:val="0"/>
        <w:adjustRightInd w:val="0"/>
        <w:snapToGrid w:val="0"/>
        <w:spacing w:before="120" w:beforeLines="50" w:line="440" w:lineRule="exact"/>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652B804E">
      <w:pPr>
        <w:keepNext w:val="0"/>
        <w:keepLines w:val="0"/>
        <w:pageBreakBefore w:val="0"/>
        <w:widowControl w:val="0"/>
        <w:kinsoku/>
        <w:wordWrap/>
        <w:overflowPunct/>
        <w:topLinePunct w:val="0"/>
        <w:autoSpaceDE w:val="0"/>
        <w:autoSpaceDN w:val="0"/>
        <w:bidi w:val="0"/>
        <w:adjustRightInd w:val="0"/>
        <w:snapToGrid w:val="0"/>
        <w:spacing w:before="120" w:beforeLines="50" w:line="440" w:lineRule="exact"/>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u w:val="single"/>
        </w:rPr>
        <w:t xml:space="preserve">                </w:t>
      </w:r>
    </w:p>
    <w:p w14:paraId="351495CC">
      <w:pPr>
        <w:keepNext w:val="0"/>
        <w:keepLines w:val="0"/>
        <w:pageBreakBefore w:val="0"/>
        <w:widowControl w:val="0"/>
        <w:kinsoku/>
        <w:wordWrap/>
        <w:overflowPunct/>
        <w:topLinePunct w:val="0"/>
        <w:autoSpaceDE w:val="0"/>
        <w:autoSpaceDN w:val="0"/>
        <w:bidi w:val="0"/>
        <w:adjustRightInd w:val="0"/>
        <w:snapToGrid w:val="0"/>
        <w:spacing w:before="120" w:beforeLines="50" w:line="440" w:lineRule="exact"/>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注册地址：</w:t>
      </w:r>
      <w:r>
        <w:rPr>
          <w:rFonts w:hint="eastAsia" w:ascii="宋体" w:hAnsi="宋体" w:eastAsia="宋体" w:cs="宋体"/>
          <w:color w:val="auto"/>
          <w:kern w:val="0"/>
          <w:sz w:val="24"/>
          <w:szCs w:val="24"/>
          <w:highlight w:val="none"/>
          <w:u w:val="single"/>
        </w:rPr>
        <w:t xml:space="preserve">                        </w:t>
      </w:r>
    </w:p>
    <w:p w14:paraId="54276883">
      <w:pPr>
        <w:keepNext w:val="0"/>
        <w:keepLines w:val="0"/>
        <w:pageBreakBefore w:val="0"/>
        <w:widowControl w:val="0"/>
        <w:kinsoku/>
        <w:wordWrap/>
        <w:overflowPunct/>
        <w:topLinePunct w:val="0"/>
        <w:autoSpaceDE w:val="0"/>
        <w:autoSpaceDN w:val="0"/>
        <w:bidi w:val="0"/>
        <w:adjustRightInd w:val="0"/>
        <w:snapToGrid w:val="0"/>
        <w:spacing w:before="120" w:beforeLines="50" w:line="440" w:lineRule="exact"/>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成立时间：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年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7F55BCC7">
      <w:pPr>
        <w:keepNext w:val="0"/>
        <w:keepLines w:val="0"/>
        <w:pageBreakBefore w:val="0"/>
        <w:widowControl w:val="0"/>
        <w:kinsoku/>
        <w:wordWrap/>
        <w:overflowPunct/>
        <w:topLinePunct w:val="0"/>
        <w:autoSpaceDE w:val="0"/>
        <w:autoSpaceDN w:val="0"/>
        <w:bidi w:val="0"/>
        <w:adjustRightInd w:val="0"/>
        <w:snapToGrid w:val="0"/>
        <w:spacing w:before="120" w:beforeLines="50" w:line="440" w:lineRule="exact"/>
        <w:jc w:val="left"/>
        <w:textAlignment w:val="auto"/>
        <w:outlineLvl w:val="9"/>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经营期限：</w:t>
      </w:r>
      <w:r>
        <w:rPr>
          <w:rFonts w:hint="eastAsia" w:ascii="宋体" w:hAnsi="宋体" w:eastAsia="宋体" w:cs="宋体"/>
          <w:color w:val="auto"/>
          <w:kern w:val="0"/>
          <w:sz w:val="24"/>
          <w:szCs w:val="24"/>
          <w:highlight w:val="none"/>
          <w:u w:val="single"/>
        </w:rPr>
        <w:t xml:space="preserve">                  </w:t>
      </w:r>
    </w:p>
    <w:p w14:paraId="43F3E771">
      <w:pPr>
        <w:keepNext w:val="0"/>
        <w:keepLines w:val="0"/>
        <w:pageBreakBefore w:val="0"/>
        <w:widowControl w:val="0"/>
        <w:kinsoku/>
        <w:wordWrap/>
        <w:overflowPunct/>
        <w:topLinePunct w:val="0"/>
        <w:autoSpaceDE w:val="0"/>
        <w:autoSpaceDN w:val="0"/>
        <w:bidi w:val="0"/>
        <w:adjustRightInd w:val="0"/>
        <w:snapToGrid w:val="0"/>
        <w:spacing w:before="120" w:beforeLines="50" w:line="440" w:lineRule="exact"/>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性别：</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年龄：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名称）的</w:t>
      </w:r>
      <w:r>
        <w:rPr>
          <w:rFonts w:hint="eastAsia" w:ascii="宋体" w:hAnsi="宋体" w:eastAsia="宋体" w:cs="宋体"/>
          <w:color w:val="auto"/>
          <w:kern w:val="0"/>
          <w:sz w:val="24"/>
          <w:szCs w:val="24"/>
          <w:highlight w:val="none"/>
          <w:lang w:eastAsia="zh-CN"/>
        </w:rPr>
        <w:t>法定代表人</w:t>
      </w:r>
      <w:r>
        <w:rPr>
          <w:rFonts w:hint="eastAsia" w:ascii="宋体" w:hAnsi="宋体" w:eastAsia="宋体" w:cs="宋体"/>
          <w:color w:val="auto"/>
          <w:kern w:val="0"/>
          <w:sz w:val="24"/>
          <w:szCs w:val="24"/>
          <w:highlight w:val="none"/>
        </w:rPr>
        <w:t>。</w:t>
      </w:r>
    </w:p>
    <w:p w14:paraId="71D7BC3F">
      <w:pPr>
        <w:keepNext w:val="0"/>
        <w:keepLines w:val="0"/>
        <w:pageBreakBefore w:val="0"/>
        <w:widowControl w:val="0"/>
        <w:kinsoku/>
        <w:wordWrap/>
        <w:overflowPunct/>
        <w:topLinePunct w:val="0"/>
        <w:autoSpaceDE w:val="0"/>
        <w:autoSpaceDN w:val="0"/>
        <w:bidi w:val="0"/>
        <w:adjustRightInd w:val="0"/>
        <w:snapToGrid w:val="0"/>
        <w:spacing w:before="120" w:beforeLines="50" w:line="440" w:lineRule="exact"/>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14:paraId="7D8E163C">
      <w:pPr>
        <w:keepNext w:val="0"/>
        <w:keepLines w:val="0"/>
        <w:pageBreakBefore w:val="0"/>
        <w:widowControl w:val="0"/>
        <w:kinsoku/>
        <w:wordWrap/>
        <w:overflowPunct/>
        <w:topLinePunct w:val="0"/>
        <w:autoSpaceDE w:val="0"/>
        <w:autoSpaceDN w:val="0"/>
        <w:bidi w:val="0"/>
        <w:adjustRightInd w:val="0"/>
        <w:snapToGrid w:val="0"/>
        <w:spacing w:before="120" w:beforeLines="50" w:line="440" w:lineRule="exact"/>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w:t>
      </w:r>
      <w:r>
        <w:rPr>
          <w:rFonts w:hint="eastAsia" w:ascii="宋体" w:hAnsi="宋体" w:eastAsia="宋体" w:cs="宋体"/>
          <w:color w:val="auto"/>
          <w:kern w:val="0"/>
          <w:sz w:val="24"/>
          <w:szCs w:val="24"/>
          <w:highlight w:val="none"/>
          <w:lang w:eastAsia="zh-CN"/>
        </w:rPr>
        <w:t>法定代表人</w:t>
      </w:r>
      <w:r>
        <w:rPr>
          <w:rFonts w:hint="eastAsia" w:ascii="宋体" w:hAnsi="宋体" w:eastAsia="宋体" w:cs="宋体"/>
          <w:color w:val="auto"/>
          <w:kern w:val="0"/>
          <w:sz w:val="24"/>
          <w:szCs w:val="24"/>
          <w:highlight w:val="none"/>
        </w:rPr>
        <w:t>身份证复印件</w:t>
      </w:r>
    </w:p>
    <w:tbl>
      <w:tblPr>
        <w:tblStyle w:val="28"/>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0"/>
      </w:tblGrid>
      <w:tr w14:paraId="0B7B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4" w:hRule="atLeast"/>
        </w:trPr>
        <w:tc>
          <w:tcPr>
            <w:tcW w:w="5880" w:type="dxa"/>
            <w:noWrap w:val="0"/>
            <w:vAlign w:val="center"/>
          </w:tcPr>
          <w:p w14:paraId="39CBEDCF">
            <w:pPr>
              <w:snapToGrid w:val="0"/>
              <w:spacing w:line="480" w:lineRule="auto"/>
              <w:jc w:val="center"/>
              <w:rPr>
                <w:rFonts w:hint="eastAsia" w:ascii="宋体" w:hAnsi="宋体" w:eastAsia="宋体" w:cs="宋体"/>
                <w:color w:val="auto"/>
                <w:kern w:val="0"/>
                <w:sz w:val="24"/>
                <w:szCs w:val="24"/>
                <w:highlight w:val="none"/>
              </w:rPr>
            </w:pPr>
          </w:p>
          <w:p w14:paraId="6BB7A458">
            <w:pPr>
              <w:snapToGrid w:val="0"/>
              <w:spacing w:line="480" w:lineRule="auto"/>
              <w:jc w:val="center"/>
              <w:rPr>
                <w:rFonts w:hint="eastAsia" w:ascii="宋体" w:hAnsi="宋体" w:eastAsia="宋体" w:cs="宋体"/>
                <w:color w:val="auto"/>
                <w:kern w:val="0"/>
                <w:sz w:val="24"/>
                <w:szCs w:val="24"/>
                <w:highlight w:val="none"/>
              </w:rPr>
            </w:pPr>
          </w:p>
          <w:p w14:paraId="1D7017B3">
            <w:pPr>
              <w:autoSpaceDE w:val="0"/>
              <w:autoSpaceDN w:val="0"/>
              <w:adjustRightInd w:val="0"/>
              <w:snapToGrid w:val="0"/>
              <w:spacing w:before="120" w:beforeLines="50"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法定代表人</w:t>
            </w:r>
            <w:r>
              <w:rPr>
                <w:rFonts w:hint="eastAsia" w:ascii="宋体" w:hAnsi="宋体" w:eastAsia="宋体" w:cs="宋体"/>
                <w:color w:val="auto"/>
                <w:kern w:val="0"/>
                <w:sz w:val="24"/>
                <w:szCs w:val="24"/>
                <w:highlight w:val="none"/>
              </w:rPr>
              <w:t>身份证复印件</w:t>
            </w:r>
            <w:r>
              <w:rPr>
                <w:rFonts w:hint="eastAsia" w:ascii="宋体" w:hAnsi="宋体" w:eastAsia="宋体" w:cs="宋体"/>
                <w:color w:val="auto"/>
                <w:kern w:val="0"/>
                <w:sz w:val="24"/>
                <w:szCs w:val="24"/>
                <w:highlight w:val="none"/>
                <w:lang w:eastAsia="zh-CN"/>
              </w:rPr>
              <w:t>粘</w:t>
            </w:r>
            <w:r>
              <w:rPr>
                <w:rFonts w:hint="eastAsia" w:ascii="宋体" w:hAnsi="宋体" w:eastAsia="宋体" w:cs="宋体"/>
                <w:color w:val="auto"/>
                <w:kern w:val="0"/>
                <w:sz w:val="24"/>
                <w:szCs w:val="24"/>
                <w:highlight w:val="none"/>
              </w:rPr>
              <w:t>贴处</w:t>
            </w:r>
          </w:p>
          <w:p w14:paraId="6B8BBB1F">
            <w:pPr>
              <w:widowControl w:val="0"/>
              <w:spacing w:after="120" w:afterLine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（正反面）</w:t>
            </w:r>
          </w:p>
          <w:p w14:paraId="0562246E">
            <w:pPr>
              <w:snapToGrid w:val="0"/>
              <w:spacing w:line="480" w:lineRule="auto"/>
              <w:jc w:val="center"/>
              <w:rPr>
                <w:rFonts w:hint="eastAsia" w:ascii="宋体" w:hAnsi="宋体" w:eastAsia="宋体" w:cs="宋体"/>
                <w:color w:val="auto"/>
                <w:kern w:val="0"/>
                <w:sz w:val="24"/>
                <w:szCs w:val="24"/>
                <w:highlight w:val="none"/>
              </w:rPr>
            </w:pPr>
          </w:p>
          <w:p w14:paraId="5A4AD69D">
            <w:pPr>
              <w:snapToGrid w:val="0"/>
              <w:spacing w:line="480" w:lineRule="auto"/>
              <w:jc w:val="center"/>
              <w:rPr>
                <w:rFonts w:hint="eastAsia" w:ascii="宋体" w:hAnsi="宋体" w:eastAsia="宋体" w:cs="宋体"/>
                <w:color w:val="auto"/>
                <w:kern w:val="0"/>
                <w:sz w:val="24"/>
                <w:szCs w:val="24"/>
                <w:highlight w:val="none"/>
              </w:rPr>
            </w:pPr>
          </w:p>
        </w:tc>
      </w:tr>
    </w:tbl>
    <w:p w14:paraId="1564C2C8">
      <w:pPr>
        <w:snapToGrid w:val="0"/>
        <w:spacing w:line="480" w:lineRule="auto"/>
        <w:rPr>
          <w:rFonts w:hint="eastAsia" w:ascii="宋体" w:hAnsi="宋体" w:eastAsia="宋体" w:cs="宋体"/>
          <w:color w:val="auto"/>
          <w:kern w:val="0"/>
          <w:sz w:val="24"/>
          <w:szCs w:val="24"/>
          <w:highlight w:val="none"/>
        </w:rPr>
      </w:pPr>
    </w:p>
    <w:p w14:paraId="1D7737DE">
      <w:pPr>
        <w:snapToGrid w:val="0"/>
        <w:rPr>
          <w:rFonts w:hint="eastAsia" w:ascii="宋体" w:hAnsi="宋体" w:eastAsia="宋体" w:cs="宋体"/>
          <w:color w:val="auto"/>
          <w:kern w:val="0"/>
          <w:sz w:val="24"/>
          <w:szCs w:val="24"/>
          <w:highlight w:val="none"/>
        </w:rPr>
      </w:pPr>
    </w:p>
    <w:p w14:paraId="644C1F47">
      <w:pPr>
        <w:snapToGrid w:val="0"/>
        <w:rPr>
          <w:rFonts w:hint="eastAsia" w:ascii="宋体" w:hAnsi="宋体" w:eastAsia="宋体" w:cs="宋体"/>
          <w:color w:val="auto"/>
          <w:kern w:val="0"/>
          <w:sz w:val="24"/>
          <w:szCs w:val="24"/>
          <w:highlight w:val="none"/>
        </w:rPr>
      </w:pPr>
    </w:p>
    <w:p w14:paraId="35906C90">
      <w:pPr>
        <w:snapToGrid w:val="0"/>
        <w:rPr>
          <w:rFonts w:hint="eastAsia" w:ascii="宋体" w:hAnsi="宋体" w:eastAsia="宋体" w:cs="宋体"/>
          <w:color w:val="auto"/>
          <w:kern w:val="0"/>
          <w:sz w:val="24"/>
          <w:szCs w:val="24"/>
          <w:highlight w:val="none"/>
        </w:rPr>
      </w:pPr>
    </w:p>
    <w:p w14:paraId="339CD718">
      <w:pPr>
        <w:snapToGrid w:val="0"/>
        <w:rPr>
          <w:rFonts w:hint="eastAsia" w:ascii="宋体" w:hAnsi="宋体" w:eastAsia="宋体" w:cs="宋体"/>
          <w:color w:val="auto"/>
          <w:kern w:val="0"/>
          <w:sz w:val="24"/>
          <w:szCs w:val="24"/>
          <w:highlight w:val="none"/>
        </w:rPr>
      </w:pPr>
    </w:p>
    <w:p w14:paraId="14A8565B">
      <w:pPr>
        <w:adjustRightInd w:val="0"/>
        <w:snapToGrid w:val="0"/>
        <w:spacing w:line="360" w:lineRule="auto"/>
        <w:rPr>
          <w:rFonts w:hint="eastAsia" w:ascii="宋体" w:hAnsi="宋体" w:eastAsia="宋体" w:cs="宋体"/>
          <w:color w:val="auto"/>
          <w:kern w:val="0"/>
          <w:sz w:val="24"/>
          <w:szCs w:val="24"/>
          <w:highlight w:val="none"/>
        </w:rPr>
      </w:pPr>
    </w:p>
    <w:p w14:paraId="7D501995">
      <w:pPr>
        <w:adjustRightInd w:val="0"/>
        <w:snapToGrid w:val="0"/>
        <w:spacing w:line="360" w:lineRule="auto"/>
        <w:ind w:right="420"/>
        <w:rPr>
          <w:rFonts w:hint="eastAsia" w:ascii="宋体" w:hAnsi="宋体" w:eastAsia="宋体" w:cs="宋体"/>
          <w:color w:val="auto"/>
          <w:kern w:val="0"/>
          <w:sz w:val="24"/>
          <w:szCs w:val="24"/>
          <w:highlight w:val="none"/>
        </w:rPr>
      </w:pPr>
    </w:p>
    <w:p w14:paraId="09EC9576">
      <w:pPr>
        <w:adjustRightInd w:val="0"/>
        <w:snapToGrid w:val="0"/>
        <w:spacing w:line="360" w:lineRule="auto"/>
        <w:ind w:right="420"/>
        <w:rPr>
          <w:rFonts w:hint="eastAsia" w:ascii="宋体" w:hAnsi="宋体" w:eastAsia="宋体" w:cs="宋体"/>
          <w:color w:val="auto"/>
          <w:kern w:val="0"/>
          <w:sz w:val="24"/>
          <w:szCs w:val="24"/>
          <w:highlight w:val="none"/>
        </w:rPr>
      </w:pPr>
    </w:p>
    <w:p w14:paraId="03FE08D2">
      <w:pPr>
        <w:adjustRightInd w:val="0"/>
        <w:snapToGrid w:val="0"/>
        <w:spacing w:line="360" w:lineRule="auto"/>
        <w:ind w:right="420"/>
        <w:rPr>
          <w:rFonts w:hint="eastAsia" w:ascii="宋体" w:hAnsi="宋体" w:eastAsia="宋体" w:cs="宋体"/>
          <w:color w:val="auto"/>
          <w:kern w:val="0"/>
          <w:sz w:val="24"/>
          <w:szCs w:val="24"/>
          <w:highlight w:val="none"/>
        </w:rPr>
      </w:pPr>
    </w:p>
    <w:p w14:paraId="4DB7BAF3">
      <w:pPr>
        <w:adjustRightInd w:val="0"/>
        <w:snapToGrid w:val="0"/>
        <w:spacing w:line="360" w:lineRule="auto"/>
        <w:ind w:right="420"/>
        <w:rPr>
          <w:rFonts w:hint="eastAsia" w:ascii="宋体" w:hAnsi="宋体" w:eastAsia="宋体" w:cs="宋体"/>
          <w:color w:val="auto"/>
          <w:kern w:val="0"/>
          <w:sz w:val="24"/>
          <w:szCs w:val="24"/>
          <w:highlight w:val="none"/>
        </w:rPr>
      </w:pPr>
    </w:p>
    <w:p w14:paraId="0357F355">
      <w:pPr>
        <w:adjustRightInd w:val="0"/>
        <w:snapToGrid w:val="0"/>
        <w:spacing w:line="360" w:lineRule="auto"/>
        <w:ind w:right="420" w:firstLine="4320" w:firstLineChars="18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名称</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公章</w:t>
      </w:r>
      <w:r>
        <w:rPr>
          <w:rFonts w:hint="eastAsia" w:ascii="宋体" w:hAnsi="宋体" w:eastAsia="宋体" w:cs="宋体"/>
          <w:color w:val="auto"/>
          <w:kern w:val="0"/>
          <w:sz w:val="24"/>
          <w:szCs w:val="24"/>
          <w:highlight w:val="none"/>
        </w:rPr>
        <w:t>）</w:t>
      </w:r>
    </w:p>
    <w:p w14:paraId="191B0521">
      <w:pPr>
        <w:adjustRightInd w:val="0"/>
        <w:snapToGrid w:val="0"/>
        <w:spacing w:line="360" w:lineRule="auto"/>
        <w:ind w:right="420" w:firstLine="4320" w:firstLineChars="18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6C50CA2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2" w:firstLineChars="200"/>
        <w:textAlignment w:val="auto"/>
        <w:outlineLvl w:val="9"/>
        <w:rPr>
          <w:rFonts w:hint="eastAsia" w:ascii="宋体" w:hAnsi="宋体" w:eastAsia="宋体" w:cs="宋体"/>
          <w:b/>
          <w:bCs/>
          <w:color w:val="auto"/>
          <w:kern w:val="0"/>
          <w:sz w:val="24"/>
          <w:szCs w:val="24"/>
          <w:highlight w:val="none"/>
          <w:lang w:val="en-US" w:eastAsia="zh-CN"/>
        </w:rPr>
      </w:pPr>
    </w:p>
    <w:p w14:paraId="0B1F58CD">
      <w:pPr>
        <w:widowControl w:val="0"/>
        <w:numPr>
          <w:ilvl w:val="0"/>
          <w:numId w:val="0"/>
        </w:numPr>
        <w:spacing w:after="120" w:afterLines="0"/>
        <w:jc w:val="left"/>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说明：仅限法定代表人参加时提供。</w:t>
      </w:r>
    </w:p>
    <w:p w14:paraId="098C5B74">
      <w:pPr>
        <w:spacing w:line="500" w:lineRule="exact"/>
        <w:ind w:firstLine="561"/>
        <w:rPr>
          <w:rFonts w:hint="eastAsia" w:ascii="宋体" w:hAnsi="宋体" w:eastAsia="宋体" w:cs="宋体"/>
          <w:b/>
          <w:bCs/>
          <w:color w:val="auto"/>
          <w:sz w:val="24"/>
          <w:szCs w:val="24"/>
          <w:highlight w:val="none"/>
        </w:rPr>
      </w:pPr>
    </w:p>
    <w:p w14:paraId="10CE00A3">
      <w:pPr>
        <w:spacing w:line="500" w:lineRule="exact"/>
        <w:ind w:firstLine="561"/>
        <w:rPr>
          <w:rFonts w:hint="eastAsia" w:ascii="宋体" w:hAnsi="宋体" w:eastAsia="宋体" w:cs="宋体"/>
          <w:b/>
          <w:bCs/>
          <w:color w:val="auto"/>
          <w:sz w:val="24"/>
          <w:szCs w:val="24"/>
          <w:highlight w:val="none"/>
        </w:rPr>
      </w:pPr>
    </w:p>
    <w:p w14:paraId="3C5F54A3">
      <w:pPr>
        <w:pStyle w:val="25"/>
        <w:widowControl/>
        <w:spacing w:line="360" w:lineRule="auto"/>
        <w:ind w:firstLine="482" w:firstLineChars="200"/>
        <w:jc w:val="center"/>
        <w:rPr>
          <w:rFonts w:hint="eastAsia" w:ascii="宋体" w:hAnsi="宋体" w:eastAsia="宋体" w:cs="宋体"/>
          <w:b/>
          <w:bCs/>
          <w:color w:val="auto"/>
          <w:sz w:val="24"/>
          <w:szCs w:val="24"/>
          <w:highlight w:val="none"/>
        </w:rPr>
      </w:pPr>
      <w:bookmarkStart w:id="26" w:name="_Toc12905"/>
      <w:bookmarkStart w:id="27" w:name="_Toc22198"/>
      <w:bookmarkStart w:id="28" w:name="_Toc483349441"/>
      <w:bookmarkStart w:id="29" w:name="_Toc6945"/>
      <w:bookmarkStart w:id="30" w:name="_Toc14081"/>
      <w:bookmarkStart w:id="31" w:name="_Toc13597"/>
      <w:bookmarkStart w:id="32" w:name="_Toc29613"/>
      <w:bookmarkStart w:id="33" w:name="_Toc23557"/>
      <w:bookmarkStart w:id="34" w:name="_Toc31865"/>
      <w:bookmarkStart w:id="35" w:name="_Toc29800"/>
      <w:bookmarkStart w:id="36" w:name="_Toc22704"/>
      <w:bookmarkStart w:id="37" w:name="_Toc26738"/>
      <w:bookmarkStart w:id="38" w:name="_Toc18044"/>
      <w:bookmarkStart w:id="39" w:name="_Toc15591"/>
      <w:bookmarkStart w:id="40" w:name="_Toc31501"/>
      <w:bookmarkStart w:id="41" w:name="_Toc17265"/>
      <w:bookmarkStart w:id="42" w:name="_Toc9004"/>
      <w:bookmarkStart w:id="43" w:name="_Toc21050"/>
      <w:bookmarkStart w:id="44" w:name="_Toc19326"/>
      <w:bookmarkStart w:id="45" w:name="_Toc17482"/>
      <w:bookmarkStart w:id="46" w:name="_Toc13312"/>
      <w:bookmarkStart w:id="47" w:name="_Toc12408"/>
    </w:p>
    <w:p w14:paraId="100026A6">
      <w:pPr>
        <w:pStyle w:val="25"/>
        <w:widowControl/>
        <w:spacing w:line="360" w:lineRule="auto"/>
        <w:ind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法定代表人授权书</w:t>
      </w:r>
      <w:bookmarkEnd w:id="26"/>
      <w:bookmarkEnd w:id="27"/>
      <w:bookmarkEnd w:id="28"/>
      <w:bookmarkEnd w:id="29"/>
      <w:bookmarkEnd w:id="30"/>
      <w:bookmarkEnd w:id="31"/>
      <w:bookmarkEnd w:id="32"/>
      <w:bookmarkEnd w:id="33"/>
      <w:bookmarkEnd w:id="34"/>
      <w:bookmarkEnd w:id="35"/>
      <w:bookmarkEnd w:id="36"/>
      <w:bookmarkEnd w:id="37"/>
    </w:p>
    <w:p w14:paraId="183B6E2B">
      <w:pPr>
        <w:spacing w:line="360" w:lineRule="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lang w:val="en-US" w:eastAsia="zh-CN"/>
        </w:rPr>
        <w:t xml:space="preserve">                      </w:t>
      </w:r>
    </w:p>
    <w:p w14:paraId="6F9803CC">
      <w:pPr>
        <w:pStyle w:val="13"/>
        <w:spacing w:line="500" w:lineRule="exact"/>
        <w:ind w:left="-120" w:leftChars="-57"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 xml:space="preserve"> 工商行政管理局名称）之（委托单位全称） </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授权本公司的</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为合法代理人，就贵方组织的有关</w:t>
      </w:r>
      <w:r>
        <w:rPr>
          <w:rFonts w:hint="eastAsia" w:ascii="宋体" w:hAnsi="宋体" w:eastAsia="宋体" w:cs="宋体"/>
          <w:color w:val="auto"/>
          <w:sz w:val="24"/>
          <w:szCs w:val="24"/>
          <w:highlight w:val="none"/>
          <w:u w:val="single"/>
        </w:rPr>
        <w:t>（采购项目名称）</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）的响应、洽谈、执行等具体事务，签署全部有关响应文件、文书、协议、合同，本公司对被授权人在本项目中的签名承担全部法律责任。本授权书自磋商会议之日起计算有效期为</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天。</w:t>
      </w:r>
    </w:p>
    <w:p w14:paraId="0D65E8FD">
      <w:pPr>
        <w:pStyle w:val="13"/>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                  法定代表人（签字或盖章）：</w:t>
      </w:r>
    </w:p>
    <w:p w14:paraId="03AEDC2C">
      <w:pPr>
        <w:pStyle w:val="13"/>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签发日期：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773977BF">
      <w:pPr>
        <w:pStyle w:val="13"/>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附：被授权人姓名（签字或盖章）：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3413CF6C">
      <w:pPr>
        <w:pStyle w:val="13"/>
        <w:spacing w:line="500" w:lineRule="exact"/>
        <w:ind w:firstLine="960" w:firstLineChars="4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联系地址：  </w:t>
      </w:r>
      <w:r>
        <w:rPr>
          <w:rFonts w:hint="eastAsia" w:ascii="宋体" w:hAnsi="宋体" w:eastAsia="宋体" w:cs="宋体"/>
          <w:color w:val="auto"/>
          <w:sz w:val="24"/>
          <w:szCs w:val="24"/>
          <w:highlight w:val="none"/>
          <w:u w:val="single"/>
        </w:rPr>
        <w:t xml:space="preserve">                                                </w:t>
      </w:r>
    </w:p>
    <w:p w14:paraId="7C97EE34">
      <w:pPr>
        <w:pStyle w:val="13"/>
        <w:spacing w:line="500" w:lineRule="exact"/>
        <w:ind w:firstLine="960" w:firstLineChars="4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传真：                          </w:t>
      </w:r>
    </w:p>
    <w:p w14:paraId="113FC03E">
      <w:pPr>
        <w:pStyle w:val="13"/>
        <w:spacing w:line="500" w:lineRule="exact"/>
        <w:ind w:firstLine="2760" w:firstLineChars="1150"/>
        <w:rPr>
          <w:rFonts w:hint="eastAsia" w:ascii="宋体" w:hAnsi="宋体" w:eastAsia="宋体" w:cs="宋体"/>
          <w:color w:val="auto"/>
          <w:sz w:val="24"/>
          <w:szCs w:val="24"/>
          <w:highlight w:val="none"/>
        </w:rPr>
      </w:pPr>
    </w:p>
    <w:p w14:paraId="1E9C28E5">
      <w:pPr>
        <w:pStyle w:val="13"/>
        <w:spacing w:line="500" w:lineRule="exact"/>
        <w:ind w:firstLine="2760" w:firstLineChars="1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法定代表人/被授权人身份证复印件</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3"/>
        <w:gridCol w:w="4213"/>
      </w:tblGrid>
      <w:tr w14:paraId="4B1F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3" w:hRule="atLeast"/>
          <w:jc w:val="center"/>
        </w:trPr>
        <w:tc>
          <w:tcPr>
            <w:tcW w:w="4213" w:type="dxa"/>
            <w:shd w:val="clear" w:color="auto" w:fill="E0E0E0"/>
            <w:noWrap w:val="0"/>
            <w:vAlign w:val="center"/>
          </w:tcPr>
          <w:p w14:paraId="7F7FACC9">
            <w:pPr>
              <w:pStyle w:val="13"/>
              <w:snapToGrid w:val="0"/>
              <w:spacing w:line="500" w:lineRule="exact"/>
              <w:jc w:val="center"/>
              <w:rPr>
                <w:rFonts w:hint="eastAsia" w:ascii="宋体" w:hAnsi="宋体" w:eastAsia="宋体" w:cs="宋体"/>
                <w:color w:val="auto"/>
                <w:sz w:val="24"/>
                <w:szCs w:val="24"/>
                <w:highlight w:val="none"/>
                <w:shd w:val="pct10" w:color="auto" w:fill="FFFFFF"/>
              </w:rPr>
            </w:pPr>
            <w:r>
              <w:rPr>
                <w:rFonts w:hint="eastAsia" w:ascii="宋体" w:hAnsi="宋体" w:eastAsia="宋体" w:cs="宋体"/>
                <w:color w:val="auto"/>
                <w:sz w:val="24"/>
                <w:szCs w:val="24"/>
                <w:highlight w:val="none"/>
                <w:shd w:val="pct10" w:color="auto" w:fill="FFFFFF"/>
              </w:rPr>
              <w:t>法定代表人身份证复印件（国徽面）</w:t>
            </w:r>
          </w:p>
        </w:tc>
        <w:tc>
          <w:tcPr>
            <w:tcW w:w="4213" w:type="dxa"/>
            <w:shd w:val="clear" w:color="auto" w:fill="E0E0E0"/>
            <w:noWrap w:val="0"/>
            <w:vAlign w:val="center"/>
          </w:tcPr>
          <w:p w14:paraId="16EC76A6">
            <w:pPr>
              <w:pStyle w:val="13"/>
              <w:snapToGrid w:val="0"/>
              <w:spacing w:line="500" w:lineRule="exact"/>
              <w:jc w:val="center"/>
              <w:rPr>
                <w:rFonts w:hint="eastAsia" w:ascii="宋体" w:hAnsi="宋体" w:eastAsia="宋体" w:cs="宋体"/>
                <w:color w:val="auto"/>
                <w:sz w:val="24"/>
                <w:szCs w:val="24"/>
                <w:highlight w:val="none"/>
                <w:shd w:val="pct10" w:color="auto" w:fill="FFFFFF"/>
              </w:rPr>
            </w:pPr>
            <w:r>
              <w:rPr>
                <w:rFonts w:hint="eastAsia" w:ascii="宋体" w:hAnsi="宋体" w:eastAsia="宋体" w:cs="宋体"/>
                <w:color w:val="auto"/>
                <w:sz w:val="24"/>
                <w:szCs w:val="24"/>
                <w:highlight w:val="none"/>
                <w:shd w:val="pct10" w:color="auto" w:fill="FFFFFF"/>
              </w:rPr>
              <w:t>被授权人身份证复印件（国徽面）</w:t>
            </w:r>
          </w:p>
        </w:tc>
      </w:tr>
      <w:tr w14:paraId="15B2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5" w:hRule="atLeast"/>
          <w:jc w:val="center"/>
        </w:trPr>
        <w:tc>
          <w:tcPr>
            <w:tcW w:w="4213" w:type="dxa"/>
            <w:shd w:val="clear" w:color="auto" w:fill="E0E0E0"/>
            <w:noWrap w:val="0"/>
            <w:vAlign w:val="center"/>
          </w:tcPr>
          <w:p w14:paraId="5E0DBAF4">
            <w:pPr>
              <w:pStyle w:val="13"/>
              <w:snapToGrid w:val="0"/>
              <w:spacing w:line="500" w:lineRule="exact"/>
              <w:jc w:val="center"/>
              <w:rPr>
                <w:rFonts w:hint="eastAsia" w:ascii="宋体" w:hAnsi="宋体" w:eastAsia="宋体" w:cs="宋体"/>
                <w:color w:val="auto"/>
                <w:sz w:val="24"/>
                <w:szCs w:val="24"/>
                <w:highlight w:val="none"/>
                <w:shd w:val="pct10" w:color="auto" w:fill="FFFFFF"/>
              </w:rPr>
            </w:pPr>
            <w:r>
              <w:rPr>
                <w:rFonts w:hint="eastAsia" w:ascii="宋体" w:hAnsi="宋体" w:eastAsia="宋体" w:cs="宋体"/>
                <w:color w:val="auto"/>
                <w:sz w:val="24"/>
                <w:szCs w:val="24"/>
                <w:highlight w:val="none"/>
                <w:shd w:val="pct10" w:color="auto" w:fill="FFFFFF"/>
              </w:rPr>
              <w:t>法定代表人身份证复印件（人像面）</w:t>
            </w:r>
          </w:p>
        </w:tc>
        <w:tc>
          <w:tcPr>
            <w:tcW w:w="4213" w:type="dxa"/>
            <w:shd w:val="clear" w:color="auto" w:fill="E0E0E0"/>
            <w:noWrap w:val="0"/>
            <w:vAlign w:val="center"/>
          </w:tcPr>
          <w:p w14:paraId="5CEA2E3E">
            <w:pPr>
              <w:pStyle w:val="13"/>
              <w:snapToGrid w:val="0"/>
              <w:spacing w:line="500" w:lineRule="exact"/>
              <w:jc w:val="center"/>
              <w:rPr>
                <w:rFonts w:hint="eastAsia" w:ascii="宋体" w:hAnsi="宋体" w:eastAsia="宋体" w:cs="宋体"/>
                <w:color w:val="auto"/>
                <w:sz w:val="24"/>
                <w:szCs w:val="24"/>
                <w:highlight w:val="none"/>
                <w:shd w:val="pct10" w:color="auto" w:fill="FFFFFF"/>
              </w:rPr>
            </w:pPr>
            <w:r>
              <w:rPr>
                <w:rFonts w:hint="eastAsia" w:ascii="宋体" w:hAnsi="宋体" w:eastAsia="宋体" w:cs="宋体"/>
                <w:color w:val="auto"/>
                <w:sz w:val="24"/>
                <w:szCs w:val="24"/>
                <w:highlight w:val="none"/>
                <w:shd w:val="pct10" w:color="auto" w:fill="FFFFFF"/>
              </w:rPr>
              <w:t>被授权人身份证复印件（人像面）</w:t>
            </w:r>
          </w:p>
        </w:tc>
      </w:tr>
    </w:tbl>
    <w:p w14:paraId="36E58994">
      <w:pPr>
        <w:spacing w:line="360" w:lineRule="auto"/>
        <w:jc w:val="center"/>
        <w:rPr>
          <w:rFonts w:hint="eastAsia" w:ascii="宋体" w:hAnsi="宋体" w:eastAsia="宋体" w:cs="宋体"/>
          <w:color w:val="auto"/>
          <w:sz w:val="24"/>
          <w:szCs w:val="24"/>
          <w:highlight w:val="none"/>
        </w:rPr>
      </w:pPr>
    </w:p>
    <w:bookmarkEnd w:id="38"/>
    <w:bookmarkEnd w:id="39"/>
    <w:bookmarkEnd w:id="40"/>
    <w:bookmarkEnd w:id="41"/>
    <w:bookmarkEnd w:id="42"/>
    <w:bookmarkEnd w:id="43"/>
    <w:bookmarkEnd w:id="44"/>
    <w:bookmarkEnd w:id="45"/>
    <w:bookmarkEnd w:id="46"/>
    <w:bookmarkEnd w:id="47"/>
    <w:p w14:paraId="5603111B">
      <w:pPr>
        <w:widowControl/>
        <w:spacing w:line="360" w:lineRule="exact"/>
        <w:ind w:firstLine="480" w:firstLineChars="200"/>
        <w:rPr>
          <w:rFonts w:hint="eastAsia" w:ascii="宋体" w:hAnsi="宋体" w:eastAsia="宋体" w:cs="宋体"/>
          <w:b/>
          <w:bCs/>
          <w:color w:val="auto"/>
          <w:sz w:val="24"/>
          <w:szCs w:val="24"/>
          <w:highlight w:val="none"/>
        </w:rPr>
      </w:pPr>
      <w:bookmarkStart w:id="48" w:name="_Toc7264"/>
      <w:bookmarkStart w:id="49" w:name="_Toc5624"/>
      <w:bookmarkStart w:id="50" w:name="_Toc15794"/>
      <w:bookmarkStart w:id="51" w:name="_Toc2556"/>
      <w:bookmarkStart w:id="52" w:name="_Toc26876"/>
      <w:bookmarkStart w:id="53" w:name="_Toc4050"/>
      <w:r>
        <w:rPr>
          <w:rFonts w:hint="eastAsia" w:ascii="宋体" w:hAnsi="宋体" w:eastAsia="宋体" w:cs="宋体"/>
          <w:color w:val="auto"/>
          <w:sz w:val="24"/>
          <w:szCs w:val="24"/>
          <w:highlight w:val="none"/>
        </w:rPr>
        <w:t>备注：</w:t>
      </w:r>
      <w:r>
        <w:rPr>
          <w:rFonts w:hint="eastAsia" w:ascii="宋体" w:hAnsi="宋体" w:eastAsia="宋体" w:cs="宋体"/>
          <w:b/>
          <w:bCs/>
          <w:color w:val="auto"/>
          <w:sz w:val="24"/>
          <w:szCs w:val="24"/>
          <w:highlight w:val="none"/>
        </w:rPr>
        <w:t>1、法定代表人亲自参加磋商的，无需提供该委托授权书。</w:t>
      </w:r>
    </w:p>
    <w:p w14:paraId="1104C835">
      <w:pPr>
        <w:widowControl/>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2、法人的分支机构参与磋商时，除提供《法定代表人授权委托书》外，还须同时提供法人给分支机构出具的授权书。</w:t>
      </w:r>
    </w:p>
    <w:p w14:paraId="6B63A529">
      <w:pPr>
        <w:spacing w:line="500" w:lineRule="exact"/>
        <w:ind w:firstLine="561"/>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br w:type="page"/>
      </w:r>
      <w:bookmarkEnd w:id="48"/>
      <w:bookmarkEnd w:id="49"/>
      <w:bookmarkEnd w:id="50"/>
      <w:bookmarkEnd w:id="51"/>
      <w:bookmarkEnd w:id="52"/>
      <w:bookmarkEnd w:id="53"/>
      <w:r>
        <w:rPr>
          <w:rFonts w:hint="eastAsia" w:ascii="宋体" w:hAnsi="宋体" w:eastAsia="宋体" w:cs="宋体"/>
          <w:b/>
          <w:bCs/>
          <w:color w:val="auto"/>
          <w:sz w:val="24"/>
          <w:szCs w:val="24"/>
          <w:highlight w:val="none"/>
        </w:rPr>
        <w:t>附件</w:t>
      </w:r>
      <w:r>
        <w:rPr>
          <w:rFonts w:hint="eastAsia" w:ascii="宋体" w:hAnsi="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：非联合体声明</w:t>
      </w:r>
    </w:p>
    <w:p w14:paraId="25EB522D">
      <w:pPr>
        <w:pStyle w:val="25"/>
        <w:widowControl/>
        <w:ind w:firstLine="482" w:firstLineChars="200"/>
        <w:jc w:val="center"/>
        <w:rPr>
          <w:rFonts w:hint="eastAsia" w:ascii="宋体" w:hAnsi="宋体" w:eastAsia="宋体" w:cs="宋体"/>
          <w:b/>
          <w:bCs/>
          <w:color w:val="auto"/>
          <w:sz w:val="24"/>
          <w:szCs w:val="24"/>
          <w:highlight w:val="none"/>
        </w:rPr>
      </w:pPr>
    </w:p>
    <w:p w14:paraId="414E5A04">
      <w:pPr>
        <w:pStyle w:val="25"/>
        <w:widowControl/>
        <w:ind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非联合体声明</w:t>
      </w:r>
    </w:p>
    <w:p w14:paraId="08AC4B61">
      <w:pPr>
        <w:spacing w:line="360" w:lineRule="auto"/>
        <w:ind w:firstLine="480" w:firstLineChars="200"/>
        <w:rPr>
          <w:rFonts w:hint="eastAsia" w:ascii="宋体" w:hAnsi="宋体" w:eastAsia="宋体" w:cs="宋体"/>
          <w:color w:val="auto"/>
          <w:sz w:val="24"/>
          <w:szCs w:val="24"/>
          <w:highlight w:val="none"/>
        </w:rPr>
      </w:pPr>
    </w:p>
    <w:p w14:paraId="23BB0D89">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本单位郑重声明，参加项目名称（项目编号：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）采购活动，为非联合体磋商，本项目实施过程由本单位独立承担。</w:t>
      </w:r>
    </w:p>
    <w:p w14:paraId="356B2D6D">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22E146AA">
      <w:pPr>
        <w:spacing w:line="480" w:lineRule="auto"/>
        <w:ind w:firstLine="480" w:firstLineChars="200"/>
        <w:rPr>
          <w:rFonts w:hint="eastAsia" w:ascii="宋体" w:hAnsi="宋体" w:eastAsia="宋体" w:cs="宋体"/>
          <w:color w:val="auto"/>
          <w:sz w:val="24"/>
          <w:szCs w:val="24"/>
          <w:highlight w:val="none"/>
        </w:rPr>
      </w:pPr>
    </w:p>
    <w:p w14:paraId="49F93C48">
      <w:pPr>
        <w:spacing w:line="480" w:lineRule="auto"/>
        <w:ind w:firstLine="480" w:firstLineChars="200"/>
        <w:rPr>
          <w:rFonts w:hint="eastAsia" w:ascii="宋体" w:hAnsi="宋体" w:eastAsia="宋体" w:cs="宋体"/>
          <w:color w:val="auto"/>
          <w:sz w:val="24"/>
          <w:szCs w:val="24"/>
          <w:highlight w:val="none"/>
        </w:rPr>
      </w:pPr>
    </w:p>
    <w:p w14:paraId="772284FC">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供应商（公章）： 名称（加盖公章）</w:t>
      </w:r>
    </w:p>
    <w:p w14:paraId="171D8C03">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法定代表人或被授权人（签字或盖章）：                </w:t>
      </w:r>
    </w:p>
    <w:p w14:paraId="4DB67745">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   期：      年    月    日 </w:t>
      </w:r>
    </w:p>
    <w:p w14:paraId="09152ED0">
      <w:pPr>
        <w:spacing w:line="440" w:lineRule="exact"/>
        <w:jc w:val="center"/>
        <w:rPr>
          <w:rFonts w:hint="eastAsia" w:ascii="宋体" w:hAnsi="宋体" w:eastAsia="宋体" w:cs="宋体"/>
          <w:b/>
          <w:color w:val="auto"/>
          <w:sz w:val="24"/>
          <w:szCs w:val="24"/>
          <w:highlight w:val="none"/>
          <w:lang w:val="en-US" w:eastAsia="zh-CN"/>
        </w:rPr>
      </w:pPr>
    </w:p>
    <w:p w14:paraId="2C01BAEB">
      <w:pPr>
        <w:spacing w:line="440" w:lineRule="exact"/>
        <w:jc w:val="center"/>
        <w:rPr>
          <w:rFonts w:hint="eastAsia" w:ascii="宋体" w:hAnsi="宋体" w:eastAsia="宋体" w:cs="宋体"/>
          <w:b/>
          <w:color w:val="auto"/>
          <w:sz w:val="24"/>
          <w:szCs w:val="24"/>
          <w:highlight w:val="none"/>
          <w:lang w:val="en-US" w:eastAsia="zh-CN"/>
        </w:rPr>
      </w:pPr>
    </w:p>
    <w:p w14:paraId="339946AB">
      <w:pPr>
        <w:spacing w:line="440" w:lineRule="exact"/>
        <w:jc w:val="center"/>
        <w:rPr>
          <w:rFonts w:hint="eastAsia" w:ascii="宋体" w:hAnsi="宋体" w:eastAsia="宋体" w:cs="宋体"/>
          <w:b/>
          <w:color w:val="auto"/>
          <w:sz w:val="24"/>
          <w:szCs w:val="24"/>
          <w:highlight w:val="none"/>
          <w:lang w:val="en-US" w:eastAsia="zh-CN"/>
        </w:rPr>
      </w:pPr>
    </w:p>
    <w:p w14:paraId="21AA2D76">
      <w:pPr>
        <w:spacing w:line="440" w:lineRule="exact"/>
        <w:jc w:val="center"/>
        <w:rPr>
          <w:rFonts w:hint="eastAsia" w:ascii="宋体" w:hAnsi="宋体" w:eastAsia="宋体" w:cs="宋体"/>
          <w:b/>
          <w:color w:val="auto"/>
          <w:sz w:val="24"/>
          <w:szCs w:val="24"/>
          <w:highlight w:val="none"/>
          <w:lang w:val="en-US" w:eastAsia="zh-CN"/>
        </w:rPr>
      </w:pPr>
    </w:p>
    <w:p w14:paraId="613E9916">
      <w:pPr>
        <w:spacing w:line="440" w:lineRule="exact"/>
        <w:jc w:val="center"/>
        <w:rPr>
          <w:rFonts w:hint="eastAsia" w:ascii="宋体" w:hAnsi="宋体" w:eastAsia="宋体" w:cs="宋体"/>
          <w:b/>
          <w:color w:val="auto"/>
          <w:sz w:val="24"/>
          <w:szCs w:val="24"/>
          <w:highlight w:val="none"/>
          <w:lang w:val="en-US" w:eastAsia="zh-CN"/>
        </w:rPr>
      </w:pPr>
    </w:p>
    <w:p w14:paraId="58A6F4DA">
      <w:pPr>
        <w:spacing w:line="440" w:lineRule="exact"/>
        <w:jc w:val="center"/>
        <w:rPr>
          <w:rFonts w:hint="eastAsia" w:ascii="宋体" w:hAnsi="宋体" w:eastAsia="宋体" w:cs="宋体"/>
          <w:b/>
          <w:color w:val="auto"/>
          <w:sz w:val="24"/>
          <w:szCs w:val="24"/>
          <w:highlight w:val="none"/>
          <w:lang w:val="en-US" w:eastAsia="zh-CN"/>
        </w:rPr>
      </w:pPr>
    </w:p>
    <w:p w14:paraId="57315686">
      <w:pPr>
        <w:spacing w:line="440" w:lineRule="exact"/>
        <w:jc w:val="center"/>
        <w:rPr>
          <w:rFonts w:hint="eastAsia" w:ascii="宋体" w:hAnsi="宋体" w:eastAsia="宋体" w:cs="宋体"/>
          <w:b/>
          <w:color w:val="auto"/>
          <w:sz w:val="24"/>
          <w:szCs w:val="24"/>
          <w:highlight w:val="none"/>
          <w:lang w:val="en-US" w:eastAsia="zh-CN"/>
        </w:rPr>
      </w:pPr>
    </w:p>
    <w:p w14:paraId="02473262">
      <w:pPr>
        <w:spacing w:line="440" w:lineRule="exact"/>
        <w:jc w:val="center"/>
        <w:rPr>
          <w:rFonts w:hint="eastAsia" w:ascii="宋体" w:hAnsi="宋体" w:eastAsia="宋体" w:cs="宋体"/>
          <w:b/>
          <w:color w:val="auto"/>
          <w:sz w:val="24"/>
          <w:szCs w:val="24"/>
          <w:highlight w:val="none"/>
          <w:lang w:val="en-US" w:eastAsia="zh-CN"/>
        </w:rPr>
      </w:pPr>
    </w:p>
    <w:p w14:paraId="03AF5FB9">
      <w:pPr>
        <w:spacing w:line="440" w:lineRule="exact"/>
        <w:jc w:val="center"/>
        <w:rPr>
          <w:rFonts w:hint="eastAsia" w:ascii="宋体" w:hAnsi="宋体" w:eastAsia="宋体" w:cs="宋体"/>
          <w:b/>
          <w:color w:val="auto"/>
          <w:sz w:val="24"/>
          <w:szCs w:val="24"/>
          <w:highlight w:val="none"/>
          <w:lang w:val="en-US" w:eastAsia="zh-CN"/>
        </w:rPr>
      </w:pPr>
    </w:p>
    <w:p w14:paraId="265465C6">
      <w:pPr>
        <w:spacing w:line="440" w:lineRule="exact"/>
        <w:jc w:val="center"/>
        <w:rPr>
          <w:rFonts w:hint="eastAsia" w:ascii="宋体" w:hAnsi="宋体" w:eastAsia="宋体" w:cs="宋体"/>
          <w:b/>
          <w:color w:val="auto"/>
          <w:sz w:val="24"/>
          <w:szCs w:val="24"/>
          <w:highlight w:val="none"/>
          <w:lang w:val="en-US" w:eastAsia="zh-CN"/>
        </w:rPr>
      </w:pPr>
    </w:p>
    <w:p w14:paraId="5009841E">
      <w:pPr>
        <w:spacing w:line="440" w:lineRule="exact"/>
        <w:jc w:val="center"/>
        <w:rPr>
          <w:rFonts w:hint="eastAsia" w:ascii="宋体" w:hAnsi="宋体" w:eastAsia="宋体" w:cs="宋体"/>
          <w:b/>
          <w:color w:val="auto"/>
          <w:sz w:val="24"/>
          <w:szCs w:val="24"/>
          <w:highlight w:val="none"/>
          <w:lang w:val="en-US" w:eastAsia="zh-CN"/>
        </w:rPr>
      </w:pPr>
    </w:p>
    <w:p w14:paraId="6F737FCE">
      <w:pPr>
        <w:spacing w:line="440" w:lineRule="exact"/>
        <w:jc w:val="center"/>
        <w:rPr>
          <w:rFonts w:hint="eastAsia" w:ascii="宋体" w:hAnsi="宋体" w:eastAsia="宋体" w:cs="宋体"/>
          <w:b/>
          <w:color w:val="auto"/>
          <w:sz w:val="24"/>
          <w:szCs w:val="24"/>
          <w:highlight w:val="none"/>
          <w:lang w:val="en-US" w:eastAsia="zh-CN"/>
        </w:rPr>
      </w:pPr>
    </w:p>
    <w:p w14:paraId="64C41D01">
      <w:pPr>
        <w:spacing w:line="440" w:lineRule="exact"/>
        <w:jc w:val="center"/>
        <w:rPr>
          <w:rFonts w:hint="eastAsia" w:ascii="宋体" w:hAnsi="宋体" w:eastAsia="宋体" w:cs="宋体"/>
          <w:b/>
          <w:color w:val="auto"/>
          <w:sz w:val="24"/>
          <w:szCs w:val="24"/>
          <w:highlight w:val="none"/>
          <w:lang w:val="en-US" w:eastAsia="zh-CN"/>
        </w:rPr>
      </w:pPr>
    </w:p>
    <w:p w14:paraId="73D76CC2">
      <w:pPr>
        <w:spacing w:line="440" w:lineRule="exact"/>
        <w:jc w:val="center"/>
        <w:rPr>
          <w:rFonts w:hint="eastAsia" w:ascii="宋体" w:hAnsi="宋体" w:eastAsia="宋体" w:cs="宋体"/>
          <w:b/>
          <w:color w:val="auto"/>
          <w:sz w:val="24"/>
          <w:szCs w:val="24"/>
          <w:highlight w:val="none"/>
          <w:lang w:val="en-US" w:eastAsia="zh-CN"/>
        </w:rPr>
      </w:pPr>
    </w:p>
    <w:p w14:paraId="0AEE19D5">
      <w:pPr>
        <w:spacing w:line="440" w:lineRule="exact"/>
        <w:jc w:val="center"/>
        <w:rPr>
          <w:rFonts w:hint="eastAsia" w:ascii="宋体" w:hAnsi="宋体" w:eastAsia="宋体" w:cs="宋体"/>
          <w:b/>
          <w:color w:val="auto"/>
          <w:sz w:val="24"/>
          <w:szCs w:val="24"/>
          <w:highlight w:val="none"/>
          <w:lang w:val="en-US" w:eastAsia="zh-CN"/>
        </w:rPr>
      </w:pPr>
    </w:p>
    <w:p w14:paraId="34FB806E">
      <w:pPr>
        <w:spacing w:line="440" w:lineRule="exact"/>
        <w:jc w:val="center"/>
        <w:rPr>
          <w:rFonts w:hint="eastAsia" w:ascii="宋体" w:hAnsi="宋体" w:eastAsia="宋体" w:cs="宋体"/>
          <w:b/>
          <w:color w:val="auto"/>
          <w:sz w:val="24"/>
          <w:szCs w:val="24"/>
          <w:highlight w:val="none"/>
          <w:lang w:val="en-US" w:eastAsia="zh-CN"/>
        </w:rPr>
      </w:pPr>
    </w:p>
    <w:p w14:paraId="2B6DE2B4">
      <w:pPr>
        <w:spacing w:line="440" w:lineRule="exact"/>
        <w:jc w:val="center"/>
        <w:rPr>
          <w:rFonts w:hint="eastAsia" w:ascii="宋体" w:hAnsi="宋体" w:eastAsia="宋体" w:cs="宋体"/>
          <w:b/>
          <w:color w:val="auto"/>
          <w:sz w:val="24"/>
          <w:szCs w:val="24"/>
          <w:highlight w:val="none"/>
          <w:lang w:val="en-US" w:eastAsia="zh-CN"/>
        </w:rPr>
      </w:pPr>
    </w:p>
    <w:p w14:paraId="52CC7138">
      <w:pPr>
        <w:spacing w:line="44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、磋商承诺书</w:t>
      </w:r>
    </w:p>
    <w:p w14:paraId="0568D442">
      <w:pPr>
        <w:pStyle w:val="25"/>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采购供应商拒绝政府采购领域商业贿赂承诺书（一）</w:t>
      </w:r>
    </w:p>
    <w:p w14:paraId="6980442F">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为响应党中央、国务院关于治理采购领域商业贿赂行为的号召，我公司再次承诺：</w:t>
      </w:r>
    </w:p>
    <w:p w14:paraId="5C475068">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1、在参与采购活动中遵纪守法、诚信经营、公平竞标。</w:t>
      </w:r>
    </w:p>
    <w:p w14:paraId="7988CECF">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2、不向</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、采购代理机构和采购评审专家进行任何形式的商业贿赂以谋取交易机会。</w:t>
      </w:r>
    </w:p>
    <w:p w14:paraId="66FB6B0B">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3、不向采购代理机构和</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提供虚假资质文件或采用虚假应标方式参与采购市场竞争并谋取</w:t>
      </w:r>
      <w:r>
        <w:rPr>
          <w:rFonts w:hint="eastAsia" w:ascii="宋体" w:hAnsi="宋体" w:eastAsia="宋体" w:cs="宋体"/>
          <w:color w:val="auto"/>
          <w:sz w:val="24"/>
          <w:szCs w:val="24"/>
          <w:highlight w:val="none"/>
          <w:lang w:val="en-US" w:eastAsia="zh-CN"/>
        </w:rPr>
        <w:t>中标</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w:t>
      </w:r>
    </w:p>
    <w:p w14:paraId="7EB6104D">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4、不采取“围标、陪标”等商业欺诈手段获取采购订单。</w:t>
      </w:r>
    </w:p>
    <w:p w14:paraId="0626D10F">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p>
    <w:p w14:paraId="500E09D4">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6、不在提供商品和服务时“偷梁换柱、以次充好”损害</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的合法权益。</w:t>
      </w:r>
    </w:p>
    <w:p w14:paraId="4491DA50">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7、不与</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、采购代理机构、采购评审专家或其他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恶意串通，进行质疑和投诉，维护采购市场秩序。</w:t>
      </w:r>
    </w:p>
    <w:p w14:paraId="4853EB26">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8、尊重和接受采购监督管理部门的监督和</w:t>
      </w:r>
      <w:r>
        <w:rPr>
          <w:rFonts w:hint="eastAsia" w:ascii="宋体" w:hAnsi="宋体" w:eastAsia="宋体" w:cs="宋体"/>
          <w:color w:val="auto"/>
          <w:sz w:val="24"/>
          <w:szCs w:val="24"/>
          <w:highlight w:val="none"/>
          <w:lang w:val="en-US" w:eastAsia="zh-CN"/>
        </w:rPr>
        <w:t>采购人的</w:t>
      </w:r>
      <w:r>
        <w:rPr>
          <w:rFonts w:hint="eastAsia" w:ascii="宋体" w:hAnsi="宋体" w:eastAsia="宋体" w:cs="宋体"/>
          <w:color w:val="auto"/>
          <w:sz w:val="24"/>
          <w:szCs w:val="24"/>
          <w:highlight w:val="none"/>
        </w:rPr>
        <w:t>采购要求，承担因违约行为给</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造成的损失。</w:t>
      </w:r>
    </w:p>
    <w:p w14:paraId="2CC4F55C">
      <w:pPr>
        <w:spacing w:line="480" w:lineRule="auto"/>
        <w:ind w:firstLine="480" w:firstLineChars="200"/>
        <w:rPr>
          <w:rFonts w:hint="eastAsia" w:ascii="宋体" w:hAnsi="宋体" w:eastAsia="宋体" w:cs="宋体"/>
          <w:color w:val="auto"/>
          <w:kern w:val="1"/>
          <w:sz w:val="24"/>
          <w:szCs w:val="24"/>
          <w:highlight w:val="none"/>
        </w:rPr>
      </w:pPr>
      <w:r>
        <w:rPr>
          <w:rFonts w:hint="eastAsia" w:ascii="宋体" w:hAnsi="宋体" w:eastAsia="宋体" w:cs="宋体"/>
          <w:color w:val="auto"/>
          <w:sz w:val="24"/>
          <w:szCs w:val="24"/>
          <w:highlight w:val="none"/>
        </w:rPr>
        <w:t>9、不发生其他有悖于政府采购公开、公平、公正和诚信原则的行为。</w:t>
      </w:r>
    </w:p>
    <w:p w14:paraId="78A22D3F">
      <w:pPr>
        <w:spacing w:line="60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承诺单位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单位全称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（盖章）</w:t>
      </w:r>
    </w:p>
    <w:p w14:paraId="77F04CD3">
      <w:pPr>
        <w:spacing w:line="60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33863880">
      <w:pPr>
        <w:spacing w:line="600" w:lineRule="auto"/>
        <w:ind w:firstLine="3360" w:firstLineChars="14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月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4A6980F7">
      <w:pPr>
        <w:spacing w:line="480" w:lineRule="auto"/>
        <w:jc w:val="center"/>
        <w:rPr>
          <w:rFonts w:hint="eastAsia" w:ascii="宋体" w:hAnsi="宋体" w:eastAsia="宋体" w:cs="宋体"/>
          <w:b/>
          <w:color w:val="auto"/>
          <w:sz w:val="24"/>
          <w:szCs w:val="24"/>
          <w:highlight w:val="none"/>
        </w:rPr>
      </w:pPr>
      <w:r>
        <w:rPr>
          <w:rFonts w:hint="eastAsia" w:ascii="宋体" w:hAnsi="宋体" w:eastAsia="宋体" w:cs="宋体"/>
          <w:color w:val="auto"/>
          <w:kern w:val="1"/>
          <w:sz w:val="21"/>
          <w:szCs w:val="21"/>
          <w:highlight w:val="none"/>
        </w:rPr>
        <w:br w:type="page"/>
      </w:r>
      <w:r>
        <w:rPr>
          <w:rFonts w:hint="eastAsia" w:ascii="宋体" w:hAnsi="宋体" w:eastAsia="宋体" w:cs="宋体"/>
          <w:b/>
          <w:color w:val="auto"/>
          <w:sz w:val="24"/>
          <w:szCs w:val="24"/>
          <w:highlight w:val="none"/>
        </w:rPr>
        <w:t>履约承诺书（</w:t>
      </w: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rPr>
        <w:t>）</w:t>
      </w:r>
    </w:p>
    <w:p w14:paraId="1137EFAC">
      <w:pPr>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lang w:val="en-US" w:eastAsia="zh-CN"/>
        </w:rPr>
        <w:t>长武县住房和城乡建设局</w:t>
      </w:r>
      <w:r>
        <w:rPr>
          <w:rFonts w:hint="eastAsia" w:ascii="宋体" w:hAnsi="宋体" w:eastAsia="宋体" w:cs="宋体"/>
          <w:b w:val="0"/>
          <w:bCs w:val="0"/>
          <w:color w:val="auto"/>
          <w:sz w:val="24"/>
          <w:szCs w:val="24"/>
          <w:highlight w:val="none"/>
          <w:u w:val="single"/>
          <w:lang w:val="en-US" w:eastAsia="zh-CN"/>
        </w:rPr>
        <w:t xml:space="preserve"> </w:t>
      </w:r>
    </w:p>
    <w:p w14:paraId="37FF9D64">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我方对获得的</w:t>
      </w:r>
      <w:r>
        <w:rPr>
          <w:rFonts w:hint="eastAsia" w:ascii="宋体" w:hAnsi="宋体" w:eastAsia="宋体" w:cs="宋体"/>
          <w:color w:val="auto"/>
          <w:sz w:val="24"/>
          <w:szCs w:val="24"/>
          <w:highlight w:val="none"/>
          <w:u w:val="single"/>
        </w:rPr>
        <w:t xml:space="preserve">                       （项目名称）</w:t>
      </w:r>
      <w:r>
        <w:rPr>
          <w:rFonts w:hint="eastAsia" w:ascii="宋体" w:hAnsi="宋体" w:eastAsia="宋体" w:cs="宋体"/>
          <w:color w:val="auto"/>
          <w:sz w:val="24"/>
          <w:szCs w:val="24"/>
          <w:highlight w:val="none"/>
          <w:lang w:eastAsia="zh-CN"/>
        </w:rPr>
        <w:t>竞争性磋商文件</w:t>
      </w:r>
      <w:r>
        <w:rPr>
          <w:rFonts w:hint="eastAsia" w:ascii="宋体" w:hAnsi="宋体" w:eastAsia="宋体" w:cs="宋体"/>
          <w:color w:val="auto"/>
          <w:sz w:val="24"/>
          <w:szCs w:val="24"/>
          <w:highlight w:val="none"/>
        </w:rPr>
        <w:t>充分阅读并理解，作为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，承诺声明如下：</w:t>
      </w:r>
    </w:p>
    <w:p w14:paraId="71E73952">
      <w:pPr>
        <w:numPr>
          <w:ilvl w:val="0"/>
          <w:numId w:val="0"/>
        </w:num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我方在</w:t>
      </w:r>
      <w:r>
        <w:rPr>
          <w:rFonts w:hint="eastAsia" w:ascii="宋体" w:hAnsi="宋体" w:eastAsia="宋体" w:cs="宋体"/>
          <w:color w:val="auto"/>
          <w:sz w:val="24"/>
          <w:szCs w:val="24"/>
          <w:highlight w:val="none"/>
          <w:lang w:eastAsia="zh-CN"/>
        </w:rPr>
        <w:t>竞争性磋商响应文件</w:t>
      </w:r>
      <w:r>
        <w:rPr>
          <w:rFonts w:hint="eastAsia" w:ascii="宋体" w:hAnsi="宋体" w:eastAsia="宋体" w:cs="宋体"/>
          <w:color w:val="auto"/>
          <w:sz w:val="24"/>
          <w:szCs w:val="24"/>
          <w:highlight w:val="none"/>
        </w:rPr>
        <w:t>中提供的信息是真实、可靠，并能够经受考证、考察和实践检验的。</w:t>
      </w:r>
    </w:p>
    <w:p w14:paraId="7351ED6C">
      <w:pPr>
        <w:numPr>
          <w:ilvl w:val="0"/>
          <w:numId w:val="0"/>
        </w:num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我</w:t>
      </w:r>
      <w:r>
        <w:rPr>
          <w:rFonts w:hint="eastAsia" w:ascii="宋体" w:hAnsi="宋体" w:eastAsia="宋体" w:cs="宋体"/>
          <w:b w:val="0"/>
          <w:bCs w:val="0"/>
          <w:color w:val="auto"/>
          <w:sz w:val="24"/>
          <w:szCs w:val="24"/>
          <w:highlight w:val="none"/>
          <w:lang w:val="en-US" w:eastAsia="zh-CN"/>
        </w:rPr>
        <w:t>方所提供的各类资格证明资料，有效期的截止日期不早于提交竞争性磋商响应文件日期。</w:t>
      </w:r>
    </w:p>
    <w:p w14:paraId="2237DB8F">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、我方理解如果我方所报信息有任何不真实，</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都将随时会取消我方</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资格。</w:t>
      </w:r>
    </w:p>
    <w:p w14:paraId="6020D71F">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、我方已充分知悉理解了</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竞争性磋商文件</w:t>
      </w:r>
      <w:r>
        <w:rPr>
          <w:rFonts w:hint="eastAsia" w:ascii="宋体" w:hAnsi="宋体" w:eastAsia="宋体" w:cs="宋体"/>
          <w:color w:val="auto"/>
          <w:sz w:val="24"/>
          <w:szCs w:val="24"/>
          <w:highlight w:val="none"/>
        </w:rPr>
        <w:t>》中提出的所有规定及要求，并予严格遵守且完全响应</w:t>
      </w:r>
      <w:r>
        <w:rPr>
          <w:rFonts w:hint="eastAsia" w:ascii="宋体" w:hAnsi="宋体" w:eastAsia="宋体" w:cs="宋体"/>
          <w:color w:val="auto"/>
          <w:sz w:val="24"/>
          <w:szCs w:val="24"/>
          <w:highlight w:val="none"/>
          <w:lang w:eastAsia="zh-CN"/>
        </w:rPr>
        <w:t>竞争性磋商文件</w:t>
      </w:r>
      <w:r>
        <w:rPr>
          <w:rFonts w:hint="eastAsia" w:ascii="宋体" w:hAnsi="宋体" w:eastAsia="宋体" w:cs="宋体"/>
          <w:color w:val="auto"/>
          <w:sz w:val="24"/>
          <w:szCs w:val="24"/>
          <w:highlight w:val="none"/>
        </w:rPr>
        <w:t>中对技术</w:t>
      </w:r>
      <w:r>
        <w:rPr>
          <w:rFonts w:hint="eastAsia" w:ascii="宋体" w:hAnsi="宋体" w:eastAsia="宋体" w:cs="宋体"/>
          <w:color w:val="auto"/>
          <w:sz w:val="24"/>
          <w:szCs w:val="24"/>
          <w:highlight w:val="none"/>
          <w:lang w:val="en-US" w:eastAsia="zh-CN"/>
        </w:rPr>
        <w:t>实施方案</w:t>
      </w:r>
      <w:r>
        <w:rPr>
          <w:rFonts w:hint="eastAsia" w:ascii="宋体" w:hAnsi="宋体" w:eastAsia="宋体" w:cs="宋体"/>
          <w:color w:val="auto"/>
          <w:sz w:val="24"/>
          <w:szCs w:val="24"/>
          <w:highlight w:val="none"/>
        </w:rPr>
        <w:t>、合同条款、</w:t>
      </w:r>
      <w:r>
        <w:rPr>
          <w:rFonts w:hint="eastAsia" w:ascii="宋体" w:hAnsi="宋体" w:eastAsia="宋体" w:cs="宋体"/>
          <w:color w:val="auto"/>
          <w:sz w:val="24"/>
          <w:szCs w:val="24"/>
          <w:highlight w:val="none"/>
          <w:lang w:eastAsia="zh-CN"/>
        </w:rPr>
        <w:t>服务期</w:t>
      </w:r>
      <w:r>
        <w:rPr>
          <w:rFonts w:hint="eastAsia" w:ascii="宋体" w:hAnsi="宋体" w:eastAsia="宋体" w:cs="宋体"/>
          <w:color w:val="auto"/>
          <w:sz w:val="24"/>
          <w:szCs w:val="24"/>
          <w:highlight w:val="none"/>
        </w:rPr>
        <w:t>等条款的各项规定。</w:t>
      </w:r>
    </w:p>
    <w:p w14:paraId="66153221">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、我方充分理解</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在本项目情况发生较大变化时有终止本项目</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的权力。</w:t>
      </w:r>
    </w:p>
    <w:p w14:paraId="39E77014">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、我方同意</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通过考察对我方资格作出新的判断。</w:t>
      </w:r>
    </w:p>
    <w:p w14:paraId="5C689138">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、若我方在与贵单位合作过程中发生失信行为，愿意承担相应的后果。</w:t>
      </w:r>
    </w:p>
    <w:p w14:paraId="6B6AD99D">
      <w:pPr>
        <w:spacing w:line="360" w:lineRule="auto"/>
        <w:rPr>
          <w:rFonts w:hint="eastAsia" w:ascii="宋体" w:hAnsi="宋体" w:eastAsia="宋体" w:cs="宋体"/>
          <w:color w:val="auto"/>
          <w:sz w:val="24"/>
          <w:szCs w:val="24"/>
          <w:highlight w:val="none"/>
        </w:rPr>
      </w:pPr>
    </w:p>
    <w:p w14:paraId="58727D0D">
      <w:pPr>
        <w:spacing w:line="60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承诺单位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单位全称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（盖章）</w:t>
      </w:r>
    </w:p>
    <w:p w14:paraId="08BD8550">
      <w:pPr>
        <w:spacing w:line="60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0E42F940">
      <w:pPr>
        <w:spacing w:line="600" w:lineRule="auto"/>
        <w:ind w:firstLine="3360" w:firstLineChars="14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月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4636CCB4">
      <w:pPr>
        <w:spacing w:line="360" w:lineRule="auto"/>
        <w:ind w:firstLine="3840" w:firstLineChars="1600"/>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w:t>
      </w:r>
    </w:p>
    <w:p w14:paraId="5306EF57">
      <w:pP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 xml:space="preserve"> </w:t>
      </w:r>
    </w:p>
    <w:p w14:paraId="19A1724E">
      <w:pP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br w:type="page"/>
      </w:r>
    </w:p>
    <w:p w14:paraId="48E1CCDE">
      <w:pPr>
        <w:pStyle w:val="10"/>
        <w:rPr>
          <w:rFonts w:hint="eastAsia" w:ascii="宋体" w:hAnsi="宋体" w:eastAsia="宋体" w:cs="宋体"/>
          <w:color w:val="auto"/>
          <w:highlight w:val="none"/>
        </w:rPr>
      </w:pPr>
    </w:p>
    <w:p w14:paraId="43CA11FF">
      <w:pPr>
        <w:spacing w:line="360" w:lineRule="auto"/>
        <w:ind w:firstLine="482" w:firstLineChars="200"/>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承诺书（</w:t>
      </w: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w:t>
      </w:r>
    </w:p>
    <w:p w14:paraId="780C87C0">
      <w:pPr>
        <w:spacing w:line="480" w:lineRule="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长武县住房和城乡建设局</w:t>
      </w:r>
      <w:r>
        <w:rPr>
          <w:rFonts w:hint="eastAsia" w:ascii="宋体" w:hAnsi="宋体" w:eastAsia="宋体" w:cs="宋体"/>
          <w:color w:val="auto"/>
          <w:sz w:val="24"/>
          <w:szCs w:val="24"/>
          <w:highlight w:val="none"/>
        </w:rPr>
        <w:t>：</w:t>
      </w:r>
    </w:p>
    <w:p w14:paraId="0CEB06FA">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作为参加贵公司组织的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长武县城区摆放时令鲜花项目</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，本公司承诺：在参加本项目</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之前不存在被依法禁止经营行为、财产被接管或冻结的情况，如有隐瞒实情，愿承担一切责任及后果。</w:t>
      </w:r>
    </w:p>
    <w:p w14:paraId="3EBE0669">
      <w:pPr>
        <w:spacing w:line="360" w:lineRule="auto"/>
        <w:ind w:left="483" w:leftChars="230" w:firstLine="4200" w:firstLineChars="1750"/>
        <w:rPr>
          <w:rFonts w:hint="eastAsia" w:ascii="宋体" w:hAnsi="宋体" w:eastAsia="宋体" w:cs="宋体"/>
          <w:color w:val="auto"/>
          <w:kern w:val="1"/>
          <w:sz w:val="24"/>
          <w:szCs w:val="24"/>
          <w:highlight w:val="none"/>
        </w:rPr>
      </w:pPr>
    </w:p>
    <w:p w14:paraId="56DC1C0F">
      <w:pPr>
        <w:spacing w:line="60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承诺单位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单位全称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（盖章）</w:t>
      </w:r>
    </w:p>
    <w:p w14:paraId="466B9AAB">
      <w:pPr>
        <w:spacing w:line="60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450898B6">
      <w:pPr>
        <w:spacing w:line="600" w:lineRule="auto"/>
        <w:ind w:firstLine="3360" w:firstLineChars="14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月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26CF684E">
      <w:pPr>
        <w:spacing w:line="360" w:lineRule="atLeast"/>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14:paraId="4CBD7544">
      <w:pPr>
        <w:spacing w:line="360" w:lineRule="auto"/>
        <w:ind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承诺书（</w:t>
      </w:r>
      <w:r>
        <w:rPr>
          <w:rFonts w:hint="eastAsia" w:ascii="宋体" w:hAnsi="宋体" w:eastAsia="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rPr>
        <w:t>）</w:t>
      </w:r>
    </w:p>
    <w:p w14:paraId="4AF1AABD">
      <w:pPr>
        <w:spacing w:line="360" w:lineRule="atLeast"/>
        <w:jc w:val="center"/>
        <w:rPr>
          <w:rFonts w:hint="eastAsia" w:ascii="宋体" w:hAnsi="宋体" w:eastAsia="宋体" w:cs="宋体"/>
          <w:b/>
          <w:color w:val="auto"/>
          <w:sz w:val="24"/>
          <w:szCs w:val="24"/>
          <w:highlight w:val="none"/>
        </w:rPr>
      </w:pPr>
    </w:p>
    <w:p w14:paraId="2CF98647">
      <w:pPr>
        <w:spacing w:line="480" w:lineRule="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长武县住房和城乡建设局</w:t>
      </w:r>
      <w:r>
        <w:rPr>
          <w:rFonts w:hint="eastAsia" w:ascii="宋体" w:hAnsi="宋体" w:eastAsia="宋体" w:cs="宋体"/>
          <w:color w:val="auto"/>
          <w:sz w:val="24"/>
          <w:szCs w:val="24"/>
          <w:highlight w:val="none"/>
        </w:rPr>
        <w:t>：</w:t>
      </w:r>
    </w:p>
    <w:p w14:paraId="6941B962">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作为参加贵公司组织的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长武县城区摆放时令鲜花项目</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，本公司承诺：参加本次</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提交的所有资格证明文件等相关证明是真实的、有效的，如有隐瞒实情，愿承担一切责任及后果。</w:t>
      </w:r>
    </w:p>
    <w:p w14:paraId="7DCEDAF0">
      <w:pPr>
        <w:spacing w:line="60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承诺单位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单位全称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（盖章）</w:t>
      </w:r>
    </w:p>
    <w:p w14:paraId="08BA093E">
      <w:pPr>
        <w:spacing w:line="60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7C9491BF">
      <w:pPr>
        <w:spacing w:line="600" w:lineRule="auto"/>
        <w:ind w:firstLine="3360" w:firstLineChars="14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月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31C4B2EA">
      <w:pPr>
        <w:numPr>
          <w:ilvl w:val="0"/>
          <w:numId w:val="0"/>
        </w:numPr>
        <w:spacing w:line="360" w:lineRule="auto"/>
        <w:jc w:val="center"/>
        <w:rPr>
          <w:rFonts w:hint="eastAsia" w:ascii="宋体" w:hAnsi="宋体" w:eastAsia="宋体" w:cs="宋体"/>
          <w:color w:val="auto"/>
          <w:sz w:val="24"/>
          <w:szCs w:val="24"/>
          <w:highlight w:val="none"/>
          <w:u w:val="single"/>
        </w:rPr>
      </w:pPr>
      <w:r>
        <w:rPr>
          <w:rFonts w:hint="eastAsia" w:ascii="宋体" w:hAnsi="宋体" w:eastAsia="宋体" w:cs="宋体"/>
          <w:color w:val="auto"/>
          <w:kern w:val="1"/>
          <w:sz w:val="21"/>
          <w:szCs w:val="21"/>
          <w:highlight w:val="none"/>
          <w:lang w:eastAsia="zh-CN"/>
        </w:rPr>
        <w:br w:type="page"/>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color w:val="auto"/>
          <w:sz w:val="24"/>
          <w:szCs w:val="24"/>
          <w:highlight w:val="none"/>
        </w:rPr>
        <w:t>保密承诺书（</w:t>
      </w:r>
      <w:r>
        <w:rPr>
          <w:rFonts w:hint="eastAsia" w:ascii="宋体" w:hAnsi="宋体" w:eastAsia="宋体" w:cs="宋体"/>
          <w:b/>
          <w:color w:val="auto"/>
          <w:sz w:val="24"/>
          <w:szCs w:val="24"/>
          <w:highlight w:val="none"/>
          <w:lang w:val="en-US" w:eastAsia="zh-CN"/>
        </w:rPr>
        <w:t>五</w:t>
      </w:r>
      <w:r>
        <w:rPr>
          <w:rFonts w:hint="eastAsia" w:ascii="宋体" w:hAnsi="宋体" w:eastAsia="宋体" w:cs="宋体"/>
          <w:b/>
          <w:color w:val="auto"/>
          <w:sz w:val="24"/>
          <w:szCs w:val="24"/>
          <w:highlight w:val="none"/>
        </w:rPr>
        <w:t>）</w:t>
      </w:r>
    </w:p>
    <w:p w14:paraId="78448AB0">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名称)</w:t>
      </w:r>
      <w:r>
        <w:rPr>
          <w:rFonts w:hint="eastAsia" w:ascii="宋体" w:hAnsi="宋体" w:eastAsia="宋体" w:cs="宋体"/>
          <w:color w:val="auto"/>
          <w:sz w:val="24"/>
          <w:szCs w:val="24"/>
          <w:highlight w:val="none"/>
        </w:rPr>
        <w:t>作为贵单位的</w:t>
      </w:r>
      <w:r>
        <w:rPr>
          <w:rFonts w:hint="eastAsia" w:ascii="宋体" w:hAnsi="宋体" w:cs="宋体"/>
          <w:color w:val="auto"/>
          <w:sz w:val="24"/>
          <w:szCs w:val="24"/>
          <w:highlight w:val="none"/>
          <w:lang w:val="en-US" w:eastAsia="zh-CN"/>
        </w:rPr>
        <w:t>长武县城区摆放时令鲜花项目</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有必要获得贵单位有关信息，以便我方了解和使用。鉴于在合作的过程中，贵单位提供给我方或我方自行接触到的信息，我方不能向任何第三方进行任何披露，因此我方特向贵单位做出如下陈述与承诺，并保证受本承诺书的约束。</w:t>
      </w:r>
    </w:p>
    <w:p w14:paraId="66D02F07">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第一条：定义</w:t>
      </w:r>
    </w:p>
    <w:p w14:paraId="50C8E79B">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本承诺书中，有关术语含义如下：</w:t>
      </w:r>
    </w:p>
    <w:p w14:paraId="093F9962">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“信息”指任何以口头、书面、图表或电子文档以及其他形式存在的</w:t>
      </w:r>
    </w:p>
    <w:p w14:paraId="3CE7FDA1">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 任何涉及贵单位过去，现在或将来的规章制度、操作规程、处理手段、财务信息：</w:t>
      </w:r>
    </w:p>
    <w:p w14:paraId="26F07096">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 任何贵单位的技术秘密或专有知识、文件、报告、数据、客户软件、流程图、数据库、发明、知识、及贸易秘密，无论上述信息是否享有知识产权；</w:t>
      </w:r>
    </w:p>
    <w:p w14:paraId="18E75999">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 任何其他的以有形方式存在的信息。</w:t>
      </w:r>
    </w:p>
    <w:p w14:paraId="1C85B156">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“保密信息”指贵单位明确表示我方应当保守秘密的任何“信息”，该明确表示可以通过；</w:t>
      </w:r>
    </w:p>
    <w:p w14:paraId="02F4408B">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（1）书面形式；（2）口头形式；</w:t>
      </w:r>
    </w:p>
    <w:p w14:paraId="3ECD0BE4">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该明确可以发生在我方接收或接触到的信息的当时，也可以发生于在此之后的任何时间。</w:t>
      </w:r>
    </w:p>
    <w:p w14:paraId="7C43B572">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第二条：我方保密的义务</w:t>
      </w:r>
    </w:p>
    <w:p w14:paraId="0C1FA740">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我方对于从贵单位处收到的保密信息，在未经贵单位事先书面允可的情况下，不以任何方式提供给第三方。</w:t>
      </w:r>
    </w:p>
    <w:p w14:paraId="06380A9D">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我方对于从贵单位处得到的保密信息，应当通过建立内部保密制度，培训员工等方式和措施确保保密信息的安全，并且如果我方内部已有保密制度的，应当从贵单位处得到的保密信息视同我方自己企业内部的保密信息一样进行安全管理。</w:t>
      </w:r>
    </w:p>
    <w:p w14:paraId="1C9A236A">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我方严格保证：</w:t>
      </w:r>
    </w:p>
    <w:p w14:paraId="4518038D">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（1）所收到的信息只能用于我方为贵单位提供</w:t>
      </w:r>
      <w:r>
        <w:rPr>
          <w:rFonts w:hint="eastAsia" w:ascii="宋体" w:hAnsi="宋体" w:cs="宋体"/>
          <w:color w:val="auto"/>
          <w:sz w:val="24"/>
          <w:szCs w:val="24"/>
          <w:highlight w:val="none"/>
          <w:lang w:eastAsia="zh-CN"/>
        </w:rPr>
        <w:t>长武县城区摆放时令鲜花项目</w:t>
      </w:r>
      <w:r>
        <w:rPr>
          <w:rFonts w:hint="eastAsia" w:ascii="宋体" w:hAnsi="宋体" w:eastAsia="宋体" w:cs="宋体"/>
          <w:color w:val="auto"/>
          <w:sz w:val="24"/>
          <w:szCs w:val="24"/>
          <w:highlight w:val="none"/>
        </w:rPr>
        <w:t>的建设、开展、实施之目的，而不得用于任何其他目的；</w:t>
      </w:r>
    </w:p>
    <w:p w14:paraId="1DAF1ABC">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所收到的信息在本企业内部能得到谨慎的使用，只能透露给本企业或本企业所属之分支机构、子公司内部参加与我方与贵单位合作项目建设的雇员，并且该雇员在知晓保密信息之前已经充分了解了本承诺书的内容。如该雇员在离开我方后泄露本承诺书所规定的保密信息，则仍由我方承担本承诺书项下的违约责任。</w:t>
      </w:r>
    </w:p>
    <w:p w14:paraId="49961B7F">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（3）对于所收到的信息，除为合作项目之目的在本企业内部进行适当的复制外，不进行任何复制和传播。</w:t>
      </w:r>
    </w:p>
    <w:p w14:paraId="17D5622D">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在未经贵单位事先书面允许的情况下，我方不为获取同类</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或实施之目的使用贵单位取得的材料、产品以及其他贵单位所有的信息，不将上述材料、产品和信息作为案例、模型或其他任何形式的材料，在任何场合演示和推广。</w:t>
      </w:r>
    </w:p>
    <w:p w14:paraId="5830B7E3">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除非贵单位同意，否则我方不向第三方披露我方与贵单位的任何会谈、会议、协商或共同工作的内容。</w:t>
      </w:r>
    </w:p>
    <w:p w14:paraId="7D8F37E6">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第三条：非保密信息</w:t>
      </w:r>
    </w:p>
    <w:p w14:paraId="64133649">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下述信息不视为保密信息：</w:t>
      </w:r>
    </w:p>
    <w:p w14:paraId="19D3204D">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非由于我方违反本承诺书的原因进入公共领域的信息；</w:t>
      </w:r>
    </w:p>
    <w:p w14:paraId="71EC495C">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我</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在收到信息前已经合法掌握的信息；</w:t>
      </w:r>
    </w:p>
    <w:p w14:paraId="362ACA00">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我方在收到信息前已经通过正当途径获得信息；</w:t>
      </w:r>
    </w:p>
    <w:p w14:paraId="3A6A0157">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第四条：保密责任的例外</w:t>
      </w:r>
    </w:p>
    <w:p w14:paraId="0842D90B">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在下述两情况下，如发生保密信息的泄露，应免除我方相应责任；</w:t>
      </w:r>
    </w:p>
    <w:p w14:paraId="3E0E14A6">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我方被所在国的法律要求披露有关保密信息；</w:t>
      </w:r>
    </w:p>
    <w:p w14:paraId="0847A876">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由于我方不可预见、不可避免、不可控制的原因，即可抗力的原因，导致了保密信息的泄露。</w:t>
      </w:r>
    </w:p>
    <w:p w14:paraId="3539D54C">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第五条： 对本承诺的保证</w:t>
      </w:r>
    </w:p>
    <w:p w14:paraId="1A9B62A3">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未经贵单位书面同意，本承诺书不以任何方式进行修改、终止或解除。本承诺书项下的权利义务不得转让。</w:t>
      </w:r>
    </w:p>
    <w:p w14:paraId="288817B8">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第六条： 本承诺书的效力范围</w:t>
      </w:r>
    </w:p>
    <w:p w14:paraId="6F5AA10F">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本承诺书的效力仅限于保密责任。在任何情况下，我方向贵单位提交本承诺书都不表示或意味着贵单位有责任与我方建立任何形式的商业合作关系。同时，贵单位与我方交换信息的行为不应被视为是双方之间建立合作关系的合同，或者被视为贵单位的签订合同或协议的承诺。</w:t>
      </w:r>
    </w:p>
    <w:p w14:paraId="10C83549">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贵单位提供信息的行为不被视为是以任何方式授予许可，或是转让著作权、商标权、专利权或技术秘密行为。我方取得信息并不表明取得了信息的任何知识产权；对贵单位所提供的任何信息的知识产权和财产权利，全部归贵单位所有</w:t>
      </w:r>
    </w:p>
    <w:p w14:paraId="51E355BE">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第七条： 产生于泄密的责任</w:t>
      </w:r>
    </w:p>
    <w:p w14:paraId="73678C2B">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任何保密信息的泄漏或任何其他违反本承诺书的行为给贵单位造成损失，我方应承担响应的赔偿责任及其它所有可能涉及的民事（包括侵权）的、行政的和刑事的法律责任。</w:t>
      </w:r>
    </w:p>
    <w:p w14:paraId="1A47343A">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第八条： 司法管辖和法律适用</w:t>
      </w:r>
    </w:p>
    <w:p w14:paraId="39D513A0">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如我方与贵单位因本承诺发生民事纠纷，应通过友好协商解决。协商不成，可起诉于</w:t>
      </w:r>
      <w:r>
        <w:rPr>
          <w:rFonts w:hint="eastAsia" w:ascii="宋体" w:hAnsi="宋体" w:eastAsia="宋体" w:cs="宋体"/>
          <w:color w:val="auto"/>
          <w:sz w:val="24"/>
          <w:szCs w:val="24"/>
          <w:highlight w:val="none"/>
          <w:lang w:val="en-US" w:eastAsia="zh-CN"/>
        </w:rPr>
        <w:t>甲方所在地</w:t>
      </w:r>
      <w:r>
        <w:rPr>
          <w:rFonts w:hint="eastAsia" w:ascii="宋体" w:hAnsi="宋体" w:eastAsia="宋体" w:cs="宋体"/>
          <w:color w:val="auto"/>
          <w:sz w:val="24"/>
          <w:szCs w:val="24"/>
          <w:highlight w:val="none"/>
        </w:rPr>
        <w:t>的人民法院，由法院适用中国法律加以判决。</w:t>
      </w:r>
    </w:p>
    <w:p w14:paraId="06CF293A">
      <w:pPr>
        <w:pStyle w:val="18"/>
        <w:rPr>
          <w:rFonts w:hint="eastAsia" w:ascii="宋体" w:hAnsi="宋体" w:eastAsia="宋体" w:cs="宋体"/>
          <w:color w:val="auto"/>
          <w:highlight w:val="none"/>
        </w:rPr>
      </w:pPr>
    </w:p>
    <w:p w14:paraId="319AE06B">
      <w:pPr>
        <w:spacing w:line="60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承诺单位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单位全称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（盖章）</w:t>
      </w:r>
    </w:p>
    <w:p w14:paraId="1909E6FF">
      <w:pPr>
        <w:spacing w:line="60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12C9A498">
      <w:pPr>
        <w:spacing w:line="600" w:lineRule="auto"/>
        <w:ind w:firstLine="3360" w:firstLineChars="14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月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0C843470">
      <w:pPr>
        <w:rPr>
          <w:rFonts w:hint="eastAsia" w:ascii="宋体" w:hAnsi="宋体" w:eastAsia="宋体" w:cs="宋体"/>
          <w:b/>
          <w:bCs/>
          <w:color w:val="auto"/>
          <w:kern w:val="0"/>
          <w:sz w:val="18"/>
          <w:szCs w:val="18"/>
          <w:highlight w:val="none"/>
          <w:lang w:val="en-US" w:eastAsia="zh-CN" w:bidi="ar-SA"/>
        </w:rPr>
      </w:pPr>
      <w:r>
        <w:rPr>
          <w:rFonts w:hint="eastAsia" w:ascii="宋体" w:hAnsi="宋体" w:eastAsia="宋体" w:cs="宋体"/>
          <w:b/>
          <w:bCs/>
          <w:color w:val="auto"/>
          <w:kern w:val="0"/>
          <w:sz w:val="18"/>
          <w:szCs w:val="18"/>
          <w:highlight w:val="none"/>
          <w:lang w:val="en-US" w:eastAsia="zh-CN" w:bidi="ar-SA"/>
        </w:rPr>
        <w:br w:type="page"/>
      </w:r>
    </w:p>
    <w:p w14:paraId="1F8F64B2">
      <w:pPr>
        <w:pStyle w:val="18"/>
        <w:rPr>
          <w:rFonts w:hint="eastAsia" w:ascii="宋体" w:hAnsi="宋体" w:eastAsia="宋体" w:cs="宋体"/>
          <w:color w:val="auto"/>
          <w:highlight w:val="none"/>
          <w:lang w:val="en-US" w:eastAsia="zh-CN"/>
        </w:rPr>
      </w:pPr>
    </w:p>
    <w:p w14:paraId="38065EF9">
      <w:pPr>
        <w:widowControl/>
        <w:spacing w:before="100" w:beforeLines="0" w:beforeAutospacing="0" w:after="100" w:afterLines="0" w:afterAutospacing="0" w:line="360" w:lineRule="auto"/>
        <w:ind w:firstLine="0" w:firstLineChars="0"/>
        <w:jc w:val="center"/>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4、供应商认为有必要说明的其他资料</w:t>
      </w:r>
    </w:p>
    <w:p w14:paraId="57E08DC8">
      <w:pPr>
        <w:spacing w:line="440" w:lineRule="exact"/>
        <w:ind w:firstLine="480" w:firstLineChars="200"/>
        <w:rPr>
          <w:rFonts w:hint="eastAsia" w:ascii="宋体" w:hAnsi="宋体" w:eastAsia="宋体" w:cs="宋体"/>
          <w:color w:val="auto"/>
          <w:sz w:val="24"/>
          <w:highlight w:val="none"/>
        </w:rPr>
      </w:pPr>
    </w:p>
    <w:p w14:paraId="06C3E7B4">
      <w:pPr>
        <w:spacing w:line="440" w:lineRule="exact"/>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（1）企业其他获奖及荣誉证书等资料；</w:t>
      </w:r>
    </w:p>
    <w:p w14:paraId="75642BB4">
      <w:pPr>
        <w:spacing w:line="440" w:lineRule="exact"/>
        <w:rPr>
          <w:rFonts w:hint="eastAsia" w:ascii="宋体" w:hAnsi="宋体" w:eastAsia="宋体" w:cs="宋体"/>
          <w:color w:val="auto"/>
          <w:sz w:val="24"/>
          <w:szCs w:val="24"/>
          <w:highlight w:val="none"/>
        </w:rPr>
      </w:pPr>
    </w:p>
    <w:p w14:paraId="62857062">
      <w:pPr>
        <w:spacing w:line="440" w:lineRule="exact"/>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中小企业声明函</w:t>
      </w:r>
      <w:r>
        <w:rPr>
          <w:rFonts w:hint="eastAsia" w:ascii="宋体" w:hAnsi="宋体" w:eastAsia="宋体" w:cs="宋体"/>
          <w:color w:val="auto"/>
          <w:sz w:val="24"/>
          <w:szCs w:val="24"/>
          <w:highlight w:val="none"/>
        </w:rPr>
        <w:t>（格式具体见附件</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w:t>
      </w:r>
    </w:p>
    <w:p w14:paraId="7FD11E7B">
      <w:pPr>
        <w:spacing w:line="440" w:lineRule="exact"/>
        <w:ind w:firstLine="470" w:firstLineChars="196"/>
        <w:rPr>
          <w:rFonts w:hint="eastAsia" w:ascii="宋体" w:hAnsi="宋体" w:eastAsia="宋体" w:cs="宋体"/>
          <w:color w:val="auto"/>
          <w:sz w:val="24"/>
          <w:szCs w:val="24"/>
          <w:highlight w:val="none"/>
        </w:rPr>
      </w:pPr>
    </w:p>
    <w:p w14:paraId="17B08145">
      <w:pPr>
        <w:spacing w:line="440" w:lineRule="exact"/>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（3）残疾人福利性企业声明函（格式具体见附件</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w:t>
      </w:r>
    </w:p>
    <w:p w14:paraId="351F6151">
      <w:pPr>
        <w:spacing w:line="440" w:lineRule="exact"/>
        <w:ind w:firstLine="470" w:firstLineChars="196"/>
        <w:rPr>
          <w:rFonts w:hint="eastAsia" w:ascii="宋体" w:hAnsi="宋体" w:eastAsia="宋体" w:cs="宋体"/>
          <w:color w:val="auto"/>
          <w:sz w:val="24"/>
          <w:szCs w:val="24"/>
          <w:highlight w:val="none"/>
        </w:rPr>
      </w:pPr>
    </w:p>
    <w:p w14:paraId="74987FA9">
      <w:pPr>
        <w:spacing w:line="440" w:lineRule="exact"/>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）监狱企业声明函（格式具体见附件</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w:t>
      </w:r>
    </w:p>
    <w:p w14:paraId="6364B339">
      <w:pPr>
        <w:spacing w:line="440" w:lineRule="exact"/>
        <w:rPr>
          <w:rFonts w:hint="eastAsia" w:ascii="宋体" w:hAnsi="宋体" w:eastAsia="宋体" w:cs="宋体"/>
          <w:color w:val="auto"/>
          <w:sz w:val="24"/>
          <w:szCs w:val="24"/>
          <w:highlight w:val="none"/>
        </w:rPr>
      </w:pPr>
    </w:p>
    <w:p w14:paraId="7D207185">
      <w:pPr>
        <w:spacing w:line="440" w:lineRule="exact"/>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）供应商提供证明其企业实力的其他证明材料。</w:t>
      </w:r>
    </w:p>
    <w:p w14:paraId="51CB1F05">
      <w:pPr>
        <w:spacing w:line="440" w:lineRule="exact"/>
        <w:ind w:firstLine="470" w:firstLineChars="196"/>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br w:type="page"/>
      </w:r>
    </w:p>
    <w:p w14:paraId="1C9F7F3F">
      <w:pPr>
        <w:spacing w:line="240" w:lineRule="auto"/>
        <w:rPr>
          <w:rFonts w:hint="eastAsia" w:ascii="宋体" w:hAnsi="宋体" w:eastAsia="宋体" w:cs="宋体"/>
          <w:b/>
          <w:color w:val="auto"/>
          <w:kern w:val="2"/>
          <w:sz w:val="21"/>
          <w:szCs w:val="21"/>
          <w:highlight w:val="none"/>
          <w:lang w:val="en-US" w:eastAsia="zh-CN" w:bidi="ar-SA"/>
        </w:rPr>
      </w:pPr>
    </w:p>
    <w:p w14:paraId="697B839B">
      <w:pPr>
        <w:spacing w:line="440" w:lineRule="exact"/>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highlight w:val="none"/>
          <w:lang w:val="en-US" w:eastAsia="zh-CN" w:bidi="ar-SA"/>
        </w:rPr>
        <w:t>附件一：</w:t>
      </w:r>
      <w:r>
        <w:rPr>
          <w:rFonts w:hint="eastAsia" w:ascii="宋体" w:hAnsi="宋体" w:eastAsia="宋体" w:cs="宋体"/>
          <w:b/>
          <w:color w:val="auto"/>
          <w:sz w:val="21"/>
          <w:szCs w:val="21"/>
          <w:highlight w:val="none"/>
        </w:rPr>
        <w:t xml:space="preserve">                      </w:t>
      </w:r>
    </w:p>
    <w:p w14:paraId="3FCDC865">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中小企业声明函</w:t>
      </w:r>
    </w:p>
    <w:p w14:paraId="6D10B8EC">
      <w:pPr>
        <w:spacing w:line="480" w:lineRule="auto"/>
        <w:ind w:firstLine="504" w:firstLineChars="200"/>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本公司郑重声明，根据《政府采购促进中小企业发展</w:t>
      </w:r>
      <w:r>
        <w:rPr>
          <w:rFonts w:hint="eastAsia" w:ascii="宋体" w:hAnsi="宋体" w:eastAsia="宋体" w:cs="宋体"/>
          <w:color w:val="auto"/>
          <w:spacing w:val="6"/>
          <w:sz w:val="24"/>
          <w:szCs w:val="24"/>
          <w:highlight w:val="none"/>
          <w:lang w:val="en-US" w:eastAsia="zh-CN"/>
        </w:rPr>
        <w:t>管理</w:t>
      </w:r>
      <w:r>
        <w:rPr>
          <w:rFonts w:hint="eastAsia" w:ascii="宋体" w:hAnsi="宋体" w:eastAsia="宋体" w:cs="宋体"/>
          <w:color w:val="auto"/>
          <w:spacing w:val="6"/>
          <w:sz w:val="24"/>
          <w:szCs w:val="24"/>
          <w:highlight w:val="none"/>
        </w:rPr>
        <w:t>办法》（财库[20</w:t>
      </w:r>
      <w:r>
        <w:rPr>
          <w:rFonts w:hint="eastAsia" w:ascii="宋体" w:hAnsi="宋体" w:eastAsia="宋体" w:cs="宋体"/>
          <w:color w:val="auto"/>
          <w:spacing w:val="6"/>
          <w:sz w:val="24"/>
          <w:szCs w:val="24"/>
          <w:highlight w:val="none"/>
          <w:lang w:val="en-US" w:eastAsia="zh-CN"/>
        </w:rPr>
        <w:t>20</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6"/>
          <w:sz w:val="24"/>
          <w:szCs w:val="24"/>
          <w:highlight w:val="none"/>
          <w:lang w:val="en-US" w:eastAsia="zh-CN"/>
        </w:rPr>
        <w:t>46</w:t>
      </w:r>
      <w:r>
        <w:rPr>
          <w:rFonts w:hint="eastAsia" w:ascii="宋体" w:hAnsi="宋体" w:eastAsia="宋体" w:cs="宋体"/>
          <w:color w:val="auto"/>
          <w:spacing w:val="6"/>
          <w:sz w:val="24"/>
          <w:szCs w:val="24"/>
          <w:highlight w:val="none"/>
        </w:rPr>
        <w:t>号）的规定，本公司</w:t>
      </w:r>
      <w:r>
        <w:rPr>
          <w:rFonts w:hint="eastAsia" w:ascii="宋体" w:hAnsi="宋体" w:eastAsia="宋体" w:cs="宋体"/>
          <w:color w:val="auto"/>
          <w:spacing w:val="6"/>
          <w:sz w:val="24"/>
          <w:szCs w:val="24"/>
          <w:highlight w:val="none"/>
          <w:lang w:val="en-US" w:eastAsia="zh-CN"/>
        </w:rPr>
        <w:t>参加</w:t>
      </w:r>
      <w:r>
        <w:rPr>
          <w:rFonts w:hint="eastAsia" w:ascii="宋体" w:hAnsi="宋体" w:eastAsia="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lang w:eastAsia="zh-CN"/>
        </w:rPr>
        <w:t>（</w:t>
      </w:r>
      <w:r>
        <w:rPr>
          <w:rFonts w:hint="eastAsia" w:ascii="宋体" w:hAnsi="宋体" w:eastAsia="宋体" w:cs="宋体"/>
          <w:color w:val="auto"/>
          <w:spacing w:val="6"/>
          <w:sz w:val="24"/>
          <w:szCs w:val="24"/>
          <w:highlight w:val="none"/>
          <w:u w:val="single"/>
          <w:lang w:val="en-US" w:eastAsia="zh-CN"/>
        </w:rPr>
        <w:t>采购人名称</w:t>
      </w:r>
      <w:r>
        <w:rPr>
          <w:rFonts w:hint="eastAsia" w:ascii="宋体" w:hAnsi="宋体" w:eastAsia="宋体" w:cs="宋体"/>
          <w:color w:val="auto"/>
          <w:spacing w:val="6"/>
          <w:sz w:val="24"/>
          <w:szCs w:val="24"/>
          <w:highlight w:val="none"/>
          <w:u w:val="single"/>
          <w:lang w:eastAsia="zh-CN"/>
        </w:rPr>
        <w:t>）</w:t>
      </w:r>
      <w:r>
        <w:rPr>
          <w:rFonts w:hint="eastAsia" w:ascii="宋体" w:hAnsi="宋体" w:eastAsia="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lang w:val="en-US" w:eastAsia="zh-CN"/>
        </w:rPr>
        <w:t>的</w:t>
      </w:r>
      <w:r>
        <w:rPr>
          <w:rFonts w:hint="eastAsia" w:ascii="宋体" w:hAnsi="宋体" w:eastAsia="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lang w:eastAsia="zh-CN"/>
        </w:rPr>
        <w:t>（</w:t>
      </w:r>
      <w:r>
        <w:rPr>
          <w:rFonts w:hint="eastAsia" w:ascii="宋体" w:hAnsi="宋体" w:eastAsia="宋体" w:cs="宋体"/>
          <w:color w:val="auto"/>
          <w:spacing w:val="6"/>
          <w:sz w:val="24"/>
          <w:szCs w:val="24"/>
          <w:highlight w:val="none"/>
          <w:u w:val="single"/>
          <w:lang w:val="en-US" w:eastAsia="zh-CN"/>
        </w:rPr>
        <w:t>项目名称</w:t>
      </w:r>
      <w:r>
        <w:rPr>
          <w:rFonts w:hint="eastAsia" w:ascii="宋体" w:hAnsi="宋体" w:eastAsia="宋体" w:cs="宋体"/>
          <w:color w:val="auto"/>
          <w:spacing w:val="6"/>
          <w:sz w:val="24"/>
          <w:szCs w:val="24"/>
          <w:highlight w:val="none"/>
          <w:u w:val="single"/>
          <w:lang w:eastAsia="zh-CN"/>
        </w:rPr>
        <w:t>）</w:t>
      </w:r>
      <w:r>
        <w:rPr>
          <w:rFonts w:hint="eastAsia" w:ascii="宋体" w:hAnsi="宋体" w:eastAsia="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lang w:val="en-US" w:eastAsia="zh-CN"/>
        </w:rPr>
        <w:t>采购活动，服务全部由符合政策要求的中小企业承接。相关企业（签订分包意向协议的中小企业）的具体情况如下：</w:t>
      </w:r>
    </w:p>
    <w:p w14:paraId="58494063">
      <w:pPr>
        <w:spacing w:line="480" w:lineRule="auto"/>
        <w:ind w:firstLine="504" w:firstLineChars="200"/>
        <w:rPr>
          <w:rFonts w:hint="eastAsia" w:ascii="宋体" w:hAnsi="宋体" w:eastAsia="宋体" w:cs="宋体"/>
          <w:color w:val="auto"/>
          <w:spacing w:val="6"/>
          <w:sz w:val="24"/>
          <w:szCs w:val="24"/>
          <w:highlight w:val="none"/>
          <w:u w:val="none"/>
          <w:lang w:val="en-US" w:eastAsia="zh-CN"/>
        </w:rPr>
      </w:pPr>
      <w:r>
        <w:rPr>
          <w:rFonts w:hint="eastAsia" w:ascii="宋体" w:hAnsi="宋体" w:eastAsia="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lang w:eastAsia="zh-CN"/>
        </w:rPr>
        <w:t>（</w:t>
      </w:r>
      <w:r>
        <w:rPr>
          <w:rFonts w:hint="eastAsia" w:ascii="宋体" w:hAnsi="宋体" w:eastAsia="宋体" w:cs="宋体"/>
          <w:color w:val="auto"/>
          <w:spacing w:val="6"/>
          <w:sz w:val="24"/>
          <w:szCs w:val="24"/>
          <w:highlight w:val="none"/>
          <w:u w:val="single"/>
          <w:lang w:val="en-US" w:eastAsia="zh-CN"/>
        </w:rPr>
        <w:t>标的名称</w:t>
      </w:r>
      <w:r>
        <w:rPr>
          <w:rFonts w:hint="eastAsia" w:ascii="宋体" w:hAnsi="宋体" w:eastAsia="宋体" w:cs="宋体"/>
          <w:color w:val="auto"/>
          <w:spacing w:val="6"/>
          <w:sz w:val="24"/>
          <w:szCs w:val="24"/>
          <w:highlight w:val="none"/>
          <w:u w:val="single"/>
          <w:lang w:eastAsia="zh-CN"/>
        </w:rPr>
        <w:t>）</w:t>
      </w:r>
      <w:r>
        <w:rPr>
          <w:rFonts w:hint="eastAsia" w:ascii="宋体" w:hAnsi="宋体" w:eastAsia="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lang w:val="en-US" w:eastAsia="zh-CN"/>
        </w:rPr>
        <w:t>属于</w:t>
      </w:r>
      <w:r>
        <w:rPr>
          <w:rFonts w:hint="eastAsia" w:ascii="宋体" w:hAnsi="宋体" w:eastAsia="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lang w:eastAsia="zh-CN"/>
        </w:rPr>
        <w:t>（其他未列明行业）</w:t>
      </w:r>
      <w:r>
        <w:rPr>
          <w:rFonts w:hint="eastAsia" w:ascii="宋体" w:hAnsi="宋体" w:eastAsia="宋体" w:cs="宋体"/>
          <w:color w:val="auto"/>
          <w:spacing w:val="6"/>
          <w:sz w:val="24"/>
          <w:szCs w:val="24"/>
          <w:highlight w:val="none"/>
          <w:u w:val="single"/>
          <w:lang w:val="en-US" w:eastAsia="zh-CN"/>
        </w:rPr>
        <w:t>行业</w:t>
      </w:r>
      <w:r>
        <w:rPr>
          <w:rFonts w:hint="eastAsia" w:ascii="宋体" w:hAnsi="宋体" w:eastAsia="宋体" w:cs="宋体"/>
          <w:color w:val="auto"/>
          <w:spacing w:val="6"/>
          <w:sz w:val="24"/>
          <w:szCs w:val="24"/>
          <w:highlight w:val="none"/>
          <w:u w:val="none"/>
          <w:lang w:val="en-US" w:eastAsia="zh-CN"/>
        </w:rPr>
        <w:t>；承建（承接）企业为</w:t>
      </w:r>
      <w:r>
        <w:rPr>
          <w:rFonts w:hint="eastAsia" w:ascii="宋体" w:hAnsi="宋体" w:eastAsia="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lang w:eastAsia="zh-CN"/>
        </w:rPr>
        <w:t>（</w:t>
      </w:r>
      <w:r>
        <w:rPr>
          <w:rFonts w:hint="eastAsia" w:ascii="宋体" w:hAnsi="宋体" w:eastAsia="宋体" w:cs="宋体"/>
          <w:color w:val="auto"/>
          <w:spacing w:val="6"/>
          <w:sz w:val="24"/>
          <w:szCs w:val="24"/>
          <w:highlight w:val="none"/>
          <w:u w:val="single"/>
          <w:lang w:val="en-US" w:eastAsia="zh-CN"/>
        </w:rPr>
        <w:t>企业名称</w:t>
      </w:r>
      <w:r>
        <w:rPr>
          <w:rFonts w:hint="eastAsia" w:ascii="宋体" w:hAnsi="宋体" w:eastAsia="宋体" w:cs="宋体"/>
          <w:color w:val="auto"/>
          <w:spacing w:val="6"/>
          <w:sz w:val="24"/>
          <w:szCs w:val="24"/>
          <w:highlight w:val="none"/>
          <w:u w:val="single"/>
          <w:lang w:eastAsia="zh-CN"/>
        </w:rPr>
        <w:t>）</w:t>
      </w:r>
      <w:r>
        <w:rPr>
          <w:rFonts w:hint="eastAsia" w:ascii="宋体" w:hAnsi="宋体" w:eastAsia="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none"/>
          <w:lang w:val="en-US" w:eastAsia="zh-CN"/>
        </w:rPr>
        <w:t>，从业人员</w:t>
      </w:r>
      <w:r>
        <w:rPr>
          <w:rFonts w:hint="eastAsia" w:ascii="宋体" w:hAnsi="宋体" w:eastAsia="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none"/>
          <w:lang w:val="en-US" w:eastAsia="zh-CN"/>
        </w:rPr>
        <w:t>人，营业收入为</w:t>
      </w:r>
      <w:r>
        <w:rPr>
          <w:rFonts w:hint="eastAsia" w:ascii="宋体" w:hAnsi="宋体" w:eastAsia="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none"/>
          <w:lang w:val="en-US" w:eastAsia="zh-CN"/>
        </w:rPr>
        <w:t>万元，资产总额为</w:t>
      </w:r>
      <w:r>
        <w:rPr>
          <w:rFonts w:hint="eastAsia" w:ascii="宋体" w:hAnsi="宋体" w:eastAsia="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none"/>
          <w:lang w:val="en-US" w:eastAsia="zh-CN"/>
        </w:rPr>
        <w:t>万元，属于</w:t>
      </w:r>
      <w:r>
        <w:rPr>
          <w:rFonts w:hint="eastAsia" w:ascii="宋体" w:hAnsi="宋体" w:eastAsia="宋体" w:cs="宋体"/>
          <w:color w:val="auto"/>
          <w:spacing w:val="6"/>
          <w:sz w:val="24"/>
          <w:szCs w:val="24"/>
          <w:highlight w:val="none"/>
          <w:u w:val="single"/>
          <w:lang w:val="en-US" w:eastAsia="zh-CN"/>
        </w:rPr>
        <w:t xml:space="preserve">     （中型企业、小型企业、微型企业）</w:t>
      </w:r>
      <w:r>
        <w:rPr>
          <w:rFonts w:hint="eastAsia" w:ascii="宋体" w:hAnsi="宋体" w:eastAsia="宋体" w:cs="宋体"/>
          <w:color w:val="auto"/>
          <w:spacing w:val="6"/>
          <w:sz w:val="24"/>
          <w:szCs w:val="24"/>
          <w:highlight w:val="none"/>
          <w:u w:val="none"/>
          <w:lang w:val="en-US" w:eastAsia="zh-CN"/>
        </w:rPr>
        <w:t>；</w:t>
      </w:r>
    </w:p>
    <w:p w14:paraId="339EC9E3">
      <w:pPr>
        <w:spacing w:line="480" w:lineRule="auto"/>
        <w:ind w:firstLine="504" w:firstLineChars="200"/>
        <w:rPr>
          <w:rFonts w:hint="eastAsia" w:ascii="宋体" w:hAnsi="宋体" w:eastAsia="宋体" w:cs="宋体"/>
          <w:color w:val="auto"/>
          <w:spacing w:val="6"/>
          <w:sz w:val="24"/>
          <w:szCs w:val="24"/>
          <w:highlight w:val="none"/>
          <w:u w:val="none"/>
          <w:lang w:val="en-US" w:eastAsia="zh-CN"/>
        </w:rPr>
      </w:pPr>
      <w:r>
        <w:rPr>
          <w:rFonts w:hint="eastAsia" w:ascii="宋体" w:hAnsi="宋体" w:eastAsia="宋体" w:cs="宋体"/>
          <w:color w:val="auto"/>
          <w:spacing w:val="6"/>
          <w:sz w:val="24"/>
          <w:szCs w:val="24"/>
          <w:highlight w:val="none"/>
          <w:u w:val="none"/>
          <w:lang w:val="en-US" w:eastAsia="zh-CN"/>
        </w:rPr>
        <w:t>以上企业，不属于大企业的分支机构，不存在控股股东为大企业的情形，也不存在与大企业的负责人为同一人的情形。</w:t>
      </w:r>
    </w:p>
    <w:p w14:paraId="15C5A855">
      <w:pPr>
        <w:spacing w:line="480" w:lineRule="auto"/>
        <w:ind w:firstLine="504" w:firstLineChars="200"/>
        <w:rPr>
          <w:rFonts w:hint="eastAsia" w:ascii="宋体" w:hAnsi="宋体" w:eastAsia="宋体" w:cs="宋体"/>
          <w:color w:val="auto"/>
          <w:spacing w:val="6"/>
          <w:sz w:val="24"/>
          <w:szCs w:val="24"/>
          <w:highlight w:val="none"/>
          <w:u w:val="none"/>
          <w:lang w:val="en-US" w:eastAsia="zh-CN"/>
        </w:rPr>
      </w:pPr>
      <w:r>
        <w:rPr>
          <w:rFonts w:hint="eastAsia" w:ascii="宋体" w:hAnsi="宋体" w:eastAsia="宋体" w:cs="宋体"/>
          <w:color w:val="auto"/>
          <w:spacing w:val="6"/>
          <w:sz w:val="24"/>
          <w:szCs w:val="24"/>
          <w:highlight w:val="none"/>
          <w:u w:val="none"/>
          <w:lang w:val="en-US" w:eastAsia="zh-CN"/>
        </w:rPr>
        <w:t>本企业对上述声明内容的真实性负责。如有虚假，将依法承担相应责任。</w:t>
      </w:r>
    </w:p>
    <w:p w14:paraId="3BD59717">
      <w:pPr>
        <w:spacing w:line="60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单位全称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（盖章）</w:t>
      </w:r>
    </w:p>
    <w:p w14:paraId="2CEF4456">
      <w:pPr>
        <w:spacing w:line="600" w:lineRule="auto"/>
        <w:ind w:firstLine="3360" w:firstLineChars="14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月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39B3B17">
      <w:pPr>
        <w:keepNext w:val="0"/>
        <w:keepLines w:val="0"/>
        <w:pageBreakBefore w:val="0"/>
        <w:widowControl w:val="0"/>
        <w:kinsoku/>
        <w:wordWrap/>
        <w:overflowPunct/>
        <w:topLinePunct w:val="0"/>
        <w:autoSpaceDE w:val="0"/>
        <w:autoSpaceDN w:val="0"/>
        <w:bidi w:val="0"/>
        <w:adjustRightInd w:val="0"/>
        <w:snapToGrid/>
        <w:spacing w:line="360" w:lineRule="exact"/>
        <w:ind w:firstLine="360" w:firstLineChars="20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注：</w:t>
      </w:r>
    </w:p>
    <w:p w14:paraId="5A5A7524">
      <w:pPr>
        <w:keepNext w:val="0"/>
        <w:keepLines w:val="0"/>
        <w:pageBreakBefore w:val="0"/>
        <w:widowControl w:val="0"/>
        <w:kinsoku/>
        <w:wordWrap/>
        <w:overflowPunct/>
        <w:topLinePunct w:val="0"/>
        <w:autoSpaceDE w:val="0"/>
        <w:autoSpaceDN w:val="0"/>
        <w:bidi w:val="0"/>
        <w:adjustRightInd w:val="0"/>
        <w:snapToGrid/>
        <w:spacing w:line="360" w:lineRule="exact"/>
        <w:ind w:firstLine="360" w:firstLineChars="20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1、</w:t>
      </w:r>
      <w:r>
        <w:rPr>
          <w:rFonts w:hint="eastAsia" w:ascii="宋体" w:hAnsi="宋体" w:eastAsia="宋体" w:cs="宋体"/>
          <w:color w:val="auto"/>
          <w:kern w:val="0"/>
          <w:sz w:val="18"/>
          <w:szCs w:val="18"/>
          <w:highlight w:val="none"/>
        </w:rPr>
        <w:t>填写前请认真阅读工业和信息化部、国家统计局、国家发展和改革委员会、财政部关于印发中小企业划分标准规定的通知》（工信部联企业【2011】300号）和《财政部工业和信息化部关于印发政府采购促进中小企业发展暂行办法的通知》（财库【2020】46号）相关规定。本项目采购标的对应的中小企业划分标准所属行业为</w:t>
      </w:r>
      <w:r>
        <w:rPr>
          <w:rFonts w:hint="eastAsia" w:ascii="宋体" w:hAnsi="宋体" w:eastAsia="宋体" w:cs="宋体"/>
          <w:b/>
          <w:bCs/>
          <w:color w:val="auto"/>
          <w:kern w:val="0"/>
          <w:sz w:val="18"/>
          <w:szCs w:val="18"/>
          <w:highlight w:val="none"/>
          <w:lang w:val="en-US" w:eastAsia="zh-CN"/>
        </w:rPr>
        <w:t>其他未列明行</w:t>
      </w:r>
      <w:r>
        <w:rPr>
          <w:rFonts w:hint="eastAsia" w:ascii="宋体" w:hAnsi="宋体" w:eastAsia="宋体" w:cs="宋体"/>
          <w:b/>
          <w:bCs/>
          <w:color w:val="auto"/>
          <w:kern w:val="0"/>
          <w:sz w:val="18"/>
          <w:szCs w:val="18"/>
          <w:highlight w:val="none"/>
        </w:rPr>
        <w:t>业</w:t>
      </w:r>
      <w:r>
        <w:rPr>
          <w:rFonts w:hint="eastAsia" w:ascii="宋体" w:hAnsi="宋体" w:eastAsia="宋体" w:cs="宋体"/>
          <w:color w:val="auto"/>
          <w:kern w:val="0"/>
          <w:sz w:val="18"/>
          <w:szCs w:val="18"/>
          <w:highlight w:val="none"/>
        </w:rPr>
        <w:t>。</w:t>
      </w:r>
    </w:p>
    <w:p w14:paraId="2D5589DC">
      <w:pPr>
        <w:keepNext w:val="0"/>
        <w:keepLines w:val="0"/>
        <w:pageBreakBefore w:val="0"/>
        <w:widowControl w:val="0"/>
        <w:kinsoku/>
        <w:wordWrap/>
        <w:overflowPunct/>
        <w:topLinePunct w:val="0"/>
        <w:autoSpaceDE w:val="0"/>
        <w:autoSpaceDN w:val="0"/>
        <w:bidi w:val="0"/>
        <w:adjustRightInd w:val="0"/>
        <w:snapToGrid/>
        <w:spacing w:line="360" w:lineRule="exact"/>
        <w:ind w:firstLine="360" w:firstLineChars="20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w:t>
      </w:r>
      <w:r>
        <w:rPr>
          <w:rFonts w:hint="eastAsia" w:ascii="宋体" w:hAnsi="宋体" w:eastAsia="宋体" w:cs="宋体"/>
          <w:color w:val="auto"/>
          <w:kern w:val="0"/>
          <w:sz w:val="18"/>
          <w:szCs w:val="18"/>
          <w:highlight w:val="none"/>
        </w:rPr>
        <w:t>供应商可根据企业从业人员、营业收入、资产总额等指标，按照采购文件约定的采购标的对应的中小企业划分标准所属行业和《中小企业划型标准规定》（工信部联企业【2011】300 号）进行自测，判断属于中型、小型还是微型企业。也可登录工业和信息化部的中小企业规模类型自测小程序（http://202.106.120.146/baosong/appweb/orgScale.html）进行测算。</w:t>
      </w:r>
    </w:p>
    <w:p w14:paraId="51E5D4DB">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 xml:space="preserve"> </w:t>
      </w:r>
      <w:r>
        <w:rPr>
          <w:rFonts w:hint="eastAsia" w:ascii="宋体" w:hAnsi="宋体" w:eastAsia="宋体" w:cs="宋体"/>
          <w:color w:val="auto"/>
          <w:kern w:val="0"/>
          <w:sz w:val="18"/>
          <w:szCs w:val="18"/>
          <w:highlight w:val="none"/>
          <w:lang w:val="en-US" w:eastAsia="zh-CN"/>
        </w:rPr>
        <w:t xml:space="preserve">   3、</w:t>
      </w:r>
      <w:r>
        <w:rPr>
          <w:rFonts w:hint="eastAsia" w:ascii="宋体" w:hAnsi="宋体" w:eastAsia="宋体" w:cs="宋体"/>
          <w:color w:val="auto"/>
          <w:kern w:val="0"/>
          <w:sz w:val="18"/>
          <w:szCs w:val="18"/>
          <w:highlight w:val="none"/>
        </w:rPr>
        <w:t>从业人员、营业收入、资产总额填报上一年度数据，无上一年度数据的新成立企业可不填报。</w:t>
      </w:r>
    </w:p>
    <w:p w14:paraId="1E3EECB9">
      <w:pPr>
        <w:spacing w:line="44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62C95EDF">
      <w:pPr>
        <w:spacing w:line="440" w:lineRule="exact"/>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附件二：</w:t>
      </w:r>
    </w:p>
    <w:p w14:paraId="73FD6291">
      <w:pPr>
        <w:spacing w:line="44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残疾人福利性企业声明函</w:t>
      </w:r>
    </w:p>
    <w:p w14:paraId="5B07724E">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 141号）的规定，本单位</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（请填写：是或不是）</w:t>
      </w:r>
      <w:r>
        <w:rPr>
          <w:rFonts w:hint="eastAsia" w:ascii="宋体" w:hAnsi="宋体" w:eastAsia="宋体" w:cs="宋体"/>
          <w:color w:val="auto"/>
          <w:sz w:val="24"/>
          <w:szCs w:val="24"/>
          <w:highlight w:val="none"/>
        </w:rPr>
        <w:t>是符合条件的残疾人福利性单位，且本单位参加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单位的______项目</w:t>
      </w:r>
      <w:r>
        <w:rPr>
          <w:rFonts w:hint="eastAsia" w:ascii="宋体" w:hAnsi="宋体" w:eastAsia="宋体" w:cs="宋体"/>
          <w:color w:val="auto"/>
          <w:kern w:val="0"/>
          <w:sz w:val="24"/>
          <w:szCs w:val="24"/>
          <w:highlight w:val="none"/>
        </w:rPr>
        <w:t xml:space="preserve">（项目编号：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）第___</w:t>
      </w:r>
      <w:r>
        <w:rPr>
          <w:rFonts w:hint="eastAsia" w:ascii="宋体" w:hAnsi="宋体" w:eastAsia="宋体" w:cs="宋体"/>
          <w:color w:val="auto"/>
          <w:kern w:val="0"/>
          <w:sz w:val="24"/>
          <w:szCs w:val="24"/>
          <w:highlight w:val="none"/>
          <w:lang w:val="en-US" w:eastAsia="zh-CN"/>
        </w:rPr>
        <w:t>包</w:t>
      </w:r>
      <w:r>
        <w:rPr>
          <w:rFonts w:hint="eastAsia" w:ascii="宋体" w:hAnsi="宋体" w:eastAsia="宋体" w:cs="宋体"/>
          <w:color w:val="auto"/>
          <w:sz w:val="24"/>
          <w:szCs w:val="24"/>
          <w:highlight w:val="none"/>
        </w:rPr>
        <w:t>采购活动提供本单位制造的</w:t>
      </w:r>
      <w:r>
        <w:rPr>
          <w:rFonts w:hint="eastAsia" w:ascii="宋体" w:hAnsi="宋体" w:eastAsia="宋体" w:cs="宋体"/>
          <w:color w:val="auto"/>
          <w:sz w:val="24"/>
          <w:szCs w:val="24"/>
          <w:highlight w:val="none"/>
          <w:lang w:eastAsia="zh-CN"/>
        </w:rPr>
        <w:t>货物（产品）</w:t>
      </w:r>
      <w:r>
        <w:rPr>
          <w:rFonts w:hint="eastAsia" w:ascii="宋体" w:hAnsi="宋体" w:eastAsia="宋体" w:cs="宋体"/>
          <w:color w:val="auto"/>
          <w:sz w:val="24"/>
          <w:szCs w:val="24"/>
          <w:highlight w:val="none"/>
        </w:rPr>
        <w:t>（由本单位承担工程/提供服务），或者提供其他残疾人福利性单位制造的</w:t>
      </w:r>
      <w:r>
        <w:rPr>
          <w:rFonts w:hint="eastAsia" w:ascii="宋体" w:hAnsi="宋体" w:eastAsia="宋体" w:cs="宋体"/>
          <w:color w:val="auto"/>
          <w:sz w:val="24"/>
          <w:szCs w:val="24"/>
          <w:highlight w:val="none"/>
          <w:lang w:eastAsia="zh-CN"/>
        </w:rPr>
        <w:t>货物（产品）</w:t>
      </w:r>
      <w:r>
        <w:rPr>
          <w:rFonts w:hint="eastAsia" w:ascii="宋体" w:hAnsi="宋体" w:eastAsia="宋体" w:cs="宋体"/>
          <w:color w:val="auto"/>
          <w:sz w:val="24"/>
          <w:szCs w:val="24"/>
          <w:highlight w:val="none"/>
        </w:rPr>
        <w:t>（不包括使用非残疾人福利性单位注册商标的</w:t>
      </w:r>
      <w:r>
        <w:rPr>
          <w:rFonts w:hint="eastAsia" w:ascii="宋体" w:hAnsi="宋体" w:eastAsia="宋体" w:cs="宋体"/>
          <w:color w:val="auto"/>
          <w:sz w:val="24"/>
          <w:szCs w:val="24"/>
          <w:highlight w:val="none"/>
          <w:lang w:eastAsia="zh-CN"/>
        </w:rPr>
        <w:t>货物（产品）</w:t>
      </w:r>
      <w:r>
        <w:rPr>
          <w:rFonts w:hint="eastAsia" w:ascii="宋体" w:hAnsi="宋体" w:eastAsia="宋体" w:cs="宋体"/>
          <w:color w:val="auto"/>
          <w:sz w:val="24"/>
          <w:szCs w:val="24"/>
          <w:highlight w:val="none"/>
        </w:rPr>
        <w:t>）。</w:t>
      </w:r>
    </w:p>
    <w:p w14:paraId="3FAC39E0">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7B67CEF6">
      <w:pPr>
        <w:spacing w:line="60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单位全称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（盖章）</w:t>
      </w:r>
    </w:p>
    <w:p w14:paraId="292CAE5C">
      <w:pPr>
        <w:spacing w:line="600" w:lineRule="auto"/>
        <w:ind w:firstLine="3360" w:firstLineChars="14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月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5828AFF5">
      <w:pPr>
        <w:keepNext w:val="0"/>
        <w:keepLines w:val="0"/>
        <w:pageBreakBefore w:val="0"/>
        <w:widowControl w:val="0"/>
        <w:kinsoku/>
        <w:wordWrap/>
        <w:overflowPunct/>
        <w:topLinePunct w:val="0"/>
        <w:bidi w:val="0"/>
        <w:snapToGrid/>
        <w:spacing w:line="280" w:lineRule="exact"/>
        <w:textAlignment w:val="auto"/>
        <w:rPr>
          <w:rFonts w:hint="eastAsia" w:ascii="宋体" w:hAnsi="宋体" w:eastAsia="宋体" w:cs="宋体"/>
          <w:color w:val="auto"/>
          <w:kern w:val="0"/>
          <w:sz w:val="18"/>
          <w:szCs w:val="18"/>
          <w:highlight w:val="none"/>
        </w:rPr>
      </w:pPr>
    </w:p>
    <w:p w14:paraId="0A2FEB1B">
      <w:pPr>
        <w:keepNext w:val="0"/>
        <w:keepLines w:val="0"/>
        <w:pageBreakBefore w:val="0"/>
        <w:widowControl w:val="0"/>
        <w:kinsoku/>
        <w:wordWrap/>
        <w:overflowPunct/>
        <w:topLinePunct w:val="0"/>
        <w:bidi w:val="0"/>
        <w:snapToGrid/>
        <w:spacing w:line="280" w:lineRule="exac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备注：</w:t>
      </w:r>
    </w:p>
    <w:p w14:paraId="4EFD4B0B">
      <w:pPr>
        <w:keepNext w:val="0"/>
        <w:keepLines w:val="0"/>
        <w:pageBreakBefore w:val="0"/>
        <w:widowControl w:val="0"/>
        <w:kinsoku/>
        <w:wordWrap/>
        <w:overflowPunct/>
        <w:topLinePunct w:val="0"/>
        <w:autoSpaceDE w:val="0"/>
        <w:autoSpaceDN w:val="0"/>
        <w:bidi w:val="0"/>
        <w:adjustRightInd w:val="0"/>
        <w:snapToGrid/>
        <w:spacing w:line="280" w:lineRule="exact"/>
        <w:ind w:firstLine="180" w:firstLineChars="10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一</w:t>
      </w:r>
      <w:r>
        <w:rPr>
          <w:rFonts w:hint="eastAsia" w:ascii="宋体" w:hAnsi="宋体" w:eastAsia="宋体" w:cs="宋体"/>
          <w:color w:val="auto"/>
          <w:kern w:val="0"/>
          <w:sz w:val="18"/>
          <w:szCs w:val="18"/>
          <w:highlight w:val="none"/>
        </w:rPr>
        <w:t>、项目不分</w:t>
      </w:r>
      <w:r>
        <w:rPr>
          <w:rFonts w:hint="eastAsia" w:ascii="宋体" w:hAnsi="宋体" w:eastAsia="宋体" w:cs="宋体"/>
          <w:color w:val="auto"/>
          <w:kern w:val="0"/>
          <w:sz w:val="18"/>
          <w:szCs w:val="18"/>
          <w:highlight w:val="none"/>
          <w:lang w:val="en-US" w:eastAsia="zh-CN"/>
        </w:rPr>
        <w:t>包</w:t>
      </w:r>
      <w:r>
        <w:rPr>
          <w:rFonts w:hint="eastAsia" w:ascii="宋体" w:hAnsi="宋体" w:eastAsia="宋体" w:cs="宋体"/>
          <w:color w:val="auto"/>
          <w:kern w:val="0"/>
          <w:sz w:val="18"/>
          <w:szCs w:val="18"/>
          <w:highlight w:val="none"/>
        </w:rPr>
        <w:t>的，第___</w:t>
      </w:r>
      <w:r>
        <w:rPr>
          <w:rFonts w:hint="eastAsia" w:ascii="宋体" w:hAnsi="宋体" w:eastAsia="宋体" w:cs="宋体"/>
          <w:color w:val="auto"/>
          <w:kern w:val="0"/>
          <w:sz w:val="18"/>
          <w:szCs w:val="18"/>
          <w:highlight w:val="none"/>
          <w:lang w:val="en-US" w:eastAsia="zh-CN"/>
        </w:rPr>
        <w:t>包</w:t>
      </w:r>
      <w:r>
        <w:rPr>
          <w:rFonts w:hint="eastAsia" w:ascii="宋体" w:hAnsi="宋体" w:eastAsia="宋体" w:cs="宋体"/>
          <w:color w:val="auto"/>
          <w:kern w:val="0"/>
          <w:sz w:val="18"/>
          <w:szCs w:val="18"/>
          <w:highlight w:val="none"/>
        </w:rPr>
        <w:t>空白处填写“/”。</w:t>
      </w:r>
    </w:p>
    <w:p w14:paraId="0BB8DBB7">
      <w:pPr>
        <w:keepNext w:val="0"/>
        <w:keepLines w:val="0"/>
        <w:pageBreakBefore w:val="0"/>
        <w:widowControl w:val="0"/>
        <w:kinsoku/>
        <w:wordWrap/>
        <w:overflowPunct/>
        <w:topLinePunct w:val="0"/>
        <w:autoSpaceDE w:val="0"/>
        <w:autoSpaceDN w:val="0"/>
        <w:bidi w:val="0"/>
        <w:adjustRightInd w:val="0"/>
        <w:snapToGrid/>
        <w:spacing w:line="280" w:lineRule="exact"/>
        <w:ind w:firstLine="180" w:firstLineChars="10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二</w:t>
      </w:r>
      <w:r>
        <w:rPr>
          <w:rFonts w:hint="eastAsia" w:ascii="宋体" w:hAnsi="宋体" w:eastAsia="宋体" w:cs="宋体"/>
          <w:color w:val="auto"/>
          <w:kern w:val="0"/>
          <w:sz w:val="18"/>
          <w:szCs w:val="18"/>
          <w:highlight w:val="none"/>
        </w:rPr>
        <w:t>、根据《财政部民政部中国残疾人联合会关于促进残疾人就业政府采购政策的通知》（财库【2017】141 号）的规定：</w:t>
      </w:r>
    </w:p>
    <w:p w14:paraId="51E53C71">
      <w:pPr>
        <w:keepNext w:val="0"/>
        <w:keepLines w:val="0"/>
        <w:pageBreakBefore w:val="0"/>
        <w:widowControl w:val="0"/>
        <w:kinsoku/>
        <w:wordWrap/>
        <w:overflowPunct/>
        <w:topLinePunct w:val="0"/>
        <w:autoSpaceDE w:val="0"/>
        <w:autoSpaceDN w:val="0"/>
        <w:bidi w:val="0"/>
        <w:adjustRightInd w:val="0"/>
        <w:snapToGrid/>
        <w:spacing w:line="280" w:lineRule="exact"/>
        <w:ind w:firstLine="180" w:firstLineChars="10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w:t>
      </w:r>
      <w:r>
        <w:rPr>
          <w:rFonts w:hint="eastAsia" w:ascii="宋体" w:hAnsi="宋体" w:eastAsia="宋体" w:cs="宋体"/>
          <w:color w:val="auto"/>
          <w:kern w:val="0"/>
          <w:sz w:val="18"/>
          <w:szCs w:val="18"/>
          <w:highlight w:val="none"/>
          <w:lang w:val="en-US" w:eastAsia="zh-CN"/>
        </w:rPr>
        <w:t>1</w:t>
      </w:r>
      <w:r>
        <w:rPr>
          <w:rFonts w:hint="eastAsia" w:ascii="宋体" w:hAnsi="宋体" w:eastAsia="宋体" w:cs="宋体"/>
          <w:color w:val="auto"/>
          <w:kern w:val="0"/>
          <w:sz w:val="18"/>
          <w:szCs w:val="18"/>
          <w:highlight w:val="none"/>
        </w:rPr>
        <w:t>、享受政府采购支持政策的残疾人福利性单位应当同时满足以下条件：</w:t>
      </w:r>
    </w:p>
    <w:p w14:paraId="70F37392">
      <w:pPr>
        <w:keepNext w:val="0"/>
        <w:keepLines w:val="0"/>
        <w:pageBreakBefore w:val="0"/>
        <w:widowControl w:val="0"/>
        <w:kinsoku/>
        <w:wordWrap/>
        <w:overflowPunct/>
        <w:topLinePunct w:val="0"/>
        <w:autoSpaceDE w:val="0"/>
        <w:autoSpaceDN w:val="0"/>
        <w:bidi w:val="0"/>
        <w:adjustRightInd w:val="0"/>
        <w:snapToGrid/>
        <w:spacing w:line="280" w:lineRule="exact"/>
        <w:ind w:firstLine="180" w:firstLineChars="10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（1）安置的残疾人占本单位在职职工人数的比例不低于25%（含25%），并且安置的残疾人人数不少于10 人（含10 人）；</w:t>
      </w:r>
    </w:p>
    <w:p w14:paraId="283B274F">
      <w:pPr>
        <w:keepNext w:val="0"/>
        <w:keepLines w:val="0"/>
        <w:pageBreakBefore w:val="0"/>
        <w:widowControl w:val="0"/>
        <w:kinsoku/>
        <w:wordWrap/>
        <w:overflowPunct/>
        <w:topLinePunct w:val="0"/>
        <w:autoSpaceDE w:val="0"/>
        <w:autoSpaceDN w:val="0"/>
        <w:bidi w:val="0"/>
        <w:adjustRightInd w:val="0"/>
        <w:snapToGrid/>
        <w:spacing w:line="280" w:lineRule="exact"/>
        <w:ind w:firstLine="180" w:firstLineChars="10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（2）依法与安置的每位残疾人签订了一年以上（含一年）的劳动合同或服务协议；</w:t>
      </w:r>
    </w:p>
    <w:p w14:paraId="2B4977F8">
      <w:pPr>
        <w:keepNext w:val="0"/>
        <w:keepLines w:val="0"/>
        <w:pageBreakBefore w:val="0"/>
        <w:widowControl w:val="0"/>
        <w:kinsoku/>
        <w:wordWrap/>
        <w:overflowPunct/>
        <w:topLinePunct w:val="0"/>
        <w:autoSpaceDE w:val="0"/>
        <w:autoSpaceDN w:val="0"/>
        <w:bidi w:val="0"/>
        <w:adjustRightInd w:val="0"/>
        <w:snapToGrid/>
        <w:spacing w:line="280" w:lineRule="exact"/>
        <w:ind w:firstLine="180" w:firstLineChars="10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（3）为安置的每位残疾人按月足额缴纳了基本养老保险、基本医疗保险、失业保险、工伤保险和生育保险等社会保险费；</w:t>
      </w:r>
    </w:p>
    <w:p w14:paraId="08791B65">
      <w:pPr>
        <w:keepNext w:val="0"/>
        <w:keepLines w:val="0"/>
        <w:pageBreakBefore w:val="0"/>
        <w:widowControl w:val="0"/>
        <w:kinsoku/>
        <w:wordWrap/>
        <w:overflowPunct/>
        <w:topLinePunct w:val="0"/>
        <w:autoSpaceDE w:val="0"/>
        <w:autoSpaceDN w:val="0"/>
        <w:bidi w:val="0"/>
        <w:adjustRightInd w:val="0"/>
        <w:snapToGrid/>
        <w:spacing w:line="280" w:lineRule="exact"/>
        <w:ind w:firstLine="180" w:firstLineChars="10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（4）通过银行等金融机构向安置的每位残疾人，按月支付了不低于单位所在区县适用的经省级人民政府批准的月最低工资标准的工资；</w:t>
      </w:r>
    </w:p>
    <w:p w14:paraId="5584C0AD">
      <w:pPr>
        <w:keepNext w:val="0"/>
        <w:keepLines w:val="0"/>
        <w:pageBreakBefore w:val="0"/>
        <w:widowControl w:val="0"/>
        <w:kinsoku/>
        <w:wordWrap/>
        <w:overflowPunct/>
        <w:topLinePunct w:val="0"/>
        <w:autoSpaceDE w:val="0"/>
        <w:autoSpaceDN w:val="0"/>
        <w:bidi w:val="0"/>
        <w:adjustRightInd w:val="0"/>
        <w:snapToGrid/>
        <w:spacing w:line="280" w:lineRule="exact"/>
        <w:ind w:firstLine="180" w:firstLineChars="10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级）》的自然人，包括具有劳动条件和劳动意愿的精神残疾人。在职职工人数是指与残疾人福利性单位建立劳动关系并依法签订劳动合同或者服务协议的雇员人数。</w:t>
      </w:r>
    </w:p>
    <w:p w14:paraId="544F5F6C">
      <w:pPr>
        <w:keepNext w:val="0"/>
        <w:keepLines w:val="0"/>
        <w:pageBreakBefore w:val="0"/>
        <w:widowControl w:val="0"/>
        <w:kinsoku/>
        <w:wordWrap/>
        <w:overflowPunct/>
        <w:topLinePunct w:val="0"/>
        <w:autoSpaceDE w:val="0"/>
        <w:autoSpaceDN w:val="0"/>
        <w:bidi w:val="0"/>
        <w:adjustRightInd w:val="0"/>
        <w:snapToGrid/>
        <w:spacing w:line="280" w:lineRule="exact"/>
        <w:ind w:firstLine="180" w:firstLineChars="10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w:t>
      </w:r>
      <w:r>
        <w:rPr>
          <w:rFonts w:hint="eastAsia" w:ascii="宋体" w:hAnsi="宋体" w:eastAsia="宋体" w:cs="宋体"/>
          <w:color w:val="auto"/>
          <w:kern w:val="0"/>
          <w:sz w:val="18"/>
          <w:szCs w:val="18"/>
          <w:highlight w:val="none"/>
        </w:rPr>
        <w:t>、成交供应商符合残疾人福利性单位的，采购人或者其委托的采购代理机构应当随成交结果同时公告其《残疾人福利性单位声明函》，接受社会监督。</w:t>
      </w:r>
    </w:p>
    <w:p w14:paraId="7898BC54">
      <w:pPr>
        <w:ind w:firstLine="180" w:firstLineChars="100"/>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三</w:t>
      </w:r>
      <w:r>
        <w:rPr>
          <w:rFonts w:hint="eastAsia" w:ascii="宋体" w:hAnsi="宋体" w:eastAsia="宋体" w:cs="宋体"/>
          <w:color w:val="auto"/>
          <w:kern w:val="0"/>
          <w:sz w:val="18"/>
          <w:szCs w:val="18"/>
          <w:highlight w:val="none"/>
        </w:rPr>
        <w:t>、供应商认为其符合残疾人福利性单位的应提交本函，并对其真实性负责。</w:t>
      </w:r>
    </w:p>
    <w:p w14:paraId="6742DC9D">
      <w:pPr>
        <w:rPr>
          <w:rFonts w:hint="eastAsia" w:ascii="宋体" w:hAnsi="宋体" w:eastAsia="宋体" w:cs="宋体"/>
          <w:b/>
          <w:color w:val="auto"/>
          <w:sz w:val="24"/>
          <w:highlight w:val="none"/>
        </w:rPr>
      </w:pPr>
      <w:r>
        <w:rPr>
          <w:rFonts w:hint="eastAsia" w:ascii="宋体" w:hAnsi="宋体" w:eastAsia="宋体" w:cs="宋体"/>
          <w:color w:val="auto"/>
          <w:kern w:val="0"/>
          <w:sz w:val="18"/>
          <w:szCs w:val="18"/>
          <w:highlight w:val="none"/>
        </w:rPr>
        <w:br w:type="page"/>
      </w:r>
    </w:p>
    <w:p w14:paraId="63CA5DEA">
      <w:pPr>
        <w:spacing w:line="440" w:lineRule="exact"/>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附件三：</w:t>
      </w:r>
    </w:p>
    <w:p w14:paraId="1FBF8838">
      <w:pPr>
        <w:spacing w:line="480" w:lineRule="auto"/>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监狱企业声明函</w:t>
      </w:r>
    </w:p>
    <w:p w14:paraId="401C4540">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本单位郑重声明，根据根据财政部、司法部《关于政府采购支持监狱企业发展有关问题的通知》（财库〔2014〕68号）的规定，本单位</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（请填写：是或不是）</w:t>
      </w:r>
      <w:r>
        <w:rPr>
          <w:rFonts w:hint="eastAsia" w:ascii="宋体" w:hAnsi="宋体" w:eastAsia="宋体" w:cs="宋体"/>
          <w:color w:val="auto"/>
          <w:sz w:val="24"/>
          <w:szCs w:val="24"/>
          <w:highlight w:val="none"/>
        </w:rPr>
        <w:t>符合条件的监狱企业，且本单位参加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单位的______项目</w:t>
      </w:r>
      <w:r>
        <w:rPr>
          <w:rFonts w:hint="eastAsia" w:ascii="宋体" w:hAnsi="宋体" w:eastAsia="宋体" w:cs="宋体"/>
          <w:color w:val="auto"/>
          <w:kern w:val="0"/>
          <w:sz w:val="24"/>
          <w:szCs w:val="24"/>
          <w:highlight w:val="none"/>
        </w:rPr>
        <w:t xml:space="preserve">（项目编号：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采购活动提供本单位制造的</w:t>
      </w:r>
      <w:r>
        <w:rPr>
          <w:rFonts w:hint="eastAsia" w:ascii="宋体" w:hAnsi="宋体" w:eastAsia="宋体" w:cs="宋体"/>
          <w:color w:val="auto"/>
          <w:sz w:val="24"/>
          <w:szCs w:val="24"/>
          <w:highlight w:val="none"/>
          <w:lang w:eastAsia="zh-CN"/>
        </w:rPr>
        <w:t>货物（产品）</w:t>
      </w:r>
      <w:r>
        <w:rPr>
          <w:rFonts w:hint="eastAsia" w:ascii="宋体" w:hAnsi="宋体" w:eastAsia="宋体" w:cs="宋体"/>
          <w:color w:val="auto"/>
          <w:sz w:val="24"/>
          <w:szCs w:val="24"/>
          <w:highlight w:val="none"/>
        </w:rPr>
        <w:t>（由本单位承担工程/提供服务），或者提供其他</w:t>
      </w:r>
      <w:r>
        <w:rPr>
          <w:rFonts w:hint="eastAsia" w:ascii="宋体" w:hAnsi="宋体" w:eastAsia="宋体" w:cs="宋体"/>
          <w:color w:val="auto"/>
          <w:sz w:val="24"/>
          <w:szCs w:val="24"/>
          <w:highlight w:val="none"/>
          <w:lang w:val="en-US" w:eastAsia="zh-CN"/>
        </w:rPr>
        <w:t>监狱企业</w:t>
      </w:r>
      <w:r>
        <w:rPr>
          <w:rFonts w:hint="eastAsia" w:ascii="宋体" w:hAnsi="宋体" w:eastAsia="宋体" w:cs="宋体"/>
          <w:color w:val="auto"/>
          <w:sz w:val="24"/>
          <w:szCs w:val="24"/>
          <w:highlight w:val="none"/>
        </w:rPr>
        <w:t>制造的</w:t>
      </w:r>
      <w:r>
        <w:rPr>
          <w:rFonts w:hint="eastAsia" w:ascii="宋体" w:hAnsi="宋体" w:eastAsia="宋体" w:cs="宋体"/>
          <w:color w:val="auto"/>
          <w:sz w:val="24"/>
          <w:szCs w:val="24"/>
          <w:highlight w:val="none"/>
          <w:lang w:eastAsia="zh-CN"/>
        </w:rPr>
        <w:t>货物（产品）</w:t>
      </w:r>
      <w:r>
        <w:rPr>
          <w:rFonts w:hint="eastAsia" w:ascii="宋体" w:hAnsi="宋体" w:eastAsia="宋体" w:cs="宋体"/>
          <w:color w:val="auto"/>
          <w:sz w:val="24"/>
          <w:szCs w:val="24"/>
          <w:highlight w:val="none"/>
        </w:rPr>
        <w:t>。</w:t>
      </w:r>
    </w:p>
    <w:p w14:paraId="1FD0F842">
      <w:pPr>
        <w:spacing w:line="6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本企业（单</w:t>
      </w:r>
      <w:r>
        <w:rPr>
          <w:rFonts w:hint="eastAsia" w:ascii="宋体" w:hAnsi="宋体" w:eastAsia="宋体" w:cs="宋体"/>
          <w:color w:val="auto"/>
          <w:kern w:val="0"/>
          <w:sz w:val="24"/>
          <w:szCs w:val="24"/>
          <w:highlight w:val="none"/>
          <w:lang w:val="en-US" w:eastAsia="zh-CN"/>
        </w:rPr>
        <w:t>位）</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（请填写：是或不是）</w:t>
      </w:r>
      <w:r>
        <w:rPr>
          <w:rFonts w:hint="eastAsia" w:ascii="宋体" w:hAnsi="宋体" w:eastAsia="宋体" w:cs="宋体"/>
          <w:color w:val="auto"/>
          <w:kern w:val="0"/>
          <w:sz w:val="24"/>
          <w:szCs w:val="24"/>
          <w:highlight w:val="none"/>
          <w:lang w:val="en-US" w:eastAsia="zh-CN"/>
        </w:rPr>
        <w:t>为联合体一方，提供本企业（单位）制造的货物，由本企业（单位）承担工程、提供服务。本企业（单位）</w:t>
      </w:r>
      <w:r>
        <w:rPr>
          <w:rFonts w:hint="eastAsia" w:ascii="宋体" w:hAnsi="宋体" w:eastAsia="宋体" w:cs="宋体"/>
          <w:color w:val="auto"/>
          <w:sz w:val="24"/>
          <w:szCs w:val="24"/>
          <w:highlight w:val="none"/>
          <w:lang w:val="en-US" w:eastAsia="zh-CN"/>
        </w:rPr>
        <w:t>提供协议合同金额占到共同投标协议合同总金额的比例为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w:t>
      </w:r>
    </w:p>
    <w:p w14:paraId="6434F74A">
      <w:pPr>
        <w:spacing w:line="6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本企业（单位）对上述声明的真实性负责。如有虚假，将依法承担相应责任。</w:t>
      </w:r>
    </w:p>
    <w:p w14:paraId="14CC9335">
      <w:pPr>
        <w:spacing w:line="6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03EC6279">
      <w:pPr>
        <w:spacing w:line="60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单位全称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（盖章）</w:t>
      </w:r>
    </w:p>
    <w:p w14:paraId="2E997F26">
      <w:pPr>
        <w:spacing w:line="600" w:lineRule="auto"/>
        <w:ind w:firstLine="3360" w:firstLineChars="14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月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4A0CCEF2">
      <w:pPr>
        <w:pStyle w:val="10"/>
        <w:rPr>
          <w:rFonts w:hint="eastAsia" w:ascii="宋体" w:hAnsi="宋体" w:eastAsia="宋体" w:cs="宋体"/>
          <w:color w:val="auto"/>
          <w:sz w:val="21"/>
          <w:szCs w:val="21"/>
          <w:highlight w:val="none"/>
        </w:rPr>
      </w:pPr>
    </w:p>
    <w:p w14:paraId="06830505">
      <w:pPr>
        <w:rPr>
          <w:rFonts w:hint="eastAsia" w:ascii="宋体" w:hAnsi="宋体" w:eastAsia="宋体" w:cs="宋体"/>
          <w:color w:val="auto"/>
          <w:sz w:val="24"/>
          <w:szCs w:val="24"/>
          <w:highlight w:val="none"/>
        </w:rPr>
      </w:pPr>
    </w:p>
    <w:p w14:paraId="6006B222">
      <w:pPr>
        <w:spacing w:line="360" w:lineRule="auto"/>
        <w:ind w:firstLine="415" w:firstLineChars="198"/>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注：</w:t>
      </w:r>
    </w:p>
    <w:p w14:paraId="5775023B">
      <w:pPr>
        <w:spacing w:line="360" w:lineRule="auto"/>
        <w:ind w:firstLine="415" w:firstLineChars="198"/>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符合《关于政府采购支持监狱企业发展有关问题的通知》（财库〔2014〕68号）价格扣减条件的供应商须提交。需提供省级以上监狱管理局、戒毒管理局（含新疆生产建设兵团）出具的属于监狱企业的证明文件。</w:t>
      </w:r>
    </w:p>
    <w:p w14:paraId="6849C81B">
      <w:pPr>
        <w:spacing w:line="360" w:lineRule="auto"/>
        <w:ind w:firstLine="415" w:firstLineChars="198"/>
        <w:rPr>
          <w:rFonts w:hint="eastAsia" w:ascii="宋体" w:hAnsi="宋体" w:eastAsia="宋体" w:cs="宋体"/>
          <w:color w:val="auto"/>
          <w:sz w:val="24"/>
          <w:highlight w:val="none"/>
          <w:lang w:val="en-US" w:eastAsia="zh-CN"/>
        </w:rPr>
      </w:pPr>
      <w:r>
        <w:rPr>
          <w:rFonts w:hint="eastAsia" w:ascii="宋体" w:hAnsi="宋体" w:eastAsia="宋体" w:cs="宋体"/>
          <w:color w:val="auto"/>
          <w:kern w:val="0"/>
          <w:sz w:val="21"/>
          <w:szCs w:val="21"/>
          <w:highlight w:val="none"/>
          <w:lang w:val="en-US" w:eastAsia="zh-CN"/>
        </w:rPr>
        <w:t>2、未按上述要求提供、填写的，评审时不予考虑。</w:t>
      </w:r>
    </w:p>
    <w:p w14:paraId="58CC60CA">
      <w:pPr>
        <w:pStyle w:val="20"/>
        <w:spacing w:line="240" w:lineRule="auto"/>
        <w:jc w:val="center"/>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br w:type="page"/>
      </w:r>
    </w:p>
    <w:p w14:paraId="6666A6CB">
      <w:pPr>
        <w:pStyle w:val="20"/>
        <w:spacing w:line="240" w:lineRule="auto"/>
        <w:jc w:val="center"/>
        <w:rPr>
          <w:rFonts w:hint="eastAsia" w:ascii="宋体" w:hAnsi="宋体" w:eastAsia="宋体" w:cs="宋体"/>
          <w:color w:val="auto"/>
          <w:sz w:val="24"/>
          <w:szCs w:val="24"/>
          <w:highlight w:val="none"/>
          <w:lang w:val="en-US" w:eastAsia="zh-CN"/>
        </w:rPr>
      </w:pPr>
    </w:p>
    <w:p w14:paraId="1D800AC3">
      <w:pPr>
        <w:pStyle w:val="20"/>
        <w:spacing w:line="240" w:lineRule="auto"/>
        <w:jc w:val="center"/>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t>第五部分  服务方案</w:t>
      </w:r>
    </w:p>
    <w:p w14:paraId="03D979DD">
      <w:pPr>
        <w:rPr>
          <w:rFonts w:hint="eastAsia" w:ascii="宋体" w:hAnsi="宋体" w:eastAsia="宋体" w:cs="宋体"/>
          <w:color w:val="auto"/>
          <w:highlight w:val="none"/>
          <w:lang w:val="en-US" w:eastAsia="zh-CN"/>
        </w:rPr>
      </w:pPr>
    </w:p>
    <w:p w14:paraId="40A13582">
      <w:pPr>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应根据</w:t>
      </w:r>
      <w:r>
        <w:rPr>
          <w:rFonts w:hint="eastAsia" w:ascii="宋体" w:hAnsi="宋体" w:eastAsia="宋体" w:cs="宋体"/>
          <w:color w:val="auto"/>
          <w:sz w:val="24"/>
          <w:szCs w:val="24"/>
          <w:highlight w:val="none"/>
          <w:lang w:eastAsia="zh-CN"/>
        </w:rPr>
        <w:t>竞争性磋商文件</w:t>
      </w:r>
      <w:r>
        <w:rPr>
          <w:rFonts w:hint="eastAsia" w:ascii="宋体" w:hAnsi="宋体" w:eastAsia="宋体" w:cs="宋体"/>
          <w:color w:val="auto"/>
          <w:sz w:val="24"/>
          <w:szCs w:val="24"/>
          <w:highlight w:val="none"/>
        </w:rPr>
        <w:t>“第三章 采购内容及要求”的具体</w:t>
      </w:r>
      <w:r>
        <w:rPr>
          <w:rFonts w:hint="eastAsia" w:ascii="宋体" w:hAnsi="宋体" w:eastAsia="宋体" w:cs="宋体"/>
          <w:b w:val="0"/>
          <w:bCs w:val="0"/>
          <w:color w:val="auto"/>
          <w:sz w:val="24"/>
          <w:szCs w:val="24"/>
          <w:highlight w:val="none"/>
        </w:rPr>
        <w:t>要求</w:t>
      </w:r>
      <w:r>
        <w:rPr>
          <w:rFonts w:hint="eastAsia" w:ascii="宋体" w:hAnsi="宋体" w:eastAsia="宋体" w:cs="宋体"/>
          <w:b w:val="0"/>
          <w:bCs w:val="0"/>
          <w:color w:val="auto"/>
          <w:sz w:val="24"/>
          <w:szCs w:val="24"/>
          <w:highlight w:val="none"/>
          <w:lang w:val="en-US" w:eastAsia="zh-CN"/>
        </w:rPr>
        <w:t>并结合评审办法自行</w:t>
      </w:r>
      <w:r>
        <w:rPr>
          <w:rFonts w:hint="eastAsia" w:ascii="宋体" w:hAnsi="宋体" w:eastAsia="宋体" w:cs="宋体"/>
          <w:b w:val="0"/>
          <w:bCs w:val="0"/>
          <w:color w:val="auto"/>
          <w:sz w:val="24"/>
          <w:szCs w:val="24"/>
          <w:highlight w:val="none"/>
          <w:lang w:eastAsia="zh-CN"/>
        </w:rPr>
        <w:t>编</w:t>
      </w:r>
      <w:r>
        <w:rPr>
          <w:rFonts w:hint="eastAsia" w:ascii="宋体" w:hAnsi="宋体" w:eastAsia="宋体" w:cs="宋体"/>
          <w:b w:val="0"/>
          <w:bCs w:val="0"/>
          <w:color w:val="auto"/>
          <w:sz w:val="24"/>
          <w:szCs w:val="24"/>
          <w:highlight w:val="none"/>
        </w:rPr>
        <w:t>制</w:t>
      </w:r>
      <w:r>
        <w:rPr>
          <w:rFonts w:hint="eastAsia" w:ascii="宋体" w:hAnsi="宋体" w:cs="宋体"/>
          <w:b w:val="0"/>
          <w:bCs w:val="0"/>
          <w:color w:val="auto"/>
          <w:sz w:val="24"/>
          <w:szCs w:val="24"/>
          <w:highlight w:val="none"/>
          <w:lang w:eastAsia="zh-CN"/>
        </w:rPr>
        <w:t>长武县城区摆放时令鲜花项目</w:t>
      </w:r>
      <w:r>
        <w:rPr>
          <w:rFonts w:hint="eastAsia" w:ascii="宋体" w:hAnsi="宋体" w:eastAsia="宋体" w:cs="宋体"/>
          <w:color w:val="auto"/>
          <w:sz w:val="24"/>
          <w:szCs w:val="24"/>
          <w:highlight w:val="none"/>
          <w:lang w:val="en-US" w:eastAsia="zh-CN"/>
        </w:rPr>
        <w:t>的服务方案</w:t>
      </w:r>
      <w:r>
        <w:rPr>
          <w:rFonts w:hint="eastAsia" w:ascii="宋体" w:hAnsi="宋体" w:eastAsia="宋体" w:cs="宋体"/>
          <w:color w:val="auto"/>
          <w:sz w:val="24"/>
          <w:szCs w:val="24"/>
          <w:highlight w:val="none"/>
          <w:lang w:eastAsia="zh-CN"/>
        </w:rPr>
        <w:t>。</w:t>
      </w:r>
    </w:p>
    <w:p w14:paraId="5B99617F">
      <w:pPr>
        <w:spacing w:line="48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（格式自拟）</w:t>
      </w:r>
    </w:p>
    <w:p w14:paraId="6438CBD8">
      <w:pPr>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br w:type="page"/>
      </w:r>
    </w:p>
    <w:p w14:paraId="5D564812">
      <w:pPr>
        <w:pStyle w:val="18"/>
        <w:rPr>
          <w:rFonts w:hint="eastAsia" w:ascii="宋体" w:hAnsi="宋体" w:eastAsia="宋体" w:cs="宋体"/>
          <w:color w:val="auto"/>
          <w:highlight w:val="none"/>
          <w:lang w:val="en-US" w:eastAsia="zh-CN"/>
        </w:rPr>
      </w:pPr>
    </w:p>
    <w:p w14:paraId="7B2BD982">
      <w:pPr>
        <w:spacing w:line="48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8"/>
          <w:szCs w:val="28"/>
          <w:highlight w:val="none"/>
          <w:lang w:val="en-US" w:eastAsia="zh-CN"/>
        </w:rPr>
        <w:t>第六部分  类似业绩证明材料</w:t>
      </w:r>
    </w:p>
    <w:tbl>
      <w:tblPr>
        <w:tblStyle w:val="27"/>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489"/>
        <w:gridCol w:w="2521"/>
        <w:gridCol w:w="1698"/>
        <w:gridCol w:w="1290"/>
      </w:tblGrid>
      <w:tr w14:paraId="172D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14:paraId="7A25867A">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489" w:type="dxa"/>
            <w:tcBorders>
              <w:top w:val="single" w:color="auto" w:sz="4" w:space="0"/>
              <w:left w:val="single" w:color="auto" w:sz="4" w:space="0"/>
              <w:bottom w:val="single" w:color="auto" w:sz="4" w:space="0"/>
              <w:right w:val="single" w:color="auto" w:sz="4" w:space="0"/>
            </w:tcBorders>
            <w:noWrap w:val="0"/>
            <w:vAlign w:val="center"/>
          </w:tcPr>
          <w:p w14:paraId="1AF75DBD">
            <w:pPr>
              <w:spacing w:line="36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项目名称</w:t>
            </w:r>
          </w:p>
        </w:tc>
        <w:tc>
          <w:tcPr>
            <w:tcW w:w="2521" w:type="dxa"/>
            <w:tcBorders>
              <w:top w:val="single" w:color="auto" w:sz="4" w:space="0"/>
              <w:left w:val="single" w:color="auto" w:sz="4" w:space="0"/>
              <w:bottom w:val="single" w:color="auto" w:sz="4" w:space="0"/>
              <w:right w:val="single" w:color="auto" w:sz="4" w:space="0"/>
            </w:tcBorders>
            <w:noWrap w:val="0"/>
            <w:vAlign w:val="center"/>
          </w:tcPr>
          <w:p w14:paraId="123BA331">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委托内容</w:t>
            </w:r>
          </w:p>
        </w:tc>
        <w:tc>
          <w:tcPr>
            <w:tcW w:w="1698" w:type="dxa"/>
            <w:tcBorders>
              <w:top w:val="single" w:color="auto" w:sz="4" w:space="0"/>
              <w:left w:val="single" w:color="auto" w:sz="4" w:space="0"/>
              <w:bottom w:val="single" w:color="auto" w:sz="4" w:space="0"/>
              <w:right w:val="single" w:color="auto" w:sz="4" w:space="0"/>
            </w:tcBorders>
            <w:noWrap w:val="0"/>
            <w:vAlign w:val="center"/>
          </w:tcPr>
          <w:p w14:paraId="7E9DF4F0">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签订时间</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478FEA3B">
            <w:pPr>
              <w:spacing w:line="36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备注</w:t>
            </w:r>
          </w:p>
        </w:tc>
      </w:tr>
      <w:tr w14:paraId="58FF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080" w:type="dxa"/>
            <w:tcBorders>
              <w:top w:val="single" w:color="auto" w:sz="4" w:space="0"/>
              <w:left w:val="single" w:color="auto" w:sz="4" w:space="0"/>
              <w:bottom w:val="single" w:color="auto" w:sz="4" w:space="0"/>
              <w:right w:val="single" w:color="auto" w:sz="4" w:space="0"/>
            </w:tcBorders>
            <w:noWrap w:val="0"/>
            <w:vAlign w:val="top"/>
          </w:tcPr>
          <w:p w14:paraId="40EB8F4F">
            <w:pPr>
              <w:spacing w:line="360" w:lineRule="auto"/>
              <w:rPr>
                <w:rFonts w:hint="eastAsia" w:ascii="宋体" w:hAnsi="宋体" w:eastAsia="宋体" w:cs="宋体"/>
                <w:b/>
                <w:color w:val="auto"/>
                <w:sz w:val="24"/>
                <w:szCs w:val="24"/>
                <w:highlight w:val="none"/>
              </w:rPr>
            </w:pPr>
          </w:p>
        </w:tc>
        <w:tc>
          <w:tcPr>
            <w:tcW w:w="2489" w:type="dxa"/>
            <w:tcBorders>
              <w:top w:val="single" w:color="auto" w:sz="4" w:space="0"/>
              <w:left w:val="single" w:color="auto" w:sz="4" w:space="0"/>
              <w:bottom w:val="single" w:color="auto" w:sz="4" w:space="0"/>
              <w:right w:val="single" w:color="auto" w:sz="4" w:space="0"/>
            </w:tcBorders>
            <w:noWrap w:val="0"/>
            <w:vAlign w:val="top"/>
          </w:tcPr>
          <w:p w14:paraId="3825744E">
            <w:pPr>
              <w:spacing w:line="360" w:lineRule="auto"/>
              <w:rPr>
                <w:rFonts w:hint="eastAsia" w:ascii="宋体" w:hAnsi="宋体" w:eastAsia="宋体" w:cs="宋体"/>
                <w:b/>
                <w:color w:val="auto"/>
                <w:sz w:val="24"/>
                <w:szCs w:val="24"/>
                <w:highlight w:val="none"/>
              </w:rPr>
            </w:pPr>
          </w:p>
        </w:tc>
        <w:tc>
          <w:tcPr>
            <w:tcW w:w="2521" w:type="dxa"/>
            <w:tcBorders>
              <w:top w:val="single" w:color="auto" w:sz="4" w:space="0"/>
              <w:left w:val="single" w:color="auto" w:sz="4" w:space="0"/>
              <w:bottom w:val="single" w:color="auto" w:sz="4" w:space="0"/>
              <w:right w:val="single" w:color="auto" w:sz="4" w:space="0"/>
            </w:tcBorders>
            <w:noWrap w:val="0"/>
            <w:vAlign w:val="top"/>
          </w:tcPr>
          <w:p w14:paraId="72C2ED1A">
            <w:pPr>
              <w:spacing w:line="360" w:lineRule="auto"/>
              <w:rPr>
                <w:rFonts w:hint="eastAsia" w:ascii="宋体" w:hAnsi="宋体" w:eastAsia="宋体" w:cs="宋体"/>
                <w:b/>
                <w:color w:val="auto"/>
                <w:sz w:val="24"/>
                <w:szCs w:val="24"/>
                <w:highlight w:val="none"/>
              </w:rPr>
            </w:pPr>
          </w:p>
        </w:tc>
        <w:tc>
          <w:tcPr>
            <w:tcW w:w="1698" w:type="dxa"/>
            <w:tcBorders>
              <w:top w:val="single" w:color="auto" w:sz="4" w:space="0"/>
              <w:left w:val="single" w:color="auto" w:sz="4" w:space="0"/>
              <w:bottom w:val="single" w:color="auto" w:sz="4" w:space="0"/>
              <w:right w:val="single" w:color="auto" w:sz="4" w:space="0"/>
            </w:tcBorders>
            <w:noWrap w:val="0"/>
            <w:vAlign w:val="top"/>
          </w:tcPr>
          <w:p w14:paraId="0EC8F4A3">
            <w:pPr>
              <w:spacing w:line="360" w:lineRule="auto"/>
              <w:rPr>
                <w:rFonts w:hint="eastAsia" w:ascii="宋体" w:hAnsi="宋体" w:eastAsia="宋体" w:cs="宋体"/>
                <w:b/>
                <w:color w:val="auto"/>
                <w:sz w:val="24"/>
                <w:szCs w:val="24"/>
                <w:highlight w:val="none"/>
              </w:rPr>
            </w:pPr>
          </w:p>
        </w:tc>
        <w:tc>
          <w:tcPr>
            <w:tcW w:w="1290" w:type="dxa"/>
            <w:tcBorders>
              <w:top w:val="single" w:color="auto" w:sz="4" w:space="0"/>
              <w:left w:val="single" w:color="auto" w:sz="4" w:space="0"/>
              <w:bottom w:val="single" w:color="auto" w:sz="4" w:space="0"/>
              <w:right w:val="single" w:color="auto" w:sz="4" w:space="0"/>
            </w:tcBorders>
            <w:noWrap w:val="0"/>
            <w:vAlign w:val="top"/>
          </w:tcPr>
          <w:p w14:paraId="310D1B57">
            <w:pPr>
              <w:spacing w:line="360" w:lineRule="auto"/>
              <w:rPr>
                <w:rFonts w:hint="eastAsia" w:ascii="宋体" w:hAnsi="宋体" w:eastAsia="宋体" w:cs="宋体"/>
                <w:b/>
                <w:color w:val="auto"/>
                <w:sz w:val="24"/>
                <w:szCs w:val="24"/>
                <w:highlight w:val="none"/>
              </w:rPr>
            </w:pPr>
          </w:p>
        </w:tc>
      </w:tr>
      <w:tr w14:paraId="7950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080" w:type="dxa"/>
            <w:tcBorders>
              <w:top w:val="single" w:color="auto" w:sz="4" w:space="0"/>
              <w:left w:val="single" w:color="auto" w:sz="4" w:space="0"/>
              <w:bottom w:val="single" w:color="auto" w:sz="4" w:space="0"/>
              <w:right w:val="single" w:color="auto" w:sz="4" w:space="0"/>
            </w:tcBorders>
            <w:noWrap w:val="0"/>
            <w:vAlign w:val="top"/>
          </w:tcPr>
          <w:p w14:paraId="285CACD4">
            <w:pPr>
              <w:spacing w:line="360" w:lineRule="auto"/>
              <w:rPr>
                <w:rFonts w:hint="eastAsia" w:ascii="宋体" w:hAnsi="宋体" w:eastAsia="宋体" w:cs="宋体"/>
                <w:b/>
                <w:color w:val="auto"/>
                <w:sz w:val="24"/>
                <w:szCs w:val="24"/>
                <w:highlight w:val="none"/>
              </w:rPr>
            </w:pPr>
          </w:p>
        </w:tc>
        <w:tc>
          <w:tcPr>
            <w:tcW w:w="2489" w:type="dxa"/>
            <w:tcBorders>
              <w:top w:val="single" w:color="auto" w:sz="4" w:space="0"/>
              <w:left w:val="single" w:color="auto" w:sz="4" w:space="0"/>
              <w:bottom w:val="single" w:color="auto" w:sz="4" w:space="0"/>
              <w:right w:val="single" w:color="auto" w:sz="4" w:space="0"/>
            </w:tcBorders>
            <w:noWrap w:val="0"/>
            <w:vAlign w:val="top"/>
          </w:tcPr>
          <w:p w14:paraId="6123B490">
            <w:pPr>
              <w:spacing w:line="360" w:lineRule="auto"/>
              <w:rPr>
                <w:rFonts w:hint="eastAsia" w:ascii="宋体" w:hAnsi="宋体" w:eastAsia="宋体" w:cs="宋体"/>
                <w:b/>
                <w:color w:val="auto"/>
                <w:sz w:val="24"/>
                <w:szCs w:val="24"/>
                <w:highlight w:val="none"/>
              </w:rPr>
            </w:pPr>
          </w:p>
        </w:tc>
        <w:tc>
          <w:tcPr>
            <w:tcW w:w="2521" w:type="dxa"/>
            <w:tcBorders>
              <w:top w:val="single" w:color="auto" w:sz="4" w:space="0"/>
              <w:left w:val="single" w:color="auto" w:sz="4" w:space="0"/>
              <w:bottom w:val="single" w:color="auto" w:sz="4" w:space="0"/>
              <w:right w:val="single" w:color="auto" w:sz="4" w:space="0"/>
            </w:tcBorders>
            <w:noWrap w:val="0"/>
            <w:vAlign w:val="top"/>
          </w:tcPr>
          <w:p w14:paraId="26448C0B">
            <w:pPr>
              <w:spacing w:line="360" w:lineRule="auto"/>
              <w:rPr>
                <w:rFonts w:hint="eastAsia" w:ascii="宋体" w:hAnsi="宋体" w:eastAsia="宋体" w:cs="宋体"/>
                <w:b/>
                <w:color w:val="auto"/>
                <w:sz w:val="24"/>
                <w:szCs w:val="24"/>
                <w:highlight w:val="none"/>
              </w:rPr>
            </w:pPr>
          </w:p>
        </w:tc>
        <w:tc>
          <w:tcPr>
            <w:tcW w:w="1698" w:type="dxa"/>
            <w:tcBorders>
              <w:top w:val="single" w:color="auto" w:sz="4" w:space="0"/>
              <w:left w:val="single" w:color="auto" w:sz="4" w:space="0"/>
              <w:bottom w:val="single" w:color="auto" w:sz="4" w:space="0"/>
              <w:right w:val="single" w:color="auto" w:sz="4" w:space="0"/>
            </w:tcBorders>
            <w:noWrap w:val="0"/>
            <w:vAlign w:val="top"/>
          </w:tcPr>
          <w:p w14:paraId="1CB51B72">
            <w:pPr>
              <w:spacing w:line="360" w:lineRule="auto"/>
              <w:rPr>
                <w:rFonts w:hint="eastAsia" w:ascii="宋体" w:hAnsi="宋体" w:eastAsia="宋体" w:cs="宋体"/>
                <w:b/>
                <w:color w:val="auto"/>
                <w:sz w:val="24"/>
                <w:szCs w:val="24"/>
                <w:highlight w:val="none"/>
              </w:rPr>
            </w:pPr>
          </w:p>
        </w:tc>
        <w:tc>
          <w:tcPr>
            <w:tcW w:w="1290" w:type="dxa"/>
            <w:tcBorders>
              <w:top w:val="single" w:color="auto" w:sz="4" w:space="0"/>
              <w:left w:val="single" w:color="auto" w:sz="4" w:space="0"/>
              <w:bottom w:val="single" w:color="auto" w:sz="4" w:space="0"/>
              <w:right w:val="single" w:color="auto" w:sz="4" w:space="0"/>
            </w:tcBorders>
            <w:noWrap w:val="0"/>
            <w:vAlign w:val="top"/>
          </w:tcPr>
          <w:p w14:paraId="044B57FD">
            <w:pPr>
              <w:spacing w:line="360" w:lineRule="auto"/>
              <w:rPr>
                <w:rFonts w:hint="eastAsia" w:ascii="宋体" w:hAnsi="宋体" w:eastAsia="宋体" w:cs="宋体"/>
                <w:b/>
                <w:color w:val="auto"/>
                <w:sz w:val="24"/>
                <w:szCs w:val="24"/>
                <w:highlight w:val="none"/>
              </w:rPr>
            </w:pPr>
          </w:p>
        </w:tc>
      </w:tr>
      <w:tr w14:paraId="195E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080" w:type="dxa"/>
            <w:tcBorders>
              <w:top w:val="single" w:color="auto" w:sz="4" w:space="0"/>
              <w:left w:val="single" w:color="auto" w:sz="4" w:space="0"/>
              <w:bottom w:val="single" w:color="auto" w:sz="4" w:space="0"/>
              <w:right w:val="single" w:color="auto" w:sz="4" w:space="0"/>
            </w:tcBorders>
            <w:noWrap w:val="0"/>
            <w:vAlign w:val="top"/>
          </w:tcPr>
          <w:p w14:paraId="7E4BD4E6">
            <w:pPr>
              <w:spacing w:line="360" w:lineRule="auto"/>
              <w:rPr>
                <w:rFonts w:hint="eastAsia" w:ascii="宋体" w:hAnsi="宋体" w:eastAsia="宋体" w:cs="宋体"/>
                <w:b/>
                <w:color w:val="auto"/>
                <w:sz w:val="24"/>
                <w:szCs w:val="24"/>
                <w:highlight w:val="none"/>
              </w:rPr>
            </w:pPr>
          </w:p>
        </w:tc>
        <w:tc>
          <w:tcPr>
            <w:tcW w:w="2489" w:type="dxa"/>
            <w:tcBorders>
              <w:top w:val="single" w:color="auto" w:sz="4" w:space="0"/>
              <w:left w:val="single" w:color="auto" w:sz="4" w:space="0"/>
              <w:bottom w:val="single" w:color="auto" w:sz="4" w:space="0"/>
              <w:right w:val="single" w:color="auto" w:sz="4" w:space="0"/>
            </w:tcBorders>
            <w:noWrap w:val="0"/>
            <w:vAlign w:val="top"/>
          </w:tcPr>
          <w:p w14:paraId="314602E0">
            <w:pPr>
              <w:spacing w:line="360" w:lineRule="auto"/>
              <w:rPr>
                <w:rFonts w:hint="eastAsia" w:ascii="宋体" w:hAnsi="宋体" w:eastAsia="宋体" w:cs="宋体"/>
                <w:b/>
                <w:color w:val="auto"/>
                <w:sz w:val="24"/>
                <w:szCs w:val="24"/>
                <w:highlight w:val="none"/>
              </w:rPr>
            </w:pPr>
          </w:p>
        </w:tc>
        <w:tc>
          <w:tcPr>
            <w:tcW w:w="2521" w:type="dxa"/>
            <w:tcBorders>
              <w:top w:val="single" w:color="auto" w:sz="4" w:space="0"/>
              <w:left w:val="single" w:color="auto" w:sz="4" w:space="0"/>
              <w:bottom w:val="single" w:color="auto" w:sz="4" w:space="0"/>
              <w:right w:val="single" w:color="auto" w:sz="4" w:space="0"/>
            </w:tcBorders>
            <w:noWrap w:val="0"/>
            <w:vAlign w:val="top"/>
          </w:tcPr>
          <w:p w14:paraId="6F2ED9C7">
            <w:pPr>
              <w:spacing w:line="360" w:lineRule="auto"/>
              <w:rPr>
                <w:rFonts w:hint="eastAsia" w:ascii="宋体" w:hAnsi="宋体" w:eastAsia="宋体" w:cs="宋体"/>
                <w:b/>
                <w:color w:val="auto"/>
                <w:sz w:val="24"/>
                <w:szCs w:val="24"/>
                <w:highlight w:val="none"/>
              </w:rPr>
            </w:pPr>
          </w:p>
        </w:tc>
        <w:tc>
          <w:tcPr>
            <w:tcW w:w="1698" w:type="dxa"/>
            <w:tcBorders>
              <w:top w:val="single" w:color="auto" w:sz="4" w:space="0"/>
              <w:left w:val="single" w:color="auto" w:sz="4" w:space="0"/>
              <w:bottom w:val="single" w:color="auto" w:sz="4" w:space="0"/>
              <w:right w:val="single" w:color="auto" w:sz="4" w:space="0"/>
            </w:tcBorders>
            <w:noWrap w:val="0"/>
            <w:vAlign w:val="top"/>
          </w:tcPr>
          <w:p w14:paraId="61BFEA8F">
            <w:pPr>
              <w:spacing w:line="360" w:lineRule="auto"/>
              <w:rPr>
                <w:rFonts w:hint="eastAsia" w:ascii="宋体" w:hAnsi="宋体" w:eastAsia="宋体" w:cs="宋体"/>
                <w:b/>
                <w:color w:val="auto"/>
                <w:sz w:val="24"/>
                <w:szCs w:val="24"/>
                <w:highlight w:val="none"/>
              </w:rPr>
            </w:pPr>
          </w:p>
        </w:tc>
        <w:tc>
          <w:tcPr>
            <w:tcW w:w="1290" w:type="dxa"/>
            <w:tcBorders>
              <w:top w:val="single" w:color="auto" w:sz="4" w:space="0"/>
              <w:left w:val="single" w:color="auto" w:sz="4" w:space="0"/>
              <w:bottom w:val="single" w:color="auto" w:sz="4" w:space="0"/>
              <w:right w:val="single" w:color="auto" w:sz="4" w:space="0"/>
            </w:tcBorders>
            <w:noWrap w:val="0"/>
            <w:vAlign w:val="top"/>
          </w:tcPr>
          <w:p w14:paraId="1CB9C3F8">
            <w:pPr>
              <w:spacing w:line="360" w:lineRule="auto"/>
              <w:rPr>
                <w:rFonts w:hint="eastAsia" w:ascii="宋体" w:hAnsi="宋体" w:eastAsia="宋体" w:cs="宋体"/>
                <w:b/>
                <w:color w:val="auto"/>
                <w:sz w:val="24"/>
                <w:szCs w:val="24"/>
                <w:highlight w:val="none"/>
              </w:rPr>
            </w:pPr>
          </w:p>
        </w:tc>
      </w:tr>
      <w:tr w14:paraId="60E7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080" w:type="dxa"/>
            <w:tcBorders>
              <w:top w:val="single" w:color="auto" w:sz="4" w:space="0"/>
              <w:left w:val="single" w:color="auto" w:sz="4" w:space="0"/>
              <w:bottom w:val="single" w:color="auto" w:sz="4" w:space="0"/>
              <w:right w:val="single" w:color="auto" w:sz="4" w:space="0"/>
            </w:tcBorders>
            <w:noWrap w:val="0"/>
            <w:vAlign w:val="top"/>
          </w:tcPr>
          <w:p w14:paraId="597A1A6C">
            <w:pPr>
              <w:spacing w:line="360" w:lineRule="auto"/>
              <w:rPr>
                <w:rFonts w:hint="eastAsia" w:ascii="宋体" w:hAnsi="宋体" w:eastAsia="宋体" w:cs="宋体"/>
                <w:b/>
                <w:color w:val="auto"/>
                <w:sz w:val="24"/>
                <w:szCs w:val="24"/>
                <w:highlight w:val="none"/>
              </w:rPr>
            </w:pPr>
          </w:p>
        </w:tc>
        <w:tc>
          <w:tcPr>
            <w:tcW w:w="2489" w:type="dxa"/>
            <w:tcBorders>
              <w:top w:val="single" w:color="auto" w:sz="4" w:space="0"/>
              <w:left w:val="single" w:color="auto" w:sz="4" w:space="0"/>
              <w:bottom w:val="single" w:color="auto" w:sz="4" w:space="0"/>
              <w:right w:val="single" w:color="auto" w:sz="4" w:space="0"/>
            </w:tcBorders>
            <w:noWrap w:val="0"/>
            <w:vAlign w:val="top"/>
          </w:tcPr>
          <w:p w14:paraId="0307CAFF">
            <w:pPr>
              <w:spacing w:line="360" w:lineRule="auto"/>
              <w:rPr>
                <w:rFonts w:hint="eastAsia" w:ascii="宋体" w:hAnsi="宋体" w:eastAsia="宋体" w:cs="宋体"/>
                <w:b/>
                <w:color w:val="auto"/>
                <w:sz w:val="24"/>
                <w:szCs w:val="24"/>
                <w:highlight w:val="none"/>
              </w:rPr>
            </w:pPr>
          </w:p>
        </w:tc>
        <w:tc>
          <w:tcPr>
            <w:tcW w:w="2521" w:type="dxa"/>
            <w:tcBorders>
              <w:top w:val="single" w:color="auto" w:sz="4" w:space="0"/>
              <w:left w:val="single" w:color="auto" w:sz="4" w:space="0"/>
              <w:bottom w:val="single" w:color="auto" w:sz="4" w:space="0"/>
              <w:right w:val="single" w:color="auto" w:sz="4" w:space="0"/>
            </w:tcBorders>
            <w:noWrap w:val="0"/>
            <w:vAlign w:val="top"/>
          </w:tcPr>
          <w:p w14:paraId="33E890A3">
            <w:pPr>
              <w:spacing w:line="360" w:lineRule="auto"/>
              <w:rPr>
                <w:rFonts w:hint="eastAsia" w:ascii="宋体" w:hAnsi="宋体" w:eastAsia="宋体" w:cs="宋体"/>
                <w:b/>
                <w:color w:val="auto"/>
                <w:sz w:val="24"/>
                <w:szCs w:val="24"/>
                <w:highlight w:val="none"/>
              </w:rPr>
            </w:pPr>
          </w:p>
        </w:tc>
        <w:tc>
          <w:tcPr>
            <w:tcW w:w="1698" w:type="dxa"/>
            <w:tcBorders>
              <w:top w:val="single" w:color="auto" w:sz="4" w:space="0"/>
              <w:left w:val="single" w:color="auto" w:sz="4" w:space="0"/>
              <w:bottom w:val="single" w:color="auto" w:sz="4" w:space="0"/>
              <w:right w:val="single" w:color="auto" w:sz="4" w:space="0"/>
            </w:tcBorders>
            <w:noWrap w:val="0"/>
            <w:vAlign w:val="top"/>
          </w:tcPr>
          <w:p w14:paraId="5C110B08">
            <w:pPr>
              <w:spacing w:line="360" w:lineRule="auto"/>
              <w:rPr>
                <w:rFonts w:hint="eastAsia" w:ascii="宋体" w:hAnsi="宋体" w:eastAsia="宋体" w:cs="宋体"/>
                <w:b/>
                <w:color w:val="auto"/>
                <w:sz w:val="24"/>
                <w:szCs w:val="24"/>
                <w:highlight w:val="none"/>
              </w:rPr>
            </w:pPr>
          </w:p>
        </w:tc>
        <w:tc>
          <w:tcPr>
            <w:tcW w:w="1290" w:type="dxa"/>
            <w:tcBorders>
              <w:top w:val="single" w:color="auto" w:sz="4" w:space="0"/>
              <w:left w:val="single" w:color="auto" w:sz="4" w:space="0"/>
              <w:bottom w:val="single" w:color="auto" w:sz="4" w:space="0"/>
              <w:right w:val="single" w:color="auto" w:sz="4" w:space="0"/>
            </w:tcBorders>
            <w:noWrap w:val="0"/>
            <w:vAlign w:val="top"/>
          </w:tcPr>
          <w:p w14:paraId="30B5DD5E">
            <w:pPr>
              <w:spacing w:line="360" w:lineRule="auto"/>
              <w:rPr>
                <w:rFonts w:hint="eastAsia" w:ascii="宋体" w:hAnsi="宋体" w:eastAsia="宋体" w:cs="宋体"/>
                <w:b/>
                <w:color w:val="auto"/>
                <w:sz w:val="24"/>
                <w:szCs w:val="24"/>
                <w:highlight w:val="none"/>
              </w:rPr>
            </w:pPr>
          </w:p>
        </w:tc>
      </w:tr>
      <w:tr w14:paraId="3EB4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080" w:type="dxa"/>
            <w:tcBorders>
              <w:top w:val="single" w:color="auto" w:sz="4" w:space="0"/>
              <w:left w:val="single" w:color="auto" w:sz="4" w:space="0"/>
              <w:bottom w:val="single" w:color="auto" w:sz="4" w:space="0"/>
              <w:right w:val="single" w:color="auto" w:sz="4" w:space="0"/>
            </w:tcBorders>
            <w:noWrap w:val="0"/>
            <w:vAlign w:val="top"/>
          </w:tcPr>
          <w:p w14:paraId="324F3234">
            <w:pPr>
              <w:spacing w:line="360" w:lineRule="auto"/>
              <w:rPr>
                <w:rFonts w:hint="eastAsia" w:ascii="宋体" w:hAnsi="宋体" w:eastAsia="宋体" w:cs="宋体"/>
                <w:b/>
                <w:color w:val="auto"/>
                <w:sz w:val="24"/>
                <w:szCs w:val="24"/>
                <w:highlight w:val="none"/>
              </w:rPr>
            </w:pPr>
          </w:p>
        </w:tc>
        <w:tc>
          <w:tcPr>
            <w:tcW w:w="2489" w:type="dxa"/>
            <w:tcBorders>
              <w:top w:val="single" w:color="auto" w:sz="4" w:space="0"/>
              <w:left w:val="single" w:color="auto" w:sz="4" w:space="0"/>
              <w:bottom w:val="single" w:color="auto" w:sz="4" w:space="0"/>
              <w:right w:val="single" w:color="auto" w:sz="4" w:space="0"/>
            </w:tcBorders>
            <w:noWrap w:val="0"/>
            <w:vAlign w:val="top"/>
          </w:tcPr>
          <w:p w14:paraId="0BF0819E">
            <w:pPr>
              <w:spacing w:line="360" w:lineRule="auto"/>
              <w:rPr>
                <w:rFonts w:hint="eastAsia" w:ascii="宋体" w:hAnsi="宋体" w:eastAsia="宋体" w:cs="宋体"/>
                <w:b/>
                <w:color w:val="auto"/>
                <w:sz w:val="24"/>
                <w:szCs w:val="24"/>
                <w:highlight w:val="none"/>
              </w:rPr>
            </w:pPr>
          </w:p>
        </w:tc>
        <w:tc>
          <w:tcPr>
            <w:tcW w:w="2521" w:type="dxa"/>
            <w:tcBorders>
              <w:top w:val="single" w:color="auto" w:sz="4" w:space="0"/>
              <w:left w:val="single" w:color="auto" w:sz="4" w:space="0"/>
              <w:bottom w:val="single" w:color="auto" w:sz="4" w:space="0"/>
              <w:right w:val="single" w:color="auto" w:sz="4" w:space="0"/>
            </w:tcBorders>
            <w:noWrap w:val="0"/>
            <w:vAlign w:val="top"/>
          </w:tcPr>
          <w:p w14:paraId="6067DF30">
            <w:pPr>
              <w:spacing w:line="360" w:lineRule="auto"/>
              <w:rPr>
                <w:rFonts w:hint="eastAsia" w:ascii="宋体" w:hAnsi="宋体" w:eastAsia="宋体" w:cs="宋体"/>
                <w:b/>
                <w:color w:val="auto"/>
                <w:sz w:val="24"/>
                <w:szCs w:val="24"/>
                <w:highlight w:val="none"/>
              </w:rPr>
            </w:pPr>
          </w:p>
        </w:tc>
        <w:tc>
          <w:tcPr>
            <w:tcW w:w="1698" w:type="dxa"/>
            <w:tcBorders>
              <w:top w:val="single" w:color="auto" w:sz="4" w:space="0"/>
              <w:left w:val="single" w:color="auto" w:sz="4" w:space="0"/>
              <w:bottom w:val="single" w:color="auto" w:sz="4" w:space="0"/>
              <w:right w:val="single" w:color="auto" w:sz="4" w:space="0"/>
            </w:tcBorders>
            <w:noWrap w:val="0"/>
            <w:vAlign w:val="top"/>
          </w:tcPr>
          <w:p w14:paraId="5F5BD407">
            <w:pPr>
              <w:spacing w:line="360" w:lineRule="auto"/>
              <w:rPr>
                <w:rFonts w:hint="eastAsia" w:ascii="宋体" w:hAnsi="宋体" w:eastAsia="宋体" w:cs="宋体"/>
                <w:b/>
                <w:color w:val="auto"/>
                <w:sz w:val="24"/>
                <w:szCs w:val="24"/>
                <w:highlight w:val="none"/>
              </w:rPr>
            </w:pPr>
          </w:p>
        </w:tc>
        <w:tc>
          <w:tcPr>
            <w:tcW w:w="1290" w:type="dxa"/>
            <w:tcBorders>
              <w:top w:val="single" w:color="auto" w:sz="4" w:space="0"/>
              <w:left w:val="single" w:color="auto" w:sz="4" w:space="0"/>
              <w:bottom w:val="single" w:color="auto" w:sz="4" w:space="0"/>
              <w:right w:val="single" w:color="auto" w:sz="4" w:space="0"/>
            </w:tcBorders>
            <w:noWrap w:val="0"/>
            <w:vAlign w:val="top"/>
          </w:tcPr>
          <w:p w14:paraId="404B0FF8">
            <w:pPr>
              <w:spacing w:line="360" w:lineRule="auto"/>
              <w:rPr>
                <w:rFonts w:hint="eastAsia" w:ascii="宋体" w:hAnsi="宋体" w:eastAsia="宋体" w:cs="宋体"/>
                <w:b/>
                <w:color w:val="auto"/>
                <w:sz w:val="24"/>
                <w:szCs w:val="24"/>
                <w:highlight w:val="none"/>
              </w:rPr>
            </w:pPr>
          </w:p>
        </w:tc>
      </w:tr>
      <w:tr w14:paraId="4053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080" w:type="dxa"/>
            <w:tcBorders>
              <w:top w:val="single" w:color="auto" w:sz="4" w:space="0"/>
              <w:left w:val="single" w:color="auto" w:sz="4" w:space="0"/>
              <w:bottom w:val="single" w:color="auto" w:sz="4" w:space="0"/>
              <w:right w:val="single" w:color="auto" w:sz="4" w:space="0"/>
            </w:tcBorders>
            <w:noWrap w:val="0"/>
            <w:vAlign w:val="top"/>
          </w:tcPr>
          <w:p w14:paraId="3D7D71C0">
            <w:pPr>
              <w:spacing w:line="360" w:lineRule="auto"/>
              <w:rPr>
                <w:rFonts w:hint="eastAsia" w:ascii="宋体" w:hAnsi="宋体" w:eastAsia="宋体" w:cs="宋体"/>
                <w:b/>
                <w:color w:val="auto"/>
                <w:sz w:val="24"/>
                <w:szCs w:val="24"/>
                <w:highlight w:val="none"/>
              </w:rPr>
            </w:pPr>
          </w:p>
        </w:tc>
        <w:tc>
          <w:tcPr>
            <w:tcW w:w="2489" w:type="dxa"/>
            <w:tcBorders>
              <w:top w:val="single" w:color="auto" w:sz="4" w:space="0"/>
              <w:left w:val="single" w:color="auto" w:sz="4" w:space="0"/>
              <w:bottom w:val="single" w:color="auto" w:sz="4" w:space="0"/>
              <w:right w:val="single" w:color="auto" w:sz="4" w:space="0"/>
            </w:tcBorders>
            <w:noWrap w:val="0"/>
            <w:vAlign w:val="top"/>
          </w:tcPr>
          <w:p w14:paraId="2979C5D5">
            <w:pPr>
              <w:spacing w:line="360" w:lineRule="auto"/>
              <w:rPr>
                <w:rFonts w:hint="eastAsia" w:ascii="宋体" w:hAnsi="宋体" w:eastAsia="宋体" w:cs="宋体"/>
                <w:b/>
                <w:color w:val="auto"/>
                <w:sz w:val="24"/>
                <w:szCs w:val="24"/>
                <w:highlight w:val="none"/>
              </w:rPr>
            </w:pPr>
          </w:p>
        </w:tc>
        <w:tc>
          <w:tcPr>
            <w:tcW w:w="2521" w:type="dxa"/>
            <w:tcBorders>
              <w:top w:val="single" w:color="auto" w:sz="4" w:space="0"/>
              <w:left w:val="single" w:color="auto" w:sz="4" w:space="0"/>
              <w:bottom w:val="single" w:color="auto" w:sz="4" w:space="0"/>
              <w:right w:val="single" w:color="auto" w:sz="4" w:space="0"/>
            </w:tcBorders>
            <w:noWrap w:val="0"/>
            <w:vAlign w:val="top"/>
          </w:tcPr>
          <w:p w14:paraId="7B103399">
            <w:pPr>
              <w:spacing w:line="360" w:lineRule="auto"/>
              <w:rPr>
                <w:rFonts w:hint="eastAsia" w:ascii="宋体" w:hAnsi="宋体" w:eastAsia="宋体" w:cs="宋体"/>
                <w:b/>
                <w:color w:val="auto"/>
                <w:sz w:val="24"/>
                <w:szCs w:val="24"/>
                <w:highlight w:val="none"/>
              </w:rPr>
            </w:pPr>
          </w:p>
        </w:tc>
        <w:tc>
          <w:tcPr>
            <w:tcW w:w="1698" w:type="dxa"/>
            <w:tcBorders>
              <w:top w:val="single" w:color="auto" w:sz="4" w:space="0"/>
              <w:left w:val="single" w:color="auto" w:sz="4" w:space="0"/>
              <w:bottom w:val="single" w:color="auto" w:sz="4" w:space="0"/>
              <w:right w:val="single" w:color="auto" w:sz="4" w:space="0"/>
            </w:tcBorders>
            <w:noWrap w:val="0"/>
            <w:vAlign w:val="top"/>
          </w:tcPr>
          <w:p w14:paraId="129A6769">
            <w:pPr>
              <w:spacing w:line="360" w:lineRule="auto"/>
              <w:rPr>
                <w:rFonts w:hint="eastAsia" w:ascii="宋体" w:hAnsi="宋体" w:eastAsia="宋体" w:cs="宋体"/>
                <w:b/>
                <w:color w:val="auto"/>
                <w:sz w:val="24"/>
                <w:szCs w:val="24"/>
                <w:highlight w:val="none"/>
              </w:rPr>
            </w:pPr>
          </w:p>
        </w:tc>
        <w:tc>
          <w:tcPr>
            <w:tcW w:w="1290" w:type="dxa"/>
            <w:tcBorders>
              <w:top w:val="single" w:color="auto" w:sz="4" w:space="0"/>
              <w:left w:val="single" w:color="auto" w:sz="4" w:space="0"/>
              <w:bottom w:val="single" w:color="auto" w:sz="4" w:space="0"/>
              <w:right w:val="single" w:color="auto" w:sz="4" w:space="0"/>
            </w:tcBorders>
            <w:noWrap w:val="0"/>
            <w:vAlign w:val="top"/>
          </w:tcPr>
          <w:p w14:paraId="53A714F4">
            <w:pPr>
              <w:spacing w:line="360" w:lineRule="auto"/>
              <w:rPr>
                <w:rFonts w:hint="eastAsia" w:ascii="宋体" w:hAnsi="宋体" w:eastAsia="宋体" w:cs="宋体"/>
                <w:b/>
                <w:color w:val="auto"/>
                <w:sz w:val="24"/>
                <w:szCs w:val="24"/>
                <w:highlight w:val="none"/>
              </w:rPr>
            </w:pPr>
          </w:p>
        </w:tc>
      </w:tr>
      <w:tr w14:paraId="3A23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080" w:type="dxa"/>
            <w:tcBorders>
              <w:top w:val="single" w:color="auto" w:sz="4" w:space="0"/>
              <w:left w:val="single" w:color="auto" w:sz="4" w:space="0"/>
              <w:bottom w:val="single" w:color="auto" w:sz="4" w:space="0"/>
              <w:right w:val="single" w:color="auto" w:sz="4" w:space="0"/>
            </w:tcBorders>
            <w:noWrap w:val="0"/>
            <w:vAlign w:val="top"/>
          </w:tcPr>
          <w:p w14:paraId="1CEF5477">
            <w:pPr>
              <w:spacing w:line="360" w:lineRule="auto"/>
              <w:rPr>
                <w:rFonts w:hint="eastAsia" w:ascii="宋体" w:hAnsi="宋体" w:eastAsia="宋体" w:cs="宋体"/>
                <w:b/>
                <w:color w:val="auto"/>
                <w:sz w:val="24"/>
                <w:szCs w:val="24"/>
                <w:highlight w:val="none"/>
              </w:rPr>
            </w:pPr>
          </w:p>
        </w:tc>
        <w:tc>
          <w:tcPr>
            <w:tcW w:w="2489" w:type="dxa"/>
            <w:tcBorders>
              <w:top w:val="single" w:color="auto" w:sz="4" w:space="0"/>
              <w:left w:val="single" w:color="auto" w:sz="4" w:space="0"/>
              <w:bottom w:val="single" w:color="auto" w:sz="4" w:space="0"/>
              <w:right w:val="single" w:color="auto" w:sz="4" w:space="0"/>
            </w:tcBorders>
            <w:noWrap w:val="0"/>
            <w:vAlign w:val="top"/>
          </w:tcPr>
          <w:p w14:paraId="7BEF1B50">
            <w:pPr>
              <w:spacing w:line="360" w:lineRule="auto"/>
              <w:rPr>
                <w:rFonts w:hint="eastAsia" w:ascii="宋体" w:hAnsi="宋体" w:eastAsia="宋体" w:cs="宋体"/>
                <w:b/>
                <w:color w:val="auto"/>
                <w:sz w:val="24"/>
                <w:szCs w:val="24"/>
                <w:highlight w:val="none"/>
              </w:rPr>
            </w:pPr>
          </w:p>
        </w:tc>
        <w:tc>
          <w:tcPr>
            <w:tcW w:w="2521" w:type="dxa"/>
            <w:tcBorders>
              <w:top w:val="single" w:color="auto" w:sz="4" w:space="0"/>
              <w:left w:val="single" w:color="auto" w:sz="4" w:space="0"/>
              <w:bottom w:val="single" w:color="auto" w:sz="4" w:space="0"/>
              <w:right w:val="single" w:color="auto" w:sz="4" w:space="0"/>
            </w:tcBorders>
            <w:noWrap w:val="0"/>
            <w:vAlign w:val="top"/>
          </w:tcPr>
          <w:p w14:paraId="7AF43DDE">
            <w:pPr>
              <w:spacing w:line="360" w:lineRule="auto"/>
              <w:rPr>
                <w:rFonts w:hint="eastAsia" w:ascii="宋体" w:hAnsi="宋体" w:eastAsia="宋体" w:cs="宋体"/>
                <w:b/>
                <w:color w:val="auto"/>
                <w:sz w:val="24"/>
                <w:szCs w:val="24"/>
                <w:highlight w:val="none"/>
              </w:rPr>
            </w:pPr>
          </w:p>
        </w:tc>
        <w:tc>
          <w:tcPr>
            <w:tcW w:w="1698" w:type="dxa"/>
            <w:tcBorders>
              <w:top w:val="single" w:color="auto" w:sz="4" w:space="0"/>
              <w:left w:val="single" w:color="auto" w:sz="4" w:space="0"/>
              <w:bottom w:val="single" w:color="auto" w:sz="4" w:space="0"/>
              <w:right w:val="single" w:color="auto" w:sz="4" w:space="0"/>
            </w:tcBorders>
            <w:noWrap w:val="0"/>
            <w:vAlign w:val="top"/>
          </w:tcPr>
          <w:p w14:paraId="7DF6B94E">
            <w:pPr>
              <w:spacing w:line="360" w:lineRule="auto"/>
              <w:rPr>
                <w:rFonts w:hint="eastAsia" w:ascii="宋体" w:hAnsi="宋体" w:eastAsia="宋体" w:cs="宋体"/>
                <w:b/>
                <w:color w:val="auto"/>
                <w:sz w:val="24"/>
                <w:szCs w:val="24"/>
                <w:highlight w:val="none"/>
              </w:rPr>
            </w:pPr>
          </w:p>
        </w:tc>
        <w:tc>
          <w:tcPr>
            <w:tcW w:w="1290" w:type="dxa"/>
            <w:tcBorders>
              <w:top w:val="single" w:color="auto" w:sz="4" w:space="0"/>
              <w:left w:val="single" w:color="auto" w:sz="4" w:space="0"/>
              <w:bottom w:val="single" w:color="auto" w:sz="4" w:space="0"/>
              <w:right w:val="single" w:color="auto" w:sz="4" w:space="0"/>
            </w:tcBorders>
            <w:noWrap w:val="0"/>
            <w:vAlign w:val="top"/>
          </w:tcPr>
          <w:p w14:paraId="0E2A86EC">
            <w:pPr>
              <w:spacing w:line="360" w:lineRule="auto"/>
              <w:rPr>
                <w:rFonts w:hint="eastAsia" w:ascii="宋体" w:hAnsi="宋体" w:eastAsia="宋体" w:cs="宋体"/>
                <w:b/>
                <w:color w:val="auto"/>
                <w:sz w:val="24"/>
                <w:szCs w:val="24"/>
                <w:highlight w:val="none"/>
              </w:rPr>
            </w:pPr>
          </w:p>
        </w:tc>
      </w:tr>
      <w:tr w14:paraId="7B3F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080" w:type="dxa"/>
            <w:tcBorders>
              <w:top w:val="single" w:color="auto" w:sz="4" w:space="0"/>
              <w:left w:val="single" w:color="auto" w:sz="4" w:space="0"/>
              <w:bottom w:val="single" w:color="auto" w:sz="4" w:space="0"/>
              <w:right w:val="single" w:color="auto" w:sz="4" w:space="0"/>
            </w:tcBorders>
            <w:noWrap w:val="0"/>
            <w:vAlign w:val="top"/>
          </w:tcPr>
          <w:p w14:paraId="07CC0A04">
            <w:pPr>
              <w:spacing w:line="360" w:lineRule="auto"/>
              <w:rPr>
                <w:rFonts w:hint="eastAsia" w:ascii="宋体" w:hAnsi="宋体" w:eastAsia="宋体" w:cs="宋体"/>
                <w:b/>
                <w:color w:val="auto"/>
                <w:sz w:val="24"/>
                <w:szCs w:val="24"/>
                <w:highlight w:val="none"/>
              </w:rPr>
            </w:pPr>
          </w:p>
        </w:tc>
        <w:tc>
          <w:tcPr>
            <w:tcW w:w="2489" w:type="dxa"/>
            <w:tcBorders>
              <w:top w:val="single" w:color="auto" w:sz="4" w:space="0"/>
              <w:left w:val="single" w:color="auto" w:sz="4" w:space="0"/>
              <w:bottom w:val="single" w:color="auto" w:sz="4" w:space="0"/>
              <w:right w:val="single" w:color="auto" w:sz="4" w:space="0"/>
            </w:tcBorders>
            <w:noWrap w:val="0"/>
            <w:vAlign w:val="top"/>
          </w:tcPr>
          <w:p w14:paraId="453FBBC4">
            <w:pPr>
              <w:spacing w:line="360" w:lineRule="auto"/>
              <w:rPr>
                <w:rFonts w:hint="eastAsia" w:ascii="宋体" w:hAnsi="宋体" w:eastAsia="宋体" w:cs="宋体"/>
                <w:b/>
                <w:color w:val="auto"/>
                <w:sz w:val="24"/>
                <w:szCs w:val="24"/>
                <w:highlight w:val="none"/>
              </w:rPr>
            </w:pPr>
          </w:p>
        </w:tc>
        <w:tc>
          <w:tcPr>
            <w:tcW w:w="2521" w:type="dxa"/>
            <w:tcBorders>
              <w:top w:val="single" w:color="auto" w:sz="4" w:space="0"/>
              <w:left w:val="single" w:color="auto" w:sz="4" w:space="0"/>
              <w:bottom w:val="single" w:color="auto" w:sz="4" w:space="0"/>
              <w:right w:val="single" w:color="auto" w:sz="4" w:space="0"/>
            </w:tcBorders>
            <w:noWrap w:val="0"/>
            <w:vAlign w:val="top"/>
          </w:tcPr>
          <w:p w14:paraId="0D9577B7">
            <w:pPr>
              <w:spacing w:line="360" w:lineRule="auto"/>
              <w:rPr>
                <w:rFonts w:hint="eastAsia" w:ascii="宋体" w:hAnsi="宋体" w:eastAsia="宋体" w:cs="宋体"/>
                <w:b/>
                <w:color w:val="auto"/>
                <w:sz w:val="24"/>
                <w:szCs w:val="24"/>
                <w:highlight w:val="none"/>
              </w:rPr>
            </w:pPr>
          </w:p>
        </w:tc>
        <w:tc>
          <w:tcPr>
            <w:tcW w:w="1698" w:type="dxa"/>
            <w:tcBorders>
              <w:top w:val="single" w:color="auto" w:sz="4" w:space="0"/>
              <w:left w:val="single" w:color="auto" w:sz="4" w:space="0"/>
              <w:bottom w:val="single" w:color="auto" w:sz="4" w:space="0"/>
              <w:right w:val="single" w:color="auto" w:sz="4" w:space="0"/>
            </w:tcBorders>
            <w:noWrap w:val="0"/>
            <w:vAlign w:val="top"/>
          </w:tcPr>
          <w:p w14:paraId="489447CE">
            <w:pPr>
              <w:spacing w:line="360" w:lineRule="auto"/>
              <w:rPr>
                <w:rFonts w:hint="eastAsia" w:ascii="宋体" w:hAnsi="宋体" w:eastAsia="宋体" w:cs="宋体"/>
                <w:b/>
                <w:color w:val="auto"/>
                <w:sz w:val="24"/>
                <w:szCs w:val="24"/>
                <w:highlight w:val="none"/>
              </w:rPr>
            </w:pPr>
          </w:p>
        </w:tc>
        <w:tc>
          <w:tcPr>
            <w:tcW w:w="1290" w:type="dxa"/>
            <w:tcBorders>
              <w:top w:val="single" w:color="auto" w:sz="4" w:space="0"/>
              <w:left w:val="single" w:color="auto" w:sz="4" w:space="0"/>
              <w:bottom w:val="single" w:color="auto" w:sz="4" w:space="0"/>
              <w:right w:val="single" w:color="auto" w:sz="4" w:space="0"/>
            </w:tcBorders>
            <w:noWrap w:val="0"/>
            <w:vAlign w:val="top"/>
          </w:tcPr>
          <w:p w14:paraId="25E2B1E4">
            <w:pPr>
              <w:spacing w:line="360" w:lineRule="auto"/>
              <w:rPr>
                <w:rFonts w:hint="eastAsia" w:ascii="宋体" w:hAnsi="宋体" w:eastAsia="宋体" w:cs="宋体"/>
                <w:b/>
                <w:color w:val="auto"/>
                <w:sz w:val="24"/>
                <w:szCs w:val="24"/>
                <w:highlight w:val="none"/>
              </w:rPr>
            </w:pPr>
          </w:p>
        </w:tc>
      </w:tr>
      <w:tr w14:paraId="1C56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1080" w:type="dxa"/>
            <w:tcBorders>
              <w:top w:val="single" w:color="auto" w:sz="4" w:space="0"/>
              <w:left w:val="single" w:color="auto" w:sz="4" w:space="0"/>
              <w:bottom w:val="single" w:color="auto" w:sz="4" w:space="0"/>
              <w:right w:val="single" w:color="auto" w:sz="4" w:space="0"/>
            </w:tcBorders>
            <w:noWrap w:val="0"/>
            <w:vAlign w:val="top"/>
          </w:tcPr>
          <w:p w14:paraId="24A15F77">
            <w:pPr>
              <w:spacing w:line="360" w:lineRule="auto"/>
              <w:rPr>
                <w:rFonts w:hint="eastAsia" w:ascii="宋体" w:hAnsi="宋体" w:eastAsia="宋体" w:cs="宋体"/>
                <w:b/>
                <w:color w:val="auto"/>
                <w:sz w:val="24"/>
                <w:szCs w:val="24"/>
                <w:highlight w:val="none"/>
              </w:rPr>
            </w:pPr>
          </w:p>
        </w:tc>
        <w:tc>
          <w:tcPr>
            <w:tcW w:w="2489" w:type="dxa"/>
            <w:tcBorders>
              <w:top w:val="single" w:color="auto" w:sz="4" w:space="0"/>
              <w:left w:val="single" w:color="auto" w:sz="4" w:space="0"/>
              <w:bottom w:val="single" w:color="auto" w:sz="4" w:space="0"/>
              <w:right w:val="single" w:color="auto" w:sz="4" w:space="0"/>
            </w:tcBorders>
            <w:noWrap w:val="0"/>
            <w:vAlign w:val="top"/>
          </w:tcPr>
          <w:p w14:paraId="0A680FC4">
            <w:pPr>
              <w:spacing w:line="360" w:lineRule="auto"/>
              <w:rPr>
                <w:rFonts w:hint="eastAsia" w:ascii="宋体" w:hAnsi="宋体" w:eastAsia="宋体" w:cs="宋体"/>
                <w:b/>
                <w:color w:val="auto"/>
                <w:sz w:val="24"/>
                <w:szCs w:val="24"/>
                <w:highlight w:val="none"/>
              </w:rPr>
            </w:pPr>
          </w:p>
        </w:tc>
        <w:tc>
          <w:tcPr>
            <w:tcW w:w="2521" w:type="dxa"/>
            <w:tcBorders>
              <w:top w:val="single" w:color="auto" w:sz="4" w:space="0"/>
              <w:left w:val="single" w:color="auto" w:sz="4" w:space="0"/>
              <w:bottom w:val="single" w:color="auto" w:sz="4" w:space="0"/>
              <w:right w:val="single" w:color="auto" w:sz="4" w:space="0"/>
            </w:tcBorders>
            <w:noWrap w:val="0"/>
            <w:vAlign w:val="top"/>
          </w:tcPr>
          <w:p w14:paraId="18E55268">
            <w:pPr>
              <w:spacing w:line="360" w:lineRule="auto"/>
              <w:rPr>
                <w:rFonts w:hint="eastAsia" w:ascii="宋体" w:hAnsi="宋体" w:eastAsia="宋体" w:cs="宋体"/>
                <w:b/>
                <w:color w:val="auto"/>
                <w:sz w:val="24"/>
                <w:szCs w:val="24"/>
                <w:highlight w:val="none"/>
              </w:rPr>
            </w:pPr>
          </w:p>
        </w:tc>
        <w:tc>
          <w:tcPr>
            <w:tcW w:w="1698" w:type="dxa"/>
            <w:tcBorders>
              <w:top w:val="single" w:color="auto" w:sz="4" w:space="0"/>
              <w:left w:val="single" w:color="auto" w:sz="4" w:space="0"/>
              <w:bottom w:val="single" w:color="auto" w:sz="4" w:space="0"/>
              <w:right w:val="single" w:color="auto" w:sz="4" w:space="0"/>
            </w:tcBorders>
            <w:noWrap w:val="0"/>
            <w:vAlign w:val="top"/>
          </w:tcPr>
          <w:p w14:paraId="27579B23">
            <w:pPr>
              <w:spacing w:line="360" w:lineRule="auto"/>
              <w:rPr>
                <w:rFonts w:hint="eastAsia" w:ascii="宋体" w:hAnsi="宋体" w:eastAsia="宋体" w:cs="宋体"/>
                <w:b/>
                <w:color w:val="auto"/>
                <w:sz w:val="24"/>
                <w:szCs w:val="24"/>
                <w:highlight w:val="none"/>
              </w:rPr>
            </w:pPr>
          </w:p>
        </w:tc>
        <w:tc>
          <w:tcPr>
            <w:tcW w:w="1290" w:type="dxa"/>
            <w:tcBorders>
              <w:top w:val="single" w:color="auto" w:sz="4" w:space="0"/>
              <w:left w:val="single" w:color="auto" w:sz="4" w:space="0"/>
              <w:bottom w:val="single" w:color="auto" w:sz="4" w:space="0"/>
              <w:right w:val="single" w:color="auto" w:sz="4" w:space="0"/>
            </w:tcBorders>
            <w:noWrap w:val="0"/>
            <w:vAlign w:val="top"/>
          </w:tcPr>
          <w:p w14:paraId="425CC6D0">
            <w:pPr>
              <w:spacing w:line="360" w:lineRule="auto"/>
              <w:rPr>
                <w:rFonts w:hint="eastAsia" w:ascii="宋体" w:hAnsi="宋体" w:eastAsia="宋体" w:cs="宋体"/>
                <w:b/>
                <w:color w:val="auto"/>
                <w:sz w:val="24"/>
                <w:szCs w:val="24"/>
                <w:highlight w:val="none"/>
              </w:rPr>
            </w:pPr>
          </w:p>
        </w:tc>
      </w:tr>
    </w:tbl>
    <w:p w14:paraId="4F2A223E">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z w:val="24"/>
          <w:szCs w:val="24"/>
          <w:highlight w:val="none"/>
          <w:lang w:val="en-US" w:eastAsia="zh-CN"/>
        </w:rPr>
      </w:pPr>
    </w:p>
    <w:p w14:paraId="7F97C1D3">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 注：1、供应商应随此表附上相关的业绩证明 （以合同复印件为准，时间以合同签订时间为准，合同内容须完整清晰可辨认无涂改，否则视为无效合同）。</w:t>
      </w:r>
    </w:p>
    <w:p w14:paraId="686AAD35">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2、如有多个类似项目，可按此表格扩展。</w:t>
      </w:r>
    </w:p>
    <w:p w14:paraId="371D592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401AD43B">
      <w:pPr>
        <w:jc w:val="center"/>
        <w:rPr>
          <w:rFonts w:hint="eastAsia" w:ascii="宋体" w:hAnsi="宋体" w:eastAsia="宋体" w:cs="宋体"/>
          <w:color w:val="auto"/>
          <w:sz w:val="24"/>
          <w:szCs w:val="24"/>
          <w:highlight w:val="none"/>
        </w:rPr>
      </w:pPr>
    </w:p>
    <w:p w14:paraId="2576CD5D">
      <w:pPr>
        <w:spacing w:line="60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第</w:t>
      </w:r>
      <w:r>
        <w:rPr>
          <w:rFonts w:hint="eastAsia" w:ascii="宋体" w:hAnsi="宋体" w:cs="宋体"/>
          <w:b/>
          <w:color w:val="auto"/>
          <w:sz w:val="28"/>
          <w:szCs w:val="28"/>
          <w:highlight w:val="none"/>
          <w:lang w:val="en-US" w:eastAsia="zh-CN"/>
        </w:rPr>
        <w:t>七</w:t>
      </w:r>
      <w:r>
        <w:rPr>
          <w:rFonts w:hint="eastAsia" w:ascii="宋体" w:hAnsi="宋体" w:eastAsia="宋体" w:cs="宋体"/>
          <w:b/>
          <w:color w:val="auto"/>
          <w:sz w:val="28"/>
          <w:szCs w:val="28"/>
          <w:highlight w:val="none"/>
          <w:lang w:val="en-US" w:eastAsia="zh-CN"/>
        </w:rPr>
        <w:t xml:space="preserve">部分  </w:t>
      </w:r>
      <w:r>
        <w:rPr>
          <w:rFonts w:hint="eastAsia" w:ascii="宋体" w:hAnsi="宋体" w:eastAsia="宋体" w:cs="宋体"/>
          <w:b/>
          <w:color w:val="auto"/>
          <w:kern w:val="2"/>
          <w:sz w:val="28"/>
          <w:szCs w:val="28"/>
          <w:highlight w:val="none"/>
          <w:lang w:val="en-US" w:eastAsia="zh-CN" w:bidi="ar-SA"/>
        </w:rPr>
        <w:t>其他资料</w:t>
      </w:r>
    </w:p>
    <w:p w14:paraId="2E0755AA">
      <w:pPr>
        <w:pStyle w:val="24"/>
        <w:numPr>
          <w:ilvl w:val="0"/>
          <w:numId w:val="0"/>
        </w:numPr>
        <w:jc w:val="center"/>
        <w:rPr>
          <w:rFonts w:hint="eastAsia" w:ascii="宋体" w:hAnsi="宋体" w:eastAsia="宋体" w:cs="宋体"/>
          <w:color w:val="auto"/>
          <w:sz w:val="24"/>
          <w:szCs w:val="24"/>
          <w:highlight w:val="none"/>
        </w:rPr>
      </w:pPr>
      <w:r>
        <w:rPr>
          <w:rFonts w:hint="eastAsia" w:ascii="宋体" w:hAnsi="宋体" w:eastAsia="宋体" w:cs="宋体"/>
          <w:b w:val="0"/>
          <w:color w:val="auto"/>
          <w:kern w:val="2"/>
          <w:sz w:val="24"/>
          <w:szCs w:val="24"/>
          <w:highlight w:val="none"/>
          <w:lang w:val="en-US" w:eastAsia="zh-CN" w:bidi="ar-SA"/>
        </w:rPr>
        <w:t>（供应商根据磋商文件及评审办法自行增加其他相关资料）</w:t>
      </w:r>
    </w:p>
    <w:sectPr>
      <w:headerReference r:id="rId10" w:type="default"/>
      <w:footerReference r:id="rId11" w:type="default"/>
      <w:pgSz w:w="11906" w:h="16838"/>
      <w:pgMar w:top="1440" w:right="1588" w:bottom="1440" w:left="1588" w:header="851" w:footer="765"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Mangal">
    <w:altName w:val="Segoe Print"/>
    <w:panose1 w:val="02040503050203030202"/>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KSOF7FC4CF2A">
    <w:panose1 w:val="020B0604020202020204"/>
    <w:charset w:val="00"/>
    <w:family w:val="auto"/>
    <w:pitch w:val="default"/>
    <w:sig w:usb0="00000001"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CEE26">
    <w:pPr>
      <w:widowControl w:val="0"/>
      <w:snapToGrid w:val="0"/>
      <w:jc w:val="center"/>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posOffset>5410200</wp:posOffset>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1D414B">
                          <w:pPr>
                            <w:widowControl w:val="0"/>
                            <w:snapToGrid w:val="0"/>
                            <w:jc w:val="left"/>
                            <w:rPr>
                              <w:rFonts w:hint="eastAsia" w:ascii="Times New Roman" w:hAnsi="Times New Roman" w:eastAsia="宋体" w:cs="Times New Roman"/>
                              <w:kern w:val="2"/>
                              <w:sz w:val="18"/>
                              <w:szCs w:val="18"/>
                              <w:lang w:val="en-US" w:eastAsia="zh-CN" w:bidi="ar-S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426pt;margin-top:0pt;height:144pt;width:144pt;mso-position-horizontal-relative:margin;mso-wrap-style:none;z-index:251661312;mso-width-relative:page;mso-height-relative:page;" filled="f" stroked="f" coordsize="21600,21600" o:gfxdata="UEsDBAoAAAAAAIdO4kAAAAAAAAAAAAAAAAAEAAAAZHJzL1BLAwQUAAAACACHTuJAtzxWU9UAAAAJ&#10;AQAADwAAAGRycy9kb3ducmV2LnhtbE2PzU7DMBCE70i8g7VI3KidiB8rxOmhEhduFITUmxtv4wh7&#10;Hdlumrw97gkuq13NaPabdrt4x2aMaQykoNoIYEh9MCMNCr4+3x4ksJQ1Ge0CoYIVE2y725tWNyZc&#10;6APnfR5YCaHUaAU256nhPPUWvU6bMCEV7RSi17mcceAm6ksJ947XQjxzr0cqH6yecGex/9mfvYKX&#10;5TvglHCHh9PcRzuu0r2vSt3fVeIVWMYl/5nhil/QoStMx3Amk5hTIJ/q0iUrKPMqV4+ibEcFtZQC&#10;eNfy/w26X1BLAwQUAAAACACHTuJANZoqY8kBAACbAwAADgAAAGRycy9lMm9Eb2MueG1srVPNjtMw&#10;EL6vxDtYvlNnK4GqqOkKVC1CQoC07AO4jt1Y8p88bpO+ALwBJy573+fqczB2ki4slz1wccYz42/m&#10;+2ayvhmsIUcZQXvX0OtFRYl0wrfa7Rt6/+329YoSSNy13HgnG3qSQG82r67Wfajl0nfetDISBHFQ&#10;96GhXUqhZgxEJy2HhQ/SYVD5aHnCa9yzNvIe0a1hy6p6y3of2xC9kADo3Y5BOiHGlwB6pbSQWy8O&#10;Vro0okZpeEJK0OkAdFO6VUqK9EUpkImYhiLTVE4sgvYun2yz5vU+8tBpMbXAX9LCM06Wa4dFL1Bb&#10;njg5RP0PlNUievAqLYS3bCRSFEEW19Uzbe46HmThglJDuIgO/w9WfD5+jUS3uAlvKHHc4sTPP3+c&#10;fz2eH74T9KFAfYAa8+4CZqbhvR8wefYDOjPvQUWbv8iIYBzlPV3klUMiIj9aLVerCkMCY/MF8dnT&#10;8xAhfZDekmw0NOL8iqz8+AnSmDqn5GrO32pjygyN+8uBmNnDcu9jj9lKw26YCO18e0I+PY6+oQ43&#10;nRLz0aGyeUtmI87GbjYOIep9V9Yo14Pw7pCwidJbrjDCToVxZoXdtF95Kf68l6ynf2r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c8VlPVAAAACQEAAA8AAAAAAAAAAQAgAAAAIgAAAGRycy9kb3du&#10;cmV2LnhtbFBLAQIUABQAAAAIAIdO4kA1mipjyQEAAJsDAAAOAAAAAAAAAAEAIAAAACQBAABkcnMv&#10;ZTJvRG9jLnhtbFBLBQYAAAAABgAGAFkBAABfBQAAAAA=&#10;">
              <v:fill on="f" focussize="0,0"/>
              <v:stroke on="f"/>
              <v:imagedata o:title=""/>
              <o:lock v:ext="edit" aspectratio="f"/>
              <v:textbox inset="0mm,0mm,0mm,0mm" style="mso-fit-shape-to-text:t;">
                <w:txbxContent>
                  <w:p w14:paraId="6C1D414B">
                    <w:pPr>
                      <w:widowControl w:val="0"/>
                      <w:snapToGrid w:val="0"/>
                      <w:jc w:val="left"/>
                      <w:rPr>
                        <w:rFonts w:hint="eastAsia" w:ascii="Times New Roman" w:hAnsi="Times New Roman" w:eastAsia="宋体" w:cs="Times New Roman"/>
                        <w:kern w:val="2"/>
                        <w:sz w:val="18"/>
                        <w:szCs w:val="18"/>
                        <w:lang w:val="en-US" w:eastAsia="zh-CN" w:bidi="ar-SA"/>
                      </w:rPr>
                    </w:pPr>
                  </w:p>
                </w:txbxContent>
              </v:textbox>
            </v:shape>
          </w:pict>
        </mc:Fallback>
      </mc:AlternateContent>
    </w:r>
  </w:p>
  <w:p w14:paraId="1EB27849">
    <w:pPr>
      <w:widowControl w:val="0"/>
      <w:snapToGrid w:val="0"/>
      <w:jc w:val="left"/>
      <w:rPr>
        <w:rFonts w:ascii="Times New Roman" w:hAnsi="Times New Roman"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8A9CE">
    <w:pPr>
      <w:widowControl w:val="0"/>
      <w:tabs>
        <w:tab w:val="right" w:pos="9000"/>
      </w:tabs>
      <w:snapToGrid w:val="0"/>
      <w:ind w:right="360"/>
      <w:jc w:val="both"/>
      <w:rPr>
        <w:rFonts w:hint="eastAsia" w:ascii="Times New Roman" w:hAnsi="Times New Roman" w:eastAsia="宋体"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BE111">
    <w:pPr>
      <w:widowControl w:val="0"/>
      <w:snapToGrid w:val="0"/>
      <w:jc w:val="center"/>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F42FD">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22F42FD">
                    <w:pPr>
                      <w:pStyle w:val="18"/>
                    </w:pPr>
                    <w:r>
                      <w:fldChar w:fldCharType="begin"/>
                    </w:r>
                    <w:r>
                      <w:instrText xml:space="preserve"> PAGE  \* MERGEFORMAT </w:instrText>
                    </w:r>
                    <w:r>
                      <w:fldChar w:fldCharType="separate"/>
                    </w:r>
                    <w:r>
                      <w:t>2</w:t>
                    </w:r>
                    <w:r>
                      <w:fldChar w:fldCharType="end"/>
                    </w:r>
                  </w:p>
                </w:txbxContent>
              </v:textbox>
            </v:shape>
          </w:pict>
        </mc:Fallback>
      </mc:AlternateContent>
    </w: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posOffset>5410200</wp:posOffset>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B7541C">
                          <w:pPr>
                            <w:widowControl w:val="0"/>
                            <w:snapToGrid w:val="0"/>
                            <w:jc w:val="left"/>
                            <w:rPr>
                              <w:rFonts w:hint="eastAsia" w:ascii="Times New Roman" w:hAnsi="Times New Roman" w:eastAsia="宋体" w:cs="Times New Roman"/>
                              <w:kern w:val="2"/>
                              <w:sz w:val="18"/>
                              <w:szCs w:val="18"/>
                              <w:lang w:val="en-US" w:eastAsia="zh-CN" w:bidi="ar-S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426pt;margin-top:0pt;height:144pt;width:144pt;mso-position-horizontal-relative:margin;mso-wrap-style:none;z-index:251662336;mso-width-relative:page;mso-height-relative:page;" filled="f" stroked="f" coordsize="21600,21600" o:gfxdata="UEsDBAoAAAAAAIdO4kAAAAAAAAAAAAAAAAAEAAAAZHJzL1BLAwQUAAAACACHTuJAtzxWU9UAAAAJ&#10;AQAADwAAAGRycy9kb3ducmV2LnhtbE2PzU7DMBCE70i8g7VI3KidiB8rxOmhEhduFITUmxtv4wh7&#10;Hdlumrw97gkuq13NaPabdrt4x2aMaQykoNoIYEh9MCMNCr4+3x4ksJQ1Ge0CoYIVE2y725tWNyZc&#10;6APnfR5YCaHUaAU256nhPPUWvU6bMCEV7RSi17mcceAm6ksJ947XQjxzr0cqH6yecGex/9mfvYKX&#10;5TvglHCHh9PcRzuu0r2vSt3fVeIVWMYl/5nhil/QoStMx3Amk5hTIJ/q0iUrKPMqV4+ibEcFtZQC&#10;eNfy/w26X1BLAwQUAAAACACHTuJAJDkjEckBAACZAwAADgAAAGRycy9lMm9Eb2MueG1srVPNjtMw&#10;EL4j8Q6W79TZSouqqOlqUbUICQHSwgO4jt1Y8p88bpO+ALwBJy7cea4+B2Mn6S7LZQ97ccYz42/m&#10;+2ayvhmsIUcZQXvX0KtFRYl0wrfa7Rv67evdmxUlkLhrufFONvQkgd5sXr9a96GWS99508pIEMRB&#10;3YeGdimFmjEQnbQcFj5Ih0Hlo+UJr3HP2sh7RLeGLavqLet9bEP0QgKgdzsG6YQYnwPoldJCbr04&#10;WOnSiBql4QkpQacD0E3pVikp0melQCZiGopMUzmxCNq7fLLNmtf7yEOnxdQCf04LTzhZrh0WvUBt&#10;eeLkEPV/UFaL6MGrtBDespFIUQRZXFVPtLnveJCFC0oN4SI6vBys+HT8EoluG3pNieMWB37++eP8&#10;68/593dyneXpA9SYdR8wLw3v/IBLM/sBnZn1oKLNX+RDMI7ini7iyiERkR+tlqtVhSGBsfmC+Ozh&#10;eYiQ3ktvSTYaGnF6RVR+/AhpTJ1TcjXn77QxZYLG/eNAzOxhufexx2ylYTdMhHa+PSGfHgffUId7&#10;Ton54FDXvCOzEWdjNxuHEPW+K0uU60G4PSRsovSWK4ywU2GcWGE3bVdeicf3kvXwR2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c8VlPVAAAACQEAAA8AAAAAAAAAAQAgAAAAIgAAAGRycy9kb3du&#10;cmV2LnhtbFBLAQIUABQAAAAIAIdO4kAkOSMRyQEAAJkDAAAOAAAAAAAAAAEAIAAAACQBAABkcnMv&#10;ZTJvRG9jLnhtbFBLBQYAAAAABgAGAFkBAABfBQAAAAA=&#10;">
              <v:fill on="f" focussize="0,0"/>
              <v:stroke on="f"/>
              <v:imagedata o:title=""/>
              <o:lock v:ext="edit" aspectratio="f"/>
              <v:textbox inset="0mm,0mm,0mm,0mm" style="mso-fit-shape-to-text:t;">
                <w:txbxContent>
                  <w:p w14:paraId="5BB7541C">
                    <w:pPr>
                      <w:widowControl w:val="0"/>
                      <w:snapToGrid w:val="0"/>
                      <w:jc w:val="left"/>
                      <w:rPr>
                        <w:rFonts w:hint="eastAsia" w:ascii="Times New Roman" w:hAnsi="Times New Roman" w:eastAsia="宋体" w:cs="Times New Roman"/>
                        <w:kern w:val="2"/>
                        <w:sz w:val="18"/>
                        <w:szCs w:val="18"/>
                        <w:lang w:val="en-US" w:eastAsia="zh-CN" w:bidi="ar-SA"/>
                      </w:rPr>
                    </w:pPr>
                  </w:p>
                </w:txbxContent>
              </v:textbox>
            </v:shape>
          </w:pict>
        </mc:Fallback>
      </mc:AlternateContent>
    </w:r>
  </w:p>
  <w:p w14:paraId="05CB91E9">
    <w:pPr>
      <w:widowControl w:val="0"/>
      <w:snapToGrid w:val="0"/>
      <w:jc w:val="left"/>
      <w:rPr>
        <w:rFonts w:ascii="Times New Roman" w:hAnsi="Times New Roman" w:eastAsia="宋体"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C765D">
    <w:pPr>
      <w:widowControl w:val="0"/>
      <w:tabs>
        <w:tab w:val="right" w:pos="9000"/>
      </w:tabs>
      <w:snapToGrid w:val="0"/>
      <w:ind w:right="360"/>
      <w:jc w:val="both"/>
      <w:rPr>
        <w:rFonts w:hint="eastAsia"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posOffset>2740025</wp:posOffset>
              </wp:positionH>
              <wp:positionV relativeFrom="paragraph">
                <wp:posOffset>-222250</wp:posOffset>
              </wp:positionV>
              <wp:extent cx="136525" cy="20193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36525" cy="201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51C46">
                          <w:pPr>
                            <w:pStyle w:val="1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5.75pt;margin-top:-17.5pt;height:15.9pt;width:10.75pt;mso-position-horizontal-relative:margin;z-index:251663360;mso-width-relative:page;mso-height-relative:page;" filled="f" stroked="f" coordsize="21600,21600" o:gfxdata="UEsDBAoAAAAAAIdO4kAAAAAAAAAAAAAAAAAEAAAAZHJzL1BLAwQUAAAACACHTuJAOkRDr9gAAAAK&#10;AQAADwAAAGRycy9kb3ducmV2LnhtbE2PS0/DMBCE70j8B2uRuLV2mgahEKcHHjeehUrl5sQmibDX&#10;ke2k5d+zPcFtd2c0+021OTrLZhPi4FFCthTADLZeD9hJ+Hh/WFwDi0mhVtajkfBjImzq87NKldof&#10;8M3M29QxCsFYKgl9SmPJeWx741Rc+tEgaV8+OJVoDR3XQR0o3Fm+EuKKOzUgfejVaG57035vJyfB&#10;7mN4bET6nO+6p/T6wqfdffYs5eVFJm6AJXNMf2Y44RM61MTU+Al1ZFbCOs8KskpY5AWVIse6yGlo&#10;TpcV8Lri/yvUv1BLAwQUAAAACACHTuJA5IxutDUCAABhBAAADgAAAGRycy9lMm9Eb2MueG1srVTL&#10;jtMwFN0j8Q+W9zR9qBVUTUdlqiKkihmpINau4zSWbF9ju03KB8AfsGIze76r38G1k3TQwGIWbNwb&#10;3+c5PreLm0YrchLOSzA5HQ2GlAjDoZDmkNNPHzevXlPiAzMFU2BETs/C05vlyxeL2s7FGCpQhXAE&#10;ixg/r21OqxDsPMs8r4RmfgBWGHSW4DQL+OkOWeFYjdW1ysbD4SyrwRXWARfe4+26ddKuontOQShL&#10;ycUa+FELE9qqTigWEJKvpPV0maYtS8HDXVl6EYjKKSIN6cQmaO/jmS0XbH5wzFaSdyOw54zwBJNm&#10;0mDTa6k1C4wcnfyrlJbcgYcyDDjorAWSGEEUo+ETbnYVsyJhQaq9vZLu/19Z/uF074gscjqjxDCN&#10;D3758f3y89fl4RuZRXpq6+cYtbMYF5q30KBo+nuPlxF1UzodfxEPQT+Se76SK5pAeEyazKbjKSUc&#10;XYj1zSSRnz0mW+fDOwGaRCOnDt8uUcpOWx9wEAztQ2IvAxupVHo/ZUiNACbTYUq4ejBDGUyMENpR&#10;oxWafdPh2kNxRlgOWl14yzcSm2+ZD/fMoRAQCa5KuMOjVIBNoLMoqcB9/dd9jMf3QS8lNQorp/7L&#10;kTlBiXpv8OWiCnvD9ca+N8xR3wJqdYRLaHkyMcEF1ZulA/0ZN2gVu6CLGY69chp68za08sYN5GK1&#10;SkFH6+ShahNQd5aFrdlZHtu0VK6OAUqZWI4Utbx0zKHyEvndlkRp//mdoh7/GZ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pEQ6/YAAAACgEAAA8AAAAAAAAAAQAgAAAAIgAAAGRycy9kb3ducmV2&#10;LnhtbFBLAQIUABQAAAAIAIdO4kDkjG60NQIAAGEEAAAOAAAAAAAAAAEAIAAAACcBAABkcnMvZTJv&#10;RG9jLnhtbFBLBQYAAAAABgAGAFkBAADOBQAAAAA=&#10;">
              <v:fill on="f" focussize="0,0"/>
              <v:stroke on="f" weight="0.5pt"/>
              <v:imagedata o:title=""/>
              <o:lock v:ext="edit" aspectratio="f"/>
              <v:textbox inset="0mm,0mm,0mm,0mm">
                <w:txbxContent>
                  <w:p w14:paraId="46E51C46">
                    <w:pPr>
                      <w:pStyle w:val="1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FBB9F">
    <w:pPr>
      <w:spacing w:line="269" w:lineRule="exact"/>
      <w:ind w:left="3844"/>
      <w:rPr>
        <w:rFonts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54F42">
                          <w:pPr>
                            <w:pStyle w:val="1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2A54F42">
                    <w:pPr>
                      <w:pStyle w:val="1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01665">
    <w:pPr>
      <w:pStyle w:val="18"/>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CC43A8">
                          <w:pPr>
                            <w:pStyle w:val="18"/>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2CC43A8">
                    <w:pPr>
                      <w:pStyle w:val="18"/>
                    </w:pPr>
                    <w:r>
                      <w:fldChar w:fldCharType="begin"/>
                    </w:r>
                    <w:r>
                      <w:instrText xml:space="preserve"> PAGE  \* MERGEFORMAT </w:instrText>
                    </w:r>
                    <w:r>
                      <w:fldChar w:fldCharType="separate"/>
                    </w:r>
                    <w:r>
                      <w:t>49</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5410200</wp:posOffset>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F967A9">
                          <w:pPr>
                            <w:pStyle w:val="18"/>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426pt;margin-top:0pt;height:144pt;width:144pt;mso-position-horizontal-relative:margin;mso-wrap-style:none;z-index:251660288;mso-width-relative:page;mso-height-relative:page;" filled="f" stroked="f" coordsize="21600,21600" o:gfxdata="UEsDBAoAAAAAAIdO4kAAAAAAAAAAAAAAAAAEAAAAZHJzL1BLAwQUAAAACACHTuJAtzxWU9UAAAAJ&#10;AQAADwAAAGRycy9kb3ducmV2LnhtbE2PzU7DMBCE70i8g7VI3KidiB8rxOmhEhduFITUmxtv4wh7&#10;Hdlumrw97gkuq13NaPabdrt4x2aMaQykoNoIYEh9MCMNCr4+3x4ksJQ1Ge0CoYIVE2y725tWNyZc&#10;6APnfR5YCaHUaAU256nhPPUWvU6bMCEV7RSi17mcceAm6ksJ947XQjxzr0cqH6yecGex/9mfvYKX&#10;5TvglHCHh9PcRzuu0r2vSt3fVeIVWMYl/5nhil/QoStMx3Amk5hTIJ/q0iUrKPMqV4+ibEcFtZQC&#10;eNfy/w26X1BLAwQUAAAACACHTuJA1F+UJskBAACZAwAADgAAAGRycy9lMm9Eb2MueG1srVPNjtMw&#10;EL4j8Q6W79TZaoWqqOlqUbUICQHSwgO4jt1Y8p88bpO+ALwBJy7cea4+B2Mn6S7LZQ97ccYz42/m&#10;+2ayvhmsIUcZQXvX0KtFRYl0wrfa7Rv67evdmxUlkLhrufFONvQkgd5sXr9a96GWS99508pIEMRB&#10;3YeGdimFmjEQnbQcFj5Ih0Hlo+UJr3HP2sh7RLeGLavqLet9bEP0QgKgdzsG6YQYnwPoldJCbr04&#10;WOnSiBql4QkpQacD0E3pVikp0melQCZiGopMUzmxCNq7fLLNmtf7yEOnxdQCf04LTzhZrh0WvUBt&#10;eeLkEPV/UFaL6MGrtBDespFIUQRZXFVPtLnveJCFC0oN4SI6vBys+HT8EoluG3pNieMWB37++eP8&#10;68/593dyneXpA9SYdR8wLw3v/IBLM/sBnZn1oKLNX+RDMI7ini7iyiERkR+tlqtVhSGBsfmC+Ozh&#10;eYiQ3ktvSTYaGnF6RVR+/AhpTJ1TcjXn77QxZYLG/eNAzOxhufexx2ylYTdMhHa+PSGfHgffUId7&#10;Ton54FDXvCOzEWdjNxuHEPW+K0uU60G4PSRsovSWK4ywU2GcWGE3bVdeicf3kvXwR2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c8VlPVAAAACQEAAA8AAAAAAAAAAQAgAAAAIgAAAGRycy9kb3du&#10;cmV2LnhtbFBLAQIUABQAAAAIAIdO4kDUX5QmyQEAAJkDAAAOAAAAAAAAAAEAIAAAACQBAABkcnMv&#10;ZTJvRG9jLnhtbFBLBQYAAAAABgAGAFkBAABfBQAAAAA=&#10;">
              <v:fill on="f" focussize="0,0"/>
              <v:stroke on="f"/>
              <v:imagedata o:title=""/>
              <o:lock v:ext="edit" aspectratio="f"/>
              <v:textbox inset="0mm,0mm,0mm,0mm" style="mso-fit-shape-to-text:t;">
                <w:txbxContent>
                  <w:p w14:paraId="3DF967A9">
                    <w:pPr>
                      <w:pStyle w:val="18"/>
                      <w:rPr>
                        <w:rFonts w:hint="eastAsia"/>
                      </w:rPr>
                    </w:pPr>
                  </w:p>
                </w:txbxContent>
              </v:textbox>
            </v:shape>
          </w:pict>
        </mc:Fallback>
      </mc:AlternateContent>
    </w:r>
  </w:p>
  <w:p w14:paraId="4D565571">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8D1B7">
    <w:pPr>
      <w:rPr>
        <w:rFonts w:hint="eastAsia"/>
        <w:lang w:val="en-US" w:eastAsia="zh-CN"/>
      </w:rPr>
    </w:pPr>
  </w:p>
  <w:p w14:paraId="08EE44EF">
    <w:pPr>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DA8C0">
    <w:pPr>
      <w:pStyle w:val="19"/>
      <w:pBdr>
        <w:bottom w:val="none" w:color="auto" w:sz="0" w:space="1"/>
      </w:pBdr>
      <w:ind w:firstLine="360" w:firstLineChars="200"/>
      <w:jc w:val="both"/>
      <w:rPr>
        <w:rFonts w:hint="eastAsia"/>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61574">
    <w:pPr>
      <w:pStyle w:val="19"/>
      <w:pBdr>
        <w:bottom w:val="none" w:color="auto" w:sz="0" w:space="1"/>
      </w:pBdr>
      <w:ind w:firstLine="180" w:firstLineChars="10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968241"/>
    <w:multiLevelType w:val="singleLevel"/>
    <w:tmpl w:val="B6968241"/>
    <w:lvl w:ilvl="0" w:tentative="0">
      <w:start w:val="1"/>
      <w:numFmt w:val="decimalEnclosedCircleChinese"/>
      <w:suff w:val="nothing"/>
      <w:lvlText w:val="%1"/>
      <w:lvlJc w:val="left"/>
      <w:pPr>
        <w:ind w:left="0" w:firstLine="0"/>
      </w:pPr>
      <w:rPr>
        <w:rFonts w:hint="eastAsia"/>
      </w:rPr>
    </w:lvl>
  </w:abstractNum>
  <w:abstractNum w:abstractNumId="1">
    <w:nsid w:val="D8AE3122"/>
    <w:multiLevelType w:val="singleLevel"/>
    <w:tmpl w:val="D8AE3122"/>
    <w:lvl w:ilvl="0" w:tentative="0">
      <w:start w:val="1"/>
      <w:numFmt w:val="decimalEnclosedCircleChinese"/>
      <w:suff w:val="nothing"/>
      <w:lvlText w:val="%1"/>
      <w:lvlJc w:val="left"/>
      <w:pPr>
        <w:ind w:left="0" w:firstLine="0"/>
      </w:pPr>
      <w:rPr>
        <w:rFonts w:hint="eastAsia"/>
      </w:rPr>
    </w:lvl>
  </w:abstractNum>
  <w:abstractNum w:abstractNumId="2">
    <w:nsid w:val="F0F6E770"/>
    <w:multiLevelType w:val="singleLevel"/>
    <w:tmpl w:val="F0F6E770"/>
    <w:lvl w:ilvl="0" w:tentative="0">
      <w:start w:val="3"/>
      <w:numFmt w:val="chineseCounting"/>
      <w:suff w:val="space"/>
      <w:lvlText w:val="第%1章"/>
      <w:lvlJc w:val="left"/>
      <w:rPr>
        <w:rFonts w:hint="eastAsia"/>
      </w:rPr>
    </w:lvl>
  </w:abstractNum>
  <w:abstractNum w:abstractNumId="3">
    <w:nsid w:val="0000000C"/>
    <w:multiLevelType w:val="multilevel"/>
    <w:tmpl w:val="0000000C"/>
    <w:lvl w:ilvl="0" w:tentative="0">
      <w:start w:val="1"/>
      <w:numFmt w:val="decimal"/>
      <w:lvlText w:val="%1."/>
      <w:lvlJc w:val="left"/>
      <w:pPr>
        <w:tabs>
          <w:tab w:val="left" w:pos="425"/>
        </w:tabs>
        <w:ind w:left="425" w:hanging="425"/>
      </w:pPr>
    </w:lvl>
    <w:lvl w:ilvl="1" w:tentative="0">
      <w:start w:val="1"/>
      <w:numFmt w:val="decimal"/>
      <w:pStyle w:val="4"/>
      <w:lvlText w:val="%1.%2."/>
      <w:lvlJc w:val="left"/>
      <w:pPr>
        <w:tabs>
          <w:tab w:val="left" w:pos="3987"/>
        </w:tabs>
        <w:ind w:left="3987" w:hanging="567"/>
      </w:pPr>
    </w:lvl>
    <w:lvl w:ilvl="2" w:tentative="0">
      <w:start w:val="1"/>
      <w:numFmt w:val="decimal"/>
      <w:lvlText w:val="%1.%2.%3."/>
      <w:lvlJc w:val="left"/>
      <w:pPr>
        <w:tabs>
          <w:tab w:val="left" w:pos="3544"/>
        </w:tabs>
        <w:ind w:left="3544"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4">
    <w:nsid w:val="0937D566"/>
    <w:multiLevelType w:val="singleLevel"/>
    <w:tmpl w:val="0937D566"/>
    <w:lvl w:ilvl="0" w:tentative="0">
      <w:start w:val="1"/>
      <w:numFmt w:val="decimal"/>
      <w:suff w:val="nothing"/>
      <w:lvlText w:val="(%1)"/>
      <w:lvlJc w:val="left"/>
      <w:pPr>
        <w:ind w:left="454" w:leftChars="0" w:hanging="454" w:firstLineChars="0"/>
      </w:pPr>
      <w:rPr>
        <w:rFonts w:hint="default"/>
      </w:rPr>
    </w:lvl>
  </w:abstractNum>
  <w:abstractNum w:abstractNumId="5">
    <w:nsid w:val="289BFB75"/>
    <w:multiLevelType w:val="singleLevel"/>
    <w:tmpl w:val="289BFB75"/>
    <w:lvl w:ilvl="0" w:tentative="0">
      <w:start w:val="1"/>
      <w:numFmt w:val="decimalEnclosedCircleChinese"/>
      <w:suff w:val="nothing"/>
      <w:lvlText w:val="%1"/>
      <w:lvlJc w:val="left"/>
      <w:pPr>
        <w:ind w:left="0" w:firstLine="0"/>
      </w:pPr>
      <w:rPr>
        <w:rFonts w:hint="eastAsia"/>
      </w:rPr>
    </w:lvl>
  </w:abstractNum>
  <w:abstractNum w:abstractNumId="6">
    <w:nsid w:val="34B3B79C"/>
    <w:multiLevelType w:val="singleLevel"/>
    <w:tmpl w:val="34B3B79C"/>
    <w:lvl w:ilvl="0" w:tentative="0">
      <w:start w:val="1"/>
      <w:numFmt w:val="decimal"/>
      <w:suff w:val="nothing"/>
      <w:lvlText w:val="(%1)"/>
      <w:lvlJc w:val="left"/>
      <w:pPr>
        <w:ind w:left="454" w:leftChars="0" w:hanging="454" w:firstLineChars="0"/>
      </w:pPr>
      <w:rPr>
        <w:rFonts w:hint="default"/>
      </w:rPr>
    </w:lvl>
  </w:abstractNum>
  <w:abstractNum w:abstractNumId="7">
    <w:nsid w:val="48732F9E"/>
    <w:multiLevelType w:val="singleLevel"/>
    <w:tmpl w:val="48732F9E"/>
    <w:lvl w:ilvl="0" w:tentative="0">
      <w:start w:val="1"/>
      <w:numFmt w:val="decimal"/>
      <w:suff w:val="nothing"/>
      <w:lvlText w:val="%1"/>
      <w:lvlJc w:val="left"/>
      <w:pPr>
        <w:ind w:left="425" w:leftChars="0" w:hanging="425" w:firstLineChars="0"/>
      </w:pPr>
      <w:rPr>
        <w:rFonts w:hint="default"/>
      </w:rPr>
    </w:lvl>
  </w:abstractNum>
  <w:abstractNum w:abstractNumId="8">
    <w:nsid w:val="6C16FB61"/>
    <w:multiLevelType w:val="singleLevel"/>
    <w:tmpl w:val="6C16FB61"/>
    <w:lvl w:ilvl="0" w:tentative="0">
      <w:start w:val="1"/>
      <w:numFmt w:val="decimalEnclosedCircleChinese"/>
      <w:suff w:val="nothing"/>
      <w:lvlText w:val="%1"/>
      <w:lvlJc w:val="left"/>
      <w:pPr>
        <w:ind w:left="0" w:firstLine="403"/>
      </w:pPr>
      <w:rPr>
        <w:rFonts w:hint="eastAsia"/>
      </w:rPr>
    </w:lvl>
  </w:abstractNum>
  <w:num w:numId="1">
    <w:abstractNumId w:val="3"/>
  </w:num>
  <w:num w:numId="2">
    <w:abstractNumId w:val="4"/>
  </w:num>
  <w:num w:numId="3">
    <w:abstractNumId w:val="7"/>
  </w:num>
  <w:num w:numId="4">
    <w:abstractNumId w:val="8"/>
  </w:num>
  <w:num w:numId="5">
    <w:abstractNumId w:val="5"/>
  </w:num>
  <w:num w:numId="6">
    <w:abstractNumId w:val="1"/>
  </w:num>
  <w:num w:numId="7">
    <w:abstractNumId w:val="0"/>
  </w:num>
  <w:num w:numId="8">
    <w:abstractNumId w:val="2"/>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
    <w15:presenceInfo w15:providerId="WPS Office" w15:userId="2822555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mYzA2ODBlNjZkYWVmNGIxNzA0NmY2OWRkMjIxZjgifQ=="/>
  </w:docVars>
  <w:rsids>
    <w:rsidRoot w:val="00000000"/>
    <w:rsid w:val="00125A94"/>
    <w:rsid w:val="0018099E"/>
    <w:rsid w:val="00186D23"/>
    <w:rsid w:val="002E6413"/>
    <w:rsid w:val="00612345"/>
    <w:rsid w:val="00AD5861"/>
    <w:rsid w:val="00B13B94"/>
    <w:rsid w:val="00D91EDB"/>
    <w:rsid w:val="00F179BB"/>
    <w:rsid w:val="00F90889"/>
    <w:rsid w:val="011760DA"/>
    <w:rsid w:val="011A2633"/>
    <w:rsid w:val="015E0632"/>
    <w:rsid w:val="016519C1"/>
    <w:rsid w:val="01DD59FB"/>
    <w:rsid w:val="01EF3C44"/>
    <w:rsid w:val="021128F3"/>
    <w:rsid w:val="023963B2"/>
    <w:rsid w:val="02871BB5"/>
    <w:rsid w:val="02970C1D"/>
    <w:rsid w:val="02BE582C"/>
    <w:rsid w:val="02DF2CE3"/>
    <w:rsid w:val="02ED1C20"/>
    <w:rsid w:val="02F0175E"/>
    <w:rsid w:val="02F92D08"/>
    <w:rsid w:val="032E4921"/>
    <w:rsid w:val="0341020B"/>
    <w:rsid w:val="034D6BB0"/>
    <w:rsid w:val="036839EA"/>
    <w:rsid w:val="03766107"/>
    <w:rsid w:val="039447DF"/>
    <w:rsid w:val="03AB0F80"/>
    <w:rsid w:val="04045B36"/>
    <w:rsid w:val="040B5B34"/>
    <w:rsid w:val="0433399F"/>
    <w:rsid w:val="043A04C0"/>
    <w:rsid w:val="044F75A3"/>
    <w:rsid w:val="045D1075"/>
    <w:rsid w:val="04997414"/>
    <w:rsid w:val="04EA4FB7"/>
    <w:rsid w:val="04EE15D4"/>
    <w:rsid w:val="05304029"/>
    <w:rsid w:val="053F69CD"/>
    <w:rsid w:val="05432019"/>
    <w:rsid w:val="05435096"/>
    <w:rsid w:val="0550751F"/>
    <w:rsid w:val="05790131"/>
    <w:rsid w:val="059517ED"/>
    <w:rsid w:val="05BF4BFA"/>
    <w:rsid w:val="05C869C2"/>
    <w:rsid w:val="05E57574"/>
    <w:rsid w:val="05F574CE"/>
    <w:rsid w:val="060519C4"/>
    <w:rsid w:val="060774EA"/>
    <w:rsid w:val="0633769D"/>
    <w:rsid w:val="065D35AE"/>
    <w:rsid w:val="067549AF"/>
    <w:rsid w:val="069A210C"/>
    <w:rsid w:val="06AB179A"/>
    <w:rsid w:val="06B2086E"/>
    <w:rsid w:val="07B216D8"/>
    <w:rsid w:val="07CC279A"/>
    <w:rsid w:val="07D17DB0"/>
    <w:rsid w:val="07E5703F"/>
    <w:rsid w:val="07EF0236"/>
    <w:rsid w:val="07EF6488"/>
    <w:rsid w:val="081D6A20"/>
    <w:rsid w:val="083D3697"/>
    <w:rsid w:val="086F4045"/>
    <w:rsid w:val="088E7A4F"/>
    <w:rsid w:val="08BB45BC"/>
    <w:rsid w:val="08C1747C"/>
    <w:rsid w:val="08C23B9D"/>
    <w:rsid w:val="08D145D9"/>
    <w:rsid w:val="08D37B58"/>
    <w:rsid w:val="08F64918"/>
    <w:rsid w:val="08FA3336"/>
    <w:rsid w:val="093E51B1"/>
    <w:rsid w:val="094C3466"/>
    <w:rsid w:val="097E5D15"/>
    <w:rsid w:val="09A3752A"/>
    <w:rsid w:val="09FC30DE"/>
    <w:rsid w:val="0A0D0E47"/>
    <w:rsid w:val="0A617D3D"/>
    <w:rsid w:val="0A746912"/>
    <w:rsid w:val="0A8074DF"/>
    <w:rsid w:val="0A83110A"/>
    <w:rsid w:val="0A98209A"/>
    <w:rsid w:val="0ABB5236"/>
    <w:rsid w:val="0B095AB3"/>
    <w:rsid w:val="0B097861"/>
    <w:rsid w:val="0B0B35D9"/>
    <w:rsid w:val="0B7D123A"/>
    <w:rsid w:val="0B8D0492"/>
    <w:rsid w:val="0C105208"/>
    <w:rsid w:val="0C1E2D2D"/>
    <w:rsid w:val="0C231F1A"/>
    <w:rsid w:val="0C281F69"/>
    <w:rsid w:val="0C475039"/>
    <w:rsid w:val="0C6359DC"/>
    <w:rsid w:val="0C7927C4"/>
    <w:rsid w:val="0CAC2B9A"/>
    <w:rsid w:val="0CE02843"/>
    <w:rsid w:val="0CEB7228"/>
    <w:rsid w:val="0D07521B"/>
    <w:rsid w:val="0D0B092C"/>
    <w:rsid w:val="0D1276EB"/>
    <w:rsid w:val="0D224C0A"/>
    <w:rsid w:val="0D482C33"/>
    <w:rsid w:val="0D70006B"/>
    <w:rsid w:val="0D821B4C"/>
    <w:rsid w:val="0D9E64C4"/>
    <w:rsid w:val="0DCC374D"/>
    <w:rsid w:val="0DDA3736"/>
    <w:rsid w:val="0DDF6F9F"/>
    <w:rsid w:val="0DED0D62"/>
    <w:rsid w:val="0DF30E0B"/>
    <w:rsid w:val="0E1C5AFD"/>
    <w:rsid w:val="0E1D2858"/>
    <w:rsid w:val="0E2055ED"/>
    <w:rsid w:val="0E3E5A1B"/>
    <w:rsid w:val="0E506CB8"/>
    <w:rsid w:val="0E5444C8"/>
    <w:rsid w:val="0E603C3C"/>
    <w:rsid w:val="0E6C2634"/>
    <w:rsid w:val="0E7A63AE"/>
    <w:rsid w:val="0E801B8C"/>
    <w:rsid w:val="0E9412A7"/>
    <w:rsid w:val="0EA7186A"/>
    <w:rsid w:val="0EBE7CDF"/>
    <w:rsid w:val="0EF3685E"/>
    <w:rsid w:val="0F1211D3"/>
    <w:rsid w:val="0F312AB7"/>
    <w:rsid w:val="0F317386"/>
    <w:rsid w:val="0F8D1333"/>
    <w:rsid w:val="0FC05753"/>
    <w:rsid w:val="0FD77F2D"/>
    <w:rsid w:val="0FFB78F6"/>
    <w:rsid w:val="0FFD6F1C"/>
    <w:rsid w:val="103435D2"/>
    <w:rsid w:val="103C5FE2"/>
    <w:rsid w:val="105A46BB"/>
    <w:rsid w:val="10642228"/>
    <w:rsid w:val="10863B0F"/>
    <w:rsid w:val="10CA2419"/>
    <w:rsid w:val="110805BA"/>
    <w:rsid w:val="11337B9A"/>
    <w:rsid w:val="113413B0"/>
    <w:rsid w:val="114F1D45"/>
    <w:rsid w:val="11914CC1"/>
    <w:rsid w:val="11C73FD2"/>
    <w:rsid w:val="1205513C"/>
    <w:rsid w:val="122E5C58"/>
    <w:rsid w:val="124675EC"/>
    <w:rsid w:val="126D4B79"/>
    <w:rsid w:val="12795C35"/>
    <w:rsid w:val="12DB7D35"/>
    <w:rsid w:val="12E2233F"/>
    <w:rsid w:val="12FE7EC7"/>
    <w:rsid w:val="13010F42"/>
    <w:rsid w:val="13084491"/>
    <w:rsid w:val="130E3F2A"/>
    <w:rsid w:val="134358DA"/>
    <w:rsid w:val="13477178"/>
    <w:rsid w:val="13710699"/>
    <w:rsid w:val="138E2FF9"/>
    <w:rsid w:val="13F13588"/>
    <w:rsid w:val="13F70440"/>
    <w:rsid w:val="14113A7C"/>
    <w:rsid w:val="143A2CB3"/>
    <w:rsid w:val="144E60BD"/>
    <w:rsid w:val="145F4995"/>
    <w:rsid w:val="1468384A"/>
    <w:rsid w:val="14912127"/>
    <w:rsid w:val="149F4D92"/>
    <w:rsid w:val="14AF1479"/>
    <w:rsid w:val="14F53B48"/>
    <w:rsid w:val="14FF4D26"/>
    <w:rsid w:val="15282FD9"/>
    <w:rsid w:val="15414351"/>
    <w:rsid w:val="15645AA9"/>
    <w:rsid w:val="158217BB"/>
    <w:rsid w:val="15BB3E4D"/>
    <w:rsid w:val="15C03212"/>
    <w:rsid w:val="15EA64E1"/>
    <w:rsid w:val="15FB06EE"/>
    <w:rsid w:val="15FD41CC"/>
    <w:rsid w:val="16021A7C"/>
    <w:rsid w:val="1658057C"/>
    <w:rsid w:val="16930926"/>
    <w:rsid w:val="169C3C7F"/>
    <w:rsid w:val="16C531D6"/>
    <w:rsid w:val="16CB1E6E"/>
    <w:rsid w:val="16CD208A"/>
    <w:rsid w:val="16D80A18"/>
    <w:rsid w:val="16E55626"/>
    <w:rsid w:val="16FC7DAF"/>
    <w:rsid w:val="17131EB5"/>
    <w:rsid w:val="171B69C1"/>
    <w:rsid w:val="172A0FAC"/>
    <w:rsid w:val="174F484D"/>
    <w:rsid w:val="177D585E"/>
    <w:rsid w:val="17A253B2"/>
    <w:rsid w:val="180A0620"/>
    <w:rsid w:val="182B52BA"/>
    <w:rsid w:val="1840688C"/>
    <w:rsid w:val="184620F4"/>
    <w:rsid w:val="186407CC"/>
    <w:rsid w:val="186B14F1"/>
    <w:rsid w:val="186B4263"/>
    <w:rsid w:val="189854C8"/>
    <w:rsid w:val="18A137CE"/>
    <w:rsid w:val="18BF5A03"/>
    <w:rsid w:val="18F67AEF"/>
    <w:rsid w:val="1916678E"/>
    <w:rsid w:val="191D4304"/>
    <w:rsid w:val="19467ED2"/>
    <w:rsid w:val="195A3FBB"/>
    <w:rsid w:val="195F2D42"/>
    <w:rsid w:val="19772C2F"/>
    <w:rsid w:val="197E58BE"/>
    <w:rsid w:val="19E33973"/>
    <w:rsid w:val="19FA13E8"/>
    <w:rsid w:val="1A0A53A3"/>
    <w:rsid w:val="1A0F6516"/>
    <w:rsid w:val="1A3305B3"/>
    <w:rsid w:val="1A513CB6"/>
    <w:rsid w:val="1A644AB4"/>
    <w:rsid w:val="1AA457B6"/>
    <w:rsid w:val="1AC652BC"/>
    <w:rsid w:val="1B260AA8"/>
    <w:rsid w:val="1B2A6104"/>
    <w:rsid w:val="1B8B185F"/>
    <w:rsid w:val="1BB84A8E"/>
    <w:rsid w:val="1BC81072"/>
    <w:rsid w:val="1C6F551C"/>
    <w:rsid w:val="1CC96B83"/>
    <w:rsid w:val="1CD13B20"/>
    <w:rsid w:val="1D2D73DF"/>
    <w:rsid w:val="1D426F02"/>
    <w:rsid w:val="1D686669"/>
    <w:rsid w:val="1D6923E1"/>
    <w:rsid w:val="1D8A2A83"/>
    <w:rsid w:val="1DDC2C0F"/>
    <w:rsid w:val="1DF70A78"/>
    <w:rsid w:val="1E2E168A"/>
    <w:rsid w:val="1E676920"/>
    <w:rsid w:val="1E685BCF"/>
    <w:rsid w:val="1E6A5358"/>
    <w:rsid w:val="1E835CA8"/>
    <w:rsid w:val="1EA0669C"/>
    <w:rsid w:val="1EAC3973"/>
    <w:rsid w:val="1EB93736"/>
    <w:rsid w:val="1EE95587"/>
    <w:rsid w:val="1F026649"/>
    <w:rsid w:val="1F0B3750"/>
    <w:rsid w:val="1F2E780D"/>
    <w:rsid w:val="1F5A5F02"/>
    <w:rsid w:val="1F7C289F"/>
    <w:rsid w:val="1FBA00C9"/>
    <w:rsid w:val="1FC06D87"/>
    <w:rsid w:val="1FC14701"/>
    <w:rsid w:val="1FE12702"/>
    <w:rsid w:val="1FE83A91"/>
    <w:rsid w:val="1FEE3407"/>
    <w:rsid w:val="202645B9"/>
    <w:rsid w:val="2040567B"/>
    <w:rsid w:val="20427645"/>
    <w:rsid w:val="209E23A2"/>
    <w:rsid w:val="20C067BC"/>
    <w:rsid w:val="20CA3197"/>
    <w:rsid w:val="20D83B05"/>
    <w:rsid w:val="211B1C44"/>
    <w:rsid w:val="21214880"/>
    <w:rsid w:val="21676C37"/>
    <w:rsid w:val="217C0935"/>
    <w:rsid w:val="219F4623"/>
    <w:rsid w:val="21A25EC1"/>
    <w:rsid w:val="21C978F2"/>
    <w:rsid w:val="21E87D78"/>
    <w:rsid w:val="21EF322E"/>
    <w:rsid w:val="22095153"/>
    <w:rsid w:val="222F2DAA"/>
    <w:rsid w:val="2239018F"/>
    <w:rsid w:val="224551CB"/>
    <w:rsid w:val="226D64CF"/>
    <w:rsid w:val="227930C6"/>
    <w:rsid w:val="227B00D6"/>
    <w:rsid w:val="22AF4D3A"/>
    <w:rsid w:val="22CD6F6E"/>
    <w:rsid w:val="22E9116B"/>
    <w:rsid w:val="231C474A"/>
    <w:rsid w:val="23301C0E"/>
    <w:rsid w:val="23571659"/>
    <w:rsid w:val="23BF71FF"/>
    <w:rsid w:val="23C9361F"/>
    <w:rsid w:val="23CE11F0"/>
    <w:rsid w:val="23DB7127"/>
    <w:rsid w:val="23EF317C"/>
    <w:rsid w:val="24283AF2"/>
    <w:rsid w:val="2432660E"/>
    <w:rsid w:val="2436693F"/>
    <w:rsid w:val="24521E21"/>
    <w:rsid w:val="248E4B52"/>
    <w:rsid w:val="249F1B35"/>
    <w:rsid w:val="24A37065"/>
    <w:rsid w:val="24D25F21"/>
    <w:rsid w:val="24EF141E"/>
    <w:rsid w:val="24F1163A"/>
    <w:rsid w:val="24F66E82"/>
    <w:rsid w:val="250C1FD0"/>
    <w:rsid w:val="25641E0C"/>
    <w:rsid w:val="256E2C8A"/>
    <w:rsid w:val="25920446"/>
    <w:rsid w:val="25A64EFF"/>
    <w:rsid w:val="25AC5561"/>
    <w:rsid w:val="25B37C68"/>
    <w:rsid w:val="25D76031"/>
    <w:rsid w:val="261F20D3"/>
    <w:rsid w:val="261F5D33"/>
    <w:rsid w:val="2662456A"/>
    <w:rsid w:val="26630315"/>
    <w:rsid w:val="267C4F33"/>
    <w:rsid w:val="26C1503C"/>
    <w:rsid w:val="26DF2D04"/>
    <w:rsid w:val="27017E48"/>
    <w:rsid w:val="27171748"/>
    <w:rsid w:val="27252BF1"/>
    <w:rsid w:val="273A1E72"/>
    <w:rsid w:val="273E668C"/>
    <w:rsid w:val="27710810"/>
    <w:rsid w:val="27755C5D"/>
    <w:rsid w:val="27B571D5"/>
    <w:rsid w:val="27D019DA"/>
    <w:rsid w:val="27F84A8D"/>
    <w:rsid w:val="27FA4CB1"/>
    <w:rsid w:val="283F26BC"/>
    <w:rsid w:val="28520641"/>
    <w:rsid w:val="286F2FA1"/>
    <w:rsid w:val="287429E9"/>
    <w:rsid w:val="288F53F1"/>
    <w:rsid w:val="28A569C3"/>
    <w:rsid w:val="290D27BA"/>
    <w:rsid w:val="29325D7D"/>
    <w:rsid w:val="29763EBB"/>
    <w:rsid w:val="29A24CB1"/>
    <w:rsid w:val="2A503418"/>
    <w:rsid w:val="2A8B7DB4"/>
    <w:rsid w:val="2A927BE8"/>
    <w:rsid w:val="2AA37D0F"/>
    <w:rsid w:val="2AAF3420"/>
    <w:rsid w:val="2AB253C7"/>
    <w:rsid w:val="2ABC600B"/>
    <w:rsid w:val="2B073965"/>
    <w:rsid w:val="2B0E66FC"/>
    <w:rsid w:val="2B5215A8"/>
    <w:rsid w:val="2B612949"/>
    <w:rsid w:val="2B7370B4"/>
    <w:rsid w:val="2B91322F"/>
    <w:rsid w:val="2B97636B"/>
    <w:rsid w:val="2BC10C82"/>
    <w:rsid w:val="2BCA34A5"/>
    <w:rsid w:val="2C2960C4"/>
    <w:rsid w:val="2C332458"/>
    <w:rsid w:val="2C46226B"/>
    <w:rsid w:val="2C4A0E2B"/>
    <w:rsid w:val="2CBA67B5"/>
    <w:rsid w:val="2CE836AE"/>
    <w:rsid w:val="2CEE645F"/>
    <w:rsid w:val="2D1521A2"/>
    <w:rsid w:val="2D2229BB"/>
    <w:rsid w:val="2D2B320F"/>
    <w:rsid w:val="2D3E1194"/>
    <w:rsid w:val="2D517119"/>
    <w:rsid w:val="2D630BFB"/>
    <w:rsid w:val="2D8B2724"/>
    <w:rsid w:val="2DBE543C"/>
    <w:rsid w:val="2DF16206"/>
    <w:rsid w:val="2DF31F7F"/>
    <w:rsid w:val="2DF6381D"/>
    <w:rsid w:val="2E1915DC"/>
    <w:rsid w:val="2E1A575D"/>
    <w:rsid w:val="2E562804"/>
    <w:rsid w:val="2E7A61FC"/>
    <w:rsid w:val="2E982B26"/>
    <w:rsid w:val="2EB22669"/>
    <w:rsid w:val="2EC85A76"/>
    <w:rsid w:val="2EF824B7"/>
    <w:rsid w:val="2F0361F1"/>
    <w:rsid w:val="2F10090E"/>
    <w:rsid w:val="2F124686"/>
    <w:rsid w:val="2F126434"/>
    <w:rsid w:val="2F2C7670"/>
    <w:rsid w:val="2F3332A1"/>
    <w:rsid w:val="2F3344B0"/>
    <w:rsid w:val="2F34284F"/>
    <w:rsid w:val="2F394CAA"/>
    <w:rsid w:val="2F69448A"/>
    <w:rsid w:val="2FDA5A18"/>
    <w:rsid w:val="2FF24251"/>
    <w:rsid w:val="300F0BC6"/>
    <w:rsid w:val="30110DCE"/>
    <w:rsid w:val="304D3C22"/>
    <w:rsid w:val="305B43A6"/>
    <w:rsid w:val="308F6103"/>
    <w:rsid w:val="309061AB"/>
    <w:rsid w:val="30A27C8C"/>
    <w:rsid w:val="30B57283"/>
    <w:rsid w:val="30BE59A6"/>
    <w:rsid w:val="30C72C5E"/>
    <w:rsid w:val="30E948EC"/>
    <w:rsid w:val="31085D41"/>
    <w:rsid w:val="314D5E4A"/>
    <w:rsid w:val="31613317"/>
    <w:rsid w:val="317C04DD"/>
    <w:rsid w:val="31CF3CF6"/>
    <w:rsid w:val="31DD7B84"/>
    <w:rsid w:val="3213099D"/>
    <w:rsid w:val="324D08CC"/>
    <w:rsid w:val="32A45F3D"/>
    <w:rsid w:val="32DF0F1A"/>
    <w:rsid w:val="33162ABC"/>
    <w:rsid w:val="33204254"/>
    <w:rsid w:val="33254E11"/>
    <w:rsid w:val="332E1CAB"/>
    <w:rsid w:val="3337593A"/>
    <w:rsid w:val="33435756"/>
    <w:rsid w:val="336E3E55"/>
    <w:rsid w:val="339C6C14"/>
    <w:rsid w:val="33FB393B"/>
    <w:rsid w:val="34313801"/>
    <w:rsid w:val="345474EF"/>
    <w:rsid w:val="34AF499F"/>
    <w:rsid w:val="34D55B85"/>
    <w:rsid w:val="34D81ECE"/>
    <w:rsid w:val="35004F81"/>
    <w:rsid w:val="353D61D5"/>
    <w:rsid w:val="357853FC"/>
    <w:rsid w:val="357A3236"/>
    <w:rsid w:val="358C11EE"/>
    <w:rsid w:val="358D0F0B"/>
    <w:rsid w:val="35CC1C67"/>
    <w:rsid w:val="35FE2BEE"/>
    <w:rsid w:val="36050167"/>
    <w:rsid w:val="36162CAE"/>
    <w:rsid w:val="36170DCE"/>
    <w:rsid w:val="3643781B"/>
    <w:rsid w:val="36484E32"/>
    <w:rsid w:val="36496FA8"/>
    <w:rsid w:val="364E3005"/>
    <w:rsid w:val="36696F60"/>
    <w:rsid w:val="368E1785"/>
    <w:rsid w:val="369E570E"/>
    <w:rsid w:val="36BF3346"/>
    <w:rsid w:val="36C73FA8"/>
    <w:rsid w:val="36F079A3"/>
    <w:rsid w:val="37272C99"/>
    <w:rsid w:val="37337890"/>
    <w:rsid w:val="375810A4"/>
    <w:rsid w:val="37797999"/>
    <w:rsid w:val="377B7BA2"/>
    <w:rsid w:val="37911A70"/>
    <w:rsid w:val="37B02C8E"/>
    <w:rsid w:val="37E77102"/>
    <w:rsid w:val="37F214F9"/>
    <w:rsid w:val="380F443E"/>
    <w:rsid w:val="381008BF"/>
    <w:rsid w:val="3851370F"/>
    <w:rsid w:val="388C7957"/>
    <w:rsid w:val="38B92017"/>
    <w:rsid w:val="38C8225A"/>
    <w:rsid w:val="38CE5AC2"/>
    <w:rsid w:val="38DB3D3B"/>
    <w:rsid w:val="39477622"/>
    <w:rsid w:val="394E6C03"/>
    <w:rsid w:val="39567866"/>
    <w:rsid w:val="39D0586A"/>
    <w:rsid w:val="39F74554"/>
    <w:rsid w:val="3A2A39FB"/>
    <w:rsid w:val="3A3E6C77"/>
    <w:rsid w:val="3A540249"/>
    <w:rsid w:val="3A604BA7"/>
    <w:rsid w:val="3AB94550"/>
    <w:rsid w:val="3AC54CA3"/>
    <w:rsid w:val="3ACA22B9"/>
    <w:rsid w:val="3AE570F3"/>
    <w:rsid w:val="3B1654FE"/>
    <w:rsid w:val="3B304BCD"/>
    <w:rsid w:val="3B970148"/>
    <w:rsid w:val="3BB16FD5"/>
    <w:rsid w:val="3BF84C04"/>
    <w:rsid w:val="3BF90881"/>
    <w:rsid w:val="3BFA4E20"/>
    <w:rsid w:val="3C291261"/>
    <w:rsid w:val="3C5502A8"/>
    <w:rsid w:val="3C7A75B4"/>
    <w:rsid w:val="3CDF328E"/>
    <w:rsid w:val="3D0C6BB9"/>
    <w:rsid w:val="3D207074"/>
    <w:rsid w:val="3D361E88"/>
    <w:rsid w:val="3D7D3E30"/>
    <w:rsid w:val="3D7F382F"/>
    <w:rsid w:val="3D920CCA"/>
    <w:rsid w:val="3D962926"/>
    <w:rsid w:val="3DA52B6A"/>
    <w:rsid w:val="3DB77F10"/>
    <w:rsid w:val="3DCC2579"/>
    <w:rsid w:val="3DFA3744"/>
    <w:rsid w:val="3E2B7513"/>
    <w:rsid w:val="3E3124C2"/>
    <w:rsid w:val="3E6622F9"/>
    <w:rsid w:val="3E6A003B"/>
    <w:rsid w:val="3E80785E"/>
    <w:rsid w:val="3E9E7CE5"/>
    <w:rsid w:val="3EA4175A"/>
    <w:rsid w:val="3EB67CF6"/>
    <w:rsid w:val="3EE17BD1"/>
    <w:rsid w:val="3F12422F"/>
    <w:rsid w:val="3F2815BD"/>
    <w:rsid w:val="3F966C0E"/>
    <w:rsid w:val="3FBF6165"/>
    <w:rsid w:val="3FC75019"/>
    <w:rsid w:val="3FE204E3"/>
    <w:rsid w:val="401136E6"/>
    <w:rsid w:val="4037219F"/>
    <w:rsid w:val="40442B0E"/>
    <w:rsid w:val="40490DFC"/>
    <w:rsid w:val="40491ED2"/>
    <w:rsid w:val="406B3BF6"/>
    <w:rsid w:val="4075000D"/>
    <w:rsid w:val="40787E17"/>
    <w:rsid w:val="40C818EC"/>
    <w:rsid w:val="41110C42"/>
    <w:rsid w:val="41120083"/>
    <w:rsid w:val="411A73CB"/>
    <w:rsid w:val="412243D8"/>
    <w:rsid w:val="41262A38"/>
    <w:rsid w:val="41270465"/>
    <w:rsid w:val="41271A71"/>
    <w:rsid w:val="41673C9E"/>
    <w:rsid w:val="417E7959"/>
    <w:rsid w:val="41894C7C"/>
    <w:rsid w:val="41B4781F"/>
    <w:rsid w:val="41DA7286"/>
    <w:rsid w:val="41E9396D"/>
    <w:rsid w:val="420324D5"/>
    <w:rsid w:val="42075BA1"/>
    <w:rsid w:val="42224789"/>
    <w:rsid w:val="423050F8"/>
    <w:rsid w:val="4250000A"/>
    <w:rsid w:val="426D00FA"/>
    <w:rsid w:val="42701998"/>
    <w:rsid w:val="42725710"/>
    <w:rsid w:val="42771AE2"/>
    <w:rsid w:val="43252176"/>
    <w:rsid w:val="434122C3"/>
    <w:rsid w:val="43485F3B"/>
    <w:rsid w:val="43DB451C"/>
    <w:rsid w:val="44134CD1"/>
    <w:rsid w:val="44216D7F"/>
    <w:rsid w:val="4453331F"/>
    <w:rsid w:val="44607740"/>
    <w:rsid w:val="44AD6ED3"/>
    <w:rsid w:val="44D77AAC"/>
    <w:rsid w:val="44F87A23"/>
    <w:rsid w:val="4521341D"/>
    <w:rsid w:val="4541761C"/>
    <w:rsid w:val="45611A6C"/>
    <w:rsid w:val="45682DFA"/>
    <w:rsid w:val="456B6447"/>
    <w:rsid w:val="45783434"/>
    <w:rsid w:val="45BB117C"/>
    <w:rsid w:val="45C02C36"/>
    <w:rsid w:val="46326F64"/>
    <w:rsid w:val="463D7DE3"/>
    <w:rsid w:val="464B69A4"/>
    <w:rsid w:val="464C207C"/>
    <w:rsid w:val="46853538"/>
    <w:rsid w:val="46932793"/>
    <w:rsid w:val="46BA7686"/>
    <w:rsid w:val="46D06EA9"/>
    <w:rsid w:val="47086FE0"/>
    <w:rsid w:val="471054F8"/>
    <w:rsid w:val="47136D96"/>
    <w:rsid w:val="47203215"/>
    <w:rsid w:val="474D674C"/>
    <w:rsid w:val="47613FA5"/>
    <w:rsid w:val="476F2A57"/>
    <w:rsid w:val="477A0BC3"/>
    <w:rsid w:val="477C1F42"/>
    <w:rsid w:val="47800492"/>
    <w:rsid w:val="47842D5B"/>
    <w:rsid w:val="479A3013"/>
    <w:rsid w:val="47D66D39"/>
    <w:rsid w:val="47FC2B0F"/>
    <w:rsid w:val="481C1C7A"/>
    <w:rsid w:val="482053B1"/>
    <w:rsid w:val="484F02A2"/>
    <w:rsid w:val="486347EA"/>
    <w:rsid w:val="48A445B3"/>
    <w:rsid w:val="4910358D"/>
    <w:rsid w:val="493035E5"/>
    <w:rsid w:val="49342FDF"/>
    <w:rsid w:val="49667651"/>
    <w:rsid w:val="49A5461D"/>
    <w:rsid w:val="49C1019E"/>
    <w:rsid w:val="49CB3958"/>
    <w:rsid w:val="4A003601"/>
    <w:rsid w:val="4A580CCA"/>
    <w:rsid w:val="4A590F64"/>
    <w:rsid w:val="4A7C5457"/>
    <w:rsid w:val="4A8204BA"/>
    <w:rsid w:val="4B1563B9"/>
    <w:rsid w:val="4B1D3440"/>
    <w:rsid w:val="4B3F63AB"/>
    <w:rsid w:val="4B8E2E8F"/>
    <w:rsid w:val="4BB35D0A"/>
    <w:rsid w:val="4BE34975"/>
    <w:rsid w:val="4C194E4E"/>
    <w:rsid w:val="4C1A44EC"/>
    <w:rsid w:val="4C500508"/>
    <w:rsid w:val="4C520360"/>
    <w:rsid w:val="4C8147A2"/>
    <w:rsid w:val="4C95584A"/>
    <w:rsid w:val="4CCA1AD3"/>
    <w:rsid w:val="4CE36328"/>
    <w:rsid w:val="4CFF2296"/>
    <w:rsid w:val="4D0413E0"/>
    <w:rsid w:val="4D1A11DA"/>
    <w:rsid w:val="4D2858D7"/>
    <w:rsid w:val="4D494D3E"/>
    <w:rsid w:val="4D722A68"/>
    <w:rsid w:val="4D7A191D"/>
    <w:rsid w:val="4D9010BB"/>
    <w:rsid w:val="4D911DFC"/>
    <w:rsid w:val="4DCD5EF0"/>
    <w:rsid w:val="4DCE3A17"/>
    <w:rsid w:val="4DDB783B"/>
    <w:rsid w:val="4DDF79D2"/>
    <w:rsid w:val="4DE80F7C"/>
    <w:rsid w:val="4E235B10"/>
    <w:rsid w:val="4E30022D"/>
    <w:rsid w:val="4E41068C"/>
    <w:rsid w:val="4E465CA3"/>
    <w:rsid w:val="4E7003C2"/>
    <w:rsid w:val="4E766588"/>
    <w:rsid w:val="4E8862BB"/>
    <w:rsid w:val="4E8D742E"/>
    <w:rsid w:val="4EA07161"/>
    <w:rsid w:val="4EA21CBF"/>
    <w:rsid w:val="4EEC4DAA"/>
    <w:rsid w:val="4F0144CA"/>
    <w:rsid w:val="4F264677"/>
    <w:rsid w:val="4F376868"/>
    <w:rsid w:val="4F71516B"/>
    <w:rsid w:val="4FA03191"/>
    <w:rsid w:val="4FA7451F"/>
    <w:rsid w:val="4FC6709B"/>
    <w:rsid w:val="4FD96710"/>
    <w:rsid w:val="505A5A36"/>
    <w:rsid w:val="50636D74"/>
    <w:rsid w:val="506C06CD"/>
    <w:rsid w:val="5075461D"/>
    <w:rsid w:val="50A70C7B"/>
    <w:rsid w:val="50A850A0"/>
    <w:rsid w:val="50C528BE"/>
    <w:rsid w:val="51024103"/>
    <w:rsid w:val="510323AA"/>
    <w:rsid w:val="510F05CE"/>
    <w:rsid w:val="51337344"/>
    <w:rsid w:val="51442F08"/>
    <w:rsid w:val="516E4B3D"/>
    <w:rsid w:val="51772DAD"/>
    <w:rsid w:val="518133E9"/>
    <w:rsid w:val="51844B18"/>
    <w:rsid w:val="51B178D7"/>
    <w:rsid w:val="51C92E73"/>
    <w:rsid w:val="5248023B"/>
    <w:rsid w:val="5264494A"/>
    <w:rsid w:val="529A359F"/>
    <w:rsid w:val="529F25B4"/>
    <w:rsid w:val="52BE22AC"/>
    <w:rsid w:val="52DE294E"/>
    <w:rsid w:val="52E71802"/>
    <w:rsid w:val="530D6D8F"/>
    <w:rsid w:val="531243A6"/>
    <w:rsid w:val="532176C4"/>
    <w:rsid w:val="53512C9C"/>
    <w:rsid w:val="53596CB5"/>
    <w:rsid w:val="53634C01"/>
    <w:rsid w:val="538B4884"/>
    <w:rsid w:val="53BB4A3D"/>
    <w:rsid w:val="53C02053"/>
    <w:rsid w:val="53E126F6"/>
    <w:rsid w:val="53F2413E"/>
    <w:rsid w:val="53F65A75"/>
    <w:rsid w:val="54080B34"/>
    <w:rsid w:val="540E7263"/>
    <w:rsid w:val="5422686A"/>
    <w:rsid w:val="543720C2"/>
    <w:rsid w:val="544955AA"/>
    <w:rsid w:val="544F687F"/>
    <w:rsid w:val="545A6004"/>
    <w:rsid w:val="54651615"/>
    <w:rsid w:val="548077A8"/>
    <w:rsid w:val="54A808C1"/>
    <w:rsid w:val="54AF23B1"/>
    <w:rsid w:val="54BB3E62"/>
    <w:rsid w:val="54FC50AE"/>
    <w:rsid w:val="55026C69"/>
    <w:rsid w:val="55344AA7"/>
    <w:rsid w:val="55366A71"/>
    <w:rsid w:val="55452810"/>
    <w:rsid w:val="55482300"/>
    <w:rsid w:val="55A26522"/>
    <w:rsid w:val="55EB160A"/>
    <w:rsid w:val="55F45FE4"/>
    <w:rsid w:val="560F07A7"/>
    <w:rsid w:val="56204D1B"/>
    <w:rsid w:val="562266A0"/>
    <w:rsid w:val="562721BA"/>
    <w:rsid w:val="5641747C"/>
    <w:rsid w:val="565E52DC"/>
    <w:rsid w:val="566413BC"/>
    <w:rsid w:val="568E01E7"/>
    <w:rsid w:val="5698404A"/>
    <w:rsid w:val="56B51C18"/>
    <w:rsid w:val="56CB4F97"/>
    <w:rsid w:val="56D06A51"/>
    <w:rsid w:val="573568B4"/>
    <w:rsid w:val="57617EC6"/>
    <w:rsid w:val="57727B09"/>
    <w:rsid w:val="57833AC4"/>
    <w:rsid w:val="57890470"/>
    <w:rsid w:val="57A001D2"/>
    <w:rsid w:val="57AC6B77"/>
    <w:rsid w:val="57D4431F"/>
    <w:rsid w:val="57FB7AFE"/>
    <w:rsid w:val="58030761"/>
    <w:rsid w:val="582E1C82"/>
    <w:rsid w:val="58360681"/>
    <w:rsid w:val="58657885"/>
    <w:rsid w:val="58664D94"/>
    <w:rsid w:val="588309AA"/>
    <w:rsid w:val="58937D37"/>
    <w:rsid w:val="5896066E"/>
    <w:rsid w:val="58C12AF6"/>
    <w:rsid w:val="58FA1B64"/>
    <w:rsid w:val="590429E2"/>
    <w:rsid w:val="59423307"/>
    <w:rsid w:val="595E20F3"/>
    <w:rsid w:val="5979517E"/>
    <w:rsid w:val="59F111B9"/>
    <w:rsid w:val="59FC01B8"/>
    <w:rsid w:val="59FE221F"/>
    <w:rsid w:val="5A001125"/>
    <w:rsid w:val="5A405C9C"/>
    <w:rsid w:val="5A7616BE"/>
    <w:rsid w:val="5A931906"/>
    <w:rsid w:val="5A952B30"/>
    <w:rsid w:val="5AA87D56"/>
    <w:rsid w:val="5AB81CD6"/>
    <w:rsid w:val="5B182775"/>
    <w:rsid w:val="5B44356A"/>
    <w:rsid w:val="5B461090"/>
    <w:rsid w:val="5B492EFB"/>
    <w:rsid w:val="5B6D30B8"/>
    <w:rsid w:val="5BD13050"/>
    <w:rsid w:val="5BE2022E"/>
    <w:rsid w:val="5BF516D0"/>
    <w:rsid w:val="5BF879BC"/>
    <w:rsid w:val="5C0D20F1"/>
    <w:rsid w:val="5C227DB8"/>
    <w:rsid w:val="5D246604"/>
    <w:rsid w:val="5D465377"/>
    <w:rsid w:val="5DA76262"/>
    <w:rsid w:val="5DB744C7"/>
    <w:rsid w:val="5E306AE0"/>
    <w:rsid w:val="5E451E99"/>
    <w:rsid w:val="5EAC3900"/>
    <w:rsid w:val="5ED5133B"/>
    <w:rsid w:val="5EF84D97"/>
    <w:rsid w:val="5EFF44FB"/>
    <w:rsid w:val="5F4E1D54"/>
    <w:rsid w:val="5F750196"/>
    <w:rsid w:val="5FA12D39"/>
    <w:rsid w:val="5FAA1D8F"/>
    <w:rsid w:val="5FD53D86"/>
    <w:rsid w:val="600B7719"/>
    <w:rsid w:val="60820DBC"/>
    <w:rsid w:val="60BA0828"/>
    <w:rsid w:val="60C347F3"/>
    <w:rsid w:val="60CB4DDA"/>
    <w:rsid w:val="60D40EEC"/>
    <w:rsid w:val="60EA1828"/>
    <w:rsid w:val="61096DE8"/>
    <w:rsid w:val="611759A9"/>
    <w:rsid w:val="612158E8"/>
    <w:rsid w:val="61446072"/>
    <w:rsid w:val="615A5895"/>
    <w:rsid w:val="616B7AA3"/>
    <w:rsid w:val="61E00141"/>
    <w:rsid w:val="61E2640F"/>
    <w:rsid w:val="61F05FE3"/>
    <w:rsid w:val="62037EB8"/>
    <w:rsid w:val="620519A8"/>
    <w:rsid w:val="6220088D"/>
    <w:rsid w:val="624D27B1"/>
    <w:rsid w:val="625048C9"/>
    <w:rsid w:val="629B6165"/>
    <w:rsid w:val="62AE431E"/>
    <w:rsid w:val="62BE4819"/>
    <w:rsid w:val="62D82F16"/>
    <w:rsid w:val="62EC076F"/>
    <w:rsid w:val="6311467A"/>
    <w:rsid w:val="63506F50"/>
    <w:rsid w:val="63A454EE"/>
    <w:rsid w:val="63BD54D6"/>
    <w:rsid w:val="640F6E0B"/>
    <w:rsid w:val="64156FE8"/>
    <w:rsid w:val="64264C51"/>
    <w:rsid w:val="64340620"/>
    <w:rsid w:val="644A7E43"/>
    <w:rsid w:val="64794284"/>
    <w:rsid w:val="648207C9"/>
    <w:rsid w:val="64D70FAB"/>
    <w:rsid w:val="64F8789F"/>
    <w:rsid w:val="65312DB1"/>
    <w:rsid w:val="65393A14"/>
    <w:rsid w:val="653D5C48"/>
    <w:rsid w:val="655D7702"/>
    <w:rsid w:val="65E03706"/>
    <w:rsid w:val="66011AC8"/>
    <w:rsid w:val="662B6812"/>
    <w:rsid w:val="66304E17"/>
    <w:rsid w:val="6638119F"/>
    <w:rsid w:val="66560D21"/>
    <w:rsid w:val="66AA2E1B"/>
    <w:rsid w:val="66BC48FC"/>
    <w:rsid w:val="66C8717E"/>
    <w:rsid w:val="66D439F4"/>
    <w:rsid w:val="66D90EE7"/>
    <w:rsid w:val="66F422E8"/>
    <w:rsid w:val="671367FA"/>
    <w:rsid w:val="672450A0"/>
    <w:rsid w:val="673D3C8F"/>
    <w:rsid w:val="6742568B"/>
    <w:rsid w:val="6750039A"/>
    <w:rsid w:val="676F7BC1"/>
    <w:rsid w:val="67713939"/>
    <w:rsid w:val="678278F4"/>
    <w:rsid w:val="67B04660"/>
    <w:rsid w:val="67C41CBB"/>
    <w:rsid w:val="683B5501"/>
    <w:rsid w:val="683D13F8"/>
    <w:rsid w:val="68425320"/>
    <w:rsid w:val="6844104D"/>
    <w:rsid w:val="685F4832"/>
    <w:rsid w:val="689C525F"/>
    <w:rsid w:val="68AB7CFA"/>
    <w:rsid w:val="68D51CA5"/>
    <w:rsid w:val="68EB3277"/>
    <w:rsid w:val="691E6C13"/>
    <w:rsid w:val="695D5F23"/>
    <w:rsid w:val="69763A89"/>
    <w:rsid w:val="69913E34"/>
    <w:rsid w:val="69D16911"/>
    <w:rsid w:val="69EA26B3"/>
    <w:rsid w:val="6A3641D0"/>
    <w:rsid w:val="6A745C1A"/>
    <w:rsid w:val="6A8E035E"/>
    <w:rsid w:val="6A9E646F"/>
    <w:rsid w:val="6AB42B03"/>
    <w:rsid w:val="6ACB7804"/>
    <w:rsid w:val="6ACE4BFE"/>
    <w:rsid w:val="6B056141"/>
    <w:rsid w:val="6B086362"/>
    <w:rsid w:val="6B1C1E0E"/>
    <w:rsid w:val="6B223E7B"/>
    <w:rsid w:val="6B2A0087"/>
    <w:rsid w:val="6B2B298A"/>
    <w:rsid w:val="6B324802"/>
    <w:rsid w:val="6B3D3F98"/>
    <w:rsid w:val="6B447E95"/>
    <w:rsid w:val="6B56531F"/>
    <w:rsid w:val="6B5E3407"/>
    <w:rsid w:val="6B640EB3"/>
    <w:rsid w:val="6B785296"/>
    <w:rsid w:val="6B7B5C84"/>
    <w:rsid w:val="6B845971"/>
    <w:rsid w:val="6BB81FCA"/>
    <w:rsid w:val="6C1A07EA"/>
    <w:rsid w:val="6C1E1B20"/>
    <w:rsid w:val="6C501D6F"/>
    <w:rsid w:val="6C635F46"/>
    <w:rsid w:val="6C97174C"/>
    <w:rsid w:val="6C9D2ADA"/>
    <w:rsid w:val="6CB247D7"/>
    <w:rsid w:val="6CBC7404"/>
    <w:rsid w:val="6CE81FA7"/>
    <w:rsid w:val="6CED50B2"/>
    <w:rsid w:val="6CF6233D"/>
    <w:rsid w:val="6D317FC8"/>
    <w:rsid w:val="6D4F0D5B"/>
    <w:rsid w:val="6D655CEE"/>
    <w:rsid w:val="6D77332B"/>
    <w:rsid w:val="6D7970A3"/>
    <w:rsid w:val="6DAE6FA9"/>
    <w:rsid w:val="6DB30807"/>
    <w:rsid w:val="6DC522E8"/>
    <w:rsid w:val="6DC81DD9"/>
    <w:rsid w:val="6DDC0C46"/>
    <w:rsid w:val="6DF14896"/>
    <w:rsid w:val="6E0C6AE1"/>
    <w:rsid w:val="6E0D53D2"/>
    <w:rsid w:val="6E22598D"/>
    <w:rsid w:val="6E2A65EF"/>
    <w:rsid w:val="6E3F6B3B"/>
    <w:rsid w:val="6E5B2C4D"/>
    <w:rsid w:val="6E775CD9"/>
    <w:rsid w:val="6E8E4DD0"/>
    <w:rsid w:val="6EE3511C"/>
    <w:rsid w:val="6F2614AD"/>
    <w:rsid w:val="6F6873CF"/>
    <w:rsid w:val="6F8B1310"/>
    <w:rsid w:val="6F9603E0"/>
    <w:rsid w:val="6FAB550E"/>
    <w:rsid w:val="6FD678C6"/>
    <w:rsid w:val="6FEF4EC0"/>
    <w:rsid w:val="6FFD045F"/>
    <w:rsid w:val="7040660E"/>
    <w:rsid w:val="7053007F"/>
    <w:rsid w:val="705362D1"/>
    <w:rsid w:val="706C7393"/>
    <w:rsid w:val="70731390"/>
    <w:rsid w:val="70875F7B"/>
    <w:rsid w:val="709C07EF"/>
    <w:rsid w:val="70D72A5F"/>
    <w:rsid w:val="71100A64"/>
    <w:rsid w:val="711F4406"/>
    <w:rsid w:val="714432CD"/>
    <w:rsid w:val="71972B8A"/>
    <w:rsid w:val="71F82070"/>
    <w:rsid w:val="71FC02A3"/>
    <w:rsid w:val="724A3704"/>
    <w:rsid w:val="725F5206"/>
    <w:rsid w:val="728D7D7F"/>
    <w:rsid w:val="72930C07"/>
    <w:rsid w:val="72BA2638"/>
    <w:rsid w:val="72E71B23"/>
    <w:rsid w:val="72E86D7C"/>
    <w:rsid w:val="72F01BB6"/>
    <w:rsid w:val="72FC67AC"/>
    <w:rsid w:val="732B0E40"/>
    <w:rsid w:val="7366631C"/>
    <w:rsid w:val="738135F3"/>
    <w:rsid w:val="7387613C"/>
    <w:rsid w:val="739369E5"/>
    <w:rsid w:val="73A330CC"/>
    <w:rsid w:val="73C27107"/>
    <w:rsid w:val="73D254A6"/>
    <w:rsid w:val="73E6120B"/>
    <w:rsid w:val="73EB05CF"/>
    <w:rsid w:val="74597C2E"/>
    <w:rsid w:val="747D09F7"/>
    <w:rsid w:val="754432E6"/>
    <w:rsid w:val="75630D65"/>
    <w:rsid w:val="75920357"/>
    <w:rsid w:val="759A0222"/>
    <w:rsid w:val="75A849CA"/>
    <w:rsid w:val="760836BA"/>
    <w:rsid w:val="76164029"/>
    <w:rsid w:val="762F0C47"/>
    <w:rsid w:val="763C3364"/>
    <w:rsid w:val="764C17F9"/>
    <w:rsid w:val="7657019E"/>
    <w:rsid w:val="768E0063"/>
    <w:rsid w:val="76A87455"/>
    <w:rsid w:val="76AC2297"/>
    <w:rsid w:val="76AE39FE"/>
    <w:rsid w:val="76B37ACA"/>
    <w:rsid w:val="76BF021D"/>
    <w:rsid w:val="76C256EA"/>
    <w:rsid w:val="76DA5057"/>
    <w:rsid w:val="76EE6D95"/>
    <w:rsid w:val="77336515"/>
    <w:rsid w:val="775B5A6C"/>
    <w:rsid w:val="77795190"/>
    <w:rsid w:val="777C2F1C"/>
    <w:rsid w:val="77844CF4"/>
    <w:rsid w:val="779D6B2F"/>
    <w:rsid w:val="779E42D6"/>
    <w:rsid w:val="77BE04D4"/>
    <w:rsid w:val="78364FB1"/>
    <w:rsid w:val="7841279A"/>
    <w:rsid w:val="78482B74"/>
    <w:rsid w:val="786A065C"/>
    <w:rsid w:val="787C7E00"/>
    <w:rsid w:val="7881788F"/>
    <w:rsid w:val="788D4776"/>
    <w:rsid w:val="78B046DF"/>
    <w:rsid w:val="78C25DA2"/>
    <w:rsid w:val="78C7785D"/>
    <w:rsid w:val="78EE4DE9"/>
    <w:rsid w:val="7900769E"/>
    <w:rsid w:val="790C1713"/>
    <w:rsid w:val="790C2CDA"/>
    <w:rsid w:val="791B54B2"/>
    <w:rsid w:val="79ED50A1"/>
    <w:rsid w:val="7A867226"/>
    <w:rsid w:val="7A9E459F"/>
    <w:rsid w:val="7AEF309B"/>
    <w:rsid w:val="7B242D44"/>
    <w:rsid w:val="7B31720F"/>
    <w:rsid w:val="7B362A78"/>
    <w:rsid w:val="7B92225E"/>
    <w:rsid w:val="7BB75966"/>
    <w:rsid w:val="7BBD5E84"/>
    <w:rsid w:val="7BC168A4"/>
    <w:rsid w:val="7BFC781D"/>
    <w:rsid w:val="7C015A00"/>
    <w:rsid w:val="7C06244A"/>
    <w:rsid w:val="7C10151B"/>
    <w:rsid w:val="7C4411C4"/>
    <w:rsid w:val="7C9A0DE4"/>
    <w:rsid w:val="7CD30CA4"/>
    <w:rsid w:val="7CF84488"/>
    <w:rsid w:val="7D3E3BC6"/>
    <w:rsid w:val="7DA939D5"/>
    <w:rsid w:val="7DC26CE5"/>
    <w:rsid w:val="7DC91981"/>
    <w:rsid w:val="7DCA5D6D"/>
    <w:rsid w:val="7DE727A4"/>
    <w:rsid w:val="7E046E5D"/>
    <w:rsid w:val="7E0A340A"/>
    <w:rsid w:val="7E2B43EA"/>
    <w:rsid w:val="7E394D59"/>
    <w:rsid w:val="7E5F22E5"/>
    <w:rsid w:val="7EF66883"/>
    <w:rsid w:val="7EFF7A60"/>
    <w:rsid w:val="7F285A27"/>
    <w:rsid w:val="7F2C0419"/>
    <w:rsid w:val="7F625BE9"/>
    <w:rsid w:val="7F636DB2"/>
    <w:rsid w:val="7F737D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3"/>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qFormat/>
    <w:uiPriority w:val="99"/>
    <w:pPr>
      <w:keepNext/>
      <w:keepLines/>
      <w:numPr>
        <w:ilvl w:val="1"/>
        <w:numId w:val="1"/>
      </w:numPr>
      <w:spacing w:before="260" w:after="260" w:line="480" w:lineRule="exact"/>
      <w:jc w:val="center"/>
      <w:outlineLvl w:val="1"/>
    </w:pPr>
    <w:rPr>
      <w:rFonts w:ascii="宋体" w:hAnsi="宋体" w:eastAsia="黑体"/>
      <w:bCs/>
      <w:i/>
      <w:iCs/>
      <w:sz w:val="24"/>
    </w:rPr>
  </w:style>
  <w:style w:type="paragraph" w:styleId="5">
    <w:name w:val="heading 3"/>
    <w:basedOn w:val="1"/>
    <w:next w:val="1"/>
    <w:qFormat/>
    <w:uiPriority w:val="0"/>
    <w:pPr>
      <w:keepNext/>
      <w:keepLines/>
      <w:spacing w:before="50" w:beforeLines="50" w:after="50" w:afterLines="50" w:line="360" w:lineRule="auto"/>
      <w:ind w:firstLine="0" w:firstLineChars="0"/>
      <w:outlineLvl w:val="2"/>
    </w:pPr>
    <w:rPr>
      <w:b/>
      <w:bCs/>
      <w:szCs w:val="32"/>
    </w:rPr>
  </w:style>
  <w:style w:type="paragraph" w:styleId="2">
    <w:name w:val="heading 4"/>
    <w:basedOn w:val="1"/>
    <w:next w:val="1"/>
    <w:qFormat/>
    <w:uiPriority w:val="99"/>
    <w:pPr>
      <w:keepNext/>
      <w:suppressLineNumbers/>
      <w:tabs>
        <w:tab w:val="left" w:pos="2410"/>
      </w:tabs>
      <w:spacing w:before="300"/>
      <w:outlineLvl w:val="3"/>
    </w:pPr>
    <w:rPr>
      <w:rFonts w:ascii="Helvetica" w:hAnsi="Helvetica"/>
      <w:color w:val="008080"/>
      <w:sz w:val="24"/>
      <w:lang w:val="en-US" w:eastAsia="en-US" w:bidi="ar-SA"/>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6">
    <w:name w:val="Normal Indent"/>
    <w:basedOn w:val="1"/>
    <w:next w:val="7"/>
    <w:qFormat/>
    <w:uiPriority w:val="0"/>
    <w:pPr>
      <w:ind w:firstLine="420" w:firstLineChars="200"/>
    </w:pPr>
  </w:style>
  <w:style w:type="paragraph" w:customStyle="1" w:styleId="7">
    <w:name w:val="toc 21"/>
    <w:next w:val="1"/>
    <w:qFormat/>
    <w:uiPriority w:val="0"/>
    <w:pPr>
      <w:wordWrap w:val="0"/>
      <w:ind w:left="425"/>
      <w:jc w:val="both"/>
    </w:pPr>
    <w:rPr>
      <w:rFonts w:ascii="Times New Roman" w:hAnsi="Times New Roman" w:eastAsia="宋体" w:cs="Times New Roman"/>
      <w:sz w:val="21"/>
      <w:lang w:val="en-US" w:eastAsia="zh-CN" w:bidi="ar-SA"/>
    </w:rPr>
  </w:style>
  <w:style w:type="paragraph" w:styleId="8">
    <w:name w:val="annotation text"/>
    <w:basedOn w:val="1"/>
    <w:qFormat/>
    <w:uiPriority w:val="0"/>
    <w:pPr>
      <w:jc w:val="left"/>
    </w:pPr>
  </w:style>
  <w:style w:type="paragraph" w:styleId="9">
    <w:name w:val="Body Text 3"/>
    <w:basedOn w:val="1"/>
    <w:unhideWhenUsed/>
    <w:qFormat/>
    <w:uiPriority w:val="99"/>
    <w:pPr>
      <w:autoSpaceDE w:val="0"/>
      <w:autoSpaceDN w:val="0"/>
      <w:adjustRightInd w:val="0"/>
      <w:spacing w:line="400" w:lineRule="exact"/>
      <w:ind w:right="6"/>
      <w:jc w:val="center"/>
    </w:pPr>
    <w:rPr>
      <w:rFonts w:ascii="Arial" w:hAnsi="Arial" w:cs="Arial"/>
      <w:sz w:val="21"/>
      <w:szCs w:val="21"/>
    </w:rPr>
  </w:style>
  <w:style w:type="paragraph" w:styleId="10">
    <w:name w:val="Body Text"/>
    <w:basedOn w:val="1"/>
    <w:qFormat/>
    <w:uiPriority w:val="99"/>
    <w:pPr>
      <w:spacing w:after="120" w:afterLines="0"/>
    </w:pPr>
  </w:style>
  <w:style w:type="paragraph" w:styleId="11">
    <w:name w:val="Body Text Indent"/>
    <w:basedOn w:val="1"/>
    <w:next w:val="1"/>
    <w:qFormat/>
    <w:uiPriority w:val="99"/>
    <w:pPr>
      <w:spacing w:after="120" w:afterLines="0"/>
      <w:ind w:left="420" w:leftChars="200"/>
    </w:pPr>
  </w:style>
  <w:style w:type="paragraph" w:styleId="12">
    <w:name w:val="Block Text"/>
    <w:basedOn w:val="1"/>
    <w:qFormat/>
    <w:uiPriority w:val="0"/>
    <w:pPr>
      <w:spacing w:line="360" w:lineRule="auto"/>
      <w:ind w:left="900" w:right="-239"/>
    </w:pPr>
    <w:rPr>
      <w:rFonts w:ascii="宋体" w:hAnsi="宋体"/>
      <w:color w:val="000000"/>
      <w:sz w:val="24"/>
    </w:rPr>
  </w:style>
  <w:style w:type="paragraph" w:styleId="13">
    <w:name w:val="Plain Text"/>
    <w:basedOn w:val="1"/>
    <w:next w:val="14"/>
    <w:qFormat/>
    <w:uiPriority w:val="0"/>
    <w:rPr>
      <w:rFonts w:ascii="宋体" w:hAnsi="Courier New"/>
    </w:rPr>
  </w:style>
  <w:style w:type="paragraph" w:customStyle="1" w:styleId="14">
    <w:name w:val="Default"/>
    <w:next w:val="15"/>
    <w:autoRedefine/>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5">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styleId="16">
    <w:name w:val="toc 8"/>
    <w:basedOn w:val="1"/>
    <w:next w:val="1"/>
    <w:qFormat/>
    <w:uiPriority w:val="39"/>
    <w:pPr>
      <w:ind w:left="2940" w:leftChars="1400"/>
    </w:pPr>
    <w:rPr>
      <w:szCs w:val="24"/>
    </w:rPr>
  </w:style>
  <w:style w:type="paragraph" w:styleId="17">
    <w:name w:val="endnote text"/>
    <w:basedOn w:val="1"/>
    <w:next w:val="1"/>
    <w:qFormat/>
    <w:uiPriority w:val="0"/>
    <w:pPr>
      <w:snapToGrid w:val="0"/>
      <w:jc w:val="left"/>
    </w:pPr>
    <w:rPr>
      <w:rFonts w:ascii="Times New Roman" w:hAnsi="Times New Roman"/>
      <w:szCs w:val="24"/>
    </w:rPr>
  </w:style>
  <w:style w:type="paragraph" w:styleId="18">
    <w:name w:val="footer"/>
    <w:basedOn w:val="1"/>
    <w:qFormat/>
    <w:uiPriority w:val="99"/>
    <w:pPr>
      <w:tabs>
        <w:tab w:val="center" w:pos="4153"/>
        <w:tab w:val="right" w:pos="8306"/>
      </w:tabs>
      <w:snapToGrid w:val="0"/>
      <w:jc w:val="left"/>
    </w:pPr>
    <w:rPr>
      <w:sz w:val="18"/>
      <w:szCs w:val="18"/>
    </w:rPr>
  </w:style>
  <w:style w:type="paragraph" w:styleId="19">
    <w:name w:val="header"/>
    <w:basedOn w:val="1"/>
    <w:next w:val="1"/>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rPr>
      <w:szCs w:val="24"/>
    </w:rPr>
  </w:style>
  <w:style w:type="paragraph" w:styleId="21">
    <w:name w:val="toc 4"/>
    <w:basedOn w:val="1"/>
    <w:next w:val="1"/>
    <w:semiHidden/>
    <w:qFormat/>
    <w:uiPriority w:val="0"/>
    <w:pPr>
      <w:ind w:left="630"/>
      <w:jc w:val="left"/>
    </w:pPr>
    <w:rPr>
      <w:rFonts w:ascii="Times New Roman" w:hAnsi="Times New Roman" w:cs="Times New Roman"/>
      <w:sz w:val="18"/>
      <w:szCs w:val="18"/>
    </w:rPr>
  </w:style>
  <w:style w:type="paragraph" w:styleId="22">
    <w:name w:val="Body Text 2"/>
    <w:basedOn w:val="1"/>
    <w:qFormat/>
    <w:uiPriority w:val="0"/>
    <w:pPr>
      <w:spacing w:after="120" w:afterLines="0" w:line="480" w:lineRule="auto"/>
    </w:pPr>
  </w:style>
  <w:style w:type="paragraph" w:styleId="23">
    <w:name w:val="Normal (Web)"/>
    <w:basedOn w:val="1"/>
    <w:qFormat/>
    <w:uiPriority w:val="0"/>
    <w:pPr>
      <w:widowControl/>
      <w:spacing w:before="100" w:beforeLines="0" w:beforeAutospacing="1" w:after="100" w:afterLines="0" w:afterAutospacing="1"/>
      <w:jc w:val="left"/>
    </w:pPr>
    <w:rPr>
      <w:rFonts w:ascii="宋体" w:hAnsi="宋体"/>
      <w:kern w:val="0"/>
      <w:sz w:val="24"/>
      <w:szCs w:val="24"/>
    </w:rPr>
  </w:style>
  <w:style w:type="paragraph" w:styleId="24">
    <w:name w:val="Title"/>
    <w:basedOn w:val="1"/>
    <w:next w:val="1"/>
    <w:qFormat/>
    <w:uiPriority w:val="0"/>
    <w:pPr>
      <w:spacing w:before="120" w:beforeLines="0" w:beforeAutospacing="0" w:after="120" w:afterLines="0" w:afterAutospacing="0"/>
      <w:jc w:val="center"/>
    </w:pPr>
    <w:rPr>
      <w:rFonts w:eastAsia="黑体"/>
      <w:b/>
      <w:sz w:val="32"/>
    </w:rPr>
  </w:style>
  <w:style w:type="paragraph" w:styleId="25">
    <w:name w:val="Body Text First Indent"/>
    <w:basedOn w:val="10"/>
    <w:next w:val="26"/>
    <w:qFormat/>
    <w:uiPriority w:val="0"/>
    <w:pPr>
      <w:ind w:firstLine="420"/>
    </w:pPr>
    <w:rPr>
      <w:szCs w:val="24"/>
    </w:rPr>
  </w:style>
  <w:style w:type="paragraph" w:styleId="26">
    <w:name w:val="Body Text First Indent 2"/>
    <w:basedOn w:val="11"/>
    <w:qFormat/>
    <w:uiPriority w:val="0"/>
    <w:pPr>
      <w:ind w:firstLine="420" w:firstLineChars="200"/>
    </w:pPr>
    <w:rPr>
      <w:rFonts w:cs="Mangal"/>
      <w:szCs w:val="24"/>
      <w:lang w:bidi="hi-IN"/>
    </w:rPr>
  </w:style>
  <w:style w:type="table" w:styleId="28">
    <w:name w:val="Table Grid"/>
    <w:basedOn w:val="2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paragraph" w:customStyle="1" w:styleId="31">
    <w:name w:val="无间隔1"/>
    <w:qFormat/>
    <w:uiPriority w:val="1"/>
    <w:pPr>
      <w:widowControl w:val="0"/>
    </w:pPr>
    <w:rPr>
      <w:rFonts w:ascii="Calibri" w:hAnsi="Calibri" w:eastAsia="宋体" w:cs="Times New Roman"/>
      <w:kern w:val="2"/>
      <w:sz w:val="21"/>
      <w:szCs w:val="22"/>
      <w:lang w:val="en-US" w:eastAsia="zh-CN" w:bidi="ar-SA"/>
    </w:rPr>
  </w:style>
  <w:style w:type="paragraph" w:customStyle="1" w:styleId="32">
    <w:name w:val="TOC 标题1"/>
    <w:basedOn w:val="3"/>
    <w:next w:val="1"/>
    <w:qFormat/>
    <w:uiPriority w:val="99"/>
    <w:pPr>
      <w:spacing w:before="480" w:after="0" w:line="276" w:lineRule="auto"/>
      <w:outlineLvl w:val="9"/>
    </w:pPr>
    <w:rPr>
      <w:rFonts w:ascii="仿宋" w:hAnsi="仿宋" w:eastAsia="仿宋"/>
      <w:color w:val="000000"/>
      <w:kern w:val="0"/>
      <w:szCs w:val="32"/>
    </w:rPr>
  </w:style>
  <w:style w:type="paragraph" w:customStyle="1" w:styleId="33">
    <w:name w:val="目录"/>
    <w:basedOn w:val="1"/>
    <w:qFormat/>
    <w:uiPriority w:val="0"/>
    <w:pPr>
      <w:widowControl/>
      <w:jc w:val="center"/>
    </w:pPr>
    <w:rPr>
      <w:rFonts w:ascii="宋体"/>
      <w:b/>
      <w:kern w:val="0"/>
      <w:sz w:val="36"/>
    </w:rPr>
  </w:style>
  <w:style w:type="paragraph" w:customStyle="1" w:styleId="34">
    <w:name w:val="目录文字"/>
    <w:basedOn w:val="1"/>
    <w:qFormat/>
    <w:uiPriority w:val="0"/>
    <w:pPr>
      <w:widowControl/>
      <w:spacing w:line="480" w:lineRule="auto"/>
      <w:jc w:val="left"/>
    </w:pPr>
    <w:rPr>
      <w:rFonts w:ascii="宋体" w:hAnsi="宋体"/>
      <w:kern w:val="0"/>
      <w:sz w:val="24"/>
    </w:rPr>
  </w:style>
  <w:style w:type="paragraph" w:customStyle="1" w:styleId="35">
    <w:name w:val="4"/>
    <w:basedOn w:val="1"/>
    <w:next w:val="36"/>
    <w:qFormat/>
    <w:uiPriority w:val="34"/>
    <w:pPr>
      <w:ind w:firstLine="420" w:firstLineChars="200"/>
    </w:pPr>
  </w:style>
  <w:style w:type="paragraph" w:styleId="36">
    <w:name w:val="List Paragraph"/>
    <w:basedOn w:val="1"/>
    <w:qFormat/>
    <w:uiPriority w:val="0"/>
    <w:pPr>
      <w:ind w:firstLine="420" w:firstLineChars="200"/>
    </w:pPr>
    <w:rPr>
      <w:rFonts w:ascii="Calibri" w:hAnsi="Calibri"/>
      <w:szCs w:val="22"/>
    </w:rPr>
  </w:style>
  <w:style w:type="paragraph" w:customStyle="1" w:styleId="37">
    <w:name w:val="样式 首行缩进:  2 字符"/>
    <w:basedOn w:val="1"/>
    <w:qFormat/>
    <w:uiPriority w:val="0"/>
    <w:pPr>
      <w:spacing w:line="400" w:lineRule="exact"/>
      <w:ind w:firstLine="200" w:firstLineChars="200"/>
    </w:pPr>
    <w:rPr>
      <w:rFonts w:cs="宋体"/>
      <w:sz w:val="24"/>
    </w:rPr>
  </w:style>
  <w:style w:type="paragraph" w:customStyle="1" w:styleId="38">
    <w:name w:val="1正文"/>
    <w:basedOn w:val="23"/>
    <w:qFormat/>
    <w:uiPriority w:val="0"/>
    <w:pPr>
      <w:spacing w:beforeAutospacing="0" w:afterAutospacing="0" w:line="360" w:lineRule="auto"/>
      <w:ind w:firstLine="960" w:firstLineChars="200"/>
      <w:jc w:val="both"/>
    </w:pPr>
    <w:rPr>
      <w:rFonts w:ascii="Times New Roman" w:hAnsi="Times New Roman" w:cs="Times New Roman"/>
      <w:kern w:val="0"/>
      <w:szCs w:val="24"/>
    </w:rPr>
  </w:style>
  <w:style w:type="paragraph" w:customStyle="1" w:styleId="3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表格文字中"/>
    <w:basedOn w:val="1"/>
    <w:qFormat/>
    <w:uiPriority w:val="0"/>
    <w:pPr>
      <w:adjustRightInd w:val="0"/>
      <w:snapToGrid w:val="0"/>
      <w:ind w:left="22" w:leftChars="8"/>
      <w:jc w:val="center"/>
    </w:pPr>
    <w:rPr>
      <w:kern w:val="0"/>
      <w:szCs w:val="24"/>
    </w:rPr>
  </w:style>
  <w:style w:type="paragraph" w:customStyle="1" w:styleId="41">
    <w:name w:val="表注1"/>
    <w:basedOn w:val="1"/>
    <w:qFormat/>
    <w:uiPriority w:val="0"/>
    <w:pPr>
      <w:adjustRightInd w:val="0"/>
      <w:snapToGrid w:val="0"/>
      <w:spacing w:before="156" w:beforeLines="50" w:line="300" w:lineRule="auto"/>
      <w:ind w:left="350" w:hanging="350" w:hangingChars="350"/>
    </w:pPr>
    <w:rPr>
      <w:rFonts w:eastAsia="仿宋_GB2312"/>
      <w:bCs/>
      <w:color w:val="000000"/>
      <w:szCs w:val="24"/>
    </w:rPr>
  </w:style>
  <w:style w:type="paragraph" w:customStyle="1" w:styleId="42">
    <w:name w:val="List Paragraph1"/>
    <w:basedOn w:val="1"/>
    <w:qFormat/>
    <w:uiPriority w:val="99"/>
    <w:pPr>
      <w:ind w:firstLine="420" w:firstLineChars="200"/>
    </w:pPr>
  </w:style>
  <w:style w:type="character" w:customStyle="1" w:styleId="43">
    <w:name w:val="标题 1 Char"/>
    <w:link w:val="3"/>
    <w:qFormat/>
    <w:uiPriority w:val="0"/>
    <w:rPr>
      <w:rFonts w:hint="eastAsia" w:ascii="宋体" w:hAnsi="宋体" w:eastAsia="宋体" w:cs="宋体"/>
      <w:b/>
      <w:bCs/>
      <w:kern w:val="44"/>
      <w:sz w:val="48"/>
      <w:szCs w:val="48"/>
      <w:lang w:val="en-US" w:eastAsia="zh-CN" w:bidi="ar"/>
    </w:rPr>
  </w:style>
  <w:style w:type="paragraph" w:customStyle="1" w:styleId="44">
    <w:name w:val="正文 New"/>
    <w:qFormat/>
    <w:uiPriority w:val="99"/>
    <w:pPr>
      <w:widowControl w:val="0"/>
      <w:jc w:val="both"/>
    </w:pPr>
    <w:rPr>
      <w:rFonts w:ascii="Calibri" w:hAnsi="Calibri" w:eastAsia="宋体" w:cs="Times New Roman"/>
      <w:lang w:val="en-US" w:eastAsia="zh-CN" w:bidi="ar-SA"/>
    </w:rPr>
  </w:style>
  <w:style w:type="paragraph" w:customStyle="1" w:styleId="45">
    <w:name w:val="Table Paragraph"/>
    <w:basedOn w:val="1"/>
    <w:unhideWhenUsed/>
    <w:qFormat/>
    <w:uiPriority w:val="1"/>
    <w:pPr>
      <w:spacing w:beforeLines="0" w:afterLines="0"/>
    </w:pPr>
    <w:rPr>
      <w:rFonts w:hint="eastAsia"/>
      <w:sz w:val="24"/>
    </w:rPr>
  </w:style>
  <w:style w:type="table" w:customStyle="1" w:styleId="46">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microsoft.com/office/2011/relationships/people" Target="people.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25885</Words>
  <Characters>27542</Characters>
  <Lines>1</Lines>
  <Paragraphs>1</Paragraphs>
  <TotalTime>21</TotalTime>
  <ScaleCrop>false</ScaleCrop>
  <LinksUpToDate>false</LinksUpToDate>
  <CharactersWithSpaces>27859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2023-04-26T02:45:00Z</dcterms:created>
  <dc:creator>pc</dc:creator>
  <cp:lastModifiedBy>Administrator</cp:lastModifiedBy>
  <cp:lastPrinted>2026-05-11T09:18:46Z</cp:lastPrinted>
  <dcterms:modified xsi:type="dcterms:W3CDTF">2026-05-11T09:36:46Z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DD7FA6504F724C5F8E0D7203EAA44CBC_13</vt:lpwstr>
  </property>
  <property fmtid="{D5CDD505-2E9C-101B-9397-08002B2CF9AE}" pid="4" name="KSOTemplateDocerSaveRecord">
    <vt:lpwstr>eyJoZGlkIjoiY2QzZTFkNzYyMTY4YWQ5NTY2NmEwZDQyZmEwZTE4YmUiLCJ1c2VySWQiOiI1MjA5ODY0ODgifQ==</vt:lpwstr>
  </property>
</Properties>
</file>