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362307">
      <w:pPr>
        <w:rPr>
          <w:rFonts w:hint="default" w:hAnsi="宋体" w:eastAsia="宋体" w:cs="宋体"/>
          <w:b/>
          <w:color w:val="auto"/>
          <w:sz w:val="36"/>
          <w:highlight w:val="yellow"/>
          <w:lang w:val="en-US" w:eastAsia="zh-CN"/>
        </w:rPr>
      </w:pPr>
      <w:r>
        <w:rPr>
          <w:rFonts w:hint="eastAsia" w:hAnsi="宋体" w:eastAsia="宋体" w:cs="宋体"/>
          <w:b/>
          <w:color w:val="auto"/>
          <w:sz w:val="36"/>
          <w:lang w:eastAsia="zh-CN"/>
        </w:rPr>
        <w:drawing>
          <wp:anchor distT="0" distB="0" distL="114300" distR="114300" simplePos="0" relativeHeight="251659264" behindDoc="1" locked="0" layoutInCell="1" allowOverlap="1">
            <wp:simplePos x="0" y="0"/>
            <wp:positionH relativeFrom="column">
              <wp:posOffset>3667125</wp:posOffset>
            </wp:positionH>
            <wp:positionV relativeFrom="paragraph">
              <wp:posOffset>-179705</wp:posOffset>
            </wp:positionV>
            <wp:extent cx="1852930" cy="756920"/>
            <wp:effectExtent l="0" t="0" r="13970" b="5080"/>
            <wp:wrapTight wrapText="bothSides">
              <wp:wrapPolygon>
                <wp:start x="0" y="0"/>
                <wp:lineTo x="0" y="21201"/>
                <wp:lineTo x="21319" y="21201"/>
                <wp:lineTo x="21319" y="0"/>
                <wp:lineTo x="0" y="0"/>
              </wp:wrapPolygon>
            </wp:wrapTight>
            <wp:docPr id="21" name="图片 21" descr="d06d15b0f621185387a7d46a048b9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06d15b0f621185387a7d46a048b9bf"/>
                    <pic:cNvPicPr>
                      <a:picLocks noChangeAspect="1"/>
                    </pic:cNvPicPr>
                  </pic:nvPicPr>
                  <pic:blipFill>
                    <a:blip r:embed="rId13"/>
                    <a:srcRect l="8200" t="32644" r="4111" b="31556"/>
                    <a:stretch>
                      <a:fillRect/>
                    </a:stretch>
                  </pic:blipFill>
                  <pic:spPr>
                    <a:xfrm>
                      <a:off x="0" y="0"/>
                      <a:ext cx="1852930" cy="756920"/>
                    </a:xfrm>
                    <a:prstGeom prst="rect">
                      <a:avLst/>
                    </a:prstGeom>
                  </pic:spPr>
                </pic:pic>
              </a:graphicData>
            </a:graphic>
          </wp:anchor>
        </w:drawing>
      </w:r>
      <w:r>
        <w:rPr>
          <w:rFonts w:hint="eastAsia" w:hAnsi="宋体" w:cs="宋体"/>
          <w:b/>
          <w:bCs/>
          <w:color w:val="auto"/>
          <w:sz w:val="32"/>
          <w:szCs w:val="32"/>
          <w:lang w:eastAsia="zh-CN"/>
        </w:rPr>
        <w:t>采购</w:t>
      </w:r>
      <w:r>
        <w:rPr>
          <w:rFonts w:hint="eastAsia" w:hAnsi="宋体" w:cs="宋体"/>
          <w:b/>
          <w:bCs/>
          <w:color w:val="auto"/>
          <w:sz w:val="32"/>
          <w:szCs w:val="32"/>
        </w:rPr>
        <w:t>项目编号：</w:t>
      </w:r>
      <w:r>
        <w:rPr>
          <w:rFonts w:hint="eastAsia" w:hAnsi="宋体" w:cs="宋体"/>
          <w:b/>
          <w:bCs/>
          <w:color w:val="auto"/>
          <w:sz w:val="32"/>
          <w:szCs w:val="32"/>
          <w:lang w:eastAsia="zh-CN"/>
        </w:rPr>
        <w:t>HYDZB-2026-021</w:t>
      </w:r>
    </w:p>
    <w:p w14:paraId="76752710">
      <w:pPr>
        <w:rPr>
          <w:rFonts w:hint="eastAsia" w:hAnsi="宋体" w:eastAsia="宋体" w:cs="宋体"/>
          <w:b/>
          <w:color w:val="auto"/>
          <w:sz w:val="36"/>
          <w:lang w:eastAsia="zh-CN"/>
        </w:rPr>
      </w:pPr>
      <w:r>
        <w:rPr>
          <w:rFonts w:hint="eastAsia" w:hAnsi="宋体" w:cs="宋体"/>
          <w:b/>
          <w:color w:val="auto"/>
          <w:sz w:val="36"/>
        </w:rPr>
        <w:t xml:space="preserve"> </w:t>
      </w:r>
    </w:p>
    <w:p w14:paraId="0C24564F">
      <w:pPr>
        <w:rPr>
          <w:rFonts w:hint="eastAsia" w:hAnsi="宋体" w:cs="宋体"/>
          <w:b/>
          <w:color w:val="auto"/>
          <w:sz w:val="36"/>
        </w:rPr>
      </w:pPr>
    </w:p>
    <w:p w14:paraId="3710074F">
      <w:pPr>
        <w:pStyle w:val="3"/>
        <w:bidi w:val="0"/>
        <w:spacing w:line="360" w:lineRule="auto"/>
        <w:jc w:val="center"/>
        <w:rPr>
          <w:rFonts w:hint="eastAsia" w:ascii="新宋体" w:hAnsi="新宋体" w:eastAsia="新宋体" w:cs="新宋体"/>
          <w:color w:val="auto"/>
          <w:sz w:val="60"/>
          <w:szCs w:val="40"/>
        </w:rPr>
      </w:pPr>
      <w:r>
        <w:rPr>
          <w:rFonts w:hint="eastAsia" w:ascii="新宋体" w:hAnsi="新宋体" w:eastAsia="新宋体" w:cs="新宋体"/>
          <w:color w:val="auto"/>
          <w:sz w:val="60"/>
          <w:szCs w:val="40"/>
          <w:lang w:val="en-US" w:eastAsia="zh-CN"/>
        </w:rPr>
        <w:t>榆林市商务局关于第十届丝博会美食活动服务项目</w:t>
      </w:r>
    </w:p>
    <w:p w14:paraId="3E1BBE26">
      <w:pPr>
        <w:spacing w:line="780" w:lineRule="auto"/>
        <w:jc w:val="center"/>
        <w:rPr>
          <w:rFonts w:hint="eastAsia" w:hAnsi="宋体" w:cs="宋体"/>
          <w:b/>
          <w:color w:val="auto"/>
          <w:sz w:val="96"/>
          <w:szCs w:val="96"/>
        </w:rPr>
      </w:pPr>
    </w:p>
    <w:p w14:paraId="64D75227">
      <w:pPr>
        <w:pStyle w:val="2"/>
        <w:rPr>
          <w:rFonts w:hint="eastAsia"/>
        </w:rPr>
      </w:pPr>
      <w:bookmarkStart w:id="91" w:name="_GoBack"/>
      <w:bookmarkEnd w:id="91"/>
    </w:p>
    <w:p w14:paraId="682FE8D1">
      <w:pPr>
        <w:spacing w:line="780" w:lineRule="auto"/>
        <w:jc w:val="center"/>
        <w:rPr>
          <w:rFonts w:hint="eastAsia" w:hAnsi="宋体" w:cs="宋体"/>
          <w:b/>
          <w:color w:val="auto"/>
          <w:sz w:val="60"/>
          <w:szCs w:val="60"/>
        </w:rPr>
      </w:pPr>
    </w:p>
    <w:p w14:paraId="1799E967">
      <w:pPr>
        <w:spacing w:line="780" w:lineRule="auto"/>
        <w:jc w:val="center"/>
        <w:rPr>
          <w:rFonts w:hint="eastAsia" w:hAnsi="宋体" w:cs="宋体"/>
          <w:b/>
          <w:color w:val="auto"/>
          <w:sz w:val="72"/>
          <w:szCs w:val="72"/>
        </w:rPr>
      </w:pPr>
      <w:r>
        <w:rPr>
          <w:rFonts w:hint="eastAsia" w:hAnsi="宋体" w:cs="宋体"/>
          <w:b/>
          <w:color w:val="auto"/>
          <w:sz w:val="96"/>
          <w:szCs w:val="96"/>
        </w:rPr>
        <w:t>竞争性磋商文件</w:t>
      </w:r>
    </w:p>
    <w:p w14:paraId="2EFBCF83">
      <w:pPr>
        <w:pStyle w:val="12"/>
        <w:ind w:left="0" w:leftChars="0" w:firstLine="0" w:firstLineChars="0"/>
        <w:rPr>
          <w:rFonts w:hint="eastAsia" w:hAnsi="宋体" w:cs="宋体"/>
          <w:color w:val="auto"/>
          <w:sz w:val="18"/>
          <w:szCs w:val="18"/>
        </w:rPr>
      </w:pPr>
    </w:p>
    <w:p w14:paraId="5977243E">
      <w:pPr>
        <w:pStyle w:val="12"/>
        <w:ind w:left="0" w:leftChars="0" w:firstLine="0" w:firstLineChars="0"/>
        <w:rPr>
          <w:rFonts w:hint="eastAsia" w:hAnsi="宋体" w:cs="宋体"/>
          <w:color w:val="auto"/>
          <w:sz w:val="18"/>
          <w:szCs w:val="18"/>
        </w:rPr>
      </w:pPr>
    </w:p>
    <w:p w14:paraId="1DF47580">
      <w:pPr>
        <w:pStyle w:val="12"/>
        <w:ind w:left="0" w:leftChars="0" w:firstLine="0" w:firstLineChars="0"/>
        <w:rPr>
          <w:rFonts w:hint="eastAsia" w:hAnsi="宋体" w:cs="宋体"/>
          <w:color w:val="auto"/>
          <w:sz w:val="18"/>
          <w:szCs w:val="18"/>
        </w:rPr>
      </w:pPr>
    </w:p>
    <w:p w14:paraId="4E253FAD">
      <w:pPr>
        <w:rPr>
          <w:rFonts w:hint="eastAsia" w:hAnsi="宋体" w:cs="宋体"/>
          <w:color w:val="auto"/>
          <w:sz w:val="18"/>
          <w:szCs w:val="18"/>
        </w:rPr>
      </w:pPr>
    </w:p>
    <w:p w14:paraId="41403FDE">
      <w:pPr>
        <w:pStyle w:val="46"/>
        <w:rPr>
          <w:rFonts w:hint="eastAsia"/>
          <w:color w:val="auto"/>
        </w:rPr>
      </w:pPr>
    </w:p>
    <w:p w14:paraId="67B3CA72">
      <w:pPr>
        <w:pStyle w:val="12"/>
        <w:rPr>
          <w:rFonts w:hint="eastAsia" w:hAnsi="宋体" w:cs="宋体"/>
          <w:color w:val="auto"/>
          <w:sz w:val="18"/>
          <w:szCs w:val="18"/>
        </w:rPr>
      </w:pPr>
    </w:p>
    <w:p w14:paraId="50AF8A3E">
      <w:pPr>
        <w:pStyle w:val="12"/>
        <w:ind w:left="0" w:leftChars="0" w:firstLine="964" w:firstLineChars="300"/>
        <w:rPr>
          <w:rFonts w:hint="eastAsia" w:ascii="宋体" w:hAnsi="宋体" w:cs="宋体"/>
          <w:b/>
          <w:bCs/>
          <w:color w:val="auto"/>
          <w:kern w:val="0"/>
          <w:sz w:val="32"/>
          <w:szCs w:val="32"/>
          <w:lang w:val="en-US" w:eastAsia="zh-CN" w:bidi="ar-SA"/>
        </w:rPr>
      </w:pPr>
      <w:r>
        <w:rPr>
          <w:rFonts w:hint="eastAsia" w:ascii="宋体" w:hAnsi="宋体" w:cs="宋体"/>
          <w:b/>
          <w:bCs/>
          <w:color w:val="auto"/>
          <w:kern w:val="0"/>
          <w:sz w:val="32"/>
          <w:szCs w:val="32"/>
          <w:lang w:val="en-US" w:eastAsia="zh-CN" w:bidi="ar-SA"/>
        </w:rPr>
        <w:t>采   购   人：榆林市商务局</w:t>
      </w:r>
    </w:p>
    <w:p w14:paraId="7354CCB2">
      <w:pPr>
        <w:jc w:val="both"/>
        <w:rPr>
          <w:rFonts w:hint="eastAsia" w:hAnsi="宋体" w:cs="宋体"/>
          <w:b/>
          <w:bCs/>
          <w:color w:val="auto"/>
          <w:sz w:val="32"/>
          <w:szCs w:val="32"/>
        </w:rPr>
      </w:pPr>
    </w:p>
    <w:p w14:paraId="00F8FFF2">
      <w:pPr>
        <w:ind w:firstLine="964" w:firstLineChars="300"/>
        <w:jc w:val="both"/>
        <w:rPr>
          <w:rFonts w:hint="eastAsia" w:hAnsi="宋体" w:cs="宋体"/>
          <w:b/>
          <w:bCs/>
          <w:color w:val="auto"/>
          <w:sz w:val="32"/>
          <w:szCs w:val="32"/>
        </w:rPr>
      </w:pPr>
      <w:r>
        <w:rPr>
          <w:rFonts w:hint="eastAsia" w:hAnsi="宋体" w:cs="宋体"/>
          <w:b/>
          <w:bCs/>
          <w:color w:val="auto"/>
          <w:sz w:val="32"/>
          <w:szCs w:val="32"/>
          <w:lang w:eastAsia="zh-CN"/>
        </w:rPr>
        <w:t>采购代理机构：榆林市恒易达工程项目管理有限公司</w:t>
      </w:r>
    </w:p>
    <w:p w14:paraId="1E730A29">
      <w:pPr>
        <w:jc w:val="both"/>
        <w:rPr>
          <w:rFonts w:hint="eastAsia" w:hAnsi="宋体" w:cs="宋体"/>
          <w:b/>
          <w:bCs/>
          <w:color w:val="auto"/>
          <w:sz w:val="32"/>
          <w:szCs w:val="32"/>
        </w:rPr>
      </w:pPr>
    </w:p>
    <w:p w14:paraId="49C21B04">
      <w:pPr>
        <w:ind w:firstLine="964" w:firstLineChars="300"/>
        <w:jc w:val="both"/>
        <w:rPr>
          <w:rFonts w:hint="eastAsia" w:hAnsi="宋体" w:cs="宋体"/>
          <w:b/>
          <w:bCs/>
          <w:color w:val="auto"/>
          <w:sz w:val="32"/>
          <w:szCs w:val="32"/>
        </w:rPr>
        <w:sectPr>
          <w:headerReference r:id="rId3" w:type="default"/>
          <w:footerReference r:id="rId4" w:type="default"/>
          <w:pgSz w:w="11906" w:h="16838"/>
          <w:pgMar w:top="1418" w:right="1418" w:bottom="1418" w:left="1701" w:header="851" w:footer="992" w:gutter="0"/>
          <w:cols w:space="720" w:num="1"/>
          <w:titlePg/>
          <w:docGrid w:type="lines" w:linePitch="312" w:charSpace="0"/>
        </w:sectPr>
      </w:pPr>
      <w:r>
        <w:rPr>
          <w:rFonts w:hint="eastAsia" w:hAnsi="宋体" w:cs="宋体"/>
          <w:b/>
          <w:bCs/>
          <w:color w:val="auto"/>
          <w:sz w:val="32"/>
          <w:szCs w:val="32"/>
          <w:lang w:eastAsia="zh-CN"/>
        </w:rPr>
        <w:t>时</w:t>
      </w:r>
      <w:r>
        <w:rPr>
          <w:rFonts w:hint="eastAsia" w:hAnsi="宋体" w:cs="宋体"/>
          <w:b/>
          <w:bCs/>
          <w:color w:val="auto"/>
          <w:sz w:val="32"/>
          <w:szCs w:val="32"/>
          <w:lang w:val="en-US" w:eastAsia="zh-CN"/>
        </w:rPr>
        <w:t xml:space="preserve">        </w:t>
      </w:r>
      <w:r>
        <w:rPr>
          <w:rFonts w:hint="eastAsia" w:hAnsi="宋体" w:cs="宋体"/>
          <w:b/>
          <w:bCs/>
          <w:color w:val="auto"/>
          <w:sz w:val="32"/>
          <w:szCs w:val="32"/>
          <w:lang w:eastAsia="zh-CN"/>
        </w:rPr>
        <w:t>间：</w:t>
      </w:r>
      <w:r>
        <w:rPr>
          <w:rFonts w:hint="eastAsia" w:hAnsi="宋体" w:cs="宋体"/>
          <w:b/>
          <w:bCs/>
          <w:color w:val="auto"/>
          <w:sz w:val="32"/>
          <w:szCs w:val="32"/>
        </w:rPr>
        <w:t>二</w:t>
      </w:r>
      <w:r>
        <w:rPr>
          <w:rFonts w:hint="eastAsia" w:hAnsi="宋体" w:cs="宋体"/>
          <w:b/>
          <w:bCs/>
          <w:color w:val="auto"/>
          <w:sz w:val="32"/>
          <w:szCs w:val="32"/>
          <w:lang w:eastAsia="zh-CN"/>
        </w:rPr>
        <w:t>零二</w:t>
      </w:r>
      <w:r>
        <w:rPr>
          <w:rFonts w:hint="eastAsia" w:hAnsi="宋体" w:cs="宋体"/>
          <w:b/>
          <w:bCs/>
          <w:color w:val="auto"/>
          <w:sz w:val="32"/>
          <w:szCs w:val="32"/>
          <w:lang w:val="en-US" w:eastAsia="zh-CN"/>
        </w:rPr>
        <w:t>六</w:t>
      </w:r>
      <w:r>
        <w:rPr>
          <w:rFonts w:hint="eastAsia" w:hAnsi="宋体" w:cs="宋体"/>
          <w:b/>
          <w:bCs/>
          <w:color w:val="auto"/>
          <w:sz w:val="32"/>
          <w:szCs w:val="32"/>
        </w:rPr>
        <w:t>年</w:t>
      </w:r>
      <w:r>
        <w:rPr>
          <w:rFonts w:hint="eastAsia" w:hAnsi="宋体" w:cs="宋体"/>
          <w:b/>
          <w:bCs/>
          <w:color w:val="auto"/>
          <w:sz w:val="32"/>
          <w:szCs w:val="32"/>
          <w:lang w:val="en-US" w:eastAsia="zh-CN"/>
        </w:rPr>
        <w:t>四</w:t>
      </w:r>
      <w:r>
        <w:rPr>
          <w:rFonts w:hint="eastAsia" w:hAnsi="宋体" w:cs="宋体"/>
          <w:b/>
          <w:bCs/>
          <w:color w:val="auto"/>
          <w:sz w:val="32"/>
          <w:szCs w:val="32"/>
        </w:rPr>
        <w:t>月</w:t>
      </w:r>
    </w:p>
    <w:p w14:paraId="509E0EEA">
      <w:pPr>
        <w:pStyle w:val="12"/>
        <w:rPr>
          <w:rFonts w:hint="eastAsia"/>
          <w:color w:val="auto"/>
        </w:rPr>
      </w:pPr>
    </w:p>
    <w:p w14:paraId="58A677B7">
      <w:pPr>
        <w:jc w:val="center"/>
        <w:rPr>
          <w:rFonts w:hint="eastAsia" w:ascii="幼圆" w:eastAsia="幼圆"/>
          <w:b/>
          <w:color w:val="auto"/>
          <w:sz w:val="44"/>
          <w:szCs w:val="44"/>
        </w:rPr>
      </w:pPr>
      <w:r>
        <w:rPr>
          <w:rFonts w:hint="eastAsia" w:ascii="幼圆" w:eastAsia="幼圆"/>
          <w:b/>
          <w:color w:val="auto"/>
          <w:sz w:val="44"/>
          <w:szCs w:val="44"/>
        </w:rPr>
        <w:t>目</w:t>
      </w:r>
      <w:r>
        <w:rPr>
          <w:rFonts w:hint="eastAsia" w:ascii="幼圆" w:eastAsia="幼圆"/>
          <w:b/>
          <w:color w:val="auto"/>
          <w:sz w:val="44"/>
          <w:szCs w:val="44"/>
          <w:lang w:val="en-US" w:eastAsia="zh-CN"/>
        </w:rPr>
        <w:t xml:space="preserve"> </w:t>
      </w:r>
      <w:r>
        <w:rPr>
          <w:rFonts w:hint="eastAsia" w:ascii="幼圆" w:eastAsia="幼圆"/>
          <w:b/>
          <w:color w:val="auto"/>
          <w:sz w:val="44"/>
          <w:szCs w:val="44"/>
        </w:rPr>
        <w:t>录</w:t>
      </w:r>
    </w:p>
    <w:p w14:paraId="143F3C14">
      <w:pPr>
        <w:jc w:val="center"/>
        <w:rPr>
          <w:rFonts w:hint="eastAsia" w:ascii="幼圆" w:eastAsia="幼圆"/>
          <w:b/>
          <w:color w:val="auto"/>
          <w:sz w:val="44"/>
          <w:szCs w:val="44"/>
        </w:rPr>
      </w:pPr>
    </w:p>
    <w:p w14:paraId="3F381311">
      <w:pPr>
        <w:pStyle w:val="31"/>
        <w:tabs>
          <w:tab w:val="right" w:leader="dot" w:pos="8787"/>
        </w:tabs>
        <w:spacing w:line="720" w:lineRule="auto"/>
        <w:rPr>
          <w:rFonts w:hint="eastAsia" w:hAnsi="宋体" w:cs="宋体"/>
          <w:color w:val="auto"/>
          <w:sz w:val="32"/>
          <w:szCs w:val="32"/>
        </w:rPr>
      </w:pPr>
      <w:bookmarkStart w:id="0" w:name="_Toc20652"/>
      <w:bookmarkStart w:id="1" w:name="_Toc389582033"/>
      <w:bookmarkStart w:id="2" w:name="_Toc20858"/>
      <w:bookmarkStart w:id="3" w:name="_Toc19886"/>
      <w:bookmarkStart w:id="4" w:name="_Toc16218"/>
      <w:bookmarkStart w:id="5" w:name="_Toc5293"/>
      <w:bookmarkStart w:id="6" w:name="_Toc21518"/>
      <w:bookmarkStart w:id="7" w:name="_Toc27420"/>
      <w:bookmarkStart w:id="8" w:name="_Toc363473971"/>
      <w:bookmarkStart w:id="9" w:name="_Toc403077638"/>
      <w:bookmarkStart w:id="10" w:name="_Toc363474016"/>
      <w:r>
        <w:rPr>
          <w:rFonts w:hint="eastAsia"/>
          <w:bCs/>
          <w:color w:val="auto"/>
          <w:sz w:val="36"/>
          <w:szCs w:val="36"/>
        </w:rPr>
        <w:fldChar w:fldCharType="begin"/>
      </w:r>
      <w:r>
        <w:rPr>
          <w:rFonts w:hint="eastAsia"/>
          <w:bCs/>
          <w:color w:val="auto"/>
          <w:sz w:val="36"/>
          <w:szCs w:val="36"/>
        </w:rPr>
        <w:instrText xml:space="preserve">TOC \o "1-2" \h \u </w:instrText>
      </w:r>
      <w:r>
        <w:rPr>
          <w:rFonts w:hint="eastAsia"/>
          <w:bCs/>
          <w:color w:val="auto"/>
          <w:sz w:val="36"/>
          <w:szCs w:val="36"/>
        </w:rPr>
        <w:fldChar w:fldCharType="separate"/>
      </w:r>
      <w:r>
        <w:rPr>
          <w:rFonts w:hint="eastAsia" w:hAnsi="宋体" w:cs="宋体"/>
          <w:bCs/>
          <w:color w:val="auto"/>
          <w:sz w:val="32"/>
          <w:szCs w:val="32"/>
        </w:rPr>
        <w:fldChar w:fldCharType="begin"/>
      </w:r>
      <w:r>
        <w:rPr>
          <w:rFonts w:hint="eastAsia" w:hAnsi="宋体" w:cs="宋体"/>
          <w:bCs/>
          <w:color w:val="auto"/>
          <w:sz w:val="32"/>
          <w:szCs w:val="32"/>
        </w:rPr>
        <w:instrText xml:space="preserve"> HYPERLINK \l _Toc4757 </w:instrText>
      </w:r>
      <w:r>
        <w:rPr>
          <w:rFonts w:hint="eastAsia" w:hAnsi="宋体" w:cs="宋体"/>
          <w:bCs/>
          <w:color w:val="auto"/>
          <w:sz w:val="32"/>
          <w:szCs w:val="32"/>
        </w:rPr>
        <w:fldChar w:fldCharType="separate"/>
      </w:r>
      <w:r>
        <w:rPr>
          <w:rFonts w:hint="eastAsia" w:hAnsi="宋体" w:cs="宋体"/>
          <w:bCs/>
          <w:color w:val="auto"/>
          <w:sz w:val="32"/>
          <w:szCs w:val="32"/>
        </w:rPr>
        <w:t>第一章  竞争性磋商公告</w:t>
      </w:r>
      <w:r>
        <w:rPr>
          <w:rFonts w:hint="eastAsia" w:hAnsi="宋体" w:cs="宋体"/>
          <w:color w:val="auto"/>
          <w:sz w:val="32"/>
          <w:szCs w:val="32"/>
        </w:rPr>
        <w:tab/>
      </w:r>
      <w:r>
        <w:rPr>
          <w:rFonts w:hint="eastAsia" w:hAnsi="宋体" w:cs="宋体"/>
          <w:color w:val="auto"/>
          <w:sz w:val="32"/>
          <w:szCs w:val="32"/>
        </w:rPr>
        <w:fldChar w:fldCharType="begin"/>
      </w:r>
      <w:r>
        <w:rPr>
          <w:rFonts w:hint="eastAsia" w:hAnsi="宋体" w:cs="宋体"/>
          <w:color w:val="auto"/>
          <w:sz w:val="32"/>
          <w:szCs w:val="32"/>
        </w:rPr>
        <w:instrText xml:space="preserve"> PAGEREF _Toc4757 </w:instrText>
      </w:r>
      <w:r>
        <w:rPr>
          <w:rFonts w:hint="eastAsia" w:hAnsi="宋体" w:cs="宋体"/>
          <w:color w:val="auto"/>
          <w:sz w:val="32"/>
          <w:szCs w:val="32"/>
        </w:rPr>
        <w:fldChar w:fldCharType="separate"/>
      </w:r>
      <w:r>
        <w:rPr>
          <w:rFonts w:hint="eastAsia" w:hAnsi="宋体" w:cs="宋体"/>
          <w:color w:val="auto"/>
          <w:sz w:val="32"/>
          <w:szCs w:val="32"/>
        </w:rPr>
        <w:t>1</w:t>
      </w:r>
      <w:r>
        <w:rPr>
          <w:rFonts w:hint="eastAsia" w:hAnsi="宋体" w:cs="宋体"/>
          <w:color w:val="auto"/>
          <w:sz w:val="32"/>
          <w:szCs w:val="32"/>
        </w:rPr>
        <w:fldChar w:fldCharType="end"/>
      </w:r>
      <w:r>
        <w:rPr>
          <w:rFonts w:hint="eastAsia" w:hAnsi="宋体" w:cs="宋体"/>
          <w:bCs/>
          <w:color w:val="auto"/>
          <w:sz w:val="32"/>
          <w:szCs w:val="32"/>
        </w:rPr>
        <w:fldChar w:fldCharType="end"/>
      </w:r>
    </w:p>
    <w:p w14:paraId="166733CF">
      <w:pPr>
        <w:pStyle w:val="31"/>
        <w:tabs>
          <w:tab w:val="right" w:leader="dot" w:pos="8787"/>
        </w:tabs>
        <w:spacing w:line="720" w:lineRule="auto"/>
        <w:rPr>
          <w:rFonts w:hint="eastAsia" w:hAnsi="宋体" w:cs="宋体"/>
          <w:color w:val="auto"/>
          <w:sz w:val="32"/>
          <w:szCs w:val="32"/>
        </w:rPr>
      </w:pPr>
      <w:r>
        <w:rPr>
          <w:rFonts w:hint="eastAsia" w:hAnsi="宋体" w:cs="宋体"/>
          <w:bCs/>
          <w:color w:val="auto"/>
          <w:sz w:val="32"/>
          <w:szCs w:val="32"/>
        </w:rPr>
        <w:fldChar w:fldCharType="begin"/>
      </w:r>
      <w:r>
        <w:rPr>
          <w:rFonts w:hint="eastAsia" w:hAnsi="宋体" w:cs="宋体"/>
          <w:bCs/>
          <w:color w:val="auto"/>
          <w:sz w:val="32"/>
          <w:szCs w:val="32"/>
        </w:rPr>
        <w:instrText xml:space="preserve"> HYPERLINK \l _Toc3564 </w:instrText>
      </w:r>
      <w:r>
        <w:rPr>
          <w:rFonts w:hint="eastAsia" w:hAnsi="宋体" w:cs="宋体"/>
          <w:bCs/>
          <w:color w:val="auto"/>
          <w:sz w:val="32"/>
          <w:szCs w:val="32"/>
        </w:rPr>
        <w:fldChar w:fldCharType="separate"/>
      </w:r>
      <w:r>
        <w:rPr>
          <w:rFonts w:hint="eastAsia" w:hAnsi="宋体" w:cs="宋体"/>
          <w:bCs/>
          <w:color w:val="auto"/>
          <w:kern w:val="2"/>
          <w:sz w:val="32"/>
          <w:szCs w:val="32"/>
        </w:rPr>
        <w:t>第二章  供应商须知</w:t>
      </w:r>
      <w:r>
        <w:rPr>
          <w:rFonts w:hint="eastAsia" w:hAnsi="宋体" w:cs="宋体"/>
          <w:color w:val="auto"/>
          <w:sz w:val="32"/>
          <w:szCs w:val="32"/>
        </w:rPr>
        <w:tab/>
      </w:r>
      <w:r>
        <w:rPr>
          <w:rFonts w:hint="eastAsia" w:hAnsi="宋体" w:cs="宋体"/>
          <w:color w:val="auto"/>
          <w:sz w:val="32"/>
          <w:szCs w:val="32"/>
        </w:rPr>
        <w:fldChar w:fldCharType="begin"/>
      </w:r>
      <w:r>
        <w:rPr>
          <w:rFonts w:hint="eastAsia" w:hAnsi="宋体" w:cs="宋体"/>
          <w:color w:val="auto"/>
          <w:sz w:val="32"/>
          <w:szCs w:val="32"/>
        </w:rPr>
        <w:instrText xml:space="preserve"> PAGEREF _Toc3564 </w:instrText>
      </w:r>
      <w:r>
        <w:rPr>
          <w:rFonts w:hint="eastAsia" w:hAnsi="宋体" w:cs="宋体"/>
          <w:color w:val="auto"/>
          <w:sz w:val="32"/>
          <w:szCs w:val="32"/>
        </w:rPr>
        <w:fldChar w:fldCharType="separate"/>
      </w:r>
      <w:r>
        <w:rPr>
          <w:rFonts w:hint="eastAsia" w:hAnsi="宋体" w:cs="宋体"/>
          <w:color w:val="auto"/>
          <w:sz w:val="32"/>
          <w:szCs w:val="32"/>
        </w:rPr>
        <w:t>1</w:t>
      </w:r>
      <w:r>
        <w:rPr>
          <w:rFonts w:hint="eastAsia" w:hAnsi="宋体" w:cs="宋体"/>
          <w:color w:val="auto"/>
          <w:sz w:val="32"/>
          <w:szCs w:val="32"/>
        </w:rPr>
        <w:fldChar w:fldCharType="end"/>
      </w:r>
      <w:r>
        <w:rPr>
          <w:rFonts w:hint="eastAsia" w:hAnsi="宋体" w:cs="宋体"/>
          <w:bCs/>
          <w:color w:val="auto"/>
          <w:sz w:val="32"/>
          <w:szCs w:val="32"/>
        </w:rPr>
        <w:fldChar w:fldCharType="end"/>
      </w:r>
    </w:p>
    <w:p w14:paraId="480B4816">
      <w:pPr>
        <w:pStyle w:val="37"/>
        <w:tabs>
          <w:tab w:val="right" w:leader="dot" w:pos="8787"/>
        </w:tabs>
        <w:spacing w:line="720" w:lineRule="auto"/>
        <w:ind w:left="0" w:leftChars="0" w:firstLine="0" w:firstLineChars="0"/>
        <w:rPr>
          <w:rFonts w:hint="eastAsia" w:hAnsi="宋体" w:cs="宋体"/>
          <w:color w:val="auto"/>
          <w:sz w:val="32"/>
          <w:szCs w:val="32"/>
        </w:rPr>
      </w:pPr>
      <w:r>
        <w:rPr>
          <w:rFonts w:hint="eastAsia" w:hAnsi="宋体" w:cs="宋体"/>
          <w:bCs/>
          <w:color w:val="auto"/>
          <w:sz w:val="32"/>
          <w:szCs w:val="32"/>
        </w:rPr>
        <w:fldChar w:fldCharType="begin"/>
      </w:r>
      <w:r>
        <w:rPr>
          <w:rFonts w:hint="eastAsia" w:hAnsi="宋体" w:cs="宋体"/>
          <w:bCs/>
          <w:color w:val="auto"/>
          <w:sz w:val="32"/>
          <w:szCs w:val="32"/>
        </w:rPr>
        <w:instrText xml:space="preserve"> HYPERLINK \l _Toc31462 </w:instrText>
      </w:r>
      <w:r>
        <w:rPr>
          <w:rFonts w:hint="eastAsia" w:hAnsi="宋体" w:cs="宋体"/>
          <w:bCs/>
          <w:color w:val="auto"/>
          <w:sz w:val="32"/>
          <w:szCs w:val="32"/>
        </w:rPr>
        <w:fldChar w:fldCharType="separate"/>
      </w:r>
      <w:r>
        <w:rPr>
          <w:rFonts w:hint="eastAsia" w:hAnsi="宋体" w:cs="宋体"/>
          <w:color w:val="auto"/>
          <w:sz w:val="32"/>
          <w:szCs w:val="32"/>
        </w:rPr>
        <w:t>供应商须知前附表</w:t>
      </w:r>
      <w:r>
        <w:rPr>
          <w:rFonts w:hint="eastAsia" w:hAnsi="宋体" w:cs="宋体"/>
          <w:color w:val="auto"/>
          <w:sz w:val="32"/>
          <w:szCs w:val="32"/>
        </w:rPr>
        <w:tab/>
      </w:r>
      <w:r>
        <w:rPr>
          <w:rFonts w:hint="eastAsia" w:hAnsi="宋体" w:cs="宋体"/>
          <w:color w:val="auto"/>
          <w:sz w:val="32"/>
          <w:szCs w:val="32"/>
        </w:rPr>
        <w:fldChar w:fldCharType="begin"/>
      </w:r>
      <w:r>
        <w:rPr>
          <w:rFonts w:hint="eastAsia" w:hAnsi="宋体" w:cs="宋体"/>
          <w:color w:val="auto"/>
          <w:sz w:val="32"/>
          <w:szCs w:val="32"/>
        </w:rPr>
        <w:instrText xml:space="preserve"> PAGEREF _Toc31462 </w:instrText>
      </w:r>
      <w:r>
        <w:rPr>
          <w:rFonts w:hint="eastAsia" w:hAnsi="宋体" w:cs="宋体"/>
          <w:color w:val="auto"/>
          <w:sz w:val="32"/>
          <w:szCs w:val="32"/>
        </w:rPr>
        <w:fldChar w:fldCharType="separate"/>
      </w:r>
      <w:r>
        <w:rPr>
          <w:rFonts w:hint="eastAsia" w:hAnsi="宋体" w:cs="宋体"/>
          <w:color w:val="auto"/>
          <w:sz w:val="32"/>
          <w:szCs w:val="32"/>
        </w:rPr>
        <w:t>6</w:t>
      </w:r>
      <w:r>
        <w:rPr>
          <w:rFonts w:hint="eastAsia" w:hAnsi="宋体" w:cs="宋体"/>
          <w:color w:val="auto"/>
          <w:sz w:val="32"/>
          <w:szCs w:val="32"/>
        </w:rPr>
        <w:fldChar w:fldCharType="end"/>
      </w:r>
      <w:r>
        <w:rPr>
          <w:rFonts w:hint="eastAsia" w:hAnsi="宋体" w:cs="宋体"/>
          <w:bCs/>
          <w:color w:val="auto"/>
          <w:sz w:val="32"/>
          <w:szCs w:val="32"/>
        </w:rPr>
        <w:fldChar w:fldCharType="end"/>
      </w:r>
    </w:p>
    <w:p w14:paraId="5F9F9350">
      <w:pPr>
        <w:pStyle w:val="31"/>
        <w:tabs>
          <w:tab w:val="right" w:leader="dot" w:pos="8787"/>
        </w:tabs>
        <w:spacing w:line="720" w:lineRule="auto"/>
        <w:rPr>
          <w:rFonts w:hint="eastAsia" w:hAnsi="宋体" w:cs="宋体"/>
          <w:color w:val="auto"/>
          <w:sz w:val="32"/>
          <w:szCs w:val="32"/>
        </w:rPr>
      </w:pPr>
      <w:r>
        <w:rPr>
          <w:rFonts w:hint="eastAsia" w:hAnsi="宋体" w:cs="宋体"/>
          <w:bCs/>
          <w:color w:val="auto"/>
          <w:sz w:val="32"/>
          <w:szCs w:val="32"/>
        </w:rPr>
        <w:fldChar w:fldCharType="begin"/>
      </w:r>
      <w:r>
        <w:rPr>
          <w:rFonts w:hint="eastAsia" w:hAnsi="宋体" w:cs="宋体"/>
          <w:bCs/>
          <w:color w:val="auto"/>
          <w:sz w:val="32"/>
          <w:szCs w:val="32"/>
        </w:rPr>
        <w:instrText xml:space="preserve"> HYPERLINK \l _Toc9896 </w:instrText>
      </w:r>
      <w:r>
        <w:rPr>
          <w:rFonts w:hint="eastAsia" w:hAnsi="宋体" w:cs="宋体"/>
          <w:bCs/>
          <w:color w:val="auto"/>
          <w:sz w:val="32"/>
          <w:szCs w:val="32"/>
        </w:rPr>
        <w:fldChar w:fldCharType="separate"/>
      </w:r>
      <w:r>
        <w:rPr>
          <w:rFonts w:hint="eastAsia" w:hAnsi="宋体" w:cs="宋体"/>
          <w:bCs/>
          <w:color w:val="auto"/>
          <w:sz w:val="32"/>
          <w:szCs w:val="32"/>
        </w:rPr>
        <w:t>第三章 合同条款及格式</w:t>
      </w:r>
      <w:r>
        <w:rPr>
          <w:rFonts w:hint="eastAsia" w:hAnsi="宋体" w:cs="宋体"/>
          <w:color w:val="auto"/>
          <w:sz w:val="32"/>
          <w:szCs w:val="32"/>
        </w:rPr>
        <w:tab/>
      </w:r>
      <w:r>
        <w:rPr>
          <w:rFonts w:hint="eastAsia" w:hAnsi="宋体" w:cs="宋体"/>
          <w:color w:val="auto"/>
          <w:sz w:val="32"/>
          <w:szCs w:val="32"/>
        </w:rPr>
        <w:fldChar w:fldCharType="begin"/>
      </w:r>
      <w:r>
        <w:rPr>
          <w:rFonts w:hint="eastAsia" w:hAnsi="宋体" w:cs="宋体"/>
          <w:color w:val="auto"/>
          <w:sz w:val="32"/>
          <w:szCs w:val="32"/>
        </w:rPr>
        <w:instrText xml:space="preserve"> PAGEREF _Toc9896 </w:instrText>
      </w:r>
      <w:r>
        <w:rPr>
          <w:rFonts w:hint="eastAsia" w:hAnsi="宋体" w:cs="宋体"/>
          <w:color w:val="auto"/>
          <w:sz w:val="32"/>
          <w:szCs w:val="32"/>
        </w:rPr>
        <w:fldChar w:fldCharType="separate"/>
      </w:r>
      <w:r>
        <w:rPr>
          <w:rFonts w:hint="eastAsia" w:hAnsi="宋体" w:cs="宋体"/>
          <w:color w:val="auto"/>
          <w:sz w:val="32"/>
          <w:szCs w:val="32"/>
        </w:rPr>
        <w:t>33</w:t>
      </w:r>
      <w:r>
        <w:rPr>
          <w:rFonts w:hint="eastAsia" w:hAnsi="宋体" w:cs="宋体"/>
          <w:color w:val="auto"/>
          <w:sz w:val="32"/>
          <w:szCs w:val="32"/>
        </w:rPr>
        <w:fldChar w:fldCharType="end"/>
      </w:r>
      <w:r>
        <w:rPr>
          <w:rFonts w:hint="eastAsia" w:hAnsi="宋体" w:cs="宋体"/>
          <w:bCs/>
          <w:color w:val="auto"/>
          <w:sz w:val="32"/>
          <w:szCs w:val="32"/>
        </w:rPr>
        <w:fldChar w:fldCharType="end"/>
      </w:r>
    </w:p>
    <w:p w14:paraId="021019CA">
      <w:pPr>
        <w:pStyle w:val="37"/>
        <w:tabs>
          <w:tab w:val="right" w:leader="dot" w:pos="8787"/>
        </w:tabs>
        <w:spacing w:line="720" w:lineRule="auto"/>
        <w:ind w:left="0" w:leftChars="0" w:firstLine="0" w:firstLineChars="0"/>
        <w:rPr>
          <w:rFonts w:hint="eastAsia" w:hAnsi="宋体" w:cs="宋体"/>
          <w:color w:val="auto"/>
          <w:sz w:val="32"/>
          <w:szCs w:val="32"/>
        </w:rPr>
      </w:pPr>
      <w:r>
        <w:rPr>
          <w:rFonts w:hint="eastAsia" w:hAnsi="宋体" w:cs="宋体"/>
          <w:bCs/>
          <w:color w:val="auto"/>
          <w:sz w:val="32"/>
          <w:szCs w:val="32"/>
        </w:rPr>
        <w:fldChar w:fldCharType="begin"/>
      </w:r>
      <w:r>
        <w:rPr>
          <w:rFonts w:hint="eastAsia" w:hAnsi="宋体" w:cs="宋体"/>
          <w:bCs/>
          <w:color w:val="auto"/>
          <w:sz w:val="32"/>
          <w:szCs w:val="32"/>
        </w:rPr>
        <w:instrText xml:space="preserve"> HYPERLINK \l _Toc23618 </w:instrText>
      </w:r>
      <w:r>
        <w:rPr>
          <w:rFonts w:hint="eastAsia" w:hAnsi="宋体" w:cs="宋体"/>
          <w:bCs/>
          <w:color w:val="auto"/>
          <w:sz w:val="32"/>
          <w:szCs w:val="32"/>
        </w:rPr>
        <w:fldChar w:fldCharType="separate"/>
      </w:r>
      <w:r>
        <w:rPr>
          <w:rFonts w:hint="eastAsia" w:hAnsi="宋体" w:cs="宋体"/>
          <w:bCs/>
          <w:color w:val="auto"/>
          <w:sz w:val="32"/>
          <w:szCs w:val="32"/>
        </w:rPr>
        <w:t>合同前附表</w:t>
      </w:r>
      <w:r>
        <w:rPr>
          <w:rFonts w:hint="eastAsia" w:hAnsi="宋体" w:cs="宋体"/>
          <w:color w:val="auto"/>
          <w:sz w:val="32"/>
          <w:szCs w:val="32"/>
        </w:rPr>
        <w:tab/>
      </w:r>
      <w:r>
        <w:rPr>
          <w:rFonts w:hint="eastAsia" w:hAnsi="宋体" w:cs="宋体"/>
          <w:color w:val="auto"/>
          <w:sz w:val="32"/>
          <w:szCs w:val="32"/>
        </w:rPr>
        <w:fldChar w:fldCharType="begin"/>
      </w:r>
      <w:r>
        <w:rPr>
          <w:rFonts w:hint="eastAsia" w:hAnsi="宋体" w:cs="宋体"/>
          <w:color w:val="auto"/>
          <w:sz w:val="32"/>
          <w:szCs w:val="32"/>
        </w:rPr>
        <w:instrText xml:space="preserve"> PAGEREF _Toc23618 </w:instrText>
      </w:r>
      <w:r>
        <w:rPr>
          <w:rFonts w:hint="eastAsia" w:hAnsi="宋体" w:cs="宋体"/>
          <w:color w:val="auto"/>
          <w:sz w:val="32"/>
          <w:szCs w:val="32"/>
        </w:rPr>
        <w:fldChar w:fldCharType="separate"/>
      </w:r>
      <w:r>
        <w:rPr>
          <w:rFonts w:hint="eastAsia" w:hAnsi="宋体" w:cs="宋体"/>
          <w:color w:val="auto"/>
          <w:sz w:val="32"/>
          <w:szCs w:val="32"/>
        </w:rPr>
        <w:t>33</w:t>
      </w:r>
      <w:r>
        <w:rPr>
          <w:rFonts w:hint="eastAsia" w:hAnsi="宋体" w:cs="宋体"/>
          <w:color w:val="auto"/>
          <w:sz w:val="32"/>
          <w:szCs w:val="32"/>
        </w:rPr>
        <w:fldChar w:fldCharType="end"/>
      </w:r>
      <w:r>
        <w:rPr>
          <w:rFonts w:hint="eastAsia" w:hAnsi="宋体" w:cs="宋体"/>
          <w:bCs/>
          <w:color w:val="auto"/>
          <w:sz w:val="32"/>
          <w:szCs w:val="32"/>
        </w:rPr>
        <w:fldChar w:fldCharType="end"/>
      </w:r>
    </w:p>
    <w:p w14:paraId="3788E273">
      <w:pPr>
        <w:pStyle w:val="31"/>
        <w:tabs>
          <w:tab w:val="right" w:leader="dot" w:pos="8787"/>
        </w:tabs>
        <w:spacing w:line="720" w:lineRule="auto"/>
        <w:rPr>
          <w:rFonts w:hint="eastAsia" w:hAnsi="宋体" w:cs="宋体"/>
          <w:color w:val="auto"/>
          <w:sz w:val="32"/>
          <w:szCs w:val="32"/>
        </w:rPr>
      </w:pPr>
      <w:r>
        <w:rPr>
          <w:rFonts w:hint="eastAsia" w:hAnsi="宋体" w:cs="宋体"/>
          <w:bCs/>
          <w:color w:val="auto"/>
          <w:sz w:val="32"/>
          <w:szCs w:val="32"/>
        </w:rPr>
        <w:fldChar w:fldCharType="begin"/>
      </w:r>
      <w:r>
        <w:rPr>
          <w:rFonts w:hint="eastAsia" w:hAnsi="宋体" w:cs="宋体"/>
          <w:bCs/>
          <w:color w:val="auto"/>
          <w:sz w:val="32"/>
          <w:szCs w:val="32"/>
        </w:rPr>
        <w:instrText xml:space="preserve"> HYPERLINK \l _Toc7682 </w:instrText>
      </w:r>
      <w:r>
        <w:rPr>
          <w:rFonts w:hint="eastAsia" w:hAnsi="宋体" w:cs="宋体"/>
          <w:bCs/>
          <w:color w:val="auto"/>
          <w:sz w:val="32"/>
          <w:szCs w:val="32"/>
        </w:rPr>
        <w:fldChar w:fldCharType="separate"/>
      </w:r>
      <w:r>
        <w:rPr>
          <w:rFonts w:hint="eastAsia" w:hAnsi="宋体" w:cs="宋体"/>
          <w:bCs/>
          <w:color w:val="auto"/>
          <w:sz w:val="32"/>
          <w:szCs w:val="32"/>
        </w:rPr>
        <w:t>第四章  竞争性磋商内容及技术要求</w:t>
      </w:r>
      <w:r>
        <w:rPr>
          <w:rFonts w:hint="eastAsia" w:hAnsi="宋体" w:cs="宋体"/>
          <w:color w:val="auto"/>
          <w:sz w:val="32"/>
          <w:szCs w:val="32"/>
        </w:rPr>
        <w:tab/>
      </w:r>
      <w:r>
        <w:rPr>
          <w:rFonts w:hint="eastAsia" w:hAnsi="宋体" w:cs="宋体"/>
          <w:color w:val="auto"/>
          <w:sz w:val="32"/>
          <w:szCs w:val="32"/>
        </w:rPr>
        <w:fldChar w:fldCharType="begin"/>
      </w:r>
      <w:r>
        <w:rPr>
          <w:rFonts w:hint="eastAsia" w:hAnsi="宋体" w:cs="宋体"/>
          <w:color w:val="auto"/>
          <w:sz w:val="32"/>
          <w:szCs w:val="32"/>
        </w:rPr>
        <w:instrText xml:space="preserve"> PAGEREF _Toc7682 </w:instrText>
      </w:r>
      <w:r>
        <w:rPr>
          <w:rFonts w:hint="eastAsia" w:hAnsi="宋体" w:cs="宋体"/>
          <w:color w:val="auto"/>
          <w:sz w:val="32"/>
          <w:szCs w:val="32"/>
        </w:rPr>
        <w:fldChar w:fldCharType="separate"/>
      </w:r>
      <w:r>
        <w:rPr>
          <w:rFonts w:hint="eastAsia" w:hAnsi="宋体" w:cs="宋体"/>
          <w:color w:val="auto"/>
          <w:sz w:val="32"/>
          <w:szCs w:val="32"/>
        </w:rPr>
        <w:t>35</w:t>
      </w:r>
      <w:r>
        <w:rPr>
          <w:rFonts w:hint="eastAsia" w:hAnsi="宋体" w:cs="宋体"/>
          <w:color w:val="auto"/>
          <w:sz w:val="32"/>
          <w:szCs w:val="32"/>
        </w:rPr>
        <w:fldChar w:fldCharType="end"/>
      </w:r>
      <w:r>
        <w:rPr>
          <w:rFonts w:hint="eastAsia" w:hAnsi="宋体" w:cs="宋体"/>
          <w:bCs/>
          <w:color w:val="auto"/>
          <w:sz w:val="32"/>
          <w:szCs w:val="32"/>
        </w:rPr>
        <w:fldChar w:fldCharType="end"/>
      </w:r>
    </w:p>
    <w:p w14:paraId="6A4E0A19">
      <w:pPr>
        <w:pStyle w:val="31"/>
        <w:tabs>
          <w:tab w:val="right" w:leader="dot" w:pos="8787"/>
        </w:tabs>
        <w:spacing w:line="720" w:lineRule="auto"/>
        <w:rPr>
          <w:rFonts w:hint="eastAsia" w:hAnsi="宋体" w:cs="宋体"/>
          <w:color w:val="auto"/>
          <w:sz w:val="32"/>
          <w:szCs w:val="32"/>
        </w:rPr>
      </w:pPr>
      <w:r>
        <w:rPr>
          <w:rFonts w:hint="eastAsia" w:hAnsi="宋体" w:cs="宋体"/>
          <w:bCs/>
          <w:color w:val="auto"/>
          <w:sz w:val="32"/>
          <w:szCs w:val="32"/>
        </w:rPr>
        <w:fldChar w:fldCharType="begin"/>
      </w:r>
      <w:r>
        <w:rPr>
          <w:rFonts w:hint="eastAsia" w:hAnsi="宋体" w:cs="宋体"/>
          <w:bCs/>
          <w:color w:val="auto"/>
          <w:sz w:val="32"/>
          <w:szCs w:val="32"/>
        </w:rPr>
        <w:instrText xml:space="preserve"> HYPERLINK \l _Toc18831 </w:instrText>
      </w:r>
      <w:r>
        <w:rPr>
          <w:rFonts w:hint="eastAsia" w:hAnsi="宋体" w:cs="宋体"/>
          <w:bCs/>
          <w:color w:val="auto"/>
          <w:sz w:val="32"/>
          <w:szCs w:val="32"/>
        </w:rPr>
        <w:fldChar w:fldCharType="separate"/>
      </w:r>
      <w:r>
        <w:rPr>
          <w:rFonts w:hint="eastAsia" w:hAnsi="宋体" w:cs="宋体"/>
          <w:bCs/>
          <w:color w:val="auto"/>
          <w:sz w:val="32"/>
          <w:szCs w:val="32"/>
        </w:rPr>
        <w:t>第五章  评审方法</w:t>
      </w:r>
      <w:r>
        <w:rPr>
          <w:rFonts w:hint="eastAsia" w:hAnsi="宋体" w:cs="宋体"/>
          <w:color w:val="auto"/>
          <w:sz w:val="32"/>
          <w:szCs w:val="32"/>
        </w:rPr>
        <w:tab/>
      </w:r>
      <w:r>
        <w:rPr>
          <w:rFonts w:hint="eastAsia" w:hAnsi="宋体" w:cs="宋体"/>
          <w:color w:val="auto"/>
          <w:sz w:val="32"/>
          <w:szCs w:val="32"/>
        </w:rPr>
        <w:fldChar w:fldCharType="begin"/>
      </w:r>
      <w:r>
        <w:rPr>
          <w:rFonts w:hint="eastAsia" w:hAnsi="宋体" w:cs="宋体"/>
          <w:color w:val="auto"/>
          <w:sz w:val="32"/>
          <w:szCs w:val="32"/>
        </w:rPr>
        <w:instrText xml:space="preserve"> PAGEREF _Toc18831 </w:instrText>
      </w:r>
      <w:r>
        <w:rPr>
          <w:rFonts w:hint="eastAsia" w:hAnsi="宋体" w:cs="宋体"/>
          <w:color w:val="auto"/>
          <w:sz w:val="32"/>
          <w:szCs w:val="32"/>
        </w:rPr>
        <w:fldChar w:fldCharType="separate"/>
      </w:r>
      <w:r>
        <w:rPr>
          <w:rFonts w:hint="eastAsia" w:hAnsi="宋体" w:cs="宋体"/>
          <w:color w:val="auto"/>
          <w:sz w:val="32"/>
          <w:szCs w:val="32"/>
        </w:rPr>
        <w:t>38</w:t>
      </w:r>
      <w:r>
        <w:rPr>
          <w:rFonts w:hint="eastAsia" w:hAnsi="宋体" w:cs="宋体"/>
          <w:color w:val="auto"/>
          <w:sz w:val="32"/>
          <w:szCs w:val="32"/>
        </w:rPr>
        <w:fldChar w:fldCharType="end"/>
      </w:r>
      <w:r>
        <w:rPr>
          <w:rFonts w:hint="eastAsia" w:hAnsi="宋体" w:cs="宋体"/>
          <w:bCs/>
          <w:color w:val="auto"/>
          <w:sz w:val="32"/>
          <w:szCs w:val="32"/>
        </w:rPr>
        <w:fldChar w:fldCharType="end"/>
      </w:r>
    </w:p>
    <w:p w14:paraId="72F5D24C">
      <w:pPr>
        <w:pStyle w:val="31"/>
        <w:tabs>
          <w:tab w:val="right" w:leader="dot" w:pos="8787"/>
        </w:tabs>
        <w:spacing w:line="720" w:lineRule="auto"/>
        <w:rPr>
          <w:rFonts w:hint="eastAsia" w:eastAsia="宋体"/>
          <w:color w:val="auto"/>
          <w:lang w:val="en-US" w:eastAsia="zh-CN"/>
        </w:rPr>
      </w:pPr>
      <w:r>
        <w:rPr>
          <w:rFonts w:hint="eastAsia" w:hAnsi="宋体" w:cs="宋体"/>
          <w:bCs/>
          <w:color w:val="auto"/>
          <w:sz w:val="32"/>
          <w:szCs w:val="32"/>
        </w:rPr>
        <w:fldChar w:fldCharType="begin"/>
      </w:r>
      <w:r>
        <w:rPr>
          <w:rFonts w:hint="eastAsia" w:hAnsi="宋体" w:cs="宋体"/>
          <w:bCs/>
          <w:color w:val="auto"/>
          <w:sz w:val="32"/>
          <w:szCs w:val="32"/>
        </w:rPr>
        <w:instrText xml:space="preserve"> HYPERLINK \l _Toc27437 </w:instrText>
      </w:r>
      <w:r>
        <w:rPr>
          <w:rFonts w:hint="eastAsia" w:hAnsi="宋体" w:cs="宋体"/>
          <w:bCs/>
          <w:color w:val="auto"/>
          <w:sz w:val="32"/>
          <w:szCs w:val="32"/>
        </w:rPr>
        <w:fldChar w:fldCharType="separate"/>
      </w:r>
      <w:r>
        <w:rPr>
          <w:rFonts w:hint="eastAsia" w:hAnsi="宋体" w:cs="宋体"/>
          <w:bCs/>
          <w:color w:val="auto"/>
          <w:sz w:val="32"/>
          <w:szCs w:val="32"/>
        </w:rPr>
        <w:t>第六章 竞争性磋商响应文件格式</w:t>
      </w:r>
      <w:r>
        <w:rPr>
          <w:rFonts w:hint="eastAsia" w:hAnsi="宋体" w:cs="宋体"/>
          <w:color w:val="auto"/>
          <w:sz w:val="32"/>
          <w:szCs w:val="32"/>
        </w:rPr>
        <w:tab/>
      </w:r>
      <w:r>
        <w:rPr>
          <w:rFonts w:hint="eastAsia" w:hAnsi="宋体" w:cs="宋体"/>
          <w:color w:val="auto"/>
          <w:sz w:val="32"/>
          <w:szCs w:val="32"/>
          <w:lang w:val="en-US" w:eastAsia="zh-CN"/>
        </w:rPr>
        <w:t>4</w:t>
      </w:r>
      <w:r>
        <w:rPr>
          <w:rFonts w:hint="eastAsia" w:hAnsi="宋体" w:cs="宋体"/>
          <w:bCs/>
          <w:color w:val="auto"/>
          <w:sz w:val="32"/>
          <w:szCs w:val="32"/>
        </w:rPr>
        <w:fldChar w:fldCharType="end"/>
      </w:r>
      <w:r>
        <w:rPr>
          <w:rFonts w:hint="eastAsia" w:hAnsi="宋体" w:cs="宋体"/>
          <w:bCs/>
          <w:color w:val="auto"/>
          <w:sz w:val="32"/>
          <w:szCs w:val="32"/>
          <w:lang w:val="en-US" w:eastAsia="zh-CN"/>
        </w:rPr>
        <w:t>3</w:t>
      </w:r>
    </w:p>
    <w:p w14:paraId="6F9DF3EF">
      <w:pPr>
        <w:pStyle w:val="31"/>
        <w:tabs>
          <w:tab w:val="right" w:leader="dot" w:pos="8787"/>
        </w:tabs>
        <w:rPr>
          <w:color w:val="auto"/>
        </w:rPr>
      </w:pPr>
    </w:p>
    <w:p w14:paraId="178916BE">
      <w:pPr>
        <w:pStyle w:val="31"/>
        <w:tabs>
          <w:tab w:val="right" w:leader="dot" w:pos="8302"/>
        </w:tabs>
        <w:spacing w:line="720" w:lineRule="auto"/>
        <w:rPr>
          <w:rFonts w:hint="eastAsia"/>
          <w:bCs/>
          <w:color w:val="auto"/>
          <w:sz w:val="36"/>
          <w:szCs w:val="36"/>
        </w:rPr>
      </w:pPr>
      <w:r>
        <w:rPr>
          <w:rFonts w:hint="eastAsia"/>
          <w:bCs/>
          <w:color w:val="auto"/>
          <w:szCs w:val="36"/>
        </w:rPr>
        <w:fldChar w:fldCharType="end"/>
      </w:r>
    </w:p>
    <w:p w14:paraId="13D9E26B">
      <w:pPr>
        <w:pStyle w:val="3"/>
        <w:spacing w:before="312" w:beforeLines="100"/>
        <w:jc w:val="center"/>
        <w:rPr>
          <w:rFonts w:hint="eastAsia" w:ascii="宋体" w:eastAsia="宋体"/>
          <w:bCs/>
          <w:color w:val="auto"/>
          <w:sz w:val="36"/>
          <w:szCs w:val="36"/>
        </w:rPr>
        <w:sectPr>
          <w:footerReference r:id="rId6" w:type="first"/>
          <w:footerReference r:id="rId5" w:type="default"/>
          <w:pgSz w:w="11906" w:h="16838"/>
          <w:pgMar w:top="1418" w:right="1418" w:bottom="1418" w:left="1701" w:header="851" w:footer="992" w:gutter="0"/>
          <w:pgNumType w:start="1"/>
          <w:cols w:space="720" w:num="1"/>
          <w:titlePg/>
          <w:docGrid w:type="lines" w:linePitch="312" w:charSpace="0"/>
        </w:sectPr>
      </w:pPr>
    </w:p>
    <w:p w14:paraId="3E57E34F">
      <w:pPr>
        <w:pStyle w:val="3"/>
        <w:keepNext w:val="0"/>
        <w:keepLines/>
        <w:pageBreakBefore/>
        <w:spacing w:before="156" w:beforeLines="50" w:after="156" w:afterLines="50" w:line="360" w:lineRule="auto"/>
        <w:jc w:val="center"/>
        <w:rPr>
          <w:rFonts w:ascii="宋体" w:eastAsia="宋体"/>
          <w:bCs/>
          <w:color w:val="auto"/>
          <w:sz w:val="36"/>
          <w:szCs w:val="36"/>
        </w:rPr>
      </w:pPr>
      <w:bookmarkStart w:id="11" w:name="_Toc4757"/>
      <w:bookmarkStart w:id="12" w:name="_Toc423973071"/>
      <w:r>
        <w:rPr>
          <w:rFonts w:hint="eastAsia" w:ascii="宋体" w:eastAsia="宋体"/>
          <w:bCs/>
          <w:color w:val="auto"/>
          <w:sz w:val="36"/>
          <w:szCs w:val="36"/>
        </w:rPr>
        <w:t xml:space="preserve">第一章  </w:t>
      </w:r>
      <w:bookmarkEnd w:id="0"/>
      <w:bookmarkEnd w:id="1"/>
      <w:bookmarkEnd w:id="2"/>
      <w:bookmarkEnd w:id="3"/>
      <w:bookmarkEnd w:id="4"/>
      <w:bookmarkEnd w:id="5"/>
      <w:bookmarkEnd w:id="6"/>
      <w:r>
        <w:rPr>
          <w:rFonts w:hint="eastAsia" w:ascii="宋体" w:eastAsia="宋体"/>
          <w:bCs/>
          <w:color w:val="auto"/>
          <w:sz w:val="36"/>
          <w:szCs w:val="36"/>
        </w:rPr>
        <w:t>竞争性磋商公告</w:t>
      </w:r>
      <w:bookmarkEnd w:id="7"/>
      <w:bookmarkEnd w:id="11"/>
      <w:bookmarkEnd w:id="12"/>
    </w:p>
    <w:p w14:paraId="5AC527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bookmarkStart w:id="13" w:name="_Toc389582035"/>
      <w:bookmarkStart w:id="14" w:name="_Toc2929"/>
      <w:bookmarkStart w:id="15" w:name="_Toc29249"/>
      <w:bookmarkStart w:id="16" w:name="_Toc423973072"/>
      <w:bookmarkStart w:id="17" w:name="_Toc3564"/>
      <w:r>
        <w:t>项目概况</w:t>
      </w:r>
    </w:p>
    <w:p w14:paraId="794819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t>关于第十届丝博会美食活动服务项目</w:t>
      </w:r>
      <w:r>
        <w:rPr>
          <w:rFonts w:hint="eastAsia"/>
        </w:rPr>
        <w:t>采购项目的潜在供应商应在CA锁自行下载获取采购文件，并于 2026年05月11日 09时30分 （北京时间）前提交响应文件。</w:t>
      </w:r>
    </w:p>
    <w:p w14:paraId="4B3701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rPr>
        <w:t>一、项目基本情况</w:t>
      </w:r>
    </w:p>
    <w:p w14:paraId="514A4A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rPr>
        <w:t>项目编号：HYDZB-2026-021</w:t>
      </w:r>
    </w:p>
    <w:p w14:paraId="1BFB6A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rPr>
        <w:t>项目名称：关于第十届丝博会美食活动服务项目</w:t>
      </w:r>
    </w:p>
    <w:p w14:paraId="060498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rPr>
        <w:t>采购方式：竞争性磋商</w:t>
      </w:r>
    </w:p>
    <w:p w14:paraId="3A8A76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rPr>
        <w:t>预算金额：780,000.00元</w:t>
      </w:r>
    </w:p>
    <w:p w14:paraId="79558D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rPr>
        <w:t>采购需求：</w:t>
      </w:r>
    </w:p>
    <w:p w14:paraId="1629C7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rPr>
        <w:t>合同包1(榆林市商务局关于第十届丝博会美食活动服务项目):</w:t>
      </w:r>
    </w:p>
    <w:p w14:paraId="037FB7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rPr>
        <w:t>合同包预算金额：780,000.00元</w:t>
      </w:r>
    </w:p>
    <w:p w14:paraId="6347EE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rPr>
        <w:t>合同包最高限价：780,000.00元</w:t>
      </w:r>
    </w:p>
    <w:tbl>
      <w:tblPr>
        <w:tblStyle w:val="47"/>
        <w:tblW w:w="96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11"/>
        <w:gridCol w:w="1256"/>
        <w:gridCol w:w="3572"/>
        <w:gridCol w:w="1127"/>
        <w:gridCol w:w="1631"/>
        <w:gridCol w:w="1440"/>
      </w:tblGrid>
      <w:tr w14:paraId="3D358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0" w:hRule="atLeast"/>
          <w:tblHeader/>
        </w:trPr>
        <w:tc>
          <w:tcPr>
            <w:tcW w:w="61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F3535E">
            <w:pPr>
              <w:jc w:val="center"/>
            </w:pPr>
            <w:r>
              <w:rPr>
                <w:lang w:val="en-US" w:eastAsia="zh-CN"/>
              </w:rPr>
              <w:t>品目号</w:t>
            </w:r>
          </w:p>
        </w:tc>
        <w:tc>
          <w:tcPr>
            <w:tcW w:w="129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888DDBD">
            <w:pPr>
              <w:jc w:val="center"/>
            </w:pPr>
            <w:r>
              <w:rPr>
                <w:lang w:val="en-US" w:eastAsia="zh-CN"/>
              </w:rPr>
              <w:t>品目名称</w:t>
            </w:r>
          </w:p>
        </w:tc>
        <w:tc>
          <w:tcPr>
            <w:tcW w:w="373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3D7A5A6">
            <w:pPr>
              <w:jc w:val="center"/>
            </w:pPr>
            <w:r>
              <w:rPr>
                <w:lang w:val="en-US" w:eastAsia="zh-CN"/>
              </w:rPr>
              <w:t>采购标的</w:t>
            </w:r>
          </w:p>
        </w:tc>
        <w:tc>
          <w:tcPr>
            <w:tcW w:w="114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C0628A3">
            <w:pPr>
              <w:jc w:val="center"/>
            </w:pPr>
            <w:r>
              <w:rPr>
                <w:lang w:val="en-US" w:eastAsia="zh-CN"/>
              </w:rPr>
              <w:t>数量（单位）</w:t>
            </w:r>
          </w:p>
        </w:tc>
        <w:tc>
          <w:tcPr>
            <w:tcW w:w="14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6E3992D">
            <w:pPr>
              <w:jc w:val="center"/>
            </w:pPr>
            <w:r>
              <w:rPr>
                <w:lang w:val="en-US" w:eastAsia="zh-CN"/>
              </w:rPr>
              <w:t>技术规格、参数及要求</w:t>
            </w:r>
          </w:p>
        </w:tc>
        <w:tc>
          <w:tcPr>
            <w:tcW w:w="144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0946C0">
            <w:pPr>
              <w:jc w:val="center"/>
            </w:pPr>
            <w:r>
              <w:rPr>
                <w:lang w:val="en-US" w:eastAsia="zh-CN"/>
              </w:rPr>
              <w:t>品目预算(元)</w:t>
            </w:r>
          </w:p>
        </w:tc>
      </w:tr>
      <w:tr w14:paraId="794F3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98"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F23CCFC">
            <w:pPr>
              <w:jc w:val="center"/>
            </w:pPr>
            <w:r>
              <w:rPr>
                <w:lang w:val="en-US" w:eastAsia="zh-CN"/>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726DDF">
            <w:pPr>
              <w:jc w:val="center"/>
            </w:pPr>
            <w:r>
              <w:rPr>
                <w:lang w:val="en-US" w:eastAsia="zh-CN"/>
              </w:rPr>
              <w:t>其他服务</w:t>
            </w:r>
          </w:p>
        </w:tc>
        <w:tc>
          <w:tcPr>
            <w:tcW w:w="373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3B2DBC">
            <w:pPr>
              <w:jc w:val="center"/>
            </w:pPr>
            <w:r>
              <w:rPr>
                <w:lang w:val="en-US" w:eastAsia="zh-CN"/>
              </w:rPr>
              <w:t>榆林市商务局关于第十届丝博会美食活动服务项目</w:t>
            </w:r>
          </w:p>
        </w:tc>
        <w:tc>
          <w:tcPr>
            <w:tcW w:w="114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9A159DC">
            <w:pPr>
              <w:jc w:val="center"/>
            </w:pPr>
            <w:r>
              <w:rPr>
                <w:lang w:val="en-US" w:eastAsia="zh-CN"/>
              </w:rPr>
              <w:t>1(家)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2A7D808">
            <w:pPr>
              <w:jc w:val="center"/>
            </w:pPr>
            <w:r>
              <w:rPr>
                <w:lang w:val="en-US" w:eastAsia="zh-CN"/>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1B77C33">
            <w:pPr>
              <w:jc w:val="center"/>
            </w:pPr>
            <w:r>
              <w:rPr>
                <w:lang w:val="en-US" w:eastAsia="zh-CN"/>
              </w:rPr>
              <w:t>780,000.00</w:t>
            </w:r>
          </w:p>
        </w:tc>
      </w:tr>
    </w:tbl>
    <w:p w14:paraId="06465B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rPr>
        <w:t>本合同包不接受联合体投标</w:t>
      </w:r>
    </w:p>
    <w:p w14:paraId="5C4118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rPr>
        <w:t>合同履行期限：无</w:t>
      </w:r>
    </w:p>
    <w:p w14:paraId="7FF840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rPr>
        <w:t>二、申请人的资格要求：</w:t>
      </w:r>
    </w:p>
    <w:p w14:paraId="17FCF7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rPr>
        <w:t>1.满足《中华人民共和国政府采购法》第二十二条规定;</w:t>
      </w:r>
    </w:p>
    <w:p w14:paraId="3DACEF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rPr>
        <w:t>2.落实政府采购政策需满足的资格要求：</w:t>
      </w:r>
    </w:p>
    <w:p w14:paraId="582C5C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rPr>
        <w:t>合同包1(榆林市商务局关于第十届丝博会美食活动服务项目)落实政府采购政策需满足的资格要求如下:</w:t>
      </w:r>
    </w:p>
    <w:p w14:paraId="3E22C2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rPr>
        <w:t>（1）《政府采购促进中小企业发展管理办法》（财库〔2020〕46号）；</w:t>
      </w:r>
      <w:r>
        <w:rPr>
          <w:rFonts w:hint="eastAsia"/>
        </w:rPr>
        <w:br w:type="textWrapping"/>
      </w:r>
      <w:r>
        <w:rPr>
          <w:rFonts w:hint="eastAsia"/>
        </w:rPr>
        <w:t>（2）《财政部司法部关于政府采购支持监狱企业发展有关问题的通知》（财库〔2014〕68号）；</w:t>
      </w:r>
      <w:r>
        <w:rPr>
          <w:rFonts w:hint="eastAsia"/>
        </w:rPr>
        <w:br w:type="textWrapping"/>
      </w:r>
      <w:r>
        <w:rPr>
          <w:rFonts w:hint="eastAsia"/>
        </w:rPr>
        <w:t>（3）《财政部、民政部、中国残疾人联合会关于促进残疾人就业政府采购政策的通知》（财库[2017]141号）；</w:t>
      </w:r>
      <w:r>
        <w:rPr>
          <w:rFonts w:hint="eastAsia"/>
        </w:rPr>
        <w:br w:type="textWrapping"/>
      </w:r>
      <w:r>
        <w:rPr>
          <w:rFonts w:hint="eastAsia"/>
        </w:rPr>
        <w:t>（4）陕西省财政厅关于印发《陕西省中小企业政府采购信用融资办法》（陕财办采〔2018〕23号）；相关政策、业务流程、办理平台(http://www.ccgpshaanxi.gov.cn/zcdservice/zcd/shanxi/)；</w:t>
      </w:r>
      <w:r>
        <w:rPr>
          <w:rFonts w:hint="eastAsia"/>
        </w:rPr>
        <w:br w:type="textWrapping"/>
      </w:r>
      <w:r>
        <w:rPr>
          <w:rFonts w:hint="eastAsia"/>
        </w:rPr>
        <w:t>（5）《关于在政府采购活动中查询及使用信用记录有关问题的通知》（财库〔2016〕125号）；</w:t>
      </w:r>
      <w:r>
        <w:rPr>
          <w:rFonts w:hint="eastAsia"/>
        </w:rPr>
        <w:br w:type="textWrapping"/>
      </w:r>
      <w:r>
        <w:rPr>
          <w:rFonts w:hint="eastAsia"/>
        </w:rPr>
        <w:t>（6）《榆林市财政局关于进一步加大政府采购支持中小企业力度的通知》（榆政财采发〔2023〕10号)；</w:t>
      </w:r>
      <w:r>
        <w:rPr>
          <w:rFonts w:hint="eastAsia"/>
        </w:rPr>
        <w:br w:type="textWrapping"/>
      </w:r>
      <w:r>
        <w:rPr>
          <w:rFonts w:hint="eastAsia"/>
        </w:rPr>
        <w:t>（7）《陕西省财政厅关于进一步加大政府采购支持中小企业力度的通知》(陕财采发〔2023〕5号)；</w:t>
      </w:r>
      <w:r>
        <w:rPr>
          <w:rFonts w:hint="eastAsia"/>
        </w:rPr>
        <w:br w:type="textWrapping"/>
      </w:r>
      <w:r>
        <w:rPr>
          <w:rFonts w:hint="eastAsia"/>
        </w:rPr>
        <w:t>（8）《陕西省财政厅中国人民银行西安分行关于深入推进政府采购信用融资业务的通知》（陕财办采〔2023]5号）。</w:t>
      </w:r>
    </w:p>
    <w:p w14:paraId="1ED170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rPr>
        <w:t>3.本项目的特定资格要求：</w:t>
      </w:r>
    </w:p>
    <w:p w14:paraId="3F66E0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rPr>
        <w:t>合同包1(榆林市商务局关于第十届丝博会美食活动服务项目)特定资格要求如下:</w:t>
      </w:r>
    </w:p>
    <w:p w14:paraId="5E60EE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rPr>
        <w:t>  1、投标人须具备独立承担民事责任能力的法人或其他组织，提供合法有效的统一社会信用代码的营业执照； </w:t>
      </w:r>
      <w:r>
        <w:rPr>
          <w:rFonts w:hint="eastAsia"/>
        </w:rPr>
        <w:br w:type="textWrapping"/>
      </w:r>
      <w:r>
        <w:rPr>
          <w:rFonts w:hint="eastAsia"/>
        </w:rPr>
        <w:t>  2、财务状况报告：提供企业2025年度赋码财务审计报告（至少包括资产负债表、利润表、现金流量表及附注，提供的财务审计报告需在注册会计师行业统一监管平台（http://acc.mof.gov.cn/）可查询并提供网页截图）或开标前六个月内其基本账户银行出具的资信证明或财政部门认可的政府采购专业担保机构出具的担保函，以上形式的证明资料提供任何一种即可；</w:t>
      </w:r>
      <w:r>
        <w:rPr>
          <w:rFonts w:hint="eastAsia"/>
        </w:rPr>
        <w:br w:type="textWrapping"/>
      </w:r>
      <w:r>
        <w:rPr>
          <w:rFonts w:hint="eastAsia"/>
        </w:rPr>
        <w:t>  3、社会保障资金缴纳证明：提供企业2026年1月至今已缴存的至少一个月的社会保障资金缴纳证明（社会保障资金缴存单据或社保机构开具的社会保险参保缴费情况证明），依法不需要缴纳社会保障资金的单位应提供相关证明材料；</w:t>
      </w:r>
      <w:r>
        <w:rPr>
          <w:rFonts w:hint="eastAsia"/>
        </w:rPr>
        <w:br w:type="textWrapping"/>
      </w:r>
      <w:r>
        <w:rPr>
          <w:rFonts w:hint="eastAsia"/>
        </w:rPr>
        <w:t>  4、税收缴纳证明：提供企业2026年1月至今已缴纳的至少一个月的税收缴纳证明（时间以税款所属日期为准、税种须包含增值税或企业所得税，凭据应有税务机关或代收机关的公章或业务专用章）依法免税或无须缴纳税收的供应商，应提供相应证明文件；</w:t>
      </w:r>
      <w:r>
        <w:rPr>
          <w:rFonts w:hint="eastAsia"/>
        </w:rPr>
        <w:br w:type="textWrapping"/>
      </w:r>
      <w:r>
        <w:rPr>
          <w:rFonts w:hint="eastAsia"/>
        </w:rPr>
        <w:t>  5、参加政府采购活动前3年内在经营活动中没有重大违法记录的书面声明（格式自拟，加盖投标人公章）；</w:t>
      </w:r>
      <w:r>
        <w:rPr>
          <w:rFonts w:hint="eastAsia"/>
        </w:rPr>
        <w:br w:type="textWrapping"/>
      </w:r>
      <w:r>
        <w:rPr>
          <w:rFonts w:hint="eastAsia"/>
        </w:rPr>
        <w:t>  6、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公章）有以上不良记录的不得参与评审活动；</w:t>
      </w:r>
      <w:r>
        <w:rPr>
          <w:rFonts w:hint="eastAsia"/>
        </w:rPr>
        <w:br w:type="textWrapping"/>
      </w:r>
      <w:r>
        <w:rPr>
          <w:rFonts w:hint="eastAsia"/>
        </w:rPr>
        <w:t>  7、投标保证金用投标信用承诺书代替（提供投标信用承诺书）；</w:t>
      </w:r>
      <w:r>
        <w:rPr>
          <w:rFonts w:hint="eastAsia"/>
        </w:rPr>
        <w:br w:type="textWrapping"/>
      </w:r>
      <w:r>
        <w:rPr>
          <w:rFonts w:hint="eastAsia"/>
        </w:rPr>
        <w:t>  8、本项目不接受联合体投标，单位负责人为同一人或者存在直接控股、管理关系的不同投标人，不得参加同一合同项下的政府采购活动（须提供非联合体投标声明函）；</w:t>
      </w:r>
      <w:r>
        <w:rPr>
          <w:rFonts w:hint="eastAsia"/>
        </w:rPr>
        <w:br w:type="textWrapping"/>
      </w:r>
      <w:r>
        <w:rPr>
          <w:rFonts w:hint="eastAsia"/>
        </w:rPr>
        <w:t>  9、 本项目专门面向中小企业采购（须提供中小企业声明函）。</w:t>
      </w:r>
      <w:r>
        <w:rPr>
          <w:rFonts w:hint="eastAsia"/>
        </w:rPr>
        <w:br w:type="textWrapping"/>
      </w:r>
      <w:r>
        <w:rPr>
          <w:rFonts w:hint="eastAsia"/>
        </w:rPr>
        <w:t>  注：本项目为专门面向中小企业项目。供应商应为中型、小型、微型企业或监狱企业或残疾人福利性单位，供应商为中型、小型、微型企业的，提供《中小企业声明函》；供应商为监狱企业的，应提供监狱企业的证明文件；供应商为残疾人福利性单位的，应提供《残疾人福利性单位声明函》（监狱企业或残疾人福利性单位视同小型、微型企业）。</w:t>
      </w:r>
    </w:p>
    <w:p w14:paraId="131189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rPr>
        <w:t>三、获取采购文件</w:t>
      </w:r>
    </w:p>
    <w:p w14:paraId="4C91D3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rPr>
        <w:t>时间： 2026年04月28日 至 2026年05月07日 ，每天上午 08:00:00 至 12:00:00 ，下午 12:00:00 至 18:00:00 （北京时间）</w:t>
      </w:r>
    </w:p>
    <w:p w14:paraId="0DF8F5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rPr>
        <w:t>途径：CA锁自行下载</w:t>
      </w:r>
    </w:p>
    <w:p w14:paraId="0EEA9C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rPr>
        <w:t>方式：在线获取</w:t>
      </w:r>
    </w:p>
    <w:p w14:paraId="1887E8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rPr>
        <w:t>售价： 0元</w:t>
      </w:r>
    </w:p>
    <w:p w14:paraId="67AF7B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rPr>
        <w:t>四、响应文件提交</w:t>
      </w:r>
    </w:p>
    <w:p w14:paraId="1C8B99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rPr>
        <w:t>截止时间： 2026年05月11日 09时30分00秒 （北京时间）</w:t>
      </w:r>
    </w:p>
    <w:p w14:paraId="269ABE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rPr>
        <w:t>地点：网上递交</w:t>
      </w:r>
    </w:p>
    <w:p w14:paraId="3327E1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rPr>
        <w:t>五、开启</w:t>
      </w:r>
    </w:p>
    <w:p w14:paraId="1F689B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rPr>
        <w:t>时间： 2026年05月11日 09时30分00秒 （北京时间）</w:t>
      </w:r>
    </w:p>
    <w:p w14:paraId="667ADD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rPr>
        <w:t>地点：榆林市不见面开标大厅</w:t>
      </w:r>
    </w:p>
    <w:p w14:paraId="53505B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rPr>
        <w:t>六、公告期限</w:t>
      </w:r>
    </w:p>
    <w:p w14:paraId="7EA38E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rPr>
        <w:t>自本公告发布之日起3个工作日。</w:t>
      </w:r>
    </w:p>
    <w:p w14:paraId="1C0B70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rPr>
        <w:t>七、其他补充事宜</w:t>
      </w:r>
    </w:p>
    <w:p w14:paraId="635CF1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lang w:val="en-US" w:eastAsia="zh-CN"/>
        </w:rPr>
        <w:t>1.供应商可登录全国公共资源交易中心平台(陕西省) (http://www.sxggzyjy.cn/) ,选择“电子交易平台-陕西政府采购交易系统-陕西省公共资源交易平台-供应商”进行登录，登录后选择“交易乙方”身份进入供应商界面进行报名并免费下载磋商文件。</w:t>
      </w:r>
    </w:p>
    <w:p w14:paraId="698EE5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lang w:val="en-US" w:eastAsia="zh-CN"/>
        </w:rPr>
        <w:t>2.本项目采用电子化招投标的方式，供应商使用数字认证证书(CA锁)对投标文件进行签章、加密、递交及开标时解密等相关招投标事宜。</w:t>
      </w:r>
    </w:p>
    <w:p w14:paraId="56EF51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lang w:val="en-US" w:eastAsia="zh-CN"/>
        </w:rPr>
        <w:t>3.电子投标文件制作软件技术支持热线：400-998-0000，CA锁购买：榆林市民大厦3楼E18、E19窗口,电话：0912-3452148。</w:t>
      </w:r>
    </w:p>
    <w:p w14:paraId="073350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lang w:val="en-US" w:eastAsia="zh-CN"/>
        </w:rPr>
        <w:t>4.本项目采用“不见面”开标形式，不见面开标系统操作手册下载方式：登录【全国公共资源交易平台(陕西省)】网站首页选择【服务指南】-【下载专区】 -点击【关于陕西省公共资源交易平台多CA互认系统正式上线运行的通知】进行下载。</w:t>
      </w:r>
    </w:p>
    <w:p w14:paraId="1EB9D2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lang w:val="en-US" w:eastAsia="zh-CN"/>
        </w:rPr>
        <w:t>5、供应商应随时关注发布的变更公告，当澄清或修改的内容影响投标文件编制时，将在交易平台上发布答疑文件，投标人应从“项目流程·〉答疑文件下载”下载最新发布的答疑文件（*.SXSCF格式），并使用该文件重新编制电子投标文件（*.SXSTF格式），使用旧版电子谈判文件或旧版答疑文件制作的电子投标文件，系统将拒绝接收。</w:t>
      </w:r>
    </w:p>
    <w:p w14:paraId="400EA5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lang w:val="en-US" w:eastAsia="zh-CN"/>
        </w:rPr>
        <w:t>6.请各供应商按照陕西省财政厅《关于政府采购投标供应商注册登记有关事项的通知》要求，通过陕西省政府采购 (http://www.ccgp-shaanxi.gov.cn/) 注册登记加入陕西省政府采购投标供应商库。</w:t>
      </w:r>
    </w:p>
    <w:p w14:paraId="057AF2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rPr>
        <w:t>八、对本次招标提出询问，请按以下方式联系。</w:t>
      </w:r>
    </w:p>
    <w:p w14:paraId="7F06BF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t>1.采购人信息</w:t>
      </w:r>
    </w:p>
    <w:p w14:paraId="01AA65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rPr>
        <w:t>名称：榆林市商务局</w:t>
      </w:r>
    </w:p>
    <w:p w14:paraId="3DD049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rPr>
        <w:t>地址：青山路榆林市人民政府8楼815室</w:t>
      </w:r>
    </w:p>
    <w:p w14:paraId="19056A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rPr>
        <w:t>联系方式：13098256663</w:t>
      </w:r>
    </w:p>
    <w:p w14:paraId="38CF80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t>2.采购代理机构信息</w:t>
      </w:r>
    </w:p>
    <w:p w14:paraId="715854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rPr>
        <w:t>名称：榆林市恒易达工程项目管理有限公司</w:t>
      </w:r>
    </w:p>
    <w:p w14:paraId="76B424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rPr>
        <w:t>地址：榆林市高新区安居东路58号（金叶小区一楼商铺）</w:t>
      </w:r>
    </w:p>
    <w:p w14:paraId="2B63EB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rPr>
        <w:t>联系方式：0912-3448777</w:t>
      </w:r>
    </w:p>
    <w:p w14:paraId="676119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t>3.项目联系方式</w:t>
      </w:r>
    </w:p>
    <w:p w14:paraId="58CF73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rPr>
        <w:t>项目联系人：纪瑜</w:t>
      </w:r>
    </w:p>
    <w:p w14:paraId="7C391A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rPr>
        <w:t>电话：15619910006</w:t>
      </w:r>
    </w:p>
    <w:p w14:paraId="62BBE80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rPr>
      </w:pPr>
      <w:r>
        <w:rPr>
          <w:rFonts w:hint="eastAsia"/>
        </w:rPr>
        <w:t>榆林市恒易达工程项目管理有限公司</w:t>
      </w:r>
    </w:p>
    <w:p w14:paraId="27BDF6D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rPr>
      </w:pPr>
      <w:r>
        <w:rPr>
          <w:rFonts w:hint="eastAsia"/>
        </w:rPr>
        <w:t>2026年04月27日</w:t>
      </w:r>
    </w:p>
    <w:p w14:paraId="02A870AB">
      <w:pPr>
        <w:pStyle w:val="42"/>
        <w:keepNext w:val="0"/>
        <w:keepLines w:val="0"/>
        <w:widowControl/>
        <w:suppressLineNumbers w:val="0"/>
        <w:spacing w:before="0" w:beforeAutospacing="0" w:after="0" w:afterAutospacing="0" w:line="510" w:lineRule="atLeast"/>
        <w:ind w:left="0" w:right="0" w:firstLine="420"/>
        <w:jc w:val="center"/>
        <w:rPr>
          <w:rFonts w:hint="eastAsia" w:hAnsi="宋体"/>
          <w:b/>
          <w:bCs/>
          <w:color w:val="auto"/>
          <w:kern w:val="2"/>
          <w:sz w:val="36"/>
          <w:szCs w:val="36"/>
        </w:rPr>
      </w:pPr>
    </w:p>
    <w:p w14:paraId="714B181C">
      <w:pPr>
        <w:pStyle w:val="29"/>
        <w:rPr>
          <w:rFonts w:hint="eastAsia" w:hAnsi="宋体"/>
          <w:b/>
          <w:bCs/>
          <w:color w:val="auto"/>
          <w:kern w:val="2"/>
          <w:sz w:val="36"/>
          <w:szCs w:val="36"/>
        </w:rPr>
      </w:pPr>
    </w:p>
    <w:p w14:paraId="665B62D2">
      <w:pPr>
        <w:pStyle w:val="29"/>
        <w:rPr>
          <w:rFonts w:hint="eastAsia" w:hAnsi="宋体"/>
          <w:b/>
          <w:bCs/>
          <w:color w:val="auto"/>
          <w:kern w:val="2"/>
          <w:sz w:val="36"/>
          <w:szCs w:val="36"/>
        </w:rPr>
      </w:pPr>
    </w:p>
    <w:p w14:paraId="1B475D3F">
      <w:pPr>
        <w:pStyle w:val="29"/>
        <w:rPr>
          <w:rFonts w:hint="eastAsia" w:hAnsi="宋体"/>
          <w:b/>
          <w:bCs/>
          <w:color w:val="auto"/>
          <w:kern w:val="2"/>
          <w:sz w:val="36"/>
          <w:szCs w:val="36"/>
        </w:rPr>
      </w:pPr>
    </w:p>
    <w:p w14:paraId="14BE32C0">
      <w:pPr>
        <w:pStyle w:val="29"/>
        <w:rPr>
          <w:rFonts w:hint="eastAsia" w:hAnsi="宋体"/>
          <w:b/>
          <w:bCs/>
          <w:color w:val="auto"/>
          <w:kern w:val="2"/>
          <w:sz w:val="36"/>
          <w:szCs w:val="36"/>
        </w:rPr>
      </w:pPr>
    </w:p>
    <w:p w14:paraId="796C29B4">
      <w:pPr>
        <w:pStyle w:val="29"/>
        <w:rPr>
          <w:rFonts w:hint="eastAsia" w:hAnsi="宋体"/>
          <w:b/>
          <w:bCs/>
          <w:color w:val="auto"/>
          <w:kern w:val="2"/>
          <w:sz w:val="36"/>
          <w:szCs w:val="36"/>
        </w:rPr>
      </w:pPr>
    </w:p>
    <w:p w14:paraId="31A03474">
      <w:pPr>
        <w:pStyle w:val="29"/>
        <w:rPr>
          <w:rFonts w:hint="eastAsia" w:hAnsi="宋体"/>
          <w:b/>
          <w:bCs/>
          <w:color w:val="auto"/>
          <w:kern w:val="2"/>
          <w:sz w:val="36"/>
          <w:szCs w:val="36"/>
        </w:rPr>
      </w:pPr>
    </w:p>
    <w:p w14:paraId="7DDAF95C">
      <w:pPr>
        <w:pStyle w:val="29"/>
        <w:rPr>
          <w:rFonts w:hint="eastAsia" w:hAnsi="宋体"/>
          <w:b/>
          <w:bCs/>
          <w:color w:val="auto"/>
          <w:kern w:val="2"/>
          <w:sz w:val="36"/>
          <w:szCs w:val="36"/>
        </w:rPr>
      </w:pPr>
    </w:p>
    <w:p w14:paraId="5B2164D3">
      <w:pPr>
        <w:pStyle w:val="29"/>
        <w:rPr>
          <w:rFonts w:hint="eastAsia" w:hAnsi="宋体"/>
          <w:b/>
          <w:bCs/>
          <w:color w:val="auto"/>
          <w:kern w:val="2"/>
          <w:sz w:val="36"/>
          <w:szCs w:val="36"/>
        </w:rPr>
      </w:pPr>
    </w:p>
    <w:p w14:paraId="4F534CBE">
      <w:pPr>
        <w:pStyle w:val="29"/>
        <w:rPr>
          <w:rFonts w:hint="eastAsia" w:hAnsi="宋体"/>
          <w:b/>
          <w:bCs/>
          <w:color w:val="auto"/>
          <w:kern w:val="2"/>
          <w:sz w:val="36"/>
          <w:szCs w:val="36"/>
        </w:rPr>
      </w:pPr>
    </w:p>
    <w:p w14:paraId="501E2808">
      <w:pPr>
        <w:pStyle w:val="29"/>
        <w:rPr>
          <w:rFonts w:hint="eastAsia" w:hAnsi="宋体"/>
          <w:b/>
          <w:bCs/>
          <w:color w:val="auto"/>
          <w:kern w:val="2"/>
          <w:sz w:val="36"/>
          <w:szCs w:val="36"/>
        </w:rPr>
      </w:pPr>
    </w:p>
    <w:p w14:paraId="62A8EA80">
      <w:pPr>
        <w:pStyle w:val="29"/>
        <w:rPr>
          <w:rFonts w:hint="eastAsia" w:hAnsi="宋体"/>
          <w:b/>
          <w:bCs/>
          <w:color w:val="auto"/>
          <w:kern w:val="2"/>
          <w:sz w:val="36"/>
          <w:szCs w:val="36"/>
        </w:rPr>
      </w:pPr>
    </w:p>
    <w:p w14:paraId="59ED5F4D">
      <w:pPr>
        <w:pStyle w:val="29"/>
        <w:rPr>
          <w:rFonts w:hint="eastAsia" w:hAnsi="宋体"/>
          <w:b/>
          <w:bCs/>
          <w:color w:val="auto"/>
          <w:kern w:val="2"/>
          <w:sz w:val="36"/>
          <w:szCs w:val="36"/>
        </w:rPr>
      </w:pPr>
    </w:p>
    <w:p w14:paraId="25F5A977">
      <w:pPr>
        <w:pStyle w:val="29"/>
        <w:rPr>
          <w:rFonts w:hint="eastAsia" w:hAnsi="宋体"/>
          <w:b/>
          <w:bCs/>
          <w:color w:val="auto"/>
          <w:kern w:val="2"/>
          <w:sz w:val="36"/>
          <w:szCs w:val="36"/>
        </w:rPr>
      </w:pPr>
    </w:p>
    <w:p w14:paraId="38DD0538">
      <w:pPr>
        <w:pStyle w:val="29"/>
        <w:rPr>
          <w:rFonts w:hint="eastAsia" w:hAnsi="宋体"/>
          <w:b/>
          <w:bCs/>
          <w:color w:val="auto"/>
          <w:kern w:val="2"/>
          <w:sz w:val="36"/>
          <w:szCs w:val="36"/>
        </w:rPr>
      </w:pPr>
    </w:p>
    <w:p w14:paraId="602A7521">
      <w:pPr>
        <w:pStyle w:val="29"/>
        <w:rPr>
          <w:rFonts w:hint="eastAsia" w:hAnsi="宋体"/>
          <w:b/>
          <w:bCs/>
          <w:color w:val="auto"/>
          <w:kern w:val="2"/>
          <w:sz w:val="36"/>
          <w:szCs w:val="36"/>
        </w:rPr>
      </w:pPr>
    </w:p>
    <w:p w14:paraId="64784008">
      <w:pPr>
        <w:pStyle w:val="29"/>
        <w:rPr>
          <w:rFonts w:hint="eastAsia" w:hAnsi="宋体"/>
          <w:b/>
          <w:bCs/>
          <w:color w:val="auto"/>
          <w:kern w:val="2"/>
          <w:sz w:val="36"/>
          <w:szCs w:val="36"/>
        </w:rPr>
      </w:pPr>
    </w:p>
    <w:p w14:paraId="36A0B23C">
      <w:pPr>
        <w:pStyle w:val="29"/>
        <w:rPr>
          <w:rFonts w:hint="eastAsia" w:hAnsi="宋体"/>
          <w:b/>
          <w:bCs/>
          <w:color w:val="auto"/>
          <w:kern w:val="2"/>
          <w:sz w:val="36"/>
          <w:szCs w:val="36"/>
        </w:rPr>
      </w:pPr>
    </w:p>
    <w:p w14:paraId="412A8C3F">
      <w:pPr>
        <w:pStyle w:val="29"/>
        <w:rPr>
          <w:rFonts w:hint="eastAsia" w:hAnsi="宋体"/>
          <w:b/>
          <w:bCs/>
          <w:color w:val="auto"/>
          <w:kern w:val="2"/>
          <w:sz w:val="36"/>
          <w:szCs w:val="36"/>
        </w:rPr>
      </w:pPr>
    </w:p>
    <w:p w14:paraId="1F109A0C">
      <w:pPr>
        <w:pStyle w:val="29"/>
        <w:rPr>
          <w:rFonts w:hint="eastAsia" w:hAnsi="宋体"/>
          <w:b/>
          <w:bCs/>
          <w:color w:val="auto"/>
          <w:kern w:val="2"/>
          <w:sz w:val="36"/>
          <w:szCs w:val="36"/>
        </w:rPr>
      </w:pPr>
    </w:p>
    <w:p w14:paraId="0A3E4D46">
      <w:pPr>
        <w:pStyle w:val="29"/>
        <w:rPr>
          <w:rFonts w:hint="eastAsia" w:hAnsi="宋体"/>
          <w:b/>
          <w:bCs/>
          <w:color w:val="auto"/>
          <w:kern w:val="2"/>
          <w:sz w:val="36"/>
          <w:szCs w:val="36"/>
        </w:rPr>
      </w:pPr>
    </w:p>
    <w:p w14:paraId="42AA6973">
      <w:pPr>
        <w:pStyle w:val="29"/>
        <w:rPr>
          <w:rFonts w:hint="eastAsia" w:hAnsi="宋体"/>
          <w:b/>
          <w:bCs/>
          <w:color w:val="auto"/>
          <w:kern w:val="2"/>
          <w:sz w:val="36"/>
          <w:szCs w:val="36"/>
        </w:rPr>
      </w:pPr>
    </w:p>
    <w:p w14:paraId="2D3300E1">
      <w:pPr>
        <w:pStyle w:val="29"/>
        <w:rPr>
          <w:rFonts w:hint="eastAsia" w:hAnsi="宋体"/>
          <w:b/>
          <w:bCs/>
          <w:color w:val="auto"/>
          <w:kern w:val="2"/>
          <w:sz w:val="36"/>
          <w:szCs w:val="36"/>
        </w:rPr>
      </w:pPr>
    </w:p>
    <w:p w14:paraId="397B23AE">
      <w:pPr>
        <w:pStyle w:val="29"/>
        <w:rPr>
          <w:rFonts w:hint="eastAsia" w:hAnsi="宋体"/>
          <w:b/>
          <w:bCs/>
          <w:color w:val="auto"/>
          <w:kern w:val="2"/>
          <w:sz w:val="36"/>
          <w:szCs w:val="36"/>
        </w:rPr>
      </w:pPr>
    </w:p>
    <w:p w14:paraId="1FCCD05B">
      <w:pPr>
        <w:pStyle w:val="29"/>
        <w:rPr>
          <w:rFonts w:hint="eastAsia" w:hAnsi="宋体"/>
          <w:b/>
          <w:bCs/>
          <w:color w:val="auto"/>
          <w:kern w:val="2"/>
          <w:sz w:val="36"/>
          <w:szCs w:val="36"/>
        </w:rPr>
      </w:pPr>
    </w:p>
    <w:p w14:paraId="0C7E1A37">
      <w:pPr>
        <w:pStyle w:val="29"/>
        <w:rPr>
          <w:rFonts w:hint="eastAsia" w:hAnsi="宋体"/>
          <w:b/>
          <w:bCs/>
          <w:color w:val="auto"/>
          <w:kern w:val="2"/>
          <w:sz w:val="36"/>
          <w:szCs w:val="36"/>
        </w:rPr>
      </w:pPr>
    </w:p>
    <w:p w14:paraId="6DD9C6D5">
      <w:pPr>
        <w:pStyle w:val="29"/>
        <w:rPr>
          <w:rFonts w:hint="eastAsia" w:hAnsi="宋体"/>
          <w:b/>
          <w:bCs/>
          <w:color w:val="auto"/>
          <w:kern w:val="2"/>
          <w:sz w:val="36"/>
          <w:szCs w:val="36"/>
        </w:rPr>
      </w:pPr>
    </w:p>
    <w:p w14:paraId="7F54140F">
      <w:pPr>
        <w:pStyle w:val="42"/>
        <w:keepNext w:val="0"/>
        <w:keepLines w:val="0"/>
        <w:widowControl/>
        <w:suppressLineNumbers w:val="0"/>
        <w:spacing w:before="0" w:beforeAutospacing="0" w:after="0" w:afterAutospacing="0" w:line="510" w:lineRule="atLeast"/>
        <w:ind w:left="0" w:right="0" w:firstLine="420"/>
        <w:jc w:val="center"/>
        <w:rPr>
          <w:rFonts w:hint="eastAsia"/>
          <w:bCs/>
          <w:color w:val="auto"/>
          <w:sz w:val="36"/>
          <w:szCs w:val="36"/>
        </w:rPr>
      </w:pPr>
      <w:r>
        <w:rPr>
          <w:rFonts w:hint="eastAsia" w:hAnsi="宋体"/>
          <w:b/>
          <w:bCs/>
          <w:color w:val="auto"/>
          <w:kern w:val="2"/>
          <w:sz w:val="36"/>
          <w:szCs w:val="36"/>
        </w:rPr>
        <w:t xml:space="preserve">第二章  </w:t>
      </w:r>
      <w:bookmarkEnd w:id="13"/>
      <w:bookmarkEnd w:id="14"/>
      <w:bookmarkStart w:id="18" w:name="OLE_LINK3"/>
      <w:r>
        <w:rPr>
          <w:rFonts w:hint="eastAsia" w:hAnsi="宋体"/>
          <w:b/>
          <w:bCs/>
          <w:color w:val="auto"/>
          <w:kern w:val="2"/>
          <w:sz w:val="36"/>
          <w:szCs w:val="36"/>
        </w:rPr>
        <w:t>供应商须知</w:t>
      </w:r>
      <w:bookmarkEnd w:id="15"/>
      <w:bookmarkEnd w:id="16"/>
      <w:bookmarkEnd w:id="17"/>
      <w:bookmarkEnd w:id="18"/>
    </w:p>
    <w:p w14:paraId="07638CA1">
      <w:pPr>
        <w:pStyle w:val="4"/>
        <w:widowControl w:val="0"/>
        <w:spacing w:before="120" w:after="120" w:line="360" w:lineRule="auto"/>
        <w:ind w:left="0"/>
        <w:jc w:val="center"/>
        <w:rPr>
          <w:rFonts w:hint="eastAsia" w:ascii="宋体" w:hAnsi="宋体"/>
          <w:color w:val="auto"/>
          <w:sz w:val="32"/>
        </w:rPr>
      </w:pPr>
      <w:bookmarkStart w:id="19" w:name="_Toc19364"/>
      <w:bookmarkStart w:id="20" w:name="_Toc31462"/>
      <w:bookmarkStart w:id="21" w:name="OLE_LINK2"/>
      <w:bookmarkStart w:id="22" w:name="_Toc423973073"/>
      <w:r>
        <w:rPr>
          <w:rFonts w:hint="eastAsia" w:ascii="宋体" w:hAnsi="宋体"/>
          <w:color w:val="auto"/>
          <w:sz w:val="32"/>
        </w:rPr>
        <w:t>供应商须知前附表</w:t>
      </w:r>
      <w:bookmarkEnd w:id="19"/>
      <w:bookmarkEnd w:id="20"/>
      <w:bookmarkEnd w:id="21"/>
      <w:bookmarkEnd w:id="22"/>
    </w:p>
    <w:p w14:paraId="4B02BDDE">
      <w:pPr>
        <w:spacing w:line="440" w:lineRule="exact"/>
        <w:ind w:firstLine="480" w:firstLineChars="200"/>
        <w:rPr>
          <w:rFonts w:hint="eastAsia"/>
          <w:color w:val="auto"/>
          <w:szCs w:val="24"/>
        </w:rPr>
      </w:pPr>
      <w:r>
        <w:rPr>
          <w:rFonts w:hint="eastAsia"/>
          <w:color w:val="auto"/>
          <w:szCs w:val="24"/>
        </w:rPr>
        <w:t>本表是对供应商须知的具体补充和修改，如有矛盾，应以本资料表为准。</w:t>
      </w:r>
    </w:p>
    <w:bookmarkEnd w:id="8"/>
    <w:bookmarkEnd w:id="9"/>
    <w:bookmarkEnd w:id="10"/>
    <w:tbl>
      <w:tblPr>
        <w:tblStyle w:val="47"/>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8303"/>
      </w:tblGrid>
      <w:tr w14:paraId="71440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52" w:type="dxa"/>
            <w:noWrap w:val="0"/>
            <w:vAlign w:val="center"/>
          </w:tcPr>
          <w:p w14:paraId="287E3A61">
            <w:pPr>
              <w:spacing w:line="360" w:lineRule="auto"/>
              <w:jc w:val="center"/>
              <w:rPr>
                <w:rFonts w:hint="eastAsia" w:ascii="宋体" w:hAnsi="宋体" w:cs="宋体"/>
                <w:b/>
                <w:color w:val="auto"/>
                <w:sz w:val="24"/>
                <w:szCs w:val="24"/>
              </w:rPr>
            </w:pPr>
            <w:bookmarkStart w:id="23" w:name="_Toc363473972"/>
            <w:bookmarkStart w:id="24" w:name="_Toc363474017"/>
            <w:bookmarkStart w:id="25" w:name="_Toc403077639"/>
            <w:r>
              <w:rPr>
                <w:rFonts w:hint="eastAsia" w:ascii="宋体" w:hAnsi="宋体" w:cs="宋体"/>
                <w:b/>
                <w:color w:val="auto"/>
                <w:sz w:val="24"/>
                <w:szCs w:val="24"/>
              </w:rPr>
              <w:t>项号</w:t>
            </w:r>
          </w:p>
        </w:tc>
        <w:tc>
          <w:tcPr>
            <w:tcW w:w="8303" w:type="dxa"/>
            <w:noWrap w:val="0"/>
            <w:vAlign w:val="center"/>
          </w:tcPr>
          <w:p w14:paraId="6399B846">
            <w:pPr>
              <w:spacing w:line="360" w:lineRule="auto"/>
              <w:jc w:val="center"/>
              <w:rPr>
                <w:rFonts w:hint="eastAsia" w:ascii="宋体" w:hAnsi="宋体" w:cs="宋体"/>
                <w:b/>
                <w:color w:val="auto"/>
                <w:sz w:val="24"/>
                <w:szCs w:val="24"/>
              </w:rPr>
            </w:pPr>
            <w:r>
              <w:rPr>
                <w:rFonts w:hint="eastAsia" w:ascii="宋体" w:hAnsi="宋体" w:cs="宋体"/>
                <w:b/>
                <w:color w:val="auto"/>
                <w:sz w:val="24"/>
                <w:szCs w:val="24"/>
              </w:rPr>
              <w:t>编列内容</w:t>
            </w:r>
          </w:p>
        </w:tc>
      </w:tr>
      <w:tr w14:paraId="07DBD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752" w:type="dxa"/>
            <w:noWrap w:val="0"/>
            <w:vAlign w:val="center"/>
          </w:tcPr>
          <w:p w14:paraId="7D4BB29D">
            <w:pPr>
              <w:numPr>
                <w:ilvl w:val="0"/>
                <w:numId w:val="6"/>
              </w:numPr>
              <w:spacing w:line="360" w:lineRule="auto"/>
              <w:jc w:val="center"/>
              <w:rPr>
                <w:rFonts w:hint="eastAsia" w:ascii="宋体" w:hAnsi="宋体" w:cs="宋体"/>
                <w:color w:val="auto"/>
                <w:sz w:val="24"/>
                <w:szCs w:val="24"/>
              </w:rPr>
            </w:pPr>
          </w:p>
        </w:tc>
        <w:tc>
          <w:tcPr>
            <w:tcW w:w="8303" w:type="dxa"/>
            <w:noWrap w:val="0"/>
            <w:vAlign w:val="center"/>
          </w:tcPr>
          <w:p w14:paraId="33777F67">
            <w:pPr>
              <w:spacing w:line="360" w:lineRule="auto"/>
              <w:ind w:leftChars="-9" w:hanging="19" w:hangingChars="8"/>
              <w:rPr>
                <w:rFonts w:hint="eastAsia" w:ascii="宋体" w:hAnsi="宋体" w:eastAsia="宋体" w:cs="宋体"/>
                <w:color w:val="auto"/>
                <w:sz w:val="24"/>
                <w:szCs w:val="24"/>
                <w:lang w:eastAsia="zh-CN"/>
              </w:rPr>
            </w:pPr>
            <w:r>
              <w:rPr>
                <w:rFonts w:hint="eastAsia" w:ascii="宋体" w:hAnsi="宋体" w:cs="宋体"/>
                <w:color w:val="auto"/>
                <w:sz w:val="24"/>
                <w:szCs w:val="24"/>
              </w:rPr>
              <w:t>采购项目名称：</w:t>
            </w:r>
            <w:r>
              <w:rPr>
                <w:rFonts w:hint="eastAsia" w:hAnsi="宋体" w:cs="宋体"/>
                <w:color w:val="auto"/>
                <w:sz w:val="24"/>
                <w:szCs w:val="24"/>
                <w:lang w:val="en-US" w:eastAsia="zh-CN"/>
              </w:rPr>
              <w:t>榆林市商务局关于第十届丝博会美食活动服务项目</w:t>
            </w:r>
          </w:p>
          <w:p w14:paraId="4F1C7B57">
            <w:pPr>
              <w:spacing w:line="360" w:lineRule="auto"/>
              <w:ind w:leftChars="-9" w:hanging="19" w:hangingChars="8"/>
              <w:rPr>
                <w:rFonts w:hint="eastAsia" w:ascii="宋体" w:hAnsi="宋体" w:eastAsia="宋体" w:cs="宋体"/>
                <w:color w:val="auto"/>
                <w:sz w:val="24"/>
                <w:szCs w:val="24"/>
                <w:lang w:eastAsia="zh-CN"/>
              </w:rPr>
            </w:pPr>
            <w:r>
              <w:rPr>
                <w:rFonts w:hint="eastAsia" w:ascii="宋体" w:hAnsi="宋体" w:cs="宋体"/>
                <w:color w:val="auto"/>
                <w:sz w:val="24"/>
                <w:szCs w:val="24"/>
              </w:rPr>
              <w:t>采购项目编号：</w:t>
            </w:r>
            <w:r>
              <w:rPr>
                <w:rFonts w:hint="eastAsia"/>
                <w:color w:val="auto"/>
                <w:lang w:eastAsia="zh-CN"/>
              </w:rPr>
              <w:t>HYDZB-2026-021</w:t>
            </w:r>
          </w:p>
        </w:tc>
      </w:tr>
      <w:tr w14:paraId="245C6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7" w:hRule="atLeast"/>
          <w:jc w:val="center"/>
        </w:trPr>
        <w:tc>
          <w:tcPr>
            <w:tcW w:w="752" w:type="dxa"/>
            <w:noWrap w:val="0"/>
            <w:vAlign w:val="center"/>
          </w:tcPr>
          <w:p w14:paraId="3C3D5B65">
            <w:pPr>
              <w:numPr>
                <w:ilvl w:val="0"/>
                <w:numId w:val="6"/>
              </w:numPr>
              <w:spacing w:line="360" w:lineRule="auto"/>
              <w:jc w:val="center"/>
              <w:rPr>
                <w:rFonts w:hint="eastAsia" w:ascii="宋体" w:hAnsi="宋体" w:cs="宋体"/>
                <w:color w:val="auto"/>
                <w:sz w:val="24"/>
                <w:szCs w:val="24"/>
              </w:rPr>
            </w:pPr>
          </w:p>
        </w:tc>
        <w:tc>
          <w:tcPr>
            <w:tcW w:w="8303" w:type="dxa"/>
            <w:noWrap w:val="0"/>
            <w:vAlign w:val="center"/>
          </w:tcPr>
          <w:p w14:paraId="6DD3D287">
            <w:pPr>
              <w:spacing w:line="360" w:lineRule="auto"/>
              <w:rPr>
                <w:rFonts w:hint="eastAsia" w:ascii="宋体" w:hAnsi="宋体" w:cs="宋体"/>
                <w:color w:val="auto"/>
                <w:sz w:val="24"/>
                <w:szCs w:val="24"/>
              </w:rPr>
            </w:pPr>
            <w:r>
              <w:rPr>
                <w:rFonts w:hint="eastAsia" w:ascii="宋体" w:hAnsi="宋体" w:cs="宋体"/>
                <w:color w:val="auto"/>
                <w:sz w:val="24"/>
                <w:szCs w:val="24"/>
              </w:rPr>
              <w:t>项目性质：财政拨款</w:t>
            </w:r>
          </w:p>
          <w:p w14:paraId="747ADB7D">
            <w:pPr>
              <w:spacing w:line="360" w:lineRule="auto"/>
              <w:rPr>
                <w:rFonts w:hint="eastAsia" w:ascii="宋体" w:hAnsi="宋体" w:cs="仿宋_GB2312"/>
                <w:color w:val="auto"/>
                <w:sz w:val="24"/>
                <w:szCs w:val="24"/>
              </w:rPr>
            </w:pPr>
            <w:r>
              <w:rPr>
                <w:rFonts w:hint="eastAsia" w:ascii="宋体" w:hAnsi="宋体" w:cs="宋体"/>
                <w:color w:val="auto"/>
                <w:sz w:val="24"/>
                <w:szCs w:val="24"/>
              </w:rPr>
              <w:t>本项目采购预算：780,000.00元</w:t>
            </w:r>
          </w:p>
          <w:p w14:paraId="09011884">
            <w:pPr>
              <w:spacing w:line="360" w:lineRule="auto"/>
              <w:rPr>
                <w:rFonts w:hint="eastAsia" w:ascii="宋体" w:hAnsi="宋体" w:cs="宋体"/>
                <w:color w:val="auto"/>
                <w:sz w:val="24"/>
                <w:szCs w:val="24"/>
              </w:rPr>
            </w:pPr>
            <w:r>
              <w:rPr>
                <w:rFonts w:hint="eastAsia" w:ascii="宋体" w:hAnsi="宋体" w:cs="宋体"/>
                <w:color w:val="auto"/>
                <w:sz w:val="24"/>
                <w:szCs w:val="24"/>
              </w:rPr>
              <w:t>供应商报价超出采购预算，作为不实质响应</w:t>
            </w:r>
            <w:r>
              <w:rPr>
                <w:rFonts w:hint="eastAsia" w:hAnsi="宋体" w:cs="宋体"/>
                <w:color w:val="auto"/>
                <w:sz w:val="24"/>
                <w:szCs w:val="24"/>
                <w:lang w:eastAsia="zh-CN"/>
              </w:rPr>
              <w:t>竞争性磋商文件</w:t>
            </w:r>
            <w:r>
              <w:rPr>
                <w:rFonts w:hint="eastAsia" w:ascii="宋体" w:hAnsi="宋体" w:cs="宋体"/>
                <w:color w:val="auto"/>
                <w:sz w:val="24"/>
                <w:szCs w:val="24"/>
              </w:rPr>
              <w:t>，按无</w:t>
            </w:r>
            <w:r>
              <w:rPr>
                <w:rFonts w:hint="eastAsia" w:hAnsi="宋体" w:cs="宋体"/>
                <w:color w:val="auto"/>
                <w:sz w:val="24"/>
                <w:szCs w:val="24"/>
                <w:lang w:eastAsia="zh-CN"/>
              </w:rPr>
              <w:t>竞争性磋商响应文件</w:t>
            </w:r>
            <w:r>
              <w:rPr>
                <w:rFonts w:hint="eastAsia" w:ascii="宋体" w:hAnsi="宋体" w:cs="宋体"/>
                <w:color w:val="auto"/>
                <w:sz w:val="24"/>
                <w:szCs w:val="24"/>
              </w:rPr>
              <w:t>处理。</w:t>
            </w:r>
          </w:p>
        </w:tc>
      </w:tr>
      <w:tr w14:paraId="2196C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752" w:type="dxa"/>
            <w:noWrap w:val="0"/>
            <w:vAlign w:val="center"/>
          </w:tcPr>
          <w:p w14:paraId="5A28966D">
            <w:pPr>
              <w:numPr>
                <w:ilvl w:val="0"/>
                <w:numId w:val="6"/>
              </w:numPr>
              <w:spacing w:line="360" w:lineRule="auto"/>
              <w:jc w:val="center"/>
              <w:rPr>
                <w:rFonts w:hint="eastAsia" w:ascii="宋体" w:hAnsi="宋体" w:cs="宋体"/>
                <w:color w:val="auto"/>
                <w:sz w:val="24"/>
                <w:szCs w:val="24"/>
              </w:rPr>
            </w:pPr>
          </w:p>
        </w:tc>
        <w:tc>
          <w:tcPr>
            <w:tcW w:w="8303" w:type="dxa"/>
            <w:noWrap w:val="0"/>
            <w:vAlign w:val="center"/>
          </w:tcPr>
          <w:p w14:paraId="132DC11E">
            <w:pPr>
              <w:spacing w:line="360" w:lineRule="auto"/>
              <w:ind w:left="960" w:hanging="960" w:hangingChars="400"/>
              <w:rPr>
                <w:rFonts w:hint="eastAsia" w:ascii="宋体" w:hAnsi="宋体" w:eastAsia="宋体" w:cs="宋体"/>
                <w:color w:val="auto"/>
                <w:sz w:val="24"/>
                <w:szCs w:val="24"/>
                <w:lang w:eastAsia="zh-CN"/>
              </w:rPr>
            </w:pPr>
            <w:r>
              <w:rPr>
                <w:rFonts w:hint="eastAsia" w:ascii="宋体" w:hAnsi="宋体" w:cs="宋体"/>
                <w:color w:val="auto"/>
                <w:sz w:val="24"/>
                <w:szCs w:val="24"/>
              </w:rPr>
              <w:t>采购人：</w:t>
            </w:r>
            <w:r>
              <w:rPr>
                <w:rFonts w:hint="eastAsia" w:hAnsi="宋体" w:cs="宋体"/>
                <w:color w:val="auto"/>
                <w:sz w:val="24"/>
                <w:szCs w:val="24"/>
                <w:lang w:eastAsia="zh-CN"/>
              </w:rPr>
              <w:t>榆林市商务局</w:t>
            </w:r>
          </w:p>
          <w:p w14:paraId="00CE59A1">
            <w:pPr>
              <w:spacing w:line="360" w:lineRule="auto"/>
              <w:ind w:left="960" w:hanging="960" w:hangingChars="400"/>
              <w:rPr>
                <w:rFonts w:hint="eastAsia" w:ascii="宋体" w:hAnsi="宋体" w:eastAsia="宋体" w:cs="宋体"/>
                <w:color w:val="auto"/>
                <w:sz w:val="24"/>
                <w:szCs w:val="24"/>
                <w:lang w:eastAsia="zh-CN"/>
              </w:rPr>
            </w:pPr>
            <w:r>
              <w:rPr>
                <w:rFonts w:hint="eastAsia" w:ascii="宋体" w:hAnsi="宋体" w:cs="宋体"/>
                <w:color w:val="auto"/>
                <w:sz w:val="24"/>
                <w:szCs w:val="24"/>
              </w:rPr>
              <w:t>采购代理机构：</w:t>
            </w:r>
            <w:r>
              <w:rPr>
                <w:rFonts w:hint="eastAsia" w:hAnsi="宋体" w:cs="宋体"/>
                <w:color w:val="auto"/>
                <w:sz w:val="24"/>
                <w:szCs w:val="24"/>
                <w:lang w:eastAsia="zh-CN"/>
              </w:rPr>
              <w:t>榆林市恒易达工程项目管理有限公司</w:t>
            </w:r>
          </w:p>
        </w:tc>
      </w:tr>
      <w:tr w14:paraId="2B38E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4" w:hRule="atLeast"/>
          <w:jc w:val="center"/>
        </w:trPr>
        <w:tc>
          <w:tcPr>
            <w:tcW w:w="752" w:type="dxa"/>
            <w:noWrap w:val="0"/>
            <w:vAlign w:val="center"/>
          </w:tcPr>
          <w:p w14:paraId="6B648331">
            <w:pPr>
              <w:numPr>
                <w:ilvl w:val="0"/>
                <w:numId w:val="6"/>
              </w:numPr>
              <w:spacing w:line="360" w:lineRule="auto"/>
              <w:jc w:val="center"/>
              <w:rPr>
                <w:rFonts w:hint="eastAsia" w:ascii="宋体" w:hAnsi="宋体" w:cs="宋体"/>
                <w:color w:val="auto"/>
                <w:sz w:val="24"/>
                <w:szCs w:val="24"/>
              </w:rPr>
            </w:pPr>
          </w:p>
        </w:tc>
        <w:tc>
          <w:tcPr>
            <w:tcW w:w="8303" w:type="dxa"/>
            <w:noWrap w:val="0"/>
            <w:vAlign w:val="center"/>
          </w:tcPr>
          <w:p w14:paraId="7441BA09">
            <w:pPr>
              <w:spacing w:line="360" w:lineRule="auto"/>
              <w:rPr>
                <w:rFonts w:hint="eastAsia" w:ascii="宋体" w:hAnsi="宋体" w:cs="宋体"/>
                <w:color w:val="auto"/>
                <w:sz w:val="24"/>
                <w:szCs w:val="24"/>
              </w:rPr>
            </w:pPr>
            <w:r>
              <w:rPr>
                <w:rFonts w:hint="eastAsia" w:ascii="宋体" w:hAnsi="宋体" w:cs="宋体"/>
                <w:color w:val="auto"/>
                <w:sz w:val="24"/>
                <w:szCs w:val="24"/>
              </w:rPr>
              <w:t>采购内容具体见</w:t>
            </w:r>
            <w:r>
              <w:rPr>
                <w:rFonts w:hint="eastAsia" w:hAnsi="宋体" w:cs="宋体"/>
                <w:color w:val="auto"/>
                <w:sz w:val="24"/>
                <w:szCs w:val="24"/>
                <w:lang w:eastAsia="zh-CN"/>
              </w:rPr>
              <w:t>竞争性磋商文件</w:t>
            </w:r>
            <w:r>
              <w:rPr>
                <w:rFonts w:hint="eastAsia" w:ascii="宋体" w:hAnsi="宋体" w:cs="宋体"/>
                <w:color w:val="auto"/>
                <w:sz w:val="24"/>
                <w:szCs w:val="24"/>
              </w:rPr>
              <w:t>第六部分采购内容及要求</w:t>
            </w:r>
          </w:p>
          <w:p w14:paraId="773BF315">
            <w:pPr>
              <w:spacing w:line="360" w:lineRule="auto"/>
              <w:rPr>
                <w:rFonts w:hint="eastAsia" w:ascii="宋体" w:hAnsi="宋体" w:cs="宋体"/>
                <w:color w:val="auto"/>
                <w:sz w:val="24"/>
                <w:szCs w:val="24"/>
              </w:rPr>
            </w:pPr>
            <w:r>
              <w:rPr>
                <w:rFonts w:hint="eastAsia" w:ascii="宋体" w:hAnsi="宋体" w:cs="宋体"/>
                <w:color w:val="auto"/>
                <w:sz w:val="24"/>
                <w:szCs w:val="24"/>
              </w:rPr>
              <w:t>本次采购、报价、</w:t>
            </w:r>
            <w:r>
              <w:rPr>
                <w:rFonts w:hint="eastAsia" w:hAnsi="宋体" w:cs="宋体"/>
                <w:color w:val="auto"/>
                <w:sz w:val="24"/>
                <w:szCs w:val="24"/>
                <w:lang w:eastAsia="zh-CN"/>
              </w:rPr>
              <w:t>磋商</w:t>
            </w:r>
            <w:r>
              <w:rPr>
                <w:rFonts w:hint="eastAsia" w:ascii="宋体" w:hAnsi="宋体" w:cs="宋体"/>
                <w:color w:val="auto"/>
                <w:sz w:val="24"/>
                <w:szCs w:val="24"/>
              </w:rPr>
              <w:t>、评审和合同授予均以项目为单位，供应商必须就整个项目进行响应。</w:t>
            </w:r>
          </w:p>
        </w:tc>
      </w:tr>
      <w:tr w14:paraId="331C0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52" w:type="dxa"/>
            <w:noWrap w:val="0"/>
            <w:vAlign w:val="center"/>
          </w:tcPr>
          <w:p w14:paraId="779FDBBA">
            <w:pPr>
              <w:numPr>
                <w:ilvl w:val="0"/>
                <w:numId w:val="6"/>
              </w:numPr>
              <w:spacing w:line="360" w:lineRule="auto"/>
              <w:jc w:val="center"/>
              <w:rPr>
                <w:rFonts w:hint="eastAsia" w:ascii="宋体" w:hAnsi="宋体" w:cs="宋体"/>
                <w:color w:val="auto"/>
                <w:sz w:val="24"/>
                <w:szCs w:val="24"/>
              </w:rPr>
            </w:pPr>
          </w:p>
        </w:tc>
        <w:tc>
          <w:tcPr>
            <w:tcW w:w="8303" w:type="dxa"/>
            <w:noWrap w:val="0"/>
            <w:vAlign w:val="center"/>
          </w:tcPr>
          <w:p w14:paraId="41B71DD7">
            <w:pPr>
              <w:spacing w:line="360" w:lineRule="auto"/>
              <w:rPr>
                <w:rFonts w:hint="eastAsia" w:ascii="宋体" w:hAnsi="宋体" w:cs="宋体"/>
                <w:color w:val="auto"/>
                <w:sz w:val="24"/>
                <w:szCs w:val="24"/>
              </w:rPr>
            </w:pPr>
            <w:r>
              <w:rPr>
                <w:rFonts w:hint="eastAsia" w:ascii="宋体" w:hAnsi="宋体" w:cs="宋体"/>
                <w:color w:val="auto"/>
                <w:sz w:val="24"/>
                <w:szCs w:val="24"/>
              </w:rPr>
              <w:t>投标报价：报价包含</w:t>
            </w:r>
            <w:r>
              <w:rPr>
                <w:rFonts w:hint="eastAsia" w:ascii="宋体" w:hAnsi="宋体" w:cs="仿宋_GB2312"/>
                <w:color w:val="auto"/>
                <w:sz w:val="24"/>
                <w:szCs w:val="24"/>
              </w:rPr>
              <w:t>完成本次投标项目所包含的一切相关费用</w:t>
            </w:r>
            <w:r>
              <w:rPr>
                <w:rFonts w:hint="eastAsia" w:ascii="宋体" w:hAnsi="宋体" w:cs="宋体"/>
                <w:color w:val="auto"/>
                <w:sz w:val="24"/>
                <w:szCs w:val="24"/>
              </w:rPr>
              <w:t>。</w:t>
            </w:r>
          </w:p>
        </w:tc>
      </w:tr>
      <w:tr w14:paraId="16D84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7" w:hRule="atLeast"/>
          <w:jc w:val="center"/>
        </w:trPr>
        <w:tc>
          <w:tcPr>
            <w:tcW w:w="752" w:type="dxa"/>
            <w:noWrap w:val="0"/>
            <w:vAlign w:val="center"/>
          </w:tcPr>
          <w:p w14:paraId="6F3F989F">
            <w:pPr>
              <w:numPr>
                <w:ilvl w:val="0"/>
                <w:numId w:val="6"/>
              </w:numPr>
              <w:spacing w:line="360" w:lineRule="auto"/>
              <w:jc w:val="center"/>
              <w:rPr>
                <w:rFonts w:hint="eastAsia" w:ascii="宋体" w:hAnsi="宋体" w:cs="宋体"/>
                <w:color w:val="auto"/>
                <w:sz w:val="24"/>
                <w:szCs w:val="24"/>
              </w:rPr>
            </w:pPr>
          </w:p>
        </w:tc>
        <w:tc>
          <w:tcPr>
            <w:tcW w:w="8303" w:type="dxa"/>
            <w:noWrap w:val="0"/>
            <w:vAlign w:val="center"/>
          </w:tcPr>
          <w:p w14:paraId="73C9BD12">
            <w:pPr>
              <w:spacing w:line="360" w:lineRule="auto"/>
              <w:rPr>
                <w:rFonts w:hint="eastAsia" w:ascii="宋体" w:hAnsi="宋体" w:cs="宋体"/>
                <w:color w:val="auto"/>
                <w:sz w:val="24"/>
                <w:szCs w:val="24"/>
              </w:rPr>
            </w:pPr>
            <w:r>
              <w:rPr>
                <w:rFonts w:hint="eastAsia" w:hAnsi="宋体" w:cs="宋体"/>
                <w:color w:val="auto"/>
                <w:sz w:val="24"/>
                <w:szCs w:val="24"/>
                <w:lang w:eastAsia="zh-CN"/>
              </w:rPr>
              <w:t>竞争性磋商响应文件</w:t>
            </w:r>
            <w:r>
              <w:rPr>
                <w:rFonts w:hint="eastAsia" w:ascii="宋体" w:hAnsi="宋体" w:cs="宋体"/>
                <w:color w:val="auto"/>
                <w:sz w:val="24"/>
                <w:szCs w:val="24"/>
              </w:rPr>
              <w:t>递交截止时间及</w:t>
            </w:r>
            <w:r>
              <w:rPr>
                <w:rFonts w:hint="eastAsia" w:hAnsi="宋体" w:cs="宋体"/>
                <w:color w:val="auto"/>
                <w:sz w:val="24"/>
                <w:szCs w:val="24"/>
                <w:lang w:eastAsia="zh-CN"/>
              </w:rPr>
              <w:t>磋商</w:t>
            </w:r>
            <w:r>
              <w:rPr>
                <w:rFonts w:hint="eastAsia" w:ascii="宋体" w:hAnsi="宋体" w:cs="宋体"/>
                <w:color w:val="auto"/>
                <w:sz w:val="24"/>
                <w:szCs w:val="24"/>
              </w:rPr>
              <w:t>时间和地点：</w:t>
            </w:r>
          </w:p>
          <w:p w14:paraId="6D695C55">
            <w:pPr>
              <w:spacing w:line="360" w:lineRule="auto"/>
              <w:rPr>
                <w:rFonts w:hint="default" w:ascii="宋体" w:hAnsi="宋体" w:eastAsia="宋体" w:cs="宋体"/>
                <w:color w:val="auto"/>
                <w:sz w:val="24"/>
                <w:szCs w:val="24"/>
                <w:u w:val="single"/>
                <w:lang w:val="en-US" w:eastAsia="zh-CN"/>
              </w:rPr>
            </w:pPr>
            <w:r>
              <w:rPr>
                <w:rFonts w:hint="eastAsia" w:hAnsi="宋体" w:cs="宋体"/>
                <w:color w:val="auto"/>
                <w:sz w:val="24"/>
                <w:szCs w:val="24"/>
                <w:lang w:eastAsia="zh-CN"/>
              </w:rPr>
              <w:t>竞争性磋商响应文件</w:t>
            </w:r>
            <w:r>
              <w:rPr>
                <w:rFonts w:hint="eastAsia" w:ascii="宋体" w:hAnsi="宋体" w:cs="宋体"/>
                <w:color w:val="auto"/>
                <w:sz w:val="24"/>
                <w:szCs w:val="24"/>
              </w:rPr>
              <w:t>递交截止时间：</w:t>
            </w:r>
            <w:r>
              <w:rPr>
                <w:rFonts w:hint="eastAsia"/>
              </w:rPr>
              <w:t>2026年05月11日 09时30分</w:t>
            </w:r>
          </w:p>
          <w:p w14:paraId="5DA5F680">
            <w:pPr>
              <w:spacing w:line="360" w:lineRule="auto"/>
              <w:rPr>
                <w:rFonts w:hint="default" w:ascii="宋体" w:hAnsi="宋体" w:eastAsia="宋体" w:cs="宋体"/>
                <w:color w:val="auto"/>
                <w:sz w:val="24"/>
                <w:szCs w:val="24"/>
                <w:u w:val="single"/>
                <w:lang w:val="en-US" w:eastAsia="zh-CN"/>
              </w:rPr>
            </w:pPr>
            <w:r>
              <w:rPr>
                <w:rFonts w:hint="eastAsia" w:hAnsi="宋体" w:cs="宋体"/>
                <w:color w:val="auto"/>
                <w:sz w:val="24"/>
                <w:szCs w:val="24"/>
                <w:lang w:eastAsia="zh-CN"/>
              </w:rPr>
              <w:t>磋商</w:t>
            </w:r>
            <w:r>
              <w:rPr>
                <w:rFonts w:hint="eastAsia" w:ascii="宋体" w:hAnsi="宋体" w:cs="宋体"/>
                <w:color w:val="auto"/>
                <w:sz w:val="24"/>
                <w:szCs w:val="24"/>
              </w:rPr>
              <w:t>时间：</w:t>
            </w:r>
            <w:r>
              <w:rPr>
                <w:rFonts w:hint="eastAsia"/>
              </w:rPr>
              <w:t>2026年05月11日 09时30分</w:t>
            </w:r>
          </w:p>
          <w:p w14:paraId="79F34D6F">
            <w:pPr>
              <w:spacing w:line="360" w:lineRule="auto"/>
              <w:rPr>
                <w:rFonts w:ascii="宋体" w:hAnsi="宋体" w:cs="宋体"/>
                <w:color w:val="auto"/>
                <w:sz w:val="24"/>
                <w:szCs w:val="24"/>
                <w:u w:val="single"/>
              </w:rPr>
            </w:pPr>
            <w:r>
              <w:rPr>
                <w:rFonts w:hint="eastAsia" w:hAnsi="宋体" w:cs="宋体"/>
                <w:color w:val="auto"/>
                <w:sz w:val="24"/>
                <w:szCs w:val="24"/>
                <w:lang w:eastAsia="zh-CN"/>
              </w:rPr>
              <w:t>磋商</w:t>
            </w:r>
            <w:r>
              <w:rPr>
                <w:rFonts w:hint="eastAsia" w:ascii="宋体" w:hAnsi="宋体" w:cs="宋体"/>
                <w:color w:val="auto"/>
                <w:sz w:val="24"/>
                <w:szCs w:val="24"/>
              </w:rPr>
              <w:t>地点：</w:t>
            </w:r>
            <w:r>
              <w:rPr>
                <w:rFonts w:hint="eastAsia"/>
              </w:rPr>
              <w:t>榆林市公共资源交易中心不见面开标大厅</w:t>
            </w:r>
          </w:p>
        </w:tc>
      </w:tr>
      <w:tr w14:paraId="0BD2E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52" w:type="dxa"/>
            <w:noWrap w:val="0"/>
            <w:vAlign w:val="center"/>
          </w:tcPr>
          <w:p w14:paraId="15E8710C">
            <w:pPr>
              <w:numPr>
                <w:ilvl w:val="0"/>
                <w:numId w:val="6"/>
              </w:numPr>
              <w:spacing w:line="360" w:lineRule="auto"/>
              <w:jc w:val="center"/>
              <w:rPr>
                <w:rFonts w:hint="eastAsia" w:ascii="宋体" w:hAnsi="宋体" w:cs="宋体"/>
                <w:color w:val="auto"/>
                <w:sz w:val="24"/>
                <w:szCs w:val="24"/>
              </w:rPr>
            </w:pPr>
          </w:p>
        </w:tc>
        <w:tc>
          <w:tcPr>
            <w:tcW w:w="8303" w:type="dxa"/>
            <w:noWrap w:val="0"/>
            <w:vAlign w:val="center"/>
          </w:tcPr>
          <w:p w14:paraId="3CEEB307">
            <w:pPr>
              <w:spacing w:line="360" w:lineRule="auto"/>
              <w:rPr>
                <w:rFonts w:hint="eastAsia" w:ascii="宋体" w:hAnsi="宋体" w:cs="宋体"/>
                <w:color w:val="auto"/>
                <w:sz w:val="24"/>
                <w:szCs w:val="24"/>
              </w:rPr>
            </w:pPr>
            <w:r>
              <w:rPr>
                <w:rFonts w:hint="eastAsia" w:ascii="宋体" w:hAnsi="宋体" w:cs="宋体"/>
                <w:color w:val="auto"/>
                <w:sz w:val="24"/>
                <w:szCs w:val="24"/>
              </w:rPr>
              <w:t>是否退还</w:t>
            </w:r>
            <w:r>
              <w:rPr>
                <w:rFonts w:hint="eastAsia" w:hAnsi="宋体" w:cs="宋体"/>
                <w:color w:val="auto"/>
                <w:sz w:val="24"/>
                <w:szCs w:val="24"/>
                <w:lang w:eastAsia="zh-CN"/>
              </w:rPr>
              <w:t>竞争性磋商响应文件</w:t>
            </w:r>
            <w:r>
              <w:rPr>
                <w:rFonts w:hint="eastAsia" w:ascii="宋体" w:hAnsi="宋体" w:cs="宋体"/>
                <w:color w:val="auto"/>
                <w:sz w:val="24"/>
                <w:szCs w:val="24"/>
              </w:rPr>
              <w:t>:</w:t>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eq \o\ac(□,√)</w:instrText>
            </w:r>
            <w:r>
              <w:rPr>
                <w:rFonts w:hint="eastAsia" w:ascii="宋体" w:hAnsi="宋体" w:cs="宋体"/>
                <w:color w:val="auto"/>
                <w:sz w:val="24"/>
                <w:szCs w:val="24"/>
              </w:rPr>
              <w:fldChar w:fldCharType="end"/>
            </w:r>
            <w:r>
              <w:rPr>
                <w:rFonts w:hint="eastAsia" w:ascii="宋体" w:hAnsi="宋体" w:cs="宋体"/>
                <w:color w:val="auto"/>
                <w:sz w:val="24"/>
                <w:szCs w:val="24"/>
              </w:rPr>
              <w:t>否</w:t>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eq \o\ac(□)</w:instrText>
            </w:r>
            <w:r>
              <w:rPr>
                <w:rFonts w:hint="eastAsia" w:ascii="宋体" w:hAnsi="宋体" w:cs="宋体"/>
                <w:color w:val="auto"/>
                <w:sz w:val="24"/>
                <w:szCs w:val="24"/>
              </w:rPr>
              <w:fldChar w:fldCharType="end"/>
            </w:r>
            <w:r>
              <w:rPr>
                <w:rFonts w:hint="eastAsia" w:ascii="宋体" w:hAnsi="宋体" w:cs="宋体"/>
                <w:color w:val="auto"/>
                <w:sz w:val="24"/>
                <w:szCs w:val="24"/>
              </w:rPr>
              <w:t>是</w:t>
            </w:r>
          </w:p>
        </w:tc>
      </w:tr>
      <w:tr w14:paraId="3EEB7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52" w:type="dxa"/>
            <w:noWrap w:val="0"/>
            <w:vAlign w:val="center"/>
          </w:tcPr>
          <w:p w14:paraId="2A8BA9FE">
            <w:pPr>
              <w:numPr>
                <w:ilvl w:val="0"/>
                <w:numId w:val="6"/>
              </w:numPr>
              <w:spacing w:line="360" w:lineRule="auto"/>
              <w:jc w:val="center"/>
              <w:rPr>
                <w:rFonts w:hint="eastAsia" w:ascii="宋体" w:hAnsi="宋体" w:cs="宋体"/>
                <w:color w:val="auto"/>
                <w:sz w:val="24"/>
                <w:szCs w:val="24"/>
              </w:rPr>
            </w:pPr>
          </w:p>
        </w:tc>
        <w:tc>
          <w:tcPr>
            <w:tcW w:w="8303" w:type="dxa"/>
            <w:noWrap w:val="0"/>
            <w:vAlign w:val="center"/>
          </w:tcPr>
          <w:p w14:paraId="5C1CF6BB">
            <w:pPr>
              <w:spacing w:line="360" w:lineRule="auto"/>
              <w:rPr>
                <w:rFonts w:hint="eastAsia" w:ascii="宋体" w:hAnsi="宋体" w:cs="宋体"/>
                <w:color w:val="auto"/>
                <w:sz w:val="24"/>
                <w:szCs w:val="24"/>
              </w:rPr>
            </w:pPr>
            <w:r>
              <w:rPr>
                <w:rFonts w:hint="eastAsia" w:ascii="宋体" w:hAnsi="宋体" w:cs="宋体"/>
                <w:color w:val="auto"/>
                <w:sz w:val="24"/>
                <w:szCs w:val="24"/>
              </w:rPr>
              <w:t>不允许提供备选方案。</w:t>
            </w:r>
          </w:p>
        </w:tc>
      </w:tr>
      <w:tr w14:paraId="64DDC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52" w:type="dxa"/>
            <w:noWrap w:val="0"/>
            <w:vAlign w:val="center"/>
          </w:tcPr>
          <w:p w14:paraId="53D81BF2">
            <w:pPr>
              <w:numPr>
                <w:ilvl w:val="0"/>
                <w:numId w:val="6"/>
              </w:numPr>
              <w:spacing w:line="360" w:lineRule="auto"/>
              <w:jc w:val="center"/>
              <w:rPr>
                <w:rFonts w:hint="eastAsia" w:ascii="宋体" w:hAnsi="宋体" w:cs="宋体"/>
                <w:color w:val="auto"/>
                <w:sz w:val="24"/>
                <w:szCs w:val="24"/>
              </w:rPr>
            </w:pPr>
          </w:p>
        </w:tc>
        <w:tc>
          <w:tcPr>
            <w:tcW w:w="8303" w:type="dxa"/>
            <w:noWrap w:val="0"/>
            <w:vAlign w:val="center"/>
          </w:tcPr>
          <w:p w14:paraId="5B0C8435">
            <w:pPr>
              <w:spacing w:line="360" w:lineRule="auto"/>
              <w:rPr>
                <w:rFonts w:hint="eastAsia" w:ascii="宋体" w:hAnsi="宋体" w:cs="宋体"/>
                <w:color w:val="auto"/>
                <w:sz w:val="24"/>
                <w:szCs w:val="24"/>
              </w:rPr>
            </w:pPr>
            <w:r>
              <w:rPr>
                <w:rFonts w:hint="eastAsia" w:ascii="宋体" w:hAnsi="宋体" w:cs="宋体"/>
                <w:color w:val="auto"/>
                <w:sz w:val="24"/>
                <w:szCs w:val="24"/>
              </w:rPr>
              <w:t>本次招标采用项目整体打包方式，投标人可根据自身的资质情况和经营范围进行投标，但不得将其自行分解或只对本次项目中的品目进行不完全投标，任何不完全的投标将按无效投标处理。</w:t>
            </w:r>
          </w:p>
        </w:tc>
      </w:tr>
      <w:tr w14:paraId="73C6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52" w:type="dxa"/>
            <w:noWrap w:val="0"/>
            <w:vAlign w:val="center"/>
          </w:tcPr>
          <w:p w14:paraId="477A3086">
            <w:pPr>
              <w:spacing w:line="360" w:lineRule="auto"/>
              <w:rPr>
                <w:rFonts w:ascii="宋体" w:hAnsi="宋体" w:cs="宋体"/>
                <w:color w:val="auto"/>
                <w:sz w:val="24"/>
                <w:szCs w:val="24"/>
              </w:rPr>
            </w:pPr>
            <w:r>
              <w:rPr>
                <w:rFonts w:hint="eastAsia" w:ascii="宋体" w:hAnsi="宋体" w:cs="宋体"/>
                <w:color w:val="auto"/>
                <w:sz w:val="24"/>
                <w:szCs w:val="24"/>
              </w:rPr>
              <w:t>10</w:t>
            </w:r>
          </w:p>
        </w:tc>
        <w:tc>
          <w:tcPr>
            <w:tcW w:w="8303" w:type="dxa"/>
            <w:noWrap w:val="0"/>
            <w:vAlign w:val="center"/>
          </w:tcPr>
          <w:p w14:paraId="6ADEC27B">
            <w:pPr>
              <w:spacing w:line="360" w:lineRule="auto"/>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服务期</w:t>
            </w:r>
            <w:r>
              <w:rPr>
                <w:rFonts w:hint="eastAsia" w:ascii="宋体" w:hAnsi="宋体" w:eastAsia="宋体" w:cs="宋体"/>
                <w:color w:val="auto"/>
                <w:sz w:val="24"/>
                <w:szCs w:val="24"/>
              </w:rPr>
              <w:t>：</w:t>
            </w:r>
            <w:r>
              <w:rPr>
                <w:rFonts w:hint="eastAsia" w:hAnsi="宋体" w:cs="宋体"/>
                <w:color w:val="auto"/>
                <w:sz w:val="24"/>
                <w:szCs w:val="24"/>
                <w:lang w:val="en-US" w:eastAsia="zh-CN"/>
              </w:rPr>
              <w:t>一年</w:t>
            </w:r>
          </w:p>
        </w:tc>
      </w:tr>
      <w:tr w14:paraId="1A58D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52" w:type="dxa"/>
            <w:noWrap w:val="0"/>
            <w:vAlign w:val="center"/>
          </w:tcPr>
          <w:p w14:paraId="1166DD5E">
            <w:pPr>
              <w:spacing w:line="360" w:lineRule="auto"/>
              <w:rPr>
                <w:rFonts w:ascii="宋体" w:hAnsi="宋体" w:cs="宋体"/>
                <w:color w:val="auto"/>
                <w:sz w:val="24"/>
                <w:szCs w:val="24"/>
              </w:rPr>
            </w:pPr>
            <w:r>
              <w:rPr>
                <w:rFonts w:hint="eastAsia" w:ascii="宋体" w:hAnsi="宋体" w:cs="宋体"/>
                <w:color w:val="auto"/>
                <w:sz w:val="24"/>
                <w:szCs w:val="24"/>
              </w:rPr>
              <w:t>11</w:t>
            </w:r>
          </w:p>
        </w:tc>
        <w:tc>
          <w:tcPr>
            <w:tcW w:w="8303" w:type="dxa"/>
            <w:noWrap w:val="0"/>
            <w:vAlign w:val="center"/>
          </w:tcPr>
          <w:p w14:paraId="3B59C237">
            <w:pPr>
              <w:spacing w:line="360" w:lineRule="auto"/>
              <w:rPr>
                <w:rFonts w:hint="eastAsia" w:ascii="宋体" w:hAnsi="宋体" w:cs="宋体"/>
                <w:color w:val="auto"/>
                <w:sz w:val="24"/>
                <w:szCs w:val="24"/>
              </w:rPr>
            </w:pPr>
            <w:r>
              <w:rPr>
                <w:rFonts w:hint="eastAsia" w:hAnsi="宋体" w:cs="宋体"/>
                <w:color w:val="auto"/>
                <w:sz w:val="24"/>
                <w:szCs w:val="24"/>
                <w:lang w:val="en-US" w:eastAsia="zh-CN"/>
              </w:rPr>
              <w:t>服务</w:t>
            </w:r>
            <w:r>
              <w:rPr>
                <w:rFonts w:hint="eastAsia" w:ascii="宋体" w:hAnsi="宋体" w:cs="宋体"/>
                <w:color w:val="auto"/>
                <w:sz w:val="24"/>
                <w:szCs w:val="24"/>
              </w:rPr>
              <w:t>地点：采购人</w:t>
            </w:r>
            <w:r>
              <w:rPr>
                <w:rFonts w:hint="eastAsia" w:ascii="宋体" w:hAnsi="宋体" w:cs="宋体"/>
                <w:color w:val="auto"/>
                <w:sz w:val="24"/>
              </w:rPr>
              <w:t>指定地点</w:t>
            </w:r>
          </w:p>
        </w:tc>
      </w:tr>
      <w:tr w14:paraId="3B835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2" w:type="dxa"/>
            <w:noWrap w:val="0"/>
            <w:vAlign w:val="center"/>
          </w:tcPr>
          <w:p w14:paraId="37687CA5">
            <w:pPr>
              <w:spacing w:line="360" w:lineRule="auto"/>
              <w:rPr>
                <w:rFonts w:ascii="宋体" w:hAnsi="宋体" w:cs="宋体"/>
                <w:color w:val="auto"/>
                <w:sz w:val="24"/>
                <w:szCs w:val="24"/>
              </w:rPr>
            </w:pPr>
            <w:r>
              <w:rPr>
                <w:rFonts w:hint="eastAsia" w:ascii="宋体" w:hAnsi="宋体" w:cs="宋体"/>
                <w:color w:val="auto"/>
                <w:sz w:val="24"/>
                <w:szCs w:val="24"/>
              </w:rPr>
              <w:t>12</w:t>
            </w:r>
          </w:p>
        </w:tc>
        <w:tc>
          <w:tcPr>
            <w:tcW w:w="8303" w:type="dxa"/>
            <w:noWrap w:val="0"/>
            <w:vAlign w:val="center"/>
          </w:tcPr>
          <w:p w14:paraId="14A6FFDB">
            <w:pPr>
              <w:spacing w:line="360" w:lineRule="auto"/>
              <w:rPr>
                <w:rFonts w:hint="eastAsia" w:ascii="宋体" w:hAnsi="宋体" w:eastAsia="宋体" w:cs="宋体"/>
                <w:color w:val="auto"/>
                <w:sz w:val="24"/>
                <w:szCs w:val="24"/>
                <w:lang w:val="en-US" w:eastAsia="zh-CN"/>
              </w:rPr>
            </w:pPr>
            <w:r>
              <w:rPr>
                <w:rFonts w:hint="eastAsia"/>
                <w:color w:val="auto"/>
                <w:sz w:val="24"/>
                <w:szCs w:val="24"/>
              </w:rPr>
              <w:t>付款方式：</w:t>
            </w:r>
            <w:r>
              <w:rPr>
                <w:rFonts w:hint="eastAsia" w:hAnsi="宋体" w:cs="宋体"/>
                <w:sz w:val="24"/>
                <w:szCs w:val="24"/>
                <w:lang w:val="en-US" w:eastAsia="zh-CN"/>
              </w:rPr>
              <w:t>合同签订后，预付合同金额的40%，余款验收合格后一次性付清。</w:t>
            </w:r>
          </w:p>
        </w:tc>
      </w:tr>
      <w:tr w14:paraId="50BA7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752" w:type="dxa"/>
            <w:noWrap w:val="0"/>
            <w:vAlign w:val="center"/>
          </w:tcPr>
          <w:p w14:paraId="2F1CCB63">
            <w:pPr>
              <w:spacing w:line="360" w:lineRule="auto"/>
              <w:ind w:left="210"/>
              <w:rPr>
                <w:rFonts w:ascii="宋体" w:hAnsi="宋体" w:cs="宋体"/>
                <w:color w:val="auto"/>
                <w:sz w:val="24"/>
                <w:szCs w:val="24"/>
              </w:rPr>
            </w:pPr>
            <w:r>
              <w:rPr>
                <w:rFonts w:hint="eastAsia" w:ascii="宋体" w:hAnsi="宋体" w:cs="宋体"/>
                <w:color w:val="auto"/>
                <w:sz w:val="24"/>
                <w:szCs w:val="24"/>
              </w:rPr>
              <w:t>13</w:t>
            </w:r>
          </w:p>
        </w:tc>
        <w:tc>
          <w:tcPr>
            <w:tcW w:w="8303" w:type="dxa"/>
            <w:noWrap w:val="0"/>
            <w:vAlign w:val="center"/>
          </w:tcPr>
          <w:p w14:paraId="0D2D8238">
            <w:pPr>
              <w:pStyle w:val="286"/>
              <w:spacing w:before="90" w:line="360" w:lineRule="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是否要求投标人递交投标保证金：</w:t>
            </w:r>
          </w:p>
          <w:p w14:paraId="57EB846B">
            <w:pPr>
              <w:pStyle w:val="286"/>
              <w:spacing w:line="360" w:lineRule="auto"/>
              <w:jc w:val="lef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□要求，投标保证金的金额：/</w:t>
            </w:r>
          </w:p>
          <w:p w14:paraId="41F6960E">
            <w:pPr>
              <w:spacing w:line="360" w:lineRule="auto"/>
              <w:jc w:val="left"/>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☑不要求</w:t>
            </w:r>
          </w:p>
          <w:p w14:paraId="48417DE3">
            <w:p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根据榆林市财政局下发的榆政财采发【2023】8号文件规定，各投标人采用“投标信用承诺书”代替保证金。投标人须将“投标信用承诺书”按要求签字盖章后上传至信用中国（陕西榆林）进行承诺公示，将公示后的截图附在投标文件中（截图须体现项目名称）。</w:t>
            </w:r>
          </w:p>
          <w:p w14:paraId="286B6318">
            <w:pPr>
              <w:spacing w:line="360" w:lineRule="auto"/>
              <w:rPr>
                <w:rFonts w:hint="eastAsia"/>
                <w:color w:val="auto"/>
              </w:rPr>
            </w:pPr>
            <w:r>
              <w:rPr>
                <w:rFonts w:hint="eastAsia" w:ascii="宋体" w:hAnsi="宋体" w:eastAsia="宋体" w:cs="宋体"/>
                <w:color w:val="auto"/>
                <w:kern w:val="2"/>
                <w:sz w:val="24"/>
                <w:szCs w:val="24"/>
                <w:highlight w:val="none"/>
                <w:lang w:val="en-US" w:eastAsia="zh-CN" w:bidi="ar-SA"/>
              </w:rPr>
              <w:t>注:未按要求提供和上报《投信用承诺书(保证金)》将视同于未提交磋商保证金，则该磋商响应无效。</w:t>
            </w:r>
          </w:p>
        </w:tc>
      </w:tr>
      <w:tr w14:paraId="2DB5E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752" w:type="dxa"/>
            <w:noWrap w:val="0"/>
            <w:vAlign w:val="center"/>
          </w:tcPr>
          <w:p w14:paraId="575FBF5F">
            <w:pPr>
              <w:spacing w:line="360" w:lineRule="auto"/>
              <w:ind w:left="210"/>
              <w:rPr>
                <w:rFonts w:ascii="宋体" w:hAnsi="宋体" w:cs="宋体"/>
                <w:color w:val="auto"/>
                <w:sz w:val="24"/>
                <w:szCs w:val="24"/>
              </w:rPr>
            </w:pPr>
            <w:r>
              <w:rPr>
                <w:rFonts w:hint="eastAsia" w:ascii="宋体" w:hAnsi="宋体" w:cs="宋体"/>
                <w:color w:val="auto"/>
                <w:sz w:val="24"/>
                <w:szCs w:val="24"/>
              </w:rPr>
              <w:t>14</w:t>
            </w:r>
          </w:p>
        </w:tc>
        <w:tc>
          <w:tcPr>
            <w:tcW w:w="8303" w:type="dxa"/>
            <w:noWrap w:val="0"/>
            <w:vAlign w:val="center"/>
          </w:tcPr>
          <w:p w14:paraId="236F2CF2">
            <w:pPr>
              <w:spacing w:line="360" w:lineRule="auto"/>
              <w:rPr>
                <w:rFonts w:hint="eastAsia" w:ascii="宋体" w:hAnsi="宋体" w:cs="宋体"/>
                <w:color w:val="auto"/>
                <w:sz w:val="24"/>
                <w:szCs w:val="24"/>
              </w:rPr>
            </w:pPr>
            <w:r>
              <w:rPr>
                <w:rFonts w:hint="eastAsia" w:hAnsi="宋体" w:cs="宋体"/>
                <w:color w:val="auto"/>
                <w:sz w:val="24"/>
                <w:szCs w:val="24"/>
                <w:lang w:eastAsia="zh-CN"/>
              </w:rPr>
              <w:t>磋商</w:t>
            </w:r>
            <w:r>
              <w:rPr>
                <w:rFonts w:hint="eastAsia" w:ascii="宋体" w:hAnsi="宋体" w:cs="宋体"/>
                <w:color w:val="auto"/>
                <w:sz w:val="24"/>
                <w:szCs w:val="24"/>
              </w:rPr>
              <w:t>有效期：</w:t>
            </w:r>
            <w:bookmarkStart w:id="26" w:name="OLE_LINK10"/>
            <w:bookmarkStart w:id="27" w:name="OLE_LINK9"/>
            <w:r>
              <w:rPr>
                <w:rFonts w:hint="eastAsia" w:hAnsi="宋体" w:cs="宋体"/>
                <w:color w:val="auto"/>
                <w:sz w:val="24"/>
                <w:szCs w:val="24"/>
                <w:lang w:eastAsia="zh-CN"/>
              </w:rPr>
              <w:t>竞争性磋商响应文件</w:t>
            </w:r>
            <w:r>
              <w:rPr>
                <w:rFonts w:hint="eastAsia" w:ascii="宋体" w:hAnsi="宋体" w:cs="宋体"/>
                <w:color w:val="auto"/>
                <w:sz w:val="24"/>
                <w:szCs w:val="24"/>
              </w:rPr>
              <w:t>从投标截止日起，投标有效期为90天</w:t>
            </w:r>
            <w:bookmarkEnd w:id="26"/>
            <w:bookmarkEnd w:id="27"/>
            <w:r>
              <w:rPr>
                <w:rFonts w:hint="eastAsia" w:ascii="宋体" w:hAnsi="宋体" w:cs="宋体"/>
                <w:color w:val="auto"/>
                <w:sz w:val="24"/>
                <w:szCs w:val="24"/>
              </w:rPr>
              <w:t>，投标有效期短于此规定期限的</w:t>
            </w:r>
            <w:r>
              <w:rPr>
                <w:rFonts w:hint="eastAsia" w:hAnsi="宋体" w:cs="宋体"/>
                <w:color w:val="auto"/>
                <w:sz w:val="24"/>
                <w:szCs w:val="24"/>
                <w:lang w:eastAsia="zh-CN"/>
              </w:rPr>
              <w:t>竞争性磋商响应文件</w:t>
            </w:r>
            <w:r>
              <w:rPr>
                <w:rFonts w:hint="eastAsia" w:ascii="宋体" w:hAnsi="宋体" w:cs="宋体"/>
                <w:color w:val="auto"/>
                <w:sz w:val="24"/>
                <w:szCs w:val="24"/>
              </w:rPr>
              <w:t>，视为无效文件。中标供应商的</w:t>
            </w:r>
            <w:r>
              <w:rPr>
                <w:rFonts w:hint="eastAsia" w:hAnsi="宋体" w:cs="宋体"/>
                <w:color w:val="auto"/>
                <w:sz w:val="24"/>
                <w:szCs w:val="24"/>
                <w:lang w:eastAsia="zh-CN"/>
              </w:rPr>
              <w:t>竞争性磋商响应文件</w:t>
            </w:r>
            <w:r>
              <w:rPr>
                <w:rFonts w:hint="eastAsia" w:ascii="宋体" w:hAnsi="宋体" w:cs="宋体"/>
                <w:color w:val="auto"/>
                <w:sz w:val="24"/>
                <w:szCs w:val="24"/>
              </w:rPr>
              <w:t>有效期延长至合同执行完毕。</w:t>
            </w:r>
          </w:p>
        </w:tc>
      </w:tr>
      <w:tr w14:paraId="532F3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752" w:type="dxa"/>
            <w:noWrap w:val="0"/>
            <w:vAlign w:val="center"/>
          </w:tcPr>
          <w:p w14:paraId="1849CAD6">
            <w:pPr>
              <w:spacing w:line="360" w:lineRule="auto"/>
              <w:ind w:left="210"/>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15</w:t>
            </w:r>
          </w:p>
        </w:tc>
        <w:tc>
          <w:tcPr>
            <w:tcW w:w="8303" w:type="dxa"/>
            <w:noWrap w:val="0"/>
            <w:vAlign w:val="center"/>
          </w:tcPr>
          <w:p w14:paraId="35FEEFD4">
            <w:pPr>
              <w:spacing w:line="360" w:lineRule="auto"/>
              <w:rPr>
                <w:rFonts w:hint="eastAsia" w:ascii="宋体" w:hAnsi="宋体" w:cs="宋体"/>
                <w:color w:val="auto"/>
                <w:sz w:val="24"/>
                <w:szCs w:val="24"/>
              </w:rPr>
            </w:pPr>
            <w:r>
              <w:rPr>
                <w:rFonts w:hint="eastAsia" w:ascii="宋体" w:hAnsi="宋体" w:cs="宋体"/>
                <w:b/>
                <w:bCs/>
                <w:color w:val="auto"/>
                <w:sz w:val="24"/>
                <w:szCs w:val="24"/>
                <w:lang w:eastAsia="zh-CN"/>
              </w:rPr>
              <w:t>投标文件中</w:t>
            </w:r>
            <w:r>
              <w:rPr>
                <w:rFonts w:hint="eastAsia" w:ascii="宋体" w:hAnsi="宋体" w:cs="宋体"/>
                <w:b/>
                <w:bCs/>
                <w:color w:val="auto"/>
                <w:sz w:val="24"/>
                <w:szCs w:val="24"/>
              </w:rPr>
              <w:t>须提交以下资质及招标文件要求的其他证明材料。</w:t>
            </w:r>
          </w:p>
          <w:p w14:paraId="165CDE3E">
            <w:pPr>
              <w:adjustRightInd w:val="0"/>
              <w:snapToGrid w:val="0"/>
              <w:spacing w:line="360" w:lineRule="auto"/>
              <w:ind w:left="8" w:firstLine="410" w:firstLineChars="171"/>
              <w:rPr>
                <w:rFonts w:hint="eastAsia" w:ascii="宋体" w:hAnsi="宋体" w:cs="宋体"/>
                <w:color w:val="auto"/>
                <w:sz w:val="24"/>
              </w:rPr>
            </w:pPr>
            <w:r>
              <w:rPr>
                <w:rFonts w:hint="eastAsia" w:ascii="宋体" w:hAnsi="宋体" w:cs="宋体"/>
                <w:color w:val="auto"/>
                <w:sz w:val="24"/>
              </w:rPr>
              <w:t>（一）基本资格条件：符合《中华人民共和国政府采购法》第二十二条的规定。</w:t>
            </w:r>
          </w:p>
          <w:p w14:paraId="3920CE7C">
            <w:pPr>
              <w:pStyle w:val="18"/>
              <w:adjustRightInd w:val="0"/>
              <w:snapToGrid w:val="0"/>
              <w:spacing w:after="0" w:line="360" w:lineRule="auto"/>
              <w:ind w:firstLine="420" w:firstLineChars="175"/>
              <w:rPr>
                <w:rFonts w:hint="eastAsia" w:ascii="宋体" w:hAnsi="宋体" w:cs="宋体"/>
                <w:color w:val="auto"/>
                <w:sz w:val="24"/>
                <w:szCs w:val="22"/>
              </w:rPr>
            </w:pPr>
            <w:r>
              <w:rPr>
                <w:rFonts w:hint="eastAsia" w:ascii="宋体" w:hAnsi="宋体" w:cs="宋体"/>
                <w:color w:val="auto"/>
                <w:sz w:val="24"/>
                <w:szCs w:val="22"/>
              </w:rPr>
              <w:t>（二）特定资格条件：</w:t>
            </w:r>
          </w:p>
          <w:p w14:paraId="63C6C130">
            <w:pPr>
              <w:spacing w:line="360" w:lineRule="auto"/>
              <w:rPr>
                <w:rFonts w:hint="eastAsia" w:ascii="宋体" w:hAnsi="宋体" w:cs="宋体"/>
                <w:b w:val="0"/>
                <w:bCs w:val="0"/>
                <w:color w:val="auto"/>
                <w:sz w:val="24"/>
                <w:szCs w:val="24"/>
              </w:rPr>
            </w:pPr>
            <w:r>
              <w:rPr>
                <w:rFonts w:hint="eastAsia" w:ascii="宋体" w:hAnsi="宋体" w:cs="宋体"/>
                <w:b w:val="0"/>
                <w:bCs w:val="0"/>
                <w:color w:val="auto"/>
                <w:sz w:val="24"/>
                <w:szCs w:val="24"/>
              </w:rPr>
              <w:t xml:space="preserve"> </w:t>
            </w:r>
            <w:r>
              <w:rPr>
                <w:rFonts w:hint="eastAsia" w:hAnsi="宋体" w:cs="宋体"/>
                <w:b w:val="0"/>
                <w:bCs w:val="0"/>
                <w:color w:val="auto"/>
                <w:sz w:val="24"/>
                <w:szCs w:val="24"/>
                <w:lang w:val="en-US" w:eastAsia="zh-CN"/>
              </w:rPr>
              <w:t xml:space="preserve"> </w:t>
            </w:r>
            <w:r>
              <w:rPr>
                <w:rFonts w:hint="eastAsia" w:ascii="宋体" w:hAnsi="宋体" w:cs="宋体"/>
                <w:b w:val="0"/>
                <w:bCs w:val="0"/>
                <w:color w:val="auto"/>
                <w:sz w:val="24"/>
                <w:szCs w:val="24"/>
              </w:rPr>
              <w:t xml:space="preserve">1、投标人须具备独立承担民事责任能力的法人或其他组织，提供合法有效的统一社会信用代码的营业执照； </w:t>
            </w:r>
          </w:p>
          <w:p w14:paraId="16F14736">
            <w:pPr>
              <w:spacing w:line="360" w:lineRule="auto"/>
              <w:rPr>
                <w:rFonts w:hint="eastAsia" w:ascii="宋体" w:hAnsi="宋体" w:cs="宋体"/>
                <w:b w:val="0"/>
                <w:bCs w:val="0"/>
                <w:color w:val="auto"/>
                <w:sz w:val="24"/>
                <w:szCs w:val="24"/>
              </w:rPr>
            </w:pPr>
            <w:r>
              <w:rPr>
                <w:rFonts w:hint="eastAsia" w:ascii="宋体" w:hAnsi="宋体" w:cs="宋体"/>
                <w:b w:val="0"/>
                <w:bCs w:val="0"/>
                <w:color w:val="auto"/>
                <w:sz w:val="24"/>
                <w:szCs w:val="24"/>
              </w:rPr>
              <w:t xml:space="preserve">  2、财务状况报告：提供企业2025年度赋码财务审计报告（至少包括资产负债表、利润表、现金流量表及附注，提供的财务审计报告需在注册会计师行业统一监管平台（http://acc.mof.gov.cn/）可查询并提供网页截图）或开标前六个月内其基本账户银行出具的资信证明或财政部门认可的政府采购专业担保机构出具的担保函，以上形式的证明资料提供任何一种即可；</w:t>
            </w:r>
          </w:p>
          <w:p w14:paraId="7BD3A2FE">
            <w:pPr>
              <w:spacing w:line="360" w:lineRule="auto"/>
              <w:rPr>
                <w:rFonts w:hint="eastAsia" w:ascii="宋体" w:hAnsi="宋体" w:cs="宋体"/>
                <w:b w:val="0"/>
                <w:bCs w:val="0"/>
                <w:color w:val="auto"/>
                <w:sz w:val="24"/>
                <w:szCs w:val="24"/>
              </w:rPr>
            </w:pPr>
            <w:r>
              <w:rPr>
                <w:rFonts w:hint="eastAsia" w:ascii="宋体" w:hAnsi="宋体" w:cs="宋体"/>
                <w:b w:val="0"/>
                <w:bCs w:val="0"/>
                <w:color w:val="auto"/>
                <w:sz w:val="24"/>
                <w:szCs w:val="24"/>
              </w:rPr>
              <w:t xml:space="preserve">  3、社会保障资金缴纳证明：提供企业2026年1月至今已缴存的至少一个月的社会保障资金缴纳证明（社会保障资金缴存单据或社保机构开具的社会保险参保缴费情况证明），依法不需要缴纳社会保障资金的单位应提供相关证明材料；</w:t>
            </w:r>
          </w:p>
          <w:p w14:paraId="11A36C8D">
            <w:pPr>
              <w:spacing w:line="360" w:lineRule="auto"/>
              <w:rPr>
                <w:rFonts w:hint="eastAsia" w:ascii="宋体" w:hAnsi="宋体" w:cs="宋体"/>
                <w:b w:val="0"/>
                <w:bCs w:val="0"/>
                <w:color w:val="auto"/>
                <w:sz w:val="24"/>
                <w:szCs w:val="24"/>
              </w:rPr>
            </w:pPr>
            <w:r>
              <w:rPr>
                <w:rFonts w:hint="eastAsia" w:ascii="宋体" w:hAnsi="宋体" w:cs="宋体"/>
                <w:b w:val="0"/>
                <w:bCs w:val="0"/>
                <w:color w:val="auto"/>
                <w:sz w:val="24"/>
                <w:szCs w:val="24"/>
              </w:rPr>
              <w:t xml:space="preserve">  4、税收缴纳证明：提供企业2026年1月至今已缴纳的至少一个月的税收缴纳证明（时间以税款所属日期为准、税种须包含增值税或企业所得税，凭据应有税务机关或代收机关的公章或业务专用章）依法免税或无须缴纳税收的供应商，应提供相应证明文件；</w:t>
            </w:r>
          </w:p>
          <w:p w14:paraId="67A61797">
            <w:pPr>
              <w:spacing w:line="360" w:lineRule="auto"/>
              <w:rPr>
                <w:rFonts w:hint="eastAsia" w:ascii="宋体" w:hAnsi="宋体" w:cs="宋体"/>
                <w:b w:val="0"/>
                <w:bCs w:val="0"/>
                <w:color w:val="auto"/>
                <w:sz w:val="24"/>
                <w:szCs w:val="24"/>
              </w:rPr>
            </w:pPr>
            <w:r>
              <w:rPr>
                <w:rFonts w:hint="eastAsia" w:ascii="宋体" w:hAnsi="宋体" w:cs="宋体"/>
                <w:b w:val="0"/>
                <w:bCs w:val="0"/>
                <w:color w:val="auto"/>
                <w:sz w:val="24"/>
                <w:szCs w:val="24"/>
              </w:rPr>
              <w:t xml:space="preserve">  5、参加政府采购活动前3年内在经营活动中没有重大违法记录的书面声明（格式自拟，加盖投标人公章）；</w:t>
            </w:r>
          </w:p>
          <w:p w14:paraId="2F523AA0">
            <w:pPr>
              <w:spacing w:line="360" w:lineRule="auto"/>
              <w:rPr>
                <w:rFonts w:hint="eastAsia" w:ascii="宋体" w:hAnsi="宋体" w:cs="宋体"/>
                <w:b w:val="0"/>
                <w:bCs w:val="0"/>
                <w:color w:val="auto"/>
                <w:sz w:val="24"/>
                <w:szCs w:val="24"/>
              </w:rPr>
            </w:pPr>
            <w:r>
              <w:rPr>
                <w:rFonts w:hint="eastAsia" w:ascii="宋体" w:hAnsi="宋体" w:cs="宋体"/>
                <w:b w:val="0"/>
                <w:bCs w:val="0"/>
                <w:color w:val="auto"/>
                <w:sz w:val="24"/>
                <w:szCs w:val="24"/>
              </w:rPr>
              <w:t xml:space="preserve">  6、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公章）有以上不良记录的不得参与评审活动；</w:t>
            </w:r>
          </w:p>
          <w:p w14:paraId="07AA5415">
            <w:pPr>
              <w:spacing w:line="360" w:lineRule="auto"/>
              <w:rPr>
                <w:rFonts w:hint="eastAsia" w:ascii="宋体" w:hAnsi="宋体" w:cs="宋体"/>
                <w:b w:val="0"/>
                <w:bCs w:val="0"/>
                <w:color w:val="auto"/>
                <w:sz w:val="24"/>
                <w:szCs w:val="24"/>
              </w:rPr>
            </w:pPr>
            <w:r>
              <w:rPr>
                <w:rFonts w:hint="eastAsia" w:ascii="宋体" w:hAnsi="宋体" w:cs="宋体"/>
                <w:b w:val="0"/>
                <w:bCs w:val="0"/>
                <w:color w:val="auto"/>
                <w:sz w:val="24"/>
                <w:szCs w:val="24"/>
              </w:rPr>
              <w:t xml:space="preserve">  7、投标保证金用投标信用承诺书代替（提供投标信用承诺书）；</w:t>
            </w:r>
          </w:p>
          <w:p w14:paraId="063B559B">
            <w:pPr>
              <w:spacing w:line="360" w:lineRule="auto"/>
              <w:rPr>
                <w:rFonts w:hint="eastAsia" w:ascii="宋体" w:hAnsi="宋体" w:cs="宋体"/>
                <w:b w:val="0"/>
                <w:bCs w:val="0"/>
                <w:color w:val="auto"/>
                <w:sz w:val="24"/>
                <w:szCs w:val="24"/>
              </w:rPr>
            </w:pPr>
            <w:r>
              <w:rPr>
                <w:rFonts w:hint="eastAsia" w:ascii="宋体" w:hAnsi="宋体" w:cs="宋体"/>
                <w:b w:val="0"/>
                <w:bCs w:val="0"/>
                <w:color w:val="auto"/>
                <w:sz w:val="24"/>
                <w:szCs w:val="24"/>
              </w:rPr>
              <w:t xml:space="preserve">  8、本项目不接受联合体投标，单位负责人为同一人或者存在直接控股、管理关系的不同投标人，不得参加同一合同项下的政府采购活动（须提供非联合体投标声明函）；</w:t>
            </w:r>
          </w:p>
          <w:p w14:paraId="5DDCF13D">
            <w:pPr>
              <w:spacing w:line="360" w:lineRule="auto"/>
              <w:rPr>
                <w:rFonts w:hint="eastAsia" w:ascii="宋体" w:hAnsi="宋体" w:cs="宋体"/>
                <w:b w:val="0"/>
                <w:bCs w:val="0"/>
                <w:color w:val="auto"/>
                <w:sz w:val="24"/>
                <w:szCs w:val="24"/>
              </w:rPr>
            </w:pPr>
            <w:r>
              <w:rPr>
                <w:rFonts w:hint="eastAsia" w:ascii="宋体" w:hAnsi="宋体" w:cs="宋体"/>
                <w:b w:val="0"/>
                <w:bCs w:val="0"/>
                <w:color w:val="auto"/>
                <w:sz w:val="24"/>
                <w:szCs w:val="24"/>
              </w:rPr>
              <w:t xml:space="preserve">  9、 本项目专门面向中小企业采购（须提供中小企业声明函）。</w:t>
            </w:r>
          </w:p>
          <w:p w14:paraId="6AAC07BD">
            <w:pPr>
              <w:spacing w:line="360" w:lineRule="auto"/>
              <w:rPr>
                <w:rFonts w:hint="eastAsia" w:ascii="宋体" w:hAnsi="宋体" w:cs="宋体"/>
                <w:b w:val="0"/>
                <w:bCs w:val="0"/>
                <w:color w:val="auto"/>
                <w:sz w:val="24"/>
                <w:szCs w:val="24"/>
              </w:rPr>
            </w:pPr>
            <w:r>
              <w:rPr>
                <w:rFonts w:hint="eastAsia" w:ascii="宋体" w:hAnsi="宋体" w:cs="宋体"/>
                <w:b w:val="0"/>
                <w:bCs w:val="0"/>
                <w:color w:val="auto"/>
                <w:sz w:val="24"/>
                <w:szCs w:val="24"/>
              </w:rPr>
              <w:t xml:space="preserve">  注：本项目为专门面向中小企业项目。供应商应为中型、小型、微型企业或监狱企业或残疾人福利性单位，供应商为中型、小型、微型企业的，提供《中小企业声明函》；供应商为监狱企业的，应提供监狱企业的证明文件；供应商为残疾人福利性单位的，应提供《残疾人福利性单位声明函》（监狱企业或残疾人福利性单位视同小型、微型企业）。</w:t>
            </w:r>
          </w:p>
          <w:p w14:paraId="4E91A4EB">
            <w:pPr>
              <w:spacing w:line="360" w:lineRule="auto"/>
              <w:rPr>
                <w:rFonts w:hint="eastAsia" w:hAnsi="宋体" w:cs="宋体"/>
                <w:color w:val="auto"/>
                <w:sz w:val="24"/>
                <w:szCs w:val="24"/>
                <w:lang w:eastAsia="zh-CN"/>
              </w:rPr>
            </w:pPr>
            <w:r>
              <w:rPr>
                <w:rFonts w:hint="eastAsia" w:ascii="宋体" w:hAnsi="宋体" w:cs="宋体"/>
                <w:b/>
                <w:bCs/>
                <w:color w:val="auto"/>
                <w:sz w:val="24"/>
                <w:szCs w:val="24"/>
              </w:rPr>
              <w:t>注：上述资质为必备资质，欠缺其中任何一项或未按要求</w:t>
            </w:r>
            <w:r>
              <w:rPr>
                <w:rFonts w:hint="eastAsia" w:hAnsi="宋体" w:cs="宋体"/>
                <w:b/>
                <w:bCs/>
                <w:color w:val="auto"/>
                <w:sz w:val="24"/>
                <w:szCs w:val="24"/>
                <w:lang w:eastAsia="zh-CN"/>
              </w:rPr>
              <w:t>提供</w:t>
            </w:r>
            <w:r>
              <w:rPr>
                <w:rFonts w:hint="eastAsia" w:ascii="宋体" w:hAnsi="宋体" w:cs="宋体"/>
                <w:b/>
                <w:bCs/>
                <w:color w:val="auto"/>
                <w:sz w:val="24"/>
                <w:szCs w:val="24"/>
              </w:rPr>
              <w:t>的，按无效响应文件处理。</w:t>
            </w:r>
          </w:p>
        </w:tc>
      </w:tr>
      <w:tr w14:paraId="70787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52" w:type="dxa"/>
            <w:noWrap w:val="0"/>
            <w:vAlign w:val="center"/>
          </w:tcPr>
          <w:p w14:paraId="1F1030D7">
            <w:pPr>
              <w:spacing w:line="360" w:lineRule="auto"/>
              <w:ind w:left="210"/>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r>
              <w:rPr>
                <w:rFonts w:hint="eastAsia" w:hAnsi="宋体" w:cs="宋体"/>
                <w:color w:val="auto"/>
                <w:sz w:val="24"/>
                <w:szCs w:val="24"/>
                <w:lang w:val="en-US" w:eastAsia="zh-CN"/>
              </w:rPr>
              <w:t>6</w:t>
            </w:r>
          </w:p>
        </w:tc>
        <w:tc>
          <w:tcPr>
            <w:tcW w:w="8303" w:type="dxa"/>
            <w:noWrap w:val="0"/>
            <w:vAlign w:val="center"/>
          </w:tcPr>
          <w:p w14:paraId="15467644">
            <w:pPr>
              <w:spacing w:line="360" w:lineRule="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不见面开标</w:t>
            </w:r>
          </w:p>
          <w:p w14:paraId="5ADA9A75">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该项目采取“不见面”开标的形式，投标人无须到达开标现场，即可在网上直接参与开标活动。相关注意事项如下：</w:t>
            </w:r>
          </w:p>
          <w:p w14:paraId="75989C98">
            <w:pPr>
              <w:numPr>
                <w:ilvl w:val="0"/>
                <w:numId w:val="7"/>
              </w:num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rPr>
              <w:t>开标当日，请各供应商</w:t>
            </w:r>
            <w:r>
              <w:rPr>
                <w:rFonts w:hint="eastAsia" w:ascii="思源宋体 CN Light" w:hAnsi="思源宋体 CN Light" w:eastAsia="思源宋体 CN Light" w:cs="思源宋体 CN Light"/>
                <w:color w:val="auto"/>
                <w:sz w:val="24"/>
                <w:szCs w:val="24"/>
                <w:lang w:val="en-US" w:eastAsia="zh-CN"/>
              </w:rPr>
              <w:t>在开标截止时间前</w:t>
            </w:r>
            <w:r>
              <w:rPr>
                <w:rFonts w:hint="eastAsia" w:ascii="思源宋体 CN Light" w:hAnsi="思源宋体 CN Light" w:eastAsia="思源宋体 CN Light" w:cs="思源宋体 CN Light"/>
                <w:color w:val="auto"/>
                <w:sz w:val="24"/>
                <w:szCs w:val="24"/>
              </w:rPr>
              <w:t>至少提前半小时登录“不见面”开标系统</w:t>
            </w:r>
            <w:r>
              <w:rPr>
                <w:rFonts w:hint="eastAsia" w:ascii="思源宋体 CN Light" w:hAnsi="思源宋体 CN Light" w:eastAsia="思源宋体 CN Light" w:cs="思源宋体 CN Light"/>
                <w:color w:val="auto"/>
                <w:sz w:val="24"/>
                <w:szCs w:val="24"/>
                <w:lang w:val="en-US" w:eastAsia="zh-CN"/>
              </w:rPr>
              <w:t>登录方式有以下几种：</w:t>
            </w:r>
          </w:p>
          <w:p w14:paraId="1A3EA9AB">
            <w:pPr>
              <w:numPr>
                <w:ilvl w:val="0"/>
                <w:numId w:val="8"/>
              </w:numPr>
              <w:spacing w:line="360" w:lineRule="auto"/>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IE浏览器输入网址：</w:t>
            </w:r>
          </w:p>
          <w:p w14:paraId="7C9FAD3A">
            <w:pPr>
              <w:numPr>
                <w:ilvl w:val="0"/>
                <w:numId w:val="0"/>
              </w:num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rPr>
              <w:fldChar w:fldCharType="begin"/>
            </w:r>
            <w:r>
              <w:rPr>
                <w:rFonts w:hint="eastAsia" w:ascii="思源宋体 CN Light" w:hAnsi="思源宋体 CN Light" w:eastAsia="思源宋体 CN Light" w:cs="思源宋体 CN Light"/>
                <w:color w:val="auto"/>
                <w:sz w:val="24"/>
                <w:szCs w:val="24"/>
              </w:rPr>
              <w:instrText xml:space="preserve"> HYPERLINK "http://219.145.120.168:8082/BidOpeningHall/bidhall/default/login），" </w:instrText>
            </w:r>
            <w:r>
              <w:rPr>
                <w:rFonts w:hint="eastAsia" w:ascii="思源宋体 CN Light" w:hAnsi="思源宋体 CN Light" w:eastAsia="思源宋体 CN Light" w:cs="思源宋体 CN Light"/>
                <w:color w:val="auto"/>
                <w:sz w:val="24"/>
                <w:szCs w:val="24"/>
              </w:rPr>
              <w:fldChar w:fldCharType="separate"/>
            </w:r>
            <w:r>
              <w:rPr>
                <w:rStyle w:val="58"/>
                <w:rFonts w:hint="eastAsia" w:ascii="思源宋体 CN Light" w:hAnsi="思源宋体 CN Light" w:eastAsia="思源宋体 CN Light" w:cs="思源宋体 CN Light"/>
                <w:color w:val="auto"/>
                <w:sz w:val="24"/>
                <w:szCs w:val="24"/>
              </w:rPr>
              <w:t>http://111.20.184.126:8081/BidOpeningHallCS/bidhall/default/login</w:t>
            </w:r>
            <w:r>
              <w:rPr>
                <w:rStyle w:val="58"/>
                <w:rFonts w:hint="eastAsia" w:ascii="思源宋体 CN Light" w:hAnsi="思源宋体 CN Light" w:eastAsia="思源宋体 CN Light" w:cs="思源宋体 CN Light"/>
                <w:color w:val="auto"/>
                <w:sz w:val="24"/>
                <w:szCs w:val="24"/>
                <w:u w:val="none"/>
                <w:lang w:eastAsia="zh-CN"/>
              </w:rPr>
              <w:t>；</w:t>
            </w:r>
            <w:r>
              <w:rPr>
                <w:rFonts w:hint="eastAsia" w:ascii="思源宋体 CN Light" w:hAnsi="思源宋体 CN Light" w:eastAsia="思源宋体 CN Light" w:cs="思源宋体 CN Light"/>
                <w:color w:val="auto"/>
                <w:sz w:val="24"/>
                <w:szCs w:val="24"/>
              </w:rPr>
              <w:fldChar w:fldCharType="end"/>
            </w:r>
          </w:p>
          <w:p w14:paraId="12B29EF6">
            <w:pPr>
              <w:numPr>
                <w:ilvl w:val="0"/>
                <w:numId w:val="8"/>
              </w:numPr>
              <w:spacing w:line="360" w:lineRule="auto"/>
              <w:ind w:left="0" w:leftChars="0" w:firstLine="0" w:firstLineChars="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rPr>
              <w:t>在【全国公共资源交易平台（陕西省·</w:t>
            </w:r>
            <w:r>
              <w:rPr>
                <w:rFonts w:hint="eastAsia" w:ascii="思源宋体 CN Light" w:hAnsi="思源宋体 CN Light" w:eastAsia="思源宋体 CN Light" w:cs="思源宋体 CN Light"/>
                <w:color w:val="auto"/>
                <w:sz w:val="24"/>
                <w:szCs w:val="24"/>
                <w:lang w:val="en-US" w:eastAsia="zh-CN"/>
              </w:rPr>
              <w:t>榆林</w:t>
            </w:r>
            <w:r>
              <w:rPr>
                <w:rFonts w:hint="eastAsia" w:ascii="思源宋体 CN Light" w:hAnsi="思源宋体 CN Light" w:eastAsia="思源宋体 CN Light" w:cs="思源宋体 CN Light"/>
                <w:color w:val="auto"/>
                <w:sz w:val="24"/>
                <w:szCs w:val="24"/>
              </w:rPr>
              <w:t>市）】</w:t>
            </w:r>
            <w:r>
              <w:rPr>
                <w:rFonts w:hint="eastAsia" w:ascii="思源宋体 CN Light" w:hAnsi="思源宋体 CN Light" w:eastAsia="思源宋体 CN Light" w:cs="思源宋体 CN Light"/>
                <w:color w:val="auto"/>
                <w:sz w:val="24"/>
                <w:szCs w:val="24"/>
                <w:lang w:val="en-US" w:eastAsia="zh-CN"/>
              </w:rPr>
              <w:t>网站首页点击不见面开标模块进入；</w:t>
            </w:r>
          </w:p>
          <w:p w14:paraId="6ECEF0C2">
            <w:pPr>
              <w:numPr>
                <w:ilvl w:val="0"/>
                <w:numId w:val="8"/>
              </w:numPr>
              <w:spacing w:line="360" w:lineRule="auto"/>
              <w:ind w:left="0" w:leftChars="0" w:firstLine="0" w:firstLineChars="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在</w:t>
            </w:r>
            <w:r>
              <w:rPr>
                <w:rFonts w:hint="eastAsia" w:ascii="思源宋体 CN Light" w:hAnsi="思源宋体 CN Light" w:eastAsia="思源宋体 CN Light" w:cs="思源宋体 CN Light"/>
                <w:color w:val="auto"/>
                <w:sz w:val="24"/>
                <w:szCs w:val="24"/>
              </w:rPr>
              <w:t>【全国公共资源交易平台（陕西省）】</w:t>
            </w:r>
            <w:r>
              <w:rPr>
                <w:rFonts w:hint="eastAsia" w:ascii="思源宋体 CN Light" w:hAnsi="思源宋体 CN Light" w:eastAsia="思源宋体 CN Light" w:cs="思源宋体 CN Light"/>
                <w:color w:val="auto"/>
                <w:sz w:val="24"/>
                <w:szCs w:val="24"/>
                <w:lang w:val="en-US" w:eastAsia="zh-CN"/>
              </w:rPr>
              <w:t>网站首页点击不见面开标模块选择榆林市进入。</w:t>
            </w:r>
          </w:p>
          <w:p w14:paraId="28DF789F">
            <w:pPr>
              <w:numPr>
                <w:ilvl w:val="0"/>
                <w:numId w:val="0"/>
              </w:numPr>
              <w:spacing w:line="360" w:lineRule="auto"/>
              <w:ind w:leftChars="0"/>
              <w:rPr>
                <w:rFonts w:hint="default" w:ascii="思源宋体 CN Light" w:hAnsi="思源宋体 CN Light" w:eastAsia="思源宋体 CN Light" w:cs="思源宋体 CN Light"/>
                <w:b/>
                <w:bCs/>
                <w:color w:val="auto"/>
                <w:sz w:val="24"/>
                <w:szCs w:val="24"/>
                <w:lang w:val="en-US" w:eastAsia="zh-CN"/>
              </w:rPr>
            </w:pPr>
            <w:r>
              <w:rPr>
                <w:rFonts w:hint="eastAsia" w:ascii="思源宋体 CN Light" w:hAnsi="思源宋体 CN Light" w:eastAsia="思源宋体 CN Light" w:cs="思源宋体 CN Light"/>
                <w:b/>
                <w:bCs/>
                <w:color w:val="auto"/>
                <w:sz w:val="24"/>
                <w:szCs w:val="24"/>
                <w:lang w:val="en-US" w:eastAsia="zh-CN"/>
              </w:rPr>
              <w:t>注：登录不见面开标系统请选择IE11浏览器</w:t>
            </w:r>
          </w:p>
          <w:p w14:paraId="7FD06545">
            <w:p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lang w:val="en-US" w:eastAsia="zh-CN"/>
              </w:rPr>
              <w:t>2、供应商应</w:t>
            </w:r>
            <w:r>
              <w:rPr>
                <w:rFonts w:hint="eastAsia" w:ascii="思源宋体 CN Light" w:hAnsi="思源宋体 CN Light" w:eastAsia="思源宋体 CN Light" w:cs="思源宋体 CN Light"/>
                <w:color w:val="auto"/>
                <w:sz w:val="24"/>
                <w:szCs w:val="24"/>
              </w:rPr>
              <w:t>按要求及时签到</w:t>
            </w:r>
            <w:r>
              <w:rPr>
                <w:rFonts w:hint="eastAsia" w:ascii="思源宋体 CN Light" w:hAnsi="思源宋体 CN Light" w:eastAsia="思源宋体 CN Light" w:cs="思源宋体 CN Light"/>
                <w:b/>
                <w:bCs/>
                <w:color w:val="auto"/>
                <w:sz w:val="24"/>
                <w:szCs w:val="24"/>
                <w:lang w:val="en-US" w:eastAsia="zh-CN"/>
              </w:rPr>
              <w:t>（签到时间为投标截止时间前1小时内，如果未签到将视为放弃投标资格）</w:t>
            </w:r>
            <w:r>
              <w:rPr>
                <w:rFonts w:hint="eastAsia" w:ascii="思源宋体 CN Light" w:hAnsi="思源宋体 CN Light" w:eastAsia="思源宋体 CN Light" w:cs="思源宋体 CN Light"/>
                <w:color w:val="auto"/>
                <w:sz w:val="24"/>
                <w:szCs w:val="24"/>
                <w:lang w:val="en-US" w:eastAsia="zh-CN"/>
              </w:rPr>
              <w:t>，</w:t>
            </w:r>
            <w:r>
              <w:rPr>
                <w:rFonts w:hint="eastAsia" w:ascii="思源宋体 CN Light" w:hAnsi="思源宋体 CN Light" w:eastAsia="思源宋体 CN Light" w:cs="思源宋体 CN Light"/>
                <w:color w:val="auto"/>
                <w:sz w:val="24"/>
                <w:szCs w:val="24"/>
              </w:rPr>
              <w:t>评审过程中，评标委员会可能会就某些问题要求供应商进行在线澄清</w:t>
            </w:r>
            <w:r>
              <w:rPr>
                <w:rFonts w:hint="eastAsia" w:ascii="思源宋体 CN Light" w:hAnsi="思源宋体 CN Light" w:eastAsia="思源宋体 CN Light" w:cs="思源宋体 CN Light"/>
                <w:color w:val="auto"/>
                <w:sz w:val="24"/>
                <w:szCs w:val="24"/>
                <w:lang w:eastAsia="zh-CN"/>
              </w:rPr>
              <w:t>，</w:t>
            </w:r>
            <w:r>
              <w:rPr>
                <w:rFonts w:hint="eastAsia" w:ascii="思源宋体 CN Light" w:hAnsi="思源宋体 CN Light" w:eastAsia="思源宋体 CN Light" w:cs="思源宋体 CN Light"/>
                <w:color w:val="auto"/>
                <w:sz w:val="24"/>
                <w:szCs w:val="24"/>
                <w:lang w:val="en-US" w:eastAsia="zh-CN"/>
              </w:rPr>
              <w:t>请供应商</w:t>
            </w:r>
            <w:r>
              <w:rPr>
                <w:rFonts w:hint="eastAsia" w:ascii="思源宋体 CN Light" w:hAnsi="思源宋体 CN Light" w:eastAsia="思源宋体 CN Light" w:cs="思源宋体 CN Light"/>
                <w:color w:val="auto"/>
                <w:sz w:val="24"/>
                <w:szCs w:val="24"/>
              </w:rPr>
              <w:t>保持在线直到评审结束；</w:t>
            </w:r>
          </w:p>
          <w:p w14:paraId="3F5A1F7E">
            <w:pPr>
              <w:spacing w:line="360" w:lineRule="auto"/>
              <w:rPr>
                <w:rFonts w:hint="eastAsia" w:ascii="思源宋体 CN Light" w:hAnsi="思源宋体 CN Light" w:eastAsia="思源宋体 CN Light" w:cs="思源宋体 CN Light"/>
                <w:b/>
                <w:bCs/>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3</w:t>
            </w:r>
            <w:r>
              <w:rPr>
                <w:rFonts w:hint="eastAsia" w:ascii="思源宋体 CN Light" w:hAnsi="思源宋体 CN Light" w:eastAsia="思源宋体 CN Light" w:cs="思源宋体 CN Light"/>
                <w:color w:val="auto"/>
                <w:sz w:val="24"/>
                <w:szCs w:val="24"/>
              </w:rPr>
              <w:t>、</w:t>
            </w:r>
            <w:r>
              <w:rPr>
                <w:rFonts w:hint="eastAsia" w:ascii="思源宋体 CN Light" w:hAnsi="思源宋体 CN Light" w:eastAsia="思源宋体 CN Light" w:cs="思源宋体 CN Light"/>
                <w:color w:val="auto"/>
                <w:sz w:val="24"/>
                <w:szCs w:val="24"/>
                <w:lang w:val="en-US" w:eastAsia="zh-CN"/>
              </w:rPr>
              <w:t>开</w:t>
            </w:r>
            <w:r>
              <w:rPr>
                <w:rFonts w:hint="eastAsia" w:ascii="思源宋体 CN Light" w:hAnsi="思源宋体 CN Light" w:eastAsia="思源宋体 CN Light" w:cs="思源宋体 CN Light"/>
                <w:color w:val="auto"/>
                <w:sz w:val="24"/>
                <w:szCs w:val="24"/>
              </w:rPr>
              <w:t>标过程中，供应商在收到工作人员“开始解密”指令后，请及时使用CA对电子</w:t>
            </w:r>
            <w:r>
              <w:rPr>
                <w:rFonts w:hint="eastAsia" w:ascii="思源宋体 CN Light" w:hAnsi="思源宋体 CN Light" w:eastAsia="思源宋体 CN Light" w:cs="思源宋体 CN Light"/>
                <w:color w:val="auto"/>
                <w:sz w:val="24"/>
                <w:szCs w:val="24"/>
                <w:lang w:eastAsia="zh-CN"/>
              </w:rPr>
              <w:t>竞争性磋商响应文件</w:t>
            </w:r>
            <w:r>
              <w:rPr>
                <w:rFonts w:hint="eastAsia" w:ascii="思源宋体 CN Light" w:hAnsi="思源宋体 CN Light" w:eastAsia="思源宋体 CN Light" w:cs="思源宋体 CN Light"/>
                <w:color w:val="auto"/>
                <w:sz w:val="24"/>
                <w:szCs w:val="24"/>
              </w:rPr>
              <w:t>进行解密。解密时所用CA应与加密</w:t>
            </w:r>
            <w:r>
              <w:rPr>
                <w:rFonts w:hint="eastAsia" w:ascii="思源宋体 CN Light" w:hAnsi="思源宋体 CN Light" w:eastAsia="思源宋体 CN Light" w:cs="思源宋体 CN Light"/>
                <w:color w:val="auto"/>
                <w:sz w:val="24"/>
                <w:szCs w:val="24"/>
                <w:lang w:eastAsia="zh-CN"/>
              </w:rPr>
              <w:t>竞争性磋商响应文件</w:t>
            </w:r>
            <w:r>
              <w:rPr>
                <w:rFonts w:hint="eastAsia" w:ascii="思源宋体 CN Light" w:hAnsi="思源宋体 CN Light" w:eastAsia="思源宋体 CN Light" w:cs="思源宋体 CN Light"/>
                <w:color w:val="auto"/>
                <w:sz w:val="24"/>
                <w:szCs w:val="24"/>
              </w:rPr>
              <w:t>时所用CA相同；</w:t>
            </w:r>
            <w:r>
              <w:rPr>
                <w:rFonts w:hint="eastAsia" w:ascii="思源宋体 CN Light" w:hAnsi="思源宋体 CN Light" w:eastAsia="思源宋体 CN Light" w:cs="思源宋体 CN Light"/>
                <w:b/>
                <w:bCs/>
                <w:color w:val="auto"/>
                <w:sz w:val="24"/>
                <w:szCs w:val="24"/>
                <w:lang w:val="en-US" w:eastAsia="zh-CN"/>
              </w:rPr>
              <w:t>注：解密时间为30分钟，在解密时间内供应商全部解密完成后，可提前进入开标下一阶段。</w:t>
            </w:r>
          </w:p>
          <w:p w14:paraId="688C052D">
            <w:p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lang w:val="en-US" w:eastAsia="zh-CN"/>
              </w:rPr>
              <w:t>4</w:t>
            </w:r>
            <w:r>
              <w:rPr>
                <w:rFonts w:hint="eastAsia" w:ascii="思源宋体 CN Light" w:hAnsi="思源宋体 CN Light" w:eastAsia="思源宋体 CN Light" w:cs="思源宋体 CN Light"/>
                <w:color w:val="auto"/>
                <w:sz w:val="24"/>
                <w:szCs w:val="24"/>
              </w:rPr>
              <w:t>、相关技术问题，请咨询软件开发商：</w:t>
            </w:r>
          </w:p>
          <w:p w14:paraId="17085270">
            <w:p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rPr>
              <w:t>（1）技术支持热线：400-998-0000/400-928-0095</w:t>
            </w:r>
          </w:p>
          <w:p w14:paraId="2C8AD199">
            <w:pPr>
              <w:spacing w:line="360" w:lineRule="auto"/>
              <w:rPr>
                <w:rFonts w:hint="eastAsia" w:ascii="宋体" w:hAnsi="宋体" w:cs="宋体"/>
                <w:color w:val="auto"/>
                <w:sz w:val="24"/>
                <w:szCs w:val="24"/>
              </w:rPr>
            </w:pPr>
            <w:r>
              <w:rPr>
                <w:rFonts w:hint="eastAsia" w:ascii="思源宋体 CN Light" w:hAnsi="思源宋体 CN Light" w:eastAsia="思源宋体 CN Light" w:cs="思源宋体 CN Light"/>
                <w:color w:val="auto"/>
                <w:sz w:val="24"/>
                <w:szCs w:val="24"/>
                <w:lang w:val="en-US" w:eastAsia="zh-CN"/>
              </w:rPr>
              <w:t>5</w:t>
            </w:r>
            <w:r>
              <w:rPr>
                <w:rFonts w:hint="eastAsia" w:ascii="思源宋体 CN Light" w:hAnsi="思源宋体 CN Light" w:eastAsia="思源宋体 CN Light" w:cs="思源宋体 CN Light"/>
                <w:color w:val="auto"/>
                <w:sz w:val="24"/>
                <w:szCs w:val="24"/>
              </w:rPr>
              <w:t>、</w:t>
            </w:r>
            <w:r>
              <w:rPr>
                <w:rFonts w:hint="eastAsia" w:ascii="思源宋体 CN Light" w:hAnsi="思源宋体 CN Light" w:eastAsia="思源宋体 CN Light" w:cs="思源宋体 CN Light"/>
                <w:color w:val="auto"/>
                <w:sz w:val="24"/>
                <w:szCs w:val="24"/>
                <w:lang w:val="en-US" w:eastAsia="zh-CN"/>
              </w:rPr>
              <w:t>榆林</w:t>
            </w:r>
            <w:r>
              <w:rPr>
                <w:rFonts w:hint="eastAsia" w:ascii="思源宋体 CN Light" w:hAnsi="思源宋体 CN Light" w:eastAsia="思源宋体 CN Light" w:cs="思源宋体 CN Light"/>
                <w:color w:val="auto"/>
                <w:sz w:val="24"/>
                <w:szCs w:val="24"/>
              </w:rPr>
              <w:t>不见面开标</w:t>
            </w:r>
            <w:r>
              <w:rPr>
                <w:rFonts w:hint="eastAsia" w:ascii="思源宋体 CN Light" w:hAnsi="思源宋体 CN Light" w:eastAsia="思源宋体 CN Light" w:cs="思源宋体 CN Light"/>
                <w:color w:val="auto"/>
                <w:sz w:val="24"/>
                <w:szCs w:val="24"/>
                <w:lang w:val="en-US" w:eastAsia="zh-CN"/>
              </w:rPr>
              <w:t>系统</w:t>
            </w:r>
            <w:r>
              <w:rPr>
                <w:rFonts w:hint="eastAsia" w:ascii="思源宋体 CN Light" w:hAnsi="思源宋体 CN Light" w:eastAsia="思源宋体 CN Light" w:cs="思源宋体 CN Light"/>
                <w:color w:val="auto"/>
                <w:sz w:val="24"/>
                <w:szCs w:val="24"/>
              </w:rPr>
              <w:t>操作手册</w:t>
            </w:r>
            <w:r>
              <w:rPr>
                <w:rFonts w:hint="eastAsia" w:ascii="思源宋体 CN Light" w:hAnsi="思源宋体 CN Light" w:eastAsia="思源宋体 CN Light" w:cs="思源宋体 CN Light"/>
                <w:color w:val="auto"/>
                <w:sz w:val="24"/>
                <w:szCs w:val="24"/>
                <w:lang w:val="en-US" w:eastAsia="zh-CN"/>
              </w:rPr>
              <w:t>下载方式：登录</w:t>
            </w:r>
            <w:r>
              <w:rPr>
                <w:rFonts w:hint="eastAsia" w:ascii="思源宋体 CN Light" w:hAnsi="思源宋体 CN Light" w:eastAsia="思源宋体 CN Light" w:cs="思源宋体 CN Light"/>
                <w:color w:val="auto"/>
                <w:sz w:val="24"/>
                <w:szCs w:val="24"/>
              </w:rPr>
              <w:t>【全国公共资源交易平台（陕西省·</w:t>
            </w:r>
            <w:r>
              <w:rPr>
                <w:rFonts w:hint="eastAsia" w:ascii="思源宋体 CN Light" w:hAnsi="思源宋体 CN Light" w:eastAsia="思源宋体 CN Light" w:cs="思源宋体 CN Light"/>
                <w:color w:val="auto"/>
                <w:sz w:val="24"/>
                <w:szCs w:val="24"/>
                <w:lang w:val="en-US" w:eastAsia="zh-CN"/>
              </w:rPr>
              <w:t>榆林</w:t>
            </w:r>
            <w:r>
              <w:rPr>
                <w:rFonts w:hint="eastAsia" w:ascii="思源宋体 CN Light" w:hAnsi="思源宋体 CN Light" w:eastAsia="思源宋体 CN Light" w:cs="思源宋体 CN Light"/>
                <w:color w:val="auto"/>
                <w:sz w:val="24"/>
                <w:szCs w:val="24"/>
              </w:rPr>
              <w:t>市）】</w:t>
            </w:r>
            <w:r>
              <w:rPr>
                <w:rFonts w:hint="eastAsia" w:ascii="思源宋体 CN Light" w:hAnsi="思源宋体 CN Light" w:eastAsia="思源宋体 CN Light" w:cs="思源宋体 CN Light"/>
                <w:color w:val="auto"/>
                <w:sz w:val="24"/>
                <w:szCs w:val="24"/>
                <w:lang w:val="en-US" w:eastAsia="zh-CN"/>
              </w:rPr>
              <w:t>网站首页选择【服务指南】-【下载专区】-点击【</w:t>
            </w:r>
            <w:r>
              <w:rPr>
                <w:rFonts w:hint="eastAsia" w:ascii="思源宋体 CN Light" w:hAnsi="思源宋体 CN Light" w:eastAsia="思源宋体 CN Light" w:cs="思源宋体 CN Light"/>
                <w:color w:val="auto"/>
                <w:sz w:val="24"/>
                <w:szCs w:val="24"/>
              </w:rPr>
              <w:fldChar w:fldCharType="begin"/>
            </w:r>
            <w:r>
              <w:rPr>
                <w:rFonts w:hint="eastAsia" w:ascii="思源宋体 CN Light" w:hAnsi="思源宋体 CN Light" w:eastAsia="思源宋体 CN Light" w:cs="思源宋体 CN Light"/>
                <w:color w:val="auto"/>
                <w:sz w:val="24"/>
                <w:szCs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思源宋体 CN Light" w:hAnsi="思源宋体 CN Light" w:eastAsia="思源宋体 CN Light" w:cs="思源宋体 CN Light"/>
                <w:color w:val="auto"/>
                <w:sz w:val="24"/>
                <w:szCs w:val="24"/>
              </w:rPr>
              <w:fldChar w:fldCharType="separate"/>
            </w:r>
            <w:r>
              <w:rPr>
                <w:rFonts w:hint="eastAsia" w:ascii="思源宋体 CN Light" w:hAnsi="思源宋体 CN Light" w:eastAsia="思源宋体 CN Light" w:cs="思源宋体 CN Light"/>
                <w:color w:val="auto"/>
                <w:sz w:val="24"/>
                <w:szCs w:val="24"/>
              </w:rPr>
              <w:t>榆林不见面开标系统操作手册（投标人）</w:t>
            </w:r>
            <w:r>
              <w:rPr>
                <w:rFonts w:hint="eastAsia" w:ascii="思源宋体 CN Light" w:hAnsi="思源宋体 CN Light" w:eastAsia="思源宋体 CN Light" w:cs="思源宋体 CN Light"/>
                <w:color w:val="auto"/>
                <w:sz w:val="24"/>
                <w:szCs w:val="24"/>
              </w:rPr>
              <w:fldChar w:fldCharType="end"/>
            </w:r>
            <w:r>
              <w:rPr>
                <w:rFonts w:hint="eastAsia" w:ascii="思源宋体 CN Light" w:hAnsi="思源宋体 CN Light" w:eastAsia="思源宋体 CN Light" w:cs="思源宋体 CN Light"/>
                <w:color w:val="auto"/>
                <w:sz w:val="24"/>
                <w:szCs w:val="24"/>
                <w:lang w:val="en-US" w:eastAsia="zh-CN"/>
              </w:rPr>
              <w:t>】进行下载</w:t>
            </w:r>
            <w:r>
              <w:rPr>
                <w:rFonts w:hint="eastAsia" w:ascii="思源宋体 CN Light" w:hAnsi="思源宋体 CN Light" w:eastAsia="思源宋体 CN Light" w:cs="思源宋体 CN Light"/>
                <w:color w:val="auto"/>
                <w:sz w:val="24"/>
                <w:szCs w:val="24"/>
              </w:rPr>
              <w:t>。</w:t>
            </w:r>
          </w:p>
        </w:tc>
      </w:tr>
      <w:tr w14:paraId="7A18B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52" w:type="dxa"/>
            <w:noWrap w:val="0"/>
            <w:vAlign w:val="center"/>
          </w:tcPr>
          <w:p w14:paraId="4F5857F5">
            <w:pPr>
              <w:spacing w:line="360" w:lineRule="auto"/>
              <w:ind w:left="210"/>
              <w:rPr>
                <w:rFonts w:hint="default" w:ascii="宋体" w:hAnsi="宋体" w:cs="宋体"/>
                <w:color w:val="auto"/>
                <w:sz w:val="24"/>
                <w:szCs w:val="24"/>
                <w:lang w:val="en-US" w:eastAsia="zh-CN"/>
              </w:rPr>
            </w:pPr>
            <w:r>
              <w:rPr>
                <w:rFonts w:hint="eastAsia" w:hAnsi="宋体" w:cs="宋体"/>
                <w:color w:val="auto"/>
                <w:sz w:val="24"/>
                <w:szCs w:val="24"/>
                <w:lang w:val="en-US" w:eastAsia="zh-CN"/>
              </w:rPr>
              <w:t>17</w:t>
            </w:r>
          </w:p>
        </w:tc>
        <w:tc>
          <w:tcPr>
            <w:tcW w:w="8303" w:type="dxa"/>
            <w:noWrap w:val="0"/>
            <w:vAlign w:val="center"/>
          </w:tcPr>
          <w:p w14:paraId="2DB4D706">
            <w:pPr>
              <w:widowControl/>
              <w:spacing w:line="360" w:lineRule="auto"/>
              <w:jc w:val="left"/>
              <w:rPr>
                <w:rFonts w:hint="eastAsia" w:eastAsia="宋体"/>
                <w:b/>
                <w:bCs/>
                <w:color w:val="auto"/>
                <w:sz w:val="24"/>
                <w:szCs w:val="24"/>
                <w:lang w:eastAsia="zh-CN"/>
              </w:rPr>
            </w:pPr>
            <w:r>
              <w:rPr>
                <w:rFonts w:hint="eastAsia"/>
                <w:b/>
                <w:bCs/>
                <w:color w:val="auto"/>
                <w:sz w:val="24"/>
                <w:szCs w:val="24"/>
                <w:lang w:eastAsia="zh-CN"/>
              </w:rPr>
              <w:t>电子投标文件的制作</w:t>
            </w:r>
          </w:p>
          <w:p w14:paraId="584B6965">
            <w:pPr>
              <w:widowControl/>
              <w:spacing w:line="360" w:lineRule="auto"/>
              <w:jc w:val="left"/>
              <w:rPr>
                <w:color w:val="auto"/>
                <w:sz w:val="24"/>
                <w:szCs w:val="24"/>
              </w:rPr>
            </w:pPr>
            <w:r>
              <w:rPr>
                <w:rFonts w:hint="eastAsia"/>
                <w:color w:val="auto"/>
                <w:sz w:val="24"/>
                <w:szCs w:val="24"/>
              </w:rPr>
              <w:t xml:space="preserve">1、投标人须使用数字认证证书对电子投标文件进行签章、加密、递交及开标时解密等相关招投标事宜。如开标时投标人无法解密投标文件，按无效投标对待。 </w:t>
            </w:r>
          </w:p>
          <w:p w14:paraId="1A2F0653">
            <w:pPr>
              <w:widowControl/>
              <w:spacing w:line="360" w:lineRule="auto"/>
              <w:jc w:val="left"/>
              <w:rPr>
                <w:color w:val="auto"/>
                <w:sz w:val="24"/>
                <w:szCs w:val="24"/>
              </w:rPr>
            </w:pPr>
            <w:r>
              <w:rPr>
                <w:rFonts w:hint="eastAsia"/>
                <w:color w:val="auto"/>
                <w:sz w:val="24"/>
                <w:szCs w:val="24"/>
              </w:rPr>
              <w:t xml:space="preserve">2、制作电子投标文件。投标人须在“全国公共资源交易中心平台（陕西省）（http://www.sxggzyjy.cn/）”的“服务指南”栏目“下载专区”中，免费下载“陕西省公共资源交易平台政府采购电子标书制作工具”及“政府采购投标单位操作手册”，并使用该客户端制作电子投标文件，制作扩展名为“.SXSTF”的电子投标文件。 </w:t>
            </w:r>
          </w:p>
          <w:p w14:paraId="71E3EEAF">
            <w:pPr>
              <w:widowControl/>
              <w:spacing w:line="360" w:lineRule="auto"/>
              <w:jc w:val="left"/>
              <w:rPr>
                <w:rFonts w:ascii="Times New Roman" w:hAnsi="Times New Roman" w:eastAsia="宋体" w:cs="Times New Roman"/>
                <w:color w:val="auto"/>
                <w:sz w:val="24"/>
                <w:szCs w:val="24"/>
              </w:rPr>
            </w:pPr>
            <w:r>
              <w:rPr>
                <w:rFonts w:hint="eastAsia"/>
                <w:color w:val="auto"/>
                <w:sz w:val="24"/>
                <w:szCs w:val="24"/>
              </w:rPr>
              <w:t>3、递交电子投标文件。登录陕西省公共资源交易中心平台（http://xxxq.sxggzyjy.cn/），选择“电子交易平台-陕西政府采购交易系统-陕西省公共资源交易平台-供应商”进行登录，登录后选择“交易乙方”身份进入，选择“上传投标文件”菜单页面，上传加密的电子投标文件。上传成功后，电子</w:t>
            </w:r>
            <w:r>
              <w:rPr>
                <w:rFonts w:hint="eastAsia" w:ascii="Times New Roman" w:hAnsi="Times New Roman" w:eastAsia="宋体" w:cs="Times New Roman"/>
                <w:color w:val="auto"/>
                <w:sz w:val="24"/>
                <w:szCs w:val="24"/>
              </w:rPr>
              <w:t xml:space="preserve">化平台将予以记录。 </w:t>
            </w:r>
          </w:p>
          <w:p w14:paraId="74D38440">
            <w:pPr>
              <w:widowControl/>
              <w:spacing w:line="360" w:lineRule="auto"/>
              <w:jc w:val="left"/>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4、投标文件中所有涉及签字、盖章的，各投标单位须将所有签字盖章完成后上传。</w:t>
            </w:r>
          </w:p>
          <w:p w14:paraId="22A5B3F8">
            <w:pPr>
              <w:spacing w:line="360" w:lineRule="auto"/>
              <w:rPr>
                <w:rFonts w:hint="eastAsia" w:ascii="思源宋体 CN Light" w:hAnsi="思源宋体 CN Light" w:eastAsia="思源宋体 CN Light" w:cs="思源宋体 CN Light"/>
                <w:color w:val="auto"/>
                <w:sz w:val="24"/>
                <w:szCs w:val="24"/>
                <w:lang w:val="en-US" w:eastAsia="zh-CN"/>
              </w:rPr>
            </w:pPr>
            <w:r>
              <w:rPr>
                <w:rFonts w:hint="eastAsia" w:ascii="Times New Roman" w:hAnsi="Times New Roman" w:eastAsia="宋体" w:cs="Times New Roman"/>
                <w:color w:val="auto"/>
                <w:sz w:val="24"/>
                <w:szCs w:val="24"/>
                <w:lang w:val="en-US" w:eastAsia="zh-CN"/>
              </w:rPr>
              <w:t>5、当澄清或修改的内容影响投标文件编制时，招标人将在交易平台上发布答疑文件，投标人应随时关注项目信息，如有答疑文件，投标人应使用最新发布的答疑文件（*.SXSCF格式）制做电子投标文件（*.SXSTF格式），使用旧版电子招标文件或旧版答疑文件制作的电子投标文件，系统将拒绝接收，因投标人未及时关注项目信息造成的后果投标人自行承担。</w:t>
            </w:r>
          </w:p>
        </w:tc>
      </w:tr>
      <w:tr w14:paraId="19074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3" w:hRule="atLeast"/>
          <w:jc w:val="center"/>
        </w:trPr>
        <w:tc>
          <w:tcPr>
            <w:tcW w:w="752" w:type="dxa"/>
            <w:noWrap w:val="0"/>
            <w:vAlign w:val="center"/>
          </w:tcPr>
          <w:p w14:paraId="21692AE2">
            <w:pPr>
              <w:spacing w:line="360" w:lineRule="auto"/>
              <w:ind w:left="210"/>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r>
              <w:rPr>
                <w:rFonts w:hint="eastAsia" w:hAnsi="宋体" w:cs="宋体"/>
                <w:color w:val="auto"/>
                <w:sz w:val="24"/>
                <w:szCs w:val="24"/>
                <w:lang w:val="en-US" w:eastAsia="zh-CN"/>
              </w:rPr>
              <w:t>8</w:t>
            </w:r>
          </w:p>
        </w:tc>
        <w:tc>
          <w:tcPr>
            <w:tcW w:w="8303" w:type="dxa"/>
            <w:noWrap w:val="0"/>
            <w:vAlign w:val="center"/>
          </w:tcPr>
          <w:p w14:paraId="557B2E72">
            <w:pPr>
              <w:widowControl/>
              <w:spacing w:line="360" w:lineRule="auto"/>
              <w:ind w:right="-150"/>
              <w:rPr>
                <w:rFonts w:hint="eastAsia" w:ascii="思源宋体 CN Light" w:hAnsi="思源宋体 CN Light" w:eastAsia="思源宋体 CN Light" w:cs="思源宋体 CN Light"/>
                <w:b/>
                <w:bCs/>
                <w:color w:val="auto"/>
                <w:szCs w:val="24"/>
              </w:rPr>
            </w:pPr>
            <w:r>
              <w:rPr>
                <w:rFonts w:hint="eastAsia" w:ascii="思源宋体 CN Light" w:hAnsi="思源宋体 CN Light" w:eastAsia="思源宋体 CN Light" w:cs="思源宋体 CN Light"/>
                <w:b/>
                <w:bCs/>
                <w:color w:val="auto"/>
                <w:szCs w:val="24"/>
                <w:lang w:val="en-US" w:eastAsia="zh-CN"/>
              </w:rPr>
              <w:t>电子</w:t>
            </w:r>
            <w:r>
              <w:rPr>
                <w:rFonts w:hint="eastAsia" w:ascii="思源宋体 CN Light" w:hAnsi="思源宋体 CN Light" w:eastAsia="思源宋体 CN Light" w:cs="思源宋体 CN Light"/>
                <w:b/>
                <w:bCs/>
                <w:color w:val="auto"/>
                <w:szCs w:val="24"/>
              </w:rPr>
              <w:t>投标文件递交方式：</w:t>
            </w:r>
          </w:p>
          <w:p w14:paraId="72D68CDC">
            <w:pPr>
              <w:widowControl/>
              <w:spacing w:line="360" w:lineRule="auto"/>
              <w:ind w:right="-150" w:firstLine="480" w:firstLineChars="200"/>
              <w:rPr>
                <w:rFonts w:hint="eastAsia" w:ascii="思源宋体 CN Light" w:hAnsi="思源宋体 CN Light" w:eastAsia="思源宋体 CN Light" w:cs="思源宋体 CN Light"/>
                <w:color w:val="auto"/>
                <w:szCs w:val="24"/>
              </w:rPr>
            </w:pPr>
            <w:r>
              <w:rPr>
                <w:rFonts w:hint="eastAsia" w:ascii="思源宋体 CN Light" w:hAnsi="思源宋体 CN Light" w:eastAsia="思源宋体 CN Light" w:cs="思源宋体 CN Light"/>
                <w:color w:val="auto"/>
                <w:szCs w:val="24"/>
              </w:rPr>
              <w:t>1、供应商应于提交竞争性磋商响应文件截止时间前任意时段登录交易平台〖首页〉电子交易平台〉企业端〗在线提交电子竞争性磋商响应文件，逾期提交系统间拒绝接收。</w:t>
            </w:r>
          </w:p>
          <w:p w14:paraId="0DDC8073">
            <w:pPr>
              <w:spacing w:line="360" w:lineRule="auto"/>
              <w:ind w:firstLine="480" w:firstLineChars="200"/>
              <w:rPr>
                <w:rFonts w:hint="eastAsia" w:ascii="宋体" w:hAnsi="宋体" w:cs="宋体"/>
                <w:color w:val="auto"/>
                <w:sz w:val="24"/>
                <w:szCs w:val="24"/>
              </w:rPr>
            </w:pPr>
            <w:r>
              <w:rPr>
                <w:rFonts w:hint="eastAsia" w:ascii="思源宋体 CN Light" w:hAnsi="思源宋体 CN Light" w:eastAsia="思源宋体 CN Light" w:cs="思源宋体 CN Light"/>
                <w:color w:val="auto"/>
                <w:szCs w:val="24"/>
              </w:rPr>
              <w:t>2、本项目采用“不见面”开标形式，供应商可登录榆林交易平台〖首页〉不见面开标〗在线参与开评标过程，详见竞争性磋商文件以及交易平台〖首页〉服务指南〉下载专区〗中的《榆林市不见面开标大厅操作手册（投标人）》。</w:t>
            </w:r>
          </w:p>
        </w:tc>
      </w:tr>
      <w:tr w14:paraId="68C9A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2" w:type="dxa"/>
            <w:noWrap w:val="0"/>
            <w:vAlign w:val="center"/>
          </w:tcPr>
          <w:p w14:paraId="330C5405">
            <w:pPr>
              <w:spacing w:line="360" w:lineRule="auto"/>
              <w:ind w:left="210"/>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19</w:t>
            </w:r>
          </w:p>
        </w:tc>
        <w:tc>
          <w:tcPr>
            <w:tcW w:w="8303" w:type="dxa"/>
            <w:noWrap w:val="0"/>
            <w:vAlign w:val="center"/>
          </w:tcPr>
          <w:p w14:paraId="5A8B5D86">
            <w:pPr>
              <w:spacing w:line="360" w:lineRule="auto"/>
              <w:rPr>
                <w:rFonts w:hint="eastAsia" w:ascii="宋体" w:hAnsi="宋体" w:cs="宋体"/>
                <w:color w:val="auto"/>
                <w:sz w:val="24"/>
                <w:szCs w:val="24"/>
              </w:rPr>
            </w:pPr>
            <w:r>
              <w:rPr>
                <w:rFonts w:hint="eastAsia" w:ascii="宋体" w:hAnsi="宋体" w:cs="宋体"/>
                <w:b/>
                <w:bCs/>
                <w:color w:val="auto"/>
                <w:sz w:val="24"/>
                <w:szCs w:val="24"/>
              </w:rPr>
              <w:t>纸质投标文件</w:t>
            </w:r>
            <w:r>
              <w:rPr>
                <w:rFonts w:hint="eastAsia" w:ascii="思源宋体 CN Light" w:hAnsi="思源宋体 CN Light" w:eastAsia="思源宋体 CN Light" w:cs="思源宋体 CN Light"/>
                <w:b/>
                <w:bCs/>
                <w:color w:val="auto"/>
                <w:sz w:val="24"/>
                <w:szCs w:val="24"/>
                <w:lang w:val="en-US" w:eastAsia="zh-CN"/>
              </w:rPr>
              <w:t>递交方式</w:t>
            </w:r>
            <w:r>
              <w:rPr>
                <w:rFonts w:hint="eastAsia" w:ascii="宋体" w:hAnsi="宋体" w:cs="宋体"/>
                <w:b/>
                <w:bCs/>
                <w:color w:val="auto"/>
                <w:sz w:val="24"/>
                <w:szCs w:val="24"/>
              </w:rPr>
              <w:t>：</w:t>
            </w:r>
          </w:p>
          <w:p w14:paraId="245C77FB">
            <w:pPr>
              <w:spacing w:line="360" w:lineRule="auto"/>
              <w:rPr>
                <w:rFonts w:hint="eastAsia" w:ascii="宋体" w:hAnsi="宋体" w:cs="宋体"/>
                <w:color w:val="auto"/>
                <w:sz w:val="24"/>
                <w:szCs w:val="24"/>
              </w:rPr>
            </w:pPr>
            <w:r>
              <w:rPr>
                <w:rFonts w:hint="eastAsia" w:ascii="宋体" w:hAnsi="宋体" w:cs="宋体"/>
                <w:color w:val="auto"/>
                <w:sz w:val="24"/>
                <w:szCs w:val="24"/>
              </w:rPr>
              <w:t>1、本项目采用电子化投标文件与纸质投标文件并行的方式。投标人须使用数字认证证书对电子化投标文件进行签章、加密、递交及开标时解密等相关招投标事宜。</w:t>
            </w:r>
          </w:p>
          <w:p w14:paraId="6972EF29">
            <w:pPr>
              <w:spacing w:line="360" w:lineRule="auto"/>
              <w:rPr>
                <w:rFonts w:hint="eastAsia" w:ascii="思源宋体 CN Light" w:hAnsi="思源宋体 CN Light" w:eastAsia="思源宋体 CN Light" w:cs="思源宋体 CN Light"/>
                <w:color w:val="auto"/>
                <w:sz w:val="24"/>
                <w:szCs w:val="24"/>
              </w:rPr>
            </w:pPr>
            <w:r>
              <w:rPr>
                <w:rFonts w:hint="eastAsia" w:ascii="宋体" w:hAnsi="宋体" w:cs="宋体"/>
                <w:color w:val="auto"/>
                <w:sz w:val="24"/>
                <w:szCs w:val="24"/>
              </w:rPr>
              <w:t>2、</w:t>
            </w:r>
            <w:r>
              <w:rPr>
                <w:rFonts w:hint="eastAsia" w:ascii="思源宋体 CN Light" w:hAnsi="思源宋体 CN Light" w:eastAsia="思源宋体 CN Light" w:cs="思源宋体 CN Light"/>
                <w:color w:val="auto"/>
                <w:sz w:val="24"/>
                <w:szCs w:val="24"/>
                <w:lang w:val="en-US" w:eastAsia="zh-CN"/>
              </w:rPr>
              <w:t>为便于采购人归档和向监管部门备案，</w:t>
            </w:r>
            <w:r>
              <w:rPr>
                <w:rFonts w:hint="eastAsia" w:ascii="思源宋体 CN Light" w:hAnsi="思源宋体 CN Light" w:eastAsia="思源宋体 CN Light" w:cs="思源宋体 CN Light"/>
                <w:b w:val="0"/>
                <w:bCs w:val="0"/>
                <w:color w:val="auto"/>
                <w:sz w:val="24"/>
                <w:szCs w:val="24"/>
                <w:lang w:val="en-US" w:eastAsia="zh-CN"/>
              </w:rPr>
              <w:t>纸质版投标文件</w:t>
            </w:r>
            <w:r>
              <w:rPr>
                <w:rFonts w:hint="eastAsia" w:ascii="思源宋体 CN Light" w:hAnsi="思源宋体 CN Light" w:eastAsia="思源宋体 CN Light" w:cs="思源宋体 CN Light"/>
                <w:b w:val="0"/>
                <w:bCs w:val="0"/>
                <w:color w:val="auto"/>
                <w:sz w:val="24"/>
                <w:szCs w:val="24"/>
              </w:rPr>
              <w:t>在开标时无需提交，待开标结束后</w:t>
            </w:r>
            <w:r>
              <w:rPr>
                <w:rFonts w:hint="eastAsia" w:ascii="思源宋体 CN Light" w:hAnsi="思源宋体 CN Light" w:eastAsia="思源宋体 CN Light" w:cs="思源宋体 CN Light"/>
                <w:color w:val="auto"/>
                <w:sz w:val="24"/>
                <w:szCs w:val="24"/>
                <w:lang w:val="en-US" w:eastAsia="zh-CN"/>
              </w:rPr>
              <w:t>中标人须提交</w:t>
            </w:r>
            <w:r>
              <w:rPr>
                <w:rFonts w:hint="eastAsia" w:ascii="宋体" w:hAnsi="宋体" w:cs="宋体"/>
                <w:color w:val="auto"/>
                <w:sz w:val="24"/>
                <w:szCs w:val="24"/>
              </w:rPr>
              <w:t>正本壹份、副本贰份、电子版（word版U盘）壹份</w:t>
            </w:r>
            <w:r>
              <w:rPr>
                <w:rFonts w:hint="eastAsia" w:ascii="宋体" w:hAnsi="宋体" w:eastAsia="宋体" w:cs="宋体"/>
                <w:color w:val="auto"/>
                <w:kern w:val="2"/>
                <w:sz w:val="24"/>
                <w:szCs w:val="24"/>
                <w:lang w:val="en-US" w:eastAsia="zh-CN" w:bidi="ar-SA"/>
              </w:rPr>
              <w:t>。</w:t>
            </w:r>
            <w:r>
              <w:rPr>
                <w:rFonts w:hint="eastAsia" w:ascii="思源宋体 CN Light" w:hAnsi="思源宋体 CN Light" w:eastAsia="思源宋体 CN Light" w:cs="思源宋体 CN Light"/>
                <w:color w:val="auto"/>
                <w:sz w:val="24"/>
                <w:szCs w:val="24"/>
                <w:lang w:val="en-US" w:eastAsia="zh-CN"/>
              </w:rPr>
              <w:t>投标文件可采用系统上传的</w:t>
            </w:r>
            <w:r>
              <w:rPr>
                <w:rFonts w:hint="eastAsia" w:ascii="思源宋体 CN Light" w:hAnsi="思源宋体 CN Light" w:eastAsia="思源宋体 CN Light" w:cs="思源宋体 CN Light"/>
                <w:color w:val="auto"/>
                <w:sz w:val="24"/>
                <w:szCs w:val="24"/>
              </w:rPr>
              <w:t>电子投标文件</w:t>
            </w:r>
            <w:r>
              <w:rPr>
                <w:rFonts w:hint="eastAsia" w:ascii="思源宋体 CN Light" w:hAnsi="思源宋体 CN Light" w:eastAsia="思源宋体 CN Light" w:cs="思源宋体 CN Light"/>
                <w:color w:val="auto"/>
                <w:sz w:val="24"/>
                <w:szCs w:val="24"/>
                <w:lang w:val="en-US" w:eastAsia="zh-CN"/>
              </w:rPr>
              <w:t>的打印件，</w:t>
            </w:r>
            <w:r>
              <w:rPr>
                <w:rFonts w:hint="eastAsia" w:ascii="宋体" w:hAnsi="宋体" w:cs="宋体"/>
                <w:color w:val="auto"/>
                <w:sz w:val="24"/>
                <w:szCs w:val="24"/>
              </w:rPr>
              <w:t>投标文件正、副本须各自装订成册，统一编码（要求胶装、不得出现活页）。</w:t>
            </w:r>
            <w:r>
              <w:rPr>
                <w:rFonts w:hint="eastAsia" w:ascii="思源宋体 CN Light" w:hAnsi="思源宋体 CN Light" w:eastAsia="思源宋体 CN Light" w:cs="思源宋体 CN Light"/>
                <w:color w:val="auto"/>
                <w:sz w:val="24"/>
                <w:szCs w:val="24"/>
                <w:lang w:val="en-US" w:eastAsia="zh-CN"/>
              </w:rPr>
              <w:t>每份投标文件封皮须清楚地标明“正本”或“副本”。</w:t>
            </w:r>
          </w:p>
          <w:p w14:paraId="421E198E">
            <w:pPr>
              <w:spacing w:line="360" w:lineRule="auto"/>
              <w:ind w:firstLine="482" w:firstLineChars="200"/>
              <w:rPr>
                <w:rFonts w:hint="eastAsia" w:eastAsia="宋体"/>
                <w:color w:val="auto"/>
                <w:lang w:val="en-US" w:eastAsia="zh-CN"/>
              </w:rPr>
            </w:pPr>
            <w:r>
              <w:rPr>
                <w:rFonts w:hint="eastAsia" w:ascii="宋体" w:hAnsi="宋体" w:cs="宋体"/>
                <w:b/>
                <w:bCs/>
                <w:color w:val="auto"/>
                <w:sz w:val="24"/>
                <w:szCs w:val="24"/>
                <w:lang w:val="en-US" w:eastAsia="zh-CN"/>
              </w:rPr>
              <w:t>以电报、传真、电子邮件形式递交的投标文件将不予接受。</w:t>
            </w:r>
          </w:p>
          <w:p w14:paraId="7FF1C500">
            <w:pPr>
              <w:spacing w:line="360" w:lineRule="auto"/>
              <w:rPr>
                <w:rFonts w:hint="eastAsia"/>
                <w:color w:val="auto"/>
                <w:lang w:eastAsia="zh-CN"/>
              </w:rPr>
            </w:pPr>
            <w:r>
              <w:rPr>
                <w:rFonts w:hint="eastAsia" w:ascii="思源宋体 CN Light" w:hAnsi="思源宋体 CN Light" w:eastAsia="思源宋体 CN Light" w:cs="思源宋体 CN Light"/>
                <w:color w:val="auto"/>
                <w:sz w:val="24"/>
                <w:szCs w:val="24"/>
                <w:lang w:val="en-US" w:eastAsia="zh-CN"/>
              </w:rPr>
              <w:t xml:space="preserve">   </w:t>
            </w:r>
            <w:r>
              <w:rPr>
                <w:rFonts w:hint="eastAsia" w:ascii="思源宋体 CN Light" w:hAnsi="思源宋体 CN Light" w:eastAsia="思源宋体 CN Light" w:cs="思源宋体 CN Light"/>
                <w:b/>
                <w:bCs/>
                <w:color w:val="auto"/>
                <w:sz w:val="24"/>
                <w:szCs w:val="24"/>
              </w:rPr>
              <w:t>特别提醒：纸质投标文件及电子版U盘</w:t>
            </w:r>
            <w:r>
              <w:rPr>
                <w:rFonts w:hint="eastAsia" w:ascii="思源宋体 CN Light" w:hAnsi="思源宋体 CN Light" w:eastAsia="思源宋体 CN Light" w:cs="思源宋体 CN Light"/>
                <w:b/>
                <w:bCs/>
                <w:color w:val="auto"/>
                <w:sz w:val="24"/>
                <w:szCs w:val="24"/>
                <w:lang w:val="en-US" w:eastAsia="zh-CN"/>
              </w:rPr>
              <w:t>1</w:t>
            </w:r>
            <w:r>
              <w:rPr>
                <w:rFonts w:hint="eastAsia" w:ascii="思源宋体 CN Light" w:hAnsi="思源宋体 CN Light" w:eastAsia="思源宋体 CN Light" w:cs="思源宋体 CN Light"/>
                <w:b/>
                <w:bCs/>
                <w:color w:val="auto"/>
                <w:sz w:val="24"/>
                <w:szCs w:val="24"/>
              </w:rPr>
              <w:t>份（Word版</w:t>
            </w:r>
            <w:r>
              <w:rPr>
                <w:rFonts w:hint="eastAsia" w:ascii="思源宋体 CN Light" w:hAnsi="思源宋体 CN Light" w:eastAsia="思源宋体 CN Light" w:cs="思源宋体 CN Light"/>
                <w:b/>
                <w:bCs/>
                <w:color w:val="auto"/>
                <w:sz w:val="24"/>
                <w:szCs w:val="24"/>
                <w:lang w:val="en-US" w:eastAsia="zh-CN"/>
              </w:rPr>
              <w:t>投标</w:t>
            </w:r>
            <w:r>
              <w:rPr>
                <w:rFonts w:hint="eastAsia" w:ascii="思源宋体 CN Light" w:hAnsi="思源宋体 CN Light" w:eastAsia="思源宋体 CN Light" w:cs="思源宋体 CN Light"/>
                <w:b/>
                <w:bCs/>
                <w:color w:val="auto"/>
                <w:sz w:val="24"/>
                <w:szCs w:val="24"/>
              </w:rPr>
              <w:t>文件）邮寄的资料收到的时间直接影响结果公告时间）。</w:t>
            </w:r>
          </w:p>
          <w:p w14:paraId="1A6C5B64">
            <w:pPr>
              <w:spacing w:line="360" w:lineRule="auto"/>
              <w:ind w:firstLine="482" w:firstLineChars="200"/>
              <w:rPr>
                <w:rFonts w:ascii="宋体" w:hAnsi="宋体" w:cs="仿宋_GB2312"/>
                <w:b/>
                <w:color w:val="auto"/>
                <w:sz w:val="24"/>
                <w:szCs w:val="22"/>
              </w:rPr>
            </w:pPr>
            <w:r>
              <w:rPr>
                <w:rFonts w:hint="eastAsia" w:ascii="宋体" w:hAnsi="宋体" w:cs="仿宋_GB2312"/>
                <w:b/>
                <w:color w:val="auto"/>
                <w:sz w:val="24"/>
                <w:szCs w:val="22"/>
              </w:rPr>
              <w:t>收件人：</w:t>
            </w:r>
            <w:r>
              <w:rPr>
                <w:rFonts w:hint="eastAsia" w:ascii="宋体" w:hAnsi="宋体" w:cs="仿宋_GB2312"/>
                <w:b/>
                <w:color w:val="auto"/>
                <w:sz w:val="24"/>
                <w:szCs w:val="22"/>
                <w:lang w:eastAsia="zh-CN"/>
              </w:rPr>
              <w:t>榆林市恒易达工程项目管理有限公司</w:t>
            </w:r>
            <w:r>
              <w:rPr>
                <w:rFonts w:hint="eastAsia" w:ascii="宋体" w:hAnsi="宋体" w:cs="仿宋_GB2312"/>
                <w:b/>
                <w:color w:val="auto"/>
                <w:sz w:val="24"/>
                <w:szCs w:val="22"/>
              </w:rPr>
              <w:t xml:space="preserve">                       </w:t>
            </w:r>
          </w:p>
          <w:p w14:paraId="0B7603C8">
            <w:pPr>
              <w:spacing w:line="360" w:lineRule="auto"/>
              <w:ind w:firstLine="482" w:firstLineChars="200"/>
              <w:rPr>
                <w:rFonts w:hint="default" w:ascii="宋体" w:hAnsi="宋体" w:cs="仿宋_GB2312"/>
                <w:b/>
                <w:color w:val="auto"/>
                <w:sz w:val="24"/>
                <w:szCs w:val="22"/>
                <w:lang w:val="en-US"/>
              </w:rPr>
            </w:pPr>
            <w:r>
              <w:rPr>
                <w:rFonts w:hint="eastAsia" w:ascii="宋体" w:hAnsi="宋体" w:cs="仿宋_GB2312"/>
                <w:b/>
                <w:color w:val="auto"/>
                <w:sz w:val="24"/>
                <w:szCs w:val="22"/>
              </w:rPr>
              <w:t>收件电话：</w:t>
            </w:r>
            <w:r>
              <w:rPr>
                <w:rFonts w:hint="eastAsia" w:ascii="宋体" w:hAnsi="宋体" w:cs="仿宋_GB2312"/>
                <w:b/>
                <w:color w:val="auto"/>
                <w:sz w:val="24"/>
                <w:szCs w:val="22"/>
                <w:lang w:val="en-US" w:eastAsia="zh-CN"/>
              </w:rPr>
              <w:t>0912-3448777、15619910006</w:t>
            </w:r>
          </w:p>
          <w:p w14:paraId="22C34E58">
            <w:pPr>
              <w:spacing w:line="360" w:lineRule="auto"/>
              <w:ind w:firstLine="482" w:firstLineChars="200"/>
              <w:rPr>
                <w:rFonts w:hint="eastAsia" w:ascii="宋体" w:hAnsi="宋体" w:cs="宋体"/>
                <w:color w:val="auto"/>
                <w:sz w:val="24"/>
                <w:szCs w:val="24"/>
              </w:rPr>
            </w:pPr>
            <w:r>
              <w:rPr>
                <w:rFonts w:ascii="宋体" w:hAnsi="宋体" w:eastAsia="宋体" w:cs="仿宋_GB2312"/>
                <w:b/>
                <w:color w:val="auto"/>
                <w:kern w:val="2"/>
                <w:sz w:val="24"/>
                <w:szCs w:val="22"/>
              </w:rPr>
              <w:t>收件地址：</w:t>
            </w:r>
            <w:r>
              <w:rPr>
                <w:rFonts w:hint="eastAsia" w:hAnsi="宋体" w:cs="仿宋_GB2312"/>
                <w:b/>
                <w:color w:val="auto"/>
                <w:kern w:val="2"/>
                <w:sz w:val="24"/>
                <w:szCs w:val="22"/>
                <w:lang w:eastAsia="zh-CN"/>
              </w:rPr>
              <w:t>榆林市高新区安居东路58号（金叶小区一楼商铺）</w:t>
            </w:r>
            <w:r>
              <w:rPr>
                <w:rFonts w:hint="eastAsia" w:ascii="思源宋体 CN Light" w:hAnsi="思源宋体 CN Light" w:eastAsia="思源宋体 CN Light" w:cs="思源宋体 CN Light"/>
                <w:color w:val="auto"/>
                <w:sz w:val="24"/>
                <w:szCs w:val="24"/>
                <w:lang w:val="en-US" w:eastAsia="zh-CN"/>
              </w:rPr>
              <w:t xml:space="preserve">  </w:t>
            </w:r>
            <w:r>
              <w:rPr>
                <w:rFonts w:hint="eastAsia" w:ascii="宋体" w:hAnsi="宋体" w:cs="宋体"/>
                <w:color w:val="auto"/>
                <w:sz w:val="24"/>
                <w:szCs w:val="24"/>
              </w:rPr>
              <w:t xml:space="preserve"> </w:t>
            </w:r>
          </w:p>
        </w:tc>
      </w:tr>
      <w:tr w14:paraId="1DC35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2" w:type="dxa"/>
            <w:noWrap w:val="0"/>
            <w:vAlign w:val="center"/>
          </w:tcPr>
          <w:p w14:paraId="078984A1">
            <w:pPr>
              <w:spacing w:line="360" w:lineRule="auto"/>
              <w:ind w:left="210"/>
              <w:rPr>
                <w:rFonts w:hint="default" w:ascii="宋体" w:hAnsi="宋体" w:cs="宋体"/>
                <w:color w:val="auto"/>
                <w:sz w:val="24"/>
                <w:szCs w:val="24"/>
                <w:lang w:val="en-US" w:eastAsia="zh-CN"/>
              </w:rPr>
            </w:pPr>
            <w:r>
              <w:rPr>
                <w:rFonts w:hint="eastAsia" w:hAnsi="宋体" w:cs="宋体"/>
                <w:color w:val="auto"/>
                <w:sz w:val="24"/>
                <w:szCs w:val="24"/>
                <w:lang w:val="en-US" w:eastAsia="zh-CN"/>
              </w:rPr>
              <w:t>20</w:t>
            </w:r>
          </w:p>
        </w:tc>
        <w:tc>
          <w:tcPr>
            <w:tcW w:w="8303" w:type="dxa"/>
            <w:noWrap w:val="0"/>
            <w:vAlign w:val="center"/>
          </w:tcPr>
          <w:p w14:paraId="4BD4C36C">
            <w:pPr>
              <w:spacing w:line="360" w:lineRule="auto"/>
              <w:rPr>
                <w:rFonts w:hint="eastAsia" w:hAnsi="宋体" w:eastAsia="宋体" w:cs="宋体"/>
                <w:b/>
                <w:bCs/>
                <w:color w:val="auto"/>
                <w:szCs w:val="24"/>
                <w:lang w:eastAsia="zh-CN"/>
              </w:rPr>
            </w:pPr>
            <w:r>
              <w:rPr>
                <w:rFonts w:hint="eastAsia" w:hAnsi="宋体" w:cs="宋体"/>
                <w:b/>
                <w:bCs/>
                <w:color w:val="auto"/>
                <w:szCs w:val="24"/>
                <w:lang w:eastAsia="zh-CN"/>
              </w:rPr>
              <w:t>磋商报价轮次</w:t>
            </w:r>
          </w:p>
          <w:p w14:paraId="1B8769AE">
            <w:pPr>
              <w:spacing w:line="360" w:lineRule="auto"/>
              <w:rPr>
                <w:rFonts w:hint="eastAsia" w:hAnsi="宋体" w:cs="宋体"/>
                <w:color w:val="auto"/>
                <w:szCs w:val="24"/>
              </w:rPr>
            </w:pPr>
            <w:r>
              <w:rPr>
                <w:rFonts w:hint="eastAsia" w:ascii="思源宋体 CN Light" w:hAnsi="思源宋体 CN Light" w:eastAsia="思源宋体 CN Light" w:cs="思源宋体 CN Light"/>
                <w:color w:val="auto"/>
                <w:szCs w:val="24"/>
              </w:rPr>
              <w:t>供应商保持在线直到评审结束</w:t>
            </w:r>
          </w:p>
          <w:p w14:paraId="20A15026">
            <w:pPr>
              <w:spacing w:line="360" w:lineRule="auto"/>
              <w:rPr>
                <w:rFonts w:hint="eastAsia" w:hAnsi="宋体" w:cs="宋体"/>
                <w:color w:val="auto"/>
                <w:szCs w:val="24"/>
              </w:rPr>
            </w:pPr>
            <w:r>
              <w:rPr>
                <w:rFonts w:hint="eastAsia" w:hAnsi="宋体" w:cs="宋体"/>
                <w:color w:val="auto"/>
                <w:szCs w:val="24"/>
              </w:rPr>
              <w:t>多轮（磋商响应文件中报价为第一轮，磋商不见面开标会议为第二轮）</w:t>
            </w:r>
          </w:p>
          <w:p w14:paraId="40CFB91F">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不见面开标结束后，通过资格审查和符合性审查的供应商才有机会进入一对一磋商环节。依据财政部关于印发《政府采购竞争性磋商采购方式管理暂行办法》的通知财库(2014)214号文件第十九条规定，</w:t>
            </w:r>
            <w:r>
              <w:rPr>
                <w:rFonts w:hint="eastAsia" w:ascii="宋体" w:hAnsi="宋体" w:eastAsia="宋体" w:cs="宋体"/>
                <w:b w:val="0"/>
                <w:bCs w:val="0"/>
                <w:color w:val="auto"/>
                <w:sz w:val="24"/>
                <w:szCs w:val="24"/>
                <w:lang w:val="en-US" w:eastAsia="zh-CN"/>
              </w:rPr>
              <w:t>磋</w:t>
            </w:r>
            <w:r>
              <w:rPr>
                <w:rFonts w:hint="eastAsia" w:ascii="宋体" w:hAnsi="宋体" w:eastAsia="宋体" w:cs="宋体"/>
                <w:b w:val="0"/>
                <w:bCs w:val="0"/>
                <w:color w:val="auto"/>
                <w:sz w:val="24"/>
                <w:szCs w:val="24"/>
                <w:lang w:eastAsia="zh-CN"/>
              </w:rPr>
              <w:t>商小组所有成员应当集中与单一供应商分别进行磋商，并给予所有参加磋商的供应商平等的磋商机会。已提交响应文件的供应商，在提交最后报价之前，可以根据磋商情况退出磋商。具体磋商流程如下:</w:t>
            </w:r>
          </w:p>
          <w:p w14:paraId="2769315E">
            <w:pPr>
              <w:spacing w:line="360" w:lineRule="auto"/>
              <w:ind w:firstLine="480" w:firstLineChars="200"/>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eastAsia="zh-CN"/>
              </w:rPr>
              <w:t>1.一对一磋商将通过腾讯视频会议的方式进行，供应商应</w:t>
            </w:r>
            <w:r>
              <w:rPr>
                <w:rFonts w:hint="eastAsia" w:ascii="宋体" w:hAnsi="宋体" w:eastAsia="宋体" w:cs="宋体"/>
                <w:b w:val="0"/>
                <w:bCs w:val="0"/>
                <w:color w:val="auto"/>
                <w:sz w:val="24"/>
                <w:szCs w:val="24"/>
                <w:lang w:val="en-US" w:eastAsia="zh-CN"/>
              </w:rPr>
              <w:t>提前</w:t>
            </w:r>
            <w:r>
              <w:rPr>
                <w:rFonts w:hint="eastAsia" w:ascii="宋体" w:hAnsi="宋体" w:eastAsia="宋体" w:cs="宋体"/>
                <w:b w:val="0"/>
                <w:bCs w:val="0"/>
                <w:color w:val="auto"/>
                <w:sz w:val="24"/>
                <w:szCs w:val="24"/>
                <w:lang w:eastAsia="zh-CN"/>
              </w:rPr>
              <w:t>在手机或电脑终端上下载“腾讯会议”软件，</w:t>
            </w:r>
            <w:r>
              <w:rPr>
                <w:rFonts w:hint="eastAsia" w:ascii="宋体" w:hAnsi="宋体" w:eastAsia="宋体" w:cs="宋体"/>
                <w:b w:val="0"/>
                <w:bCs w:val="0"/>
                <w:color w:val="auto"/>
                <w:sz w:val="24"/>
                <w:szCs w:val="24"/>
                <w:lang w:val="en-US" w:eastAsia="zh-CN"/>
              </w:rPr>
              <w:t>开标现场由代理机构通知进入并告知腾讯视频会议号及会议密码。</w:t>
            </w:r>
          </w:p>
          <w:p w14:paraId="3673E12A">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2.加入会议室的同时将各参与磋商的人员姓名修改为“供应商简称”，</w:t>
            </w:r>
          </w:p>
          <w:p w14:paraId="42B175BC">
            <w:pPr>
              <w:spacing w:line="360" w:lineRule="auto"/>
              <w:ind w:firstLine="480" w:firstLineChars="20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lang w:eastAsia="zh-CN"/>
              </w:rPr>
              <w:t>.磋商结束后，将进行提交最终报价的环节，各供应商应及时关注全国公共资源交易平台(陕西省·榆林市)(http://y1.sxggzyjy.cn/)的网上报价情况，应当在磋商小组规定的时间内提交最终报价。</w:t>
            </w:r>
          </w:p>
          <w:p w14:paraId="5792620B">
            <w:pPr>
              <w:spacing w:line="360" w:lineRule="auto"/>
              <w:rPr>
                <w:rFonts w:hint="eastAsia" w:hAnsi="宋体" w:cs="宋体"/>
                <w:b/>
                <w:bCs/>
                <w:color w:val="auto"/>
                <w:szCs w:val="24"/>
              </w:rPr>
            </w:pPr>
            <w:r>
              <w:rPr>
                <w:rFonts w:hint="eastAsia" w:ascii="宋体" w:hAnsi="宋体" w:eastAsia="宋体" w:cs="宋体"/>
                <w:b w:val="0"/>
                <w:bCs w:val="0"/>
                <w:color w:val="auto"/>
                <w:sz w:val="24"/>
                <w:szCs w:val="24"/>
                <w:lang w:eastAsia="zh-CN"/>
              </w:rPr>
              <w:t>注:供应商未在规定时间内提交最终报价的将视为自动退出磋商，该供应商响应无效。</w:t>
            </w:r>
          </w:p>
        </w:tc>
      </w:tr>
      <w:tr w14:paraId="0E3D8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2" w:type="dxa"/>
            <w:noWrap w:val="0"/>
            <w:vAlign w:val="center"/>
          </w:tcPr>
          <w:p w14:paraId="769931A5">
            <w:pPr>
              <w:spacing w:line="360" w:lineRule="auto"/>
              <w:ind w:left="210"/>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21</w:t>
            </w:r>
          </w:p>
        </w:tc>
        <w:tc>
          <w:tcPr>
            <w:tcW w:w="8303" w:type="dxa"/>
            <w:noWrap w:val="0"/>
            <w:vAlign w:val="center"/>
          </w:tcPr>
          <w:p w14:paraId="32C1E24D">
            <w:pPr>
              <w:spacing w:line="360" w:lineRule="auto"/>
              <w:rPr>
                <w:rFonts w:hint="eastAsia" w:hAnsi="宋体" w:cs="宋体"/>
                <w:b/>
                <w:bCs/>
                <w:color w:val="auto"/>
                <w:szCs w:val="24"/>
              </w:rPr>
            </w:pPr>
            <w:r>
              <w:rPr>
                <w:rFonts w:hint="eastAsia" w:hAnsi="宋体" w:cs="宋体"/>
                <w:b/>
                <w:bCs/>
                <w:color w:val="auto"/>
                <w:szCs w:val="24"/>
              </w:rPr>
              <w:t>支持中小企业发展：</w:t>
            </w:r>
          </w:p>
          <w:p w14:paraId="08D20AF5">
            <w:pPr>
              <w:adjustRightInd w:val="0"/>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fldChar w:fldCharType="begin"/>
            </w:r>
            <w:r>
              <w:rPr>
                <w:rFonts w:hint="eastAsia" w:ascii="宋体" w:hAnsi="宋体" w:cs="宋体"/>
                <w:color w:val="auto"/>
                <w:sz w:val="24"/>
                <w:highlight w:val="none"/>
              </w:rPr>
              <w:instrText xml:space="preserve"> eq \o\ac(□</w:instrText>
            </w:r>
            <w:r>
              <w:rPr>
                <w:rFonts w:hint="eastAsia" w:hAnsi="宋体" w:cs="宋体"/>
                <w:color w:val="auto"/>
                <w:sz w:val="24"/>
                <w:highlight w:val="none"/>
                <w:lang w:eastAsia="zh-CN"/>
              </w:rPr>
              <w:instrText xml:space="preserve">,</w:instrText>
            </w:r>
            <w:r>
              <w:rPr>
                <w:rFonts w:hint="eastAsia" w:hAnsi="宋体" w:cs="宋体"/>
                <w:color w:val="auto"/>
                <w:position w:val="2"/>
                <w:sz w:val="16"/>
                <w:highlight w:val="none"/>
                <w:lang w:eastAsia="zh-CN"/>
              </w:rPr>
              <w:instrText xml:space="preserve">√</w:instrText>
            </w:r>
            <w:r>
              <w:rPr>
                <w:rFonts w:hint="eastAsia" w:ascii="宋体" w:hAnsi="宋体" w:cs="宋体"/>
                <w:color w:val="auto"/>
                <w:sz w:val="24"/>
                <w:highlight w:val="none"/>
              </w:rPr>
              <w:instrText xml:space="preserve">)</w:instrText>
            </w:r>
            <w:r>
              <w:rPr>
                <w:rFonts w:hint="eastAsia" w:ascii="宋体" w:hAnsi="宋体" w:cs="宋体"/>
                <w:color w:val="auto"/>
                <w:sz w:val="24"/>
                <w:highlight w:val="none"/>
              </w:rPr>
              <w:fldChar w:fldCharType="end"/>
            </w:r>
            <w:r>
              <w:rPr>
                <w:rFonts w:hint="eastAsia" w:ascii="宋体" w:hAnsi="宋体" w:cs="宋体"/>
                <w:color w:val="auto"/>
                <w:sz w:val="24"/>
                <w:highlight w:val="none"/>
              </w:rPr>
              <w:t>专门面向</w:t>
            </w:r>
            <w:r>
              <w:rPr>
                <w:rFonts w:hint="eastAsia" w:hAnsi="宋体" w:cs="宋体"/>
                <w:color w:val="auto"/>
                <w:sz w:val="24"/>
                <w:highlight w:val="none"/>
                <w:lang w:val="en-US" w:eastAsia="zh-CN"/>
              </w:rPr>
              <w:t>中小</w:t>
            </w:r>
            <w:r>
              <w:rPr>
                <w:rFonts w:hint="eastAsia" w:ascii="宋体" w:hAnsi="宋体" w:cs="宋体"/>
                <w:color w:val="auto"/>
                <w:sz w:val="24"/>
                <w:highlight w:val="none"/>
              </w:rPr>
              <w:t>企业采购项目</w:t>
            </w:r>
          </w:p>
          <w:p w14:paraId="72A20412">
            <w:pPr>
              <w:pStyle w:val="113"/>
              <w:spacing w:line="360" w:lineRule="auto"/>
              <w:rPr>
                <w:rFonts w:hint="default" w:eastAsia="宋体"/>
                <w:color w:val="auto"/>
                <w:lang w:val="en-US" w:eastAsia="zh-CN"/>
              </w:rPr>
            </w:pPr>
            <w:r>
              <w:rPr>
                <w:rFonts w:hint="eastAsia" w:ascii="宋体" w:hAnsi="宋体" w:cs="宋体"/>
                <w:color w:val="auto"/>
                <w:sz w:val="24"/>
                <w:highlight w:val="none"/>
                <w:lang w:val="en-US" w:eastAsia="zh-CN"/>
              </w:rPr>
              <w:t>本项目专门面向中小企业采购，故不进行价格扣除。</w:t>
            </w:r>
          </w:p>
          <w:p w14:paraId="60BF7DA7">
            <w:pPr>
              <w:adjustRightInd w:val="0"/>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fldChar w:fldCharType="begin"/>
            </w:r>
            <w:r>
              <w:rPr>
                <w:rFonts w:hint="eastAsia" w:ascii="宋体" w:hAnsi="宋体" w:cs="宋体"/>
                <w:color w:val="auto"/>
                <w:sz w:val="24"/>
                <w:highlight w:val="none"/>
              </w:rPr>
              <w:instrText xml:space="preserve"> eq \o\ac(□)</w:instrText>
            </w:r>
            <w:r>
              <w:rPr>
                <w:rFonts w:hint="eastAsia" w:ascii="宋体" w:hAnsi="宋体" w:cs="宋体"/>
                <w:color w:val="auto"/>
                <w:sz w:val="24"/>
                <w:highlight w:val="none"/>
              </w:rPr>
              <w:fldChar w:fldCharType="end"/>
            </w:r>
            <w:r>
              <w:rPr>
                <w:rFonts w:hint="eastAsia" w:ascii="宋体" w:hAnsi="宋体" w:cs="宋体"/>
                <w:color w:val="auto"/>
                <w:sz w:val="24"/>
                <w:highlight w:val="none"/>
              </w:rPr>
              <w:t>非专门面向中小企业采购项目（价格扣除）：</w:t>
            </w:r>
          </w:p>
          <w:p w14:paraId="2AAD01D3">
            <w:pPr>
              <w:adjustRightInd w:val="0"/>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sym w:font="Wingdings" w:char="F081"/>
            </w:r>
            <w:r>
              <w:rPr>
                <w:rFonts w:hint="eastAsia" w:ascii="宋体" w:hAnsi="宋体" w:cs="宋体"/>
                <w:color w:val="auto"/>
                <w:sz w:val="24"/>
                <w:highlight w:val="none"/>
              </w:rPr>
              <w:t>对小型和微型企业产品的价格给与10%~20%的扣除，用扣除后的价格参与评审。本项目的扣除比例为：小微企业扣除20%。</w:t>
            </w:r>
          </w:p>
          <w:p w14:paraId="467AB0F1">
            <w:pPr>
              <w:adjustRightInd w:val="0"/>
              <w:snapToGrid w:val="0"/>
              <w:spacing w:line="360" w:lineRule="auto"/>
              <w:rPr>
                <w:rFonts w:hint="eastAsia" w:ascii="宋体" w:hAnsi="宋体" w:cs="宋体"/>
                <w:color w:val="auto"/>
                <w:sz w:val="24"/>
                <w:szCs w:val="24"/>
              </w:rPr>
            </w:pPr>
            <w:r>
              <w:rPr>
                <w:rFonts w:ascii="宋体" w:hAnsi="宋体" w:cs="宋体"/>
                <w:color w:val="auto"/>
                <w:sz w:val="24"/>
                <w:highlight w:val="none"/>
              </w:rPr>
              <w:sym w:font="Wingdings" w:char="F082"/>
            </w:r>
            <w:r>
              <w:rPr>
                <w:rFonts w:hint="eastAsia" w:ascii="宋体" w:hAnsi="宋体" w:cs="宋体"/>
                <w:color w:val="auto"/>
                <w:sz w:val="24"/>
                <w:highlight w:val="none"/>
              </w:rPr>
              <w:t>项目接收联合体投标的，若小型和微型企业的协议合同金额占到联合体协议合同金额30%以上的，可给予联合体4%-6%的扣除，用扣除后的价格参与评审。项目的扣除比例为：6%。</w:t>
            </w:r>
          </w:p>
        </w:tc>
      </w:tr>
      <w:tr w14:paraId="15DF6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6E4C6709">
            <w:pPr>
              <w:spacing w:line="360" w:lineRule="auto"/>
              <w:ind w:left="210" w:leftChars="0"/>
              <w:rPr>
                <w:rFonts w:hint="default" w:ascii="宋体" w:hAnsi="宋体" w:eastAsia="宋体" w:cs="宋体"/>
                <w:color w:val="auto"/>
                <w:sz w:val="24"/>
                <w:szCs w:val="24"/>
                <w:lang w:val="en-US" w:eastAsia="zh-CN"/>
              </w:rPr>
            </w:pPr>
            <w:r>
              <w:rPr>
                <w:rFonts w:hint="eastAsia" w:hAnsi="宋体" w:cs="宋体"/>
                <w:color w:val="auto"/>
                <w:szCs w:val="24"/>
                <w:lang w:val="en-US" w:eastAsia="zh-CN"/>
              </w:rPr>
              <w:t>22</w:t>
            </w:r>
          </w:p>
        </w:tc>
        <w:tc>
          <w:tcPr>
            <w:tcW w:w="8303" w:type="dxa"/>
            <w:noWrap w:val="0"/>
            <w:vAlign w:val="center"/>
          </w:tcPr>
          <w:p w14:paraId="4694B5B2">
            <w:pPr>
              <w:spacing w:line="360" w:lineRule="auto"/>
              <w:rPr>
                <w:rFonts w:hint="eastAsia" w:hAnsi="宋体" w:cs="宋体"/>
                <w:b/>
                <w:bCs/>
                <w:color w:val="auto"/>
                <w:szCs w:val="24"/>
              </w:rPr>
            </w:pPr>
            <w:r>
              <w:rPr>
                <w:rFonts w:hint="eastAsia" w:hAnsi="宋体" w:cs="宋体"/>
                <w:b/>
                <w:bCs/>
                <w:color w:val="auto"/>
                <w:szCs w:val="24"/>
              </w:rPr>
              <w:t>支持监狱企业发展：</w:t>
            </w:r>
          </w:p>
          <w:p w14:paraId="0D16A241">
            <w:pPr>
              <w:adjustRightInd w:val="0"/>
              <w:snapToGrid w:val="0"/>
              <w:spacing w:line="360" w:lineRule="auto"/>
              <w:rPr>
                <w:rFonts w:hint="eastAsia" w:ascii="宋体" w:hAnsi="宋体" w:cs="宋体"/>
                <w:color w:val="auto"/>
                <w:sz w:val="24"/>
                <w:szCs w:val="24"/>
              </w:rPr>
            </w:pPr>
            <w:r>
              <w:rPr>
                <w:rFonts w:hint="eastAsia" w:hAnsi="宋体" w:cs="宋体"/>
                <w:color w:val="auto"/>
                <w:szCs w:val="24"/>
              </w:rPr>
              <w:t>监狱企业可视同小微企业在价格评审时给予6%~10%的扣除，用扣除后的价格参与评审。本项目的扣除比例为：扣除10%。</w:t>
            </w:r>
          </w:p>
        </w:tc>
      </w:tr>
      <w:tr w14:paraId="57A5A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7051F743">
            <w:pPr>
              <w:spacing w:line="360" w:lineRule="auto"/>
              <w:ind w:left="210" w:leftChars="0"/>
              <w:rPr>
                <w:rFonts w:hint="default" w:ascii="宋体" w:hAnsi="宋体" w:eastAsia="宋体" w:cs="宋体"/>
                <w:color w:val="auto"/>
                <w:sz w:val="24"/>
                <w:szCs w:val="24"/>
                <w:lang w:val="en-US" w:eastAsia="zh-CN"/>
              </w:rPr>
            </w:pPr>
            <w:r>
              <w:rPr>
                <w:rFonts w:hint="eastAsia" w:hAnsi="宋体" w:cs="宋体"/>
                <w:color w:val="auto"/>
                <w:szCs w:val="24"/>
                <w:lang w:val="en-US" w:eastAsia="zh-CN"/>
              </w:rPr>
              <w:t>23</w:t>
            </w:r>
          </w:p>
        </w:tc>
        <w:tc>
          <w:tcPr>
            <w:tcW w:w="8303" w:type="dxa"/>
            <w:noWrap w:val="0"/>
            <w:vAlign w:val="center"/>
          </w:tcPr>
          <w:p w14:paraId="5BAA33F4">
            <w:pPr>
              <w:spacing w:line="360" w:lineRule="auto"/>
              <w:rPr>
                <w:rFonts w:hint="eastAsia" w:ascii="宋体" w:hAnsi="宋体" w:cs="宋体"/>
                <w:color w:val="auto"/>
                <w:sz w:val="24"/>
                <w:szCs w:val="24"/>
              </w:rPr>
            </w:pPr>
            <w:r>
              <w:rPr>
                <w:rFonts w:hint="eastAsia" w:hAnsi="宋体" w:cs="宋体"/>
                <w:b/>
                <w:bCs/>
                <w:color w:val="auto"/>
                <w:szCs w:val="24"/>
              </w:rPr>
              <w:t>踏勘现场:</w:t>
            </w:r>
            <w:r>
              <w:rPr>
                <w:rFonts w:hint="eastAsia" w:hAnsi="宋体" w:cs="宋体"/>
                <w:color w:val="auto"/>
                <w:szCs w:val="24"/>
              </w:rPr>
              <w:fldChar w:fldCharType="begin"/>
            </w:r>
            <w:r>
              <w:rPr>
                <w:rFonts w:hint="eastAsia" w:hAnsi="宋体" w:cs="宋体"/>
                <w:color w:val="auto"/>
                <w:szCs w:val="24"/>
              </w:rPr>
              <w:instrText xml:space="preserve"> eq \o\ac(□,√)</w:instrText>
            </w:r>
            <w:r>
              <w:rPr>
                <w:rFonts w:hint="eastAsia" w:hAnsi="宋体" w:cs="宋体"/>
                <w:color w:val="auto"/>
                <w:szCs w:val="24"/>
              </w:rPr>
              <w:fldChar w:fldCharType="end"/>
            </w:r>
            <w:r>
              <w:rPr>
                <w:rFonts w:hint="eastAsia" w:hAnsi="宋体" w:cs="宋体"/>
                <w:color w:val="auto"/>
                <w:szCs w:val="24"/>
              </w:rPr>
              <w:t>不组织</w:t>
            </w:r>
            <w:r>
              <w:rPr>
                <w:rFonts w:hint="eastAsia" w:hAnsi="宋体" w:cs="宋体"/>
                <w:color w:val="auto"/>
                <w:szCs w:val="24"/>
              </w:rPr>
              <w:fldChar w:fldCharType="begin"/>
            </w:r>
            <w:r>
              <w:rPr>
                <w:rFonts w:hint="eastAsia" w:hAnsi="宋体" w:cs="宋体"/>
                <w:color w:val="auto"/>
                <w:szCs w:val="24"/>
              </w:rPr>
              <w:instrText xml:space="preserve"> eq \o\ac(□)</w:instrText>
            </w:r>
            <w:r>
              <w:rPr>
                <w:rFonts w:hint="eastAsia" w:hAnsi="宋体" w:cs="宋体"/>
                <w:color w:val="auto"/>
                <w:szCs w:val="24"/>
              </w:rPr>
              <w:fldChar w:fldCharType="end"/>
            </w:r>
            <w:r>
              <w:rPr>
                <w:rFonts w:hint="eastAsia" w:hAnsi="宋体" w:cs="宋体"/>
                <w:color w:val="auto"/>
                <w:szCs w:val="24"/>
              </w:rPr>
              <w:t>组织，本项目采购人及采购代理机构不集中组织踏勘现场；需要现场踏勘的，由投标人自行踏勘，安全责任由投标人自负，费用自理。如需踏勘，请按招标公告中的联系方式联系采购人。</w:t>
            </w:r>
          </w:p>
        </w:tc>
      </w:tr>
      <w:tr w14:paraId="71B86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23F3A588">
            <w:pPr>
              <w:spacing w:line="360" w:lineRule="auto"/>
              <w:ind w:left="210" w:leftChars="0"/>
              <w:rPr>
                <w:rFonts w:hint="default" w:ascii="宋体" w:hAnsi="宋体" w:eastAsia="宋体" w:cs="宋体"/>
                <w:color w:val="auto"/>
                <w:sz w:val="24"/>
                <w:szCs w:val="24"/>
                <w:lang w:val="en-US" w:eastAsia="zh-CN"/>
              </w:rPr>
            </w:pPr>
            <w:r>
              <w:rPr>
                <w:rFonts w:hint="eastAsia" w:hAnsi="宋体" w:cs="宋体"/>
                <w:color w:val="auto"/>
                <w:szCs w:val="24"/>
              </w:rPr>
              <w:t>2</w:t>
            </w:r>
            <w:r>
              <w:rPr>
                <w:rFonts w:hint="eastAsia" w:hAnsi="宋体" w:cs="宋体"/>
                <w:color w:val="auto"/>
                <w:szCs w:val="24"/>
                <w:lang w:val="en-US" w:eastAsia="zh-CN"/>
              </w:rPr>
              <w:t>4</w:t>
            </w:r>
          </w:p>
        </w:tc>
        <w:tc>
          <w:tcPr>
            <w:tcW w:w="8303" w:type="dxa"/>
            <w:noWrap w:val="0"/>
            <w:vAlign w:val="center"/>
          </w:tcPr>
          <w:p w14:paraId="0D451D86">
            <w:pPr>
              <w:spacing w:line="360" w:lineRule="auto"/>
              <w:rPr>
                <w:rFonts w:hint="eastAsia" w:ascii="宋体" w:hAnsi="宋体" w:cs="宋体"/>
                <w:color w:val="auto"/>
                <w:sz w:val="24"/>
                <w:szCs w:val="24"/>
              </w:rPr>
            </w:pPr>
            <w:r>
              <w:rPr>
                <w:rFonts w:hint="eastAsia" w:hAnsi="宋体" w:cs="宋体"/>
                <w:b/>
                <w:bCs/>
                <w:color w:val="auto"/>
                <w:szCs w:val="24"/>
              </w:rPr>
              <w:t>投标答疑会</w:t>
            </w:r>
            <w:r>
              <w:rPr>
                <w:rFonts w:hint="eastAsia" w:hAnsi="宋体" w:cs="宋体"/>
                <w:color w:val="auto"/>
                <w:szCs w:val="24"/>
              </w:rPr>
              <w:t>:</w:t>
            </w:r>
            <w:r>
              <w:rPr>
                <w:rFonts w:hint="eastAsia" w:hAnsi="宋体" w:cs="宋体"/>
                <w:color w:val="auto"/>
                <w:szCs w:val="24"/>
              </w:rPr>
              <w:fldChar w:fldCharType="begin"/>
            </w:r>
            <w:r>
              <w:rPr>
                <w:rFonts w:hint="eastAsia" w:hAnsi="宋体" w:cs="宋体"/>
                <w:color w:val="auto"/>
                <w:szCs w:val="24"/>
              </w:rPr>
              <w:instrText xml:space="preserve"> eq \o\ac(□,√)</w:instrText>
            </w:r>
            <w:r>
              <w:rPr>
                <w:rFonts w:hint="eastAsia" w:hAnsi="宋体" w:cs="宋体"/>
                <w:color w:val="auto"/>
                <w:szCs w:val="24"/>
              </w:rPr>
              <w:fldChar w:fldCharType="end"/>
            </w:r>
            <w:r>
              <w:rPr>
                <w:rFonts w:hint="eastAsia" w:hAnsi="宋体" w:cs="宋体"/>
                <w:color w:val="auto"/>
                <w:szCs w:val="24"/>
              </w:rPr>
              <w:t>不召开</w:t>
            </w:r>
            <w:r>
              <w:rPr>
                <w:rFonts w:hint="eastAsia" w:hAnsi="宋体" w:cs="宋体"/>
                <w:color w:val="auto"/>
                <w:szCs w:val="24"/>
              </w:rPr>
              <w:fldChar w:fldCharType="begin"/>
            </w:r>
            <w:r>
              <w:rPr>
                <w:rFonts w:hint="eastAsia" w:hAnsi="宋体" w:cs="宋体"/>
                <w:color w:val="auto"/>
                <w:szCs w:val="24"/>
              </w:rPr>
              <w:instrText xml:space="preserve"> eq \o\ac(□)</w:instrText>
            </w:r>
            <w:r>
              <w:rPr>
                <w:rFonts w:hint="eastAsia" w:hAnsi="宋体" w:cs="宋体"/>
                <w:color w:val="auto"/>
                <w:szCs w:val="24"/>
              </w:rPr>
              <w:fldChar w:fldCharType="end"/>
            </w:r>
            <w:r>
              <w:rPr>
                <w:rFonts w:hint="eastAsia" w:hAnsi="宋体" w:cs="宋体"/>
                <w:color w:val="auto"/>
                <w:szCs w:val="24"/>
              </w:rPr>
              <w:t>召开，招标代理机构将对供应商所提出的问题予以解答，并出具书面答疑纪要。答疑纪要为招标文件的组成部分，与招标文件具有同等法律效力。</w:t>
            </w:r>
          </w:p>
        </w:tc>
      </w:tr>
      <w:tr w14:paraId="342B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2" w:type="dxa"/>
            <w:noWrap w:val="0"/>
            <w:vAlign w:val="center"/>
          </w:tcPr>
          <w:p w14:paraId="7E4A4939">
            <w:pPr>
              <w:spacing w:line="360" w:lineRule="auto"/>
              <w:ind w:left="210" w:leftChars="0"/>
              <w:rPr>
                <w:rFonts w:hint="default" w:ascii="宋体" w:hAnsi="宋体" w:eastAsia="宋体" w:cs="宋体"/>
                <w:color w:val="auto"/>
                <w:sz w:val="24"/>
                <w:szCs w:val="24"/>
                <w:lang w:val="en-US" w:eastAsia="zh-CN"/>
              </w:rPr>
            </w:pPr>
            <w:r>
              <w:rPr>
                <w:rFonts w:hint="eastAsia" w:hAnsi="宋体" w:cs="宋体"/>
                <w:color w:val="auto"/>
                <w:szCs w:val="24"/>
              </w:rPr>
              <w:t>2</w:t>
            </w:r>
            <w:r>
              <w:rPr>
                <w:rFonts w:hint="eastAsia" w:hAnsi="宋体" w:cs="宋体"/>
                <w:color w:val="auto"/>
                <w:szCs w:val="24"/>
                <w:lang w:val="en-US" w:eastAsia="zh-CN"/>
              </w:rPr>
              <w:t>5</w:t>
            </w:r>
          </w:p>
        </w:tc>
        <w:tc>
          <w:tcPr>
            <w:tcW w:w="8303" w:type="dxa"/>
            <w:noWrap w:val="0"/>
            <w:vAlign w:val="center"/>
          </w:tcPr>
          <w:p w14:paraId="77FBD4B7">
            <w:pPr>
              <w:spacing w:line="360" w:lineRule="auto"/>
              <w:rPr>
                <w:rFonts w:hint="eastAsia" w:ascii="宋体" w:hAnsi="宋体" w:cs="宋体"/>
                <w:color w:val="auto"/>
                <w:sz w:val="24"/>
                <w:szCs w:val="24"/>
              </w:rPr>
            </w:pPr>
            <w:r>
              <w:rPr>
                <w:rFonts w:hint="eastAsia" w:hAnsi="宋体" w:cs="宋体"/>
                <w:b/>
                <w:bCs/>
                <w:color w:val="auto"/>
                <w:szCs w:val="24"/>
              </w:rPr>
              <w:t>分包</w:t>
            </w:r>
            <w:r>
              <w:rPr>
                <w:rFonts w:hint="eastAsia" w:hAnsi="宋体" w:cs="宋体"/>
                <w:color w:val="auto"/>
                <w:szCs w:val="24"/>
              </w:rPr>
              <w:t>：</w:t>
            </w:r>
            <w:r>
              <w:rPr>
                <w:rFonts w:hint="eastAsia" w:hAnsi="宋体" w:cs="宋体"/>
                <w:color w:val="auto"/>
                <w:szCs w:val="24"/>
              </w:rPr>
              <w:fldChar w:fldCharType="begin"/>
            </w:r>
            <w:r>
              <w:rPr>
                <w:rFonts w:hint="eastAsia" w:hAnsi="宋体" w:cs="宋体"/>
                <w:color w:val="auto"/>
                <w:szCs w:val="24"/>
              </w:rPr>
              <w:instrText xml:space="preserve"> eq \o\ac(□,</w:instrText>
            </w:r>
            <w:r>
              <w:rPr>
                <w:rFonts w:hint="eastAsia" w:hAnsi="宋体" w:cs="宋体"/>
                <w:color w:val="auto"/>
                <w:position w:val="2"/>
                <w:sz w:val="16"/>
                <w:szCs w:val="24"/>
              </w:rPr>
              <w:instrText xml:space="preserve">√</w:instrText>
            </w:r>
            <w:r>
              <w:rPr>
                <w:rFonts w:hint="eastAsia" w:hAnsi="宋体" w:cs="宋体"/>
                <w:color w:val="auto"/>
                <w:szCs w:val="24"/>
              </w:rPr>
              <w:instrText xml:space="preserve">)</w:instrText>
            </w:r>
            <w:r>
              <w:rPr>
                <w:rFonts w:hint="eastAsia" w:hAnsi="宋体" w:cs="宋体"/>
                <w:color w:val="auto"/>
                <w:szCs w:val="24"/>
              </w:rPr>
              <w:fldChar w:fldCharType="end"/>
            </w:r>
            <w:r>
              <w:rPr>
                <w:rFonts w:hint="eastAsia" w:hAnsi="宋体" w:cs="宋体"/>
                <w:color w:val="auto"/>
                <w:szCs w:val="24"/>
              </w:rPr>
              <w:t>不允许:</w:t>
            </w:r>
            <w:r>
              <w:rPr>
                <w:rFonts w:hint="eastAsia" w:hAnsi="宋体" w:cs="宋体"/>
                <w:color w:val="auto"/>
                <w:szCs w:val="24"/>
              </w:rPr>
              <w:fldChar w:fldCharType="begin"/>
            </w:r>
            <w:r>
              <w:rPr>
                <w:rFonts w:hint="eastAsia" w:hAnsi="宋体" w:cs="宋体"/>
                <w:color w:val="auto"/>
                <w:szCs w:val="24"/>
              </w:rPr>
              <w:instrText xml:space="preserve"> eq \o\ac(□)</w:instrText>
            </w:r>
            <w:r>
              <w:rPr>
                <w:rFonts w:hint="eastAsia" w:hAnsi="宋体" w:cs="宋体"/>
                <w:color w:val="auto"/>
                <w:szCs w:val="24"/>
              </w:rPr>
              <w:fldChar w:fldCharType="end"/>
            </w:r>
            <w:r>
              <w:rPr>
                <w:rFonts w:hint="eastAsia" w:hAnsi="宋体" w:cs="宋体"/>
                <w:color w:val="auto"/>
                <w:szCs w:val="24"/>
              </w:rPr>
              <w:t>允许，分包内容要求：在征得招标人同意后，承包人可以将本项目的专业工程进行分包。分包金额要求：接受分包的第三人资质要求；符合施工拟分包的专业工程国家相关强制规定。</w:t>
            </w:r>
          </w:p>
        </w:tc>
      </w:tr>
      <w:tr w14:paraId="38612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2" w:type="dxa"/>
            <w:noWrap w:val="0"/>
            <w:vAlign w:val="center"/>
          </w:tcPr>
          <w:p w14:paraId="2DF50120">
            <w:pPr>
              <w:spacing w:line="360" w:lineRule="auto"/>
              <w:ind w:left="210" w:leftChars="0"/>
              <w:rPr>
                <w:rFonts w:hint="default" w:ascii="宋体" w:hAnsi="宋体" w:eastAsia="宋体" w:cs="宋体"/>
                <w:color w:val="auto"/>
                <w:sz w:val="24"/>
                <w:szCs w:val="24"/>
                <w:lang w:val="en-US" w:eastAsia="zh-CN"/>
              </w:rPr>
            </w:pPr>
            <w:r>
              <w:rPr>
                <w:rFonts w:hint="eastAsia" w:hAnsi="宋体" w:cs="宋体"/>
                <w:color w:val="auto"/>
                <w:szCs w:val="24"/>
              </w:rPr>
              <w:t>2</w:t>
            </w:r>
            <w:r>
              <w:rPr>
                <w:rFonts w:hint="eastAsia" w:hAnsi="宋体" w:cs="宋体"/>
                <w:color w:val="auto"/>
                <w:szCs w:val="24"/>
                <w:lang w:val="en-US" w:eastAsia="zh-CN"/>
              </w:rPr>
              <w:t>6</w:t>
            </w:r>
          </w:p>
        </w:tc>
        <w:tc>
          <w:tcPr>
            <w:tcW w:w="8303" w:type="dxa"/>
            <w:noWrap w:val="0"/>
            <w:vAlign w:val="center"/>
          </w:tcPr>
          <w:p w14:paraId="2AD90FEB">
            <w:pPr>
              <w:spacing w:line="360" w:lineRule="auto"/>
              <w:rPr>
                <w:rFonts w:hint="eastAsia" w:ascii="宋体" w:hAnsi="宋体" w:cs="宋体"/>
                <w:color w:val="auto"/>
                <w:sz w:val="24"/>
                <w:szCs w:val="24"/>
              </w:rPr>
            </w:pPr>
            <w:r>
              <w:rPr>
                <w:rFonts w:hint="eastAsia" w:hAnsi="宋体" w:cs="宋体"/>
                <w:color w:val="auto"/>
                <w:szCs w:val="24"/>
              </w:rPr>
              <w:t>竞争性磋商响应文件中的复印件（含扫描件）必须加盖供应商公章（鲜章），否则按无效文件处理。所有复印件应是最新、有效、清晰的。因复印件不清晰而可能导致资料无效，由投标供应商自行负责。</w:t>
            </w:r>
          </w:p>
        </w:tc>
      </w:tr>
      <w:tr w14:paraId="36F54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752" w:type="dxa"/>
            <w:noWrap w:val="0"/>
            <w:vAlign w:val="center"/>
          </w:tcPr>
          <w:p w14:paraId="790E1A6F">
            <w:pPr>
              <w:spacing w:line="360" w:lineRule="auto"/>
              <w:ind w:left="210" w:leftChars="0"/>
              <w:rPr>
                <w:rFonts w:hint="default" w:ascii="宋体" w:hAnsi="宋体" w:eastAsia="宋体" w:cs="宋体"/>
                <w:color w:val="auto"/>
                <w:sz w:val="24"/>
                <w:szCs w:val="24"/>
                <w:lang w:val="en-US" w:eastAsia="zh-CN"/>
              </w:rPr>
            </w:pPr>
            <w:r>
              <w:rPr>
                <w:rFonts w:hint="eastAsia" w:hAnsi="宋体" w:cs="宋体"/>
                <w:color w:val="auto"/>
                <w:szCs w:val="24"/>
              </w:rPr>
              <w:t>2</w:t>
            </w:r>
            <w:r>
              <w:rPr>
                <w:rFonts w:hint="eastAsia" w:hAnsi="宋体" w:cs="宋体"/>
                <w:color w:val="auto"/>
                <w:szCs w:val="24"/>
                <w:lang w:val="en-US" w:eastAsia="zh-CN"/>
              </w:rPr>
              <w:t>7</w:t>
            </w:r>
          </w:p>
        </w:tc>
        <w:tc>
          <w:tcPr>
            <w:tcW w:w="8303" w:type="dxa"/>
            <w:noWrap w:val="0"/>
            <w:vAlign w:val="center"/>
          </w:tcPr>
          <w:p w14:paraId="7676ED0C">
            <w:pPr>
              <w:spacing w:line="360" w:lineRule="auto"/>
              <w:rPr>
                <w:rFonts w:hint="eastAsia" w:ascii="宋体" w:hAnsi="宋体" w:cs="宋体"/>
                <w:color w:val="auto"/>
                <w:sz w:val="24"/>
                <w:szCs w:val="24"/>
              </w:rPr>
            </w:pPr>
            <w:r>
              <w:rPr>
                <w:rFonts w:hint="eastAsia" w:hAnsi="宋体" w:cs="宋体"/>
                <w:color w:val="auto"/>
                <w:szCs w:val="24"/>
              </w:rPr>
              <w:t>合同签订：成交供应商和采购人签订合同。</w:t>
            </w:r>
          </w:p>
        </w:tc>
      </w:tr>
      <w:tr w14:paraId="144AA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2" w:type="dxa"/>
            <w:noWrap w:val="0"/>
            <w:vAlign w:val="center"/>
          </w:tcPr>
          <w:p w14:paraId="405B28E7">
            <w:pPr>
              <w:spacing w:line="360" w:lineRule="auto"/>
              <w:ind w:left="210"/>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2</w:t>
            </w:r>
            <w:r>
              <w:rPr>
                <w:rFonts w:hint="eastAsia" w:hAnsi="宋体" w:cs="宋体"/>
                <w:color w:val="auto"/>
                <w:sz w:val="24"/>
                <w:szCs w:val="24"/>
                <w:lang w:val="en-US" w:eastAsia="zh-CN"/>
              </w:rPr>
              <w:t>8</w:t>
            </w:r>
          </w:p>
        </w:tc>
        <w:tc>
          <w:tcPr>
            <w:tcW w:w="8303" w:type="dxa"/>
            <w:noWrap w:val="0"/>
            <w:vAlign w:val="center"/>
          </w:tcPr>
          <w:p w14:paraId="2F637760">
            <w:pPr>
              <w:spacing w:line="360" w:lineRule="auto"/>
              <w:rPr>
                <w:rFonts w:hint="eastAsia" w:hAnsi="宋体" w:cs="仿宋_GB2312"/>
                <w:color w:val="auto"/>
                <w:szCs w:val="24"/>
              </w:rPr>
            </w:pPr>
            <w:r>
              <w:rPr>
                <w:rFonts w:hint="eastAsia" w:hAnsi="宋体" w:cs="仿宋_GB2312"/>
                <w:b/>
                <w:bCs/>
                <w:color w:val="auto"/>
                <w:szCs w:val="24"/>
              </w:rPr>
              <w:t>招标代理服务费</w:t>
            </w:r>
            <w:r>
              <w:rPr>
                <w:rFonts w:hint="eastAsia" w:hAnsi="宋体" w:cs="仿宋_GB2312"/>
                <w:color w:val="auto"/>
                <w:szCs w:val="24"/>
              </w:rPr>
              <w:t>：</w:t>
            </w:r>
          </w:p>
          <w:p w14:paraId="13212142">
            <w:pPr>
              <w:spacing w:line="360" w:lineRule="auto"/>
              <w:rPr>
                <w:rFonts w:hint="eastAsia" w:hAnsi="宋体" w:cs="仿宋_GB2312"/>
                <w:color w:val="auto"/>
                <w:szCs w:val="24"/>
              </w:rPr>
            </w:pPr>
            <w:r>
              <w:rPr>
                <w:rFonts w:hint="eastAsia" w:hAnsi="宋体" w:cs="仿宋_GB2312"/>
                <w:color w:val="auto"/>
                <w:szCs w:val="24"/>
              </w:rPr>
              <w:t>(1)招标代理服务费的收取参见国家计委颁布的《招标代理服务收费管理暂行办法》（计价格[2002]1980号）和（发改办价格[2011]534号）中</w:t>
            </w:r>
            <w:r>
              <w:rPr>
                <w:rFonts w:hint="eastAsia" w:hAnsi="宋体"/>
                <w:color w:val="auto"/>
                <w:szCs w:val="24"/>
              </w:rPr>
              <w:t>规定的差额定律累进法计算,向成交供应商收取。</w:t>
            </w:r>
          </w:p>
          <w:p w14:paraId="62F67391">
            <w:pPr>
              <w:spacing w:line="360" w:lineRule="auto"/>
              <w:rPr>
                <w:rFonts w:hint="eastAsia" w:hAnsi="宋体" w:cs="宋体"/>
                <w:color w:val="auto"/>
                <w:szCs w:val="24"/>
              </w:rPr>
            </w:pPr>
            <w:r>
              <w:rPr>
                <w:rFonts w:hint="eastAsia" w:hAnsi="宋体" w:cs="仿宋_GB2312"/>
                <w:color w:val="auto"/>
                <w:szCs w:val="24"/>
              </w:rPr>
              <w:t>(2)</w:t>
            </w:r>
            <w:r>
              <w:rPr>
                <w:rFonts w:hint="eastAsia" w:hAnsi="宋体" w:cs="宋体"/>
                <w:color w:val="auto"/>
                <w:szCs w:val="24"/>
              </w:rPr>
              <w:t>支付方式：成交供应商应在领取通知书的同时，向榆林市恒易达工程项目管理有限公司交纳本项目采购代理服务费。</w:t>
            </w:r>
          </w:p>
          <w:p w14:paraId="64AC9071">
            <w:pPr>
              <w:spacing w:line="360" w:lineRule="auto"/>
              <w:rPr>
                <w:rFonts w:hint="eastAsia" w:hAnsi="宋体" w:cs="宋体"/>
                <w:color w:val="auto"/>
                <w:szCs w:val="24"/>
              </w:rPr>
            </w:pPr>
            <w:r>
              <w:rPr>
                <w:rFonts w:hint="eastAsia" w:hAnsi="宋体" w:cs="宋体"/>
                <w:color w:val="auto"/>
                <w:szCs w:val="24"/>
              </w:rPr>
              <w:t>3、采购代理服务费按差额定率累进法计算：</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1"/>
              <w:gridCol w:w="1558"/>
              <w:gridCol w:w="1853"/>
              <w:gridCol w:w="1856"/>
            </w:tblGrid>
            <w:tr w14:paraId="6A1C8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2631" w:type="dxa"/>
                  <w:noWrap w:val="0"/>
                  <w:vAlign w:val="top"/>
                </w:tcPr>
                <w:p w14:paraId="32811973">
                  <w:pPr>
                    <w:spacing w:line="360" w:lineRule="auto"/>
                    <w:rPr>
                      <w:rFonts w:hint="eastAsia" w:hAnsi="宋体" w:cs="宋体"/>
                      <w:color w:val="auto"/>
                      <w:szCs w:val="24"/>
                    </w:rPr>
                  </w:pPr>
                  <w:r>
                    <w:rPr>
                      <w:rFonts w:hint="eastAsia" w:hAnsi="宋体" w:cs="宋体"/>
                      <w:color w:val="auto"/>
                      <w:szCs w:val="24"/>
                    </w:rPr>
                    <w:t>服务类型/费率/中标金额（万元）</w:t>
                  </w:r>
                </w:p>
              </w:tc>
              <w:tc>
                <w:tcPr>
                  <w:tcW w:w="1558" w:type="dxa"/>
                  <w:noWrap w:val="0"/>
                  <w:vAlign w:val="center"/>
                </w:tcPr>
                <w:p w14:paraId="161A8CD4">
                  <w:pPr>
                    <w:spacing w:line="360" w:lineRule="auto"/>
                    <w:rPr>
                      <w:rFonts w:hint="eastAsia" w:hAnsi="宋体" w:cs="宋体"/>
                      <w:color w:val="auto"/>
                      <w:szCs w:val="24"/>
                    </w:rPr>
                  </w:pPr>
                  <w:r>
                    <w:rPr>
                      <w:rFonts w:hint="eastAsia" w:hAnsi="宋体" w:cs="宋体"/>
                      <w:color w:val="auto"/>
                      <w:szCs w:val="24"/>
                    </w:rPr>
                    <w:t>货物招标</w:t>
                  </w:r>
                </w:p>
              </w:tc>
              <w:tc>
                <w:tcPr>
                  <w:tcW w:w="1853" w:type="dxa"/>
                  <w:noWrap w:val="0"/>
                  <w:vAlign w:val="center"/>
                </w:tcPr>
                <w:p w14:paraId="120EB83C">
                  <w:pPr>
                    <w:spacing w:line="360" w:lineRule="auto"/>
                    <w:rPr>
                      <w:rFonts w:hint="eastAsia" w:hAnsi="宋体" w:cs="宋体"/>
                      <w:color w:val="auto"/>
                      <w:szCs w:val="24"/>
                    </w:rPr>
                  </w:pPr>
                  <w:r>
                    <w:rPr>
                      <w:rFonts w:hint="eastAsia" w:hAnsi="宋体" w:cs="宋体"/>
                      <w:color w:val="auto"/>
                      <w:szCs w:val="24"/>
                    </w:rPr>
                    <w:t>服务招标</w:t>
                  </w:r>
                </w:p>
              </w:tc>
              <w:tc>
                <w:tcPr>
                  <w:tcW w:w="1856" w:type="dxa"/>
                  <w:noWrap w:val="0"/>
                  <w:vAlign w:val="center"/>
                </w:tcPr>
                <w:p w14:paraId="2DF8E11E">
                  <w:pPr>
                    <w:spacing w:line="360" w:lineRule="auto"/>
                    <w:rPr>
                      <w:rFonts w:hint="eastAsia" w:hAnsi="宋体" w:cs="宋体"/>
                      <w:color w:val="auto"/>
                      <w:szCs w:val="24"/>
                    </w:rPr>
                  </w:pPr>
                  <w:r>
                    <w:rPr>
                      <w:rFonts w:hint="eastAsia" w:hAnsi="宋体" w:cs="宋体"/>
                      <w:color w:val="auto"/>
                      <w:szCs w:val="24"/>
                    </w:rPr>
                    <w:t>工程招标</w:t>
                  </w:r>
                </w:p>
              </w:tc>
            </w:tr>
            <w:tr w14:paraId="40482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631" w:type="dxa"/>
                  <w:noWrap w:val="0"/>
                  <w:vAlign w:val="top"/>
                </w:tcPr>
                <w:p w14:paraId="14A8E38B">
                  <w:pPr>
                    <w:spacing w:line="360" w:lineRule="auto"/>
                    <w:rPr>
                      <w:rFonts w:hint="eastAsia" w:hAnsi="宋体" w:cs="宋体"/>
                      <w:color w:val="auto"/>
                      <w:szCs w:val="24"/>
                    </w:rPr>
                  </w:pPr>
                  <w:r>
                    <w:rPr>
                      <w:rFonts w:hint="eastAsia" w:hAnsi="宋体" w:cs="宋体"/>
                      <w:color w:val="auto"/>
                      <w:szCs w:val="24"/>
                    </w:rPr>
                    <w:t>100以下</w:t>
                  </w:r>
                </w:p>
              </w:tc>
              <w:tc>
                <w:tcPr>
                  <w:tcW w:w="1558" w:type="dxa"/>
                  <w:noWrap w:val="0"/>
                  <w:vAlign w:val="top"/>
                </w:tcPr>
                <w:p w14:paraId="25C4DD61">
                  <w:pPr>
                    <w:spacing w:line="360" w:lineRule="auto"/>
                    <w:rPr>
                      <w:rFonts w:hint="eastAsia" w:hAnsi="宋体" w:cs="宋体"/>
                      <w:color w:val="auto"/>
                      <w:szCs w:val="24"/>
                    </w:rPr>
                  </w:pPr>
                  <w:r>
                    <w:rPr>
                      <w:rFonts w:hint="eastAsia" w:hAnsi="宋体" w:cs="宋体"/>
                      <w:color w:val="auto"/>
                      <w:szCs w:val="24"/>
                    </w:rPr>
                    <w:t>1.5%</w:t>
                  </w:r>
                </w:p>
              </w:tc>
              <w:tc>
                <w:tcPr>
                  <w:tcW w:w="1853" w:type="dxa"/>
                  <w:noWrap w:val="0"/>
                  <w:vAlign w:val="top"/>
                </w:tcPr>
                <w:p w14:paraId="0199B9D3">
                  <w:pPr>
                    <w:spacing w:line="360" w:lineRule="auto"/>
                    <w:rPr>
                      <w:rFonts w:hint="eastAsia" w:hAnsi="宋体" w:cs="宋体"/>
                      <w:color w:val="auto"/>
                      <w:szCs w:val="24"/>
                    </w:rPr>
                  </w:pPr>
                  <w:r>
                    <w:rPr>
                      <w:rFonts w:hint="eastAsia" w:hAnsi="宋体" w:cs="宋体"/>
                      <w:color w:val="auto"/>
                      <w:szCs w:val="24"/>
                    </w:rPr>
                    <w:t>1.5%</w:t>
                  </w:r>
                </w:p>
              </w:tc>
              <w:tc>
                <w:tcPr>
                  <w:tcW w:w="1856" w:type="dxa"/>
                  <w:noWrap w:val="0"/>
                  <w:vAlign w:val="top"/>
                </w:tcPr>
                <w:p w14:paraId="1FFB8D09">
                  <w:pPr>
                    <w:spacing w:line="360" w:lineRule="auto"/>
                    <w:rPr>
                      <w:rFonts w:hint="eastAsia" w:hAnsi="宋体" w:cs="宋体"/>
                      <w:color w:val="auto"/>
                      <w:szCs w:val="24"/>
                    </w:rPr>
                  </w:pPr>
                  <w:r>
                    <w:rPr>
                      <w:rFonts w:hint="eastAsia" w:hAnsi="宋体" w:cs="宋体"/>
                      <w:color w:val="auto"/>
                      <w:szCs w:val="24"/>
                    </w:rPr>
                    <w:t>1.0%</w:t>
                  </w:r>
                </w:p>
              </w:tc>
            </w:tr>
            <w:tr w14:paraId="5E244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631" w:type="dxa"/>
                  <w:noWrap w:val="0"/>
                  <w:vAlign w:val="top"/>
                </w:tcPr>
                <w:p w14:paraId="192F127F">
                  <w:pPr>
                    <w:spacing w:line="360" w:lineRule="auto"/>
                    <w:rPr>
                      <w:rFonts w:hint="eastAsia" w:hAnsi="宋体" w:cs="宋体"/>
                      <w:color w:val="auto"/>
                      <w:szCs w:val="24"/>
                    </w:rPr>
                  </w:pPr>
                  <w:r>
                    <w:rPr>
                      <w:rFonts w:hint="eastAsia" w:hAnsi="宋体" w:cs="宋体"/>
                      <w:color w:val="auto"/>
                      <w:szCs w:val="24"/>
                    </w:rPr>
                    <w:t>100-500</w:t>
                  </w:r>
                </w:p>
              </w:tc>
              <w:tc>
                <w:tcPr>
                  <w:tcW w:w="1558" w:type="dxa"/>
                  <w:noWrap w:val="0"/>
                  <w:vAlign w:val="top"/>
                </w:tcPr>
                <w:p w14:paraId="24497B4B">
                  <w:pPr>
                    <w:spacing w:line="360" w:lineRule="auto"/>
                    <w:rPr>
                      <w:rFonts w:hint="eastAsia" w:hAnsi="宋体" w:cs="宋体"/>
                      <w:color w:val="auto"/>
                      <w:szCs w:val="24"/>
                    </w:rPr>
                  </w:pPr>
                  <w:r>
                    <w:rPr>
                      <w:rFonts w:hint="eastAsia" w:hAnsi="宋体" w:cs="宋体"/>
                      <w:color w:val="auto"/>
                      <w:szCs w:val="24"/>
                    </w:rPr>
                    <w:t>1.1%</w:t>
                  </w:r>
                </w:p>
              </w:tc>
              <w:tc>
                <w:tcPr>
                  <w:tcW w:w="1853" w:type="dxa"/>
                  <w:noWrap w:val="0"/>
                  <w:vAlign w:val="top"/>
                </w:tcPr>
                <w:p w14:paraId="6F125C7E">
                  <w:pPr>
                    <w:spacing w:line="360" w:lineRule="auto"/>
                    <w:rPr>
                      <w:rFonts w:hint="eastAsia" w:hAnsi="宋体" w:cs="宋体"/>
                      <w:color w:val="auto"/>
                      <w:szCs w:val="24"/>
                    </w:rPr>
                  </w:pPr>
                  <w:r>
                    <w:rPr>
                      <w:rFonts w:hint="eastAsia" w:hAnsi="宋体" w:cs="宋体"/>
                      <w:color w:val="auto"/>
                      <w:szCs w:val="24"/>
                    </w:rPr>
                    <w:t>0.8%</w:t>
                  </w:r>
                </w:p>
              </w:tc>
              <w:tc>
                <w:tcPr>
                  <w:tcW w:w="1856" w:type="dxa"/>
                  <w:noWrap w:val="0"/>
                  <w:vAlign w:val="top"/>
                </w:tcPr>
                <w:p w14:paraId="059FA078">
                  <w:pPr>
                    <w:spacing w:line="360" w:lineRule="auto"/>
                    <w:rPr>
                      <w:rFonts w:hint="eastAsia" w:hAnsi="宋体" w:cs="宋体"/>
                      <w:color w:val="auto"/>
                      <w:szCs w:val="24"/>
                    </w:rPr>
                  </w:pPr>
                  <w:r>
                    <w:rPr>
                      <w:rFonts w:hint="eastAsia" w:hAnsi="宋体" w:cs="宋体"/>
                      <w:color w:val="auto"/>
                      <w:szCs w:val="24"/>
                    </w:rPr>
                    <w:t>0.7%</w:t>
                  </w:r>
                </w:p>
              </w:tc>
            </w:tr>
            <w:tr w14:paraId="3DF25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631" w:type="dxa"/>
                  <w:noWrap w:val="0"/>
                  <w:vAlign w:val="top"/>
                </w:tcPr>
                <w:p w14:paraId="04250025">
                  <w:pPr>
                    <w:spacing w:line="360" w:lineRule="auto"/>
                    <w:rPr>
                      <w:rFonts w:hint="eastAsia" w:hAnsi="宋体" w:cs="宋体"/>
                      <w:color w:val="auto"/>
                      <w:szCs w:val="24"/>
                    </w:rPr>
                  </w:pPr>
                  <w:r>
                    <w:rPr>
                      <w:rFonts w:hint="eastAsia" w:hAnsi="宋体" w:cs="宋体"/>
                      <w:color w:val="auto"/>
                      <w:szCs w:val="24"/>
                    </w:rPr>
                    <w:t>500-1000</w:t>
                  </w:r>
                </w:p>
              </w:tc>
              <w:tc>
                <w:tcPr>
                  <w:tcW w:w="1558" w:type="dxa"/>
                  <w:noWrap w:val="0"/>
                  <w:vAlign w:val="top"/>
                </w:tcPr>
                <w:p w14:paraId="7AC45174">
                  <w:pPr>
                    <w:spacing w:line="360" w:lineRule="auto"/>
                    <w:rPr>
                      <w:rFonts w:hint="eastAsia" w:hAnsi="宋体" w:cs="宋体"/>
                      <w:color w:val="auto"/>
                      <w:szCs w:val="24"/>
                    </w:rPr>
                  </w:pPr>
                  <w:r>
                    <w:rPr>
                      <w:rFonts w:hint="eastAsia" w:hAnsi="宋体" w:cs="宋体"/>
                      <w:color w:val="auto"/>
                      <w:szCs w:val="24"/>
                    </w:rPr>
                    <w:t>0.8%</w:t>
                  </w:r>
                </w:p>
              </w:tc>
              <w:tc>
                <w:tcPr>
                  <w:tcW w:w="1853" w:type="dxa"/>
                  <w:noWrap w:val="0"/>
                  <w:vAlign w:val="top"/>
                </w:tcPr>
                <w:p w14:paraId="020669D4">
                  <w:pPr>
                    <w:spacing w:line="360" w:lineRule="auto"/>
                    <w:rPr>
                      <w:rFonts w:hint="eastAsia" w:hAnsi="宋体" w:cs="宋体"/>
                      <w:color w:val="auto"/>
                      <w:szCs w:val="24"/>
                    </w:rPr>
                  </w:pPr>
                  <w:r>
                    <w:rPr>
                      <w:rFonts w:hint="eastAsia" w:hAnsi="宋体" w:cs="宋体"/>
                      <w:color w:val="auto"/>
                      <w:szCs w:val="24"/>
                    </w:rPr>
                    <w:t>0.45%</w:t>
                  </w:r>
                </w:p>
              </w:tc>
              <w:tc>
                <w:tcPr>
                  <w:tcW w:w="1856" w:type="dxa"/>
                  <w:noWrap w:val="0"/>
                  <w:vAlign w:val="top"/>
                </w:tcPr>
                <w:p w14:paraId="3E8FE14D">
                  <w:pPr>
                    <w:spacing w:line="360" w:lineRule="auto"/>
                    <w:rPr>
                      <w:rFonts w:hint="eastAsia" w:hAnsi="宋体" w:cs="宋体"/>
                      <w:color w:val="auto"/>
                      <w:szCs w:val="24"/>
                    </w:rPr>
                  </w:pPr>
                  <w:r>
                    <w:rPr>
                      <w:rFonts w:hint="eastAsia" w:hAnsi="宋体" w:cs="宋体"/>
                      <w:color w:val="auto"/>
                      <w:szCs w:val="24"/>
                    </w:rPr>
                    <w:t>0.55%</w:t>
                  </w:r>
                </w:p>
              </w:tc>
            </w:tr>
            <w:tr w14:paraId="07FA0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631" w:type="dxa"/>
                  <w:noWrap w:val="0"/>
                  <w:vAlign w:val="top"/>
                </w:tcPr>
                <w:p w14:paraId="0288263B">
                  <w:pPr>
                    <w:spacing w:line="360" w:lineRule="auto"/>
                    <w:rPr>
                      <w:rFonts w:hint="eastAsia" w:hAnsi="宋体" w:cs="宋体"/>
                      <w:color w:val="auto"/>
                      <w:szCs w:val="24"/>
                    </w:rPr>
                  </w:pPr>
                  <w:r>
                    <w:rPr>
                      <w:rFonts w:hint="eastAsia" w:hAnsi="宋体" w:cs="宋体"/>
                      <w:color w:val="auto"/>
                      <w:szCs w:val="24"/>
                    </w:rPr>
                    <w:t>1000-5000</w:t>
                  </w:r>
                </w:p>
              </w:tc>
              <w:tc>
                <w:tcPr>
                  <w:tcW w:w="1558" w:type="dxa"/>
                  <w:noWrap w:val="0"/>
                  <w:vAlign w:val="top"/>
                </w:tcPr>
                <w:p w14:paraId="49B9928B">
                  <w:pPr>
                    <w:spacing w:line="360" w:lineRule="auto"/>
                    <w:rPr>
                      <w:rFonts w:hint="eastAsia" w:hAnsi="宋体" w:cs="宋体"/>
                      <w:color w:val="auto"/>
                      <w:szCs w:val="24"/>
                    </w:rPr>
                  </w:pPr>
                  <w:r>
                    <w:rPr>
                      <w:rFonts w:hint="eastAsia" w:hAnsi="宋体" w:cs="宋体"/>
                      <w:color w:val="auto"/>
                      <w:szCs w:val="24"/>
                    </w:rPr>
                    <w:t>0.5%</w:t>
                  </w:r>
                </w:p>
              </w:tc>
              <w:tc>
                <w:tcPr>
                  <w:tcW w:w="1853" w:type="dxa"/>
                  <w:noWrap w:val="0"/>
                  <w:vAlign w:val="top"/>
                </w:tcPr>
                <w:p w14:paraId="08D91E02">
                  <w:pPr>
                    <w:spacing w:line="360" w:lineRule="auto"/>
                    <w:rPr>
                      <w:rFonts w:hint="eastAsia" w:hAnsi="宋体" w:cs="宋体"/>
                      <w:color w:val="auto"/>
                      <w:szCs w:val="24"/>
                    </w:rPr>
                  </w:pPr>
                  <w:r>
                    <w:rPr>
                      <w:rFonts w:hint="eastAsia" w:hAnsi="宋体" w:cs="宋体"/>
                      <w:color w:val="auto"/>
                      <w:szCs w:val="24"/>
                    </w:rPr>
                    <w:t>0.25%</w:t>
                  </w:r>
                </w:p>
              </w:tc>
              <w:tc>
                <w:tcPr>
                  <w:tcW w:w="1856" w:type="dxa"/>
                  <w:noWrap w:val="0"/>
                  <w:vAlign w:val="top"/>
                </w:tcPr>
                <w:p w14:paraId="00E26DAB">
                  <w:pPr>
                    <w:spacing w:line="360" w:lineRule="auto"/>
                    <w:rPr>
                      <w:rFonts w:hint="eastAsia" w:hAnsi="宋体" w:cs="宋体"/>
                      <w:color w:val="auto"/>
                      <w:szCs w:val="24"/>
                    </w:rPr>
                  </w:pPr>
                  <w:r>
                    <w:rPr>
                      <w:rFonts w:hint="eastAsia" w:hAnsi="宋体" w:cs="宋体"/>
                      <w:color w:val="auto"/>
                      <w:szCs w:val="24"/>
                    </w:rPr>
                    <w:t>0.35%</w:t>
                  </w:r>
                </w:p>
              </w:tc>
            </w:tr>
            <w:tr w14:paraId="26E24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631" w:type="dxa"/>
                  <w:noWrap w:val="0"/>
                  <w:vAlign w:val="top"/>
                </w:tcPr>
                <w:p w14:paraId="241A968E">
                  <w:pPr>
                    <w:spacing w:line="360" w:lineRule="auto"/>
                    <w:rPr>
                      <w:rFonts w:hint="eastAsia" w:hAnsi="宋体" w:cs="宋体"/>
                      <w:color w:val="auto"/>
                      <w:szCs w:val="24"/>
                    </w:rPr>
                  </w:pPr>
                  <w:r>
                    <w:rPr>
                      <w:rFonts w:hint="eastAsia" w:hAnsi="宋体" w:cs="宋体"/>
                      <w:color w:val="auto"/>
                      <w:szCs w:val="24"/>
                    </w:rPr>
                    <w:t>5000-10000</w:t>
                  </w:r>
                </w:p>
              </w:tc>
              <w:tc>
                <w:tcPr>
                  <w:tcW w:w="1558" w:type="dxa"/>
                  <w:noWrap w:val="0"/>
                  <w:vAlign w:val="top"/>
                </w:tcPr>
                <w:p w14:paraId="40701808">
                  <w:pPr>
                    <w:spacing w:line="360" w:lineRule="auto"/>
                    <w:rPr>
                      <w:rFonts w:hint="eastAsia" w:hAnsi="宋体" w:cs="宋体"/>
                      <w:color w:val="auto"/>
                      <w:szCs w:val="24"/>
                    </w:rPr>
                  </w:pPr>
                  <w:r>
                    <w:rPr>
                      <w:rFonts w:hint="eastAsia" w:hAnsi="宋体" w:cs="宋体"/>
                      <w:color w:val="auto"/>
                      <w:szCs w:val="24"/>
                    </w:rPr>
                    <w:t>0.25%</w:t>
                  </w:r>
                </w:p>
              </w:tc>
              <w:tc>
                <w:tcPr>
                  <w:tcW w:w="1853" w:type="dxa"/>
                  <w:noWrap w:val="0"/>
                  <w:vAlign w:val="top"/>
                </w:tcPr>
                <w:p w14:paraId="5477244C">
                  <w:pPr>
                    <w:spacing w:line="360" w:lineRule="auto"/>
                    <w:rPr>
                      <w:rFonts w:hint="eastAsia" w:hAnsi="宋体" w:cs="宋体"/>
                      <w:color w:val="auto"/>
                      <w:szCs w:val="24"/>
                    </w:rPr>
                  </w:pPr>
                  <w:r>
                    <w:rPr>
                      <w:rFonts w:hint="eastAsia" w:hAnsi="宋体" w:cs="宋体"/>
                      <w:color w:val="auto"/>
                      <w:szCs w:val="24"/>
                    </w:rPr>
                    <w:t>0.1%</w:t>
                  </w:r>
                </w:p>
              </w:tc>
              <w:tc>
                <w:tcPr>
                  <w:tcW w:w="1856" w:type="dxa"/>
                  <w:noWrap w:val="0"/>
                  <w:vAlign w:val="top"/>
                </w:tcPr>
                <w:p w14:paraId="7B555106">
                  <w:pPr>
                    <w:spacing w:line="360" w:lineRule="auto"/>
                    <w:rPr>
                      <w:rFonts w:hint="eastAsia" w:hAnsi="宋体" w:cs="宋体"/>
                      <w:color w:val="auto"/>
                      <w:szCs w:val="24"/>
                    </w:rPr>
                  </w:pPr>
                  <w:r>
                    <w:rPr>
                      <w:rFonts w:hint="eastAsia" w:hAnsi="宋体" w:cs="宋体"/>
                      <w:color w:val="auto"/>
                      <w:szCs w:val="24"/>
                    </w:rPr>
                    <w:t>0.2%</w:t>
                  </w:r>
                </w:p>
              </w:tc>
            </w:tr>
            <w:tr w14:paraId="15313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631" w:type="dxa"/>
                  <w:noWrap w:val="0"/>
                  <w:vAlign w:val="top"/>
                </w:tcPr>
                <w:p w14:paraId="6F4AF147">
                  <w:pPr>
                    <w:spacing w:line="360" w:lineRule="auto"/>
                    <w:rPr>
                      <w:rFonts w:hint="eastAsia" w:hAnsi="宋体" w:cs="宋体"/>
                      <w:color w:val="auto"/>
                      <w:szCs w:val="24"/>
                    </w:rPr>
                  </w:pPr>
                  <w:r>
                    <w:rPr>
                      <w:rFonts w:hint="eastAsia" w:hAnsi="宋体" w:cs="宋体"/>
                      <w:color w:val="auto"/>
                      <w:szCs w:val="24"/>
                    </w:rPr>
                    <w:t>10000-100000</w:t>
                  </w:r>
                </w:p>
              </w:tc>
              <w:tc>
                <w:tcPr>
                  <w:tcW w:w="1558" w:type="dxa"/>
                  <w:noWrap w:val="0"/>
                  <w:vAlign w:val="top"/>
                </w:tcPr>
                <w:p w14:paraId="12CF13E1">
                  <w:pPr>
                    <w:spacing w:line="360" w:lineRule="auto"/>
                    <w:rPr>
                      <w:rFonts w:hint="eastAsia" w:hAnsi="宋体" w:cs="宋体"/>
                      <w:color w:val="auto"/>
                      <w:szCs w:val="24"/>
                    </w:rPr>
                  </w:pPr>
                  <w:r>
                    <w:rPr>
                      <w:rFonts w:hint="eastAsia" w:hAnsi="宋体" w:cs="宋体"/>
                      <w:color w:val="auto"/>
                      <w:szCs w:val="24"/>
                    </w:rPr>
                    <w:t>0.05%</w:t>
                  </w:r>
                </w:p>
              </w:tc>
              <w:tc>
                <w:tcPr>
                  <w:tcW w:w="1853" w:type="dxa"/>
                  <w:noWrap w:val="0"/>
                  <w:vAlign w:val="top"/>
                </w:tcPr>
                <w:p w14:paraId="76FCF698">
                  <w:pPr>
                    <w:spacing w:line="360" w:lineRule="auto"/>
                    <w:rPr>
                      <w:rFonts w:hint="eastAsia" w:hAnsi="宋体" w:cs="宋体"/>
                      <w:color w:val="auto"/>
                      <w:szCs w:val="24"/>
                    </w:rPr>
                  </w:pPr>
                  <w:r>
                    <w:rPr>
                      <w:rFonts w:hint="eastAsia" w:hAnsi="宋体" w:cs="宋体"/>
                      <w:color w:val="auto"/>
                      <w:szCs w:val="24"/>
                    </w:rPr>
                    <w:t>0.05%</w:t>
                  </w:r>
                </w:p>
              </w:tc>
              <w:tc>
                <w:tcPr>
                  <w:tcW w:w="1856" w:type="dxa"/>
                  <w:noWrap w:val="0"/>
                  <w:vAlign w:val="top"/>
                </w:tcPr>
                <w:p w14:paraId="301AFAB4">
                  <w:pPr>
                    <w:spacing w:line="360" w:lineRule="auto"/>
                    <w:rPr>
                      <w:rFonts w:hint="eastAsia" w:hAnsi="宋体" w:cs="宋体"/>
                      <w:color w:val="auto"/>
                      <w:szCs w:val="24"/>
                    </w:rPr>
                  </w:pPr>
                  <w:r>
                    <w:rPr>
                      <w:rFonts w:hint="eastAsia" w:hAnsi="宋体" w:cs="宋体"/>
                      <w:color w:val="auto"/>
                      <w:szCs w:val="24"/>
                    </w:rPr>
                    <w:t>0.05%</w:t>
                  </w:r>
                </w:p>
              </w:tc>
            </w:tr>
            <w:tr w14:paraId="0873B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2631" w:type="dxa"/>
                  <w:noWrap w:val="0"/>
                  <w:vAlign w:val="top"/>
                </w:tcPr>
                <w:p w14:paraId="50E6E94B">
                  <w:pPr>
                    <w:spacing w:line="360" w:lineRule="auto"/>
                    <w:rPr>
                      <w:rFonts w:hint="eastAsia" w:hAnsi="宋体" w:cs="宋体"/>
                      <w:color w:val="auto"/>
                      <w:szCs w:val="24"/>
                    </w:rPr>
                  </w:pPr>
                  <w:r>
                    <w:rPr>
                      <w:rFonts w:hint="eastAsia" w:hAnsi="宋体" w:cs="宋体"/>
                      <w:color w:val="auto"/>
                      <w:szCs w:val="24"/>
                    </w:rPr>
                    <w:t>1000000以上</w:t>
                  </w:r>
                </w:p>
              </w:tc>
              <w:tc>
                <w:tcPr>
                  <w:tcW w:w="1558" w:type="dxa"/>
                  <w:noWrap w:val="0"/>
                  <w:vAlign w:val="top"/>
                </w:tcPr>
                <w:p w14:paraId="0C2D7473">
                  <w:pPr>
                    <w:spacing w:line="360" w:lineRule="auto"/>
                    <w:rPr>
                      <w:rFonts w:hint="eastAsia" w:hAnsi="宋体" w:cs="宋体"/>
                      <w:color w:val="auto"/>
                      <w:szCs w:val="24"/>
                    </w:rPr>
                  </w:pPr>
                  <w:r>
                    <w:rPr>
                      <w:rFonts w:hint="eastAsia" w:hAnsi="宋体" w:cs="宋体"/>
                      <w:color w:val="auto"/>
                      <w:szCs w:val="24"/>
                    </w:rPr>
                    <w:t>0.01%</w:t>
                  </w:r>
                </w:p>
              </w:tc>
              <w:tc>
                <w:tcPr>
                  <w:tcW w:w="1853" w:type="dxa"/>
                  <w:noWrap w:val="0"/>
                  <w:vAlign w:val="top"/>
                </w:tcPr>
                <w:p w14:paraId="1A1C72FB">
                  <w:pPr>
                    <w:spacing w:line="360" w:lineRule="auto"/>
                    <w:rPr>
                      <w:rFonts w:hint="eastAsia" w:hAnsi="宋体" w:cs="宋体"/>
                      <w:color w:val="auto"/>
                      <w:szCs w:val="24"/>
                    </w:rPr>
                  </w:pPr>
                  <w:r>
                    <w:rPr>
                      <w:rFonts w:hint="eastAsia" w:hAnsi="宋体" w:cs="宋体"/>
                      <w:color w:val="auto"/>
                      <w:szCs w:val="24"/>
                    </w:rPr>
                    <w:t>0.01%</w:t>
                  </w:r>
                </w:p>
              </w:tc>
              <w:tc>
                <w:tcPr>
                  <w:tcW w:w="1856" w:type="dxa"/>
                  <w:noWrap w:val="0"/>
                  <w:vAlign w:val="top"/>
                </w:tcPr>
                <w:p w14:paraId="4E805982">
                  <w:pPr>
                    <w:spacing w:line="360" w:lineRule="auto"/>
                    <w:rPr>
                      <w:rFonts w:hint="eastAsia" w:hAnsi="宋体" w:cs="宋体"/>
                      <w:color w:val="auto"/>
                      <w:szCs w:val="24"/>
                    </w:rPr>
                  </w:pPr>
                  <w:r>
                    <w:rPr>
                      <w:rFonts w:hint="eastAsia" w:hAnsi="宋体" w:cs="宋体"/>
                      <w:color w:val="auto"/>
                      <w:szCs w:val="24"/>
                    </w:rPr>
                    <w:t>0.01%</w:t>
                  </w:r>
                </w:p>
              </w:tc>
            </w:tr>
          </w:tbl>
          <w:p w14:paraId="5313833E">
            <w:pPr>
              <w:spacing w:line="360" w:lineRule="auto"/>
              <w:rPr>
                <w:rFonts w:hint="eastAsia" w:hAnsi="宋体" w:cs="宋体"/>
                <w:color w:val="auto"/>
                <w:szCs w:val="24"/>
              </w:rPr>
            </w:pPr>
            <w:r>
              <w:rPr>
                <w:rFonts w:hint="eastAsia" w:hAnsi="宋体" w:cs="宋体"/>
                <w:color w:val="auto"/>
                <w:szCs w:val="24"/>
              </w:rPr>
              <w:t>例如：某服务招标成交金额为678.2万元，采购代理服务费计算如下：</w:t>
            </w:r>
          </w:p>
          <w:p w14:paraId="4B6D09B1">
            <w:pPr>
              <w:spacing w:line="360" w:lineRule="auto"/>
              <w:rPr>
                <w:rFonts w:hint="eastAsia" w:hAnsi="宋体" w:cs="宋体"/>
                <w:color w:val="auto"/>
                <w:szCs w:val="24"/>
              </w:rPr>
            </w:pPr>
            <w:r>
              <w:rPr>
                <w:rFonts w:hint="eastAsia" w:hAnsi="宋体" w:cs="宋体"/>
                <w:color w:val="auto"/>
                <w:szCs w:val="24"/>
              </w:rPr>
              <w:t xml:space="preserve">100万元*1.5%=1.50万元 </w:t>
            </w:r>
          </w:p>
          <w:p w14:paraId="0E789DBD">
            <w:pPr>
              <w:spacing w:line="360" w:lineRule="auto"/>
              <w:rPr>
                <w:rFonts w:hint="eastAsia" w:hAnsi="宋体" w:cs="宋体"/>
                <w:color w:val="auto"/>
                <w:szCs w:val="24"/>
              </w:rPr>
            </w:pPr>
            <w:r>
              <w:rPr>
                <w:rFonts w:hint="eastAsia" w:hAnsi="宋体" w:cs="宋体"/>
                <w:color w:val="auto"/>
                <w:szCs w:val="24"/>
              </w:rPr>
              <w:t>(500-100)*0.8%=3.20万元</w:t>
            </w:r>
          </w:p>
          <w:p w14:paraId="0A7F7E99">
            <w:pPr>
              <w:spacing w:line="360" w:lineRule="auto"/>
              <w:rPr>
                <w:rFonts w:hint="eastAsia" w:hAnsi="宋体" w:cs="宋体"/>
                <w:color w:val="auto"/>
                <w:szCs w:val="24"/>
              </w:rPr>
            </w:pPr>
            <w:r>
              <w:rPr>
                <w:rFonts w:hint="eastAsia" w:hAnsi="宋体" w:cs="宋体"/>
                <w:color w:val="auto"/>
                <w:szCs w:val="24"/>
              </w:rPr>
              <w:t>(678.2-500)*0.45%=0.8019万元</w:t>
            </w:r>
          </w:p>
          <w:p w14:paraId="0E47280E">
            <w:pPr>
              <w:spacing w:line="360" w:lineRule="auto"/>
              <w:rPr>
                <w:rFonts w:hint="eastAsia" w:hAnsi="宋体" w:cs="宋体"/>
                <w:color w:val="auto"/>
                <w:szCs w:val="24"/>
              </w:rPr>
            </w:pPr>
            <w:r>
              <w:rPr>
                <w:rFonts w:hint="eastAsia" w:hAnsi="宋体" w:cs="宋体"/>
                <w:color w:val="auto"/>
                <w:szCs w:val="24"/>
              </w:rPr>
              <w:t>服务费=1.50+3.20+0.8019=5.5019万元。</w:t>
            </w:r>
          </w:p>
          <w:p w14:paraId="07846070">
            <w:pPr>
              <w:spacing w:line="360" w:lineRule="auto"/>
              <w:rPr>
                <w:rFonts w:hint="eastAsia" w:ascii="宋体" w:hAnsi="宋体" w:cs="宋体"/>
                <w:color w:val="auto"/>
                <w:sz w:val="24"/>
                <w:szCs w:val="24"/>
              </w:rPr>
            </w:pPr>
            <w:r>
              <w:rPr>
                <w:rFonts w:hint="eastAsia" w:hAnsi="宋体" w:cs="宋体"/>
                <w:color w:val="auto"/>
                <w:szCs w:val="24"/>
              </w:rPr>
              <w:t>4、本项目项目属性：</w:t>
            </w:r>
            <w:r>
              <w:rPr>
                <w:rFonts w:hint="eastAsia" w:hAnsi="宋体" w:cs="宋体"/>
                <w:b/>
                <w:bCs/>
                <w:color w:val="auto"/>
                <w:szCs w:val="24"/>
                <w:lang w:eastAsia="zh-CN"/>
              </w:rPr>
              <w:t>服务</w:t>
            </w:r>
            <w:r>
              <w:rPr>
                <w:rFonts w:hint="eastAsia" w:hAnsi="宋体" w:cs="宋体"/>
                <w:b/>
                <w:bCs/>
                <w:color w:val="auto"/>
                <w:szCs w:val="24"/>
              </w:rPr>
              <w:t>招标。</w:t>
            </w:r>
          </w:p>
        </w:tc>
      </w:tr>
      <w:tr w14:paraId="61B33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4" w:hRule="atLeast"/>
          <w:jc w:val="center"/>
        </w:trPr>
        <w:tc>
          <w:tcPr>
            <w:tcW w:w="752" w:type="dxa"/>
            <w:noWrap w:val="0"/>
            <w:vAlign w:val="center"/>
          </w:tcPr>
          <w:p w14:paraId="667C074D">
            <w:pPr>
              <w:spacing w:line="360" w:lineRule="auto"/>
              <w:jc w:val="center"/>
              <w:rPr>
                <w:rFonts w:hint="eastAsia" w:ascii="宋体" w:hAnsi="宋体" w:eastAsia="宋体" w:cs="仿宋_GB2312"/>
                <w:color w:val="auto"/>
                <w:sz w:val="24"/>
                <w:szCs w:val="24"/>
                <w:lang w:eastAsia="zh-CN"/>
              </w:rPr>
            </w:pPr>
            <w:r>
              <w:rPr>
                <w:rFonts w:hint="eastAsia" w:hAnsi="宋体" w:cs="仿宋_GB2312"/>
                <w:color w:val="auto"/>
                <w:szCs w:val="24"/>
                <w:lang w:val="en-US" w:eastAsia="zh-CN"/>
              </w:rPr>
              <w:t>29</w:t>
            </w:r>
          </w:p>
        </w:tc>
        <w:tc>
          <w:tcPr>
            <w:tcW w:w="8303" w:type="dxa"/>
            <w:noWrap w:val="0"/>
            <w:vAlign w:val="center"/>
          </w:tcPr>
          <w:tbl>
            <w:tblPr>
              <w:tblStyle w:val="47"/>
              <w:tblpPr w:leftFromText="180" w:rightFromText="180" w:vertAnchor="page" w:horzAnchor="page" w:tblpX="1" w:tblpY="5546"/>
              <w:tblOverlap w:val="never"/>
              <w:tblW w:w="82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96"/>
              <w:gridCol w:w="1029"/>
              <w:gridCol w:w="927"/>
              <w:gridCol w:w="970"/>
              <w:gridCol w:w="993"/>
              <w:gridCol w:w="1235"/>
              <w:gridCol w:w="1015"/>
              <w:gridCol w:w="1455"/>
            </w:tblGrid>
            <w:tr w14:paraId="48890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jc w:val="center"/>
              </w:trPr>
              <w:tc>
                <w:tcPr>
                  <w:tcW w:w="8220" w:type="dxa"/>
                  <w:gridSpan w:val="8"/>
                  <w:tcBorders>
                    <w:top w:val="nil"/>
                    <w:left w:val="nil"/>
                    <w:bottom w:val="nil"/>
                    <w:right w:val="nil"/>
                  </w:tcBorders>
                  <w:noWrap/>
                  <w:vAlign w:val="center"/>
                </w:tcPr>
                <w:p w14:paraId="0DF6CB3F">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榆林市“政采贷”业务办理银行联系表</w:t>
                  </w:r>
                </w:p>
              </w:tc>
            </w:tr>
            <w:tr w14:paraId="0488C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596" w:type="dxa"/>
                  <w:tcBorders>
                    <w:top w:val="single" w:color="000000" w:sz="4" w:space="0"/>
                    <w:left w:val="single" w:color="000000" w:sz="4" w:space="0"/>
                    <w:bottom w:val="single" w:color="000000" w:sz="4" w:space="0"/>
                    <w:right w:val="single" w:color="000000" w:sz="4" w:space="0"/>
                  </w:tcBorders>
                  <w:noWrap/>
                  <w:vAlign w:val="center"/>
                </w:tcPr>
                <w:p w14:paraId="7C4C89A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序号</w:t>
                  </w:r>
                </w:p>
              </w:tc>
              <w:tc>
                <w:tcPr>
                  <w:tcW w:w="1029" w:type="dxa"/>
                  <w:tcBorders>
                    <w:top w:val="single" w:color="000000" w:sz="4" w:space="0"/>
                    <w:left w:val="single" w:color="000000" w:sz="4" w:space="0"/>
                    <w:bottom w:val="single" w:color="000000" w:sz="4" w:space="0"/>
                    <w:right w:val="single" w:color="000000" w:sz="4" w:space="0"/>
                  </w:tcBorders>
                  <w:noWrap/>
                  <w:vAlign w:val="center"/>
                </w:tcPr>
                <w:p w14:paraId="4A279CA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银行名称</w:t>
                  </w:r>
                </w:p>
              </w:tc>
              <w:tc>
                <w:tcPr>
                  <w:tcW w:w="927" w:type="dxa"/>
                  <w:tcBorders>
                    <w:top w:val="single" w:color="000000" w:sz="4" w:space="0"/>
                    <w:left w:val="single" w:color="000000" w:sz="4" w:space="0"/>
                    <w:bottom w:val="single" w:color="000000" w:sz="4" w:space="0"/>
                    <w:right w:val="single" w:color="000000" w:sz="4" w:space="0"/>
                  </w:tcBorders>
                  <w:noWrap/>
                  <w:vAlign w:val="center"/>
                </w:tcPr>
                <w:p w14:paraId="51AB724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产品名称</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0209F99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贷款额度</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794BAE3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贷款期限</w:t>
                  </w:r>
                </w:p>
              </w:tc>
              <w:tc>
                <w:tcPr>
                  <w:tcW w:w="1235" w:type="dxa"/>
                  <w:tcBorders>
                    <w:top w:val="single" w:color="000000" w:sz="4" w:space="0"/>
                    <w:left w:val="single" w:color="000000" w:sz="4" w:space="0"/>
                    <w:bottom w:val="single" w:color="000000" w:sz="4" w:space="0"/>
                    <w:right w:val="single" w:color="000000" w:sz="4" w:space="0"/>
                  </w:tcBorders>
                  <w:noWrap/>
                  <w:vAlign w:val="center"/>
                </w:tcPr>
                <w:p w14:paraId="1FF6C2A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贷款利率</w:t>
                  </w: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73B4B72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办理时效</w:t>
                  </w:r>
                </w:p>
              </w:tc>
              <w:tc>
                <w:tcPr>
                  <w:tcW w:w="1455" w:type="dxa"/>
                  <w:tcBorders>
                    <w:top w:val="single" w:color="000000" w:sz="4" w:space="0"/>
                    <w:left w:val="single" w:color="000000" w:sz="4" w:space="0"/>
                    <w:bottom w:val="single" w:color="000000" w:sz="4" w:space="0"/>
                    <w:right w:val="single" w:color="000000" w:sz="4" w:space="0"/>
                  </w:tcBorders>
                  <w:noWrap/>
                  <w:vAlign w:val="center"/>
                </w:tcPr>
                <w:p w14:paraId="428D413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联系人</w:t>
                  </w:r>
                </w:p>
              </w:tc>
            </w:tr>
            <w:tr w14:paraId="151B6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596" w:type="dxa"/>
                  <w:tcBorders>
                    <w:top w:val="single" w:color="000000" w:sz="4" w:space="0"/>
                    <w:left w:val="single" w:color="000000" w:sz="4" w:space="0"/>
                    <w:bottom w:val="single" w:color="000000" w:sz="4" w:space="0"/>
                    <w:right w:val="single" w:color="000000" w:sz="4" w:space="0"/>
                  </w:tcBorders>
                  <w:noWrap/>
                  <w:vAlign w:val="center"/>
                </w:tcPr>
                <w:p w14:paraId="13BA54B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1029" w:type="dxa"/>
                  <w:tcBorders>
                    <w:top w:val="single" w:color="000000" w:sz="4" w:space="0"/>
                    <w:left w:val="single" w:color="000000" w:sz="4" w:space="0"/>
                    <w:bottom w:val="single" w:color="000000" w:sz="4" w:space="0"/>
                    <w:right w:val="single" w:color="000000" w:sz="4" w:space="0"/>
                  </w:tcBorders>
                  <w:noWrap/>
                  <w:vAlign w:val="center"/>
                </w:tcPr>
                <w:p w14:paraId="73EDB91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长安银行</w:t>
                  </w:r>
                </w:p>
              </w:tc>
              <w:tc>
                <w:tcPr>
                  <w:tcW w:w="927" w:type="dxa"/>
                  <w:tcBorders>
                    <w:top w:val="single" w:color="000000" w:sz="4" w:space="0"/>
                    <w:left w:val="single" w:color="000000" w:sz="4" w:space="0"/>
                    <w:bottom w:val="single" w:color="000000" w:sz="4" w:space="0"/>
                    <w:right w:val="single" w:color="000000" w:sz="4" w:space="0"/>
                  </w:tcBorders>
                  <w:noWrap/>
                  <w:vAlign w:val="center"/>
                </w:tcPr>
                <w:p w14:paraId="06111F8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政采贷</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43593FC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1000万元</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2E657B5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1-3年</w:t>
                  </w:r>
                </w:p>
              </w:tc>
              <w:tc>
                <w:tcPr>
                  <w:tcW w:w="1235" w:type="dxa"/>
                  <w:tcBorders>
                    <w:top w:val="single" w:color="000000" w:sz="4" w:space="0"/>
                    <w:left w:val="single" w:color="000000" w:sz="4" w:space="0"/>
                    <w:bottom w:val="single" w:color="000000" w:sz="4" w:space="0"/>
                    <w:right w:val="single" w:color="000000" w:sz="4" w:space="0"/>
                  </w:tcBorders>
                  <w:noWrap/>
                  <w:vAlign w:val="center"/>
                </w:tcPr>
                <w:p w14:paraId="0C63E6E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3.45%</w:t>
                  </w: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0ADC35D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72小时</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14:paraId="011B12E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魏  众15109123951</w:t>
                  </w:r>
                </w:p>
              </w:tc>
            </w:tr>
            <w:tr w14:paraId="06BE2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596" w:type="dxa"/>
                  <w:tcBorders>
                    <w:top w:val="single" w:color="000000" w:sz="4" w:space="0"/>
                    <w:left w:val="single" w:color="000000" w:sz="4" w:space="0"/>
                    <w:bottom w:val="single" w:color="000000" w:sz="4" w:space="0"/>
                    <w:right w:val="single" w:color="000000" w:sz="4" w:space="0"/>
                  </w:tcBorders>
                  <w:noWrap/>
                  <w:vAlign w:val="center"/>
                </w:tcPr>
                <w:p w14:paraId="4B0BF3D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w:t>
                  </w:r>
                </w:p>
              </w:tc>
              <w:tc>
                <w:tcPr>
                  <w:tcW w:w="1029" w:type="dxa"/>
                  <w:tcBorders>
                    <w:top w:val="single" w:color="000000" w:sz="4" w:space="0"/>
                    <w:left w:val="single" w:color="000000" w:sz="4" w:space="0"/>
                    <w:bottom w:val="single" w:color="000000" w:sz="4" w:space="0"/>
                    <w:right w:val="single" w:color="000000" w:sz="4" w:space="0"/>
                  </w:tcBorders>
                  <w:noWrap/>
                  <w:vAlign w:val="center"/>
                </w:tcPr>
                <w:p w14:paraId="1CE9443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中信银行</w:t>
                  </w:r>
                </w:p>
              </w:tc>
              <w:tc>
                <w:tcPr>
                  <w:tcW w:w="927" w:type="dxa"/>
                  <w:tcBorders>
                    <w:top w:val="single" w:color="000000" w:sz="4" w:space="0"/>
                    <w:left w:val="single" w:color="000000" w:sz="4" w:space="0"/>
                    <w:bottom w:val="single" w:color="000000" w:sz="4" w:space="0"/>
                    <w:right w:val="single" w:color="000000" w:sz="4" w:space="0"/>
                  </w:tcBorders>
                  <w:noWrap/>
                  <w:vAlign w:val="center"/>
                </w:tcPr>
                <w:p w14:paraId="41567D7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政采E贷</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6436C20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1000万元</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5AC6AC6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1-3年</w:t>
                  </w:r>
                </w:p>
              </w:tc>
              <w:tc>
                <w:tcPr>
                  <w:tcW w:w="1235" w:type="dxa"/>
                  <w:tcBorders>
                    <w:top w:val="single" w:color="000000" w:sz="4" w:space="0"/>
                    <w:left w:val="single" w:color="000000" w:sz="4" w:space="0"/>
                    <w:bottom w:val="single" w:color="000000" w:sz="4" w:space="0"/>
                    <w:right w:val="single" w:color="000000" w:sz="4" w:space="0"/>
                  </w:tcBorders>
                  <w:noWrap/>
                  <w:vAlign w:val="center"/>
                </w:tcPr>
                <w:p w14:paraId="0DB98DC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3.45%起</w:t>
                  </w: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53D419C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24小时</w:t>
                  </w:r>
                </w:p>
              </w:tc>
              <w:tc>
                <w:tcPr>
                  <w:tcW w:w="1455" w:type="dxa"/>
                  <w:tcBorders>
                    <w:top w:val="single" w:color="000000" w:sz="4" w:space="0"/>
                    <w:left w:val="single" w:color="000000" w:sz="4" w:space="0"/>
                    <w:bottom w:val="single" w:color="000000" w:sz="4" w:space="0"/>
                    <w:right w:val="single" w:color="000000" w:sz="4" w:space="0"/>
                  </w:tcBorders>
                  <w:noWrap/>
                  <w:vAlign w:val="center"/>
                </w:tcPr>
                <w:p w14:paraId="47AA30C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李  靖15509125117</w:t>
                  </w:r>
                </w:p>
              </w:tc>
            </w:tr>
            <w:tr w14:paraId="68FAF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596" w:type="dxa"/>
                  <w:tcBorders>
                    <w:top w:val="single" w:color="000000" w:sz="4" w:space="0"/>
                    <w:left w:val="single" w:color="000000" w:sz="4" w:space="0"/>
                    <w:bottom w:val="single" w:color="000000" w:sz="4" w:space="0"/>
                    <w:right w:val="single" w:color="000000" w:sz="4" w:space="0"/>
                  </w:tcBorders>
                  <w:noWrap/>
                  <w:vAlign w:val="center"/>
                </w:tcPr>
                <w:p w14:paraId="4A4B7C6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w:t>
                  </w:r>
                </w:p>
              </w:tc>
              <w:tc>
                <w:tcPr>
                  <w:tcW w:w="1029" w:type="dxa"/>
                  <w:tcBorders>
                    <w:top w:val="single" w:color="000000" w:sz="4" w:space="0"/>
                    <w:left w:val="single" w:color="000000" w:sz="4" w:space="0"/>
                    <w:bottom w:val="single" w:color="000000" w:sz="4" w:space="0"/>
                    <w:right w:val="single" w:color="000000" w:sz="4" w:space="0"/>
                  </w:tcBorders>
                  <w:noWrap/>
                  <w:vAlign w:val="center"/>
                </w:tcPr>
                <w:p w14:paraId="20ADED9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光大银行</w:t>
                  </w:r>
                </w:p>
              </w:tc>
              <w:tc>
                <w:tcPr>
                  <w:tcW w:w="927" w:type="dxa"/>
                  <w:tcBorders>
                    <w:top w:val="single" w:color="000000" w:sz="4" w:space="0"/>
                    <w:left w:val="single" w:color="000000" w:sz="4" w:space="0"/>
                    <w:bottom w:val="single" w:color="000000" w:sz="4" w:space="0"/>
                    <w:right w:val="single" w:color="000000" w:sz="4" w:space="0"/>
                  </w:tcBorders>
                  <w:noWrap/>
                  <w:vAlign w:val="center"/>
                </w:tcPr>
                <w:p w14:paraId="43C1F40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政采贷</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696225A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1000万元</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0A36AFE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1-3年</w:t>
                  </w:r>
                </w:p>
              </w:tc>
              <w:tc>
                <w:tcPr>
                  <w:tcW w:w="1235" w:type="dxa"/>
                  <w:tcBorders>
                    <w:top w:val="single" w:color="000000" w:sz="4" w:space="0"/>
                    <w:left w:val="single" w:color="000000" w:sz="4" w:space="0"/>
                    <w:bottom w:val="single" w:color="000000" w:sz="4" w:space="0"/>
                    <w:right w:val="single" w:color="000000" w:sz="4" w:space="0"/>
                  </w:tcBorders>
                  <w:noWrap/>
                  <w:vAlign w:val="center"/>
                </w:tcPr>
                <w:p w14:paraId="551F789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3.45%</w:t>
                  </w: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24A420A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72小时</w:t>
                  </w:r>
                </w:p>
              </w:tc>
              <w:tc>
                <w:tcPr>
                  <w:tcW w:w="1455" w:type="dxa"/>
                  <w:tcBorders>
                    <w:top w:val="single" w:color="000000" w:sz="4" w:space="0"/>
                    <w:left w:val="single" w:color="000000" w:sz="4" w:space="0"/>
                    <w:bottom w:val="single" w:color="000000" w:sz="4" w:space="0"/>
                    <w:right w:val="single" w:color="000000" w:sz="4" w:space="0"/>
                  </w:tcBorders>
                  <w:noWrap/>
                  <w:vAlign w:val="center"/>
                </w:tcPr>
                <w:p w14:paraId="149A6F6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刘  波18809125468</w:t>
                  </w:r>
                </w:p>
              </w:tc>
            </w:tr>
            <w:tr w14:paraId="28B85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596" w:type="dxa"/>
                  <w:tcBorders>
                    <w:top w:val="single" w:color="000000" w:sz="4" w:space="0"/>
                    <w:left w:val="single" w:color="000000" w:sz="4" w:space="0"/>
                    <w:bottom w:val="single" w:color="000000" w:sz="4" w:space="0"/>
                    <w:right w:val="single" w:color="000000" w:sz="4" w:space="0"/>
                  </w:tcBorders>
                  <w:noWrap/>
                  <w:vAlign w:val="center"/>
                </w:tcPr>
                <w:p w14:paraId="7ACABAF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w:t>
                  </w:r>
                </w:p>
              </w:tc>
              <w:tc>
                <w:tcPr>
                  <w:tcW w:w="1029" w:type="dxa"/>
                  <w:tcBorders>
                    <w:top w:val="single" w:color="000000" w:sz="4" w:space="0"/>
                    <w:left w:val="single" w:color="000000" w:sz="4" w:space="0"/>
                    <w:bottom w:val="single" w:color="000000" w:sz="4" w:space="0"/>
                    <w:right w:val="single" w:color="000000" w:sz="4" w:space="0"/>
                  </w:tcBorders>
                  <w:noWrap/>
                  <w:vAlign w:val="center"/>
                </w:tcPr>
                <w:p w14:paraId="000245D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交通银行</w:t>
                  </w:r>
                </w:p>
              </w:tc>
              <w:tc>
                <w:tcPr>
                  <w:tcW w:w="927" w:type="dxa"/>
                  <w:tcBorders>
                    <w:top w:val="single" w:color="000000" w:sz="4" w:space="0"/>
                    <w:left w:val="single" w:color="000000" w:sz="4" w:space="0"/>
                    <w:bottom w:val="single" w:color="000000" w:sz="4" w:space="0"/>
                    <w:right w:val="single" w:color="000000" w:sz="4" w:space="0"/>
                  </w:tcBorders>
                  <w:noWrap/>
                  <w:vAlign w:val="center"/>
                </w:tcPr>
                <w:p w14:paraId="58D76BF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秦政贷</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6E114C5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1000万元</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087A457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1年</w:t>
                  </w:r>
                </w:p>
              </w:tc>
              <w:tc>
                <w:tcPr>
                  <w:tcW w:w="1235" w:type="dxa"/>
                  <w:tcBorders>
                    <w:top w:val="single" w:color="000000" w:sz="4" w:space="0"/>
                    <w:left w:val="single" w:color="000000" w:sz="4" w:space="0"/>
                    <w:bottom w:val="single" w:color="000000" w:sz="4" w:space="0"/>
                    <w:right w:val="single" w:color="000000" w:sz="4" w:space="0"/>
                  </w:tcBorders>
                  <w:noWrap/>
                  <w:vAlign w:val="center"/>
                </w:tcPr>
                <w:p w14:paraId="7CEAF83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3.45%</w:t>
                  </w: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62F196C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24小时</w:t>
                  </w:r>
                </w:p>
              </w:tc>
              <w:tc>
                <w:tcPr>
                  <w:tcW w:w="1455" w:type="dxa"/>
                  <w:tcBorders>
                    <w:top w:val="single" w:color="000000" w:sz="4" w:space="0"/>
                    <w:left w:val="single" w:color="000000" w:sz="4" w:space="0"/>
                    <w:bottom w:val="single" w:color="000000" w:sz="4" w:space="0"/>
                    <w:right w:val="single" w:color="000000" w:sz="4" w:space="0"/>
                  </w:tcBorders>
                  <w:noWrap/>
                  <w:vAlign w:val="center"/>
                </w:tcPr>
                <w:p w14:paraId="34CFA52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张  飞15291296886</w:t>
                  </w:r>
                </w:p>
              </w:tc>
            </w:tr>
            <w:tr w14:paraId="4EF96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596" w:type="dxa"/>
                  <w:tcBorders>
                    <w:top w:val="single" w:color="000000" w:sz="4" w:space="0"/>
                    <w:left w:val="single" w:color="000000" w:sz="4" w:space="0"/>
                    <w:bottom w:val="single" w:color="000000" w:sz="4" w:space="0"/>
                    <w:right w:val="single" w:color="000000" w:sz="4" w:space="0"/>
                  </w:tcBorders>
                  <w:noWrap/>
                  <w:vAlign w:val="center"/>
                </w:tcPr>
                <w:p w14:paraId="6447DF3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w:t>
                  </w:r>
                </w:p>
              </w:tc>
              <w:tc>
                <w:tcPr>
                  <w:tcW w:w="1029" w:type="dxa"/>
                  <w:tcBorders>
                    <w:top w:val="single" w:color="000000" w:sz="4" w:space="0"/>
                    <w:left w:val="single" w:color="000000" w:sz="4" w:space="0"/>
                    <w:bottom w:val="single" w:color="000000" w:sz="4" w:space="0"/>
                    <w:right w:val="single" w:color="000000" w:sz="4" w:space="0"/>
                  </w:tcBorders>
                  <w:noWrap/>
                  <w:vAlign w:val="center"/>
                </w:tcPr>
                <w:p w14:paraId="0AA0CCE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中国银行</w:t>
                  </w:r>
                </w:p>
              </w:tc>
              <w:tc>
                <w:tcPr>
                  <w:tcW w:w="927" w:type="dxa"/>
                  <w:tcBorders>
                    <w:top w:val="single" w:color="000000" w:sz="4" w:space="0"/>
                    <w:left w:val="single" w:color="000000" w:sz="4" w:space="0"/>
                    <w:bottom w:val="single" w:color="000000" w:sz="4" w:space="0"/>
                    <w:right w:val="single" w:color="000000" w:sz="4" w:space="0"/>
                  </w:tcBorders>
                  <w:noWrap/>
                  <w:vAlign w:val="center"/>
                </w:tcPr>
                <w:p w14:paraId="2D35453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政采贷</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12C8166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1000万元</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50A6B71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1-3年</w:t>
                  </w:r>
                </w:p>
              </w:tc>
              <w:tc>
                <w:tcPr>
                  <w:tcW w:w="1235" w:type="dxa"/>
                  <w:tcBorders>
                    <w:top w:val="single" w:color="000000" w:sz="4" w:space="0"/>
                    <w:left w:val="single" w:color="000000" w:sz="4" w:space="0"/>
                    <w:bottom w:val="single" w:color="000000" w:sz="4" w:space="0"/>
                    <w:right w:val="single" w:color="000000" w:sz="4" w:space="0"/>
                  </w:tcBorders>
                  <w:noWrap/>
                  <w:vAlign w:val="center"/>
                </w:tcPr>
                <w:p w14:paraId="2FB7F4A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3.45%</w:t>
                  </w: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0692D2A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72小时</w:t>
                  </w:r>
                </w:p>
              </w:tc>
              <w:tc>
                <w:tcPr>
                  <w:tcW w:w="1455" w:type="dxa"/>
                  <w:tcBorders>
                    <w:top w:val="single" w:color="000000" w:sz="4" w:space="0"/>
                    <w:left w:val="single" w:color="000000" w:sz="4" w:space="0"/>
                    <w:bottom w:val="single" w:color="000000" w:sz="4" w:space="0"/>
                    <w:right w:val="single" w:color="000000" w:sz="4" w:space="0"/>
                  </w:tcBorders>
                  <w:noWrap w:val="0"/>
                  <w:vAlign w:val="center"/>
                </w:tcPr>
                <w:p w14:paraId="0B82197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李  浩18691230007</w:t>
                  </w:r>
                </w:p>
              </w:tc>
            </w:tr>
            <w:tr w14:paraId="523D4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596" w:type="dxa"/>
                  <w:tcBorders>
                    <w:top w:val="single" w:color="000000" w:sz="4" w:space="0"/>
                    <w:left w:val="single" w:color="000000" w:sz="4" w:space="0"/>
                    <w:bottom w:val="single" w:color="000000" w:sz="4" w:space="0"/>
                    <w:right w:val="single" w:color="000000" w:sz="4" w:space="0"/>
                  </w:tcBorders>
                  <w:noWrap/>
                  <w:vAlign w:val="center"/>
                </w:tcPr>
                <w:p w14:paraId="683CD55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6</w:t>
                  </w:r>
                </w:p>
              </w:tc>
              <w:tc>
                <w:tcPr>
                  <w:tcW w:w="1029" w:type="dxa"/>
                  <w:tcBorders>
                    <w:top w:val="single" w:color="000000" w:sz="4" w:space="0"/>
                    <w:left w:val="single" w:color="000000" w:sz="4" w:space="0"/>
                    <w:bottom w:val="single" w:color="000000" w:sz="4" w:space="0"/>
                    <w:right w:val="single" w:color="000000" w:sz="4" w:space="0"/>
                  </w:tcBorders>
                  <w:noWrap/>
                  <w:vAlign w:val="center"/>
                </w:tcPr>
                <w:p w14:paraId="1EB6F24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招商银行</w:t>
                  </w:r>
                </w:p>
              </w:tc>
              <w:tc>
                <w:tcPr>
                  <w:tcW w:w="927" w:type="dxa"/>
                  <w:tcBorders>
                    <w:top w:val="single" w:color="000000" w:sz="4" w:space="0"/>
                    <w:left w:val="single" w:color="000000" w:sz="4" w:space="0"/>
                    <w:bottom w:val="single" w:color="000000" w:sz="4" w:space="0"/>
                    <w:right w:val="single" w:color="000000" w:sz="4" w:space="0"/>
                  </w:tcBorders>
                  <w:noWrap/>
                  <w:vAlign w:val="center"/>
                </w:tcPr>
                <w:p w14:paraId="2994F4E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政采贷</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7C495D3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3000万元</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276CCEF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1-3年</w:t>
                  </w:r>
                </w:p>
              </w:tc>
              <w:tc>
                <w:tcPr>
                  <w:tcW w:w="1235" w:type="dxa"/>
                  <w:tcBorders>
                    <w:top w:val="single" w:color="000000" w:sz="4" w:space="0"/>
                    <w:left w:val="single" w:color="000000" w:sz="4" w:space="0"/>
                    <w:bottom w:val="single" w:color="000000" w:sz="4" w:space="0"/>
                    <w:right w:val="single" w:color="000000" w:sz="4" w:space="0"/>
                  </w:tcBorders>
                  <w:noWrap/>
                  <w:vAlign w:val="center"/>
                </w:tcPr>
                <w:p w14:paraId="04B5F43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3.45%起</w:t>
                  </w: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2E30CFD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24小时</w:t>
                  </w:r>
                </w:p>
              </w:tc>
              <w:tc>
                <w:tcPr>
                  <w:tcW w:w="1455" w:type="dxa"/>
                  <w:tcBorders>
                    <w:top w:val="single" w:color="000000" w:sz="4" w:space="0"/>
                    <w:left w:val="single" w:color="000000" w:sz="4" w:space="0"/>
                    <w:bottom w:val="single" w:color="000000" w:sz="4" w:space="0"/>
                    <w:right w:val="single" w:color="000000" w:sz="4" w:space="0"/>
                  </w:tcBorders>
                  <w:noWrap/>
                  <w:vAlign w:val="center"/>
                </w:tcPr>
                <w:p w14:paraId="5E06C12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马  烨15596100007</w:t>
                  </w:r>
                </w:p>
              </w:tc>
            </w:tr>
            <w:tr w14:paraId="03171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596" w:type="dxa"/>
                  <w:tcBorders>
                    <w:top w:val="single" w:color="000000" w:sz="4" w:space="0"/>
                    <w:left w:val="single" w:color="000000" w:sz="4" w:space="0"/>
                    <w:bottom w:val="single" w:color="000000" w:sz="4" w:space="0"/>
                    <w:right w:val="single" w:color="000000" w:sz="4" w:space="0"/>
                  </w:tcBorders>
                  <w:noWrap/>
                  <w:vAlign w:val="center"/>
                </w:tcPr>
                <w:p w14:paraId="38D8D6F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7</w:t>
                  </w:r>
                </w:p>
              </w:tc>
              <w:tc>
                <w:tcPr>
                  <w:tcW w:w="1029" w:type="dxa"/>
                  <w:tcBorders>
                    <w:top w:val="single" w:color="000000" w:sz="4" w:space="0"/>
                    <w:left w:val="single" w:color="000000" w:sz="4" w:space="0"/>
                    <w:bottom w:val="single" w:color="000000" w:sz="4" w:space="0"/>
                    <w:right w:val="single" w:color="000000" w:sz="4" w:space="0"/>
                  </w:tcBorders>
                  <w:noWrap/>
                  <w:vAlign w:val="center"/>
                </w:tcPr>
                <w:p w14:paraId="0C2AB7B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浦发银行</w:t>
                  </w:r>
                </w:p>
              </w:tc>
              <w:tc>
                <w:tcPr>
                  <w:tcW w:w="927" w:type="dxa"/>
                  <w:tcBorders>
                    <w:top w:val="single" w:color="000000" w:sz="4" w:space="0"/>
                    <w:left w:val="single" w:color="000000" w:sz="4" w:space="0"/>
                    <w:bottom w:val="single" w:color="000000" w:sz="4" w:space="0"/>
                    <w:right w:val="single" w:color="000000" w:sz="4" w:space="0"/>
                  </w:tcBorders>
                  <w:noWrap/>
                  <w:vAlign w:val="center"/>
                </w:tcPr>
                <w:p w14:paraId="5D7615C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政采E贷</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6850B3B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2000万元</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0F70323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1年</w:t>
                  </w:r>
                </w:p>
              </w:tc>
              <w:tc>
                <w:tcPr>
                  <w:tcW w:w="1235" w:type="dxa"/>
                  <w:tcBorders>
                    <w:top w:val="single" w:color="000000" w:sz="4" w:space="0"/>
                    <w:left w:val="single" w:color="000000" w:sz="4" w:space="0"/>
                    <w:bottom w:val="single" w:color="000000" w:sz="4" w:space="0"/>
                    <w:right w:val="single" w:color="000000" w:sz="4" w:space="0"/>
                  </w:tcBorders>
                  <w:noWrap/>
                  <w:vAlign w:val="center"/>
                </w:tcPr>
                <w:p w14:paraId="7C2FB016">
                  <w:pPr>
                    <w:keepNext w:val="0"/>
                    <w:keepLines w:val="0"/>
                    <w:widowControl/>
                    <w:suppressLineNumbers w:val="0"/>
                    <w:jc w:val="center"/>
                    <w:textAlignment w:val="center"/>
                    <w:rPr>
                      <w:rFonts w:hint="eastAsia"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3.8%</w:t>
                  </w: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2F84115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72小时</w:t>
                  </w:r>
                </w:p>
              </w:tc>
              <w:tc>
                <w:tcPr>
                  <w:tcW w:w="1455" w:type="dxa"/>
                  <w:tcBorders>
                    <w:top w:val="single" w:color="000000" w:sz="4" w:space="0"/>
                    <w:left w:val="single" w:color="000000" w:sz="4" w:space="0"/>
                    <w:bottom w:val="single" w:color="000000" w:sz="4" w:space="0"/>
                    <w:right w:val="single" w:color="000000" w:sz="4" w:space="0"/>
                  </w:tcBorders>
                  <w:noWrap/>
                  <w:vAlign w:val="center"/>
                </w:tcPr>
                <w:p w14:paraId="4256EEA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朱  君15629169158</w:t>
                  </w:r>
                </w:p>
              </w:tc>
            </w:tr>
            <w:tr w14:paraId="3A313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596" w:type="dxa"/>
                  <w:tcBorders>
                    <w:top w:val="single" w:color="000000" w:sz="4" w:space="0"/>
                    <w:left w:val="single" w:color="000000" w:sz="4" w:space="0"/>
                    <w:bottom w:val="single" w:color="000000" w:sz="4" w:space="0"/>
                    <w:right w:val="single" w:color="000000" w:sz="4" w:space="0"/>
                  </w:tcBorders>
                  <w:noWrap/>
                  <w:vAlign w:val="center"/>
                </w:tcPr>
                <w:p w14:paraId="0E5FA63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8</w:t>
                  </w:r>
                </w:p>
              </w:tc>
              <w:tc>
                <w:tcPr>
                  <w:tcW w:w="1029" w:type="dxa"/>
                  <w:tcBorders>
                    <w:top w:val="single" w:color="000000" w:sz="4" w:space="0"/>
                    <w:left w:val="single" w:color="000000" w:sz="4" w:space="0"/>
                    <w:bottom w:val="single" w:color="000000" w:sz="4" w:space="0"/>
                    <w:right w:val="single" w:color="000000" w:sz="4" w:space="0"/>
                  </w:tcBorders>
                  <w:noWrap/>
                  <w:vAlign w:val="center"/>
                </w:tcPr>
                <w:p w14:paraId="0154766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农商银行</w:t>
                  </w:r>
                </w:p>
              </w:tc>
              <w:tc>
                <w:tcPr>
                  <w:tcW w:w="927" w:type="dxa"/>
                  <w:tcBorders>
                    <w:top w:val="single" w:color="000000" w:sz="4" w:space="0"/>
                    <w:left w:val="single" w:color="000000" w:sz="4" w:space="0"/>
                    <w:bottom w:val="single" w:color="000000" w:sz="4" w:space="0"/>
                    <w:right w:val="single" w:color="000000" w:sz="4" w:space="0"/>
                  </w:tcBorders>
                  <w:noWrap/>
                  <w:vAlign w:val="center"/>
                </w:tcPr>
                <w:p w14:paraId="62066A8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政采贷</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292EE6B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1000万元</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716F1E5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1-2年</w:t>
                  </w:r>
                </w:p>
              </w:tc>
              <w:tc>
                <w:tcPr>
                  <w:tcW w:w="1235" w:type="dxa"/>
                  <w:tcBorders>
                    <w:top w:val="single" w:color="000000" w:sz="4" w:space="0"/>
                    <w:left w:val="single" w:color="000000" w:sz="4" w:space="0"/>
                    <w:bottom w:val="single" w:color="000000" w:sz="4" w:space="0"/>
                    <w:right w:val="single" w:color="000000" w:sz="4" w:space="0"/>
                  </w:tcBorders>
                  <w:noWrap/>
                  <w:vAlign w:val="center"/>
                </w:tcPr>
                <w:p w14:paraId="17C3137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3.45%-5.8%</w:t>
                  </w: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39E4FE0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24小时</w:t>
                  </w:r>
                </w:p>
              </w:tc>
              <w:tc>
                <w:tcPr>
                  <w:tcW w:w="1455" w:type="dxa"/>
                  <w:tcBorders>
                    <w:top w:val="single" w:color="000000" w:sz="4" w:space="0"/>
                    <w:left w:val="single" w:color="000000" w:sz="4" w:space="0"/>
                    <w:bottom w:val="single" w:color="000000" w:sz="4" w:space="0"/>
                    <w:right w:val="single" w:color="000000" w:sz="4" w:space="0"/>
                  </w:tcBorders>
                  <w:noWrap/>
                  <w:vAlign w:val="center"/>
                </w:tcPr>
                <w:p w14:paraId="51BD1E5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王  璐15529875056</w:t>
                  </w:r>
                </w:p>
              </w:tc>
            </w:tr>
            <w:tr w14:paraId="176C1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596" w:type="dxa"/>
                  <w:tcBorders>
                    <w:top w:val="single" w:color="000000" w:sz="4" w:space="0"/>
                    <w:left w:val="single" w:color="000000" w:sz="4" w:space="0"/>
                    <w:bottom w:val="single" w:color="000000" w:sz="4" w:space="0"/>
                    <w:right w:val="single" w:color="000000" w:sz="4" w:space="0"/>
                  </w:tcBorders>
                  <w:noWrap/>
                  <w:vAlign w:val="center"/>
                </w:tcPr>
                <w:p w14:paraId="1014494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9</w:t>
                  </w:r>
                </w:p>
              </w:tc>
              <w:tc>
                <w:tcPr>
                  <w:tcW w:w="1029" w:type="dxa"/>
                  <w:tcBorders>
                    <w:top w:val="single" w:color="000000" w:sz="4" w:space="0"/>
                    <w:left w:val="single" w:color="000000" w:sz="4" w:space="0"/>
                    <w:bottom w:val="single" w:color="000000" w:sz="4" w:space="0"/>
                    <w:right w:val="single" w:color="000000" w:sz="4" w:space="0"/>
                  </w:tcBorders>
                  <w:noWrap/>
                  <w:vAlign w:val="center"/>
                </w:tcPr>
                <w:p w14:paraId="575FC84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农业银行</w:t>
                  </w:r>
                </w:p>
              </w:tc>
              <w:tc>
                <w:tcPr>
                  <w:tcW w:w="927" w:type="dxa"/>
                  <w:tcBorders>
                    <w:top w:val="single" w:color="000000" w:sz="4" w:space="0"/>
                    <w:left w:val="single" w:color="000000" w:sz="4" w:space="0"/>
                    <w:bottom w:val="single" w:color="000000" w:sz="4" w:space="0"/>
                    <w:right w:val="single" w:color="000000" w:sz="4" w:space="0"/>
                  </w:tcBorders>
                  <w:noWrap/>
                  <w:vAlign w:val="center"/>
                </w:tcPr>
                <w:p w14:paraId="7D6852B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政采贷</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1253023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3000万元</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17150D0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1年</w:t>
                  </w:r>
                </w:p>
              </w:tc>
              <w:tc>
                <w:tcPr>
                  <w:tcW w:w="1235" w:type="dxa"/>
                  <w:tcBorders>
                    <w:top w:val="single" w:color="000000" w:sz="4" w:space="0"/>
                    <w:left w:val="single" w:color="000000" w:sz="4" w:space="0"/>
                    <w:bottom w:val="single" w:color="000000" w:sz="4" w:space="0"/>
                    <w:right w:val="single" w:color="000000" w:sz="4" w:space="0"/>
                  </w:tcBorders>
                  <w:noWrap/>
                  <w:vAlign w:val="center"/>
                </w:tcPr>
                <w:p w14:paraId="18DC355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3.45%-3.85%</w:t>
                  </w: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7641227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24小时</w:t>
                  </w:r>
                </w:p>
              </w:tc>
              <w:tc>
                <w:tcPr>
                  <w:tcW w:w="1455" w:type="dxa"/>
                  <w:tcBorders>
                    <w:top w:val="single" w:color="000000" w:sz="4" w:space="0"/>
                    <w:left w:val="single" w:color="000000" w:sz="4" w:space="0"/>
                    <w:bottom w:val="single" w:color="000000" w:sz="4" w:space="0"/>
                    <w:right w:val="single" w:color="000000" w:sz="4" w:space="0"/>
                  </w:tcBorders>
                  <w:noWrap/>
                  <w:vAlign w:val="center"/>
                </w:tcPr>
                <w:p w14:paraId="72B48DA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杨  尧13325409313</w:t>
                  </w:r>
                </w:p>
              </w:tc>
            </w:tr>
            <w:tr w14:paraId="2FA3D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jc w:val="center"/>
              </w:trPr>
              <w:tc>
                <w:tcPr>
                  <w:tcW w:w="596" w:type="dxa"/>
                  <w:tcBorders>
                    <w:top w:val="single" w:color="000000" w:sz="4" w:space="0"/>
                    <w:left w:val="single" w:color="000000" w:sz="4" w:space="0"/>
                    <w:bottom w:val="single" w:color="000000" w:sz="4" w:space="0"/>
                    <w:right w:val="single" w:color="000000" w:sz="4" w:space="0"/>
                  </w:tcBorders>
                  <w:noWrap/>
                  <w:vAlign w:val="center"/>
                </w:tcPr>
                <w:p w14:paraId="168B3A1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10</w:t>
                  </w:r>
                </w:p>
              </w:tc>
              <w:tc>
                <w:tcPr>
                  <w:tcW w:w="1029" w:type="dxa"/>
                  <w:tcBorders>
                    <w:top w:val="single" w:color="000000" w:sz="4" w:space="0"/>
                    <w:left w:val="single" w:color="000000" w:sz="4" w:space="0"/>
                    <w:bottom w:val="single" w:color="000000" w:sz="4" w:space="0"/>
                    <w:right w:val="single" w:color="000000" w:sz="4" w:space="0"/>
                  </w:tcBorders>
                  <w:noWrap/>
                  <w:vAlign w:val="center"/>
                </w:tcPr>
                <w:p w14:paraId="3C34452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民生银行</w:t>
                  </w:r>
                </w:p>
              </w:tc>
              <w:tc>
                <w:tcPr>
                  <w:tcW w:w="927" w:type="dxa"/>
                  <w:tcBorders>
                    <w:top w:val="single" w:color="000000" w:sz="4" w:space="0"/>
                    <w:left w:val="single" w:color="000000" w:sz="4" w:space="0"/>
                    <w:bottom w:val="single" w:color="000000" w:sz="4" w:space="0"/>
                    <w:right w:val="single" w:color="000000" w:sz="4" w:space="0"/>
                  </w:tcBorders>
                  <w:noWrap/>
                  <w:vAlign w:val="center"/>
                </w:tcPr>
                <w:p w14:paraId="65D7FFF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政采E贷</w:t>
                  </w:r>
                </w:p>
              </w:tc>
              <w:tc>
                <w:tcPr>
                  <w:tcW w:w="970" w:type="dxa"/>
                  <w:tcBorders>
                    <w:top w:val="single" w:color="000000" w:sz="4" w:space="0"/>
                    <w:left w:val="single" w:color="000000" w:sz="4" w:space="0"/>
                    <w:bottom w:val="single" w:color="000000" w:sz="4" w:space="0"/>
                    <w:right w:val="single" w:color="000000" w:sz="4" w:space="0"/>
                  </w:tcBorders>
                  <w:noWrap/>
                  <w:vAlign w:val="center"/>
                </w:tcPr>
                <w:p w14:paraId="6A96B25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3000万元</w:t>
                  </w:r>
                </w:p>
              </w:tc>
              <w:tc>
                <w:tcPr>
                  <w:tcW w:w="993" w:type="dxa"/>
                  <w:tcBorders>
                    <w:top w:val="single" w:color="000000" w:sz="4" w:space="0"/>
                    <w:left w:val="single" w:color="000000" w:sz="4" w:space="0"/>
                    <w:bottom w:val="single" w:color="000000" w:sz="4" w:space="0"/>
                    <w:right w:val="single" w:color="000000" w:sz="4" w:space="0"/>
                  </w:tcBorders>
                  <w:noWrap/>
                  <w:vAlign w:val="center"/>
                </w:tcPr>
                <w:p w14:paraId="7A1B8FB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1年</w:t>
                  </w:r>
                </w:p>
              </w:tc>
              <w:tc>
                <w:tcPr>
                  <w:tcW w:w="1235" w:type="dxa"/>
                  <w:tcBorders>
                    <w:top w:val="single" w:color="000000" w:sz="4" w:space="0"/>
                    <w:left w:val="single" w:color="000000" w:sz="4" w:space="0"/>
                    <w:bottom w:val="single" w:color="000000" w:sz="4" w:space="0"/>
                    <w:right w:val="single" w:color="000000" w:sz="4" w:space="0"/>
                  </w:tcBorders>
                  <w:noWrap/>
                  <w:vAlign w:val="center"/>
                </w:tcPr>
                <w:p w14:paraId="1754D8A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3.45%起</w:t>
                  </w: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078649C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24小时</w:t>
                  </w:r>
                </w:p>
              </w:tc>
              <w:tc>
                <w:tcPr>
                  <w:tcW w:w="1455" w:type="dxa"/>
                  <w:tcBorders>
                    <w:top w:val="single" w:color="000000" w:sz="4" w:space="0"/>
                    <w:left w:val="single" w:color="000000" w:sz="4" w:space="0"/>
                    <w:bottom w:val="single" w:color="000000" w:sz="4" w:space="0"/>
                    <w:right w:val="single" w:color="000000" w:sz="4" w:space="0"/>
                  </w:tcBorders>
                  <w:noWrap/>
                  <w:vAlign w:val="center"/>
                </w:tcPr>
                <w:p w14:paraId="429A9C1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郝双双15991225850</w:t>
                  </w:r>
                </w:p>
              </w:tc>
            </w:tr>
          </w:tbl>
          <w:p w14:paraId="0B62CA5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国办《关于促进中小企业健康发展的指导意见》、财政部</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工信部《政府采购促进中小企业发展</w:t>
            </w:r>
            <w:r>
              <w:rPr>
                <w:rFonts w:hint="eastAsia" w:ascii="宋体" w:hAnsi="宋体" w:eastAsia="宋体" w:cs="宋体"/>
                <w:color w:val="auto"/>
                <w:sz w:val="24"/>
                <w:szCs w:val="24"/>
                <w:lang w:val="en-US" w:eastAsia="zh-CN"/>
              </w:rPr>
              <w:t>管理</w:t>
            </w:r>
            <w:r>
              <w:rPr>
                <w:rFonts w:hint="eastAsia" w:ascii="宋体" w:hAnsi="宋体" w:eastAsia="宋体" w:cs="宋体"/>
                <w:color w:val="auto"/>
                <w:sz w:val="24"/>
                <w:szCs w:val="24"/>
              </w:rPr>
              <w:t>办法》（财库〔20</w:t>
            </w: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46</w:t>
            </w:r>
            <w:r>
              <w:rPr>
                <w:rFonts w:hint="eastAsia" w:ascii="宋体" w:hAnsi="宋体" w:eastAsia="宋体" w:cs="宋体"/>
                <w:color w:val="auto"/>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《陕西省财政厅 中国人民银行西安分行关于深入推进政府采购信用融资业务的通知》</w:t>
            </w:r>
            <w:r>
              <w:rPr>
                <w:rFonts w:hint="eastAsia" w:ascii="宋体" w:hAnsi="宋体" w:eastAsia="宋体" w:cs="宋体"/>
                <w:color w:val="auto"/>
                <w:sz w:val="24"/>
                <w:szCs w:val="24"/>
              </w:rPr>
              <w:t>（陕财办采〔202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〕5号）等有关规定，按照</w:t>
            </w:r>
            <w:r>
              <w:rPr>
                <w:rFonts w:hint="eastAsia" w:ascii="宋体" w:hAnsi="宋体" w:eastAsia="宋体" w:cs="宋体"/>
                <w:color w:val="auto"/>
                <w:sz w:val="24"/>
                <w:szCs w:val="24"/>
                <w:lang w:val="en-US" w:eastAsia="zh-CN"/>
              </w:rPr>
              <w:t>政府</w:t>
            </w:r>
            <w:r>
              <w:rPr>
                <w:rFonts w:hint="eastAsia" w:ascii="宋体" w:hAnsi="宋体" w:eastAsia="宋体" w:cs="宋体"/>
                <w:color w:val="auto"/>
                <w:sz w:val="24"/>
                <w:szCs w:val="24"/>
              </w:rPr>
              <w:t>引导、</w:t>
            </w:r>
            <w:r>
              <w:rPr>
                <w:rFonts w:hint="eastAsia" w:ascii="宋体" w:hAnsi="宋体" w:eastAsia="宋体" w:cs="宋体"/>
                <w:color w:val="auto"/>
                <w:sz w:val="24"/>
                <w:szCs w:val="24"/>
                <w:lang w:val="en-US" w:eastAsia="zh-CN"/>
              </w:rPr>
              <w:t>市场运作、银企</w:t>
            </w:r>
            <w:r>
              <w:rPr>
                <w:rFonts w:hint="eastAsia" w:ascii="宋体" w:hAnsi="宋体" w:eastAsia="宋体" w:cs="宋体"/>
                <w:color w:val="auto"/>
                <w:sz w:val="24"/>
                <w:szCs w:val="24"/>
              </w:rPr>
              <w:t>自愿、风险自担的原则，中标（成交）供应商可根据自身资金需求，登录陕西省政府采购信用融资平台（http://www.ccgp-shaanxi.gov.cn/zcdservice/zcd/shanxi/）</w:t>
            </w:r>
            <w:r>
              <w:rPr>
                <w:rFonts w:hint="eastAsia" w:ascii="宋体" w:hAnsi="宋体" w:eastAsia="宋体" w:cs="宋体"/>
                <w:color w:val="auto"/>
                <w:sz w:val="24"/>
                <w:szCs w:val="24"/>
                <w:lang w:val="en-US" w:eastAsia="zh-CN"/>
              </w:rPr>
              <w:t>或中征平台（https://www.crcrfsp.com）</w:t>
            </w:r>
            <w:r>
              <w:rPr>
                <w:rFonts w:hint="eastAsia" w:ascii="宋体" w:hAnsi="宋体" w:eastAsia="宋体" w:cs="宋体"/>
                <w:color w:val="auto"/>
                <w:sz w:val="24"/>
                <w:szCs w:val="24"/>
              </w:rPr>
              <w:t>在线申请，依法参加政府采购信用融资活动。</w:t>
            </w:r>
          </w:p>
          <w:p w14:paraId="52BF52ED">
            <w:pPr>
              <w:spacing w:line="360" w:lineRule="auto"/>
              <w:rPr>
                <w:rFonts w:hint="eastAsia" w:ascii="宋体" w:hAnsi="宋体" w:cs="宋体"/>
                <w:color w:val="auto"/>
                <w:sz w:val="24"/>
                <w:szCs w:val="24"/>
              </w:rPr>
            </w:pPr>
            <w:r>
              <w:rPr>
                <w:rFonts w:hint="eastAsia" w:ascii="宋体" w:hAnsi="宋体" w:eastAsia="宋体" w:cs="宋体"/>
                <w:i w:val="0"/>
                <w:iCs w:val="0"/>
                <w:color w:val="auto"/>
                <w:kern w:val="0"/>
                <w:sz w:val="22"/>
                <w:szCs w:val="22"/>
                <w:u w:val="none"/>
                <w:lang w:val="en-US" w:eastAsia="zh-CN" w:bidi="ar"/>
              </w:rPr>
              <w:t>备注：银行排名不分先后。如产品额度、期限、利率等内容发生改变，以银行解释为准。</w:t>
            </w:r>
          </w:p>
        </w:tc>
      </w:tr>
      <w:tr w14:paraId="5808D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52" w:type="dxa"/>
            <w:noWrap w:val="0"/>
            <w:vAlign w:val="center"/>
          </w:tcPr>
          <w:p w14:paraId="4ADE567B">
            <w:pPr>
              <w:spacing w:line="360" w:lineRule="auto"/>
              <w:jc w:val="center"/>
              <w:rPr>
                <w:rFonts w:hint="default" w:ascii="宋体" w:hAnsi="宋体" w:eastAsia="宋体" w:cs="仿宋_GB2312"/>
                <w:color w:val="auto"/>
                <w:sz w:val="24"/>
                <w:szCs w:val="24"/>
                <w:lang w:val="en-US" w:eastAsia="zh-CN"/>
              </w:rPr>
            </w:pPr>
            <w:r>
              <w:rPr>
                <w:rFonts w:hint="eastAsia" w:hAnsi="宋体" w:cs="仿宋_GB2312"/>
                <w:color w:val="auto"/>
                <w:szCs w:val="24"/>
                <w:lang w:val="en-US" w:eastAsia="zh-CN"/>
              </w:rPr>
              <w:t>30</w:t>
            </w:r>
          </w:p>
        </w:tc>
        <w:tc>
          <w:tcPr>
            <w:tcW w:w="8303" w:type="dxa"/>
            <w:noWrap w:val="0"/>
            <w:vAlign w:val="center"/>
          </w:tcPr>
          <w:p w14:paraId="6C7DC592">
            <w:pPr>
              <w:pStyle w:val="66"/>
              <w:spacing w:line="360" w:lineRule="auto"/>
              <w:ind w:left="0" w:leftChars="0" w:firstLine="0" w:firstLineChars="0"/>
              <w:rPr>
                <w:rFonts w:hint="eastAsia" w:ascii="宋体" w:hAnsi="宋体" w:eastAsia="宋体" w:cs="宋体"/>
                <w:b/>
                <w:bCs/>
                <w:color w:val="auto"/>
                <w:kern w:val="2"/>
                <w:sz w:val="24"/>
                <w:szCs w:val="22"/>
                <w:highlight w:val="none"/>
                <w:lang w:val="en-US" w:eastAsia="zh-CN" w:bidi="ar-SA"/>
              </w:rPr>
            </w:pPr>
            <w:r>
              <w:rPr>
                <w:rFonts w:hint="eastAsia" w:ascii="宋体" w:hAnsi="宋体" w:eastAsia="宋体" w:cs="宋体"/>
                <w:b/>
                <w:bCs/>
                <w:color w:val="auto"/>
                <w:kern w:val="2"/>
                <w:sz w:val="24"/>
                <w:szCs w:val="22"/>
                <w:highlight w:val="none"/>
                <w:lang w:val="en-US" w:eastAsia="zh-CN" w:bidi="ar-SA"/>
              </w:rPr>
              <w:t>信用承诺公示要求：</w:t>
            </w:r>
          </w:p>
          <w:p w14:paraId="75B50C37">
            <w:pPr>
              <w:pStyle w:val="66"/>
              <w:spacing w:line="360" w:lineRule="auto"/>
              <w:ind w:firstLine="480" w:firstLineChars="200"/>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为深入贯彻信用体系建设的有关精神，根据市发改委《关于在工程招投标活动中推行信用监管试点示范工作的通知》（榆政发改发〔2020〕329号）和市财政局《关于在政府采购活动中使用信用记录和信用报告以及开展承诺工作的通知》（榆政财采函〔2020〕9号）在工程建设和政府采购领域全面推行信用公开承诺制，进入公共资源交易平台的各方交易主体，均应在“信用中国（陕西榆林）”网站进行注册、登陆，自主上报信用承诺书（网址：</w:t>
            </w:r>
            <w:r>
              <w:rPr>
                <w:rFonts w:hint="eastAsia" w:ascii="宋体" w:hAnsi="宋体" w:eastAsia="宋体" w:cs="宋体"/>
                <w:color w:val="auto"/>
                <w:kern w:val="2"/>
                <w:sz w:val="24"/>
                <w:szCs w:val="22"/>
                <w:highlight w:val="none"/>
                <w:lang w:val="en-US" w:eastAsia="zh-CN" w:bidi="ar-SA"/>
              </w:rPr>
              <w:fldChar w:fldCharType="begin"/>
            </w:r>
            <w:r>
              <w:rPr>
                <w:rFonts w:hint="eastAsia" w:ascii="宋体" w:hAnsi="宋体" w:eastAsia="宋体" w:cs="宋体"/>
                <w:color w:val="auto"/>
                <w:kern w:val="2"/>
                <w:sz w:val="24"/>
                <w:szCs w:val="22"/>
                <w:highlight w:val="none"/>
                <w:lang w:val="en-US" w:eastAsia="zh-CN" w:bidi="ar-SA"/>
              </w:rPr>
              <w:instrText xml:space="preserve"> HYPERLINK "https://credit.yl.gov.cn/），各相关交易主体注册、登陆后根据承诺事项选择相应的模板填写《信用承诺书》，并载明承诺事由，政府采购活动中，各方交易主体的承诺事由为\“公共资源交易平台的所有活动\”。" </w:instrText>
            </w:r>
            <w:r>
              <w:rPr>
                <w:rFonts w:hint="eastAsia" w:ascii="宋体" w:hAnsi="宋体" w:eastAsia="宋体" w:cs="宋体"/>
                <w:color w:val="auto"/>
                <w:kern w:val="2"/>
                <w:sz w:val="24"/>
                <w:szCs w:val="22"/>
                <w:highlight w:val="none"/>
                <w:lang w:val="en-US" w:eastAsia="zh-CN" w:bidi="ar-SA"/>
              </w:rPr>
              <w:fldChar w:fldCharType="separate"/>
            </w:r>
            <w:r>
              <w:rPr>
                <w:rFonts w:hint="eastAsia" w:ascii="宋体" w:hAnsi="宋体" w:eastAsia="宋体" w:cs="宋体"/>
                <w:color w:val="auto"/>
                <w:kern w:val="2"/>
                <w:sz w:val="24"/>
                <w:szCs w:val="22"/>
                <w:highlight w:val="none"/>
                <w:lang w:val="en-US" w:eastAsia="zh-CN" w:bidi="ar-SA"/>
              </w:rPr>
              <w:t>https://credit.yl.gov.cn/），各相关交易主体注册、登陆后根据承诺事项选择相应的模板填写《信用承诺书》，并载明承诺事由，政府采购活动中，各方交易主体的承诺事由为“公共资源交易平台的所有活动”。</w:t>
            </w:r>
            <w:r>
              <w:rPr>
                <w:rFonts w:hint="eastAsia" w:ascii="宋体" w:hAnsi="宋体" w:eastAsia="宋体" w:cs="宋体"/>
                <w:color w:val="auto"/>
                <w:kern w:val="2"/>
                <w:sz w:val="24"/>
                <w:szCs w:val="22"/>
                <w:highlight w:val="none"/>
                <w:lang w:val="en-US" w:eastAsia="zh-CN" w:bidi="ar-SA"/>
              </w:rPr>
              <w:fldChar w:fldCharType="end"/>
            </w:r>
          </w:p>
          <w:p w14:paraId="079A1B45">
            <w:pPr>
              <w:spacing w:line="360" w:lineRule="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附件：信用承诺上报操作指南</w:t>
            </w:r>
          </w:p>
          <w:p w14:paraId="188A6E03">
            <w:pPr>
              <w:spacing w:line="360" w:lineRule="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注:①法定代表人直接参与磋商的无须上报和提供《投标人委托代理人员信用承诺书》</w:t>
            </w:r>
          </w:p>
          <w:p w14:paraId="67F9E20F">
            <w:pPr>
              <w:spacing w:line="360" w:lineRule="auto"/>
              <w:rPr>
                <w:rFonts w:hint="eastAsia"/>
                <w:color w:val="auto"/>
                <w:spacing w:val="-1"/>
              </w:rPr>
            </w:pPr>
            <w:r>
              <w:rPr>
                <w:rFonts w:hint="eastAsia" w:ascii="宋体" w:hAnsi="宋体" w:eastAsia="宋体" w:cs="宋体"/>
                <w:color w:val="auto"/>
                <w:kern w:val="2"/>
                <w:sz w:val="24"/>
                <w:szCs w:val="22"/>
                <w:highlight w:val="none"/>
                <w:lang w:val="en-US" w:eastAsia="zh-CN" w:bidi="ar-SA"/>
              </w:rPr>
              <w:t>②)不见面开标结束后由采购代理机构通过平台进行核实查验,未在“信用中国(陕西榆林)”网站进行自主上报信用承诺或响应文件中所附内容与上报内容不符的将否决其磋商。</w:t>
            </w:r>
          </w:p>
        </w:tc>
      </w:tr>
      <w:tr w14:paraId="7789F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752" w:type="dxa"/>
            <w:noWrap w:val="0"/>
            <w:vAlign w:val="center"/>
          </w:tcPr>
          <w:p w14:paraId="5B07A8D2">
            <w:pPr>
              <w:spacing w:line="360" w:lineRule="auto"/>
              <w:jc w:val="center"/>
              <w:rPr>
                <w:rFonts w:hint="default" w:ascii="宋体" w:hAnsi="宋体" w:eastAsia="宋体" w:cs="仿宋_GB2312"/>
                <w:color w:val="auto"/>
                <w:sz w:val="24"/>
                <w:szCs w:val="24"/>
                <w:lang w:val="en-US" w:eastAsia="zh-CN"/>
              </w:rPr>
            </w:pPr>
            <w:r>
              <w:rPr>
                <w:rFonts w:hint="eastAsia" w:hAnsi="宋体" w:cs="仿宋_GB2312"/>
                <w:color w:val="auto"/>
                <w:szCs w:val="24"/>
                <w:lang w:val="en-US" w:eastAsia="zh-CN"/>
              </w:rPr>
              <w:t>31</w:t>
            </w:r>
          </w:p>
        </w:tc>
        <w:tc>
          <w:tcPr>
            <w:tcW w:w="8303" w:type="dxa"/>
            <w:noWrap w:val="0"/>
            <w:vAlign w:val="center"/>
          </w:tcPr>
          <w:p w14:paraId="191B2092">
            <w:pPr>
              <w:pStyle w:val="287"/>
              <w:spacing w:before="37" w:line="360" w:lineRule="auto"/>
              <w:ind w:left="116"/>
              <w:rPr>
                <w:rFonts w:hint="eastAsia" w:eastAsia="宋体"/>
                <w:b/>
                <w:bCs/>
                <w:color w:val="auto"/>
                <w:lang w:eastAsia="zh-CN"/>
              </w:rPr>
            </w:pPr>
            <w:r>
              <w:rPr>
                <w:b/>
                <w:bCs/>
                <w:color w:val="auto"/>
              </w:rPr>
              <w:t>各行业划分标准具体为</w:t>
            </w:r>
            <w:r>
              <w:rPr>
                <w:rFonts w:hint="eastAsia"/>
                <w:b/>
                <w:bCs/>
                <w:color w:val="auto"/>
                <w:lang w:eastAsia="zh-CN"/>
              </w:rPr>
              <w:t>：</w:t>
            </w:r>
          </w:p>
          <w:p w14:paraId="0BA132E0">
            <w:pPr>
              <w:adjustRightInd w:val="0"/>
              <w:snapToGrid w:val="0"/>
              <w:spacing w:line="360" w:lineRule="auto"/>
              <w:rPr>
                <w:rFonts w:hint="eastAsia" w:ascii="宋体" w:hAnsi="宋体" w:cs="宋体"/>
                <w:color w:val="auto"/>
                <w:sz w:val="24"/>
              </w:rPr>
            </w:pPr>
            <w:r>
              <w:rPr>
                <w:rFonts w:hint="eastAsia" w:ascii="宋体" w:hAnsi="宋体" w:cs="宋体"/>
                <w:b/>
                <w:bCs/>
                <w:color w:val="auto"/>
                <w:sz w:val="24"/>
              </w:rPr>
              <w:t>1、农、林、牧、渔业。</w:t>
            </w:r>
            <w:r>
              <w:rPr>
                <w:rFonts w:hint="eastAsia" w:ascii="宋体" w:hAnsi="宋体" w:cs="宋体"/>
                <w:color w:val="auto"/>
                <w:sz w:val="24"/>
              </w:rPr>
              <w:t>营业收入20000万元以下的为中小微型企业。其中，营业收入500万元及以上的为中型企业,营业收入50万元及以上的为小型企业，营业收入50万元以下的为微型企业。　　</w:t>
            </w:r>
          </w:p>
          <w:p w14:paraId="708C912E">
            <w:pPr>
              <w:adjustRightInd w:val="0"/>
              <w:snapToGrid w:val="0"/>
              <w:spacing w:line="360" w:lineRule="auto"/>
              <w:rPr>
                <w:rFonts w:hint="eastAsia" w:ascii="宋体" w:hAnsi="宋体" w:cs="宋体"/>
                <w:color w:val="auto"/>
                <w:sz w:val="24"/>
              </w:rPr>
            </w:pPr>
            <w:r>
              <w:rPr>
                <w:rFonts w:hint="eastAsia" w:ascii="宋体" w:hAnsi="宋体" w:cs="宋体"/>
                <w:b/>
                <w:bCs/>
                <w:color w:val="auto"/>
                <w:sz w:val="24"/>
              </w:rPr>
              <w:t>2、工业。</w:t>
            </w:r>
            <w:r>
              <w:rPr>
                <w:rFonts w:hint="eastAsia" w:ascii="宋体" w:hAnsi="宋体" w:cs="宋体"/>
                <w:color w:val="auto"/>
                <w:sz w:val="24"/>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14:paraId="65C624F8">
            <w:pPr>
              <w:adjustRightInd w:val="0"/>
              <w:snapToGrid w:val="0"/>
              <w:spacing w:line="360" w:lineRule="auto"/>
              <w:rPr>
                <w:rFonts w:hint="eastAsia" w:ascii="宋体" w:hAnsi="宋体" w:cs="宋体"/>
                <w:color w:val="auto"/>
                <w:sz w:val="24"/>
              </w:rPr>
            </w:pPr>
            <w:r>
              <w:rPr>
                <w:rFonts w:hint="eastAsia" w:ascii="宋体" w:hAnsi="宋体" w:cs="宋体"/>
                <w:b/>
                <w:bCs/>
                <w:color w:val="auto"/>
                <w:sz w:val="24"/>
              </w:rPr>
              <w:t>3、建筑业.</w:t>
            </w:r>
            <w:r>
              <w:rPr>
                <w:rFonts w:hint="eastAsia" w:ascii="宋体" w:hAnsi="宋体" w:cs="宋体"/>
                <w:color w:val="auto"/>
                <w:sz w:val="24"/>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14:paraId="231E6FC3">
            <w:pPr>
              <w:adjustRightInd w:val="0"/>
              <w:snapToGrid w:val="0"/>
              <w:spacing w:line="360" w:lineRule="auto"/>
              <w:rPr>
                <w:rFonts w:hint="eastAsia" w:ascii="宋体" w:hAnsi="宋体" w:cs="宋体"/>
                <w:color w:val="auto"/>
                <w:sz w:val="24"/>
              </w:rPr>
            </w:pPr>
            <w:r>
              <w:rPr>
                <w:rFonts w:hint="eastAsia" w:ascii="宋体" w:hAnsi="宋体" w:cs="宋体"/>
                <w:b/>
                <w:bCs/>
                <w:color w:val="auto"/>
                <w:sz w:val="24"/>
              </w:rPr>
              <w:t>4、批发业。</w:t>
            </w:r>
            <w:r>
              <w:rPr>
                <w:rFonts w:hint="eastAsia" w:ascii="宋体" w:hAnsi="宋体" w:cs="宋体"/>
                <w:color w:val="auto"/>
                <w:sz w:val="24"/>
              </w:rPr>
              <w:t>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14:paraId="18E8EFB3">
            <w:pPr>
              <w:adjustRightInd w:val="0"/>
              <w:snapToGrid w:val="0"/>
              <w:spacing w:line="360" w:lineRule="auto"/>
              <w:rPr>
                <w:rFonts w:hint="eastAsia" w:ascii="宋体" w:hAnsi="宋体" w:cs="宋体"/>
                <w:color w:val="auto"/>
                <w:sz w:val="24"/>
              </w:rPr>
            </w:pPr>
            <w:r>
              <w:rPr>
                <w:rFonts w:hint="eastAsia" w:ascii="宋体" w:hAnsi="宋体" w:cs="宋体"/>
                <w:b/>
                <w:bCs/>
                <w:color w:val="auto"/>
                <w:sz w:val="24"/>
              </w:rPr>
              <w:t>5、零售业。</w:t>
            </w:r>
            <w:r>
              <w:rPr>
                <w:rFonts w:hint="eastAsia" w:ascii="宋体" w:hAnsi="宋体" w:cs="宋体"/>
                <w:color w:val="auto"/>
                <w:sz w:val="24"/>
              </w:rPr>
              <w:t>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14:paraId="71203837">
            <w:pPr>
              <w:adjustRightInd w:val="0"/>
              <w:snapToGrid w:val="0"/>
              <w:spacing w:line="360" w:lineRule="auto"/>
              <w:rPr>
                <w:rFonts w:hint="eastAsia" w:ascii="宋体" w:hAnsi="宋体" w:cs="宋体"/>
                <w:color w:val="auto"/>
                <w:sz w:val="24"/>
              </w:rPr>
            </w:pPr>
            <w:r>
              <w:rPr>
                <w:rFonts w:hint="eastAsia" w:ascii="宋体" w:hAnsi="宋体" w:cs="宋体"/>
                <w:b/>
                <w:bCs/>
                <w:color w:val="auto"/>
                <w:sz w:val="24"/>
              </w:rPr>
              <w:t>6、交通运输业。</w:t>
            </w:r>
            <w:r>
              <w:rPr>
                <w:rFonts w:hint="eastAsia" w:ascii="宋体" w:hAnsi="宋体" w:cs="宋体"/>
                <w:color w:val="auto"/>
                <w:sz w:val="24"/>
              </w:rPr>
              <w:t>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14:paraId="7213F9EB">
            <w:pPr>
              <w:adjustRightInd w:val="0"/>
              <w:snapToGrid w:val="0"/>
              <w:spacing w:line="360" w:lineRule="auto"/>
              <w:rPr>
                <w:rFonts w:hint="eastAsia" w:ascii="宋体" w:hAnsi="宋体" w:cs="宋体"/>
                <w:color w:val="auto"/>
                <w:sz w:val="24"/>
              </w:rPr>
            </w:pPr>
            <w:r>
              <w:rPr>
                <w:rFonts w:hint="eastAsia" w:ascii="宋体" w:hAnsi="宋体" w:cs="宋体"/>
                <w:b/>
                <w:bCs/>
                <w:color w:val="auto"/>
                <w:sz w:val="24"/>
              </w:rPr>
              <w:t>7、仓储业。</w:t>
            </w:r>
            <w:r>
              <w:rPr>
                <w:rFonts w:hint="eastAsia" w:ascii="宋体" w:hAnsi="宋体" w:cs="宋体"/>
                <w:color w:val="auto"/>
                <w:sz w:val="24"/>
              </w:rPr>
              <w:t>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14:paraId="117ECBAE">
            <w:pPr>
              <w:adjustRightInd w:val="0"/>
              <w:snapToGrid w:val="0"/>
              <w:spacing w:line="360" w:lineRule="auto"/>
              <w:rPr>
                <w:rFonts w:hint="eastAsia" w:ascii="宋体" w:hAnsi="宋体" w:cs="宋体"/>
                <w:color w:val="auto"/>
                <w:sz w:val="24"/>
              </w:rPr>
            </w:pPr>
            <w:r>
              <w:rPr>
                <w:rFonts w:hint="eastAsia" w:ascii="宋体" w:hAnsi="宋体" w:cs="宋体"/>
                <w:b/>
                <w:bCs/>
                <w:color w:val="auto"/>
                <w:sz w:val="24"/>
              </w:rPr>
              <w:t>8、邮政业</w:t>
            </w:r>
            <w:r>
              <w:rPr>
                <w:rFonts w:hint="eastAsia" w:ascii="宋体" w:hAnsi="宋体" w:cs="宋体"/>
                <w:b/>
                <w:bCs/>
                <w:color w:val="auto"/>
                <w:sz w:val="24"/>
                <w:lang w:eastAsia="zh-CN"/>
              </w:rPr>
              <w:t>。</w:t>
            </w:r>
            <w:r>
              <w:rPr>
                <w:rFonts w:hint="eastAsia" w:ascii="宋体" w:hAnsi="宋体" w:cs="宋体"/>
                <w:color w:val="auto"/>
                <w:sz w:val="24"/>
              </w:rPr>
              <w:t>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4D2956C0">
            <w:pPr>
              <w:adjustRightInd w:val="0"/>
              <w:snapToGrid w:val="0"/>
              <w:spacing w:line="360" w:lineRule="auto"/>
              <w:rPr>
                <w:rFonts w:hint="eastAsia" w:ascii="宋体" w:hAnsi="宋体" w:cs="宋体"/>
                <w:color w:val="auto"/>
                <w:sz w:val="24"/>
              </w:rPr>
            </w:pPr>
            <w:r>
              <w:rPr>
                <w:rFonts w:hint="eastAsia" w:ascii="宋体" w:hAnsi="宋体" w:cs="宋体"/>
                <w:b/>
                <w:bCs/>
                <w:color w:val="auto"/>
                <w:sz w:val="24"/>
              </w:rPr>
              <w:t>9、住宿业</w:t>
            </w:r>
            <w:r>
              <w:rPr>
                <w:rFonts w:hint="eastAsia" w:ascii="宋体" w:hAnsi="宋体" w:cs="宋体"/>
                <w:b/>
                <w:bCs/>
                <w:color w:val="auto"/>
                <w:sz w:val="24"/>
                <w:lang w:eastAsia="zh-CN"/>
              </w:rPr>
              <w:t>。</w:t>
            </w:r>
            <w:r>
              <w:rPr>
                <w:rFonts w:hint="eastAsia" w:ascii="宋体" w:hAnsi="宋体" w:cs="宋体"/>
                <w:color w:val="auto"/>
                <w:sz w:val="24"/>
              </w:rPr>
              <w:t>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44B02F2F">
            <w:pPr>
              <w:adjustRightInd w:val="0"/>
              <w:snapToGrid w:val="0"/>
              <w:spacing w:line="360" w:lineRule="auto"/>
              <w:rPr>
                <w:rFonts w:hint="eastAsia" w:ascii="宋体" w:hAnsi="宋体" w:cs="宋体"/>
                <w:color w:val="auto"/>
                <w:sz w:val="24"/>
              </w:rPr>
            </w:pPr>
            <w:r>
              <w:rPr>
                <w:rFonts w:hint="eastAsia" w:ascii="宋体" w:hAnsi="宋体" w:cs="宋体"/>
                <w:b/>
                <w:bCs/>
                <w:color w:val="auto"/>
                <w:sz w:val="24"/>
              </w:rPr>
              <w:t>10、餐饮业。</w:t>
            </w:r>
            <w:r>
              <w:rPr>
                <w:rFonts w:hint="eastAsia" w:ascii="宋体" w:hAnsi="宋体" w:cs="宋体"/>
                <w:color w:val="auto"/>
                <w:sz w:val="24"/>
              </w:rPr>
              <w:t>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6852386C">
            <w:pPr>
              <w:adjustRightInd w:val="0"/>
              <w:snapToGrid w:val="0"/>
              <w:spacing w:line="360" w:lineRule="auto"/>
              <w:rPr>
                <w:rFonts w:hint="eastAsia" w:ascii="宋体" w:hAnsi="宋体" w:cs="宋体"/>
                <w:color w:val="auto"/>
                <w:sz w:val="24"/>
              </w:rPr>
            </w:pPr>
            <w:r>
              <w:rPr>
                <w:rFonts w:hint="eastAsia" w:ascii="宋体" w:hAnsi="宋体" w:cs="宋体"/>
                <w:b/>
                <w:bCs/>
                <w:color w:val="auto"/>
                <w:sz w:val="24"/>
              </w:rPr>
              <w:t>11、信息传输业。</w:t>
            </w:r>
            <w:r>
              <w:rPr>
                <w:rFonts w:hint="eastAsia" w:ascii="宋体" w:hAnsi="宋体" w:cs="宋体"/>
                <w:color w:val="auto"/>
                <w:sz w:val="24"/>
              </w:rPr>
              <w:t>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14:paraId="527E03D4">
            <w:pPr>
              <w:adjustRightInd w:val="0"/>
              <w:snapToGrid w:val="0"/>
              <w:spacing w:line="360" w:lineRule="auto"/>
              <w:rPr>
                <w:rFonts w:hint="eastAsia" w:ascii="宋体" w:hAnsi="宋体" w:cs="宋体"/>
                <w:color w:val="auto"/>
                <w:sz w:val="24"/>
              </w:rPr>
            </w:pPr>
            <w:r>
              <w:rPr>
                <w:rFonts w:hint="eastAsia" w:ascii="宋体" w:hAnsi="宋体" w:cs="宋体"/>
                <w:b/>
                <w:bCs/>
                <w:color w:val="auto"/>
                <w:sz w:val="24"/>
              </w:rPr>
              <w:t>12、软件和信息技术服务业。</w:t>
            </w:r>
            <w:r>
              <w:rPr>
                <w:rFonts w:hint="eastAsia" w:ascii="宋体" w:hAnsi="宋体" w:cs="宋体"/>
                <w:color w:val="auto"/>
                <w:sz w:val="24"/>
              </w:rPr>
              <w:t>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14:paraId="254919A0">
            <w:pPr>
              <w:adjustRightInd w:val="0"/>
              <w:snapToGrid w:val="0"/>
              <w:spacing w:line="360" w:lineRule="auto"/>
              <w:rPr>
                <w:rFonts w:hint="eastAsia" w:ascii="宋体" w:hAnsi="宋体" w:cs="宋体"/>
                <w:color w:val="auto"/>
                <w:sz w:val="24"/>
              </w:rPr>
            </w:pPr>
            <w:r>
              <w:rPr>
                <w:rFonts w:hint="eastAsia" w:ascii="宋体" w:hAnsi="宋体" w:cs="宋体"/>
                <w:b/>
                <w:bCs/>
                <w:color w:val="auto"/>
                <w:sz w:val="24"/>
              </w:rPr>
              <w:t>13、房地产开发经营。</w:t>
            </w:r>
            <w:r>
              <w:rPr>
                <w:rFonts w:hint="eastAsia" w:ascii="宋体" w:hAnsi="宋体" w:cs="宋体"/>
                <w:color w:val="auto"/>
                <w:sz w:val="24"/>
              </w:rPr>
              <w:t>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14:paraId="0832DA8D">
            <w:pPr>
              <w:adjustRightInd w:val="0"/>
              <w:snapToGrid w:val="0"/>
              <w:spacing w:line="360" w:lineRule="auto"/>
              <w:rPr>
                <w:rFonts w:hint="eastAsia" w:ascii="宋体" w:hAnsi="宋体" w:cs="宋体"/>
                <w:color w:val="auto"/>
                <w:sz w:val="24"/>
              </w:rPr>
            </w:pPr>
            <w:r>
              <w:rPr>
                <w:rFonts w:hint="eastAsia" w:ascii="宋体" w:hAnsi="宋体" w:cs="宋体"/>
                <w:b/>
                <w:bCs/>
                <w:color w:val="auto"/>
                <w:sz w:val="24"/>
              </w:rPr>
              <w:t>14、物业管理</w:t>
            </w:r>
            <w:r>
              <w:rPr>
                <w:rFonts w:hint="eastAsia" w:ascii="宋体" w:hAnsi="宋体" w:cs="宋体"/>
                <w:b/>
                <w:bCs/>
                <w:color w:val="auto"/>
                <w:sz w:val="24"/>
                <w:lang w:eastAsia="zh-CN"/>
              </w:rPr>
              <w:t>。</w:t>
            </w:r>
            <w:r>
              <w:rPr>
                <w:rFonts w:hint="eastAsia" w:ascii="宋体" w:hAnsi="宋体" w:cs="宋体"/>
                <w:color w:val="auto"/>
                <w:sz w:val="24"/>
              </w:rPr>
              <w:t>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14:paraId="19BB25D9">
            <w:pPr>
              <w:adjustRightInd w:val="0"/>
              <w:snapToGrid w:val="0"/>
              <w:spacing w:line="360" w:lineRule="auto"/>
              <w:rPr>
                <w:rFonts w:hint="eastAsia" w:ascii="宋体" w:hAnsi="宋体" w:cs="宋体"/>
                <w:color w:val="auto"/>
                <w:sz w:val="24"/>
              </w:rPr>
            </w:pPr>
            <w:r>
              <w:rPr>
                <w:rFonts w:hint="eastAsia" w:ascii="宋体" w:hAnsi="宋体" w:cs="宋体"/>
                <w:b/>
                <w:bCs/>
                <w:color w:val="auto"/>
                <w:sz w:val="24"/>
              </w:rPr>
              <w:t>15、租赁和商务服务业。</w:t>
            </w:r>
            <w:r>
              <w:rPr>
                <w:rFonts w:hint="eastAsia" w:ascii="宋体" w:hAnsi="宋体" w:cs="宋体"/>
                <w:color w:val="auto"/>
                <w:sz w:val="24"/>
              </w:rPr>
              <w:t>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1CAD60C9">
            <w:pPr>
              <w:spacing w:line="360" w:lineRule="auto"/>
              <w:rPr>
                <w:rFonts w:hint="eastAsia" w:ascii="宋体" w:hAnsi="宋体" w:cs="宋体"/>
                <w:color w:val="auto"/>
                <w:sz w:val="24"/>
                <w:szCs w:val="24"/>
              </w:rPr>
            </w:pPr>
            <w:r>
              <w:rPr>
                <w:rFonts w:hint="eastAsia" w:ascii="宋体" w:hAnsi="宋体" w:cs="宋体"/>
                <w:b/>
                <w:bCs/>
                <w:color w:val="auto"/>
                <w:sz w:val="24"/>
              </w:rPr>
              <w:t>16、其他未列明行业</w:t>
            </w:r>
            <w:r>
              <w:rPr>
                <w:rFonts w:hint="eastAsia" w:ascii="宋体" w:hAnsi="宋体" w:cs="宋体"/>
                <w:color w:val="auto"/>
                <w:sz w:val="24"/>
                <w:lang w:eastAsia="zh-CN"/>
              </w:rPr>
              <w:t>。</w:t>
            </w:r>
            <w:r>
              <w:rPr>
                <w:rFonts w:hint="eastAsia" w:ascii="宋体" w:hAnsi="宋体" w:cs="宋体"/>
                <w:color w:val="auto"/>
                <w:sz w:val="24"/>
              </w:rPr>
              <w:t>从业人员300人以下的为中小微型企业。其中，从业人员100人及以上的为中型企业;从业人员10人及以上的为小型企业；从业人员10人以下的为微型企业。</w:t>
            </w:r>
          </w:p>
        </w:tc>
      </w:tr>
      <w:tr w14:paraId="1FBCF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752" w:type="dxa"/>
            <w:noWrap w:val="0"/>
            <w:vAlign w:val="center"/>
          </w:tcPr>
          <w:p w14:paraId="55451B30">
            <w:pPr>
              <w:spacing w:line="360" w:lineRule="auto"/>
              <w:jc w:val="center"/>
              <w:rPr>
                <w:rFonts w:hint="default" w:hAnsi="宋体" w:cs="仿宋_GB2312"/>
                <w:color w:val="auto"/>
                <w:sz w:val="24"/>
                <w:szCs w:val="24"/>
                <w:lang w:val="en-US" w:eastAsia="zh-CN"/>
              </w:rPr>
            </w:pPr>
            <w:r>
              <w:rPr>
                <w:rFonts w:hint="eastAsia" w:hAnsi="宋体" w:cs="仿宋_GB2312"/>
                <w:color w:val="auto"/>
                <w:szCs w:val="24"/>
                <w:lang w:val="en-US" w:eastAsia="zh-CN"/>
              </w:rPr>
              <w:t>32</w:t>
            </w:r>
          </w:p>
        </w:tc>
        <w:tc>
          <w:tcPr>
            <w:tcW w:w="8303" w:type="dxa"/>
            <w:noWrap w:val="0"/>
            <w:vAlign w:val="center"/>
          </w:tcPr>
          <w:p w14:paraId="272F0FFB">
            <w:pPr>
              <w:spacing w:line="360" w:lineRule="auto"/>
              <w:rPr>
                <w:rFonts w:hint="default" w:ascii="宋体" w:hAnsi="宋体" w:eastAsia="宋体" w:cs="宋体"/>
                <w:color w:val="auto"/>
                <w:kern w:val="0"/>
                <w:sz w:val="24"/>
                <w:szCs w:val="24"/>
                <w:lang w:val="en-US" w:eastAsia="zh-CN" w:bidi="ar"/>
              </w:rPr>
            </w:pPr>
            <w:r>
              <w:rPr>
                <w:rFonts w:hint="eastAsia" w:hAnsi="宋体" w:eastAsia="宋体" w:cs="宋体"/>
                <w:b w:val="0"/>
                <w:bCs w:val="0"/>
                <w:color w:val="auto"/>
                <w:szCs w:val="24"/>
                <w:lang w:eastAsia="zh-CN" w:bidi="ar"/>
              </w:rPr>
              <w:t>本项目所属行业：</w:t>
            </w:r>
            <w:r>
              <w:rPr>
                <w:rFonts w:hint="eastAsia" w:hAnsi="宋体" w:cs="宋体"/>
                <w:b/>
                <w:bCs/>
                <w:sz w:val="24"/>
                <w:lang w:val="en-US" w:eastAsia="zh-CN"/>
              </w:rPr>
              <w:t>商务服务业</w:t>
            </w:r>
          </w:p>
        </w:tc>
      </w:tr>
    </w:tbl>
    <w:p w14:paraId="0382B9C7">
      <w:pPr>
        <w:pageBreakBefore w:val="0"/>
        <w:kinsoku/>
        <w:wordWrap/>
        <w:overflowPunct/>
        <w:topLinePunct w:val="0"/>
        <w:autoSpaceDE/>
        <w:autoSpaceDN/>
        <w:bidi w:val="0"/>
        <w:spacing w:line="360" w:lineRule="auto"/>
        <w:ind w:firstLine="321" w:firstLineChars="100"/>
        <w:jc w:val="center"/>
        <w:textAlignment w:val="auto"/>
        <w:rPr>
          <w:rFonts w:hint="eastAsia" w:hAnsi="宋体"/>
          <w:color w:val="auto"/>
          <w:sz w:val="32"/>
          <w:szCs w:val="32"/>
        </w:rPr>
      </w:pPr>
      <w:r>
        <w:rPr>
          <w:rFonts w:hint="eastAsia" w:hAnsi="宋体"/>
          <w:b/>
          <w:color w:val="auto"/>
          <w:sz w:val="32"/>
          <w:szCs w:val="32"/>
        </w:rPr>
        <w:t>一.总  则</w:t>
      </w:r>
      <w:bookmarkEnd w:id="23"/>
      <w:bookmarkEnd w:id="24"/>
      <w:bookmarkEnd w:id="25"/>
    </w:p>
    <w:p w14:paraId="48296D50">
      <w:pPr>
        <w:spacing w:line="360" w:lineRule="auto"/>
        <w:rPr>
          <w:rFonts w:hAnsi="宋体"/>
          <w:b/>
          <w:color w:val="auto"/>
          <w:szCs w:val="24"/>
        </w:rPr>
      </w:pPr>
      <w:r>
        <w:rPr>
          <w:rFonts w:hAnsi="宋体"/>
          <w:b/>
          <w:color w:val="auto"/>
          <w:szCs w:val="24"/>
        </w:rPr>
        <w:t>1.资金来源</w:t>
      </w:r>
    </w:p>
    <w:p w14:paraId="5B2CBA83">
      <w:pPr>
        <w:spacing w:line="360" w:lineRule="auto"/>
        <w:ind w:firstLine="480" w:firstLineChars="200"/>
        <w:rPr>
          <w:rFonts w:hAnsi="宋体"/>
          <w:color w:val="auto"/>
          <w:szCs w:val="24"/>
        </w:rPr>
      </w:pPr>
      <w:r>
        <w:rPr>
          <w:rFonts w:hAnsi="宋体"/>
          <w:color w:val="auto"/>
          <w:szCs w:val="24"/>
        </w:rPr>
        <w:t>1.1本次</w:t>
      </w:r>
      <w:r>
        <w:rPr>
          <w:rFonts w:hint="eastAsia" w:hAnsi="宋体"/>
          <w:color w:val="auto"/>
          <w:szCs w:val="24"/>
        </w:rPr>
        <w:t>竞争性磋商</w:t>
      </w:r>
      <w:r>
        <w:rPr>
          <w:rFonts w:hAnsi="宋体"/>
          <w:color w:val="auto"/>
          <w:szCs w:val="24"/>
        </w:rPr>
        <w:t>所签合同使用</w:t>
      </w:r>
      <w:r>
        <w:rPr>
          <w:rFonts w:hint="eastAsia" w:hAnsi="宋体"/>
          <w:color w:val="auto"/>
          <w:szCs w:val="24"/>
        </w:rPr>
        <w:t>财政资金</w:t>
      </w:r>
      <w:r>
        <w:rPr>
          <w:rFonts w:hAnsi="宋体"/>
          <w:color w:val="auto"/>
          <w:szCs w:val="24"/>
        </w:rPr>
        <w:t>支付，资金已落实到位。</w:t>
      </w:r>
    </w:p>
    <w:p w14:paraId="178B7DA5">
      <w:pPr>
        <w:numPr>
          <w:ilvl w:val="0"/>
          <w:numId w:val="9"/>
        </w:numPr>
        <w:spacing w:line="360" w:lineRule="auto"/>
        <w:rPr>
          <w:rFonts w:hint="eastAsia" w:hAnsi="宋体"/>
          <w:b/>
          <w:color w:val="auto"/>
          <w:szCs w:val="24"/>
        </w:rPr>
      </w:pPr>
      <w:bookmarkStart w:id="28" w:name="_Toc403077640"/>
      <w:bookmarkStart w:id="29" w:name="_Toc363473973"/>
      <w:bookmarkStart w:id="30" w:name="_Toc363474018"/>
      <w:r>
        <w:rPr>
          <w:rFonts w:hint="eastAsia" w:hAnsi="宋体"/>
          <w:b/>
          <w:color w:val="auto"/>
          <w:szCs w:val="24"/>
        </w:rPr>
        <w:t>名词解释</w:t>
      </w:r>
    </w:p>
    <w:p w14:paraId="1EBE2BE1">
      <w:pPr>
        <w:tabs>
          <w:tab w:val="left" w:pos="7665"/>
        </w:tabs>
        <w:spacing w:line="360" w:lineRule="auto"/>
        <w:ind w:firstLine="480" w:firstLineChars="200"/>
        <w:rPr>
          <w:rFonts w:hint="eastAsia" w:eastAsia="宋体"/>
          <w:color w:val="auto"/>
          <w:lang w:eastAsia="zh-CN"/>
        </w:rPr>
      </w:pPr>
      <w:r>
        <w:rPr>
          <w:color w:val="auto"/>
        </w:rPr>
        <w:t>2.1采购人：</w:t>
      </w:r>
      <w:r>
        <w:rPr>
          <w:rFonts w:hint="eastAsia"/>
          <w:color w:val="auto"/>
          <w:lang w:eastAsia="zh-CN"/>
        </w:rPr>
        <w:t>榆林市商务局</w:t>
      </w:r>
    </w:p>
    <w:p w14:paraId="32A40EA7">
      <w:pPr>
        <w:tabs>
          <w:tab w:val="left" w:pos="7665"/>
        </w:tabs>
        <w:spacing w:line="360" w:lineRule="auto"/>
        <w:ind w:firstLine="480" w:firstLineChars="200"/>
        <w:rPr>
          <w:rFonts w:hint="eastAsia"/>
          <w:color w:val="auto"/>
        </w:rPr>
      </w:pPr>
      <w:r>
        <w:rPr>
          <w:color w:val="auto"/>
        </w:rPr>
        <w:t>2.2监督机构：</w:t>
      </w:r>
      <w:r>
        <w:rPr>
          <w:rFonts w:hint="eastAsia"/>
          <w:color w:val="auto"/>
          <w:lang w:val="en-US" w:eastAsia="zh-CN"/>
        </w:rPr>
        <w:t>榆林市财政局</w:t>
      </w:r>
    </w:p>
    <w:p w14:paraId="3331ED12">
      <w:pPr>
        <w:tabs>
          <w:tab w:val="left" w:pos="7665"/>
        </w:tabs>
        <w:spacing w:line="360" w:lineRule="auto"/>
        <w:ind w:firstLine="480" w:firstLineChars="200"/>
        <w:rPr>
          <w:rFonts w:hint="eastAsia"/>
          <w:color w:val="auto"/>
        </w:rPr>
      </w:pPr>
      <w:r>
        <w:rPr>
          <w:color w:val="auto"/>
        </w:rPr>
        <w:t>2.3采购代理机构：</w:t>
      </w:r>
      <w:r>
        <w:rPr>
          <w:rFonts w:hint="eastAsia"/>
          <w:color w:val="auto"/>
        </w:rPr>
        <w:t>榆林市恒易达工程项目管理有限公司</w:t>
      </w:r>
    </w:p>
    <w:p w14:paraId="1D420ADA">
      <w:pPr>
        <w:tabs>
          <w:tab w:val="left" w:pos="7665"/>
        </w:tabs>
        <w:spacing w:line="360" w:lineRule="auto"/>
        <w:ind w:firstLine="480" w:firstLineChars="200"/>
        <w:rPr>
          <w:color w:val="auto"/>
        </w:rPr>
      </w:pPr>
      <w:r>
        <w:rPr>
          <w:color w:val="auto"/>
        </w:rPr>
        <w:t>2.4</w:t>
      </w:r>
      <w:r>
        <w:rPr>
          <w:rFonts w:hint="eastAsia"/>
          <w:color w:val="auto"/>
        </w:rPr>
        <w:t>供应商</w:t>
      </w:r>
      <w:r>
        <w:rPr>
          <w:color w:val="auto"/>
        </w:rPr>
        <w:t>：是指响应和符合</w:t>
      </w:r>
      <w:r>
        <w:rPr>
          <w:rFonts w:hint="eastAsia"/>
          <w:color w:val="auto"/>
        </w:rPr>
        <w:t>竞争性磋商</w:t>
      </w:r>
      <w:r>
        <w:rPr>
          <w:color w:val="auto"/>
        </w:rPr>
        <w:t>文件规定资格条件且参与竞争</w:t>
      </w:r>
      <w:r>
        <w:rPr>
          <w:rFonts w:hint="eastAsia"/>
          <w:color w:val="auto"/>
        </w:rPr>
        <w:t>性磋商</w:t>
      </w:r>
      <w:r>
        <w:rPr>
          <w:color w:val="auto"/>
        </w:rPr>
        <w:t>的法人</w:t>
      </w:r>
      <w:r>
        <w:rPr>
          <w:rFonts w:hint="eastAsia"/>
          <w:color w:val="auto"/>
        </w:rPr>
        <w:t>、</w:t>
      </w:r>
      <w:r>
        <w:rPr>
          <w:rFonts w:hint="eastAsia" w:hAnsi="宋体" w:cs="宋体"/>
          <w:color w:val="auto"/>
        </w:rPr>
        <w:t>其他组织或者自然人。</w:t>
      </w:r>
    </w:p>
    <w:p w14:paraId="2AA096BC">
      <w:pPr>
        <w:adjustRightInd w:val="0"/>
        <w:snapToGrid w:val="0"/>
        <w:spacing w:line="360" w:lineRule="auto"/>
        <w:ind w:firstLine="480" w:firstLineChars="200"/>
        <w:rPr>
          <w:color w:val="auto"/>
        </w:rPr>
      </w:pPr>
      <w:r>
        <w:rPr>
          <w:color w:val="auto"/>
        </w:rPr>
        <w:t>2.5产品是指本竞争</w:t>
      </w:r>
      <w:r>
        <w:rPr>
          <w:rFonts w:hint="eastAsia"/>
          <w:color w:val="auto"/>
        </w:rPr>
        <w:t>性磋商</w:t>
      </w:r>
      <w:r>
        <w:rPr>
          <w:color w:val="auto"/>
        </w:rPr>
        <w:t>文件中第四章所述所有产品</w:t>
      </w:r>
      <w:r>
        <w:rPr>
          <w:rFonts w:hint="eastAsia"/>
          <w:color w:val="auto"/>
        </w:rPr>
        <w:t>。</w:t>
      </w:r>
    </w:p>
    <w:p w14:paraId="42354757">
      <w:pPr>
        <w:adjustRightInd w:val="0"/>
        <w:snapToGrid w:val="0"/>
        <w:spacing w:line="360" w:lineRule="auto"/>
        <w:ind w:firstLine="480" w:firstLineChars="200"/>
        <w:rPr>
          <w:color w:val="auto"/>
        </w:rPr>
      </w:pPr>
      <w:r>
        <w:rPr>
          <w:color w:val="auto"/>
        </w:rPr>
        <w:t>2.6服务是指供应商为满足竞争</w:t>
      </w:r>
      <w:r>
        <w:rPr>
          <w:rFonts w:hint="eastAsia"/>
          <w:color w:val="auto"/>
        </w:rPr>
        <w:t>性磋商</w:t>
      </w:r>
      <w:r>
        <w:rPr>
          <w:color w:val="auto"/>
        </w:rPr>
        <w:t>文件要求而提供的服务</w:t>
      </w:r>
      <w:r>
        <w:rPr>
          <w:rFonts w:hint="eastAsia"/>
          <w:color w:val="auto"/>
        </w:rPr>
        <w:t>。</w:t>
      </w:r>
    </w:p>
    <w:p w14:paraId="78D94711">
      <w:pPr>
        <w:adjustRightInd w:val="0"/>
        <w:snapToGrid w:val="0"/>
        <w:spacing w:line="360" w:lineRule="auto"/>
        <w:ind w:firstLine="480" w:firstLineChars="200"/>
        <w:rPr>
          <w:color w:val="auto"/>
        </w:rPr>
      </w:pPr>
      <w:r>
        <w:rPr>
          <w:color w:val="auto"/>
        </w:rPr>
        <w:t>2.7节能产品或者环保产品是指财政部发布的《节能产品政府采购清单》或《环境标志产品政府采购清单》的产品</w:t>
      </w:r>
      <w:r>
        <w:rPr>
          <w:rFonts w:hint="eastAsia"/>
          <w:color w:val="auto"/>
        </w:rPr>
        <w:t>。</w:t>
      </w:r>
    </w:p>
    <w:p w14:paraId="568BBDDC">
      <w:pPr>
        <w:adjustRightInd w:val="0"/>
        <w:snapToGrid w:val="0"/>
        <w:spacing w:line="360" w:lineRule="auto"/>
        <w:ind w:firstLine="480" w:firstLineChars="200"/>
        <w:rPr>
          <w:color w:val="auto"/>
        </w:rPr>
      </w:pPr>
      <w:r>
        <w:rPr>
          <w:color w:val="auto"/>
        </w:rPr>
        <w:t>2.</w:t>
      </w:r>
      <w:r>
        <w:rPr>
          <w:rFonts w:hint="eastAsia"/>
          <w:color w:val="auto"/>
        </w:rPr>
        <w:t>8</w:t>
      </w:r>
      <w:r>
        <w:rPr>
          <w:color w:val="auto"/>
        </w:rPr>
        <w:t>中小企业是指符合《工业和信息化部、国家统计局、国家发展和改革委员会、财政部关于印发中小企业划型标准规定的通知》（工信部联企业[2011]300号）规定的对中小企业的划分标准的企业。</w:t>
      </w:r>
    </w:p>
    <w:p w14:paraId="7D33AD77">
      <w:pPr>
        <w:adjustRightInd w:val="0"/>
        <w:snapToGrid w:val="0"/>
        <w:spacing w:line="360" w:lineRule="auto"/>
        <w:ind w:firstLine="480" w:firstLineChars="200"/>
        <w:rPr>
          <w:color w:val="auto"/>
        </w:rPr>
      </w:pPr>
      <w:r>
        <w:rPr>
          <w:color w:val="auto"/>
        </w:rPr>
        <w:t>2.</w:t>
      </w:r>
      <w:r>
        <w:rPr>
          <w:rFonts w:hint="eastAsia"/>
          <w:color w:val="auto"/>
        </w:rPr>
        <w:t>9</w:t>
      </w:r>
      <w:r>
        <w:rPr>
          <w:color w:val="auto"/>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0CC217FC">
      <w:pPr>
        <w:adjustRightInd w:val="0"/>
        <w:snapToGrid w:val="0"/>
        <w:spacing w:line="360" w:lineRule="auto"/>
        <w:ind w:firstLine="480" w:firstLineChars="200"/>
        <w:rPr>
          <w:rFonts w:hint="eastAsia"/>
          <w:color w:val="auto"/>
        </w:rPr>
      </w:pPr>
      <w:r>
        <w:rPr>
          <w:rFonts w:hint="eastAsia"/>
          <w:color w:val="auto"/>
        </w:rPr>
        <w:t>2.10残疾人福利性单位是指符合《三部门联合发布关于促进残疾人就业政府采购政策的通知》财库〔2017〕141号</w:t>
      </w:r>
      <w:r>
        <w:rPr>
          <w:color w:val="auto"/>
        </w:rPr>
        <w:t>规定的对</w:t>
      </w:r>
      <w:r>
        <w:rPr>
          <w:rFonts w:hint="eastAsia"/>
          <w:color w:val="auto"/>
        </w:rPr>
        <w:t>残疾人福利性单位</w:t>
      </w:r>
      <w:r>
        <w:rPr>
          <w:color w:val="auto"/>
        </w:rPr>
        <w:t>划分标准的</w:t>
      </w:r>
      <w:r>
        <w:rPr>
          <w:rFonts w:hint="eastAsia"/>
          <w:color w:val="auto"/>
        </w:rPr>
        <w:t>单位</w:t>
      </w:r>
      <w:r>
        <w:rPr>
          <w:color w:val="auto"/>
        </w:rPr>
        <w:t>。</w:t>
      </w:r>
    </w:p>
    <w:p w14:paraId="3BD5E9FE">
      <w:pPr>
        <w:spacing w:line="360" w:lineRule="auto"/>
        <w:rPr>
          <w:rFonts w:hAnsi="宋体"/>
          <w:b/>
          <w:color w:val="auto"/>
          <w:szCs w:val="24"/>
        </w:rPr>
      </w:pPr>
      <w:r>
        <w:rPr>
          <w:rFonts w:hint="eastAsia" w:hAnsi="宋体"/>
          <w:b/>
          <w:color w:val="auto"/>
          <w:szCs w:val="24"/>
        </w:rPr>
        <w:t>3</w:t>
      </w:r>
      <w:r>
        <w:rPr>
          <w:rFonts w:hAnsi="宋体"/>
          <w:b/>
          <w:color w:val="auto"/>
          <w:szCs w:val="24"/>
        </w:rPr>
        <w:t>.合格的</w:t>
      </w:r>
      <w:r>
        <w:rPr>
          <w:rFonts w:hint="eastAsia" w:hAnsi="宋体"/>
          <w:b/>
          <w:color w:val="auto"/>
          <w:szCs w:val="24"/>
        </w:rPr>
        <w:t>供应商</w:t>
      </w:r>
    </w:p>
    <w:p w14:paraId="7473228B">
      <w:pPr>
        <w:tabs>
          <w:tab w:val="left" w:pos="851"/>
        </w:tabs>
        <w:spacing w:line="360" w:lineRule="auto"/>
        <w:ind w:firstLine="480" w:firstLineChars="200"/>
        <w:rPr>
          <w:rFonts w:hint="eastAsia" w:hAnsi="宋体"/>
          <w:color w:val="auto"/>
          <w:szCs w:val="24"/>
        </w:rPr>
      </w:pPr>
      <w:r>
        <w:rPr>
          <w:rFonts w:hint="eastAsia" w:hAnsi="宋体"/>
          <w:color w:val="auto"/>
          <w:szCs w:val="24"/>
        </w:rPr>
        <w:t>3.1《政府采购法》第二十二条第一款规定的供应商基本资格条件。</w:t>
      </w:r>
    </w:p>
    <w:p w14:paraId="2B6F9996">
      <w:pPr>
        <w:spacing w:line="360" w:lineRule="auto"/>
        <w:ind w:firstLine="480" w:firstLineChars="200"/>
        <w:rPr>
          <w:rFonts w:hAnsi="宋体"/>
          <w:color w:val="auto"/>
          <w:szCs w:val="24"/>
        </w:rPr>
      </w:pPr>
      <w:r>
        <w:rPr>
          <w:rFonts w:hint="eastAsia" w:hAnsi="宋体"/>
          <w:color w:val="auto"/>
          <w:szCs w:val="24"/>
        </w:rPr>
        <w:t>3.2</w:t>
      </w:r>
      <w:r>
        <w:rPr>
          <w:rFonts w:hAnsi="宋体"/>
          <w:color w:val="auto"/>
          <w:szCs w:val="24"/>
        </w:rPr>
        <w:t>根据本次采购项目的特殊要求，规定的供应商特殊条件（见</w:t>
      </w:r>
      <w:r>
        <w:rPr>
          <w:rFonts w:hint="eastAsia" w:hAnsi="宋体"/>
          <w:color w:val="auto"/>
          <w:szCs w:val="24"/>
        </w:rPr>
        <w:t>供应商</w:t>
      </w:r>
      <w:r>
        <w:rPr>
          <w:rFonts w:hAnsi="宋体"/>
          <w:color w:val="auto"/>
          <w:szCs w:val="24"/>
        </w:rPr>
        <w:t>须知前附表）。</w:t>
      </w:r>
    </w:p>
    <w:p w14:paraId="78707F18">
      <w:pPr>
        <w:spacing w:line="360" w:lineRule="auto"/>
        <w:ind w:firstLine="480" w:firstLineChars="200"/>
        <w:rPr>
          <w:rFonts w:hint="eastAsia" w:hAnsi="宋体"/>
          <w:color w:val="auto"/>
          <w:szCs w:val="24"/>
        </w:rPr>
      </w:pPr>
      <w:r>
        <w:rPr>
          <w:rFonts w:hint="eastAsia" w:hAnsi="宋体"/>
          <w:color w:val="auto"/>
          <w:szCs w:val="24"/>
        </w:rPr>
        <w:t>3.3单位负责人为同一人或者存在直接控股、管理关系的不同供应商，不得参加同一合同项下的政府采购活动。除单一来源采购项目外，为采购项目提供整体设计、规范编制或者项目管理、监理、等服务的供应商，不得再参加该采购项目的其他采购活动。</w:t>
      </w:r>
    </w:p>
    <w:p w14:paraId="103A6DCF">
      <w:pPr>
        <w:spacing w:line="360" w:lineRule="auto"/>
        <w:ind w:firstLine="480" w:firstLineChars="200"/>
        <w:rPr>
          <w:rFonts w:hAnsi="宋体"/>
          <w:color w:val="auto"/>
          <w:szCs w:val="24"/>
        </w:rPr>
      </w:pPr>
      <w:r>
        <w:rPr>
          <w:rFonts w:hint="eastAsia" w:hAnsi="宋体"/>
          <w:color w:val="auto"/>
          <w:szCs w:val="24"/>
        </w:rPr>
        <w:t>3.4</w:t>
      </w:r>
      <w:r>
        <w:rPr>
          <w:rFonts w:hAnsi="宋体"/>
          <w:color w:val="auto"/>
          <w:szCs w:val="24"/>
        </w:rPr>
        <w:t>供应商不得直接或间接地与采购人</w:t>
      </w:r>
      <w:r>
        <w:rPr>
          <w:rFonts w:hint="eastAsia" w:hAnsi="宋体"/>
          <w:color w:val="auto"/>
          <w:szCs w:val="24"/>
        </w:rPr>
        <w:t>或采购代理机构</w:t>
      </w:r>
      <w:r>
        <w:rPr>
          <w:rFonts w:hAnsi="宋体"/>
          <w:color w:val="auto"/>
          <w:szCs w:val="24"/>
        </w:rPr>
        <w:t>有任何关联，亦不得是采购人</w:t>
      </w:r>
      <w:r>
        <w:rPr>
          <w:rFonts w:hint="eastAsia" w:hAnsi="宋体"/>
          <w:color w:val="auto"/>
          <w:szCs w:val="24"/>
        </w:rPr>
        <w:t>或采购代理机构</w:t>
      </w:r>
      <w:r>
        <w:rPr>
          <w:rFonts w:hAnsi="宋体"/>
          <w:color w:val="auto"/>
          <w:szCs w:val="24"/>
        </w:rPr>
        <w:t>的附属机构。如果</w:t>
      </w:r>
      <w:r>
        <w:rPr>
          <w:rFonts w:hint="eastAsia" w:hAnsi="宋体"/>
          <w:color w:val="auto"/>
          <w:szCs w:val="24"/>
        </w:rPr>
        <w:t>供应商</w:t>
      </w:r>
      <w:r>
        <w:rPr>
          <w:rFonts w:hAnsi="宋体"/>
          <w:color w:val="auto"/>
          <w:szCs w:val="24"/>
        </w:rPr>
        <w:t>在</w:t>
      </w:r>
      <w:r>
        <w:rPr>
          <w:rFonts w:hint="eastAsia" w:hAnsi="宋体"/>
          <w:color w:val="auto"/>
          <w:szCs w:val="24"/>
        </w:rPr>
        <w:t>磋商</w:t>
      </w:r>
      <w:r>
        <w:rPr>
          <w:rFonts w:hAnsi="宋体"/>
          <w:color w:val="auto"/>
          <w:szCs w:val="24"/>
        </w:rPr>
        <w:t>中隐瞒了上述关系，一经证实，则该</w:t>
      </w:r>
      <w:r>
        <w:rPr>
          <w:rFonts w:hint="eastAsia" w:hAnsi="宋体"/>
          <w:color w:val="auto"/>
          <w:szCs w:val="24"/>
        </w:rPr>
        <w:t>磋商</w:t>
      </w:r>
      <w:r>
        <w:rPr>
          <w:rFonts w:hAnsi="宋体"/>
          <w:color w:val="auto"/>
          <w:szCs w:val="24"/>
        </w:rPr>
        <w:t>无效。</w:t>
      </w:r>
    </w:p>
    <w:p w14:paraId="0CD692B2">
      <w:pPr>
        <w:spacing w:line="360" w:lineRule="auto"/>
        <w:ind w:firstLine="480" w:firstLineChars="200"/>
        <w:rPr>
          <w:rFonts w:hint="eastAsia" w:hAnsi="宋体"/>
          <w:color w:val="auto"/>
          <w:szCs w:val="24"/>
        </w:rPr>
      </w:pPr>
      <w:r>
        <w:rPr>
          <w:rFonts w:hint="eastAsia" w:hAnsi="宋体"/>
          <w:color w:val="auto"/>
          <w:szCs w:val="24"/>
        </w:rPr>
        <w:t>3.5供应商</w:t>
      </w:r>
      <w:r>
        <w:rPr>
          <w:rFonts w:hAnsi="宋体"/>
          <w:color w:val="auto"/>
          <w:szCs w:val="24"/>
        </w:rPr>
        <w:t>必须在</w:t>
      </w:r>
      <w:r>
        <w:rPr>
          <w:rFonts w:hint="eastAsia" w:hAnsi="宋体"/>
          <w:color w:val="auto"/>
          <w:szCs w:val="24"/>
        </w:rPr>
        <w:t>榆林市恒易达工程项目管理有限公司获取</w:t>
      </w:r>
      <w:r>
        <w:rPr>
          <w:color w:val="auto"/>
        </w:rPr>
        <w:t>竞争</w:t>
      </w:r>
      <w:r>
        <w:rPr>
          <w:rFonts w:hint="eastAsia"/>
          <w:color w:val="auto"/>
        </w:rPr>
        <w:t>性磋商</w:t>
      </w:r>
      <w:r>
        <w:rPr>
          <w:color w:val="auto"/>
        </w:rPr>
        <w:t>文件</w:t>
      </w:r>
      <w:r>
        <w:rPr>
          <w:rFonts w:hAnsi="宋体"/>
          <w:color w:val="auto"/>
          <w:szCs w:val="24"/>
        </w:rPr>
        <w:t>，方可参加</w:t>
      </w:r>
      <w:r>
        <w:rPr>
          <w:rFonts w:hint="eastAsia" w:hAnsi="宋体"/>
          <w:color w:val="auto"/>
          <w:szCs w:val="24"/>
        </w:rPr>
        <w:t>磋商</w:t>
      </w:r>
      <w:r>
        <w:rPr>
          <w:rFonts w:hAnsi="宋体"/>
          <w:color w:val="auto"/>
          <w:szCs w:val="24"/>
        </w:rPr>
        <w:t>。</w:t>
      </w:r>
    </w:p>
    <w:p w14:paraId="7FC3CB63">
      <w:pPr>
        <w:spacing w:line="360" w:lineRule="auto"/>
        <w:ind w:firstLine="480" w:firstLineChars="200"/>
        <w:rPr>
          <w:rFonts w:hint="eastAsia" w:hAnsi="宋体"/>
          <w:color w:val="auto"/>
          <w:szCs w:val="24"/>
        </w:rPr>
      </w:pPr>
      <w:bookmarkStart w:id="31" w:name="OLE_LINK33"/>
      <w:r>
        <w:rPr>
          <w:rFonts w:hint="eastAsia" w:hAnsi="宋体"/>
          <w:color w:val="auto"/>
          <w:szCs w:val="24"/>
        </w:rPr>
        <w:t>3</w:t>
      </w:r>
      <w:r>
        <w:rPr>
          <w:rFonts w:hAnsi="宋体"/>
          <w:color w:val="auto"/>
          <w:szCs w:val="24"/>
        </w:rPr>
        <w:t>.</w:t>
      </w:r>
      <w:bookmarkEnd w:id="31"/>
      <w:r>
        <w:rPr>
          <w:rFonts w:hint="eastAsia" w:hAnsi="宋体"/>
          <w:color w:val="auto"/>
          <w:szCs w:val="24"/>
        </w:rPr>
        <w:t>6联合体磋商</w:t>
      </w:r>
    </w:p>
    <w:p w14:paraId="6152873F">
      <w:pPr>
        <w:spacing w:line="360" w:lineRule="auto"/>
        <w:ind w:firstLine="480" w:firstLineChars="200"/>
        <w:rPr>
          <w:rFonts w:hAnsi="宋体"/>
          <w:color w:val="auto"/>
          <w:szCs w:val="24"/>
        </w:rPr>
      </w:pPr>
      <w:r>
        <w:rPr>
          <w:rFonts w:hint="eastAsia" w:hAnsi="宋体"/>
          <w:color w:val="auto"/>
          <w:szCs w:val="24"/>
        </w:rPr>
        <w:t>3.6.1</w:t>
      </w:r>
      <w:r>
        <w:rPr>
          <w:rFonts w:hAnsi="宋体"/>
          <w:color w:val="auto"/>
          <w:szCs w:val="24"/>
        </w:rPr>
        <w:t>如果在</w:t>
      </w:r>
      <w:r>
        <w:rPr>
          <w:color w:val="auto"/>
        </w:rPr>
        <w:t>竞争</w:t>
      </w:r>
      <w:r>
        <w:rPr>
          <w:rFonts w:hint="eastAsia"/>
          <w:color w:val="auto"/>
        </w:rPr>
        <w:t>性</w:t>
      </w:r>
      <w:r>
        <w:rPr>
          <w:rFonts w:hint="eastAsia" w:hAnsi="宋体"/>
          <w:color w:val="auto"/>
          <w:szCs w:val="24"/>
        </w:rPr>
        <w:t>磋商</w:t>
      </w:r>
      <w:r>
        <w:rPr>
          <w:rFonts w:hAnsi="宋体"/>
          <w:color w:val="auto"/>
          <w:szCs w:val="24"/>
        </w:rPr>
        <w:t>文件中接受联合体</w:t>
      </w:r>
      <w:r>
        <w:rPr>
          <w:rFonts w:hint="eastAsia" w:hAnsi="宋体"/>
          <w:color w:val="auto"/>
          <w:szCs w:val="24"/>
        </w:rPr>
        <w:t>磋商</w:t>
      </w:r>
      <w:r>
        <w:rPr>
          <w:rFonts w:hAnsi="宋体"/>
          <w:color w:val="auto"/>
          <w:szCs w:val="24"/>
        </w:rPr>
        <w:t>（见</w:t>
      </w:r>
      <w:r>
        <w:rPr>
          <w:rFonts w:hint="eastAsia" w:hAnsi="宋体"/>
          <w:color w:val="auto"/>
          <w:szCs w:val="24"/>
        </w:rPr>
        <w:t>供应商须知前附表</w:t>
      </w:r>
      <w:r>
        <w:rPr>
          <w:rFonts w:hAnsi="宋体"/>
          <w:color w:val="auto"/>
          <w:szCs w:val="24"/>
        </w:rPr>
        <w:t>），则两个以上供应商可以组成一个</w:t>
      </w:r>
      <w:r>
        <w:rPr>
          <w:rFonts w:hint="eastAsia" w:hAnsi="宋体"/>
          <w:color w:val="auto"/>
          <w:szCs w:val="24"/>
        </w:rPr>
        <w:t>磋商</w:t>
      </w:r>
      <w:r>
        <w:rPr>
          <w:rFonts w:hAnsi="宋体"/>
          <w:color w:val="auto"/>
          <w:szCs w:val="24"/>
        </w:rPr>
        <w:t>联合体，以一个</w:t>
      </w:r>
      <w:r>
        <w:rPr>
          <w:rFonts w:hint="eastAsia" w:hAnsi="宋体"/>
          <w:color w:val="auto"/>
          <w:szCs w:val="24"/>
        </w:rPr>
        <w:t>供应商</w:t>
      </w:r>
      <w:r>
        <w:rPr>
          <w:rFonts w:hAnsi="宋体"/>
          <w:color w:val="auto"/>
          <w:szCs w:val="24"/>
        </w:rPr>
        <w:t>的身份</w:t>
      </w:r>
      <w:r>
        <w:rPr>
          <w:rFonts w:hint="eastAsia" w:hAnsi="宋体"/>
          <w:color w:val="auto"/>
          <w:szCs w:val="24"/>
        </w:rPr>
        <w:t>参与磋商</w:t>
      </w:r>
      <w:r>
        <w:rPr>
          <w:rFonts w:hAnsi="宋体"/>
          <w:color w:val="auto"/>
          <w:szCs w:val="24"/>
        </w:rPr>
        <w:t>。以联合体形式参加</w:t>
      </w:r>
      <w:r>
        <w:rPr>
          <w:rFonts w:hint="eastAsia" w:hAnsi="宋体"/>
          <w:color w:val="auto"/>
          <w:szCs w:val="24"/>
        </w:rPr>
        <w:t>磋商</w:t>
      </w:r>
      <w:r>
        <w:rPr>
          <w:rFonts w:hAnsi="宋体"/>
          <w:color w:val="auto"/>
          <w:szCs w:val="24"/>
        </w:rPr>
        <w:t>的，联合体各方均应当符合政府采购法</w:t>
      </w:r>
      <w:r>
        <w:rPr>
          <w:color w:val="auto"/>
        </w:rPr>
        <w:t>《中华人民共和国政府采购法》及</w:t>
      </w:r>
      <w:r>
        <w:rPr>
          <w:rFonts w:hint="eastAsia"/>
          <w:color w:val="auto"/>
        </w:rPr>
        <w:t>其</w:t>
      </w:r>
      <w:r>
        <w:rPr>
          <w:color w:val="auto"/>
        </w:rPr>
        <w:t>实施条例</w:t>
      </w:r>
      <w:r>
        <w:rPr>
          <w:rFonts w:hint="eastAsia"/>
          <w:color w:val="auto"/>
        </w:rPr>
        <w:t>和《政府采购竞争性磋商采购方式管理暂行办法》</w:t>
      </w:r>
      <w:r>
        <w:rPr>
          <w:color w:val="auto"/>
        </w:rPr>
        <w:t>规定的条件</w:t>
      </w:r>
      <w:r>
        <w:rPr>
          <w:rFonts w:hAnsi="宋体"/>
          <w:color w:val="auto"/>
          <w:szCs w:val="24"/>
        </w:rPr>
        <w:t>。采购人根据采购项目的特殊要求规定</w:t>
      </w:r>
      <w:r>
        <w:rPr>
          <w:rFonts w:hint="eastAsia" w:hAnsi="宋体"/>
          <w:color w:val="auto"/>
          <w:szCs w:val="24"/>
        </w:rPr>
        <w:t>供应商</w:t>
      </w:r>
      <w:r>
        <w:rPr>
          <w:rFonts w:hAnsi="宋体"/>
          <w:color w:val="auto"/>
          <w:szCs w:val="24"/>
        </w:rPr>
        <w:t>特定条件的，联合体各方中至少应当有一方符合采购人规定的特定条件。</w:t>
      </w:r>
    </w:p>
    <w:p w14:paraId="766C8DC8">
      <w:pPr>
        <w:spacing w:line="360" w:lineRule="auto"/>
        <w:ind w:firstLine="468" w:firstLineChars="195"/>
        <w:rPr>
          <w:rFonts w:hint="eastAsia" w:hAnsi="宋体" w:cs="宋体"/>
          <w:color w:val="auto"/>
          <w:szCs w:val="24"/>
        </w:rPr>
      </w:pPr>
      <w:r>
        <w:rPr>
          <w:rFonts w:hint="eastAsia" w:hAnsi="宋体" w:cs="宋体"/>
          <w:color w:val="auto"/>
          <w:szCs w:val="24"/>
        </w:rPr>
        <w:t>3.6.2联合体各方之间应当签订共同磋商协议，明确约定联合体各方承担的工作和相应的责任，并将共同磋商协议连同</w:t>
      </w:r>
      <w:r>
        <w:rPr>
          <w:color w:val="auto"/>
        </w:rPr>
        <w:t>竞争</w:t>
      </w:r>
      <w:r>
        <w:rPr>
          <w:rFonts w:hint="eastAsia"/>
          <w:color w:val="auto"/>
        </w:rPr>
        <w:t>性</w:t>
      </w:r>
      <w:r>
        <w:rPr>
          <w:rFonts w:hint="eastAsia" w:hAnsi="宋体"/>
          <w:color w:val="auto"/>
          <w:szCs w:val="24"/>
        </w:rPr>
        <w:t>磋商响应</w:t>
      </w:r>
      <w:r>
        <w:rPr>
          <w:rFonts w:hint="eastAsia" w:hAnsi="宋体" w:cs="宋体"/>
          <w:color w:val="auto"/>
          <w:szCs w:val="24"/>
        </w:rPr>
        <w:t>文件一并提交</w:t>
      </w:r>
      <w:r>
        <w:rPr>
          <w:rFonts w:hint="eastAsia" w:hAnsi="宋体" w:cs="宋体"/>
          <w:color w:val="auto"/>
        </w:rPr>
        <w:t>采购代理机构</w:t>
      </w:r>
      <w:r>
        <w:rPr>
          <w:rFonts w:hint="eastAsia" w:hAnsi="宋体" w:cs="宋体"/>
          <w:color w:val="auto"/>
          <w:szCs w:val="24"/>
        </w:rPr>
        <w:t>。联合体各方签订共同磋商协议后，不得再以自己名义单独参与同一项目磋商，也不得组成新的联合体参加同一项目磋商。</w:t>
      </w:r>
    </w:p>
    <w:p w14:paraId="1B2C33A6">
      <w:pPr>
        <w:pStyle w:val="19"/>
        <w:spacing w:line="360" w:lineRule="auto"/>
        <w:ind w:firstLine="480" w:firstLineChars="200"/>
        <w:rPr>
          <w:rFonts w:hAnsi="宋体"/>
          <w:color w:val="auto"/>
          <w:szCs w:val="24"/>
        </w:rPr>
      </w:pPr>
      <w:r>
        <w:rPr>
          <w:rFonts w:hint="eastAsia" w:ascii="宋体" w:hAnsi="宋体" w:cs="宋体"/>
          <w:color w:val="auto"/>
          <w:sz w:val="24"/>
          <w:szCs w:val="24"/>
        </w:rPr>
        <w:t>3.6.3联合体各方应当共同与采购人签订采购合同，就采购合同约定的事项对采购人承担连带责任。</w:t>
      </w:r>
    </w:p>
    <w:p w14:paraId="4A9BB2BD">
      <w:pPr>
        <w:spacing w:line="360" w:lineRule="auto"/>
        <w:ind w:firstLine="480" w:firstLineChars="200"/>
        <w:rPr>
          <w:rFonts w:hAnsi="宋体"/>
          <w:color w:val="auto"/>
          <w:szCs w:val="24"/>
        </w:rPr>
      </w:pPr>
      <w:r>
        <w:rPr>
          <w:rFonts w:hint="eastAsia" w:hAnsi="宋体"/>
          <w:color w:val="auto"/>
          <w:szCs w:val="24"/>
        </w:rPr>
        <w:t>3.7磋商</w:t>
      </w:r>
      <w:r>
        <w:rPr>
          <w:rFonts w:hAnsi="宋体"/>
          <w:color w:val="auto"/>
          <w:szCs w:val="24"/>
        </w:rPr>
        <w:t>费用自理。不论</w:t>
      </w:r>
      <w:r>
        <w:rPr>
          <w:rFonts w:hint="eastAsia" w:hAnsi="宋体"/>
          <w:color w:val="auto"/>
          <w:szCs w:val="24"/>
        </w:rPr>
        <w:t>磋商</w:t>
      </w:r>
      <w:r>
        <w:rPr>
          <w:rFonts w:hAnsi="宋体"/>
          <w:color w:val="auto"/>
          <w:szCs w:val="24"/>
        </w:rPr>
        <w:t>的结果如何，</w:t>
      </w:r>
      <w:r>
        <w:rPr>
          <w:rFonts w:hint="eastAsia" w:hAnsi="宋体"/>
          <w:color w:val="auto"/>
          <w:szCs w:val="24"/>
        </w:rPr>
        <w:t>供应商</w:t>
      </w:r>
      <w:r>
        <w:rPr>
          <w:rFonts w:hAnsi="宋体"/>
          <w:color w:val="auto"/>
          <w:szCs w:val="24"/>
        </w:rPr>
        <w:t>均应自行承担所有与参加</w:t>
      </w:r>
      <w:r>
        <w:rPr>
          <w:rFonts w:hint="eastAsia" w:hAnsi="宋体"/>
          <w:color w:val="auto"/>
          <w:szCs w:val="24"/>
        </w:rPr>
        <w:t>磋商</w:t>
      </w:r>
      <w:r>
        <w:rPr>
          <w:rFonts w:hAnsi="宋体"/>
          <w:color w:val="auto"/>
          <w:szCs w:val="24"/>
        </w:rPr>
        <w:t>有关的费用。</w:t>
      </w:r>
    </w:p>
    <w:p w14:paraId="5C6EAA53">
      <w:pPr>
        <w:spacing w:line="360" w:lineRule="auto"/>
        <w:rPr>
          <w:rFonts w:hAnsi="宋体"/>
          <w:b/>
          <w:color w:val="auto"/>
          <w:szCs w:val="24"/>
        </w:rPr>
      </w:pPr>
      <w:r>
        <w:rPr>
          <w:rFonts w:hint="eastAsia" w:hAnsi="宋体"/>
          <w:b/>
          <w:color w:val="auto"/>
          <w:szCs w:val="24"/>
        </w:rPr>
        <w:t>4</w:t>
      </w:r>
      <w:r>
        <w:rPr>
          <w:rFonts w:hAnsi="宋体"/>
          <w:b/>
          <w:color w:val="auto"/>
          <w:szCs w:val="24"/>
        </w:rPr>
        <w:t>.</w:t>
      </w:r>
      <w:r>
        <w:rPr>
          <w:rFonts w:hint="eastAsia" w:hAnsi="宋体" w:cs="宋体"/>
          <w:b/>
          <w:color w:val="auto"/>
          <w:szCs w:val="24"/>
        </w:rPr>
        <w:t>竞争性</w:t>
      </w:r>
      <w:r>
        <w:rPr>
          <w:rFonts w:hint="eastAsia" w:hAnsi="宋体"/>
          <w:b/>
          <w:color w:val="auto"/>
          <w:szCs w:val="24"/>
        </w:rPr>
        <w:t>磋商</w:t>
      </w:r>
      <w:r>
        <w:rPr>
          <w:rFonts w:hAnsi="宋体"/>
          <w:b/>
          <w:color w:val="auto"/>
          <w:szCs w:val="24"/>
        </w:rPr>
        <w:t>产品</w:t>
      </w:r>
      <w:r>
        <w:rPr>
          <w:rFonts w:hint="eastAsia" w:hAnsi="宋体"/>
          <w:b/>
          <w:color w:val="auto"/>
          <w:szCs w:val="24"/>
        </w:rPr>
        <w:t>（含服务）</w:t>
      </w:r>
      <w:r>
        <w:rPr>
          <w:rFonts w:hAnsi="宋体"/>
          <w:b/>
          <w:color w:val="auto"/>
          <w:szCs w:val="24"/>
        </w:rPr>
        <w:t>的合格性和合法性</w:t>
      </w:r>
    </w:p>
    <w:p w14:paraId="38468873">
      <w:pPr>
        <w:tabs>
          <w:tab w:val="left" w:pos="747"/>
        </w:tabs>
        <w:snapToGrid w:val="0"/>
        <w:spacing w:line="360" w:lineRule="auto"/>
        <w:ind w:firstLine="480" w:firstLineChars="200"/>
        <w:rPr>
          <w:color w:val="auto"/>
        </w:rPr>
      </w:pPr>
      <w:r>
        <w:rPr>
          <w:rFonts w:hint="eastAsia" w:hAnsi="宋体"/>
          <w:color w:val="auto"/>
          <w:szCs w:val="24"/>
        </w:rPr>
        <w:t>4</w:t>
      </w:r>
      <w:r>
        <w:rPr>
          <w:rFonts w:hAnsi="宋体"/>
          <w:color w:val="auto"/>
          <w:szCs w:val="24"/>
        </w:rPr>
        <w:t>.1</w:t>
      </w:r>
      <w:r>
        <w:rPr>
          <w:rFonts w:hint="eastAsia" w:hAnsi="宋体"/>
          <w:color w:val="auto"/>
          <w:szCs w:val="24"/>
        </w:rPr>
        <w:t>竞争性磋商产品（含服务）</w:t>
      </w:r>
      <w:r>
        <w:rPr>
          <w:rFonts w:hAnsi="宋体"/>
          <w:color w:val="auto"/>
          <w:szCs w:val="24"/>
        </w:rPr>
        <w:t>应满足</w:t>
      </w:r>
      <w:r>
        <w:rPr>
          <w:rFonts w:hint="eastAsia" w:hAnsi="宋体"/>
          <w:color w:val="auto"/>
          <w:szCs w:val="24"/>
        </w:rPr>
        <w:t>竞争性磋商</w:t>
      </w:r>
      <w:r>
        <w:rPr>
          <w:rFonts w:hAnsi="宋体"/>
          <w:color w:val="auto"/>
          <w:szCs w:val="24"/>
        </w:rPr>
        <w:t>文件的要求并应符合国家法律法规、行业管理部门要求的其他强制性标准。</w:t>
      </w:r>
      <w:r>
        <w:rPr>
          <w:color w:val="auto"/>
        </w:rPr>
        <w:t>并满足</w:t>
      </w:r>
      <w:r>
        <w:rPr>
          <w:rFonts w:hint="eastAsia"/>
          <w:color w:val="auto"/>
        </w:rPr>
        <w:t>竞争性磋商</w:t>
      </w:r>
      <w:r>
        <w:rPr>
          <w:color w:val="auto"/>
        </w:rPr>
        <w:t>文件规定的质量、价格、有效期、售后服务及</w:t>
      </w:r>
      <w:r>
        <w:rPr>
          <w:rFonts w:hint="eastAsia"/>
          <w:color w:val="auto"/>
        </w:rPr>
        <w:t>供应商</w:t>
      </w:r>
      <w:r>
        <w:rPr>
          <w:color w:val="auto"/>
        </w:rPr>
        <w:t>须承担的运输、</w:t>
      </w:r>
      <w:r>
        <w:rPr>
          <w:rFonts w:hint="eastAsia"/>
          <w:color w:val="auto"/>
        </w:rPr>
        <w:t>配送</w:t>
      </w:r>
      <w:r>
        <w:rPr>
          <w:color w:val="auto"/>
        </w:rPr>
        <w:t>、技术支持和</w:t>
      </w:r>
      <w:r>
        <w:rPr>
          <w:rFonts w:hint="eastAsia"/>
          <w:color w:val="auto"/>
        </w:rPr>
        <w:t>竞争性磋商</w:t>
      </w:r>
      <w:r>
        <w:rPr>
          <w:color w:val="auto"/>
        </w:rPr>
        <w:t>文件规定的其他伴随服务等要求。</w:t>
      </w:r>
    </w:p>
    <w:p w14:paraId="568DBE8A">
      <w:pPr>
        <w:tabs>
          <w:tab w:val="left" w:pos="747"/>
        </w:tabs>
        <w:snapToGrid w:val="0"/>
        <w:spacing w:line="360" w:lineRule="auto"/>
        <w:ind w:firstLine="480" w:firstLineChars="200"/>
        <w:rPr>
          <w:rFonts w:hAnsi="宋体"/>
          <w:color w:val="auto"/>
          <w:szCs w:val="24"/>
        </w:rPr>
      </w:pPr>
      <w:r>
        <w:rPr>
          <w:color w:val="auto"/>
        </w:rPr>
        <w:t>4.2采购人有权拒绝接受任何不合格的产品和服务，由此产生的费用及相关后果均由</w:t>
      </w:r>
      <w:r>
        <w:rPr>
          <w:rFonts w:hint="eastAsia"/>
          <w:color w:val="auto"/>
        </w:rPr>
        <w:t>供应商</w:t>
      </w:r>
      <w:r>
        <w:rPr>
          <w:color w:val="auto"/>
        </w:rPr>
        <w:t>自行承担。</w:t>
      </w:r>
    </w:p>
    <w:p w14:paraId="5D202A10">
      <w:pPr>
        <w:spacing w:line="360" w:lineRule="auto"/>
        <w:rPr>
          <w:rFonts w:hint="eastAsia" w:hAnsi="宋体" w:cs="宋体"/>
          <w:b/>
          <w:color w:val="auto"/>
          <w:szCs w:val="24"/>
        </w:rPr>
      </w:pPr>
      <w:r>
        <w:rPr>
          <w:rFonts w:hint="eastAsia" w:hAnsi="宋体" w:cs="宋体"/>
          <w:b/>
          <w:color w:val="auto"/>
          <w:szCs w:val="24"/>
        </w:rPr>
        <w:t>5.竞争性磋商响应文件内容的真实性</w:t>
      </w:r>
    </w:p>
    <w:p w14:paraId="63A1177E">
      <w:pPr>
        <w:spacing w:line="360" w:lineRule="auto"/>
        <w:ind w:firstLine="480" w:firstLineChars="200"/>
        <w:rPr>
          <w:rFonts w:hint="eastAsia" w:hAnsi="宋体" w:cs="宋体"/>
          <w:color w:val="auto"/>
          <w:szCs w:val="24"/>
        </w:rPr>
      </w:pPr>
      <w:r>
        <w:rPr>
          <w:rFonts w:hint="eastAsia" w:hAnsi="宋体" w:cs="宋体"/>
          <w:color w:val="auto"/>
          <w:szCs w:val="24"/>
        </w:rPr>
        <w:t>5.1供应商应保证其磋商响应文件中所提供的所有有关磋商的资料、信息是真实的、并且来源于合法的渠道。因磋商响应文件中所提供的有关磋商的资料、信息不真实、或者其来源不合法而导致的所有法律责任，由供应商自行承担。</w:t>
      </w:r>
    </w:p>
    <w:p w14:paraId="2C7061C0">
      <w:pPr>
        <w:keepNext/>
        <w:keepLines/>
        <w:spacing w:before="240" w:beforeLines="100" w:after="120" w:afterLines="50" w:line="360" w:lineRule="auto"/>
        <w:jc w:val="center"/>
        <w:rPr>
          <w:rFonts w:hAnsi="宋体"/>
          <w:b/>
          <w:color w:val="auto"/>
          <w:sz w:val="32"/>
          <w:szCs w:val="32"/>
        </w:rPr>
      </w:pPr>
      <w:r>
        <w:rPr>
          <w:rFonts w:hAnsi="宋体"/>
          <w:b/>
          <w:color w:val="auto"/>
          <w:sz w:val="32"/>
          <w:szCs w:val="32"/>
        </w:rPr>
        <w:t>二.</w:t>
      </w:r>
      <w:r>
        <w:rPr>
          <w:rFonts w:hint="eastAsia" w:hAnsi="宋体"/>
          <w:b/>
          <w:color w:val="auto"/>
          <w:sz w:val="32"/>
          <w:szCs w:val="32"/>
        </w:rPr>
        <w:t>竞争性磋商</w:t>
      </w:r>
      <w:r>
        <w:rPr>
          <w:rFonts w:hAnsi="宋体"/>
          <w:b/>
          <w:color w:val="auto"/>
          <w:sz w:val="32"/>
          <w:szCs w:val="32"/>
        </w:rPr>
        <w:t>文件</w:t>
      </w:r>
      <w:bookmarkEnd w:id="28"/>
      <w:bookmarkEnd w:id="29"/>
      <w:bookmarkEnd w:id="30"/>
    </w:p>
    <w:p w14:paraId="545BE23A">
      <w:pPr>
        <w:spacing w:line="360" w:lineRule="auto"/>
        <w:rPr>
          <w:rFonts w:hAnsi="宋体"/>
          <w:b/>
          <w:color w:val="auto"/>
          <w:szCs w:val="24"/>
        </w:rPr>
      </w:pPr>
      <w:r>
        <w:rPr>
          <w:rFonts w:hAnsi="宋体"/>
          <w:b/>
          <w:color w:val="auto"/>
          <w:szCs w:val="24"/>
        </w:rPr>
        <w:t>6.</w:t>
      </w:r>
      <w:r>
        <w:rPr>
          <w:rFonts w:hint="eastAsia" w:hAnsi="宋体"/>
          <w:b/>
          <w:color w:val="auto"/>
          <w:szCs w:val="24"/>
        </w:rPr>
        <w:t>竞争性磋商</w:t>
      </w:r>
      <w:r>
        <w:rPr>
          <w:rFonts w:hAnsi="宋体"/>
          <w:b/>
          <w:color w:val="auto"/>
          <w:szCs w:val="24"/>
        </w:rPr>
        <w:t>文件构成　　</w:t>
      </w:r>
    </w:p>
    <w:p w14:paraId="41590F07">
      <w:pPr>
        <w:spacing w:line="360" w:lineRule="auto"/>
        <w:ind w:firstLine="480" w:firstLineChars="200"/>
        <w:rPr>
          <w:rFonts w:hAnsi="宋体"/>
          <w:color w:val="auto"/>
          <w:szCs w:val="24"/>
        </w:rPr>
      </w:pPr>
      <w:r>
        <w:rPr>
          <w:rFonts w:hAnsi="宋体"/>
          <w:color w:val="auto"/>
          <w:szCs w:val="24"/>
        </w:rPr>
        <w:t xml:space="preserve">6.1 </w:t>
      </w:r>
      <w:r>
        <w:rPr>
          <w:rFonts w:hint="eastAsia" w:hAnsi="宋体"/>
          <w:color w:val="auto"/>
          <w:szCs w:val="24"/>
        </w:rPr>
        <w:t>竞争性磋商文件规定了</w:t>
      </w:r>
      <w:r>
        <w:rPr>
          <w:rFonts w:hAnsi="宋体"/>
          <w:color w:val="auto"/>
          <w:szCs w:val="24"/>
        </w:rPr>
        <w:t>要求提供的产品</w:t>
      </w:r>
      <w:r>
        <w:rPr>
          <w:rFonts w:hint="eastAsia" w:hAnsi="宋体"/>
          <w:color w:val="auto"/>
          <w:szCs w:val="24"/>
        </w:rPr>
        <w:t>和服务</w:t>
      </w:r>
      <w:r>
        <w:rPr>
          <w:rFonts w:hAnsi="宋体"/>
          <w:color w:val="auto"/>
          <w:szCs w:val="24"/>
        </w:rPr>
        <w:t>，</w:t>
      </w:r>
      <w:r>
        <w:rPr>
          <w:rFonts w:hint="eastAsia" w:hAnsi="宋体"/>
          <w:color w:val="auto"/>
          <w:szCs w:val="24"/>
        </w:rPr>
        <w:t>磋商</w:t>
      </w:r>
      <w:r>
        <w:rPr>
          <w:rFonts w:hAnsi="宋体"/>
          <w:color w:val="auto"/>
          <w:szCs w:val="24"/>
        </w:rPr>
        <w:t>程序和合同条件在</w:t>
      </w:r>
      <w:r>
        <w:rPr>
          <w:rFonts w:hint="eastAsia" w:hAnsi="宋体"/>
          <w:color w:val="auto"/>
          <w:szCs w:val="24"/>
        </w:rPr>
        <w:t>竞争性磋商文件</w:t>
      </w:r>
      <w:r>
        <w:rPr>
          <w:rFonts w:hAnsi="宋体"/>
          <w:color w:val="auto"/>
          <w:szCs w:val="24"/>
        </w:rPr>
        <w:t>中均有说明。</w:t>
      </w:r>
      <w:r>
        <w:rPr>
          <w:rFonts w:hint="eastAsia" w:hAnsi="宋体"/>
          <w:color w:val="auto"/>
          <w:szCs w:val="24"/>
        </w:rPr>
        <w:t>竞争性磋商文件</w:t>
      </w:r>
      <w:r>
        <w:rPr>
          <w:rFonts w:hAnsi="宋体"/>
          <w:color w:val="auto"/>
          <w:szCs w:val="24"/>
        </w:rPr>
        <w:t>共</w:t>
      </w:r>
      <w:r>
        <w:rPr>
          <w:rFonts w:hint="eastAsia" w:hAnsi="宋体"/>
          <w:color w:val="auto"/>
          <w:szCs w:val="24"/>
        </w:rPr>
        <w:t>六</w:t>
      </w:r>
      <w:r>
        <w:rPr>
          <w:rFonts w:hAnsi="宋体"/>
          <w:color w:val="auto"/>
          <w:szCs w:val="24"/>
        </w:rPr>
        <w:t>章，内容如下：</w:t>
      </w:r>
    </w:p>
    <w:p w14:paraId="6B94E8AA">
      <w:pPr>
        <w:spacing w:line="360" w:lineRule="auto"/>
        <w:ind w:firstLine="480" w:firstLineChars="200"/>
        <w:rPr>
          <w:rFonts w:hAnsi="宋体"/>
          <w:color w:val="auto"/>
          <w:szCs w:val="24"/>
        </w:rPr>
      </w:pPr>
      <w:r>
        <w:rPr>
          <w:rFonts w:hAnsi="宋体"/>
          <w:color w:val="auto"/>
          <w:szCs w:val="24"/>
        </w:rPr>
        <w:t>第一章</w:t>
      </w:r>
      <w:r>
        <w:rPr>
          <w:rFonts w:hint="eastAsia" w:hAnsi="宋体"/>
          <w:color w:val="auto"/>
          <w:szCs w:val="24"/>
        </w:rPr>
        <w:t xml:space="preserve"> 竞争性磋商公告</w:t>
      </w:r>
    </w:p>
    <w:p w14:paraId="0E46CE30">
      <w:pPr>
        <w:spacing w:line="360" w:lineRule="auto"/>
        <w:ind w:firstLine="480" w:firstLineChars="200"/>
        <w:rPr>
          <w:rFonts w:hint="eastAsia" w:hAnsi="宋体"/>
          <w:color w:val="auto"/>
          <w:szCs w:val="24"/>
        </w:rPr>
      </w:pPr>
      <w:r>
        <w:rPr>
          <w:rFonts w:hAnsi="宋体"/>
          <w:color w:val="auto"/>
          <w:szCs w:val="24"/>
        </w:rPr>
        <w:t>第</w:t>
      </w:r>
      <w:r>
        <w:rPr>
          <w:rFonts w:hint="eastAsia" w:hAnsi="宋体"/>
          <w:color w:val="auto"/>
          <w:szCs w:val="24"/>
        </w:rPr>
        <w:t>二</w:t>
      </w:r>
      <w:r>
        <w:rPr>
          <w:rFonts w:hAnsi="宋体"/>
          <w:color w:val="auto"/>
          <w:szCs w:val="24"/>
        </w:rPr>
        <w:t xml:space="preserve">章 </w:t>
      </w:r>
      <w:r>
        <w:rPr>
          <w:rFonts w:hint="eastAsia" w:hAnsi="宋体"/>
          <w:color w:val="auto"/>
          <w:szCs w:val="24"/>
        </w:rPr>
        <w:t>供应商</w:t>
      </w:r>
      <w:r>
        <w:rPr>
          <w:rFonts w:hAnsi="宋体"/>
          <w:color w:val="auto"/>
          <w:szCs w:val="24"/>
        </w:rPr>
        <w:t>须知</w:t>
      </w:r>
    </w:p>
    <w:p w14:paraId="0725A80B">
      <w:pPr>
        <w:spacing w:line="360" w:lineRule="auto"/>
        <w:ind w:firstLine="480" w:firstLineChars="200"/>
        <w:rPr>
          <w:rFonts w:hint="eastAsia" w:hAnsi="宋体"/>
          <w:color w:val="auto"/>
          <w:szCs w:val="24"/>
        </w:rPr>
      </w:pPr>
      <w:r>
        <w:rPr>
          <w:rFonts w:hint="eastAsia" w:hAnsi="宋体"/>
          <w:color w:val="auto"/>
          <w:szCs w:val="24"/>
        </w:rPr>
        <w:t xml:space="preserve">       供应商须知前附表</w:t>
      </w:r>
    </w:p>
    <w:p w14:paraId="7159BC85">
      <w:pPr>
        <w:spacing w:line="360" w:lineRule="auto"/>
        <w:ind w:firstLine="480" w:firstLineChars="200"/>
        <w:rPr>
          <w:rFonts w:hAnsi="宋体"/>
          <w:color w:val="auto"/>
          <w:szCs w:val="24"/>
        </w:rPr>
      </w:pPr>
      <w:r>
        <w:rPr>
          <w:rFonts w:hAnsi="宋体"/>
          <w:color w:val="auto"/>
          <w:szCs w:val="24"/>
        </w:rPr>
        <w:t>第</w:t>
      </w:r>
      <w:r>
        <w:rPr>
          <w:rFonts w:hint="eastAsia" w:hAnsi="宋体"/>
          <w:color w:val="auto"/>
          <w:szCs w:val="24"/>
        </w:rPr>
        <w:t>三</w:t>
      </w:r>
      <w:r>
        <w:rPr>
          <w:rFonts w:hAnsi="宋体"/>
          <w:color w:val="auto"/>
          <w:szCs w:val="24"/>
        </w:rPr>
        <w:t>章</w:t>
      </w:r>
      <w:r>
        <w:rPr>
          <w:rFonts w:hint="eastAsia" w:hAnsi="宋体"/>
          <w:color w:val="auto"/>
          <w:szCs w:val="24"/>
        </w:rPr>
        <w:t xml:space="preserve"> 合同条款及格式    </w:t>
      </w:r>
    </w:p>
    <w:p w14:paraId="61F33DF2">
      <w:pPr>
        <w:spacing w:line="360" w:lineRule="auto"/>
        <w:ind w:firstLine="480" w:firstLineChars="200"/>
        <w:rPr>
          <w:rFonts w:hint="eastAsia" w:hAnsi="宋体"/>
          <w:color w:val="auto"/>
          <w:szCs w:val="24"/>
        </w:rPr>
      </w:pPr>
      <w:r>
        <w:rPr>
          <w:rFonts w:hAnsi="宋体"/>
          <w:color w:val="auto"/>
          <w:szCs w:val="24"/>
        </w:rPr>
        <w:t>第</w:t>
      </w:r>
      <w:r>
        <w:rPr>
          <w:rFonts w:hint="eastAsia" w:hAnsi="宋体"/>
          <w:color w:val="auto"/>
          <w:szCs w:val="24"/>
        </w:rPr>
        <w:t>四</w:t>
      </w:r>
      <w:r>
        <w:rPr>
          <w:rFonts w:hAnsi="宋体"/>
          <w:color w:val="auto"/>
          <w:szCs w:val="24"/>
        </w:rPr>
        <w:t xml:space="preserve">章 </w:t>
      </w:r>
      <w:r>
        <w:rPr>
          <w:rFonts w:hint="eastAsia" w:hAnsi="宋体"/>
          <w:color w:val="auto"/>
          <w:szCs w:val="24"/>
        </w:rPr>
        <w:t>磋商</w:t>
      </w:r>
      <w:r>
        <w:rPr>
          <w:rFonts w:hAnsi="宋体"/>
          <w:color w:val="auto"/>
          <w:szCs w:val="24"/>
        </w:rPr>
        <w:t>内容及技术要求</w:t>
      </w:r>
    </w:p>
    <w:p w14:paraId="38C3B545">
      <w:pPr>
        <w:spacing w:line="360" w:lineRule="auto"/>
        <w:ind w:firstLine="480" w:firstLineChars="200"/>
        <w:rPr>
          <w:rFonts w:hint="eastAsia" w:hAnsi="宋体"/>
          <w:color w:val="auto"/>
          <w:szCs w:val="24"/>
        </w:rPr>
      </w:pPr>
      <w:r>
        <w:rPr>
          <w:rFonts w:hAnsi="宋体"/>
          <w:color w:val="auto"/>
          <w:szCs w:val="24"/>
        </w:rPr>
        <w:t>第</w:t>
      </w:r>
      <w:r>
        <w:rPr>
          <w:rFonts w:hint="eastAsia" w:hAnsi="宋体"/>
          <w:color w:val="auto"/>
          <w:szCs w:val="24"/>
        </w:rPr>
        <w:t>五</w:t>
      </w:r>
      <w:r>
        <w:rPr>
          <w:rFonts w:hAnsi="宋体"/>
          <w:color w:val="auto"/>
          <w:szCs w:val="24"/>
        </w:rPr>
        <w:t>章</w:t>
      </w:r>
      <w:r>
        <w:rPr>
          <w:rFonts w:hint="eastAsia" w:hAnsi="宋体"/>
          <w:color w:val="auto"/>
          <w:szCs w:val="24"/>
        </w:rPr>
        <w:t xml:space="preserve"> 评审方法</w:t>
      </w:r>
    </w:p>
    <w:p w14:paraId="4AC5963F">
      <w:pPr>
        <w:spacing w:line="360" w:lineRule="auto"/>
        <w:ind w:firstLine="480" w:firstLineChars="200"/>
        <w:rPr>
          <w:rFonts w:hint="eastAsia" w:hAnsi="宋体"/>
          <w:color w:val="auto"/>
          <w:szCs w:val="24"/>
        </w:rPr>
      </w:pPr>
      <w:r>
        <w:rPr>
          <w:rFonts w:hint="eastAsia" w:hAnsi="宋体"/>
          <w:color w:val="auto"/>
          <w:szCs w:val="24"/>
        </w:rPr>
        <w:t>第六章 竞争性磋商响应</w:t>
      </w:r>
      <w:r>
        <w:rPr>
          <w:rFonts w:hAnsi="宋体"/>
          <w:color w:val="auto"/>
          <w:szCs w:val="24"/>
        </w:rPr>
        <w:t xml:space="preserve">文件构成及格式  </w:t>
      </w:r>
    </w:p>
    <w:p w14:paraId="4FE5ACCE">
      <w:pPr>
        <w:spacing w:line="360" w:lineRule="auto"/>
        <w:ind w:firstLine="480" w:firstLineChars="200"/>
        <w:rPr>
          <w:rFonts w:hAnsi="宋体"/>
          <w:color w:val="auto"/>
          <w:szCs w:val="24"/>
        </w:rPr>
      </w:pPr>
      <w:r>
        <w:rPr>
          <w:rFonts w:hAnsi="宋体"/>
          <w:color w:val="auto"/>
          <w:szCs w:val="24"/>
        </w:rPr>
        <w:t>6.2</w:t>
      </w:r>
      <w:r>
        <w:rPr>
          <w:rFonts w:hint="eastAsia" w:hAnsi="宋体"/>
          <w:color w:val="auto"/>
          <w:szCs w:val="24"/>
        </w:rPr>
        <w:t xml:space="preserve"> 供应商</w:t>
      </w:r>
      <w:r>
        <w:rPr>
          <w:rFonts w:hAnsi="宋体"/>
          <w:color w:val="auto"/>
          <w:szCs w:val="24"/>
        </w:rPr>
        <w:t>应认真阅读</w:t>
      </w:r>
      <w:r>
        <w:rPr>
          <w:rFonts w:hint="eastAsia" w:hAnsi="宋体"/>
          <w:color w:val="auto"/>
          <w:szCs w:val="24"/>
        </w:rPr>
        <w:t>竞争性磋商</w:t>
      </w:r>
      <w:r>
        <w:rPr>
          <w:rFonts w:hAnsi="宋体"/>
          <w:color w:val="auto"/>
          <w:szCs w:val="24"/>
        </w:rPr>
        <w:t>文件中所有的事项、格式、条款和规范等要求。如果</w:t>
      </w:r>
      <w:r>
        <w:rPr>
          <w:rFonts w:hint="eastAsia" w:hAnsi="宋体"/>
          <w:color w:val="auto"/>
          <w:szCs w:val="24"/>
        </w:rPr>
        <w:t>供应商</w:t>
      </w:r>
      <w:r>
        <w:rPr>
          <w:rFonts w:hAnsi="宋体"/>
          <w:color w:val="auto"/>
          <w:szCs w:val="24"/>
        </w:rPr>
        <w:t>没有按照</w:t>
      </w:r>
      <w:r>
        <w:rPr>
          <w:rFonts w:hint="eastAsia" w:hAnsi="宋体"/>
          <w:color w:val="auto"/>
          <w:szCs w:val="24"/>
        </w:rPr>
        <w:t>竞争性磋商</w:t>
      </w:r>
      <w:r>
        <w:rPr>
          <w:rFonts w:hAnsi="宋体"/>
          <w:color w:val="auto"/>
          <w:szCs w:val="24"/>
        </w:rPr>
        <w:t>文件要求提交全部资料，或者</w:t>
      </w:r>
      <w:r>
        <w:rPr>
          <w:rFonts w:hint="eastAsia" w:hAnsi="宋体"/>
          <w:color w:val="auto"/>
          <w:szCs w:val="24"/>
        </w:rPr>
        <w:t>竞争性磋商响应</w:t>
      </w:r>
      <w:r>
        <w:rPr>
          <w:rFonts w:hAnsi="宋体"/>
          <w:color w:val="auto"/>
          <w:szCs w:val="24"/>
        </w:rPr>
        <w:t>文件没有对</w:t>
      </w:r>
      <w:r>
        <w:rPr>
          <w:rFonts w:hint="eastAsia" w:hAnsi="宋体"/>
          <w:color w:val="auto"/>
          <w:szCs w:val="24"/>
        </w:rPr>
        <w:t>竞争性磋商</w:t>
      </w:r>
      <w:r>
        <w:rPr>
          <w:rFonts w:hAnsi="宋体"/>
          <w:color w:val="auto"/>
          <w:szCs w:val="24"/>
        </w:rPr>
        <w:t>文件在各方面都做出实质性响应，由此带来不利于</w:t>
      </w:r>
      <w:r>
        <w:rPr>
          <w:rFonts w:hint="eastAsia" w:hAnsi="宋体"/>
          <w:color w:val="auto"/>
          <w:szCs w:val="24"/>
        </w:rPr>
        <w:t>供应商</w:t>
      </w:r>
      <w:r>
        <w:rPr>
          <w:rFonts w:hAnsi="宋体"/>
          <w:color w:val="auto"/>
          <w:szCs w:val="24"/>
        </w:rPr>
        <w:t>的</w:t>
      </w:r>
      <w:r>
        <w:rPr>
          <w:rFonts w:hint="eastAsia" w:hAnsi="宋体"/>
          <w:color w:val="auto"/>
          <w:szCs w:val="24"/>
        </w:rPr>
        <w:t>磋商</w:t>
      </w:r>
      <w:r>
        <w:rPr>
          <w:rFonts w:hAnsi="宋体"/>
          <w:color w:val="auto"/>
          <w:szCs w:val="24"/>
        </w:rPr>
        <w:t>结果，其风险由</w:t>
      </w:r>
      <w:r>
        <w:rPr>
          <w:rFonts w:hint="eastAsia" w:hAnsi="宋体"/>
          <w:color w:val="auto"/>
          <w:szCs w:val="24"/>
        </w:rPr>
        <w:t>供应商</w:t>
      </w:r>
      <w:r>
        <w:rPr>
          <w:rFonts w:hAnsi="宋体"/>
          <w:color w:val="auto"/>
          <w:szCs w:val="24"/>
        </w:rPr>
        <w:t>承担。</w:t>
      </w:r>
    </w:p>
    <w:p w14:paraId="53D3E7F3">
      <w:pPr>
        <w:spacing w:line="360" w:lineRule="auto"/>
        <w:ind w:firstLine="480" w:firstLineChars="200"/>
        <w:rPr>
          <w:rFonts w:hAnsi="宋体"/>
          <w:color w:val="auto"/>
          <w:szCs w:val="24"/>
        </w:rPr>
      </w:pPr>
      <w:r>
        <w:rPr>
          <w:rFonts w:hAnsi="宋体"/>
          <w:color w:val="auto"/>
          <w:szCs w:val="24"/>
        </w:rPr>
        <w:t>6.3本</w:t>
      </w:r>
      <w:r>
        <w:rPr>
          <w:rFonts w:hint="eastAsia" w:hAnsi="宋体"/>
          <w:color w:val="auto"/>
          <w:szCs w:val="24"/>
        </w:rPr>
        <w:t>竞争性磋商</w:t>
      </w:r>
      <w:r>
        <w:rPr>
          <w:rFonts w:hAnsi="宋体"/>
          <w:color w:val="auto"/>
          <w:szCs w:val="24"/>
        </w:rPr>
        <w:t>文件的解释权归</w:t>
      </w:r>
      <w:r>
        <w:rPr>
          <w:rFonts w:hint="eastAsia" w:hAnsi="宋体"/>
          <w:color w:val="auto"/>
          <w:szCs w:val="24"/>
        </w:rPr>
        <w:t>榆林市恒易达工程项目管理有限公司，</w:t>
      </w:r>
      <w:r>
        <w:rPr>
          <w:rFonts w:hAnsi="宋体"/>
          <w:color w:val="auto"/>
          <w:szCs w:val="24"/>
        </w:rPr>
        <w:t>如发现</w:t>
      </w:r>
      <w:r>
        <w:rPr>
          <w:rFonts w:hint="eastAsia" w:hAnsi="宋体"/>
          <w:color w:val="auto"/>
          <w:szCs w:val="24"/>
        </w:rPr>
        <w:t>竞争性磋商响应</w:t>
      </w:r>
      <w:r>
        <w:rPr>
          <w:rFonts w:hAnsi="宋体"/>
          <w:color w:val="auto"/>
          <w:szCs w:val="24"/>
        </w:rPr>
        <w:t>文件内容与现行法律法规不相符的情况，以现行法律法规为准。</w:t>
      </w:r>
    </w:p>
    <w:p w14:paraId="5A939FDE">
      <w:pPr>
        <w:spacing w:line="360" w:lineRule="auto"/>
        <w:rPr>
          <w:rFonts w:hAnsi="宋体"/>
          <w:b/>
          <w:color w:val="auto"/>
          <w:szCs w:val="24"/>
        </w:rPr>
      </w:pPr>
      <w:r>
        <w:rPr>
          <w:rFonts w:hAnsi="宋体"/>
          <w:b/>
          <w:color w:val="auto"/>
          <w:szCs w:val="24"/>
        </w:rPr>
        <w:t>7.</w:t>
      </w:r>
      <w:r>
        <w:rPr>
          <w:rFonts w:hint="eastAsia" w:hAnsi="宋体"/>
          <w:b/>
          <w:color w:val="auto"/>
          <w:szCs w:val="24"/>
        </w:rPr>
        <w:t>竞争性磋商文</w:t>
      </w:r>
      <w:r>
        <w:rPr>
          <w:rFonts w:hAnsi="宋体"/>
          <w:b/>
          <w:color w:val="auto"/>
          <w:szCs w:val="24"/>
        </w:rPr>
        <w:t>件的修改和澄清</w:t>
      </w:r>
    </w:p>
    <w:p w14:paraId="3A83940F">
      <w:pPr>
        <w:spacing w:line="360" w:lineRule="auto"/>
        <w:ind w:firstLine="480" w:firstLineChars="200"/>
        <w:rPr>
          <w:rFonts w:hAnsi="宋体"/>
          <w:color w:val="auto"/>
          <w:szCs w:val="24"/>
        </w:rPr>
      </w:pPr>
      <w:r>
        <w:rPr>
          <w:rFonts w:hAnsi="宋体"/>
          <w:color w:val="auto"/>
          <w:szCs w:val="24"/>
        </w:rPr>
        <w:t>7.1在</w:t>
      </w:r>
      <w:r>
        <w:rPr>
          <w:rFonts w:hint="eastAsia" w:hAnsi="宋体"/>
          <w:color w:val="auto"/>
          <w:szCs w:val="24"/>
        </w:rPr>
        <w:t>磋商响应文件</w:t>
      </w:r>
      <w:r>
        <w:rPr>
          <w:rFonts w:hAnsi="宋体"/>
          <w:color w:val="auto"/>
          <w:szCs w:val="24"/>
        </w:rPr>
        <w:t>截止时间</w:t>
      </w:r>
      <w:r>
        <w:rPr>
          <w:rFonts w:hint="eastAsia" w:hAnsi="宋体"/>
          <w:color w:val="auto"/>
          <w:szCs w:val="24"/>
        </w:rPr>
        <w:t>3日</w:t>
      </w:r>
      <w:r>
        <w:rPr>
          <w:rFonts w:hAnsi="宋体"/>
          <w:color w:val="auto"/>
          <w:szCs w:val="24"/>
        </w:rPr>
        <w:t>前，采购代理机构可以视采购具体情况，延长</w:t>
      </w:r>
      <w:r>
        <w:rPr>
          <w:rFonts w:hint="eastAsia" w:hAnsi="宋体"/>
          <w:color w:val="auto"/>
          <w:szCs w:val="24"/>
        </w:rPr>
        <w:t>竞争性磋商响应文件递交</w:t>
      </w:r>
      <w:r>
        <w:rPr>
          <w:rFonts w:hAnsi="宋体"/>
          <w:color w:val="auto"/>
          <w:szCs w:val="24"/>
        </w:rPr>
        <w:t>截止时间和</w:t>
      </w:r>
      <w:r>
        <w:rPr>
          <w:rFonts w:hint="eastAsia" w:hAnsi="宋体"/>
          <w:color w:val="auto"/>
          <w:szCs w:val="24"/>
        </w:rPr>
        <w:t>磋商</w:t>
      </w:r>
      <w:r>
        <w:rPr>
          <w:rFonts w:hAnsi="宋体"/>
          <w:color w:val="auto"/>
          <w:szCs w:val="24"/>
        </w:rPr>
        <w:t>时间</w:t>
      </w:r>
      <w:r>
        <w:rPr>
          <w:rFonts w:hint="eastAsia" w:hAnsi="宋体"/>
          <w:color w:val="auto"/>
          <w:szCs w:val="24"/>
        </w:rPr>
        <w:t>并</w:t>
      </w:r>
      <w:r>
        <w:rPr>
          <w:rFonts w:hAnsi="宋体"/>
          <w:color w:val="auto"/>
          <w:szCs w:val="24"/>
        </w:rPr>
        <w:t>在财政部门指定的媒体上发布变更公告，同时将变更时间书面通知所有</w:t>
      </w:r>
      <w:r>
        <w:rPr>
          <w:rFonts w:hint="eastAsia" w:hAnsi="宋体"/>
          <w:color w:val="auto"/>
          <w:szCs w:val="24"/>
        </w:rPr>
        <w:t>获取竞争性磋商</w:t>
      </w:r>
      <w:r>
        <w:rPr>
          <w:rFonts w:hAnsi="宋体"/>
          <w:color w:val="auto"/>
          <w:szCs w:val="24"/>
        </w:rPr>
        <w:t>文件的</w:t>
      </w:r>
      <w:r>
        <w:rPr>
          <w:rFonts w:hint="eastAsia" w:hAnsi="宋体"/>
          <w:color w:val="auto"/>
          <w:szCs w:val="24"/>
        </w:rPr>
        <w:t>供应商</w:t>
      </w:r>
      <w:r>
        <w:rPr>
          <w:rFonts w:hAnsi="宋体"/>
          <w:color w:val="auto"/>
          <w:szCs w:val="24"/>
        </w:rPr>
        <w:t>。</w:t>
      </w:r>
    </w:p>
    <w:p w14:paraId="75DF0616">
      <w:pPr>
        <w:spacing w:line="360" w:lineRule="auto"/>
        <w:ind w:firstLine="480" w:firstLineChars="200"/>
        <w:rPr>
          <w:rFonts w:hAnsi="宋体"/>
          <w:color w:val="auto"/>
          <w:szCs w:val="24"/>
        </w:rPr>
      </w:pPr>
      <w:r>
        <w:rPr>
          <w:rFonts w:hAnsi="宋体"/>
          <w:color w:val="auto"/>
          <w:szCs w:val="24"/>
        </w:rPr>
        <w:t>7.2采购</w:t>
      </w:r>
      <w:r>
        <w:rPr>
          <w:rFonts w:hint="eastAsia" w:hAnsi="宋体"/>
          <w:color w:val="auto"/>
          <w:szCs w:val="24"/>
        </w:rPr>
        <w:t>单位</w:t>
      </w:r>
      <w:r>
        <w:rPr>
          <w:rFonts w:hAnsi="宋体"/>
          <w:color w:val="auto"/>
          <w:szCs w:val="24"/>
        </w:rPr>
        <w:t>如果对已发出的</w:t>
      </w:r>
      <w:r>
        <w:rPr>
          <w:rFonts w:hint="eastAsia" w:hAnsi="宋体"/>
          <w:color w:val="auto"/>
          <w:szCs w:val="24"/>
        </w:rPr>
        <w:t>竞争性磋商</w:t>
      </w:r>
      <w:r>
        <w:rPr>
          <w:rFonts w:hAnsi="宋体"/>
          <w:color w:val="auto"/>
          <w:szCs w:val="24"/>
        </w:rPr>
        <w:t>文件进行</w:t>
      </w:r>
      <w:r>
        <w:rPr>
          <w:rFonts w:hint="eastAsia" w:hAnsi="宋体"/>
          <w:color w:val="auto"/>
          <w:szCs w:val="24"/>
        </w:rPr>
        <w:t>必要的澄清或者修改</w:t>
      </w:r>
      <w:r>
        <w:rPr>
          <w:rFonts w:hAnsi="宋体"/>
          <w:color w:val="auto"/>
          <w:szCs w:val="24"/>
        </w:rPr>
        <w:t>，将在</w:t>
      </w:r>
      <w:r>
        <w:rPr>
          <w:rFonts w:hint="eastAsia" w:hAnsi="宋体"/>
          <w:color w:val="auto"/>
          <w:szCs w:val="24"/>
        </w:rPr>
        <w:t>竞争性磋商</w:t>
      </w:r>
      <w:r>
        <w:rPr>
          <w:rFonts w:hAnsi="宋体"/>
          <w:color w:val="auto"/>
          <w:szCs w:val="24"/>
        </w:rPr>
        <w:t>文件要求提交</w:t>
      </w:r>
      <w:r>
        <w:rPr>
          <w:rFonts w:hint="eastAsia" w:hAnsi="宋体"/>
          <w:color w:val="auto"/>
          <w:szCs w:val="24"/>
        </w:rPr>
        <w:t>竞争性磋商响应文件</w:t>
      </w:r>
      <w:r>
        <w:rPr>
          <w:rFonts w:hAnsi="宋体"/>
          <w:color w:val="auto"/>
          <w:szCs w:val="24"/>
        </w:rPr>
        <w:t>截止时间</w:t>
      </w:r>
      <w:r>
        <w:rPr>
          <w:rFonts w:hint="eastAsia" w:hAnsi="宋体"/>
          <w:color w:val="auto"/>
          <w:szCs w:val="24"/>
        </w:rPr>
        <w:t>3个工作日前</w:t>
      </w:r>
      <w:r>
        <w:rPr>
          <w:rFonts w:hAnsi="宋体"/>
          <w:color w:val="auto"/>
          <w:szCs w:val="24"/>
        </w:rPr>
        <w:t>，以书面形式通知所有</w:t>
      </w:r>
      <w:r>
        <w:rPr>
          <w:rFonts w:hint="eastAsia" w:hAnsi="宋体"/>
          <w:color w:val="auto"/>
          <w:szCs w:val="24"/>
        </w:rPr>
        <w:t>获取竞争性磋商</w:t>
      </w:r>
      <w:r>
        <w:rPr>
          <w:rFonts w:hAnsi="宋体"/>
          <w:color w:val="auto"/>
          <w:szCs w:val="24"/>
        </w:rPr>
        <w:t>文件的</w:t>
      </w:r>
      <w:r>
        <w:rPr>
          <w:rFonts w:hint="eastAsia" w:hAnsi="宋体"/>
          <w:color w:val="auto"/>
          <w:szCs w:val="24"/>
        </w:rPr>
        <w:t>供应商</w:t>
      </w:r>
      <w:r>
        <w:rPr>
          <w:rFonts w:hAnsi="宋体"/>
          <w:color w:val="auto"/>
          <w:szCs w:val="24"/>
        </w:rPr>
        <w:t>。该澄清或者修改的内容为</w:t>
      </w:r>
      <w:r>
        <w:rPr>
          <w:rFonts w:hint="eastAsia" w:hAnsi="宋体"/>
          <w:color w:val="auto"/>
          <w:szCs w:val="24"/>
        </w:rPr>
        <w:t>竞争性磋商</w:t>
      </w:r>
      <w:r>
        <w:rPr>
          <w:rFonts w:hAnsi="宋体"/>
          <w:color w:val="auto"/>
          <w:szCs w:val="24"/>
        </w:rPr>
        <w:t>文件的组成部分。</w:t>
      </w:r>
    </w:p>
    <w:p w14:paraId="69E59BD9">
      <w:pPr>
        <w:spacing w:line="360" w:lineRule="auto"/>
        <w:ind w:firstLine="480" w:firstLineChars="200"/>
        <w:rPr>
          <w:rFonts w:hAnsi="宋体"/>
          <w:color w:val="auto"/>
          <w:szCs w:val="24"/>
        </w:rPr>
      </w:pPr>
      <w:r>
        <w:rPr>
          <w:rFonts w:hAnsi="宋体"/>
          <w:color w:val="auto"/>
          <w:szCs w:val="24"/>
        </w:rPr>
        <w:t>7.3已经购买</w:t>
      </w:r>
      <w:r>
        <w:rPr>
          <w:rFonts w:hint="eastAsia" w:hAnsi="宋体"/>
          <w:color w:val="auto"/>
          <w:szCs w:val="24"/>
        </w:rPr>
        <w:t>竞争性磋商</w:t>
      </w:r>
      <w:r>
        <w:rPr>
          <w:rFonts w:hAnsi="宋体"/>
          <w:color w:val="auto"/>
          <w:szCs w:val="24"/>
        </w:rPr>
        <w:t>文件的</w:t>
      </w:r>
      <w:r>
        <w:rPr>
          <w:rFonts w:hint="eastAsia" w:hAnsi="宋体"/>
          <w:color w:val="auto"/>
          <w:szCs w:val="24"/>
        </w:rPr>
        <w:t>供应商</w:t>
      </w:r>
      <w:r>
        <w:rPr>
          <w:rFonts w:hAnsi="宋体"/>
          <w:color w:val="auto"/>
          <w:szCs w:val="24"/>
        </w:rPr>
        <w:t>对</w:t>
      </w:r>
      <w:r>
        <w:rPr>
          <w:rFonts w:hint="eastAsia" w:hAnsi="宋体"/>
          <w:color w:val="auto"/>
          <w:szCs w:val="24"/>
        </w:rPr>
        <w:t>竞争性磋商</w:t>
      </w:r>
      <w:r>
        <w:rPr>
          <w:rFonts w:hAnsi="宋体"/>
          <w:color w:val="auto"/>
          <w:szCs w:val="24"/>
        </w:rPr>
        <w:t>文件有疑问的，均应在</w:t>
      </w:r>
      <w:r>
        <w:rPr>
          <w:rFonts w:hint="eastAsia" w:hAnsi="宋体"/>
          <w:color w:val="auto"/>
          <w:szCs w:val="24"/>
        </w:rPr>
        <w:t>磋商</w:t>
      </w:r>
      <w:r>
        <w:rPr>
          <w:rFonts w:hAnsi="宋体"/>
          <w:color w:val="auto"/>
          <w:szCs w:val="24"/>
        </w:rPr>
        <w:t>截止日期</w:t>
      </w:r>
      <w:r>
        <w:rPr>
          <w:rFonts w:hint="eastAsia" w:hAnsi="宋体"/>
          <w:color w:val="auto"/>
          <w:szCs w:val="24"/>
        </w:rPr>
        <w:t>2日</w:t>
      </w:r>
      <w:r>
        <w:rPr>
          <w:rFonts w:hAnsi="宋体"/>
          <w:color w:val="auto"/>
          <w:szCs w:val="24"/>
        </w:rPr>
        <w:t>前以书面形式向采购代理机构提出。</w:t>
      </w:r>
      <w:r>
        <w:rPr>
          <w:rFonts w:hint="eastAsia" w:hAnsi="宋体"/>
          <w:color w:val="auto"/>
          <w:szCs w:val="24"/>
        </w:rPr>
        <w:t>采购代理机构视情况</w:t>
      </w:r>
      <w:r>
        <w:rPr>
          <w:rFonts w:hAnsi="宋体"/>
          <w:color w:val="auto"/>
          <w:szCs w:val="24"/>
        </w:rPr>
        <w:t>必要时将书面答复传送给</w:t>
      </w:r>
      <w:r>
        <w:rPr>
          <w:rFonts w:hint="eastAsia" w:hAnsi="宋体"/>
          <w:color w:val="auto"/>
          <w:szCs w:val="24"/>
        </w:rPr>
        <w:t>所有获取竞争性磋商</w:t>
      </w:r>
      <w:r>
        <w:rPr>
          <w:rFonts w:hAnsi="宋体"/>
          <w:color w:val="auto"/>
          <w:szCs w:val="24"/>
        </w:rPr>
        <w:t>文件的</w:t>
      </w:r>
      <w:r>
        <w:rPr>
          <w:rFonts w:hint="eastAsia" w:hAnsi="宋体"/>
          <w:color w:val="auto"/>
          <w:szCs w:val="24"/>
        </w:rPr>
        <w:t>供应商</w:t>
      </w:r>
      <w:r>
        <w:rPr>
          <w:rFonts w:hAnsi="宋体"/>
          <w:color w:val="auto"/>
          <w:szCs w:val="24"/>
        </w:rPr>
        <w:t>。</w:t>
      </w:r>
    </w:p>
    <w:p w14:paraId="78E6E05E">
      <w:pPr>
        <w:spacing w:line="360" w:lineRule="auto"/>
        <w:ind w:firstLine="480" w:firstLineChars="200"/>
        <w:rPr>
          <w:rFonts w:hAnsi="宋体"/>
          <w:color w:val="auto"/>
          <w:szCs w:val="24"/>
        </w:rPr>
      </w:pPr>
      <w:r>
        <w:rPr>
          <w:rFonts w:hint="eastAsia" w:hAnsi="宋体"/>
          <w:color w:val="auto"/>
          <w:szCs w:val="24"/>
        </w:rPr>
        <w:t>7.4供应商在收到上述通知后，应立即向采购代理机构回函确认。</w:t>
      </w:r>
    </w:p>
    <w:p w14:paraId="30BC2367">
      <w:pPr>
        <w:keepNext/>
        <w:keepLines/>
        <w:spacing w:before="240" w:beforeLines="100" w:after="120" w:afterLines="50" w:line="360" w:lineRule="auto"/>
        <w:jc w:val="center"/>
        <w:rPr>
          <w:rFonts w:hAnsi="宋体"/>
          <w:b/>
          <w:color w:val="auto"/>
          <w:sz w:val="32"/>
          <w:szCs w:val="32"/>
        </w:rPr>
      </w:pPr>
      <w:bookmarkStart w:id="32" w:name="_Toc403077641"/>
      <w:bookmarkStart w:id="33" w:name="_Toc363474019"/>
      <w:bookmarkStart w:id="34" w:name="_Toc363473974"/>
      <w:r>
        <w:rPr>
          <w:rFonts w:hAnsi="宋体"/>
          <w:b/>
          <w:color w:val="auto"/>
          <w:sz w:val="32"/>
          <w:szCs w:val="32"/>
        </w:rPr>
        <w:t>三.</w:t>
      </w:r>
      <w:r>
        <w:rPr>
          <w:rFonts w:hint="eastAsia" w:hAnsi="宋体"/>
          <w:b/>
          <w:color w:val="auto"/>
          <w:sz w:val="32"/>
          <w:szCs w:val="32"/>
        </w:rPr>
        <w:t>磋商响应</w:t>
      </w:r>
      <w:r>
        <w:rPr>
          <w:rFonts w:hAnsi="宋体"/>
          <w:b/>
          <w:color w:val="auto"/>
          <w:sz w:val="32"/>
          <w:szCs w:val="32"/>
        </w:rPr>
        <w:t>文件的编制</w:t>
      </w:r>
      <w:bookmarkEnd w:id="32"/>
      <w:bookmarkEnd w:id="33"/>
      <w:bookmarkEnd w:id="34"/>
    </w:p>
    <w:p w14:paraId="71471BCD">
      <w:pPr>
        <w:spacing w:line="360" w:lineRule="auto"/>
        <w:rPr>
          <w:rFonts w:hAnsi="宋体"/>
          <w:b/>
          <w:color w:val="auto"/>
          <w:szCs w:val="24"/>
        </w:rPr>
      </w:pPr>
      <w:r>
        <w:rPr>
          <w:rFonts w:hint="eastAsia" w:hAnsi="宋体"/>
          <w:b/>
          <w:color w:val="auto"/>
          <w:szCs w:val="24"/>
        </w:rPr>
        <w:t>8</w:t>
      </w:r>
      <w:r>
        <w:rPr>
          <w:rFonts w:hAnsi="宋体"/>
          <w:b/>
          <w:color w:val="auto"/>
          <w:szCs w:val="24"/>
        </w:rPr>
        <w:t xml:space="preserve">. </w:t>
      </w:r>
      <w:r>
        <w:rPr>
          <w:rFonts w:hint="eastAsia" w:hAnsi="宋体"/>
          <w:b/>
          <w:color w:val="auto"/>
          <w:szCs w:val="24"/>
        </w:rPr>
        <w:t>磋商</w:t>
      </w:r>
      <w:r>
        <w:rPr>
          <w:rFonts w:hAnsi="宋体"/>
          <w:b/>
          <w:color w:val="auto"/>
          <w:szCs w:val="24"/>
        </w:rPr>
        <w:t>语言和</w:t>
      </w:r>
      <w:r>
        <w:rPr>
          <w:rFonts w:hint="eastAsia" w:hAnsi="宋体"/>
          <w:b/>
          <w:color w:val="auto"/>
          <w:szCs w:val="24"/>
        </w:rPr>
        <w:t>磋商</w:t>
      </w:r>
      <w:r>
        <w:rPr>
          <w:rFonts w:hAnsi="宋体"/>
          <w:b/>
          <w:color w:val="auto"/>
          <w:szCs w:val="24"/>
        </w:rPr>
        <w:t>货币</w:t>
      </w:r>
    </w:p>
    <w:p w14:paraId="779A8DE7">
      <w:pPr>
        <w:spacing w:line="360" w:lineRule="auto"/>
        <w:ind w:firstLine="480" w:firstLineChars="200"/>
        <w:rPr>
          <w:rFonts w:hAnsi="宋体"/>
          <w:b/>
          <w:color w:val="auto"/>
          <w:szCs w:val="24"/>
        </w:rPr>
      </w:pPr>
      <w:r>
        <w:rPr>
          <w:rFonts w:hint="eastAsia" w:hAnsi="宋体"/>
          <w:color w:val="auto"/>
          <w:szCs w:val="24"/>
        </w:rPr>
        <w:t>8</w:t>
      </w:r>
      <w:r>
        <w:rPr>
          <w:rFonts w:hAnsi="宋体"/>
          <w:color w:val="auto"/>
          <w:szCs w:val="24"/>
        </w:rPr>
        <w:t>.1</w:t>
      </w:r>
      <w:r>
        <w:rPr>
          <w:rFonts w:hint="eastAsia" w:hAnsi="宋体"/>
          <w:color w:val="auto"/>
          <w:szCs w:val="24"/>
        </w:rPr>
        <w:t>供应商</w:t>
      </w:r>
      <w:r>
        <w:rPr>
          <w:rFonts w:hAnsi="宋体"/>
          <w:color w:val="auto"/>
          <w:szCs w:val="24"/>
        </w:rPr>
        <w:t>提交的</w:t>
      </w:r>
      <w:r>
        <w:rPr>
          <w:rFonts w:hint="eastAsia" w:hAnsi="宋体"/>
          <w:color w:val="auto"/>
          <w:szCs w:val="24"/>
        </w:rPr>
        <w:t>竞争性磋商响应</w:t>
      </w:r>
      <w:r>
        <w:rPr>
          <w:rFonts w:hAnsi="宋体"/>
          <w:color w:val="auto"/>
          <w:szCs w:val="24"/>
        </w:rPr>
        <w:t>文件以及</w:t>
      </w:r>
      <w:r>
        <w:rPr>
          <w:rFonts w:hint="eastAsia" w:hAnsi="宋体"/>
          <w:color w:val="auto"/>
          <w:szCs w:val="24"/>
        </w:rPr>
        <w:t>供应商</w:t>
      </w:r>
      <w:r>
        <w:rPr>
          <w:rFonts w:hAnsi="宋体"/>
          <w:color w:val="auto"/>
          <w:szCs w:val="24"/>
        </w:rPr>
        <w:t>与采购代理机构就有关</w:t>
      </w:r>
      <w:r>
        <w:rPr>
          <w:rFonts w:hint="eastAsia" w:hAnsi="宋体"/>
          <w:color w:val="auto"/>
          <w:szCs w:val="24"/>
        </w:rPr>
        <w:t>磋商</w:t>
      </w:r>
      <w:r>
        <w:rPr>
          <w:rFonts w:hAnsi="宋体"/>
          <w:color w:val="auto"/>
          <w:szCs w:val="24"/>
        </w:rPr>
        <w:t>的所有来往函电均应使用中文。</w:t>
      </w:r>
    </w:p>
    <w:p w14:paraId="59DE7550">
      <w:pPr>
        <w:spacing w:line="360" w:lineRule="auto"/>
        <w:ind w:firstLine="480" w:firstLineChars="200"/>
        <w:rPr>
          <w:rFonts w:hAnsi="宋体"/>
          <w:color w:val="auto"/>
          <w:szCs w:val="24"/>
        </w:rPr>
      </w:pPr>
      <w:r>
        <w:rPr>
          <w:rFonts w:hint="eastAsia" w:hAnsi="宋体"/>
          <w:color w:val="auto"/>
          <w:szCs w:val="24"/>
        </w:rPr>
        <w:t>8</w:t>
      </w:r>
      <w:r>
        <w:rPr>
          <w:rFonts w:hAnsi="宋体"/>
          <w:color w:val="auto"/>
          <w:szCs w:val="24"/>
        </w:rPr>
        <w:t>.2</w:t>
      </w:r>
      <w:r>
        <w:rPr>
          <w:rFonts w:hint="eastAsia" w:hAnsi="宋体"/>
          <w:color w:val="auto"/>
          <w:szCs w:val="24"/>
        </w:rPr>
        <w:t>磋商</w:t>
      </w:r>
      <w:r>
        <w:rPr>
          <w:rFonts w:hAnsi="宋体"/>
          <w:color w:val="auto"/>
          <w:szCs w:val="24"/>
        </w:rPr>
        <w:t>应以人民币报价。任何包含非人民币报价的</w:t>
      </w:r>
      <w:r>
        <w:rPr>
          <w:rFonts w:hint="eastAsia" w:hAnsi="宋体"/>
          <w:color w:val="auto"/>
          <w:szCs w:val="24"/>
        </w:rPr>
        <w:t>磋商</w:t>
      </w:r>
      <w:r>
        <w:rPr>
          <w:rFonts w:hAnsi="宋体"/>
          <w:color w:val="auto"/>
          <w:szCs w:val="24"/>
        </w:rPr>
        <w:t>将</w:t>
      </w:r>
      <w:r>
        <w:rPr>
          <w:rFonts w:hint="eastAsia" w:hAnsi="宋体"/>
          <w:color w:val="auto"/>
          <w:szCs w:val="24"/>
        </w:rPr>
        <w:t>按无效磋商处理</w:t>
      </w:r>
      <w:r>
        <w:rPr>
          <w:rFonts w:hAnsi="宋体"/>
          <w:color w:val="auto"/>
          <w:szCs w:val="24"/>
        </w:rPr>
        <w:t>。</w:t>
      </w:r>
    </w:p>
    <w:p w14:paraId="006F765E">
      <w:pPr>
        <w:spacing w:line="360" w:lineRule="auto"/>
        <w:rPr>
          <w:rFonts w:hAnsi="宋体"/>
          <w:b/>
          <w:color w:val="auto"/>
          <w:szCs w:val="24"/>
        </w:rPr>
      </w:pPr>
      <w:r>
        <w:rPr>
          <w:rFonts w:hint="eastAsia" w:hAnsi="宋体"/>
          <w:b/>
          <w:color w:val="auto"/>
          <w:szCs w:val="24"/>
        </w:rPr>
        <w:t>9</w:t>
      </w:r>
      <w:r>
        <w:rPr>
          <w:rFonts w:hAnsi="宋体"/>
          <w:b/>
          <w:color w:val="auto"/>
          <w:szCs w:val="24"/>
        </w:rPr>
        <w:t>.</w:t>
      </w:r>
      <w:r>
        <w:rPr>
          <w:rFonts w:hint="eastAsia" w:hAnsi="宋体"/>
          <w:b/>
          <w:color w:val="auto"/>
          <w:szCs w:val="24"/>
        </w:rPr>
        <w:t>竞争性磋商响应</w:t>
      </w:r>
      <w:r>
        <w:rPr>
          <w:rFonts w:hAnsi="宋体"/>
          <w:b/>
          <w:color w:val="auto"/>
          <w:szCs w:val="24"/>
        </w:rPr>
        <w:t>文件的构成</w:t>
      </w:r>
    </w:p>
    <w:p w14:paraId="7BA13187">
      <w:pPr>
        <w:spacing w:line="360" w:lineRule="auto"/>
        <w:ind w:firstLine="480" w:firstLineChars="200"/>
        <w:rPr>
          <w:rFonts w:hint="eastAsia" w:hAnsi="宋体"/>
          <w:color w:val="auto"/>
          <w:szCs w:val="24"/>
        </w:rPr>
      </w:pPr>
      <w:r>
        <w:rPr>
          <w:rFonts w:hint="eastAsia" w:hAnsi="宋体"/>
          <w:color w:val="auto"/>
          <w:szCs w:val="24"/>
        </w:rPr>
        <w:t>9.1 供应商提交的竞争性磋商响应文件应包含下列部分的内容：</w:t>
      </w:r>
    </w:p>
    <w:p w14:paraId="6F35700A">
      <w:pPr>
        <w:spacing w:line="360" w:lineRule="auto"/>
        <w:ind w:firstLine="480" w:firstLineChars="200"/>
        <w:rPr>
          <w:rFonts w:hAnsi="宋体"/>
          <w:color w:val="auto"/>
          <w:szCs w:val="24"/>
        </w:rPr>
      </w:pPr>
      <w:r>
        <w:rPr>
          <w:rFonts w:hAnsi="宋体"/>
          <w:color w:val="auto"/>
          <w:szCs w:val="24"/>
        </w:rPr>
        <w:t>1） 按照</w:t>
      </w:r>
      <w:r>
        <w:rPr>
          <w:rFonts w:hint="eastAsia" w:hAnsi="宋体"/>
          <w:color w:val="auto"/>
          <w:szCs w:val="24"/>
        </w:rPr>
        <w:t>供应商</w:t>
      </w:r>
      <w:r>
        <w:rPr>
          <w:rFonts w:hAnsi="宋体"/>
          <w:color w:val="auto"/>
          <w:szCs w:val="24"/>
        </w:rPr>
        <w:t>须知的要求和</w:t>
      </w:r>
      <w:r>
        <w:rPr>
          <w:rFonts w:hint="eastAsia" w:hAnsi="宋体"/>
          <w:color w:val="auto"/>
          <w:szCs w:val="24"/>
        </w:rPr>
        <w:t>竞争性磋商文件</w:t>
      </w:r>
      <w:r>
        <w:rPr>
          <w:rFonts w:hAnsi="宋体"/>
          <w:color w:val="auto"/>
          <w:szCs w:val="24"/>
        </w:rPr>
        <w:t>规定格式填写</w:t>
      </w:r>
      <w:r>
        <w:rPr>
          <w:rFonts w:hint="eastAsia" w:hAnsi="宋体"/>
          <w:color w:val="auto"/>
          <w:szCs w:val="24"/>
        </w:rPr>
        <w:t>的竞争性磋商响应函</w:t>
      </w:r>
      <w:r>
        <w:rPr>
          <w:rFonts w:hAnsi="宋体"/>
          <w:color w:val="auto"/>
          <w:szCs w:val="24"/>
        </w:rPr>
        <w:t>、</w:t>
      </w:r>
      <w:r>
        <w:rPr>
          <w:rFonts w:hint="eastAsia" w:hAnsi="宋体"/>
          <w:color w:val="auto"/>
          <w:szCs w:val="24"/>
        </w:rPr>
        <w:t>磋商</w:t>
      </w:r>
      <w:r>
        <w:rPr>
          <w:rFonts w:hAnsi="宋体"/>
          <w:color w:val="auto"/>
          <w:szCs w:val="24"/>
        </w:rPr>
        <w:t>报价表</w:t>
      </w:r>
      <w:r>
        <w:rPr>
          <w:rFonts w:hint="eastAsia" w:hAnsi="宋体"/>
          <w:color w:val="auto"/>
          <w:szCs w:val="24"/>
        </w:rPr>
        <w:t>、</w:t>
      </w:r>
      <w:r>
        <w:rPr>
          <w:rFonts w:hAnsi="宋体"/>
          <w:color w:val="auto"/>
          <w:szCs w:val="24"/>
        </w:rPr>
        <w:t>法定代表人授权委托书。</w:t>
      </w:r>
    </w:p>
    <w:p w14:paraId="02D16E80">
      <w:pPr>
        <w:spacing w:line="360" w:lineRule="auto"/>
        <w:ind w:firstLine="480" w:firstLineChars="200"/>
        <w:rPr>
          <w:rFonts w:hint="eastAsia" w:hAnsi="宋体"/>
          <w:color w:val="auto"/>
          <w:szCs w:val="24"/>
        </w:rPr>
      </w:pPr>
      <w:r>
        <w:rPr>
          <w:rFonts w:hAnsi="宋体"/>
          <w:color w:val="auto"/>
          <w:szCs w:val="24"/>
        </w:rPr>
        <w:t>2）按照</w:t>
      </w:r>
      <w:r>
        <w:rPr>
          <w:rFonts w:hint="eastAsia" w:hAnsi="宋体"/>
          <w:color w:val="auto"/>
          <w:szCs w:val="24"/>
        </w:rPr>
        <w:t>竞争性磋商</w:t>
      </w:r>
      <w:r>
        <w:rPr>
          <w:rFonts w:hAnsi="宋体"/>
          <w:color w:val="auto"/>
          <w:szCs w:val="24"/>
        </w:rPr>
        <w:t>文件的要求编制的</w:t>
      </w:r>
      <w:r>
        <w:rPr>
          <w:rFonts w:hint="eastAsia" w:hAnsi="宋体"/>
          <w:color w:val="auto"/>
          <w:szCs w:val="24"/>
        </w:rPr>
        <w:t>磋商</w:t>
      </w:r>
      <w:r>
        <w:rPr>
          <w:rFonts w:hAnsi="宋体"/>
          <w:color w:val="auto"/>
          <w:szCs w:val="24"/>
        </w:rPr>
        <w:t>方案说明书，</w:t>
      </w:r>
      <w:r>
        <w:rPr>
          <w:rFonts w:hint="eastAsia" w:hAnsi="宋体"/>
          <w:color w:val="auto"/>
          <w:szCs w:val="24"/>
        </w:rPr>
        <w:t>内容至少应包括组织实施计划和服务的详细说明人员配备和售后服务承诺等。</w:t>
      </w:r>
    </w:p>
    <w:p w14:paraId="1968D6B8">
      <w:pPr>
        <w:spacing w:line="360" w:lineRule="auto"/>
        <w:ind w:firstLine="480" w:firstLineChars="200"/>
        <w:rPr>
          <w:rFonts w:hAnsi="宋体"/>
          <w:color w:val="auto"/>
          <w:szCs w:val="24"/>
        </w:rPr>
      </w:pPr>
      <w:r>
        <w:rPr>
          <w:rFonts w:hAnsi="宋体"/>
          <w:color w:val="auto"/>
          <w:szCs w:val="24"/>
        </w:rPr>
        <w:t>3）按照</w:t>
      </w:r>
      <w:r>
        <w:rPr>
          <w:rFonts w:hint="eastAsia" w:hAnsi="宋体"/>
          <w:color w:val="auto"/>
          <w:szCs w:val="24"/>
        </w:rPr>
        <w:t>竞争性磋商</w:t>
      </w:r>
      <w:r>
        <w:rPr>
          <w:rFonts w:hAnsi="宋体"/>
          <w:color w:val="auto"/>
          <w:szCs w:val="24"/>
        </w:rPr>
        <w:t>文件</w:t>
      </w:r>
      <w:r>
        <w:rPr>
          <w:rFonts w:hint="eastAsia" w:hAnsi="宋体"/>
          <w:color w:val="auto"/>
          <w:szCs w:val="24"/>
        </w:rPr>
        <w:t>供应商须知前附表</w:t>
      </w:r>
      <w:r>
        <w:rPr>
          <w:rFonts w:hAnsi="宋体"/>
          <w:color w:val="auto"/>
          <w:szCs w:val="24"/>
        </w:rPr>
        <w:t>的要求提交的资格证明文件；</w:t>
      </w:r>
    </w:p>
    <w:p w14:paraId="7F7375E7">
      <w:pPr>
        <w:spacing w:line="360" w:lineRule="auto"/>
        <w:ind w:firstLine="480" w:firstLineChars="200"/>
        <w:rPr>
          <w:rFonts w:hint="eastAsia" w:hAnsi="宋体"/>
          <w:color w:val="auto"/>
          <w:szCs w:val="24"/>
        </w:rPr>
      </w:pPr>
      <w:r>
        <w:rPr>
          <w:rFonts w:hAnsi="宋体"/>
          <w:color w:val="auto"/>
          <w:szCs w:val="24"/>
        </w:rPr>
        <w:t>4）按照本须知第14条要求提交的</w:t>
      </w:r>
      <w:r>
        <w:rPr>
          <w:rFonts w:hint="eastAsia" w:hAnsi="宋体"/>
          <w:color w:val="auto"/>
          <w:szCs w:val="24"/>
        </w:rPr>
        <w:t>磋商保证金</w:t>
      </w:r>
      <w:r>
        <w:rPr>
          <w:rFonts w:hAnsi="宋体"/>
          <w:color w:val="auto"/>
          <w:szCs w:val="24"/>
        </w:rPr>
        <w:t>。</w:t>
      </w:r>
    </w:p>
    <w:p w14:paraId="5FE7F02F">
      <w:pPr>
        <w:spacing w:line="360" w:lineRule="auto"/>
        <w:ind w:firstLine="480" w:firstLineChars="200"/>
        <w:rPr>
          <w:rFonts w:hint="eastAsia" w:hAnsi="宋体"/>
          <w:color w:val="auto"/>
          <w:szCs w:val="24"/>
        </w:rPr>
      </w:pPr>
      <w:r>
        <w:rPr>
          <w:rFonts w:hint="eastAsia" w:hAnsi="宋体"/>
          <w:color w:val="auto"/>
          <w:szCs w:val="24"/>
        </w:rPr>
        <w:t>5）竞争磋商</w:t>
      </w:r>
      <w:r>
        <w:rPr>
          <w:rFonts w:hAnsi="宋体"/>
          <w:color w:val="auto"/>
          <w:szCs w:val="24"/>
        </w:rPr>
        <w:t>文件</w:t>
      </w:r>
      <w:r>
        <w:rPr>
          <w:rFonts w:hint="eastAsia" w:hAnsi="宋体"/>
          <w:color w:val="auto"/>
          <w:szCs w:val="24"/>
        </w:rPr>
        <w:t>中要求的其他证明文件。</w:t>
      </w:r>
    </w:p>
    <w:p w14:paraId="3E21940B">
      <w:pPr>
        <w:spacing w:line="360" w:lineRule="auto"/>
        <w:ind w:firstLine="480" w:firstLineChars="200"/>
        <w:rPr>
          <w:rFonts w:hAnsi="宋体"/>
          <w:color w:val="auto"/>
          <w:szCs w:val="24"/>
        </w:rPr>
      </w:pPr>
      <w:r>
        <w:rPr>
          <w:rFonts w:hint="eastAsia" w:hAnsi="宋体"/>
          <w:color w:val="auto"/>
          <w:szCs w:val="24"/>
        </w:rPr>
        <w:t>9</w:t>
      </w:r>
      <w:r>
        <w:rPr>
          <w:rFonts w:hAnsi="宋体"/>
          <w:color w:val="auto"/>
          <w:szCs w:val="24"/>
        </w:rPr>
        <w:t>.2 如果在</w:t>
      </w:r>
      <w:r>
        <w:rPr>
          <w:rFonts w:hint="eastAsia" w:hAnsi="宋体"/>
          <w:color w:val="auto"/>
          <w:szCs w:val="24"/>
        </w:rPr>
        <w:t>竞争性磋商</w:t>
      </w:r>
      <w:r>
        <w:rPr>
          <w:rFonts w:hAnsi="宋体"/>
          <w:color w:val="auto"/>
          <w:szCs w:val="24"/>
        </w:rPr>
        <w:t>文件中没有允许提供备选方案，则每个</w:t>
      </w:r>
      <w:r>
        <w:rPr>
          <w:rFonts w:hint="eastAsia" w:hAnsi="宋体"/>
          <w:color w:val="auto"/>
          <w:szCs w:val="24"/>
        </w:rPr>
        <w:t>供应商</w:t>
      </w:r>
      <w:r>
        <w:rPr>
          <w:rFonts w:hAnsi="宋体"/>
          <w:color w:val="auto"/>
          <w:szCs w:val="24"/>
        </w:rPr>
        <w:t>只允许提交一个</w:t>
      </w:r>
      <w:r>
        <w:rPr>
          <w:rFonts w:hint="eastAsia" w:hAnsi="宋体"/>
          <w:color w:val="auto"/>
          <w:szCs w:val="24"/>
        </w:rPr>
        <w:t>磋商</w:t>
      </w:r>
      <w:r>
        <w:rPr>
          <w:rFonts w:hAnsi="宋体"/>
          <w:color w:val="auto"/>
          <w:szCs w:val="24"/>
        </w:rPr>
        <w:t>方案，否则，其</w:t>
      </w:r>
      <w:r>
        <w:rPr>
          <w:rFonts w:hint="eastAsia" w:hAnsi="宋体"/>
          <w:color w:val="auto"/>
          <w:szCs w:val="24"/>
        </w:rPr>
        <w:t>磋商</w:t>
      </w:r>
      <w:r>
        <w:rPr>
          <w:rFonts w:hAnsi="宋体"/>
          <w:color w:val="auto"/>
          <w:szCs w:val="24"/>
        </w:rPr>
        <w:t>将</w:t>
      </w:r>
      <w:r>
        <w:rPr>
          <w:rFonts w:hint="eastAsia" w:hAnsi="宋体"/>
          <w:color w:val="auto"/>
          <w:szCs w:val="24"/>
        </w:rPr>
        <w:t>按照无效磋商处理</w:t>
      </w:r>
      <w:r>
        <w:rPr>
          <w:rFonts w:hAnsi="宋体"/>
          <w:color w:val="auto"/>
          <w:szCs w:val="24"/>
        </w:rPr>
        <w:t>。</w:t>
      </w:r>
      <w:r>
        <w:rPr>
          <w:rFonts w:hint="eastAsia" w:hAnsi="宋体"/>
          <w:color w:val="auto"/>
          <w:szCs w:val="24"/>
        </w:rPr>
        <w:t xml:space="preserve">                                                                                                                                                                                                                                                                                                                                                                                                                                                                                                                                                                                                                                                                                                                                                                                                                                                                                                                                                                                                                                                                                                      </w:t>
      </w:r>
    </w:p>
    <w:p w14:paraId="5A8E8050">
      <w:pPr>
        <w:spacing w:line="360" w:lineRule="auto"/>
        <w:ind w:firstLine="480" w:firstLineChars="200"/>
        <w:rPr>
          <w:rFonts w:hint="eastAsia" w:hAnsi="宋体"/>
          <w:color w:val="auto"/>
          <w:szCs w:val="24"/>
        </w:rPr>
      </w:pPr>
      <w:r>
        <w:rPr>
          <w:rFonts w:hint="eastAsia" w:hAnsi="宋体"/>
          <w:color w:val="auto"/>
          <w:szCs w:val="24"/>
        </w:rPr>
        <w:t>9.3本次磋商的最小单元为“项目”，供应商可根据自身的资质情况和经营范围对本次项目进行磋商，不得将其子目再行分解或只对本次项目中的品目进行不完全磋商，任何不完全的响应将会被拒绝。</w:t>
      </w:r>
    </w:p>
    <w:p w14:paraId="15546557">
      <w:pPr>
        <w:spacing w:line="360" w:lineRule="auto"/>
        <w:rPr>
          <w:rFonts w:hAnsi="宋体"/>
          <w:b/>
          <w:color w:val="auto"/>
          <w:szCs w:val="24"/>
        </w:rPr>
      </w:pPr>
      <w:r>
        <w:rPr>
          <w:rFonts w:hint="eastAsia" w:hAnsi="宋体"/>
          <w:b/>
          <w:color w:val="auto"/>
          <w:szCs w:val="24"/>
        </w:rPr>
        <w:t>10</w:t>
      </w:r>
      <w:r>
        <w:rPr>
          <w:rFonts w:hAnsi="宋体"/>
          <w:b/>
          <w:color w:val="auto"/>
          <w:szCs w:val="24"/>
        </w:rPr>
        <w:t>.</w:t>
      </w:r>
      <w:r>
        <w:rPr>
          <w:rFonts w:hint="eastAsia" w:hAnsi="宋体"/>
          <w:b/>
          <w:color w:val="auto"/>
          <w:szCs w:val="24"/>
        </w:rPr>
        <w:t>竞争性磋商响应</w:t>
      </w:r>
      <w:r>
        <w:rPr>
          <w:rFonts w:hAnsi="宋体"/>
          <w:b/>
          <w:color w:val="auto"/>
          <w:szCs w:val="24"/>
        </w:rPr>
        <w:t>文件格式</w:t>
      </w:r>
      <w:r>
        <w:rPr>
          <w:rFonts w:hint="eastAsia" w:hAnsi="宋体"/>
          <w:b/>
          <w:color w:val="auto"/>
          <w:szCs w:val="24"/>
        </w:rPr>
        <w:t xml:space="preserve"> </w:t>
      </w:r>
    </w:p>
    <w:p w14:paraId="12EC8501">
      <w:pPr>
        <w:spacing w:line="360" w:lineRule="auto"/>
        <w:ind w:firstLine="480" w:firstLineChars="200"/>
        <w:rPr>
          <w:rFonts w:hint="eastAsia" w:hAnsi="宋体"/>
          <w:color w:val="auto"/>
          <w:szCs w:val="24"/>
        </w:rPr>
      </w:pPr>
      <w:r>
        <w:rPr>
          <w:rFonts w:hint="eastAsia" w:hAnsi="宋体"/>
          <w:color w:val="auto"/>
          <w:szCs w:val="24"/>
        </w:rPr>
        <w:t>10</w:t>
      </w:r>
      <w:r>
        <w:rPr>
          <w:rFonts w:hAnsi="宋体"/>
          <w:color w:val="auto"/>
          <w:szCs w:val="24"/>
        </w:rPr>
        <w:t xml:space="preserve">.1 </w:t>
      </w:r>
      <w:r>
        <w:rPr>
          <w:rFonts w:hint="eastAsia" w:hAnsi="宋体"/>
          <w:color w:val="auto"/>
          <w:szCs w:val="24"/>
        </w:rPr>
        <w:t>供应商</w:t>
      </w:r>
      <w:r>
        <w:rPr>
          <w:rFonts w:hAnsi="宋体"/>
          <w:color w:val="auto"/>
          <w:szCs w:val="24"/>
        </w:rPr>
        <w:t>应按照</w:t>
      </w:r>
      <w:r>
        <w:rPr>
          <w:rFonts w:hint="eastAsia" w:hAnsi="宋体"/>
          <w:color w:val="auto"/>
          <w:szCs w:val="24"/>
        </w:rPr>
        <w:t>竞争性磋商</w:t>
      </w:r>
      <w:r>
        <w:rPr>
          <w:rFonts w:hAnsi="宋体"/>
          <w:color w:val="auto"/>
          <w:szCs w:val="24"/>
        </w:rPr>
        <w:t>文件中</w:t>
      </w:r>
      <w:r>
        <w:rPr>
          <w:rFonts w:hint="eastAsia" w:hAnsi="宋体"/>
          <w:color w:val="auto"/>
          <w:szCs w:val="24"/>
        </w:rPr>
        <w:t>第六章</w:t>
      </w:r>
      <w:r>
        <w:rPr>
          <w:rFonts w:hAnsi="宋体"/>
          <w:color w:val="auto"/>
          <w:szCs w:val="24"/>
        </w:rPr>
        <w:t>“</w:t>
      </w:r>
      <w:r>
        <w:rPr>
          <w:rFonts w:hint="eastAsia" w:hAnsi="宋体"/>
          <w:color w:val="auto"/>
          <w:szCs w:val="24"/>
        </w:rPr>
        <w:t>竞争性磋商响应文件</w:t>
      </w:r>
      <w:r>
        <w:rPr>
          <w:rFonts w:hAnsi="宋体"/>
          <w:color w:val="auto"/>
          <w:szCs w:val="24"/>
        </w:rPr>
        <w:t>格式及构成”所提供的格式和要求制作</w:t>
      </w:r>
      <w:r>
        <w:rPr>
          <w:rFonts w:hint="eastAsia" w:hAnsi="宋体"/>
          <w:color w:val="auto"/>
          <w:szCs w:val="24"/>
        </w:rPr>
        <w:t>竞争性磋商响应</w:t>
      </w:r>
      <w:r>
        <w:rPr>
          <w:rFonts w:hAnsi="宋体"/>
          <w:color w:val="auto"/>
          <w:szCs w:val="24"/>
        </w:rPr>
        <w:t>文件，明确表达</w:t>
      </w:r>
      <w:r>
        <w:rPr>
          <w:rFonts w:hint="eastAsia" w:hAnsi="宋体"/>
          <w:color w:val="auto"/>
          <w:szCs w:val="24"/>
        </w:rPr>
        <w:t>磋商</w:t>
      </w:r>
      <w:r>
        <w:rPr>
          <w:rFonts w:hAnsi="宋体"/>
          <w:color w:val="auto"/>
          <w:szCs w:val="24"/>
        </w:rPr>
        <w:t>意愿，详细说明</w:t>
      </w:r>
      <w:r>
        <w:rPr>
          <w:rFonts w:hint="eastAsia" w:hAnsi="宋体"/>
          <w:color w:val="auto"/>
          <w:szCs w:val="24"/>
        </w:rPr>
        <w:t>磋商</w:t>
      </w:r>
      <w:r>
        <w:rPr>
          <w:rFonts w:hAnsi="宋体"/>
          <w:color w:val="auto"/>
          <w:szCs w:val="24"/>
        </w:rPr>
        <w:t>方案、承诺及价格。</w:t>
      </w:r>
    </w:p>
    <w:p w14:paraId="33219ECB">
      <w:pPr>
        <w:spacing w:line="360" w:lineRule="auto"/>
        <w:ind w:firstLine="480" w:firstLineChars="200"/>
        <w:rPr>
          <w:rFonts w:hint="eastAsia" w:hAnsi="宋体"/>
          <w:color w:val="auto"/>
          <w:szCs w:val="24"/>
        </w:rPr>
      </w:pPr>
      <w:r>
        <w:rPr>
          <w:rFonts w:hint="eastAsia" w:hAnsi="宋体"/>
          <w:color w:val="auto"/>
          <w:szCs w:val="24"/>
        </w:rPr>
        <w:t>10.2按竞争性磋商</w:t>
      </w:r>
      <w:r>
        <w:rPr>
          <w:rFonts w:hAnsi="宋体"/>
          <w:color w:val="auto"/>
          <w:szCs w:val="24"/>
        </w:rPr>
        <w:t>文件</w:t>
      </w:r>
      <w:r>
        <w:rPr>
          <w:rFonts w:hint="eastAsia" w:hAnsi="宋体"/>
          <w:color w:val="auto"/>
          <w:szCs w:val="24"/>
        </w:rPr>
        <w:t>内容及要求和第六章提供的格式</w:t>
      </w:r>
      <w:r>
        <w:rPr>
          <w:rFonts w:hAnsi="宋体"/>
          <w:color w:val="auto"/>
          <w:szCs w:val="24"/>
        </w:rPr>
        <w:t>和要</w:t>
      </w:r>
      <w:r>
        <w:rPr>
          <w:rFonts w:hint="eastAsia" w:hAnsi="宋体"/>
          <w:color w:val="auto"/>
          <w:szCs w:val="24"/>
        </w:rPr>
        <w:t>求编写其竞争性磋商响应文件，供应商不得缺少或留空任何竞争性磋商文件要求填写的表格或提交的资料。</w:t>
      </w:r>
    </w:p>
    <w:p w14:paraId="23FAD871">
      <w:pPr>
        <w:spacing w:line="360" w:lineRule="auto"/>
        <w:rPr>
          <w:rFonts w:hint="eastAsia" w:hAnsi="宋体"/>
          <w:b/>
          <w:color w:val="auto"/>
          <w:szCs w:val="24"/>
        </w:rPr>
      </w:pPr>
      <w:r>
        <w:rPr>
          <w:rFonts w:hAnsi="宋体"/>
          <w:b/>
          <w:color w:val="auto"/>
          <w:szCs w:val="24"/>
        </w:rPr>
        <w:t>11.</w:t>
      </w:r>
      <w:r>
        <w:rPr>
          <w:rFonts w:hint="eastAsia" w:hAnsi="宋体"/>
          <w:b/>
          <w:color w:val="auto"/>
          <w:szCs w:val="24"/>
        </w:rPr>
        <w:t>磋商</w:t>
      </w:r>
      <w:r>
        <w:rPr>
          <w:rFonts w:hAnsi="宋体"/>
          <w:b/>
          <w:color w:val="auto"/>
          <w:szCs w:val="24"/>
        </w:rPr>
        <w:t>报价</w:t>
      </w:r>
    </w:p>
    <w:p w14:paraId="3CA02068">
      <w:pPr>
        <w:spacing w:line="360" w:lineRule="auto"/>
        <w:ind w:firstLine="480" w:firstLineChars="200"/>
        <w:rPr>
          <w:color w:val="auto"/>
          <w:szCs w:val="24"/>
        </w:rPr>
      </w:pPr>
      <w:r>
        <w:rPr>
          <w:rFonts w:hint="eastAsia" w:hAnsi="宋体"/>
          <w:color w:val="auto"/>
          <w:szCs w:val="24"/>
        </w:rPr>
        <w:t>11.1</w:t>
      </w:r>
      <w:r>
        <w:rPr>
          <w:rFonts w:hint="eastAsia" w:hAnsi="宋体" w:cs="宋体"/>
          <w:color w:val="auto"/>
          <w:szCs w:val="24"/>
        </w:rPr>
        <w:t>磋商</w:t>
      </w:r>
      <w:r>
        <w:rPr>
          <w:rFonts w:hint="eastAsia"/>
          <w:color w:val="auto"/>
          <w:szCs w:val="24"/>
        </w:rPr>
        <w:t>报价</w:t>
      </w:r>
      <w:r>
        <w:rPr>
          <w:rFonts w:hint="eastAsia" w:hAnsi="宋体" w:cs="宋体"/>
          <w:color w:val="auto"/>
          <w:szCs w:val="24"/>
        </w:rPr>
        <w:t>：供应商为完成本项目第四章所要求的全部服务内容、责任范围的最终价格体现。</w:t>
      </w:r>
      <w:r>
        <w:rPr>
          <w:rFonts w:hint="eastAsia"/>
          <w:color w:val="auto"/>
          <w:szCs w:val="24"/>
        </w:rPr>
        <w:t>包括但不限于</w:t>
      </w:r>
      <w:r>
        <w:rPr>
          <w:rFonts w:hint="eastAsia" w:hAnsi="宋体" w:cs="宋体"/>
          <w:color w:val="auto"/>
          <w:szCs w:val="24"/>
          <w:lang w:eastAsia="zh-CN"/>
        </w:rPr>
        <w:t>（</w:t>
      </w:r>
      <w:r>
        <w:rPr>
          <w:rFonts w:hint="eastAsia" w:hAnsi="宋体" w:cs="宋体"/>
          <w:color w:val="auto"/>
          <w:szCs w:val="24"/>
          <w:lang w:val="en-US" w:eastAsia="zh-CN"/>
        </w:rPr>
        <w:t>人工、管理及税费等</w:t>
      </w:r>
      <w:r>
        <w:rPr>
          <w:rFonts w:hint="eastAsia" w:hAnsi="宋体" w:cs="宋体"/>
          <w:color w:val="auto"/>
          <w:szCs w:val="24"/>
          <w:lang w:eastAsia="zh-CN"/>
        </w:rPr>
        <w:t>）</w:t>
      </w:r>
      <w:r>
        <w:rPr>
          <w:rFonts w:hint="eastAsia"/>
          <w:color w:val="auto"/>
          <w:szCs w:val="24"/>
        </w:rPr>
        <w:t>招标代理服务费等其他一切相关费用</w:t>
      </w:r>
      <w:r>
        <w:rPr>
          <w:color w:val="auto"/>
          <w:szCs w:val="24"/>
        </w:rPr>
        <w:t>。</w:t>
      </w:r>
      <w:r>
        <w:rPr>
          <w:rFonts w:hint="eastAsia" w:hAnsi="宋体" w:cs="宋体"/>
          <w:color w:val="auto"/>
          <w:szCs w:val="24"/>
        </w:rPr>
        <w:t>供应商所报的价格应考虑到可能发生的所有与完成相关服务及履行合同义务有关的一切费用。</w:t>
      </w:r>
    </w:p>
    <w:p w14:paraId="65105CB9">
      <w:pPr>
        <w:spacing w:line="360" w:lineRule="auto"/>
        <w:ind w:firstLine="480" w:firstLineChars="200"/>
        <w:rPr>
          <w:rFonts w:hint="eastAsia" w:hAnsi="宋体"/>
          <w:color w:val="auto"/>
          <w:szCs w:val="24"/>
        </w:rPr>
      </w:pPr>
      <w:r>
        <w:rPr>
          <w:rFonts w:hint="eastAsia"/>
          <w:color w:val="auto"/>
          <w:szCs w:val="24"/>
        </w:rPr>
        <w:t>11.2磋商</w:t>
      </w:r>
      <w:r>
        <w:rPr>
          <w:color w:val="auto"/>
          <w:szCs w:val="24"/>
        </w:rPr>
        <w:t>报价表中标明本次</w:t>
      </w:r>
      <w:r>
        <w:rPr>
          <w:rFonts w:hint="eastAsia"/>
          <w:color w:val="auto"/>
          <w:szCs w:val="24"/>
        </w:rPr>
        <w:t>服务</w:t>
      </w:r>
      <w:r>
        <w:rPr>
          <w:color w:val="auto"/>
          <w:szCs w:val="24"/>
        </w:rPr>
        <w:t>的所有单项价格，任何有选择的报价将不予接受</w:t>
      </w:r>
      <w:r>
        <w:rPr>
          <w:rFonts w:hint="eastAsia"/>
          <w:color w:val="auto"/>
          <w:szCs w:val="24"/>
        </w:rPr>
        <w:t>，按无效文件处理。</w:t>
      </w:r>
      <w:r>
        <w:rPr>
          <w:rFonts w:hint="eastAsia" w:hAnsi="宋体"/>
          <w:color w:val="auto"/>
          <w:szCs w:val="24"/>
        </w:rPr>
        <w:t>所有价格均以人民币报价。</w:t>
      </w:r>
    </w:p>
    <w:p w14:paraId="68D14D2B">
      <w:pPr>
        <w:spacing w:line="360" w:lineRule="auto"/>
        <w:ind w:firstLine="480" w:firstLineChars="200"/>
        <w:rPr>
          <w:rFonts w:hint="eastAsia" w:hAnsi="宋体"/>
          <w:color w:val="auto"/>
          <w:szCs w:val="24"/>
        </w:rPr>
      </w:pPr>
      <w:r>
        <w:rPr>
          <w:rFonts w:hint="eastAsia" w:hAnsi="宋体"/>
          <w:color w:val="auto"/>
          <w:szCs w:val="24"/>
        </w:rPr>
        <w:t>11.3磋商</w:t>
      </w:r>
      <w:r>
        <w:rPr>
          <w:rFonts w:hAnsi="宋体"/>
          <w:color w:val="auto"/>
          <w:szCs w:val="24"/>
        </w:rPr>
        <w:t>报价表中标明的价格应为履行合同的</w:t>
      </w:r>
      <w:r>
        <w:rPr>
          <w:rFonts w:hint="eastAsia" w:hAnsi="宋体"/>
          <w:color w:val="auto"/>
          <w:szCs w:val="24"/>
        </w:rPr>
        <w:t>总报价</w:t>
      </w:r>
      <w:r>
        <w:rPr>
          <w:rFonts w:hAnsi="宋体"/>
          <w:color w:val="auto"/>
          <w:szCs w:val="24"/>
        </w:rPr>
        <w:t>，不得以任何理由予以变更。以可调整的价格提交的</w:t>
      </w:r>
      <w:r>
        <w:rPr>
          <w:rFonts w:hint="eastAsia" w:hAnsi="宋体"/>
          <w:color w:val="auto"/>
          <w:szCs w:val="24"/>
        </w:rPr>
        <w:t>竞争性磋商响应文件</w:t>
      </w:r>
      <w:r>
        <w:rPr>
          <w:rFonts w:hAnsi="宋体"/>
          <w:color w:val="auto"/>
          <w:szCs w:val="24"/>
        </w:rPr>
        <w:t>将</w:t>
      </w:r>
      <w:r>
        <w:rPr>
          <w:rFonts w:hint="eastAsia" w:hAnsi="宋体"/>
          <w:color w:val="auto"/>
          <w:szCs w:val="24"/>
        </w:rPr>
        <w:t>按无效磋商处理</w:t>
      </w:r>
      <w:r>
        <w:rPr>
          <w:rFonts w:hAnsi="宋体"/>
          <w:color w:val="auto"/>
          <w:szCs w:val="24"/>
        </w:rPr>
        <w:t>。</w:t>
      </w:r>
    </w:p>
    <w:p w14:paraId="0BDECA88">
      <w:pPr>
        <w:spacing w:line="360" w:lineRule="auto"/>
        <w:rPr>
          <w:rFonts w:hAnsi="宋体"/>
          <w:b/>
          <w:color w:val="auto"/>
          <w:szCs w:val="24"/>
        </w:rPr>
      </w:pPr>
      <w:r>
        <w:rPr>
          <w:rFonts w:hAnsi="宋体"/>
          <w:b/>
          <w:color w:val="auto"/>
          <w:szCs w:val="24"/>
        </w:rPr>
        <w:t>12.证明</w:t>
      </w:r>
      <w:r>
        <w:rPr>
          <w:rFonts w:hint="eastAsia" w:hAnsi="宋体"/>
          <w:b/>
          <w:color w:val="auto"/>
          <w:szCs w:val="24"/>
        </w:rPr>
        <w:t>供应商</w:t>
      </w:r>
      <w:r>
        <w:rPr>
          <w:rFonts w:hAnsi="宋体"/>
          <w:b/>
          <w:color w:val="auto"/>
          <w:szCs w:val="24"/>
        </w:rPr>
        <w:t>合格</w:t>
      </w:r>
      <w:r>
        <w:rPr>
          <w:rFonts w:hint="eastAsia" w:hAnsi="宋体"/>
          <w:b/>
          <w:color w:val="auto"/>
          <w:szCs w:val="24"/>
        </w:rPr>
        <w:t>的</w:t>
      </w:r>
      <w:r>
        <w:rPr>
          <w:rFonts w:hAnsi="宋体"/>
          <w:b/>
          <w:color w:val="auto"/>
          <w:szCs w:val="24"/>
        </w:rPr>
        <w:t>资格</w:t>
      </w:r>
      <w:r>
        <w:rPr>
          <w:rFonts w:hint="eastAsia" w:hAnsi="宋体"/>
          <w:b/>
          <w:color w:val="auto"/>
          <w:szCs w:val="24"/>
        </w:rPr>
        <w:t>证明</w:t>
      </w:r>
      <w:r>
        <w:rPr>
          <w:rFonts w:hAnsi="宋体"/>
          <w:b/>
          <w:color w:val="auto"/>
          <w:szCs w:val="24"/>
        </w:rPr>
        <w:t>文件</w:t>
      </w:r>
    </w:p>
    <w:p w14:paraId="0A236FCF">
      <w:pPr>
        <w:spacing w:line="360" w:lineRule="auto"/>
        <w:ind w:firstLine="480" w:firstLineChars="200"/>
        <w:rPr>
          <w:rFonts w:hint="eastAsia" w:hAnsi="宋体"/>
          <w:color w:val="auto"/>
          <w:szCs w:val="24"/>
        </w:rPr>
      </w:pPr>
      <w:r>
        <w:rPr>
          <w:rFonts w:hAnsi="宋体"/>
          <w:color w:val="auto"/>
          <w:szCs w:val="24"/>
        </w:rPr>
        <w:t>12.1</w:t>
      </w:r>
      <w:r>
        <w:rPr>
          <w:rFonts w:hint="eastAsia" w:hAnsi="宋体"/>
          <w:color w:val="auto"/>
          <w:szCs w:val="24"/>
        </w:rPr>
        <w:t>供应商</w:t>
      </w:r>
      <w:r>
        <w:rPr>
          <w:rFonts w:hAnsi="宋体"/>
          <w:color w:val="auto"/>
          <w:szCs w:val="24"/>
        </w:rPr>
        <w:t>应按照</w:t>
      </w:r>
      <w:r>
        <w:rPr>
          <w:rFonts w:hint="eastAsia" w:hAnsi="宋体"/>
          <w:color w:val="auto"/>
          <w:szCs w:val="24"/>
        </w:rPr>
        <w:t>竞争性磋商</w:t>
      </w:r>
      <w:r>
        <w:rPr>
          <w:rFonts w:hAnsi="宋体"/>
          <w:color w:val="auto"/>
          <w:szCs w:val="24"/>
        </w:rPr>
        <w:t>文件</w:t>
      </w:r>
      <w:r>
        <w:rPr>
          <w:rFonts w:hint="eastAsia" w:hAnsi="宋体"/>
          <w:color w:val="auto"/>
          <w:szCs w:val="24"/>
        </w:rPr>
        <w:t>供应商须知前附表</w:t>
      </w:r>
      <w:r>
        <w:rPr>
          <w:rFonts w:hAnsi="宋体"/>
          <w:color w:val="auto"/>
          <w:szCs w:val="24"/>
        </w:rPr>
        <w:t>的要求，在</w:t>
      </w:r>
      <w:r>
        <w:rPr>
          <w:rFonts w:hint="eastAsia" w:hAnsi="宋体"/>
          <w:color w:val="auto"/>
          <w:szCs w:val="24"/>
        </w:rPr>
        <w:t>竞争性磋商响应文件</w:t>
      </w:r>
      <w:r>
        <w:rPr>
          <w:rFonts w:hAnsi="宋体"/>
          <w:color w:val="auto"/>
          <w:szCs w:val="24"/>
        </w:rPr>
        <w:t>中提交合格的资格证明文件。如果资格证明文件不全或不合格的，其</w:t>
      </w:r>
      <w:r>
        <w:rPr>
          <w:rFonts w:hint="eastAsia" w:hAnsi="宋体"/>
          <w:color w:val="auto"/>
          <w:szCs w:val="24"/>
        </w:rPr>
        <w:t>磋商响应文件</w:t>
      </w:r>
      <w:r>
        <w:rPr>
          <w:rFonts w:hAnsi="宋体"/>
          <w:color w:val="auto"/>
          <w:szCs w:val="24"/>
        </w:rPr>
        <w:t>将被</w:t>
      </w:r>
      <w:r>
        <w:rPr>
          <w:rFonts w:hint="eastAsia" w:hAnsi="宋体"/>
          <w:color w:val="auto"/>
          <w:szCs w:val="24"/>
        </w:rPr>
        <w:t>作无效文件处理。</w:t>
      </w:r>
    </w:p>
    <w:p w14:paraId="48361DE6">
      <w:pPr>
        <w:spacing w:line="360" w:lineRule="auto"/>
        <w:rPr>
          <w:rFonts w:hAnsi="宋体"/>
          <w:b/>
          <w:color w:val="auto"/>
          <w:szCs w:val="24"/>
        </w:rPr>
      </w:pPr>
      <w:r>
        <w:rPr>
          <w:rFonts w:hAnsi="宋体"/>
          <w:b/>
          <w:color w:val="auto"/>
          <w:szCs w:val="24"/>
        </w:rPr>
        <w:t>13.证明的合格性和</w:t>
      </w:r>
      <w:r>
        <w:rPr>
          <w:rFonts w:hint="eastAsia" w:hAnsi="宋体"/>
          <w:b/>
          <w:color w:val="auto"/>
          <w:szCs w:val="24"/>
        </w:rPr>
        <w:t>竞争性磋商</w:t>
      </w:r>
      <w:r>
        <w:rPr>
          <w:rFonts w:hAnsi="宋体"/>
          <w:b/>
          <w:color w:val="auto"/>
          <w:szCs w:val="24"/>
        </w:rPr>
        <w:t>文件规定的文件</w:t>
      </w:r>
    </w:p>
    <w:p w14:paraId="45AE34B7">
      <w:pPr>
        <w:spacing w:line="360" w:lineRule="auto"/>
        <w:ind w:firstLine="480" w:firstLineChars="200"/>
        <w:rPr>
          <w:rFonts w:hAnsi="宋体"/>
          <w:color w:val="auto"/>
          <w:szCs w:val="24"/>
        </w:rPr>
      </w:pPr>
      <w:r>
        <w:rPr>
          <w:rFonts w:hAnsi="宋体"/>
          <w:color w:val="auto"/>
          <w:szCs w:val="24"/>
        </w:rPr>
        <w:t>13.1</w:t>
      </w:r>
      <w:r>
        <w:rPr>
          <w:rFonts w:hint="eastAsia" w:hAnsi="宋体"/>
          <w:color w:val="auto"/>
          <w:szCs w:val="24"/>
        </w:rPr>
        <w:t>供应商</w:t>
      </w:r>
      <w:r>
        <w:rPr>
          <w:rFonts w:hAnsi="宋体"/>
          <w:color w:val="auto"/>
          <w:szCs w:val="24"/>
        </w:rPr>
        <w:t>应在</w:t>
      </w:r>
      <w:r>
        <w:rPr>
          <w:rFonts w:hint="eastAsia" w:hAnsi="宋体"/>
          <w:color w:val="auto"/>
          <w:szCs w:val="24"/>
        </w:rPr>
        <w:t>竞争性磋商响应文件</w:t>
      </w:r>
      <w:r>
        <w:rPr>
          <w:rFonts w:hAnsi="宋体"/>
          <w:color w:val="auto"/>
          <w:szCs w:val="24"/>
        </w:rPr>
        <w:t>中提交服务满足</w:t>
      </w:r>
      <w:r>
        <w:rPr>
          <w:rFonts w:hint="eastAsia" w:hAnsi="宋体"/>
          <w:color w:val="auto"/>
          <w:szCs w:val="24"/>
        </w:rPr>
        <w:t>竞争性磋商</w:t>
      </w:r>
      <w:r>
        <w:rPr>
          <w:rFonts w:hAnsi="宋体"/>
          <w:color w:val="auto"/>
          <w:szCs w:val="24"/>
        </w:rPr>
        <w:t>文件要求并符合国家法律法规、行业管理部门要求的其他强制性标准的证明文件。缺少证明文件或证明文件不合格的</w:t>
      </w:r>
      <w:r>
        <w:rPr>
          <w:rFonts w:hint="eastAsia" w:hAnsi="宋体"/>
          <w:color w:val="auto"/>
          <w:szCs w:val="24"/>
        </w:rPr>
        <w:t>磋商响应文件</w:t>
      </w:r>
      <w:r>
        <w:rPr>
          <w:rFonts w:hAnsi="宋体"/>
          <w:color w:val="auto"/>
          <w:szCs w:val="24"/>
        </w:rPr>
        <w:t>，与</w:t>
      </w:r>
      <w:r>
        <w:rPr>
          <w:rFonts w:hint="eastAsia" w:hAnsi="宋体"/>
          <w:color w:val="auto"/>
          <w:szCs w:val="24"/>
        </w:rPr>
        <w:t>竞争性磋商</w:t>
      </w:r>
      <w:r>
        <w:rPr>
          <w:rFonts w:hAnsi="宋体"/>
          <w:color w:val="auto"/>
          <w:szCs w:val="24"/>
        </w:rPr>
        <w:t>文件要求有重大偏离的</w:t>
      </w:r>
      <w:r>
        <w:rPr>
          <w:rFonts w:hint="eastAsia" w:hAnsi="宋体"/>
          <w:color w:val="auto"/>
          <w:szCs w:val="24"/>
        </w:rPr>
        <w:t>磋商响应文件</w:t>
      </w:r>
      <w:r>
        <w:rPr>
          <w:rFonts w:hAnsi="宋体"/>
          <w:color w:val="auto"/>
          <w:szCs w:val="24"/>
        </w:rPr>
        <w:t>，不符合国家法律法规、行业管理部门要求的其他强制性标准的</w:t>
      </w:r>
      <w:r>
        <w:rPr>
          <w:rFonts w:hint="eastAsia" w:hAnsi="宋体"/>
          <w:color w:val="auto"/>
          <w:szCs w:val="24"/>
        </w:rPr>
        <w:t>磋商响应文件</w:t>
      </w:r>
      <w:r>
        <w:rPr>
          <w:rFonts w:hAnsi="宋体"/>
          <w:color w:val="auto"/>
          <w:szCs w:val="24"/>
        </w:rPr>
        <w:t>将</w:t>
      </w:r>
      <w:r>
        <w:rPr>
          <w:rFonts w:hint="eastAsia" w:hAnsi="宋体"/>
          <w:color w:val="auto"/>
          <w:szCs w:val="24"/>
        </w:rPr>
        <w:t>按无效磋商处理</w:t>
      </w:r>
      <w:r>
        <w:rPr>
          <w:rFonts w:hAnsi="宋体"/>
          <w:color w:val="auto"/>
          <w:szCs w:val="24"/>
        </w:rPr>
        <w:t>。</w:t>
      </w:r>
    </w:p>
    <w:p w14:paraId="2B85ACE0">
      <w:pPr>
        <w:spacing w:line="360" w:lineRule="auto"/>
        <w:ind w:firstLine="480" w:firstLineChars="200"/>
        <w:rPr>
          <w:rFonts w:hAnsi="宋体"/>
          <w:color w:val="auto"/>
          <w:szCs w:val="24"/>
        </w:rPr>
      </w:pPr>
      <w:r>
        <w:rPr>
          <w:rFonts w:hAnsi="宋体"/>
          <w:color w:val="auto"/>
          <w:szCs w:val="24"/>
        </w:rPr>
        <w:t>13.2上述证明文件可以是文字资料、图纸、图片</w:t>
      </w:r>
      <w:r>
        <w:rPr>
          <w:rFonts w:hint="eastAsia" w:hAnsi="宋体"/>
          <w:color w:val="auto"/>
          <w:szCs w:val="24"/>
        </w:rPr>
        <w:t>、</w:t>
      </w:r>
      <w:r>
        <w:rPr>
          <w:rFonts w:hAnsi="宋体"/>
          <w:color w:val="auto"/>
          <w:szCs w:val="24"/>
        </w:rPr>
        <w:t>数据等，所有证明文件表达意思必须统一。包括</w:t>
      </w:r>
      <w:r>
        <w:rPr>
          <w:rFonts w:hint="eastAsia" w:hAnsi="宋体"/>
          <w:color w:val="auto"/>
          <w:szCs w:val="24"/>
        </w:rPr>
        <w:t>：</w:t>
      </w:r>
    </w:p>
    <w:p w14:paraId="03BD94D1">
      <w:pPr>
        <w:spacing w:line="360" w:lineRule="auto"/>
        <w:ind w:firstLine="480" w:firstLineChars="200"/>
        <w:rPr>
          <w:rFonts w:hAnsi="宋体"/>
          <w:color w:val="auto"/>
          <w:szCs w:val="24"/>
        </w:rPr>
      </w:pPr>
      <w:r>
        <w:rPr>
          <w:rFonts w:hAnsi="宋体"/>
          <w:color w:val="auto"/>
          <w:szCs w:val="24"/>
        </w:rPr>
        <w:t xml:space="preserve">1) </w:t>
      </w:r>
      <w:r>
        <w:rPr>
          <w:rFonts w:hint="eastAsia" w:hAnsi="宋体"/>
          <w:color w:val="auto"/>
          <w:szCs w:val="24"/>
        </w:rPr>
        <w:t>服务主要技术指标和性能的详细说明；</w:t>
      </w:r>
    </w:p>
    <w:p w14:paraId="7681CD24">
      <w:pPr>
        <w:spacing w:line="360" w:lineRule="auto"/>
        <w:ind w:firstLine="480" w:firstLineChars="200"/>
        <w:rPr>
          <w:rFonts w:hAnsi="宋体"/>
          <w:color w:val="auto"/>
          <w:szCs w:val="24"/>
        </w:rPr>
      </w:pPr>
      <w:r>
        <w:rPr>
          <w:rFonts w:hAnsi="宋体"/>
          <w:color w:val="auto"/>
          <w:szCs w:val="24"/>
        </w:rPr>
        <w:t>2</w:t>
      </w:r>
      <w:r>
        <w:rPr>
          <w:rFonts w:hint="eastAsia" w:hAnsi="宋体"/>
          <w:color w:val="auto"/>
          <w:szCs w:val="24"/>
        </w:rPr>
        <w:t>）逐条对磋商文件提出的服务要求和商务要求进行应答，说明所提供的服务对磋商的技术和商务要求是否做出了实质性响应并提供支持文件；</w:t>
      </w:r>
    </w:p>
    <w:p w14:paraId="1DEC680F">
      <w:pPr>
        <w:spacing w:line="360" w:lineRule="auto"/>
        <w:ind w:firstLine="480" w:firstLineChars="200"/>
        <w:rPr>
          <w:rFonts w:hAnsi="宋体"/>
          <w:color w:val="auto"/>
          <w:szCs w:val="24"/>
        </w:rPr>
      </w:pPr>
      <w:r>
        <w:rPr>
          <w:rFonts w:hAnsi="宋体"/>
          <w:color w:val="auto"/>
          <w:szCs w:val="24"/>
        </w:rPr>
        <w:t xml:space="preserve">3) </w:t>
      </w:r>
      <w:r>
        <w:rPr>
          <w:rFonts w:hint="eastAsia" w:hAnsi="宋体" w:cs="宋体"/>
          <w:color w:val="auto"/>
          <w:szCs w:val="24"/>
        </w:rPr>
        <w:t>服务内容、服务实施方案等的详细说明</w:t>
      </w:r>
      <w:r>
        <w:rPr>
          <w:rFonts w:hAnsi="宋体"/>
          <w:color w:val="auto"/>
          <w:szCs w:val="24"/>
        </w:rPr>
        <w:t>。</w:t>
      </w:r>
    </w:p>
    <w:p w14:paraId="17BE6D43">
      <w:pPr>
        <w:spacing w:line="360" w:lineRule="auto"/>
        <w:rPr>
          <w:rFonts w:hAnsi="宋体"/>
          <w:b/>
          <w:color w:val="auto"/>
          <w:szCs w:val="24"/>
        </w:rPr>
      </w:pPr>
      <w:r>
        <w:rPr>
          <w:rFonts w:hAnsi="宋体"/>
          <w:b/>
          <w:color w:val="auto"/>
          <w:szCs w:val="24"/>
        </w:rPr>
        <w:t>14.</w:t>
      </w:r>
      <w:r>
        <w:rPr>
          <w:rFonts w:hint="eastAsia" w:hAnsi="宋体"/>
          <w:b/>
          <w:color w:val="auto"/>
          <w:szCs w:val="24"/>
        </w:rPr>
        <w:t>磋商</w:t>
      </w:r>
      <w:r>
        <w:rPr>
          <w:rFonts w:hAnsi="宋体"/>
          <w:b/>
          <w:color w:val="auto"/>
          <w:szCs w:val="24"/>
        </w:rPr>
        <w:t>保证金</w:t>
      </w:r>
    </w:p>
    <w:p w14:paraId="10371FBF">
      <w:pPr>
        <w:adjustRightInd w:val="0"/>
        <w:snapToGrid w:val="0"/>
        <w:spacing w:line="360" w:lineRule="auto"/>
        <w:ind w:firstLine="480" w:firstLineChars="200"/>
        <w:rPr>
          <w:rFonts w:hint="eastAsia" w:ascii="宋体" w:hAnsi="宋体" w:cs="宋体"/>
          <w:color w:val="auto"/>
          <w:sz w:val="24"/>
          <w:szCs w:val="24"/>
        </w:rPr>
      </w:pPr>
      <w:r>
        <w:rPr>
          <w:rFonts w:hint="eastAsia" w:ascii="宋体" w:hAnsi="宋体" w:cs="宋体"/>
          <w:color w:val="auto"/>
          <w:sz w:val="24"/>
          <w:lang w:val="en-US" w:eastAsia="zh-CN"/>
        </w:rPr>
        <w:t>14</w:t>
      </w:r>
      <w:r>
        <w:rPr>
          <w:rFonts w:hint="eastAsia" w:ascii="宋体" w:hAnsi="宋体" w:cs="宋体"/>
          <w:color w:val="auto"/>
          <w:sz w:val="24"/>
        </w:rPr>
        <w:t xml:space="preserve">.1 </w:t>
      </w:r>
      <w:r>
        <w:rPr>
          <w:rFonts w:hint="eastAsia" w:ascii="宋体" w:hAnsi="宋体" w:eastAsia="宋体" w:cs="宋体"/>
          <w:color w:val="auto"/>
          <w:kern w:val="2"/>
          <w:sz w:val="24"/>
          <w:szCs w:val="24"/>
          <w:highlight w:val="none"/>
          <w:lang w:val="en-US" w:eastAsia="zh-CN" w:bidi="ar-SA"/>
        </w:rPr>
        <w:t>根据榆林市财政局下发的榆政财采发【2023】8号文件规定实行信用承诺代替保证金。投标人可签署“投标信用承诺书”代替保证金</w:t>
      </w:r>
      <w:r>
        <w:rPr>
          <w:rFonts w:hint="eastAsia" w:ascii="宋体" w:hAnsi="宋体" w:cs="宋体"/>
          <w:color w:val="auto"/>
          <w:sz w:val="24"/>
          <w:szCs w:val="24"/>
        </w:rPr>
        <w:t>。</w:t>
      </w:r>
    </w:p>
    <w:p w14:paraId="3A718BEE">
      <w:pPr>
        <w:adjustRightInd w:val="0"/>
        <w:snapToGrid w:val="0"/>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lang w:val="en-US" w:eastAsia="zh-CN"/>
        </w:rPr>
        <w:t>14</w:t>
      </w:r>
      <w:r>
        <w:rPr>
          <w:rFonts w:hint="eastAsia" w:ascii="宋体" w:hAnsi="宋体" w:cs="宋体"/>
          <w:color w:val="auto"/>
          <w:sz w:val="24"/>
        </w:rPr>
        <w:t>.</w:t>
      </w:r>
      <w:r>
        <w:rPr>
          <w:rFonts w:hint="eastAsia" w:ascii="宋体" w:hAnsi="宋体" w:cs="宋体"/>
          <w:color w:val="auto"/>
          <w:sz w:val="24"/>
          <w:lang w:val="en-US" w:eastAsia="zh-CN"/>
        </w:rPr>
        <w:t xml:space="preserve">2 </w:t>
      </w:r>
      <w:r>
        <w:rPr>
          <w:rFonts w:hint="eastAsia" w:ascii="宋体" w:hAnsi="宋体" w:eastAsia="宋体" w:cs="宋体"/>
          <w:color w:val="auto"/>
          <w:kern w:val="2"/>
          <w:sz w:val="24"/>
          <w:szCs w:val="24"/>
          <w:highlight w:val="none"/>
          <w:lang w:val="en-US" w:eastAsia="zh-CN" w:bidi="ar-SA"/>
        </w:rPr>
        <w:t>投标人须将“投标信用承诺书”按要求签字盖章后上传至信用中国（陕西榆林）进行公示，将公示后的截图附在投标文件中（截图须体现项目名称）。</w:t>
      </w:r>
    </w:p>
    <w:p w14:paraId="2493836F">
      <w:pPr>
        <w:adjustRightInd w:val="0"/>
        <w:snapToGrid w:val="0"/>
        <w:spacing w:line="360" w:lineRule="auto"/>
        <w:ind w:firstLine="480" w:firstLineChars="200"/>
        <w:rPr>
          <w:rFonts w:ascii="宋体" w:hAnsi="宋体" w:cs="宋体"/>
          <w:color w:val="auto"/>
          <w:sz w:val="24"/>
          <w:szCs w:val="22"/>
        </w:rPr>
      </w:pPr>
      <w:r>
        <w:rPr>
          <w:rFonts w:hint="eastAsia" w:ascii="宋体" w:hAnsi="宋体" w:cs="宋体"/>
          <w:color w:val="auto"/>
          <w:sz w:val="24"/>
          <w:lang w:val="en-US" w:eastAsia="zh-CN"/>
        </w:rPr>
        <w:t>14</w:t>
      </w:r>
      <w:r>
        <w:rPr>
          <w:rFonts w:hint="eastAsia" w:ascii="宋体" w:hAnsi="宋体" w:cs="宋体"/>
          <w:color w:val="auto"/>
          <w:sz w:val="24"/>
        </w:rPr>
        <w:t>.</w:t>
      </w:r>
      <w:r>
        <w:rPr>
          <w:rFonts w:hint="eastAsia" w:ascii="宋体" w:hAnsi="宋体" w:cs="宋体"/>
          <w:color w:val="auto"/>
          <w:sz w:val="24"/>
          <w:lang w:val="en-US" w:eastAsia="zh-CN"/>
        </w:rPr>
        <w:t>3</w:t>
      </w:r>
      <w:r>
        <w:rPr>
          <w:rFonts w:hint="eastAsia" w:ascii="宋体" w:hAnsi="宋体" w:cs="宋体"/>
          <w:color w:val="auto"/>
          <w:sz w:val="24"/>
        </w:rPr>
        <w:t xml:space="preserve"> 投标单位已</w:t>
      </w:r>
      <w:r>
        <w:rPr>
          <w:rFonts w:hint="eastAsia" w:ascii="宋体" w:hAnsi="宋体" w:cs="宋体"/>
          <w:color w:val="auto"/>
          <w:sz w:val="24"/>
          <w:lang w:val="en-US" w:eastAsia="zh-CN"/>
        </w:rPr>
        <w:t>在信用中国网站承诺并公示的</w:t>
      </w:r>
      <w:r>
        <w:rPr>
          <w:rFonts w:hint="eastAsia" w:ascii="宋体" w:hAnsi="宋体" w:eastAsia="宋体" w:cs="宋体"/>
          <w:color w:val="auto"/>
          <w:kern w:val="2"/>
          <w:sz w:val="24"/>
          <w:szCs w:val="24"/>
          <w:highlight w:val="none"/>
          <w:lang w:val="en-US" w:eastAsia="zh-CN" w:bidi="ar-SA"/>
        </w:rPr>
        <w:t>“投标信用承诺书”</w:t>
      </w:r>
      <w:r>
        <w:rPr>
          <w:rFonts w:hint="eastAsia" w:ascii="宋体" w:hAnsi="宋体" w:cs="宋体"/>
          <w:color w:val="auto"/>
          <w:sz w:val="24"/>
        </w:rPr>
        <w:t xml:space="preserve">而自动放弃投标权利的，需在开标之前提交《弃标函》。 </w:t>
      </w:r>
    </w:p>
    <w:p w14:paraId="70AD895D">
      <w:pPr>
        <w:spacing w:line="360" w:lineRule="auto"/>
        <w:rPr>
          <w:rFonts w:hAnsi="宋体"/>
          <w:b/>
          <w:color w:val="auto"/>
          <w:szCs w:val="24"/>
        </w:rPr>
      </w:pPr>
      <w:r>
        <w:rPr>
          <w:rFonts w:hAnsi="宋体"/>
          <w:b/>
          <w:color w:val="auto"/>
          <w:szCs w:val="24"/>
        </w:rPr>
        <w:t>15.</w:t>
      </w:r>
      <w:r>
        <w:rPr>
          <w:rFonts w:hint="eastAsia" w:hAnsi="宋体"/>
          <w:b/>
          <w:color w:val="auto"/>
          <w:szCs w:val="24"/>
        </w:rPr>
        <w:t>磋商</w:t>
      </w:r>
      <w:r>
        <w:rPr>
          <w:rFonts w:hAnsi="宋体"/>
          <w:b/>
          <w:color w:val="auto"/>
          <w:szCs w:val="24"/>
        </w:rPr>
        <w:t>有效期</w:t>
      </w:r>
    </w:p>
    <w:p w14:paraId="6B08BD22">
      <w:pPr>
        <w:spacing w:line="360" w:lineRule="auto"/>
        <w:ind w:firstLine="480" w:firstLineChars="200"/>
        <w:rPr>
          <w:rFonts w:hAnsi="宋体"/>
          <w:color w:val="auto"/>
          <w:szCs w:val="24"/>
        </w:rPr>
      </w:pPr>
      <w:bookmarkStart w:id="35" w:name="OLE_LINK4"/>
      <w:r>
        <w:rPr>
          <w:rFonts w:hAnsi="宋体"/>
          <w:color w:val="auto"/>
          <w:szCs w:val="24"/>
        </w:rPr>
        <w:t>15.1</w:t>
      </w:r>
      <w:r>
        <w:rPr>
          <w:rFonts w:hint="eastAsia" w:hAnsi="宋体"/>
          <w:color w:val="auto"/>
          <w:szCs w:val="24"/>
        </w:rPr>
        <w:t>磋商响应文件</w:t>
      </w:r>
      <w:r>
        <w:rPr>
          <w:rFonts w:hAnsi="宋体"/>
          <w:color w:val="auto"/>
          <w:szCs w:val="24"/>
        </w:rPr>
        <w:t>应在“</w:t>
      </w:r>
      <w:r>
        <w:rPr>
          <w:rFonts w:hint="eastAsia" w:hAnsi="宋体"/>
          <w:color w:val="auto"/>
          <w:szCs w:val="24"/>
        </w:rPr>
        <w:t>供应商须知前附表</w:t>
      </w:r>
      <w:r>
        <w:rPr>
          <w:rFonts w:hAnsi="宋体"/>
          <w:color w:val="auto"/>
          <w:szCs w:val="24"/>
        </w:rPr>
        <w:t>”中规定的期限内保持有效。</w:t>
      </w:r>
      <w:r>
        <w:rPr>
          <w:rFonts w:hint="eastAsia" w:hAnsi="宋体"/>
          <w:color w:val="auto"/>
          <w:szCs w:val="24"/>
        </w:rPr>
        <w:t>磋商</w:t>
      </w:r>
      <w:r>
        <w:rPr>
          <w:rFonts w:hAnsi="宋体"/>
          <w:color w:val="auto"/>
          <w:szCs w:val="24"/>
        </w:rPr>
        <w:t>有效期不满足规定有效期的</w:t>
      </w:r>
      <w:r>
        <w:rPr>
          <w:rFonts w:hint="eastAsia" w:hAnsi="宋体"/>
          <w:color w:val="auto"/>
          <w:szCs w:val="24"/>
        </w:rPr>
        <w:t>磋商响应文件将被视为非响应性磋商而予以拒绝</w:t>
      </w:r>
      <w:r>
        <w:rPr>
          <w:rFonts w:hAnsi="宋体"/>
          <w:color w:val="auto"/>
          <w:szCs w:val="24"/>
        </w:rPr>
        <w:t>。</w:t>
      </w:r>
      <w:bookmarkEnd w:id="35"/>
    </w:p>
    <w:p w14:paraId="0D187FC2">
      <w:pPr>
        <w:spacing w:line="360" w:lineRule="auto"/>
        <w:ind w:firstLine="480" w:firstLineChars="200"/>
        <w:rPr>
          <w:rFonts w:hAnsi="宋体"/>
          <w:color w:val="auto"/>
          <w:szCs w:val="24"/>
        </w:rPr>
      </w:pPr>
      <w:r>
        <w:rPr>
          <w:rFonts w:hAnsi="宋体"/>
          <w:color w:val="auto"/>
          <w:szCs w:val="24"/>
        </w:rPr>
        <w:t>15.2在特殊情况下，在原</w:t>
      </w:r>
      <w:r>
        <w:rPr>
          <w:rFonts w:hint="eastAsia" w:hAnsi="宋体"/>
          <w:color w:val="auto"/>
          <w:szCs w:val="24"/>
        </w:rPr>
        <w:t>磋商</w:t>
      </w:r>
      <w:r>
        <w:rPr>
          <w:rFonts w:hAnsi="宋体"/>
          <w:color w:val="auto"/>
          <w:szCs w:val="24"/>
        </w:rPr>
        <w:t>有效期期满之前，采购代理机构可向</w:t>
      </w:r>
      <w:r>
        <w:rPr>
          <w:rFonts w:hint="eastAsia" w:hAnsi="宋体"/>
          <w:color w:val="auto"/>
          <w:szCs w:val="24"/>
        </w:rPr>
        <w:t>供应商</w:t>
      </w:r>
      <w:r>
        <w:rPr>
          <w:rFonts w:hAnsi="宋体"/>
          <w:color w:val="auto"/>
          <w:szCs w:val="24"/>
        </w:rPr>
        <w:t>提出延长</w:t>
      </w:r>
      <w:r>
        <w:rPr>
          <w:rFonts w:hint="eastAsia" w:hAnsi="宋体"/>
          <w:color w:val="auto"/>
          <w:szCs w:val="24"/>
        </w:rPr>
        <w:t>磋商</w:t>
      </w:r>
      <w:r>
        <w:rPr>
          <w:rFonts w:hAnsi="宋体"/>
          <w:color w:val="auto"/>
          <w:szCs w:val="24"/>
        </w:rPr>
        <w:t>有效期的要求。这种要求与答复均应以书面的形式。</w:t>
      </w:r>
      <w:r>
        <w:rPr>
          <w:rFonts w:hint="eastAsia" w:hAnsi="宋体"/>
          <w:color w:val="auto"/>
          <w:szCs w:val="24"/>
        </w:rPr>
        <w:t>供应商</w:t>
      </w:r>
      <w:r>
        <w:rPr>
          <w:rFonts w:hAnsi="宋体"/>
          <w:color w:val="auto"/>
          <w:szCs w:val="24"/>
        </w:rPr>
        <w:t>可以拒绝采购代理机构的这种要求。同意延长的</w:t>
      </w:r>
      <w:r>
        <w:rPr>
          <w:rFonts w:hint="eastAsia" w:hAnsi="宋体"/>
          <w:color w:val="auto"/>
          <w:szCs w:val="24"/>
        </w:rPr>
        <w:t>供应商</w:t>
      </w:r>
      <w:r>
        <w:rPr>
          <w:rFonts w:hAnsi="宋体"/>
          <w:color w:val="auto"/>
          <w:szCs w:val="24"/>
        </w:rPr>
        <w:t>既不能要求也不允许修改其</w:t>
      </w:r>
      <w:r>
        <w:rPr>
          <w:rFonts w:hint="eastAsia" w:hAnsi="宋体"/>
          <w:color w:val="auto"/>
          <w:szCs w:val="24"/>
        </w:rPr>
        <w:t>竞争性磋商响应文件</w:t>
      </w:r>
      <w:r>
        <w:rPr>
          <w:rFonts w:hAnsi="宋体"/>
          <w:color w:val="auto"/>
          <w:szCs w:val="24"/>
        </w:rPr>
        <w:t>。</w:t>
      </w:r>
    </w:p>
    <w:p w14:paraId="1F254EC2">
      <w:pPr>
        <w:spacing w:line="360" w:lineRule="auto"/>
        <w:rPr>
          <w:rFonts w:hAnsi="宋体"/>
          <w:b/>
          <w:color w:val="auto"/>
          <w:szCs w:val="24"/>
        </w:rPr>
      </w:pPr>
      <w:r>
        <w:rPr>
          <w:rFonts w:hAnsi="宋体"/>
          <w:b/>
          <w:color w:val="auto"/>
          <w:szCs w:val="24"/>
        </w:rPr>
        <w:t>16.</w:t>
      </w:r>
      <w:r>
        <w:rPr>
          <w:rFonts w:hint="eastAsia" w:hAnsi="宋体"/>
          <w:b/>
          <w:color w:val="auto"/>
          <w:szCs w:val="24"/>
        </w:rPr>
        <w:t>竞争性磋商响应文件</w:t>
      </w:r>
      <w:r>
        <w:rPr>
          <w:rFonts w:hAnsi="宋体"/>
          <w:b/>
          <w:color w:val="auto"/>
          <w:szCs w:val="24"/>
        </w:rPr>
        <w:t>的式样和签署</w:t>
      </w:r>
    </w:p>
    <w:p w14:paraId="2FE3C296">
      <w:pPr>
        <w:spacing w:line="360" w:lineRule="auto"/>
        <w:ind w:firstLine="480" w:firstLineChars="200"/>
        <w:rPr>
          <w:rFonts w:hAnsi="宋体"/>
          <w:color w:val="auto"/>
          <w:szCs w:val="24"/>
        </w:rPr>
      </w:pPr>
      <w:r>
        <w:rPr>
          <w:rFonts w:hint="eastAsia" w:ascii="宋体" w:hAnsi="宋体" w:eastAsia="宋体" w:cs="Times New Roman"/>
          <w:color w:val="auto"/>
          <w:szCs w:val="24"/>
          <w:lang w:val="en-US" w:eastAsia="zh-CN"/>
        </w:rPr>
        <w:t>16.1</w:t>
      </w:r>
      <w:r>
        <w:rPr>
          <w:rFonts w:hint="eastAsia" w:ascii="宋体" w:hAnsi="宋体" w:eastAsia="宋体" w:cs="Times New Roman"/>
          <w:color w:val="auto"/>
          <w:szCs w:val="24"/>
        </w:rPr>
        <w:t>本项目采用电子化投标文件与纸质投标文件并行的方式。投标人须使用数字认证证书对电子化投标文件进行签章、加密、递交及开标时解密等相关招投标事宜。如出现电子投标文件与纸质投标文件顺序不一致，不作为废标条款，以电子投标文件为准。</w:t>
      </w:r>
    </w:p>
    <w:p w14:paraId="0A7466D0">
      <w:pPr>
        <w:spacing w:line="360" w:lineRule="auto"/>
        <w:ind w:firstLine="480" w:firstLineChars="200"/>
        <w:rPr>
          <w:rFonts w:hint="eastAsia" w:hAnsi="宋体"/>
          <w:color w:val="auto"/>
          <w:szCs w:val="24"/>
        </w:rPr>
      </w:pPr>
      <w:r>
        <w:rPr>
          <w:rFonts w:hAnsi="宋体"/>
          <w:color w:val="auto"/>
          <w:szCs w:val="24"/>
        </w:rPr>
        <w:t>16.</w:t>
      </w:r>
      <w:r>
        <w:rPr>
          <w:rFonts w:hint="eastAsia" w:hAnsi="宋体"/>
          <w:color w:val="auto"/>
          <w:szCs w:val="24"/>
          <w:lang w:val="en-US" w:eastAsia="zh-CN"/>
        </w:rPr>
        <w:t>2</w:t>
      </w:r>
      <w:r>
        <w:rPr>
          <w:rFonts w:hint="eastAsia" w:hAnsi="宋体"/>
          <w:color w:val="auto"/>
          <w:szCs w:val="24"/>
        </w:rPr>
        <w:t>供应商</w:t>
      </w:r>
      <w:r>
        <w:rPr>
          <w:rFonts w:hAnsi="宋体"/>
          <w:color w:val="auto"/>
          <w:szCs w:val="24"/>
        </w:rPr>
        <w:t>应按照</w:t>
      </w:r>
      <w:r>
        <w:rPr>
          <w:rFonts w:hint="eastAsia" w:hAnsi="宋体"/>
          <w:color w:val="auto"/>
          <w:szCs w:val="24"/>
        </w:rPr>
        <w:t>供应商</w:t>
      </w:r>
      <w:r>
        <w:rPr>
          <w:rFonts w:hAnsi="宋体"/>
          <w:color w:val="auto"/>
          <w:szCs w:val="24"/>
        </w:rPr>
        <w:t>须知的要求, 准备一份</w:t>
      </w:r>
      <w:r>
        <w:rPr>
          <w:rFonts w:hint="eastAsia" w:hAnsi="宋体"/>
          <w:color w:val="auto"/>
          <w:szCs w:val="24"/>
        </w:rPr>
        <w:t>竞争性磋商响应文件</w:t>
      </w:r>
      <w:r>
        <w:rPr>
          <w:rFonts w:hAnsi="宋体"/>
          <w:color w:val="auto"/>
          <w:szCs w:val="24"/>
        </w:rPr>
        <w:t>正本和“</w:t>
      </w:r>
      <w:r>
        <w:rPr>
          <w:rFonts w:hint="eastAsia" w:hAnsi="宋体"/>
          <w:color w:val="auto"/>
          <w:szCs w:val="24"/>
        </w:rPr>
        <w:t>供应商须知前附表</w:t>
      </w:r>
      <w:r>
        <w:rPr>
          <w:rFonts w:hAnsi="宋体"/>
          <w:color w:val="auto"/>
          <w:szCs w:val="24"/>
        </w:rPr>
        <w:t>”中规定数量的副本，每套</w:t>
      </w:r>
      <w:r>
        <w:rPr>
          <w:rFonts w:hint="eastAsia" w:hAnsi="宋体"/>
          <w:color w:val="auto"/>
          <w:szCs w:val="24"/>
        </w:rPr>
        <w:t>竞争性磋商响应文件封面</w:t>
      </w:r>
      <w:r>
        <w:rPr>
          <w:rFonts w:hAnsi="宋体"/>
          <w:color w:val="auto"/>
          <w:szCs w:val="24"/>
        </w:rPr>
        <w:t>须清楚地标明“正本”或“副本”。</w:t>
      </w:r>
      <w:r>
        <w:rPr>
          <w:rFonts w:hint="eastAsia" w:hAnsi="宋体"/>
          <w:color w:val="auto"/>
          <w:szCs w:val="24"/>
        </w:rPr>
        <w:t>同时提供与正本内容一致的</w:t>
      </w:r>
      <w:r>
        <w:rPr>
          <w:rFonts w:hint="eastAsia"/>
          <w:color w:val="auto"/>
          <w:spacing w:val="4"/>
        </w:rPr>
        <w:t>电子版（U盘）及磋商报价表一份，</w:t>
      </w:r>
      <w:r>
        <w:rPr>
          <w:rFonts w:hint="eastAsia" w:hAnsi="宋体"/>
          <w:color w:val="auto"/>
          <w:szCs w:val="24"/>
        </w:rPr>
        <w:t>并标注供应商全称、项目名称、项目编号，并与竞争性磋商响应文件同时递交。</w:t>
      </w:r>
    </w:p>
    <w:p w14:paraId="35188E0E">
      <w:pPr>
        <w:spacing w:line="360" w:lineRule="auto"/>
        <w:ind w:firstLine="480" w:firstLineChars="200"/>
        <w:rPr>
          <w:rFonts w:hint="eastAsia" w:hAnsi="宋体"/>
          <w:color w:val="auto"/>
        </w:rPr>
      </w:pPr>
      <w:r>
        <w:rPr>
          <w:rFonts w:hAnsi="宋体"/>
          <w:color w:val="auto"/>
          <w:szCs w:val="24"/>
        </w:rPr>
        <w:t>16.2</w:t>
      </w:r>
      <w:r>
        <w:rPr>
          <w:rFonts w:hint="eastAsia" w:hAnsi="宋体"/>
          <w:color w:val="auto"/>
          <w:szCs w:val="24"/>
        </w:rPr>
        <w:t>竞争性磋商响应文件</w:t>
      </w:r>
      <w:r>
        <w:rPr>
          <w:rFonts w:hAnsi="宋体"/>
          <w:color w:val="auto"/>
          <w:szCs w:val="24"/>
        </w:rPr>
        <w:t>正本需打印或用不褪色的蓝(黑)色墨水(汁)书写,并由</w:t>
      </w:r>
      <w:r>
        <w:rPr>
          <w:rFonts w:hint="eastAsia" w:hAnsi="宋体"/>
          <w:color w:val="auto"/>
          <w:szCs w:val="24"/>
        </w:rPr>
        <w:t>供应商</w:t>
      </w:r>
      <w:r>
        <w:rPr>
          <w:rFonts w:hAnsi="宋体"/>
          <w:color w:val="auto"/>
          <w:szCs w:val="24"/>
        </w:rPr>
        <w:t>法定代表人或经法定代表人正式授权的代表</w:t>
      </w:r>
      <w:r>
        <w:rPr>
          <w:rFonts w:hint="eastAsia" w:hAnsi="宋体"/>
          <w:color w:val="auto"/>
          <w:szCs w:val="24"/>
        </w:rPr>
        <w:t>签字（竞争性磋商文件要求竞争性磋商响应文件中法定代表人签字处由法定代表人签署，要求授权代表签字处由授权代表签署），若由授权代表签署，</w:t>
      </w:r>
      <w:r>
        <w:rPr>
          <w:rFonts w:hAnsi="宋体"/>
          <w:color w:val="auto"/>
          <w:szCs w:val="24"/>
        </w:rPr>
        <w:t>须按</w:t>
      </w:r>
      <w:r>
        <w:rPr>
          <w:rFonts w:hint="eastAsia" w:hAnsi="宋体"/>
          <w:color w:val="auto"/>
          <w:szCs w:val="24"/>
        </w:rPr>
        <w:t>竞争性磋商</w:t>
      </w:r>
      <w:r>
        <w:rPr>
          <w:rFonts w:hAnsi="宋体"/>
          <w:color w:val="auto"/>
          <w:szCs w:val="24"/>
        </w:rPr>
        <w:t>文件规定的格式出具的“</w:t>
      </w:r>
      <w:r>
        <w:rPr>
          <w:rFonts w:hint="eastAsia" w:hAnsi="宋体"/>
          <w:color w:val="auto"/>
          <w:szCs w:val="24"/>
        </w:rPr>
        <w:t>法定代表人</w:t>
      </w:r>
      <w:r>
        <w:rPr>
          <w:rFonts w:hAnsi="宋体"/>
          <w:color w:val="auto"/>
          <w:szCs w:val="24"/>
        </w:rPr>
        <w:t>授权书”附在</w:t>
      </w:r>
      <w:r>
        <w:rPr>
          <w:rFonts w:hint="eastAsia" w:hAnsi="宋体"/>
          <w:color w:val="auto"/>
          <w:szCs w:val="24"/>
        </w:rPr>
        <w:t>竞争性磋商响应</w:t>
      </w:r>
      <w:r>
        <w:rPr>
          <w:rFonts w:hAnsi="宋体"/>
          <w:color w:val="auto"/>
          <w:szCs w:val="24"/>
        </w:rPr>
        <w:t>文件中</w:t>
      </w:r>
      <w:r>
        <w:rPr>
          <w:rFonts w:hint="eastAsia" w:hAnsi="宋体"/>
          <w:color w:val="auto"/>
          <w:szCs w:val="24"/>
        </w:rPr>
        <w:t>，</w:t>
      </w:r>
      <w:r>
        <w:rPr>
          <w:rFonts w:hAnsi="宋体"/>
          <w:color w:val="auto"/>
          <w:szCs w:val="24"/>
        </w:rPr>
        <w:t>所有要求签字（名）处，均须由签字（名）者本人用不褪色的蓝(黑)色墨水(汁)书写，不得用</w:t>
      </w:r>
      <w:r>
        <w:rPr>
          <w:rFonts w:hint="eastAsia" w:hAnsi="宋体"/>
          <w:color w:val="auto"/>
          <w:szCs w:val="24"/>
        </w:rPr>
        <w:t>任何形式的图</w:t>
      </w:r>
      <w:r>
        <w:rPr>
          <w:rFonts w:hAnsi="宋体"/>
          <w:color w:val="auto"/>
          <w:szCs w:val="24"/>
        </w:rPr>
        <w:t>章代替。</w:t>
      </w:r>
      <w:r>
        <w:rPr>
          <w:rFonts w:hint="eastAsia" w:hAnsi="宋体"/>
          <w:color w:val="auto"/>
          <w:szCs w:val="24"/>
        </w:rPr>
        <w:t>所有竞争性磋商响应文件正本和副本须按第六章规定的顺序编排、并应编制目录、逐页标注连续页码，</w:t>
      </w:r>
      <w:r>
        <w:rPr>
          <w:rFonts w:hint="eastAsia" w:hAnsi="宋体"/>
          <w:color w:val="auto"/>
        </w:rPr>
        <w:t>每一页的正下方清楚标明页码，</w:t>
      </w:r>
      <w:r>
        <w:rPr>
          <w:rFonts w:hint="eastAsia" w:hAnsi="宋体"/>
          <w:color w:val="auto"/>
          <w:szCs w:val="24"/>
        </w:rPr>
        <w:t>并</w:t>
      </w:r>
      <w:r>
        <w:rPr>
          <w:rFonts w:hint="eastAsia" w:hAnsi="宋体"/>
          <w:color w:val="auto"/>
        </w:rPr>
        <w:t>分别胶装成册。</w:t>
      </w:r>
    </w:p>
    <w:p w14:paraId="261EF4BE">
      <w:pPr>
        <w:spacing w:line="360" w:lineRule="auto"/>
        <w:ind w:firstLine="480" w:firstLineChars="200"/>
        <w:rPr>
          <w:rFonts w:hint="eastAsia" w:hAnsi="宋体"/>
          <w:color w:val="auto"/>
          <w:szCs w:val="24"/>
        </w:rPr>
      </w:pPr>
      <w:r>
        <w:rPr>
          <w:rFonts w:hAnsi="宋体"/>
          <w:color w:val="auto"/>
          <w:szCs w:val="24"/>
        </w:rPr>
        <w:t>16.3任何行间插字、涂改和增删，必须由</w:t>
      </w:r>
      <w:r>
        <w:rPr>
          <w:rFonts w:hint="eastAsia" w:hAnsi="宋体"/>
          <w:color w:val="auto"/>
          <w:szCs w:val="24"/>
        </w:rPr>
        <w:t>供应商</w:t>
      </w:r>
      <w:r>
        <w:rPr>
          <w:rFonts w:hAnsi="宋体"/>
          <w:color w:val="auto"/>
          <w:szCs w:val="24"/>
        </w:rPr>
        <w:t>的</w:t>
      </w:r>
      <w:r>
        <w:rPr>
          <w:rFonts w:hint="eastAsia" w:hAnsi="宋体"/>
          <w:color w:val="auto"/>
          <w:szCs w:val="24"/>
        </w:rPr>
        <w:t>法定代表人或其授权代表</w:t>
      </w:r>
      <w:r>
        <w:rPr>
          <w:rFonts w:hAnsi="宋体"/>
          <w:color w:val="auto"/>
          <w:szCs w:val="24"/>
        </w:rPr>
        <w:t>在旁边签字才有效。</w:t>
      </w:r>
    </w:p>
    <w:p w14:paraId="3E4AD0C1">
      <w:pPr>
        <w:spacing w:line="360" w:lineRule="auto"/>
        <w:ind w:firstLine="480" w:firstLineChars="200"/>
        <w:rPr>
          <w:rFonts w:hAnsi="宋体"/>
          <w:color w:val="auto"/>
          <w:szCs w:val="24"/>
        </w:rPr>
      </w:pPr>
      <w:r>
        <w:rPr>
          <w:rFonts w:hAnsi="宋体"/>
          <w:color w:val="auto"/>
          <w:szCs w:val="24"/>
        </w:rPr>
        <w:t>16.</w:t>
      </w:r>
      <w:r>
        <w:rPr>
          <w:rFonts w:hint="eastAsia" w:hAnsi="宋体"/>
          <w:color w:val="auto"/>
          <w:szCs w:val="24"/>
        </w:rPr>
        <w:t>4</w:t>
      </w:r>
      <w:r>
        <w:rPr>
          <w:rFonts w:hAnsi="宋体"/>
          <w:color w:val="auto"/>
          <w:szCs w:val="24"/>
        </w:rPr>
        <w:t>因字迹潦草、表述不清或不按</w:t>
      </w:r>
      <w:r>
        <w:rPr>
          <w:rFonts w:hint="eastAsia" w:hAnsi="宋体"/>
          <w:color w:val="auto"/>
          <w:szCs w:val="24"/>
        </w:rPr>
        <w:t>竞争性磋商</w:t>
      </w:r>
      <w:r>
        <w:rPr>
          <w:rFonts w:hAnsi="宋体"/>
          <w:color w:val="auto"/>
          <w:szCs w:val="24"/>
        </w:rPr>
        <w:t>文件格式编制的</w:t>
      </w:r>
      <w:r>
        <w:rPr>
          <w:rFonts w:hint="eastAsia" w:hAnsi="宋体"/>
          <w:color w:val="auto"/>
          <w:szCs w:val="24"/>
        </w:rPr>
        <w:t>竞争性磋商响应文件</w:t>
      </w:r>
      <w:r>
        <w:rPr>
          <w:rFonts w:hAnsi="宋体"/>
          <w:color w:val="auto"/>
          <w:szCs w:val="24"/>
        </w:rPr>
        <w:t>，所引起的对</w:t>
      </w:r>
      <w:r>
        <w:rPr>
          <w:rFonts w:hint="eastAsia" w:hAnsi="宋体"/>
          <w:color w:val="auto"/>
          <w:szCs w:val="24"/>
        </w:rPr>
        <w:t>供应商</w:t>
      </w:r>
      <w:r>
        <w:rPr>
          <w:rFonts w:hAnsi="宋体"/>
          <w:color w:val="auto"/>
          <w:szCs w:val="24"/>
        </w:rPr>
        <w:t>不利的后果，由</w:t>
      </w:r>
      <w:r>
        <w:rPr>
          <w:rFonts w:hint="eastAsia" w:hAnsi="宋体"/>
          <w:color w:val="auto"/>
          <w:szCs w:val="24"/>
        </w:rPr>
        <w:t>供应商</w:t>
      </w:r>
      <w:r>
        <w:rPr>
          <w:rFonts w:hAnsi="宋体"/>
          <w:color w:val="auto"/>
          <w:szCs w:val="24"/>
        </w:rPr>
        <w:t>自行负责。</w:t>
      </w:r>
    </w:p>
    <w:p w14:paraId="1C337A79">
      <w:pPr>
        <w:spacing w:line="360" w:lineRule="auto"/>
        <w:ind w:firstLine="480" w:firstLineChars="200"/>
        <w:rPr>
          <w:rFonts w:hint="eastAsia"/>
          <w:color w:val="auto"/>
        </w:rPr>
      </w:pPr>
      <w:r>
        <w:rPr>
          <w:rFonts w:hint="eastAsia" w:hAnsi="宋体"/>
          <w:color w:val="auto"/>
          <w:szCs w:val="24"/>
        </w:rPr>
        <w:t>16.5竞争性磋商文件的副本、电子版须和正本保持一致。</w:t>
      </w:r>
      <w:r>
        <w:rPr>
          <w:rFonts w:hint="eastAsia"/>
          <w:color w:val="auto"/>
        </w:rPr>
        <w:t>若正本、副本和电子版有不一致的内容，以正本为准。</w:t>
      </w:r>
    </w:p>
    <w:p w14:paraId="77A4A68B">
      <w:pPr>
        <w:keepNext/>
        <w:keepLines/>
        <w:spacing w:before="240" w:beforeLines="100" w:after="120" w:afterLines="50" w:line="360" w:lineRule="auto"/>
        <w:jc w:val="center"/>
        <w:rPr>
          <w:rFonts w:hAnsi="宋体"/>
          <w:b/>
          <w:color w:val="auto"/>
          <w:sz w:val="32"/>
          <w:szCs w:val="32"/>
        </w:rPr>
      </w:pPr>
      <w:r>
        <w:rPr>
          <w:rFonts w:hAnsi="宋体"/>
          <w:b/>
          <w:color w:val="auto"/>
          <w:sz w:val="32"/>
          <w:szCs w:val="32"/>
        </w:rPr>
        <w:t>四.</w:t>
      </w:r>
      <w:r>
        <w:rPr>
          <w:rFonts w:hint="eastAsia" w:hAnsi="宋体"/>
          <w:b/>
          <w:color w:val="auto"/>
          <w:sz w:val="32"/>
          <w:szCs w:val="32"/>
        </w:rPr>
        <w:t>竞争性磋商响应文件</w:t>
      </w:r>
      <w:r>
        <w:rPr>
          <w:rFonts w:hAnsi="宋体"/>
          <w:b/>
          <w:color w:val="auto"/>
          <w:sz w:val="32"/>
          <w:szCs w:val="32"/>
        </w:rPr>
        <w:t>的递交</w:t>
      </w:r>
    </w:p>
    <w:p w14:paraId="002CA085">
      <w:pPr>
        <w:spacing w:line="360" w:lineRule="auto"/>
        <w:rPr>
          <w:rFonts w:hint="eastAsia" w:hAnsi="宋体" w:eastAsia="宋体"/>
          <w:b/>
          <w:color w:val="auto"/>
          <w:szCs w:val="24"/>
          <w:lang w:eastAsia="zh-CN"/>
        </w:rPr>
      </w:pPr>
      <w:r>
        <w:rPr>
          <w:rFonts w:hAnsi="宋体"/>
          <w:b/>
          <w:color w:val="auto"/>
          <w:szCs w:val="24"/>
        </w:rPr>
        <w:t>17.</w:t>
      </w:r>
      <w:r>
        <w:rPr>
          <w:rFonts w:hint="eastAsia" w:hAnsi="宋体"/>
          <w:b/>
          <w:color w:val="auto"/>
          <w:szCs w:val="24"/>
          <w:lang w:eastAsia="zh-CN"/>
        </w:rPr>
        <w:t>电子投标文件递交方式</w:t>
      </w:r>
    </w:p>
    <w:p w14:paraId="66B3F23A">
      <w:pPr>
        <w:keepNext w:val="0"/>
        <w:keepLines w:val="0"/>
        <w:pageBreakBefore w:val="0"/>
        <w:widowControl/>
        <w:kinsoku/>
        <w:wordWrap/>
        <w:overflowPunct/>
        <w:topLinePunct w:val="0"/>
        <w:autoSpaceDE/>
        <w:autoSpaceDN/>
        <w:bidi w:val="0"/>
        <w:adjustRightInd w:val="0"/>
        <w:snapToGrid w:val="0"/>
        <w:spacing w:line="360" w:lineRule="auto"/>
        <w:ind w:right="-150" w:firstLine="480" w:firstLineChars="200"/>
        <w:textAlignment w:val="auto"/>
        <w:rPr>
          <w:rFonts w:hint="eastAsia" w:ascii="思源宋体 CN Light" w:hAnsi="思源宋体 CN Light" w:eastAsia="思源宋体 CN Light" w:cs="思源宋体 CN Light"/>
          <w:color w:val="auto"/>
          <w:sz w:val="24"/>
          <w:szCs w:val="24"/>
        </w:rPr>
      </w:pPr>
      <w:r>
        <w:rPr>
          <w:rFonts w:hint="eastAsia" w:ascii="宋体" w:hAnsi="宋体" w:cs="宋体"/>
          <w:color w:val="auto"/>
          <w:sz w:val="24"/>
          <w:lang w:val="en-US" w:eastAsia="zh-CN"/>
        </w:rPr>
        <w:t>17.1</w:t>
      </w:r>
      <w:r>
        <w:rPr>
          <w:rFonts w:hint="eastAsia" w:ascii="宋体" w:hAnsi="宋体" w:cs="宋体"/>
          <w:color w:val="auto"/>
          <w:sz w:val="24"/>
        </w:rPr>
        <w:t>电子</w:t>
      </w:r>
      <w:r>
        <w:rPr>
          <w:rFonts w:hint="eastAsia" w:ascii="宋体" w:hAnsi="宋体" w:cs="宋体"/>
          <w:color w:val="auto"/>
          <w:sz w:val="24"/>
          <w:lang w:val="en-US" w:eastAsia="zh-CN"/>
        </w:rPr>
        <w:t>投标</w:t>
      </w:r>
      <w:r>
        <w:rPr>
          <w:rFonts w:hint="eastAsia" w:ascii="宋体" w:hAnsi="宋体" w:cs="宋体"/>
          <w:color w:val="auto"/>
          <w:sz w:val="24"/>
        </w:rPr>
        <w:t>文件可于提交</w:t>
      </w:r>
      <w:r>
        <w:rPr>
          <w:rFonts w:hint="eastAsia" w:ascii="宋体" w:hAnsi="宋体" w:cs="宋体"/>
          <w:color w:val="auto"/>
          <w:sz w:val="24"/>
          <w:lang w:val="en-US" w:eastAsia="zh-CN"/>
        </w:rPr>
        <w:t>投标</w:t>
      </w:r>
      <w:r>
        <w:rPr>
          <w:rFonts w:hint="eastAsia" w:ascii="宋体" w:hAnsi="宋体" w:cs="宋体"/>
          <w:color w:val="auto"/>
          <w:sz w:val="24"/>
        </w:rPr>
        <w:t>文件截止时间前任意时段登录全国公共资源交易平台（陕西省）网站“电子交易平台&gt;企业端”进行提交，逾期系统将拒绝接收。提交时，投标人应登录全国公共资源交易中心平台（陕西省），选择“首页&gt;电子交易平台&gt;企业端&gt;我的项目”，点击“项目流程”，在打开的“项目管理”对话框中选择“上传响应文件”，上传加密的电子响应文件。上传成功后，电子化平台将予以记录</w:t>
      </w:r>
      <w:r>
        <w:rPr>
          <w:rFonts w:hint="eastAsia" w:ascii="思源宋体 CN Light" w:hAnsi="思源宋体 CN Light" w:eastAsia="思源宋体 CN Light" w:cs="思源宋体 CN Light"/>
          <w:color w:val="auto"/>
          <w:sz w:val="24"/>
          <w:szCs w:val="24"/>
        </w:rPr>
        <w:t>。</w:t>
      </w:r>
    </w:p>
    <w:p w14:paraId="28EA72B4">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color w:val="auto"/>
        </w:rPr>
      </w:pPr>
      <w:r>
        <w:rPr>
          <w:rFonts w:hint="eastAsia" w:ascii="思源宋体 CN Light" w:hAnsi="思源宋体 CN Light" w:eastAsia="思源宋体 CN Light" w:cs="思源宋体 CN Light"/>
          <w:color w:val="auto"/>
          <w:sz w:val="24"/>
          <w:szCs w:val="24"/>
          <w:lang w:val="en-US" w:eastAsia="zh-CN"/>
        </w:rPr>
        <w:t>17.2本项目采用“不见面”开标形式，供应商可登录榆林交易平台〖首页〉不见面开标〗在线参与开评标过程，详见招标文件以及交易平台〖首页〉服务指南〉下载专区〗中的《榆林市不见面开标大厅操作手册（投标人）》。</w:t>
      </w:r>
    </w:p>
    <w:p w14:paraId="103647E6">
      <w:pPr>
        <w:spacing w:line="360" w:lineRule="auto"/>
        <w:rPr>
          <w:rFonts w:hint="eastAsia" w:hAnsi="宋体" w:eastAsia="宋体"/>
          <w:b/>
          <w:color w:val="auto"/>
          <w:szCs w:val="24"/>
          <w:lang w:eastAsia="zh-CN"/>
        </w:rPr>
      </w:pPr>
      <w:r>
        <w:rPr>
          <w:rFonts w:hint="eastAsia" w:hAnsi="宋体"/>
          <w:b/>
          <w:color w:val="auto"/>
          <w:szCs w:val="24"/>
        </w:rPr>
        <w:t>1</w:t>
      </w:r>
      <w:r>
        <w:rPr>
          <w:rFonts w:hAnsi="宋体"/>
          <w:b/>
          <w:color w:val="auto"/>
          <w:szCs w:val="24"/>
        </w:rPr>
        <w:t>8．</w:t>
      </w:r>
      <w:r>
        <w:rPr>
          <w:rFonts w:hint="eastAsia" w:hAnsi="宋体"/>
          <w:b/>
          <w:color w:val="auto"/>
          <w:szCs w:val="24"/>
          <w:lang w:eastAsia="zh-CN"/>
        </w:rPr>
        <w:t>纸质文件递交方式</w:t>
      </w:r>
    </w:p>
    <w:p w14:paraId="277D7E7F">
      <w:pPr>
        <w:spacing w:line="360" w:lineRule="auto"/>
        <w:ind w:firstLine="480" w:firstLineChars="200"/>
        <w:rPr>
          <w:rFonts w:hint="eastAsia" w:ascii="思源宋体 CN Light" w:hAnsi="思源宋体 CN Light" w:eastAsia="思源宋体 CN Light" w:cs="思源宋体 CN Light"/>
          <w:color w:val="auto"/>
          <w:sz w:val="24"/>
          <w:szCs w:val="24"/>
          <w:highlight w:val="none"/>
        </w:rPr>
      </w:pPr>
      <w:r>
        <w:rPr>
          <w:rFonts w:hint="eastAsia" w:ascii="宋体" w:hAnsi="宋体" w:cs="仿宋_GB2312"/>
          <w:bCs/>
          <w:color w:val="auto"/>
          <w:sz w:val="24"/>
          <w:highlight w:val="none"/>
          <w:lang w:val="en-US" w:eastAsia="zh-CN"/>
        </w:rPr>
        <w:t>18.1</w:t>
      </w:r>
      <w:r>
        <w:rPr>
          <w:rFonts w:hint="eastAsia" w:ascii="思源宋体 CN Light" w:hAnsi="思源宋体 CN Light" w:eastAsia="思源宋体 CN Light" w:cs="思源宋体 CN Light"/>
          <w:color w:val="auto"/>
          <w:sz w:val="24"/>
          <w:szCs w:val="24"/>
          <w:highlight w:val="none"/>
          <w:lang w:val="en-US" w:eastAsia="zh-CN"/>
        </w:rPr>
        <w:t>为便于采购人归档和向监管部门备案，中标供应商</w:t>
      </w:r>
      <w:r>
        <w:rPr>
          <w:rFonts w:hint="eastAsia" w:ascii="思源宋体 CN Light" w:hAnsi="思源宋体 CN Light" w:eastAsia="思源宋体 CN Light" w:cs="思源宋体 CN Light"/>
          <w:color w:val="auto"/>
          <w:sz w:val="24"/>
          <w:szCs w:val="24"/>
        </w:rPr>
        <w:t>开标时无需提交，待开标结束后</w:t>
      </w:r>
      <w:r>
        <w:rPr>
          <w:rFonts w:hint="eastAsia" w:ascii="思源宋体 CN Light" w:hAnsi="思源宋体 CN Light" w:eastAsia="思源宋体 CN Light" w:cs="思源宋体 CN Light"/>
          <w:color w:val="auto"/>
          <w:sz w:val="24"/>
          <w:szCs w:val="24"/>
          <w:highlight w:val="none"/>
          <w:lang w:val="en-US" w:eastAsia="zh-CN"/>
        </w:rPr>
        <w:t>需按以下要求递交纸质版投标文件，投标文件可采用系统上传的</w:t>
      </w:r>
      <w:r>
        <w:rPr>
          <w:rFonts w:hint="eastAsia" w:ascii="思源宋体 CN Light" w:hAnsi="思源宋体 CN Light" w:eastAsia="思源宋体 CN Light" w:cs="思源宋体 CN Light"/>
          <w:color w:val="auto"/>
          <w:sz w:val="24"/>
          <w:szCs w:val="24"/>
          <w:highlight w:val="none"/>
        </w:rPr>
        <w:t>电子投标文件</w:t>
      </w:r>
      <w:r>
        <w:rPr>
          <w:rFonts w:hint="eastAsia" w:ascii="思源宋体 CN Light" w:hAnsi="思源宋体 CN Light" w:eastAsia="思源宋体 CN Light" w:cs="思源宋体 CN Light"/>
          <w:color w:val="auto"/>
          <w:sz w:val="24"/>
          <w:szCs w:val="24"/>
          <w:highlight w:val="none"/>
          <w:lang w:val="en-US" w:eastAsia="zh-CN"/>
        </w:rPr>
        <w:t>的打印件，正本、副本分别装订成册，每份投标文件封皮须清楚地标明“正本”或“副本”：</w:t>
      </w:r>
    </w:p>
    <w:p w14:paraId="073CB548">
      <w:pPr>
        <w:spacing w:line="360" w:lineRule="auto"/>
        <w:ind w:firstLine="480" w:firstLineChars="20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 xml:space="preserve">投标文件：正本：1 份、副本：2 份； </w:t>
      </w:r>
    </w:p>
    <w:p w14:paraId="3207C04B">
      <w:pPr>
        <w:spacing w:line="360" w:lineRule="auto"/>
        <w:ind w:firstLine="480" w:firstLineChars="20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投标文件</w:t>
      </w:r>
      <w:r>
        <w:rPr>
          <w:rFonts w:hint="eastAsia" w:ascii="宋体" w:hAnsi="宋体" w:cs="宋体"/>
          <w:color w:val="auto"/>
          <w:sz w:val="24"/>
          <w:szCs w:val="24"/>
        </w:rPr>
        <w:t>电子版U盘</w:t>
      </w:r>
      <w:r>
        <w:rPr>
          <w:rFonts w:hint="eastAsia" w:ascii="宋体" w:hAnsi="宋体" w:cs="宋体"/>
          <w:color w:val="auto"/>
          <w:sz w:val="24"/>
          <w:szCs w:val="24"/>
          <w:lang w:val="en-US" w:eastAsia="zh-CN"/>
        </w:rPr>
        <w:t>1</w:t>
      </w:r>
      <w:r>
        <w:rPr>
          <w:rFonts w:hint="eastAsia" w:ascii="宋体" w:hAnsi="宋体" w:cs="宋体"/>
          <w:color w:val="auto"/>
          <w:sz w:val="24"/>
          <w:szCs w:val="24"/>
        </w:rPr>
        <w:t>份（</w:t>
      </w:r>
      <w:r>
        <w:rPr>
          <w:rFonts w:hint="eastAsia" w:ascii="宋体" w:hAnsi="宋体" w:cs="宋体"/>
          <w:color w:val="auto"/>
          <w:sz w:val="24"/>
          <w:szCs w:val="24"/>
          <w:lang w:val="en-US" w:eastAsia="zh-CN"/>
        </w:rPr>
        <w:t>投标文件</w:t>
      </w:r>
      <w:r>
        <w:rPr>
          <w:rFonts w:hint="eastAsia" w:ascii="宋体" w:hAnsi="宋体" w:cs="宋体"/>
          <w:color w:val="auto"/>
          <w:sz w:val="24"/>
          <w:szCs w:val="24"/>
        </w:rPr>
        <w:t>word版</w:t>
      </w:r>
      <w:r>
        <w:rPr>
          <w:rFonts w:hint="eastAsia" w:ascii="宋体" w:hAnsi="宋体" w:cs="宋体"/>
          <w:color w:val="auto"/>
          <w:sz w:val="24"/>
          <w:szCs w:val="24"/>
          <w:lang w:val="en-US" w:eastAsia="zh-CN"/>
        </w:rPr>
        <w:t>及上传电子投标文件签字盖章的PDF版本的</w:t>
      </w:r>
      <w:r>
        <w:rPr>
          <w:rFonts w:hint="eastAsia" w:ascii="宋体" w:hAnsi="宋体" w:cs="宋体"/>
          <w:color w:val="auto"/>
          <w:sz w:val="24"/>
          <w:szCs w:val="24"/>
        </w:rPr>
        <w:t>U盘）</w:t>
      </w:r>
      <w:r>
        <w:rPr>
          <w:rFonts w:hint="eastAsia" w:ascii="思源宋体 CN Light" w:hAnsi="思源宋体 CN Light" w:eastAsia="思源宋体 CN Light" w:cs="思源宋体 CN Light"/>
          <w:color w:val="auto"/>
          <w:sz w:val="24"/>
          <w:szCs w:val="24"/>
          <w:lang w:val="en-US" w:eastAsia="zh-CN"/>
        </w:rPr>
        <w:t>。</w:t>
      </w:r>
    </w:p>
    <w:p w14:paraId="5D914A0E">
      <w:pPr>
        <w:spacing w:line="360" w:lineRule="auto"/>
        <w:ind w:firstLine="482" w:firstLineChars="200"/>
        <w:rPr>
          <w:rFonts w:ascii="宋体" w:hAnsi="宋体" w:cs="仿宋_GB2312"/>
          <w:b/>
          <w:color w:val="auto"/>
          <w:sz w:val="24"/>
          <w:szCs w:val="22"/>
        </w:rPr>
      </w:pPr>
      <w:r>
        <w:rPr>
          <w:rFonts w:hint="eastAsia" w:ascii="宋体" w:hAnsi="宋体" w:cs="仿宋_GB2312"/>
          <w:b/>
          <w:color w:val="auto"/>
          <w:sz w:val="24"/>
          <w:szCs w:val="22"/>
        </w:rPr>
        <w:t>收件人：</w:t>
      </w:r>
      <w:r>
        <w:rPr>
          <w:rFonts w:hint="eastAsia" w:ascii="宋体" w:hAnsi="宋体" w:cs="仿宋_GB2312"/>
          <w:b/>
          <w:color w:val="auto"/>
          <w:sz w:val="24"/>
          <w:szCs w:val="22"/>
          <w:lang w:eastAsia="zh-CN"/>
        </w:rPr>
        <w:t>榆林市恒易达工程项目管理有限公司</w:t>
      </w:r>
      <w:r>
        <w:rPr>
          <w:rFonts w:hint="eastAsia" w:ascii="宋体" w:hAnsi="宋体" w:cs="仿宋_GB2312"/>
          <w:b/>
          <w:color w:val="auto"/>
          <w:sz w:val="24"/>
          <w:szCs w:val="22"/>
        </w:rPr>
        <w:t xml:space="preserve">                       </w:t>
      </w:r>
    </w:p>
    <w:p w14:paraId="38CC9AAF">
      <w:pPr>
        <w:spacing w:line="360" w:lineRule="auto"/>
        <w:ind w:firstLine="482" w:firstLineChars="200"/>
        <w:rPr>
          <w:rFonts w:hint="default" w:ascii="宋体" w:hAnsi="宋体" w:eastAsia="宋体" w:cs="仿宋_GB2312"/>
          <w:b/>
          <w:color w:val="auto"/>
          <w:sz w:val="24"/>
          <w:szCs w:val="22"/>
          <w:lang w:val="en-US" w:eastAsia="zh-CN"/>
        </w:rPr>
      </w:pPr>
      <w:r>
        <w:rPr>
          <w:rFonts w:hint="eastAsia" w:ascii="宋体" w:hAnsi="宋体" w:cs="仿宋_GB2312"/>
          <w:b/>
          <w:color w:val="auto"/>
          <w:sz w:val="24"/>
          <w:szCs w:val="22"/>
        </w:rPr>
        <w:t>收件电话：</w:t>
      </w:r>
      <w:r>
        <w:rPr>
          <w:rFonts w:hint="eastAsia" w:ascii="宋体" w:hAnsi="宋体" w:cs="仿宋_GB2312"/>
          <w:b/>
          <w:color w:val="auto"/>
          <w:sz w:val="24"/>
          <w:szCs w:val="22"/>
          <w:lang w:val="en-US" w:eastAsia="zh-CN"/>
        </w:rPr>
        <w:t>0912-3448777、15619910006</w:t>
      </w:r>
    </w:p>
    <w:p w14:paraId="19C98FEE">
      <w:pPr>
        <w:pStyle w:val="41"/>
        <w:spacing w:line="360" w:lineRule="auto"/>
        <w:ind w:firstLine="482" w:firstLineChars="200"/>
        <w:rPr>
          <w:rFonts w:hAnsi="宋体"/>
          <w:b/>
          <w:color w:val="auto"/>
          <w:szCs w:val="24"/>
        </w:rPr>
      </w:pPr>
      <w:r>
        <w:rPr>
          <w:rFonts w:ascii="宋体" w:hAnsi="宋体" w:eastAsia="宋体" w:cs="仿宋_GB2312"/>
          <w:b/>
          <w:color w:val="auto"/>
          <w:kern w:val="2"/>
          <w:sz w:val="24"/>
          <w:szCs w:val="22"/>
        </w:rPr>
        <w:t>收件地址：</w:t>
      </w:r>
      <w:r>
        <w:rPr>
          <w:rFonts w:hint="eastAsia" w:ascii="宋体" w:hAnsi="宋体" w:eastAsia="宋体" w:cs="仿宋_GB2312"/>
          <w:b/>
          <w:color w:val="auto"/>
          <w:kern w:val="2"/>
          <w:sz w:val="24"/>
          <w:szCs w:val="22"/>
          <w:lang w:eastAsia="zh-CN"/>
        </w:rPr>
        <w:t>榆林市高新区安居东路58号（金叶小区一楼商铺）</w:t>
      </w:r>
      <w:r>
        <w:rPr>
          <w:rFonts w:hint="eastAsia" w:ascii="思源宋体 CN Light" w:hAnsi="思源宋体 CN Light" w:eastAsia="思源宋体 CN Light" w:cs="思源宋体 CN Light"/>
          <w:color w:val="auto"/>
          <w:sz w:val="24"/>
          <w:szCs w:val="24"/>
          <w:lang w:val="en-US" w:eastAsia="zh-CN"/>
        </w:rPr>
        <w:t xml:space="preserve"> </w:t>
      </w:r>
    </w:p>
    <w:p w14:paraId="3BF75B3E">
      <w:pPr>
        <w:spacing w:line="360" w:lineRule="auto"/>
        <w:rPr>
          <w:rFonts w:hAnsi="宋体"/>
          <w:b/>
          <w:color w:val="auto"/>
          <w:szCs w:val="24"/>
        </w:rPr>
      </w:pPr>
      <w:r>
        <w:rPr>
          <w:rFonts w:hint="eastAsia" w:hAnsi="宋体"/>
          <w:b/>
          <w:color w:val="auto"/>
          <w:szCs w:val="24"/>
          <w:lang w:val="en-US" w:eastAsia="zh-CN"/>
        </w:rPr>
        <w:t>19</w:t>
      </w:r>
      <w:r>
        <w:rPr>
          <w:rFonts w:hAnsi="宋体"/>
          <w:b/>
          <w:color w:val="auto"/>
          <w:szCs w:val="24"/>
        </w:rPr>
        <w:t>．</w:t>
      </w:r>
      <w:r>
        <w:rPr>
          <w:rFonts w:hint="eastAsia" w:hAnsi="宋体"/>
          <w:b/>
          <w:color w:val="auto"/>
          <w:szCs w:val="24"/>
        </w:rPr>
        <w:t>磋商</w:t>
      </w:r>
      <w:r>
        <w:rPr>
          <w:rFonts w:hAnsi="宋体"/>
          <w:b/>
          <w:color w:val="auto"/>
          <w:szCs w:val="24"/>
        </w:rPr>
        <w:t>的修改与撤回</w:t>
      </w:r>
    </w:p>
    <w:p w14:paraId="7331C41E">
      <w:pPr>
        <w:keepNext w:val="0"/>
        <w:keepLines w:val="0"/>
        <w:pageBreakBefore w:val="0"/>
        <w:widowControl/>
        <w:kinsoku/>
        <w:wordWrap/>
        <w:overflowPunct/>
        <w:topLinePunct w:val="0"/>
        <w:autoSpaceDE/>
        <w:autoSpaceDN/>
        <w:bidi w:val="0"/>
        <w:adjustRightInd w:val="0"/>
        <w:snapToGrid w:val="0"/>
        <w:spacing w:line="360" w:lineRule="auto"/>
        <w:ind w:right="-150" w:firstLine="480" w:firstLineChars="200"/>
        <w:textAlignment w:val="auto"/>
        <w:rPr>
          <w:rFonts w:hint="eastAsia" w:ascii="宋体" w:hAnsi="宋体" w:eastAsia="宋体" w:cs="宋体"/>
          <w:color w:val="auto"/>
          <w:sz w:val="24"/>
        </w:rPr>
      </w:pPr>
      <w:bookmarkStart w:id="36" w:name="_Toc363474021"/>
      <w:bookmarkStart w:id="37" w:name="_Toc363473976"/>
      <w:bookmarkStart w:id="38" w:name="_Toc403077643"/>
      <w:r>
        <w:rPr>
          <w:rFonts w:hint="eastAsia" w:ascii="宋体" w:hAnsi="宋体" w:eastAsia="宋体" w:cs="宋体"/>
          <w:color w:val="auto"/>
          <w:sz w:val="24"/>
          <w:lang w:val="en-US" w:eastAsia="zh-CN"/>
        </w:rPr>
        <w:t>19</w:t>
      </w:r>
      <w:r>
        <w:rPr>
          <w:rFonts w:hint="eastAsia" w:ascii="宋体" w:hAnsi="宋体" w:eastAsia="宋体" w:cs="宋体"/>
          <w:color w:val="auto"/>
          <w:sz w:val="24"/>
        </w:rPr>
        <w:t>.1 投标人在开标截止时间前，可以对所递交的投标文件进行补充、修改或者撤回，并书面通知采购代理机构。补充、修改的内容应当按招标文件要求签署、盖章，并作为投标响应文件的组成部分。</w:t>
      </w:r>
    </w:p>
    <w:p w14:paraId="79FF03C1">
      <w:pPr>
        <w:keepNext w:val="0"/>
        <w:keepLines w:val="0"/>
        <w:pageBreakBefore w:val="0"/>
        <w:widowControl/>
        <w:kinsoku/>
        <w:wordWrap/>
        <w:overflowPunct/>
        <w:topLinePunct w:val="0"/>
        <w:autoSpaceDE/>
        <w:autoSpaceDN/>
        <w:bidi w:val="0"/>
        <w:adjustRightInd w:val="0"/>
        <w:snapToGrid w:val="0"/>
        <w:spacing w:line="360" w:lineRule="auto"/>
        <w:ind w:right="-15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19</w:t>
      </w:r>
      <w:r>
        <w:rPr>
          <w:rFonts w:hint="eastAsia" w:ascii="宋体" w:hAnsi="宋体" w:eastAsia="宋体" w:cs="宋体"/>
          <w:color w:val="auto"/>
          <w:sz w:val="24"/>
        </w:rPr>
        <w:t>.2当修改的内容影响投标文件编制时，将在交易平台上同步发布答疑文件，此时投标人应从“项目流程·〉答疑文件下载”下载最新发布的答疑文件（*.SXSCF格式），并使用该文件重新编制电子投标文件（*.SXSTF格式），使用旧版电子招标文件或旧版答疑文件制作的电子投标文件，系统将拒绝接收。</w:t>
      </w:r>
    </w:p>
    <w:p w14:paraId="2D6A58C5">
      <w:pPr>
        <w:keepNext w:val="0"/>
        <w:keepLines w:val="0"/>
        <w:pageBreakBefore w:val="0"/>
        <w:widowControl/>
        <w:kinsoku/>
        <w:wordWrap/>
        <w:overflowPunct/>
        <w:topLinePunct w:val="0"/>
        <w:autoSpaceDE/>
        <w:autoSpaceDN/>
        <w:bidi w:val="0"/>
        <w:adjustRightInd w:val="0"/>
        <w:snapToGrid w:val="0"/>
        <w:spacing w:line="360" w:lineRule="auto"/>
        <w:ind w:right="-15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19</w:t>
      </w:r>
      <w:r>
        <w:rPr>
          <w:rFonts w:hint="eastAsia" w:ascii="宋体" w:hAnsi="宋体" w:eastAsia="宋体" w:cs="宋体"/>
          <w:color w:val="auto"/>
          <w:sz w:val="24"/>
        </w:rPr>
        <w:t>.3 开标截止时间后，投标人不得对其投标响应文件做任何修改。</w:t>
      </w:r>
    </w:p>
    <w:p w14:paraId="1EE7729D">
      <w:pPr>
        <w:keepNext w:val="0"/>
        <w:keepLines w:val="0"/>
        <w:pageBreakBefore w:val="0"/>
        <w:widowControl/>
        <w:kinsoku/>
        <w:wordWrap/>
        <w:overflowPunct/>
        <w:topLinePunct w:val="0"/>
        <w:autoSpaceDE/>
        <w:autoSpaceDN/>
        <w:bidi w:val="0"/>
        <w:adjustRightInd w:val="0"/>
        <w:snapToGrid w:val="0"/>
        <w:spacing w:line="360" w:lineRule="auto"/>
        <w:ind w:right="-150" w:firstLine="480" w:firstLineChars="200"/>
        <w:textAlignment w:val="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19</w:t>
      </w:r>
      <w:r>
        <w:rPr>
          <w:rFonts w:hint="eastAsia" w:ascii="宋体" w:hAnsi="宋体" w:eastAsia="宋体" w:cs="宋体"/>
          <w:color w:val="auto"/>
          <w:sz w:val="24"/>
        </w:rPr>
        <w:t>.4 从开标截止期至投标人在投标函格式中确定的投标有效期之间，投标人不得撤销其投标文件</w:t>
      </w:r>
      <w:r>
        <w:rPr>
          <w:rFonts w:hint="eastAsia" w:ascii="宋体" w:hAnsi="宋体" w:eastAsia="宋体" w:cs="宋体"/>
          <w:color w:val="auto"/>
          <w:sz w:val="24"/>
          <w:lang w:eastAsia="zh-CN"/>
        </w:rPr>
        <w:t>。</w:t>
      </w:r>
    </w:p>
    <w:p w14:paraId="7E74C0F7">
      <w:pPr>
        <w:keepNext/>
        <w:keepLines/>
        <w:spacing w:before="240" w:beforeLines="100" w:after="120" w:afterLines="50" w:line="360" w:lineRule="auto"/>
        <w:jc w:val="center"/>
        <w:rPr>
          <w:rFonts w:hAnsi="宋体"/>
          <w:b/>
          <w:color w:val="auto"/>
          <w:sz w:val="32"/>
          <w:szCs w:val="32"/>
        </w:rPr>
      </w:pPr>
      <w:r>
        <w:rPr>
          <w:rFonts w:hAnsi="宋体"/>
          <w:b/>
          <w:color w:val="auto"/>
          <w:sz w:val="32"/>
          <w:szCs w:val="32"/>
        </w:rPr>
        <w:t>五.</w:t>
      </w:r>
      <w:r>
        <w:rPr>
          <w:rFonts w:hint="eastAsia" w:hAnsi="宋体"/>
          <w:b/>
          <w:color w:val="auto"/>
          <w:sz w:val="32"/>
          <w:szCs w:val="32"/>
        </w:rPr>
        <w:t>磋商</w:t>
      </w:r>
      <w:r>
        <w:rPr>
          <w:rFonts w:hAnsi="宋体"/>
          <w:b/>
          <w:color w:val="auto"/>
          <w:sz w:val="32"/>
          <w:szCs w:val="32"/>
        </w:rPr>
        <w:t>与评标</w:t>
      </w:r>
      <w:bookmarkEnd w:id="36"/>
      <w:bookmarkEnd w:id="37"/>
      <w:bookmarkEnd w:id="38"/>
    </w:p>
    <w:p w14:paraId="7C726EA0">
      <w:pPr>
        <w:spacing w:line="460" w:lineRule="exact"/>
        <w:rPr>
          <w:rFonts w:hint="eastAsia" w:ascii="思源宋体 CN Light" w:hAnsi="思源宋体 CN Light" w:eastAsia="思源宋体 CN Light" w:cs="思源宋体 CN Light"/>
          <w:b/>
          <w:bCs/>
          <w:color w:val="auto"/>
          <w:sz w:val="24"/>
          <w:szCs w:val="24"/>
          <w:lang w:val="en-US" w:eastAsia="zh-CN"/>
        </w:rPr>
      </w:pPr>
      <w:r>
        <w:rPr>
          <w:rFonts w:hint="eastAsia" w:ascii="思源宋体 CN Light" w:hAnsi="思源宋体 CN Light" w:eastAsia="思源宋体 CN Light" w:cs="思源宋体 CN Light"/>
          <w:b/>
          <w:bCs/>
          <w:color w:val="auto"/>
          <w:sz w:val="24"/>
          <w:szCs w:val="24"/>
          <w:lang w:val="en-US" w:eastAsia="zh-CN"/>
        </w:rPr>
        <w:t>20、开标</w:t>
      </w:r>
    </w:p>
    <w:p w14:paraId="153B7972">
      <w:pPr>
        <w:spacing w:line="460" w:lineRule="exact"/>
        <w:ind w:firstLine="480" w:firstLineChars="200"/>
        <w:rPr>
          <w:rFonts w:hint="eastAsia" w:ascii="宋体" w:hAnsi="宋体" w:cs="宋体"/>
          <w:b/>
          <w:color w:val="auto"/>
          <w:sz w:val="32"/>
          <w:szCs w:val="32"/>
        </w:rPr>
      </w:pPr>
      <w:r>
        <w:rPr>
          <w:rFonts w:hint="eastAsia" w:ascii="思源宋体 CN Light" w:hAnsi="思源宋体 CN Light" w:eastAsia="思源宋体 CN Light" w:cs="思源宋体 CN Light"/>
          <w:color w:val="auto"/>
          <w:sz w:val="24"/>
          <w:szCs w:val="24"/>
        </w:rPr>
        <w:t>本项目采用“不见面”开标形式，投标人可登录榆林交易平台〖首页〉不见面开标〗在线参与开评标过程，详见招标文件以及交易平台〖首页〉服务指南〉下载专区〗中的《榆林市不见面开标大厅操作手册（投标人）》。</w:t>
      </w:r>
    </w:p>
    <w:p w14:paraId="74A5B336">
      <w:pPr>
        <w:spacing w:line="460" w:lineRule="exact"/>
        <w:ind w:firstLine="480" w:firstLineChars="200"/>
        <w:rPr>
          <w:rFonts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val="en-US" w:eastAsia="zh-CN"/>
        </w:rPr>
        <w:t>0</w:t>
      </w:r>
      <w:r>
        <w:rPr>
          <w:rFonts w:hint="eastAsia" w:ascii="宋体" w:hAnsi="宋体" w:cs="宋体"/>
          <w:color w:val="auto"/>
          <w:sz w:val="24"/>
        </w:rPr>
        <w:t>.1采购代理机构在规定的时间和地点组织开标会议。</w:t>
      </w:r>
      <w:r>
        <w:rPr>
          <w:rFonts w:hint="eastAsia" w:ascii="思源宋体 CN Light" w:hAnsi="思源宋体 CN Light" w:eastAsia="思源宋体 CN Light" w:cs="思源宋体 CN Light"/>
          <w:color w:val="auto"/>
          <w:sz w:val="24"/>
          <w:szCs w:val="24"/>
        </w:rPr>
        <w:t>各投标人在开标截止时间前至少提前半小时登录“不见面”开标系统登录，投标人应按要求及时签到</w:t>
      </w:r>
      <w:r>
        <w:rPr>
          <w:rFonts w:hint="eastAsia" w:ascii="思源宋体 CN Light" w:hAnsi="思源宋体 CN Light" w:eastAsia="思源宋体 CN Light" w:cs="思源宋体 CN Light"/>
          <w:b/>
          <w:bCs/>
          <w:color w:val="auto"/>
          <w:sz w:val="24"/>
          <w:szCs w:val="24"/>
        </w:rPr>
        <w:t>（签到时间为投标截止时间前1小时内，如果未签到将视为放弃投标资格），</w:t>
      </w:r>
      <w:r>
        <w:rPr>
          <w:rFonts w:hint="eastAsia" w:ascii="思源宋体 CN Light" w:hAnsi="思源宋体 CN Light" w:eastAsia="思源宋体 CN Light" w:cs="思源宋体 CN Light"/>
          <w:color w:val="auto"/>
          <w:sz w:val="24"/>
          <w:szCs w:val="24"/>
        </w:rPr>
        <w:t>评审过程中，评标委员会可能会就某些问题要求投标人进行在线澄清，请投标人保持在线直到评审结束；</w:t>
      </w:r>
    </w:p>
    <w:p w14:paraId="2D1BA0A6">
      <w:pPr>
        <w:spacing w:line="460" w:lineRule="exact"/>
        <w:ind w:firstLine="480" w:firstLineChars="200"/>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rPr>
        <w:t>2</w:t>
      </w:r>
      <w:r>
        <w:rPr>
          <w:rFonts w:hint="eastAsia" w:ascii="思源宋体 CN Light" w:hAnsi="思源宋体 CN Light" w:eastAsia="思源宋体 CN Light" w:cs="思源宋体 CN Light"/>
          <w:color w:val="auto"/>
          <w:sz w:val="24"/>
          <w:szCs w:val="24"/>
          <w:lang w:val="en-US" w:eastAsia="zh-CN"/>
        </w:rPr>
        <w:t>0</w:t>
      </w:r>
      <w:r>
        <w:rPr>
          <w:rFonts w:hint="eastAsia" w:ascii="思源宋体 CN Light" w:hAnsi="思源宋体 CN Light" w:eastAsia="思源宋体 CN Light" w:cs="思源宋体 CN Light"/>
          <w:color w:val="auto"/>
          <w:sz w:val="24"/>
          <w:szCs w:val="24"/>
        </w:rPr>
        <w:t>.2由主持人公布投标人名单；</w:t>
      </w:r>
    </w:p>
    <w:p w14:paraId="1C7E96D6">
      <w:pPr>
        <w:spacing w:line="460" w:lineRule="exact"/>
        <w:ind w:firstLine="480" w:firstLineChars="200"/>
        <w:rPr>
          <w:rFonts w:hint="eastAsia" w:ascii="思源宋体 CN Light" w:hAnsi="思源宋体 CN Light" w:eastAsia="思源宋体 CN Light" w:cs="思源宋体 CN Light"/>
          <w:color w:val="auto"/>
          <w:sz w:val="24"/>
          <w:szCs w:val="24"/>
          <w:lang w:eastAsia="zh-CN"/>
        </w:rPr>
      </w:pPr>
      <w:r>
        <w:rPr>
          <w:rFonts w:hint="eastAsia" w:ascii="思源宋体 CN Light" w:hAnsi="思源宋体 CN Light" w:eastAsia="思源宋体 CN Light" w:cs="思源宋体 CN Light"/>
          <w:color w:val="auto"/>
          <w:sz w:val="24"/>
          <w:szCs w:val="24"/>
        </w:rPr>
        <w:t>2</w:t>
      </w:r>
      <w:r>
        <w:rPr>
          <w:rFonts w:hint="eastAsia" w:ascii="思源宋体 CN Light" w:hAnsi="思源宋体 CN Light" w:eastAsia="思源宋体 CN Light" w:cs="思源宋体 CN Light"/>
          <w:color w:val="auto"/>
          <w:sz w:val="24"/>
          <w:szCs w:val="24"/>
          <w:lang w:val="en-US" w:eastAsia="zh-CN"/>
        </w:rPr>
        <w:t>0</w:t>
      </w:r>
      <w:r>
        <w:rPr>
          <w:rFonts w:hint="eastAsia" w:ascii="思源宋体 CN Light" w:hAnsi="思源宋体 CN Light" w:eastAsia="思源宋体 CN Light" w:cs="思源宋体 CN Light"/>
          <w:color w:val="auto"/>
          <w:sz w:val="24"/>
          <w:szCs w:val="24"/>
        </w:rPr>
        <w:t>.3介绍参加招标会议的采购人代表、监标人</w:t>
      </w:r>
      <w:r>
        <w:rPr>
          <w:rFonts w:hint="eastAsia" w:ascii="思源宋体 CN Light" w:hAnsi="思源宋体 CN Light" w:eastAsia="思源宋体 CN Light" w:cs="思源宋体 CN Light"/>
          <w:color w:val="auto"/>
          <w:sz w:val="24"/>
          <w:szCs w:val="24"/>
          <w:lang w:eastAsia="zh-CN"/>
        </w:rPr>
        <w:t>；</w:t>
      </w:r>
    </w:p>
    <w:p w14:paraId="000304E3">
      <w:pPr>
        <w:spacing w:line="460" w:lineRule="exact"/>
        <w:ind w:firstLine="480" w:firstLineChars="200"/>
        <w:rPr>
          <w:rFonts w:hint="eastAsia" w:ascii="思源宋体 CN Light" w:hAnsi="思源宋体 CN Light" w:eastAsia="思源宋体 CN Light" w:cs="思源宋体 CN Light"/>
          <w:color w:val="auto"/>
          <w:sz w:val="24"/>
          <w:szCs w:val="24"/>
        </w:rPr>
      </w:pPr>
      <w:r>
        <w:rPr>
          <w:rFonts w:hint="eastAsia" w:ascii="宋体" w:hAnsi="宋体" w:cs="宋体"/>
          <w:color w:val="auto"/>
          <w:sz w:val="24"/>
        </w:rPr>
        <w:t>2</w:t>
      </w:r>
      <w:r>
        <w:rPr>
          <w:rFonts w:hint="eastAsia" w:ascii="宋体" w:hAnsi="宋体" w:cs="宋体"/>
          <w:color w:val="auto"/>
          <w:sz w:val="24"/>
          <w:lang w:val="en-US" w:eastAsia="zh-CN"/>
        </w:rPr>
        <w:t>0</w:t>
      </w:r>
      <w:r>
        <w:rPr>
          <w:rFonts w:hint="eastAsia" w:ascii="宋体" w:hAnsi="宋体" w:cs="宋体"/>
          <w:color w:val="auto"/>
          <w:sz w:val="24"/>
        </w:rPr>
        <w:t>.4</w:t>
      </w:r>
      <w:r>
        <w:rPr>
          <w:rFonts w:hint="eastAsia" w:ascii="思源宋体 CN Light" w:hAnsi="思源宋体 CN Light" w:eastAsia="思源宋体 CN Light" w:cs="思源宋体 CN Light"/>
          <w:color w:val="auto"/>
          <w:sz w:val="24"/>
          <w:szCs w:val="24"/>
        </w:rPr>
        <w:t>开标过程中，投标人在收到工作人员“开始解密”指令后，请及时使用CA对电子投标文件进行解密。解密时所用CA应与加密投标文件时所用CA相同，解密时间为30分钟，在解密时间内投标人全部解密完成后，可提前进入开标下一阶段。</w:t>
      </w:r>
    </w:p>
    <w:p w14:paraId="2867E6F4">
      <w:pPr>
        <w:spacing w:line="460" w:lineRule="exact"/>
        <w:ind w:firstLine="480" w:firstLineChars="200"/>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rPr>
        <w:t>2</w:t>
      </w:r>
      <w:r>
        <w:rPr>
          <w:rFonts w:hint="eastAsia" w:ascii="思源宋体 CN Light" w:hAnsi="思源宋体 CN Light" w:eastAsia="思源宋体 CN Light" w:cs="思源宋体 CN Light"/>
          <w:color w:val="auto"/>
          <w:sz w:val="24"/>
          <w:szCs w:val="24"/>
          <w:lang w:val="en-US" w:eastAsia="zh-CN"/>
        </w:rPr>
        <w:t>0</w:t>
      </w:r>
      <w:r>
        <w:rPr>
          <w:rFonts w:hint="eastAsia" w:ascii="思源宋体 CN Light" w:hAnsi="思源宋体 CN Light" w:eastAsia="思源宋体 CN Light" w:cs="思源宋体 CN Light"/>
          <w:color w:val="auto"/>
          <w:sz w:val="24"/>
          <w:szCs w:val="24"/>
        </w:rPr>
        <w:t>.5进行导入投标文件</w:t>
      </w:r>
    </w:p>
    <w:p w14:paraId="46336CFC">
      <w:pPr>
        <w:spacing w:line="460" w:lineRule="exact"/>
        <w:ind w:firstLine="480" w:firstLineChars="200"/>
        <w:rPr>
          <w:rFonts w:hint="eastAsia"/>
          <w:color w:val="auto"/>
        </w:rPr>
      </w:pPr>
      <w:r>
        <w:rPr>
          <w:rFonts w:hint="eastAsia" w:ascii="宋体" w:hAnsi="宋体" w:cs="宋体"/>
          <w:color w:val="auto"/>
          <w:sz w:val="24"/>
        </w:rPr>
        <w:t>2</w:t>
      </w:r>
      <w:r>
        <w:rPr>
          <w:rFonts w:hint="eastAsia" w:ascii="宋体" w:hAnsi="宋体" w:cs="宋体"/>
          <w:color w:val="auto"/>
          <w:sz w:val="24"/>
          <w:lang w:val="en-US" w:eastAsia="zh-CN"/>
        </w:rPr>
        <w:t>0</w:t>
      </w:r>
      <w:r>
        <w:rPr>
          <w:rFonts w:hint="eastAsia" w:ascii="宋体" w:hAnsi="宋体" w:cs="宋体"/>
          <w:color w:val="auto"/>
          <w:sz w:val="24"/>
        </w:rPr>
        <w:t>.6 唱标</w:t>
      </w:r>
    </w:p>
    <w:p w14:paraId="6DF09C3D">
      <w:pPr>
        <w:spacing w:line="460" w:lineRule="exact"/>
        <w:ind w:firstLine="480" w:firstLineChars="200"/>
        <w:rPr>
          <w:rFonts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val="en-US" w:eastAsia="zh-CN"/>
        </w:rPr>
        <w:t>0</w:t>
      </w:r>
      <w:r>
        <w:rPr>
          <w:rFonts w:hint="eastAsia" w:ascii="宋体" w:hAnsi="宋体" w:cs="宋体"/>
          <w:color w:val="auto"/>
          <w:sz w:val="24"/>
        </w:rPr>
        <w:t>.6 有效投标人不足三家的，按照国家相关法律、法规及有关规定执行。</w:t>
      </w:r>
    </w:p>
    <w:p w14:paraId="6B097647">
      <w:pPr>
        <w:spacing w:line="360" w:lineRule="auto"/>
        <w:ind w:firstLine="480" w:firstLineChars="200"/>
        <w:rPr>
          <w:rFonts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val="en-US" w:eastAsia="zh-CN"/>
        </w:rPr>
        <w:t>0</w:t>
      </w:r>
      <w:r>
        <w:rPr>
          <w:rFonts w:hint="eastAsia" w:ascii="宋体" w:hAnsi="宋体" w:cs="宋体"/>
          <w:color w:val="auto"/>
          <w:sz w:val="24"/>
        </w:rPr>
        <w:t>.7 采购代理机构将做开标记录，存档备查。</w:t>
      </w:r>
    </w:p>
    <w:p w14:paraId="77FDBC78">
      <w:pPr>
        <w:adjustRightInd w:val="0"/>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val="en-US" w:eastAsia="zh-CN"/>
        </w:rPr>
        <w:t>0</w:t>
      </w:r>
      <w:r>
        <w:rPr>
          <w:rFonts w:hint="eastAsia" w:ascii="宋体" w:hAnsi="宋体" w:cs="宋体"/>
          <w:color w:val="auto"/>
          <w:sz w:val="24"/>
        </w:rPr>
        <w:t>.8 开标时，投标文件中出现下列情况，修正原则为：</w:t>
      </w:r>
    </w:p>
    <w:p w14:paraId="42AE32F9">
      <w:pPr>
        <w:adjustRightInd w:val="0"/>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val="en-US" w:eastAsia="zh-CN"/>
        </w:rPr>
        <w:t>0</w:t>
      </w:r>
      <w:r>
        <w:rPr>
          <w:rFonts w:hint="eastAsia" w:ascii="宋体" w:hAnsi="宋体" w:cs="宋体"/>
          <w:color w:val="auto"/>
          <w:sz w:val="24"/>
        </w:rPr>
        <w:t>.8.1 投标文件中开标一览表（报价表）内容与投标文件中相应内容不一致的，以开标一览表（报价表）为准；</w:t>
      </w:r>
    </w:p>
    <w:p w14:paraId="3C226B07">
      <w:pPr>
        <w:adjustRightInd w:val="0"/>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val="en-US" w:eastAsia="zh-CN"/>
        </w:rPr>
        <w:t>0</w:t>
      </w:r>
      <w:r>
        <w:rPr>
          <w:rFonts w:hint="eastAsia" w:ascii="宋体" w:hAnsi="宋体" w:cs="宋体"/>
          <w:color w:val="auto"/>
          <w:sz w:val="24"/>
        </w:rPr>
        <w:t>.8.2 投标报价的大写金额和小写金额不一致的，以大写金额为准；</w:t>
      </w:r>
    </w:p>
    <w:p w14:paraId="0F2E1409">
      <w:pPr>
        <w:adjustRightInd w:val="0"/>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24.8.3 总价金额与按单价汇总金额不一致的，以单价金额计算结果为准；</w:t>
      </w:r>
    </w:p>
    <w:p w14:paraId="7FA228BD">
      <w:pPr>
        <w:adjustRightInd w:val="0"/>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val="en-US" w:eastAsia="zh-CN"/>
        </w:rPr>
        <w:t>0</w:t>
      </w:r>
      <w:r>
        <w:rPr>
          <w:rFonts w:hint="eastAsia" w:ascii="宋体" w:hAnsi="宋体" w:cs="宋体"/>
          <w:color w:val="auto"/>
          <w:sz w:val="24"/>
        </w:rPr>
        <w:t>.8.4 单价金额小数点百分比有明显错位的，以开标一览表的总价为准，并修改单价；</w:t>
      </w:r>
    </w:p>
    <w:p w14:paraId="02D1F86C">
      <w:pPr>
        <w:adjustRightInd w:val="0"/>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val="en-US" w:eastAsia="zh-CN"/>
        </w:rPr>
        <w:t>0</w:t>
      </w:r>
      <w:r>
        <w:rPr>
          <w:rFonts w:hint="eastAsia" w:ascii="宋体" w:hAnsi="宋体" w:cs="宋体"/>
          <w:color w:val="auto"/>
          <w:sz w:val="24"/>
        </w:rPr>
        <w:t>.8.5 投标文件正本与副本不一致的，以正本为准，电子投标文件与纸质投标文件不一致的，以电子投标文件为准；</w:t>
      </w:r>
    </w:p>
    <w:p w14:paraId="70761961">
      <w:pPr>
        <w:adjustRightInd w:val="0"/>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val="en-US" w:eastAsia="zh-CN"/>
        </w:rPr>
        <w:t>0</w:t>
      </w:r>
      <w:r>
        <w:rPr>
          <w:rFonts w:hint="eastAsia" w:ascii="宋体" w:hAnsi="宋体" w:cs="宋体"/>
          <w:color w:val="auto"/>
          <w:sz w:val="24"/>
        </w:rPr>
        <w:t>.8.6 多处内容交叉不符时，以评标委员会评审结果为准；</w:t>
      </w:r>
    </w:p>
    <w:p w14:paraId="45716A3F">
      <w:pPr>
        <w:adjustRightInd w:val="0"/>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val="en-US" w:eastAsia="zh-CN"/>
        </w:rPr>
        <w:t>0</w:t>
      </w:r>
      <w:r>
        <w:rPr>
          <w:rFonts w:hint="eastAsia" w:ascii="宋体" w:hAnsi="宋体" w:cs="宋体"/>
          <w:color w:val="auto"/>
          <w:sz w:val="24"/>
        </w:rPr>
        <w:t>.8.7 文字与图表不符时以文字为准；</w:t>
      </w:r>
    </w:p>
    <w:p w14:paraId="39BB70CA">
      <w:pPr>
        <w:adjustRightInd w:val="0"/>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按上述修正错误的原则及方法调整或修正投标文件的报价，投标单位同意后，调整后的报价对投标单位起约束作用。如果投标单位不接受修正后的报价，则其投标无效。 </w:t>
      </w:r>
    </w:p>
    <w:p w14:paraId="450BED9C">
      <w:pPr>
        <w:pStyle w:val="18"/>
        <w:spacing w:line="360" w:lineRule="auto"/>
        <w:ind w:firstLine="480" w:firstLineChars="200"/>
        <w:rPr>
          <w:rFonts w:hAnsi="宋体"/>
          <w:b/>
          <w:color w:val="auto"/>
          <w:szCs w:val="24"/>
        </w:rPr>
      </w:pPr>
      <w:r>
        <w:rPr>
          <w:rFonts w:hint="eastAsia" w:ascii="宋体" w:hAnsi="宋体" w:cs="宋体"/>
          <w:b w:val="0"/>
          <w:color w:val="auto"/>
          <w:sz w:val="24"/>
        </w:rPr>
        <w:t>2</w:t>
      </w:r>
      <w:r>
        <w:rPr>
          <w:rFonts w:hint="eastAsia" w:ascii="宋体" w:hAnsi="宋体" w:cs="宋体"/>
          <w:b w:val="0"/>
          <w:color w:val="auto"/>
          <w:sz w:val="24"/>
          <w:lang w:val="en-US" w:eastAsia="zh-CN"/>
        </w:rPr>
        <w:t>0</w:t>
      </w:r>
      <w:r>
        <w:rPr>
          <w:rFonts w:hint="eastAsia" w:ascii="宋体" w:hAnsi="宋体" w:cs="宋体"/>
          <w:b w:val="0"/>
          <w:color w:val="auto"/>
          <w:sz w:val="24"/>
        </w:rPr>
        <w:t>.9</w:t>
      </w:r>
      <w:r>
        <w:rPr>
          <w:rFonts w:hint="eastAsia" w:ascii="宋体" w:hAnsi="宋体" w:cs="宋体"/>
          <w:b w:val="0"/>
          <w:bCs/>
          <w:color w:val="auto"/>
          <w:sz w:val="24"/>
          <w:szCs w:val="24"/>
        </w:rPr>
        <w:t>在开标、评审过程中，如因停电、断网、电子化系统故障等特殊原因导致电子化开、评标无法正常进行时，视具体情况确定是否从线上转线下或者停止开评标活动。</w:t>
      </w:r>
    </w:p>
    <w:p w14:paraId="46E19AFE">
      <w:pPr>
        <w:spacing w:line="360" w:lineRule="auto"/>
        <w:rPr>
          <w:rFonts w:hAnsi="宋体"/>
          <w:b/>
          <w:color w:val="auto"/>
          <w:szCs w:val="24"/>
        </w:rPr>
      </w:pPr>
      <w:r>
        <w:rPr>
          <w:rFonts w:hAnsi="宋体"/>
          <w:b/>
          <w:color w:val="auto"/>
          <w:szCs w:val="24"/>
        </w:rPr>
        <w:t>2</w:t>
      </w:r>
      <w:r>
        <w:rPr>
          <w:rFonts w:hint="eastAsia" w:hAnsi="宋体"/>
          <w:b/>
          <w:color w:val="auto"/>
          <w:szCs w:val="24"/>
          <w:lang w:val="en-US" w:eastAsia="zh-CN"/>
        </w:rPr>
        <w:t>1</w:t>
      </w:r>
      <w:r>
        <w:rPr>
          <w:rFonts w:hAnsi="宋体"/>
          <w:b/>
          <w:color w:val="auto"/>
          <w:szCs w:val="24"/>
        </w:rPr>
        <w:t>.</w:t>
      </w:r>
      <w:r>
        <w:rPr>
          <w:rFonts w:hint="eastAsia" w:hAnsi="宋体"/>
          <w:b/>
          <w:color w:val="auto"/>
          <w:szCs w:val="24"/>
        </w:rPr>
        <w:t>磋商</w:t>
      </w:r>
    </w:p>
    <w:p w14:paraId="43CB0B36">
      <w:pPr>
        <w:pStyle w:val="18"/>
        <w:spacing w:line="360" w:lineRule="auto"/>
        <w:ind w:left="547" w:leftChars="228"/>
        <w:jc w:val="left"/>
        <w:rPr>
          <w:rFonts w:hint="eastAsia" w:ascii="宋体" w:hAnsi="宋体" w:cs="宋体"/>
          <w:b w:val="0"/>
          <w:color w:val="auto"/>
          <w:sz w:val="24"/>
          <w:szCs w:val="22"/>
        </w:rPr>
      </w:pPr>
      <w:r>
        <w:rPr>
          <w:rFonts w:hint="eastAsia" w:ascii="宋体" w:hAnsi="宋体" w:cs="宋体"/>
          <w:b w:val="0"/>
          <w:color w:val="auto"/>
          <w:sz w:val="24"/>
          <w:szCs w:val="22"/>
        </w:rPr>
        <w:t>2</w:t>
      </w:r>
      <w:r>
        <w:rPr>
          <w:rFonts w:hint="eastAsia" w:ascii="宋体" w:hAnsi="宋体" w:cs="宋体"/>
          <w:b w:val="0"/>
          <w:color w:val="auto"/>
          <w:sz w:val="24"/>
          <w:szCs w:val="22"/>
          <w:lang w:val="en-US" w:eastAsia="zh-CN"/>
        </w:rPr>
        <w:t>1</w:t>
      </w:r>
      <w:r>
        <w:rPr>
          <w:rFonts w:hint="eastAsia" w:ascii="宋体" w:hAnsi="宋体" w:cs="宋体"/>
          <w:b w:val="0"/>
          <w:color w:val="auto"/>
          <w:sz w:val="24"/>
          <w:szCs w:val="22"/>
        </w:rPr>
        <w:t>.1开标结束后，</w:t>
      </w:r>
      <w:r>
        <w:rPr>
          <w:rFonts w:hint="eastAsia" w:ascii="宋体" w:hAnsi="宋体" w:cs="宋体"/>
          <w:b w:val="0"/>
          <w:color w:val="auto"/>
          <w:sz w:val="24"/>
          <w:szCs w:val="22"/>
          <w:lang w:val="en-US" w:eastAsia="zh-CN"/>
        </w:rPr>
        <w:t>磋商小组</w:t>
      </w:r>
      <w:r>
        <w:rPr>
          <w:rFonts w:hint="eastAsia" w:ascii="宋体" w:hAnsi="宋体" w:cs="宋体"/>
          <w:b w:val="0"/>
          <w:color w:val="auto"/>
          <w:sz w:val="24"/>
          <w:szCs w:val="22"/>
        </w:rPr>
        <w:t>应当依法对投标人的资格证明文</w:t>
      </w:r>
    </w:p>
    <w:p w14:paraId="54801138">
      <w:pPr>
        <w:pStyle w:val="18"/>
        <w:spacing w:line="360" w:lineRule="auto"/>
        <w:jc w:val="left"/>
        <w:rPr>
          <w:rFonts w:hint="eastAsia" w:ascii="宋体" w:hAnsi="宋体" w:cs="宋体"/>
          <w:b w:val="0"/>
          <w:color w:val="auto"/>
          <w:sz w:val="24"/>
          <w:szCs w:val="22"/>
        </w:rPr>
      </w:pPr>
      <w:r>
        <w:rPr>
          <w:rFonts w:hint="eastAsia" w:ascii="宋体" w:hAnsi="宋体" w:cs="宋体"/>
          <w:b w:val="0"/>
          <w:color w:val="auto"/>
          <w:sz w:val="24"/>
          <w:szCs w:val="22"/>
        </w:rPr>
        <w:t>件进行审查，签字确认检查结果。</w:t>
      </w:r>
    </w:p>
    <w:p w14:paraId="31425CBF">
      <w:pPr>
        <w:adjustRightInd w:val="0"/>
        <w:snapToGrid w:val="0"/>
        <w:spacing w:line="360" w:lineRule="auto"/>
        <w:ind w:firstLine="480" w:firstLineChars="200"/>
        <w:rPr>
          <w:color w:val="auto"/>
        </w:rPr>
      </w:pPr>
      <w:r>
        <w:rPr>
          <w:rFonts w:hint="eastAsia" w:ascii="宋体" w:hAnsi="宋体" w:cs="宋体"/>
          <w:color w:val="auto"/>
          <w:sz w:val="24"/>
          <w:szCs w:val="22"/>
        </w:rPr>
        <w:t>2</w:t>
      </w:r>
      <w:r>
        <w:rPr>
          <w:rFonts w:hint="eastAsia" w:ascii="宋体" w:hAnsi="宋体" w:cs="宋体"/>
          <w:color w:val="auto"/>
          <w:sz w:val="24"/>
          <w:szCs w:val="22"/>
          <w:lang w:val="en-US" w:eastAsia="zh-CN"/>
        </w:rPr>
        <w:t>1</w:t>
      </w:r>
      <w:r>
        <w:rPr>
          <w:rFonts w:hint="eastAsia" w:ascii="宋体" w:hAnsi="宋体" w:cs="宋体"/>
          <w:color w:val="auto"/>
          <w:sz w:val="24"/>
          <w:szCs w:val="22"/>
        </w:rPr>
        <w:t>.2</w:t>
      </w:r>
      <w:r>
        <w:rPr>
          <w:rFonts w:hint="eastAsia" w:ascii="宋体" w:hAnsi="宋体" w:cs="宋体"/>
          <w:color w:val="auto"/>
          <w:sz w:val="24"/>
          <w:szCs w:val="24"/>
        </w:rPr>
        <w:t>不符合招标文件要求的资格审查条件按无效文件处理，不得进入后续评审工作。</w:t>
      </w:r>
    </w:p>
    <w:p w14:paraId="086F5613">
      <w:pPr>
        <w:pStyle w:val="18"/>
        <w:spacing w:line="360" w:lineRule="auto"/>
        <w:ind w:left="547" w:leftChars="228"/>
        <w:rPr>
          <w:color w:val="auto"/>
        </w:rPr>
      </w:pPr>
      <w:r>
        <w:rPr>
          <w:rFonts w:hint="eastAsia" w:ascii="宋体" w:hAnsi="宋体" w:cs="宋体"/>
          <w:b w:val="0"/>
          <w:bCs/>
          <w:color w:val="auto"/>
          <w:sz w:val="24"/>
          <w:szCs w:val="24"/>
        </w:rPr>
        <w:t>2</w:t>
      </w:r>
      <w:r>
        <w:rPr>
          <w:rFonts w:hint="eastAsia" w:ascii="宋体" w:hAnsi="宋体" w:cs="宋体"/>
          <w:b w:val="0"/>
          <w:bCs/>
          <w:color w:val="auto"/>
          <w:sz w:val="24"/>
          <w:szCs w:val="24"/>
          <w:lang w:val="en-US" w:eastAsia="zh-CN"/>
        </w:rPr>
        <w:t>1</w:t>
      </w:r>
      <w:r>
        <w:rPr>
          <w:rFonts w:hint="eastAsia" w:ascii="宋体" w:hAnsi="宋体" w:cs="宋体"/>
          <w:b w:val="0"/>
          <w:bCs/>
          <w:color w:val="auto"/>
          <w:sz w:val="24"/>
          <w:szCs w:val="24"/>
        </w:rPr>
        <w:t>.3合格投标人不足三家的，不得评标。</w:t>
      </w:r>
    </w:p>
    <w:p w14:paraId="7FFBB239">
      <w:pPr>
        <w:spacing w:line="360" w:lineRule="auto"/>
        <w:rPr>
          <w:rFonts w:hAnsi="宋体"/>
          <w:b/>
          <w:color w:val="auto"/>
          <w:szCs w:val="24"/>
        </w:rPr>
      </w:pPr>
      <w:r>
        <w:rPr>
          <w:rFonts w:hAnsi="宋体"/>
          <w:b/>
          <w:color w:val="auto"/>
          <w:szCs w:val="24"/>
        </w:rPr>
        <w:t>22．</w:t>
      </w:r>
      <w:r>
        <w:rPr>
          <w:rFonts w:hint="eastAsia" w:hAnsi="宋体"/>
          <w:b/>
          <w:color w:val="auto"/>
          <w:szCs w:val="24"/>
        </w:rPr>
        <w:t>评审</w:t>
      </w:r>
      <w:r>
        <w:rPr>
          <w:rFonts w:hAnsi="宋体"/>
          <w:b/>
          <w:color w:val="auto"/>
          <w:szCs w:val="24"/>
        </w:rPr>
        <w:t>组织及</w:t>
      </w:r>
      <w:r>
        <w:rPr>
          <w:rFonts w:hint="eastAsia" w:hAnsi="宋体"/>
          <w:b/>
          <w:color w:val="auto"/>
          <w:szCs w:val="24"/>
        </w:rPr>
        <w:t>评审</w:t>
      </w:r>
      <w:r>
        <w:rPr>
          <w:rFonts w:hAnsi="宋体"/>
          <w:b/>
          <w:color w:val="auto"/>
          <w:szCs w:val="24"/>
        </w:rPr>
        <w:t>原则</w:t>
      </w:r>
    </w:p>
    <w:p w14:paraId="629FD8B8">
      <w:pPr>
        <w:spacing w:line="360" w:lineRule="auto"/>
        <w:ind w:firstLine="480" w:firstLineChars="200"/>
        <w:rPr>
          <w:rFonts w:hAnsi="宋体"/>
          <w:color w:val="auto"/>
          <w:szCs w:val="24"/>
        </w:rPr>
      </w:pPr>
      <w:r>
        <w:rPr>
          <w:rFonts w:hAnsi="宋体"/>
          <w:color w:val="auto"/>
          <w:szCs w:val="24"/>
        </w:rPr>
        <w:t>22.1按照《中华人民共和国政府采购法》</w:t>
      </w:r>
      <w:r>
        <w:rPr>
          <w:rFonts w:hint="eastAsia" w:hAnsi="宋体"/>
          <w:color w:val="auto"/>
          <w:szCs w:val="24"/>
        </w:rPr>
        <w:t>及实施条例和</w:t>
      </w:r>
      <w:r>
        <w:rPr>
          <w:rFonts w:hAnsi="宋体"/>
          <w:color w:val="auto"/>
          <w:szCs w:val="24"/>
        </w:rPr>
        <w:t>关于印发《政府采购竞争性磋商采购方式管理暂行办法》的通知</w:t>
      </w:r>
      <w:r>
        <w:rPr>
          <w:rFonts w:hint="eastAsia" w:hAnsi="宋体"/>
          <w:color w:val="auto"/>
          <w:szCs w:val="24"/>
        </w:rPr>
        <w:t>（</w:t>
      </w:r>
      <w:r>
        <w:rPr>
          <w:rFonts w:hAnsi="宋体"/>
          <w:color w:val="auto"/>
          <w:szCs w:val="24"/>
        </w:rPr>
        <w:t>财库【2014】214号</w:t>
      </w:r>
      <w:r>
        <w:rPr>
          <w:rFonts w:hint="eastAsia" w:hAnsi="宋体"/>
          <w:color w:val="auto"/>
          <w:szCs w:val="24"/>
        </w:rPr>
        <w:t>）</w:t>
      </w:r>
      <w:r>
        <w:rPr>
          <w:rFonts w:hAnsi="宋体"/>
          <w:color w:val="auto"/>
          <w:szCs w:val="24"/>
        </w:rPr>
        <w:t>，依法组建</w:t>
      </w:r>
      <w:r>
        <w:rPr>
          <w:rFonts w:hint="eastAsia" w:hAnsi="宋体"/>
          <w:color w:val="auto"/>
          <w:szCs w:val="24"/>
        </w:rPr>
        <w:t>磋商小组</w:t>
      </w:r>
      <w:r>
        <w:rPr>
          <w:rFonts w:hAnsi="宋体"/>
          <w:color w:val="auto"/>
          <w:szCs w:val="24"/>
        </w:rPr>
        <w:t>。</w:t>
      </w:r>
      <w:r>
        <w:rPr>
          <w:rFonts w:hint="eastAsia" w:hAnsi="宋体"/>
          <w:color w:val="auto"/>
          <w:szCs w:val="24"/>
        </w:rPr>
        <w:t>磋商小组由采购人代表和评审专家组成，成员人数应当为单数，其中采购人代表须持有法人授权书。磋商小组</w:t>
      </w:r>
      <w:r>
        <w:rPr>
          <w:rFonts w:hAnsi="宋体"/>
          <w:color w:val="auto"/>
          <w:szCs w:val="24"/>
        </w:rPr>
        <w:t>按照</w:t>
      </w:r>
      <w:r>
        <w:rPr>
          <w:rFonts w:hint="eastAsia" w:hAnsi="宋体"/>
          <w:color w:val="auto"/>
          <w:szCs w:val="24"/>
        </w:rPr>
        <w:t>竞争性磋商</w:t>
      </w:r>
      <w:r>
        <w:rPr>
          <w:rFonts w:hAnsi="宋体"/>
          <w:color w:val="auto"/>
          <w:szCs w:val="24"/>
        </w:rPr>
        <w:t>文件规定的</w:t>
      </w:r>
      <w:r>
        <w:rPr>
          <w:rFonts w:hint="eastAsia" w:hAnsi="宋体"/>
          <w:color w:val="auto"/>
          <w:szCs w:val="24"/>
        </w:rPr>
        <w:t>评审</w:t>
      </w:r>
      <w:r>
        <w:rPr>
          <w:rFonts w:hAnsi="宋体"/>
          <w:color w:val="auto"/>
          <w:szCs w:val="24"/>
        </w:rPr>
        <w:t>方法独立进行</w:t>
      </w:r>
      <w:r>
        <w:rPr>
          <w:rFonts w:hint="eastAsia" w:hAnsi="宋体"/>
          <w:color w:val="auto"/>
          <w:szCs w:val="24"/>
        </w:rPr>
        <w:t>评审</w:t>
      </w:r>
      <w:r>
        <w:rPr>
          <w:rFonts w:hAnsi="宋体"/>
          <w:color w:val="auto"/>
          <w:szCs w:val="24"/>
        </w:rPr>
        <w:t>工作。</w:t>
      </w:r>
    </w:p>
    <w:p w14:paraId="078EF991">
      <w:pPr>
        <w:spacing w:line="360" w:lineRule="auto"/>
        <w:ind w:firstLine="480" w:firstLineChars="200"/>
        <w:rPr>
          <w:rFonts w:hAnsi="宋体"/>
          <w:color w:val="auto"/>
          <w:szCs w:val="24"/>
        </w:rPr>
      </w:pPr>
      <w:r>
        <w:rPr>
          <w:rFonts w:hAnsi="宋体"/>
          <w:color w:val="auto"/>
          <w:szCs w:val="24"/>
        </w:rPr>
        <w:t>22.2</w:t>
      </w:r>
      <w:r>
        <w:rPr>
          <w:rFonts w:hint="eastAsia" w:hAnsi="宋体"/>
          <w:color w:val="auto"/>
          <w:szCs w:val="24"/>
        </w:rPr>
        <w:t>竞争性磋商</w:t>
      </w:r>
      <w:r>
        <w:rPr>
          <w:rFonts w:hAnsi="宋体"/>
          <w:color w:val="auto"/>
          <w:szCs w:val="24"/>
        </w:rPr>
        <w:t>文件和</w:t>
      </w:r>
      <w:r>
        <w:rPr>
          <w:rFonts w:hint="eastAsia" w:hAnsi="宋体"/>
          <w:color w:val="auto"/>
          <w:szCs w:val="24"/>
        </w:rPr>
        <w:t>竞争性磋商响应文件</w:t>
      </w:r>
      <w:r>
        <w:rPr>
          <w:rFonts w:hAnsi="宋体"/>
          <w:color w:val="auto"/>
          <w:szCs w:val="24"/>
        </w:rPr>
        <w:t>是</w:t>
      </w:r>
      <w:r>
        <w:rPr>
          <w:rFonts w:hint="eastAsia" w:hAnsi="宋体"/>
          <w:color w:val="auto"/>
          <w:szCs w:val="24"/>
        </w:rPr>
        <w:t>评审</w:t>
      </w:r>
      <w:r>
        <w:rPr>
          <w:rFonts w:hAnsi="宋体"/>
          <w:color w:val="auto"/>
          <w:szCs w:val="24"/>
        </w:rPr>
        <w:t>的依据。在</w:t>
      </w:r>
      <w:r>
        <w:rPr>
          <w:rFonts w:hint="eastAsia" w:hAnsi="宋体"/>
          <w:color w:val="auto"/>
          <w:szCs w:val="24"/>
        </w:rPr>
        <w:t>评审</w:t>
      </w:r>
      <w:r>
        <w:rPr>
          <w:rFonts w:hAnsi="宋体"/>
          <w:color w:val="auto"/>
          <w:szCs w:val="24"/>
        </w:rPr>
        <w:t>中，不得改变</w:t>
      </w:r>
      <w:r>
        <w:rPr>
          <w:rFonts w:hint="eastAsia" w:hAnsi="宋体"/>
          <w:color w:val="auto"/>
          <w:szCs w:val="24"/>
        </w:rPr>
        <w:t>竞争性磋商</w:t>
      </w:r>
      <w:r>
        <w:rPr>
          <w:rFonts w:hAnsi="宋体"/>
          <w:color w:val="auto"/>
          <w:szCs w:val="24"/>
        </w:rPr>
        <w:t>文件中规定的</w:t>
      </w:r>
      <w:r>
        <w:rPr>
          <w:rFonts w:hint="eastAsia" w:hAnsi="宋体"/>
          <w:color w:val="auto"/>
          <w:szCs w:val="24"/>
        </w:rPr>
        <w:t>评审</w:t>
      </w:r>
      <w:r>
        <w:rPr>
          <w:rFonts w:hAnsi="宋体"/>
          <w:color w:val="auto"/>
          <w:szCs w:val="24"/>
        </w:rPr>
        <w:t>标准、方法和</w:t>
      </w:r>
      <w:r>
        <w:rPr>
          <w:rFonts w:hint="eastAsia" w:hAnsi="宋体"/>
          <w:color w:val="auto"/>
          <w:szCs w:val="24"/>
        </w:rPr>
        <w:t>成交</w:t>
      </w:r>
      <w:r>
        <w:rPr>
          <w:rFonts w:hAnsi="宋体"/>
          <w:color w:val="auto"/>
          <w:szCs w:val="24"/>
        </w:rPr>
        <w:t>条件。</w:t>
      </w:r>
    </w:p>
    <w:p w14:paraId="4B10BA31">
      <w:pPr>
        <w:spacing w:line="360" w:lineRule="auto"/>
        <w:ind w:firstLine="480" w:firstLineChars="200"/>
        <w:rPr>
          <w:rFonts w:hAnsi="宋体"/>
          <w:color w:val="auto"/>
          <w:szCs w:val="24"/>
        </w:rPr>
      </w:pPr>
      <w:r>
        <w:rPr>
          <w:rFonts w:hAnsi="宋体"/>
          <w:color w:val="auto"/>
          <w:szCs w:val="24"/>
        </w:rPr>
        <w:t>22.3在</w:t>
      </w:r>
      <w:r>
        <w:rPr>
          <w:rFonts w:hint="eastAsia" w:hAnsi="宋体"/>
          <w:color w:val="auto"/>
          <w:szCs w:val="24"/>
        </w:rPr>
        <w:t>评审</w:t>
      </w:r>
      <w:r>
        <w:rPr>
          <w:rFonts w:hAnsi="宋体"/>
          <w:color w:val="auto"/>
          <w:szCs w:val="24"/>
        </w:rPr>
        <w:t>期间，对</w:t>
      </w:r>
      <w:r>
        <w:rPr>
          <w:rFonts w:hint="eastAsia" w:hAnsi="宋体"/>
          <w:color w:val="auto"/>
          <w:szCs w:val="24"/>
        </w:rPr>
        <w:t>竞争性磋商响应文件</w:t>
      </w:r>
      <w:r>
        <w:rPr>
          <w:rFonts w:hAnsi="宋体"/>
          <w:color w:val="auto"/>
          <w:szCs w:val="24"/>
        </w:rPr>
        <w:t>中含义不明确、同类问题表述不一致或者有明显文字和计算错误的内容，</w:t>
      </w:r>
      <w:r>
        <w:rPr>
          <w:rFonts w:hint="eastAsia" w:hAnsi="宋体"/>
          <w:color w:val="auto"/>
          <w:szCs w:val="24"/>
        </w:rPr>
        <w:t>磋商小组</w:t>
      </w:r>
      <w:r>
        <w:rPr>
          <w:rFonts w:hAnsi="宋体"/>
          <w:color w:val="auto"/>
          <w:szCs w:val="24"/>
        </w:rPr>
        <w:t>可以书面形式（由</w:t>
      </w:r>
      <w:r>
        <w:rPr>
          <w:rFonts w:hint="eastAsia" w:hAnsi="宋体"/>
          <w:color w:val="auto"/>
          <w:szCs w:val="24"/>
        </w:rPr>
        <w:t>磋商小组</w:t>
      </w:r>
      <w:r>
        <w:rPr>
          <w:rFonts w:hAnsi="宋体"/>
          <w:color w:val="auto"/>
          <w:szCs w:val="24"/>
        </w:rPr>
        <w:t>专家签字）要求</w:t>
      </w:r>
      <w:r>
        <w:rPr>
          <w:rFonts w:hint="eastAsia" w:hAnsi="宋体"/>
          <w:color w:val="auto"/>
          <w:szCs w:val="24"/>
        </w:rPr>
        <w:t>供应商</w:t>
      </w:r>
      <w:r>
        <w:rPr>
          <w:rFonts w:hAnsi="宋体"/>
          <w:color w:val="auto"/>
          <w:szCs w:val="24"/>
        </w:rPr>
        <w:t>作出必要的澄清、说明或者纠正。</w:t>
      </w:r>
      <w:r>
        <w:rPr>
          <w:rFonts w:hint="eastAsia" w:hAnsi="宋体"/>
          <w:color w:val="auto"/>
          <w:szCs w:val="24"/>
        </w:rPr>
        <w:t>供应商</w:t>
      </w:r>
      <w:r>
        <w:rPr>
          <w:rFonts w:hAnsi="宋体"/>
          <w:color w:val="auto"/>
          <w:szCs w:val="24"/>
        </w:rPr>
        <w:t>的澄清、说明或者补正应当采用书面形式，由其授权的代表签字，并不得超出</w:t>
      </w:r>
      <w:r>
        <w:rPr>
          <w:rFonts w:hint="eastAsia" w:hAnsi="宋体"/>
          <w:color w:val="auto"/>
          <w:szCs w:val="24"/>
        </w:rPr>
        <w:t>竞争性磋商响应文件</w:t>
      </w:r>
      <w:r>
        <w:rPr>
          <w:rFonts w:hAnsi="宋体"/>
          <w:color w:val="auto"/>
          <w:szCs w:val="24"/>
        </w:rPr>
        <w:t>的范围或者改变</w:t>
      </w:r>
      <w:r>
        <w:rPr>
          <w:rFonts w:hint="eastAsia" w:hAnsi="宋体"/>
          <w:color w:val="auto"/>
          <w:szCs w:val="24"/>
        </w:rPr>
        <w:t>竞争性磋商响应文件</w:t>
      </w:r>
      <w:r>
        <w:rPr>
          <w:rFonts w:hAnsi="宋体"/>
          <w:color w:val="auto"/>
          <w:szCs w:val="24"/>
        </w:rPr>
        <w:t>的实质性内容。</w:t>
      </w:r>
    </w:p>
    <w:p w14:paraId="405614CE">
      <w:pPr>
        <w:spacing w:line="360" w:lineRule="auto"/>
        <w:ind w:firstLine="480" w:firstLineChars="200"/>
        <w:rPr>
          <w:rFonts w:hint="eastAsia" w:hAnsi="宋体"/>
          <w:color w:val="auto"/>
          <w:szCs w:val="24"/>
        </w:rPr>
      </w:pPr>
      <w:r>
        <w:rPr>
          <w:rFonts w:hAnsi="宋体"/>
          <w:color w:val="auto"/>
          <w:szCs w:val="24"/>
        </w:rPr>
        <w:t>22.4如果</w:t>
      </w:r>
      <w:r>
        <w:rPr>
          <w:rFonts w:hint="eastAsia" w:hAnsi="宋体"/>
          <w:color w:val="auto"/>
          <w:szCs w:val="24"/>
        </w:rPr>
        <w:t>供应商</w:t>
      </w:r>
      <w:r>
        <w:rPr>
          <w:rFonts w:hAnsi="宋体"/>
          <w:color w:val="auto"/>
          <w:szCs w:val="24"/>
        </w:rPr>
        <w:t>在澄清规定期限内，未能答复或拒绝答复</w:t>
      </w:r>
      <w:r>
        <w:rPr>
          <w:rFonts w:hint="eastAsia" w:hAnsi="宋体"/>
          <w:color w:val="auto"/>
          <w:szCs w:val="24"/>
        </w:rPr>
        <w:t>磋商小组</w:t>
      </w:r>
      <w:r>
        <w:rPr>
          <w:rFonts w:hAnsi="宋体"/>
          <w:color w:val="auto"/>
          <w:szCs w:val="24"/>
        </w:rPr>
        <w:t>提出的澄清要求，将由</w:t>
      </w:r>
      <w:r>
        <w:rPr>
          <w:rFonts w:hint="eastAsia" w:hAnsi="宋体"/>
          <w:color w:val="auto"/>
          <w:szCs w:val="24"/>
        </w:rPr>
        <w:t>磋商小组</w:t>
      </w:r>
      <w:r>
        <w:rPr>
          <w:rFonts w:hAnsi="宋体"/>
          <w:color w:val="auto"/>
          <w:szCs w:val="24"/>
        </w:rPr>
        <w:t>根据其</w:t>
      </w:r>
      <w:r>
        <w:rPr>
          <w:rFonts w:hint="eastAsia" w:hAnsi="宋体"/>
          <w:color w:val="auto"/>
          <w:szCs w:val="24"/>
        </w:rPr>
        <w:t>竞争性磋商响应文件</w:t>
      </w:r>
      <w:r>
        <w:rPr>
          <w:rFonts w:hAnsi="宋体"/>
          <w:color w:val="auto"/>
          <w:szCs w:val="24"/>
        </w:rPr>
        <w:t>按最大风险进行</w:t>
      </w:r>
      <w:r>
        <w:rPr>
          <w:rFonts w:hint="eastAsia" w:hAnsi="宋体"/>
          <w:color w:val="auto"/>
          <w:szCs w:val="24"/>
        </w:rPr>
        <w:t>评审</w:t>
      </w:r>
      <w:r>
        <w:rPr>
          <w:rFonts w:hAnsi="宋体"/>
          <w:color w:val="auto"/>
          <w:szCs w:val="24"/>
        </w:rPr>
        <w:t>。</w:t>
      </w:r>
    </w:p>
    <w:p w14:paraId="28C51EEC">
      <w:pPr>
        <w:spacing w:line="360" w:lineRule="auto"/>
        <w:ind w:firstLine="480" w:firstLineChars="200"/>
        <w:rPr>
          <w:rFonts w:hint="eastAsia" w:hAnsi="宋体"/>
          <w:color w:val="auto"/>
          <w:szCs w:val="24"/>
        </w:rPr>
      </w:pPr>
      <w:r>
        <w:rPr>
          <w:rFonts w:hint="eastAsia" w:hAnsi="宋体"/>
          <w:color w:val="auto"/>
          <w:szCs w:val="24"/>
        </w:rPr>
        <w:t>22.5磋商过程中的实质性变动：</w:t>
      </w:r>
    </w:p>
    <w:p w14:paraId="0AF91F7A">
      <w:pPr>
        <w:spacing w:line="360" w:lineRule="auto"/>
        <w:ind w:firstLine="480" w:firstLineChars="200"/>
        <w:rPr>
          <w:rFonts w:hint="eastAsia" w:hAnsi="宋体"/>
          <w:color w:val="auto"/>
          <w:szCs w:val="24"/>
        </w:rPr>
      </w:pPr>
      <w:r>
        <w:rPr>
          <w:rFonts w:hint="eastAsia" w:hAnsi="宋体"/>
          <w:color w:val="auto"/>
          <w:szCs w:val="24"/>
        </w:rPr>
        <w:t>22.5.1在磋商过程中，磋商小组可以根据磋商文件和磋商情况在最终报价之前实质性变动采购需求中的技术、服务要求以及合同草案条款，但不得变动竞争性磋商文件中的其他内容。实质性变动的内容，须经采购人代表确认。</w:t>
      </w:r>
    </w:p>
    <w:p w14:paraId="25646F04">
      <w:pPr>
        <w:spacing w:line="360" w:lineRule="auto"/>
        <w:ind w:firstLine="480" w:firstLineChars="200"/>
        <w:rPr>
          <w:rFonts w:hint="eastAsia" w:hAnsi="宋体"/>
          <w:color w:val="auto"/>
          <w:szCs w:val="24"/>
        </w:rPr>
      </w:pPr>
      <w:r>
        <w:rPr>
          <w:rFonts w:hint="eastAsia" w:hAnsi="宋体"/>
          <w:color w:val="auto"/>
          <w:szCs w:val="24"/>
        </w:rPr>
        <w:t>22.5.2对竞争性磋商文件做出的实质性变动是磋商文件的有效组成部分，磋商小组应当及时以书面形式通知所有参加磋商的供应商。</w:t>
      </w:r>
    </w:p>
    <w:p w14:paraId="41A44111">
      <w:pPr>
        <w:spacing w:line="360" w:lineRule="auto"/>
        <w:ind w:firstLine="480" w:firstLineChars="200"/>
        <w:rPr>
          <w:rFonts w:hint="eastAsia" w:hAnsi="宋体"/>
          <w:color w:val="auto"/>
          <w:szCs w:val="24"/>
        </w:rPr>
      </w:pPr>
      <w:r>
        <w:rPr>
          <w:rFonts w:hint="eastAsia" w:hAnsi="宋体"/>
          <w:color w:val="auto"/>
          <w:szCs w:val="24"/>
        </w:rPr>
        <w:t>22.6竞争性磋商响应文件的初审（含资格性检查和符合性检查）</w:t>
      </w:r>
    </w:p>
    <w:p w14:paraId="32896E1C">
      <w:pPr>
        <w:spacing w:line="360" w:lineRule="auto"/>
        <w:ind w:firstLine="480" w:firstLineChars="200"/>
        <w:rPr>
          <w:rFonts w:hint="eastAsia" w:hAnsi="宋体"/>
          <w:color w:val="auto"/>
          <w:szCs w:val="24"/>
        </w:rPr>
      </w:pPr>
      <w:r>
        <w:rPr>
          <w:rFonts w:hint="eastAsia" w:hAnsi="宋体"/>
          <w:color w:val="auto"/>
          <w:szCs w:val="24"/>
        </w:rPr>
        <w:t>22.6.1磋商小组将审查竞争性磋商响应文件是否完整、资格证明文件是否齐全。</w:t>
      </w:r>
    </w:p>
    <w:p w14:paraId="382742F5">
      <w:pPr>
        <w:spacing w:line="360" w:lineRule="auto"/>
        <w:ind w:firstLine="480" w:firstLineChars="200"/>
        <w:rPr>
          <w:rFonts w:hint="eastAsia" w:hAnsi="宋体"/>
          <w:color w:val="auto"/>
          <w:szCs w:val="24"/>
        </w:rPr>
      </w:pPr>
      <w:r>
        <w:rPr>
          <w:rFonts w:hint="eastAsia" w:hAnsi="宋体"/>
          <w:color w:val="auto"/>
          <w:szCs w:val="24"/>
        </w:rPr>
        <w:t>22.6.2计算错误将按以下方法更正：</w:t>
      </w:r>
    </w:p>
    <w:p w14:paraId="420C5BD5">
      <w:pPr>
        <w:spacing w:line="360" w:lineRule="auto"/>
        <w:ind w:firstLine="480" w:firstLineChars="200"/>
        <w:rPr>
          <w:rFonts w:hint="eastAsia" w:hAnsi="宋体" w:eastAsia="宋体"/>
          <w:color w:val="auto"/>
          <w:szCs w:val="24"/>
          <w:lang w:eastAsia="zh-CN"/>
        </w:rPr>
      </w:pPr>
      <w:r>
        <w:rPr>
          <w:rFonts w:hint="eastAsia" w:hAnsi="宋体"/>
          <w:color w:val="auto"/>
          <w:szCs w:val="24"/>
        </w:rPr>
        <w:t>（1）磋商响应文件中报价一览表(报价表)内容与磋商响应文件中相应内容不一致的，以报价一览表(报价表)为准；</w:t>
      </w:r>
    </w:p>
    <w:p w14:paraId="3C49342E">
      <w:pPr>
        <w:spacing w:line="360" w:lineRule="auto"/>
        <w:ind w:firstLine="480" w:firstLineChars="200"/>
        <w:rPr>
          <w:rFonts w:hint="eastAsia" w:hAnsi="宋体"/>
          <w:color w:val="auto"/>
          <w:szCs w:val="24"/>
        </w:rPr>
      </w:pPr>
      <w:r>
        <w:rPr>
          <w:rFonts w:hint="eastAsia" w:hAnsi="宋体"/>
          <w:color w:val="auto"/>
          <w:szCs w:val="24"/>
        </w:rPr>
        <w:t>（2）磋商响应文件的大写金额和小写金额不一致的，以大写金额为准；</w:t>
      </w:r>
    </w:p>
    <w:p w14:paraId="5095969E">
      <w:pPr>
        <w:spacing w:line="360" w:lineRule="auto"/>
        <w:ind w:firstLine="480" w:firstLineChars="200"/>
        <w:rPr>
          <w:rFonts w:hint="eastAsia" w:hAnsi="宋体"/>
          <w:color w:val="auto"/>
          <w:szCs w:val="24"/>
        </w:rPr>
      </w:pPr>
      <w:r>
        <w:rPr>
          <w:rFonts w:hint="eastAsia" w:hAnsi="宋体"/>
          <w:color w:val="auto"/>
          <w:szCs w:val="24"/>
        </w:rPr>
        <w:t>（3）单价金额小数点或者百分比有明显错位的，以报价一览表的总价为准，并修改单价；</w:t>
      </w:r>
    </w:p>
    <w:p w14:paraId="0BB04CB4">
      <w:pPr>
        <w:spacing w:line="360" w:lineRule="auto"/>
        <w:ind w:firstLine="480" w:firstLineChars="200"/>
        <w:rPr>
          <w:rFonts w:hint="eastAsia" w:hAnsi="宋体"/>
          <w:color w:val="auto"/>
          <w:szCs w:val="24"/>
        </w:rPr>
      </w:pPr>
      <w:r>
        <w:rPr>
          <w:rFonts w:hint="eastAsia" w:hAnsi="宋体"/>
          <w:color w:val="auto"/>
          <w:szCs w:val="24"/>
        </w:rPr>
        <w:t>（4）总价金额与按单价汇总金额不一致的，以单价金额计算结果为准；</w:t>
      </w:r>
    </w:p>
    <w:p w14:paraId="3A4E606E">
      <w:pPr>
        <w:spacing w:line="360" w:lineRule="auto"/>
        <w:ind w:firstLine="480" w:firstLineChars="200"/>
        <w:rPr>
          <w:rFonts w:hint="eastAsia" w:hAnsi="宋体"/>
          <w:color w:val="auto"/>
          <w:szCs w:val="24"/>
        </w:rPr>
      </w:pPr>
      <w:r>
        <w:rPr>
          <w:rFonts w:hint="eastAsia" w:hAnsi="宋体"/>
          <w:color w:val="auto"/>
          <w:szCs w:val="24"/>
        </w:rPr>
        <w:t>按上述修正的顺序和方法调整的报价应对供应商具有约束力。如果供应商不接受修正后的价格，其响应文件将按无效响应处理。</w:t>
      </w:r>
    </w:p>
    <w:p w14:paraId="106418D1">
      <w:pPr>
        <w:spacing w:line="360" w:lineRule="auto"/>
        <w:ind w:firstLine="480" w:firstLineChars="200"/>
        <w:rPr>
          <w:rFonts w:hint="eastAsia" w:hAnsi="宋体"/>
          <w:color w:val="auto"/>
          <w:szCs w:val="24"/>
        </w:rPr>
      </w:pPr>
      <w:r>
        <w:rPr>
          <w:rFonts w:hint="eastAsia" w:hAnsi="宋体"/>
          <w:color w:val="auto"/>
          <w:szCs w:val="24"/>
        </w:rPr>
        <w:t>22.6.3对于竞争性磋商响应文件中明显的标点符号错误或不构成实质性偏差的不正规、不一致或不规则，采购人可以接受。</w:t>
      </w:r>
    </w:p>
    <w:p w14:paraId="3177EA7C">
      <w:pPr>
        <w:spacing w:line="360" w:lineRule="auto"/>
        <w:ind w:firstLine="480" w:firstLineChars="200"/>
        <w:rPr>
          <w:rFonts w:hint="eastAsia" w:hAnsi="宋体"/>
          <w:color w:val="auto"/>
          <w:szCs w:val="24"/>
        </w:rPr>
      </w:pPr>
      <w:r>
        <w:rPr>
          <w:rFonts w:hint="eastAsia" w:hAnsi="宋体"/>
          <w:color w:val="auto"/>
          <w:szCs w:val="24"/>
        </w:rPr>
        <w:t>22.6.4在详细评审之前，根据本须知第22.6.5条的规定，磋商小组要审查每份竞争性磋商响应文件是否实质上响应了竞争性磋商文件的要求。实质上响应的磋商应该是与竞争性磋商文件要求的全部条款、条件和规格参数相符，没有重大偏离的磋商。对关键条文的偏离、保留或反对将被认为是实质上的偏离。磋商小组决定磋商的响应性只根据磋商响应文件本身的内容，而不寻求外部的证据。</w:t>
      </w:r>
    </w:p>
    <w:p w14:paraId="370C1454">
      <w:pPr>
        <w:spacing w:line="360" w:lineRule="auto"/>
        <w:ind w:firstLine="480" w:firstLineChars="200"/>
        <w:rPr>
          <w:rFonts w:hint="eastAsia" w:hAnsi="宋体"/>
          <w:color w:val="auto"/>
          <w:szCs w:val="24"/>
        </w:rPr>
      </w:pPr>
      <w:r>
        <w:rPr>
          <w:rFonts w:hint="eastAsia" w:hAnsi="宋体"/>
          <w:color w:val="auto"/>
          <w:szCs w:val="24"/>
        </w:rPr>
        <w:t>22.6.5实质上没有响应竞争性磋商文件要求的磋商将被拒绝。供应商不得通过修正或撤销不合要求的偏离从而使其磋商成为实质性响应的磋商。如发现下列情况之一的，其磋商将构成非实质性响应，按无效磋商处理：</w:t>
      </w:r>
    </w:p>
    <w:p w14:paraId="2F47161F">
      <w:pPr>
        <w:tabs>
          <w:tab w:val="left" w:pos="1260"/>
        </w:tabs>
        <w:spacing w:line="360" w:lineRule="auto"/>
        <w:ind w:firstLine="480" w:firstLineChars="200"/>
        <w:rPr>
          <w:rFonts w:hint="eastAsia" w:hAnsi="宋体"/>
          <w:color w:val="auto"/>
          <w:szCs w:val="24"/>
        </w:rPr>
      </w:pPr>
      <w:r>
        <w:rPr>
          <w:rFonts w:hint="eastAsia" w:hAnsi="宋体"/>
          <w:color w:val="auto"/>
          <w:szCs w:val="24"/>
        </w:rPr>
        <w:t>1）没有按照竞争性磋商文件要求提供的竞争性磋商响应文件或竞争性磋商响应文件构成有重大缺项；</w:t>
      </w:r>
    </w:p>
    <w:p w14:paraId="7FF222A0">
      <w:pPr>
        <w:tabs>
          <w:tab w:val="left" w:pos="1260"/>
        </w:tabs>
        <w:spacing w:line="360" w:lineRule="auto"/>
        <w:ind w:firstLine="480" w:firstLineChars="200"/>
        <w:rPr>
          <w:rFonts w:hint="eastAsia" w:hAnsi="宋体"/>
          <w:color w:val="auto"/>
          <w:szCs w:val="24"/>
        </w:rPr>
      </w:pPr>
      <w:r>
        <w:rPr>
          <w:rFonts w:hint="eastAsia" w:hAnsi="宋体"/>
          <w:color w:val="auto"/>
          <w:szCs w:val="24"/>
        </w:rPr>
        <w:t>2）竞争性磋商响应文件未按竞争性磋商文件要求签署、盖章的；</w:t>
      </w:r>
    </w:p>
    <w:p w14:paraId="27BA4658">
      <w:pPr>
        <w:tabs>
          <w:tab w:val="left" w:pos="1260"/>
        </w:tabs>
        <w:spacing w:line="360" w:lineRule="auto"/>
        <w:ind w:firstLine="480" w:firstLineChars="200"/>
        <w:rPr>
          <w:rFonts w:hint="eastAsia" w:hAnsi="宋体"/>
          <w:color w:val="auto"/>
          <w:szCs w:val="24"/>
        </w:rPr>
      </w:pPr>
      <w:r>
        <w:rPr>
          <w:rFonts w:hint="eastAsia" w:hAnsi="宋体"/>
          <w:color w:val="auto"/>
          <w:szCs w:val="24"/>
        </w:rPr>
        <w:t>3）供应商未提交有效的磋商保证金</w:t>
      </w:r>
      <w:r>
        <w:rPr>
          <w:rFonts w:hint="eastAsia" w:hAnsi="宋体"/>
          <w:color w:val="auto"/>
          <w:szCs w:val="24"/>
          <w:lang w:eastAsia="zh-CN"/>
        </w:rPr>
        <w:t>承诺的</w:t>
      </w:r>
      <w:r>
        <w:rPr>
          <w:rFonts w:hint="eastAsia" w:hAnsi="宋体"/>
          <w:color w:val="auto"/>
          <w:szCs w:val="24"/>
        </w:rPr>
        <w:t>；</w:t>
      </w:r>
    </w:p>
    <w:p w14:paraId="776ADF0A">
      <w:pPr>
        <w:tabs>
          <w:tab w:val="left" w:pos="1260"/>
        </w:tabs>
        <w:spacing w:line="360" w:lineRule="auto"/>
        <w:ind w:firstLine="480" w:firstLineChars="200"/>
        <w:rPr>
          <w:rFonts w:hint="eastAsia" w:hAnsi="宋体"/>
          <w:color w:val="auto"/>
          <w:szCs w:val="24"/>
        </w:rPr>
      </w:pPr>
      <w:r>
        <w:rPr>
          <w:rFonts w:hint="eastAsia" w:hAnsi="宋体"/>
          <w:color w:val="auto"/>
          <w:szCs w:val="24"/>
        </w:rPr>
        <w:t>4）资格证明文件不全的或无效的，或不符合国家规定的；</w:t>
      </w:r>
    </w:p>
    <w:p w14:paraId="748BBB78">
      <w:pPr>
        <w:tabs>
          <w:tab w:val="left" w:pos="1260"/>
        </w:tabs>
        <w:spacing w:line="360" w:lineRule="auto"/>
        <w:ind w:firstLine="480" w:firstLineChars="200"/>
        <w:rPr>
          <w:rFonts w:hint="eastAsia" w:hAnsi="宋体"/>
          <w:color w:val="auto"/>
          <w:szCs w:val="24"/>
        </w:rPr>
      </w:pPr>
      <w:r>
        <w:rPr>
          <w:rFonts w:hint="eastAsia" w:hAnsi="宋体"/>
          <w:color w:val="auto"/>
          <w:szCs w:val="24"/>
        </w:rPr>
        <w:t>5）竞争性磋商响应文件无供应商公章、无法定代表人签字或签字人无法定代表人有效委托书的；</w:t>
      </w:r>
    </w:p>
    <w:p w14:paraId="5244A35B">
      <w:pPr>
        <w:tabs>
          <w:tab w:val="left" w:pos="1260"/>
        </w:tabs>
        <w:spacing w:line="360" w:lineRule="auto"/>
        <w:ind w:firstLine="480" w:firstLineChars="200"/>
        <w:rPr>
          <w:rFonts w:hint="eastAsia" w:hAnsi="宋体"/>
          <w:color w:val="auto"/>
          <w:szCs w:val="24"/>
        </w:rPr>
      </w:pPr>
      <w:r>
        <w:rPr>
          <w:rFonts w:hint="eastAsia" w:hAnsi="宋体"/>
          <w:color w:val="auto"/>
          <w:szCs w:val="24"/>
        </w:rPr>
        <w:t>6）</w:t>
      </w:r>
      <w:r>
        <w:rPr>
          <w:rFonts w:hint="eastAsia" w:hAnsi="宋体"/>
          <w:color w:val="auto"/>
          <w:spacing w:val="-6"/>
          <w:szCs w:val="24"/>
        </w:rPr>
        <w:t>无磋商有效期或有效期达不到竞争性磋商文件要求的</w:t>
      </w:r>
      <w:r>
        <w:rPr>
          <w:rFonts w:hint="eastAsia" w:hAnsi="宋体"/>
          <w:color w:val="auto"/>
          <w:szCs w:val="24"/>
        </w:rPr>
        <w:t>；</w:t>
      </w:r>
    </w:p>
    <w:p w14:paraId="5BF3B7F8">
      <w:pPr>
        <w:tabs>
          <w:tab w:val="left" w:pos="1260"/>
        </w:tabs>
        <w:spacing w:line="360" w:lineRule="auto"/>
        <w:ind w:firstLine="480" w:firstLineChars="200"/>
        <w:rPr>
          <w:rFonts w:hint="eastAsia" w:hAnsi="宋体"/>
          <w:color w:val="auto"/>
          <w:szCs w:val="24"/>
        </w:rPr>
      </w:pPr>
      <w:r>
        <w:rPr>
          <w:rFonts w:hint="eastAsia" w:hAnsi="宋体"/>
          <w:color w:val="auto"/>
          <w:szCs w:val="24"/>
        </w:rPr>
        <w:t>7）供应商在同一份竞争性磋商响应文件中，有两个或多个报价的；</w:t>
      </w:r>
    </w:p>
    <w:p w14:paraId="5ADC6B21">
      <w:pPr>
        <w:tabs>
          <w:tab w:val="left" w:pos="1260"/>
        </w:tabs>
        <w:spacing w:line="360" w:lineRule="auto"/>
        <w:ind w:firstLine="480" w:firstLineChars="200"/>
        <w:rPr>
          <w:rFonts w:hint="eastAsia" w:hAnsi="宋体"/>
          <w:color w:val="auto"/>
          <w:szCs w:val="24"/>
        </w:rPr>
      </w:pPr>
      <w:r>
        <w:rPr>
          <w:rFonts w:hint="eastAsia" w:hAnsi="宋体"/>
          <w:color w:val="auto"/>
          <w:szCs w:val="24"/>
        </w:rPr>
        <w:t>8）存在有重大缺漏项和重大偏离的；</w:t>
      </w:r>
    </w:p>
    <w:p w14:paraId="3EA85593">
      <w:pPr>
        <w:tabs>
          <w:tab w:val="left" w:pos="1260"/>
        </w:tabs>
        <w:spacing w:line="360" w:lineRule="auto"/>
        <w:ind w:firstLine="480" w:firstLineChars="200"/>
        <w:rPr>
          <w:rFonts w:hint="eastAsia" w:hAnsi="宋体"/>
          <w:color w:val="auto"/>
          <w:szCs w:val="24"/>
        </w:rPr>
      </w:pPr>
      <w:r>
        <w:rPr>
          <w:rFonts w:hint="eastAsia" w:hAnsi="宋体"/>
          <w:color w:val="auto"/>
          <w:szCs w:val="24"/>
        </w:rPr>
        <w:t>9）供应商有串通磋商、以他人名义磋商、行贿、提供虚假证明（包括第三方提供的虚假证明），开具虚假资质，出现虚假应答的，除按无效文件处理外，还将按照政府采购的有关规定进行处罚；</w:t>
      </w:r>
    </w:p>
    <w:p w14:paraId="092F3610">
      <w:pPr>
        <w:spacing w:line="360" w:lineRule="auto"/>
        <w:ind w:firstLine="480" w:firstLineChars="200"/>
        <w:rPr>
          <w:rFonts w:hint="eastAsia" w:hAnsi="宋体"/>
          <w:color w:val="auto"/>
          <w:szCs w:val="24"/>
        </w:rPr>
      </w:pPr>
      <w:r>
        <w:rPr>
          <w:rFonts w:hint="eastAsia" w:hAnsi="宋体"/>
          <w:color w:val="auto"/>
          <w:szCs w:val="24"/>
        </w:rPr>
        <w:t>10）磋商总报价高于竞争性磋商文件公布的采购预算的。</w:t>
      </w:r>
    </w:p>
    <w:p w14:paraId="5284303C">
      <w:pPr>
        <w:pStyle w:val="42"/>
        <w:spacing w:before="0" w:beforeAutospacing="0" w:after="0" w:afterAutospacing="0" w:line="360" w:lineRule="auto"/>
        <w:ind w:firstLine="480" w:firstLineChars="200"/>
        <w:jc w:val="both"/>
        <w:rPr>
          <w:rFonts w:hint="eastAsia" w:cs="宋体"/>
          <w:color w:val="auto"/>
        </w:rPr>
      </w:pPr>
      <w:r>
        <w:rPr>
          <w:rFonts w:hint="eastAsia" w:cs="宋体"/>
          <w:color w:val="auto"/>
        </w:rPr>
        <w:t>11）竞争性磋商响应文件含有采购人不能接受的附加条件的；</w:t>
      </w:r>
    </w:p>
    <w:p w14:paraId="0CDDDA65">
      <w:pPr>
        <w:spacing w:line="360" w:lineRule="auto"/>
        <w:ind w:firstLine="480" w:firstLineChars="200"/>
        <w:rPr>
          <w:rFonts w:hint="eastAsia" w:hAnsi="宋体"/>
          <w:color w:val="auto"/>
          <w:szCs w:val="24"/>
        </w:rPr>
      </w:pPr>
      <w:r>
        <w:rPr>
          <w:rFonts w:hint="eastAsia" w:hAnsi="宋体"/>
          <w:color w:val="auto"/>
          <w:szCs w:val="24"/>
        </w:rPr>
        <w:t>12）</w:t>
      </w:r>
      <w:r>
        <w:rPr>
          <w:rFonts w:hint="eastAsia" w:cs="宋体"/>
          <w:color w:val="auto"/>
          <w:szCs w:val="24"/>
        </w:rPr>
        <w:t>竞争性磋商响应</w:t>
      </w:r>
      <w:r>
        <w:rPr>
          <w:rFonts w:hint="eastAsia" w:hAnsi="宋体" w:cs="宋体"/>
          <w:color w:val="auto"/>
          <w:szCs w:val="24"/>
        </w:rPr>
        <w:t>文件</w:t>
      </w:r>
      <w:r>
        <w:rPr>
          <w:rFonts w:hint="eastAsia" w:hAnsi="宋体"/>
          <w:color w:val="auto"/>
          <w:szCs w:val="24"/>
        </w:rPr>
        <w:t>不符合法律法规要求的；</w:t>
      </w:r>
    </w:p>
    <w:p w14:paraId="0ED1BD2B">
      <w:pPr>
        <w:pStyle w:val="19"/>
        <w:tabs>
          <w:tab w:val="left" w:pos="600"/>
        </w:tabs>
        <w:spacing w:line="360" w:lineRule="auto"/>
        <w:ind w:firstLine="480" w:firstLineChars="200"/>
        <w:rPr>
          <w:rFonts w:hint="eastAsia" w:hAnsi="宋体"/>
          <w:color w:val="auto"/>
          <w:szCs w:val="24"/>
        </w:rPr>
      </w:pPr>
      <w:r>
        <w:rPr>
          <w:rFonts w:hint="eastAsia" w:ascii="宋体" w:hAnsi="宋体"/>
          <w:color w:val="auto"/>
          <w:sz w:val="24"/>
          <w:szCs w:val="24"/>
        </w:rPr>
        <w:t>13）供应商被列入失信被执行人、重大税收违法案件当事人名单、政府采购严重违法失信行为记录名单及其他不符合《中华人民共和国政府采购法》第二十二条规定条件。</w:t>
      </w:r>
    </w:p>
    <w:p w14:paraId="2DD30D59">
      <w:pPr>
        <w:spacing w:line="360" w:lineRule="auto"/>
        <w:ind w:firstLine="480" w:firstLineChars="200"/>
        <w:rPr>
          <w:rFonts w:hint="eastAsia" w:hAnsi="宋体"/>
          <w:color w:val="auto"/>
          <w:szCs w:val="24"/>
        </w:rPr>
      </w:pPr>
      <w:r>
        <w:rPr>
          <w:rFonts w:hint="eastAsia" w:hAnsi="宋体"/>
          <w:color w:val="auto"/>
          <w:szCs w:val="24"/>
        </w:rPr>
        <w:t>22.7竞争性磋商响应文件的详细评审</w:t>
      </w:r>
    </w:p>
    <w:p w14:paraId="7B6D1879">
      <w:pPr>
        <w:spacing w:line="360" w:lineRule="auto"/>
        <w:ind w:firstLine="480" w:firstLineChars="200"/>
        <w:rPr>
          <w:rFonts w:hint="eastAsia" w:hAnsi="宋体"/>
          <w:color w:val="auto"/>
          <w:szCs w:val="24"/>
        </w:rPr>
      </w:pPr>
      <w:r>
        <w:rPr>
          <w:rFonts w:hint="eastAsia" w:hAnsi="宋体"/>
          <w:color w:val="auto"/>
          <w:szCs w:val="24"/>
        </w:rPr>
        <w:t>22.7.1磋商小组将按照本须知第22.6.4条规定，只对确定为实质性响应竞争性磋商文件要求的磋商响应文件进行详细评审。</w:t>
      </w:r>
    </w:p>
    <w:p w14:paraId="407CF245">
      <w:pPr>
        <w:spacing w:line="360" w:lineRule="auto"/>
        <w:ind w:firstLine="480" w:firstLineChars="200"/>
        <w:rPr>
          <w:rFonts w:hint="eastAsia" w:hAnsi="宋体"/>
          <w:color w:val="auto"/>
          <w:szCs w:val="24"/>
        </w:rPr>
      </w:pPr>
      <w:r>
        <w:rPr>
          <w:rFonts w:hint="eastAsia" w:hAnsi="宋体"/>
          <w:color w:val="auto"/>
          <w:szCs w:val="24"/>
        </w:rPr>
        <w:t>22.7.2详细评审按照“供应商须知前附表”的评审方法进行。</w:t>
      </w:r>
    </w:p>
    <w:p w14:paraId="72C3AAC5">
      <w:pPr>
        <w:spacing w:line="360" w:lineRule="auto"/>
        <w:ind w:firstLine="480" w:firstLineChars="200"/>
        <w:rPr>
          <w:rFonts w:hint="eastAsia" w:hAnsi="宋体"/>
          <w:color w:val="auto"/>
          <w:szCs w:val="24"/>
        </w:rPr>
      </w:pPr>
      <w:r>
        <w:rPr>
          <w:rFonts w:hint="eastAsia" w:hAnsi="宋体"/>
          <w:color w:val="auto"/>
          <w:szCs w:val="24"/>
        </w:rPr>
        <w:t>22.8成交候选人的确定</w:t>
      </w:r>
    </w:p>
    <w:p w14:paraId="3882367F">
      <w:pPr>
        <w:spacing w:line="360" w:lineRule="auto"/>
        <w:ind w:firstLine="480" w:firstLineChars="200"/>
        <w:rPr>
          <w:rFonts w:hint="eastAsia" w:hAnsi="宋体"/>
          <w:color w:val="auto"/>
          <w:szCs w:val="24"/>
        </w:rPr>
      </w:pPr>
      <w:r>
        <w:rPr>
          <w:rFonts w:hint="eastAsia" w:hAnsi="宋体"/>
          <w:color w:val="auto"/>
          <w:szCs w:val="24"/>
        </w:rPr>
        <w:t>磋商小组完成评审后，向采购人提出书面评审，并推荐1-3名成交候选人，标明排列顺序。</w:t>
      </w:r>
    </w:p>
    <w:p w14:paraId="68FB4428">
      <w:pPr>
        <w:spacing w:line="360" w:lineRule="auto"/>
        <w:rPr>
          <w:rFonts w:hAnsi="宋体"/>
          <w:b/>
          <w:color w:val="auto"/>
          <w:szCs w:val="24"/>
        </w:rPr>
      </w:pPr>
      <w:r>
        <w:rPr>
          <w:rFonts w:hAnsi="宋体"/>
          <w:b/>
          <w:color w:val="auto"/>
          <w:szCs w:val="24"/>
        </w:rPr>
        <w:t>23．</w:t>
      </w:r>
      <w:r>
        <w:rPr>
          <w:rFonts w:hint="eastAsia" w:hAnsi="宋体"/>
          <w:b/>
          <w:color w:val="auto"/>
          <w:szCs w:val="24"/>
        </w:rPr>
        <w:t>评审</w:t>
      </w:r>
      <w:r>
        <w:rPr>
          <w:rFonts w:hAnsi="宋体"/>
          <w:b/>
          <w:color w:val="auto"/>
          <w:szCs w:val="24"/>
        </w:rPr>
        <w:t>过程的保密</w:t>
      </w:r>
    </w:p>
    <w:p w14:paraId="1639A8AA">
      <w:pPr>
        <w:spacing w:line="360" w:lineRule="auto"/>
        <w:ind w:firstLine="480" w:firstLineChars="200"/>
        <w:rPr>
          <w:rFonts w:hint="eastAsia" w:hAnsi="宋体"/>
          <w:color w:val="auto"/>
          <w:szCs w:val="24"/>
        </w:rPr>
      </w:pPr>
      <w:r>
        <w:rPr>
          <w:rFonts w:hint="eastAsia" w:hAnsi="宋体"/>
          <w:color w:val="auto"/>
          <w:szCs w:val="24"/>
        </w:rPr>
        <w:t>磋商小组成员和与评审活动有关的工作人员不得泄露有关竞争性磋商响应文件的评审和比较、成交候选人的推荐以及与评审有关的其他情况。</w:t>
      </w:r>
    </w:p>
    <w:p w14:paraId="26C559C5">
      <w:pPr>
        <w:spacing w:line="360" w:lineRule="auto"/>
        <w:jc w:val="left"/>
        <w:rPr>
          <w:rFonts w:hAnsi="宋体"/>
          <w:b/>
          <w:color w:val="auto"/>
          <w:szCs w:val="24"/>
        </w:rPr>
      </w:pPr>
      <w:r>
        <w:rPr>
          <w:rFonts w:hAnsi="宋体"/>
          <w:b/>
          <w:color w:val="auto"/>
          <w:szCs w:val="24"/>
        </w:rPr>
        <w:t>24．</w:t>
      </w:r>
      <w:r>
        <w:rPr>
          <w:rFonts w:hint="eastAsia" w:hAnsi="宋体"/>
          <w:b/>
          <w:color w:val="auto"/>
          <w:szCs w:val="24"/>
        </w:rPr>
        <w:t>评审</w:t>
      </w:r>
      <w:r>
        <w:rPr>
          <w:rFonts w:hAnsi="宋体"/>
          <w:b/>
          <w:color w:val="auto"/>
          <w:szCs w:val="24"/>
        </w:rPr>
        <w:t>方法</w:t>
      </w:r>
    </w:p>
    <w:p w14:paraId="42D566AC">
      <w:pPr>
        <w:spacing w:line="360" w:lineRule="auto"/>
        <w:ind w:firstLine="480" w:firstLineChars="200"/>
        <w:rPr>
          <w:rFonts w:hint="eastAsia" w:hAnsi="宋体"/>
          <w:color w:val="auto"/>
          <w:szCs w:val="24"/>
        </w:rPr>
      </w:pPr>
      <w:r>
        <w:rPr>
          <w:rFonts w:hint="eastAsia" w:hAnsi="宋体"/>
          <w:color w:val="auto"/>
          <w:szCs w:val="24"/>
        </w:rPr>
        <w:t>24.1按照</w:t>
      </w:r>
      <w:r>
        <w:rPr>
          <w:rFonts w:hAnsi="宋体"/>
          <w:color w:val="auto"/>
          <w:szCs w:val="24"/>
        </w:rPr>
        <w:t>《中华人民共和国政府采购法》</w:t>
      </w:r>
      <w:r>
        <w:rPr>
          <w:rFonts w:hint="eastAsia" w:hAnsi="宋体"/>
          <w:color w:val="auto"/>
          <w:szCs w:val="24"/>
        </w:rPr>
        <w:t>及实施条例和</w:t>
      </w:r>
      <w:r>
        <w:rPr>
          <w:rFonts w:hAnsi="宋体"/>
          <w:color w:val="auto"/>
          <w:szCs w:val="24"/>
        </w:rPr>
        <w:t>关于印发《政府采购竞争性磋商采购方式管理暂行办法》的通知</w:t>
      </w:r>
      <w:r>
        <w:rPr>
          <w:rFonts w:hint="eastAsia" w:hAnsi="宋体"/>
          <w:color w:val="auto"/>
          <w:szCs w:val="24"/>
        </w:rPr>
        <w:t>（</w:t>
      </w:r>
      <w:r>
        <w:rPr>
          <w:rFonts w:hAnsi="宋体"/>
          <w:color w:val="auto"/>
          <w:szCs w:val="24"/>
        </w:rPr>
        <w:t>财库【2014】214号</w:t>
      </w:r>
      <w:r>
        <w:rPr>
          <w:rFonts w:hint="eastAsia" w:hAnsi="宋体"/>
          <w:color w:val="auto"/>
          <w:szCs w:val="24"/>
        </w:rPr>
        <w:t>），本次评审采用综合评分法，即在全部满足竞争性磋商文件实质性要求前提下，磋商小组应当根据综合评分情况，按照评审得分高低顺序推存1-3名成交候选人。</w:t>
      </w:r>
    </w:p>
    <w:p w14:paraId="7570D073">
      <w:pPr>
        <w:spacing w:line="360" w:lineRule="auto"/>
        <w:rPr>
          <w:rFonts w:hAnsi="宋体"/>
          <w:b/>
          <w:color w:val="auto"/>
          <w:szCs w:val="24"/>
        </w:rPr>
      </w:pPr>
      <w:r>
        <w:rPr>
          <w:rFonts w:hAnsi="宋体"/>
          <w:b/>
          <w:color w:val="auto"/>
          <w:szCs w:val="24"/>
        </w:rPr>
        <w:t>25．</w:t>
      </w:r>
      <w:r>
        <w:rPr>
          <w:rFonts w:hint="eastAsia" w:hAnsi="宋体"/>
          <w:b/>
          <w:color w:val="auto"/>
          <w:szCs w:val="24"/>
        </w:rPr>
        <w:t>评审</w:t>
      </w:r>
      <w:r>
        <w:rPr>
          <w:rFonts w:hAnsi="宋体"/>
          <w:b/>
          <w:color w:val="auto"/>
          <w:szCs w:val="24"/>
        </w:rPr>
        <w:t>程序</w:t>
      </w:r>
    </w:p>
    <w:p w14:paraId="722877A0">
      <w:pPr>
        <w:spacing w:line="360" w:lineRule="auto"/>
        <w:ind w:firstLine="480" w:firstLineChars="200"/>
        <w:rPr>
          <w:rFonts w:hint="eastAsia" w:hAnsi="宋体"/>
          <w:color w:val="auto"/>
          <w:szCs w:val="24"/>
        </w:rPr>
      </w:pPr>
      <w:r>
        <w:rPr>
          <w:rFonts w:hint="eastAsia" w:hAnsi="宋体"/>
          <w:color w:val="auto"/>
          <w:szCs w:val="24"/>
        </w:rPr>
        <w:t>按照竞争性磋商响应文件初审、澄清有关问题、分别磋商、二次报价、比较与评审、推荐成交候选人名单的工作程序进行评审。在上一步评审中被认定为无效磋商者，不进入下一步的评审。</w:t>
      </w:r>
    </w:p>
    <w:p w14:paraId="15E1E70B">
      <w:pPr>
        <w:keepNext/>
        <w:keepLines/>
        <w:spacing w:before="240" w:beforeLines="100" w:after="120" w:afterLines="50" w:line="360" w:lineRule="auto"/>
        <w:jc w:val="center"/>
        <w:rPr>
          <w:rFonts w:hAnsi="宋体"/>
          <w:b/>
          <w:color w:val="auto"/>
          <w:sz w:val="32"/>
          <w:szCs w:val="32"/>
        </w:rPr>
      </w:pPr>
      <w:r>
        <w:rPr>
          <w:rFonts w:hAnsi="宋体"/>
          <w:b/>
          <w:color w:val="auto"/>
          <w:sz w:val="32"/>
          <w:szCs w:val="32"/>
        </w:rPr>
        <w:t>六.</w:t>
      </w:r>
      <w:r>
        <w:rPr>
          <w:rFonts w:hint="eastAsia" w:hAnsi="宋体"/>
          <w:b/>
          <w:color w:val="auto"/>
          <w:sz w:val="32"/>
          <w:szCs w:val="32"/>
        </w:rPr>
        <w:t>成交</w:t>
      </w:r>
      <w:r>
        <w:rPr>
          <w:rFonts w:hAnsi="宋体"/>
          <w:b/>
          <w:color w:val="auto"/>
          <w:sz w:val="32"/>
          <w:szCs w:val="32"/>
        </w:rPr>
        <w:t>、通知与签约</w:t>
      </w:r>
    </w:p>
    <w:p w14:paraId="14343D80">
      <w:pPr>
        <w:spacing w:line="360" w:lineRule="auto"/>
        <w:rPr>
          <w:rFonts w:hAnsi="宋体"/>
          <w:b/>
          <w:color w:val="auto"/>
          <w:szCs w:val="24"/>
        </w:rPr>
      </w:pPr>
      <w:r>
        <w:rPr>
          <w:rFonts w:hAnsi="宋体"/>
          <w:b/>
          <w:color w:val="auto"/>
          <w:szCs w:val="24"/>
        </w:rPr>
        <w:t>26．</w:t>
      </w:r>
      <w:r>
        <w:rPr>
          <w:rFonts w:hint="eastAsia" w:hAnsi="宋体"/>
          <w:b/>
          <w:color w:val="auto"/>
          <w:szCs w:val="24"/>
        </w:rPr>
        <w:t>成交</w:t>
      </w:r>
      <w:r>
        <w:rPr>
          <w:rFonts w:hAnsi="宋体"/>
          <w:b/>
          <w:color w:val="auto"/>
          <w:szCs w:val="24"/>
        </w:rPr>
        <w:t>程序</w:t>
      </w:r>
    </w:p>
    <w:p w14:paraId="5F8F465C">
      <w:pPr>
        <w:spacing w:line="360" w:lineRule="auto"/>
        <w:ind w:firstLine="480" w:firstLineChars="200"/>
        <w:rPr>
          <w:rFonts w:hint="eastAsia" w:hAnsi="宋体"/>
          <w:color w:val="auto"/>
          <w:szCs w:val="24"/>
        </w:rPr>
      </w:pPr>
      <w:r>
        <w:rPr>
          <w:rFonts w:hint="eastAsia" w:hAnsi="宋体"/>
          <w:color w:val="auto"/>
          <w:szCs w:val="24"/>
        </w:rPr>
        <w:t>26.1磋商小组根据评审方法的规定对供应商进行评审排序，推荐1-3名成交候选人，作为评审结果。评审结果由全体磋商小组成员签字确认。</w:t>
      </w:r>
    </w:p>
    <w:p w14:paraId="0FE20262">
      <w:pPr>
        <w:spacing w:line="360" w:lineRule="auto"/>
        <w:ind w:firstLine="480" w:firstLineChars="200"/>
        <w:rPr>
          <w:rFonts w:hint="eastAsia" w:hAnsi="宋体"/>
          <w:color w:val="auto"/>
          <w:szCs w:val="24"/>
        </w:rPr>
      </w:pPr>
      <w:r>
        <w:rPr>
          <w:rFonts w:hint="eastAsia" w:hAnsi="宋体"/>
          <w:color w:val="auto"/>
          <w:szCs w:val="24"/>
        </w:rPr>
        <w:t>26.2采购人根据磋商报告中推荐的成交候选人排列顺序，确定排名第一的为成交供应商。</w:t>
      </w:r>
    </w:p>
    <w:p w14:paraId="6D236B77">
      <w:pPr>
        <w:spacing w:line="360" w:lineRule="auto"/>
        <w:ind w:firstLine="480" w:firstLineChars="200"/>
        <w:rPr>
          <w:rFonts w:hint="eastAsia" w:hAnsi="宋体"/>
          <w:color w:val="auto"/>
          <w:szCs w:val="24"/>
        </w:rPr>
      </w:pPr>
      <w:r>
        <w:rPr>
          <w:rFonts w:hint="eastAsia" w:hAnsi="宋体"/>
          <w:color w:val="auto"/>
          <w:szCs w:val="24"/>
        </w:rPr>
        <w:t>26.3排名第一的成交候选人放弃成交、在规定期限内未能签订合同、因不可抗力不能履行合同、不按照竞争性磋商文件要求提交履约保证金，或者被查实存在影响成交结果的违法行为等情形，不符合成交条件的，采购人可以按照磋商小组提出的成交候选人名单排序依次确定其他成交候选人为成交供应商，也可以重新组织竞争性磋商。</w:t>
      </w:r>
    </w:p>
    <w:p w14:paraId="51EEEA6B">
      <w:pPr>
        <w:spacing w:line="360" w:lineRule="auto"/>
        <w:ind w:firstLine="480" w:firstLineChars="200"/>
        <w:rPr>
          <w:rFonts w:hint="eastAsia" w:hAnsi="宋体"/>
          <w:color w:val="auto"/>
          <w:szCs w:val="24"/>
        </w:rPr>
      </w:pPr>
      <w:r>
        <w:rPr>
          <w:rFonts w:hint="eastAsia" w:hAnsi="宋体"/>
          <w:color w:val="auto"/>
          <w:szCs w:val="24"/>
        </w:rPr>
        <w:t>26.4采购人也可以授权磋商小组评审后直接确定成交供应商。</w:t>
      </w:r>
    </w:p>
    <w:p w14:paraId="20C017EE">
      <w:pPr>
        <w:spacing w:line="360" w:lineRule="auto"/>
        <w:ind w:firstLine="480" w:firstLineChars="200"/>
        <w:rPr>
          <w:rFonts w:hint="eastAsia" w:hAnsi="宋体"/>
          <w:color w:val="auto"/>
          <w:szCs w:val="24"/>
        </w:rPr>
      </w:pPr>
      <w:r>
        <w:rPr>
          <w:rFonts w:hint="eastAsia" w:hAnsi="宋体"/>
          <w:color w:val="auto"/>
          <w:szCs w:val="24"/>
        </w:rPr>
        <w:t>26.5成交供应商确定之后，成交结果将在财政部门指定的政府采购信息发布媒体上公告。</w:t>
      </w:r>
    </w:p>
    <w:p w14:paraId="214B3C60">
      <w:pPr>
        <w:spacing w:line="360" w:lineRule="auto"/>
        <w:ind w:firstLine="480" w:firstLineChars="200"/>
        <w:rPr>
          <w:rFonts w:hint="eastAsia" w:hAnsi="宋体"/>
          <w:color w:val="auto"/>
          <w:szCs w:val="24"/>
        </w:rPr>
      </w:pPr>
      <w:r>
        <w:rPr>
          <w:rFonts w:hint="eastAsia" w:hAnsi="宋体"/>
          <w:color w:val="auto"/>
          <w:szCs w:val="24"/>
        </w:rPr>
        <w:t>26.6供应商或者其他利害关系人对评审结果有异议的，应当在法律规定的时间内提出。</w:t>
      </w:r>
    </w:p>
    <w:p w14:paraId="11A662B8">
      <w:pPr>
        <w:spacing w:line="360" w:lineRule="auto"/>
        <w:rPr>
          <w:rFonts w:hAnsi="宋体"/>
          <w:b/>
          <w:color w:val="auto"/>
          <w:szCs w:val="24"/>
        </w:rPr>
      </w:pPr>
      <w:r>
        <w:rPr>
          <w:rFonts w:hAnsi="宋体"/>
          <w:b/>
          <w:color w:val="auto"/>
          <w:szCs w:val="24"/>
        </w:rPr>
        <w:t>27．</w:t>
      </w:r>
      <w:r>
        <w:rPr>
          <w:rFonts w:hint="eastAsia" w:hAnsi="宋体"/>
          <w:b/>
          <w:color w:val="auto"/>
          <w:szCs w:val="24"/>
        </w:rPr>
        <w:t>成交</w:t>
      </w:r>
      <w:r>
        <w:rPr>
          <w:rFonts w:hAnsi="宋体"/>
          <w:b/>
          <w:color w:val="auto"/>
          <w:szCs w:val="24"/>
        </w:rPr>
        <w:t>通知</w:t>
      </w:r>
    </w:p>
    <w:p w14:paraId="14F2C815">
      <w:pPr>
        <w:spacing w:line="360" w:lineRule="auto"/>
        <w:ind w:firstLine="480" w:firstLineChars="200"/>
        <w:rPr>
          <w:rFonts w:hint="eastAsia" w:hAnsi="宋体"/>
          <w:color w:val="auto"/>
          <w:szCs w:val="24"/>
        </w:rPr>
      </w:pPr>
      <w:r>
        <w:rPr>
          <w:rFonts w:hint="eastAsia" w:hAnsi="宋体"/>
          <w:color w:val="auto"/>
          <w:szCs w:val="24"/>
        </w:rPr>
        <w:t xml:space="preserve">27.1采购代理机构向成交供应商发出《成交通知书》。 </w:t>
      </w:r>
    </w:p>
    <w:p w14:paraId="046DF7CB">
      <w:pPr>
        <w:spacing w:line="360" w:lineRule="auto"/>
        <w:ind w:firstLine="480" w:firstLineChars="200"/>
        <w:rPr>
          <w:rFonts w:hint="eastAsia" w:hAnsi="宋体"/>
          <w:color w:val="auto"/>
          <w:szCs w:val="24"/>
        </w:rPr>
      </w:pPr>
      <w:r>
        <w:rPr>
          <w:rFonts w:hint="eastAsia" w:hAnsi="宋体"/>
          <w:color w:val="auto"/>
          <w:szCs w:val="24"/>
        </w:rPr>
        <w:t>27.2成交通知书对采购人和成交供应商具有同等法律效力。成交通知书发出之后，采购人改变成交结果，或者成交供应商放弃成交，应当承担相应的法律责任。</w:t>
      </w:r>
    </w:p>
    <w:p w14:paraId="5F887B18">
      <w:pPr>
        <w:spacing w:line="360" w:lineRule="auto"/>
        <w:rPr>
          <w:rFonts w:hAnsi="宋体"/>
          <w:b/>
          <w:color w:val="auto"/>
          <w:szCs w:val="24"/>
        </w:rPr>
      </w:pPr>
      <w:r>
        <w:rPr>
          <w:rFonts w:hAnsi="宋体"/>
          <w:b/>
          <w:color w:val="auto"/>
          <w:szCs w:val="24"/>
        </w:rPr>
        <w:t xml:space="preserve">28. </w:t>
      </w:r>
      <w:r>
        <w:rPr>
          <w:rFonts w:hint="eastAsia" w:hAnsi="宋体"/>
          <w:b/>
          <w:color w:val="auto"/>
          <w:szCs w:val="24"/>
        </w:rPr>
        <w:t>成交</w:t>
      </w:r>
      <w:r>
        <w:rPr>
          <w:rFonts w:hAnsi="宋体"/>
          <w:b/>
          <w:color w:val="auto"/>
          <w:szCs w:val="24"/>
        </w:rPr>
        <w:t>合同的签订</w:t>
      </w:r>
    </w:p>
    <w:p w14:paraId="07FE359B">
      <w:pPr>
        <w:spacing w:line="360" w:lineRule="auto"/>
        <w:ind w:firstLine="480" w:firstLineChars="200"/>
        <w:rPr>
          <w:rFonts w:hint="eastAsia" w:hAnsi="宋体"/>
          <w:color w:val="auto"/>
          <w:szCs w:val="24"/>
        </w:rPr>
      </w:pPr>
      <w:r>
        <w:rPr>
          <w:rFonts w:hint="eastAsia" w:hAnsi="宋体"/>
          <w:color w:val="auto"/>
          <w:szCs w:val="24"/>
        </w:rPr>
        <w:t>28.1采购人应当自成交通知书发出之日起十日内，按照竞争性磋商文件和成交供应商竞争性磋商响应文件（包括评审中形成的澄清文件）的约定，与成交供应商签订书面合同。所签订的合同不得对竞争性磋商文件和成交供应商的竞争性磋商响应文件（包括评审中形成的澄清文件）作实质性修改。</w:t>
      </w:r>
    </w:p>
    <w:p w14:paraId="3EA242C5">
      <w:pPr>
        <w:spacing w:line="360" w:lineRule="auto"/>
        <w:ind w:firstLine="480" w:firstLineChars="200"/>
        <w:rPr>
          <w:rFonts w:hAnsi="宋体"/>
          <w:color w:val="auto"/>
          <w:szCs w:val="24"/>
        </w:rPr>
      </w:pPr>
      <w:r>
        <w:rPr>
          <w:rFonts w:hint="eastAsia" w:hAnsi="宋体"/>
          <w:color w:val="auto"/>
          <w:szCs w:val="24"/>
        </w:rPr>
        <w:t>28.2采购人自采购合同签订之日起七个工作日内，将采购合同副本报同级人民政府财政部门备案。</w:t>
      </w:r>
    </w:p>
    <w:p w14:paraId="0350E59A">
      <w:pPr>
        <w:spacing w:line="360" w:lineRule="auto"/>
        <w:rPr>
          <w:rFonts w:hint="eastAsia" w:hAnsi="宋体"/>
          <w:color w:val="auto"/>
          <w:szCs w:val="24"/>
        </w:rPr>
      </w:pPr>
      <w:r>
        <w:rPr>
          <w:rFonts w:hint="eastAsia" w:hAnsi="宋体"/>
          <w:b/>
          <w:color w:val="auto"/>
          <w:szCs w:val="24"/>
        </w:rPr>
        <w:t>29.成交</w:t>
      </w:r>
      <w:r>
        <w:rPr>
          <w:rFonts w:hAnsi="宋体"/>
          <w:b/>
          <w:color w:val="auto"/>
          <w:szCs w:val="24"/>
        </w:rPr>
        <w:t>代理服务费</w:t>
      </w:r>
      <w:r>
        <w:rPr>
          <w:rFonts w:hint="eastAsia" w:hAnsi="宋体"/>
          <w:color w:val="auto"/>
          <w:szCs w:val="24"/>
        </w:rPr>
        <w:t xml:space="preserve"> </w:t>
      </w:r>
    </w:p>
    <w:p w14:paraId="39AC10C5">
      <w:pPr>
        <w:spacing w:line="360" w:lineRule="auto"/>
        <w:ind w:firstLine="480" w:firstLineChars="200"/>
        <w:rPr>
          <w:rFonts w:hAnsi="宋体"/>
          <w:color w:val="auto"/>
          <w:szCs w:val="24"/>
        </w:rPr>
      </w:pPr>
      <w:r>
        <w:rPr>
          <w:rFonts w:hint="eastAsia" w:hAnsi="宋体"/>
          <w:color w:val="auto"/>
          <w:szCs w:val="24"/>
        </w:rPr>
        <w:t>29.1按国家计委颁发的《招标代理服务收费管理暂行办法》（计价格[2002]1980号）和国家发展改革委员会办公厅颁发的《关于招标代理服务收费有关问题的通知》（发改办价格[2003]857号）的有关规定执行。</w:t>
      </w:r>
    </w:p>
    <w:p w14:paraId="6C76A667">
      <w:pPr>
        <w:spacing w:line="360" w:lineRule="auto"/>
        <w:ind w:firstLine="480" w:firstLineChars="200"/>
        <w:rPr>
          <w:rFonts w:hint="eastAsia" w:hAnsi="宋体"/>
          <w:color w:val="auto"/>
          <w:szCs w:val="24"/>
        </w:rPr>
      </w:pPr>
      <w:r>
        <w:rPr>
          <w:rFonts w:hint="eastAsia" w:hAnsi="宋体"/>
          <w:color w:val="auto"/>
          <w:szCs w:val="24"/>
        </w:rPr>
        <w:t>29.2成交单位在领取成交通知书前，须向采购代理机构一次性支付招标代理服务费。</w:t>
      </w:r>
    </w:p>
    <w:p w14:paraId="1E7D46B9">
      <w:pPr>
        <w:spacing w:line="360" w:lineRule="auto"/>
        <w:rPr>
          <w:rFonts w:hint="eastAsia" w:hAnsi="宋体" w:cs="宋体"/>
          <w:b/>
          <w:bCs/>
          <w:color w:val="auto"/>
          <w:szCs w:val="24"/>
        </w:rPr>
      </w:pPr>
      <w:r>
        <w:rPr>
          <w:rFonts w:hint="eastAsia" w:hAnsi="宋体" w:cs="宋体"/>
          <w:b/>
          <w:bCs/>
          <w:color w:val="auto"/>
          <w:szCs w:val="24"/>
        </w:rPr>
        <w:t>30.质疑</w:t>
      </w:r>
    </w:p>
    <w:p w14:paraId="16E89788">
      <w:pPr>
        <w:spacing w:line="360" w:lineRule="auto"/>
        <w:ind w:firstLine="480" w:firstLineChars="200"/>
        <w:rPr>
          <w:rFonts w:hint="eastAsia"/>
          <w:color w:val="auto"/>
          <w:szCs w:val="24"/>
        </w:rPr>
      </w:pPr>
      <w:r>
        <w:rPr>
          <w:rFonts w:hint="eastAsia"/>
          <w:color w:val="auto"/>
          <w:szCs w:val="24"/>
        </w:rPr>
        <w:t>30.1供应商认为磋商文件、采购过程、成交结果使自己的权益受到损害的，可以在知道或者应知其权益受到损害之日起7个工作日内，以书面形式向采购人、采购代理机构提出质疑。</w:t>
      </w:r>
    </w:p>
    <w:p w14:paraId="6901E221">
      <w:pPr>
        <w:spacing w:line="360" w:lineRule="auto"/>
        <w:ind w:firstLine="480" w:firstLineChars="200"/>
        <w:rPr>
          <w:rFonts w:hint="eastAsia"/>
          <w:color w:val="auto"/>
          <w:szCs w:val="24"/>
        </w:rPr>
      </w:pPr>
      <w:r>
        <w:rPr>
          <w:rFonts w:hint="eastAsia"/>
          <w:color w:val="auto"/>
          <w:szCs w:val="24"/>
        </w:rPr>
        <w:t>30.2供应商必须在法定质疑期内一次性提出针对同一采购程序环节的质疑。</w:t>
      </w:r>
    </w:p>
    <w:p w14:paraId="5F92D873">
      <w:pPr>
        <w:spacing w:line="360" w:lineRule="auto"/>
        <w:ind w:firstLine="480" w:firstLineChars="200"/>
        <w:rPr>
          <w:rFonts w:hint="eastAsia"/>
          <w:color w:val="auto"/>
          <w:szCs w:val="24"/>
        </w:rPr>
      </w:pPr>
      <w:r>
        <w:rPr>
          <w:rFonts w:hint="eastAsia"/>
          <w:color w:val="auto"/>
          <w:szCs w:val="24"/>
        </w:rPr>
        <w:t>30.3供应商可以委托代理人进行质疑。代理人提出质疑的，应当提交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781846CC">
      <w:pPr>
        <w:spacing w:line="360" w:lineRule="auto"/>
        <w:ind w:firstLine="480" w:firstLineChars="200"/>
        <w:rPr>
          <w:rFonts w:hint="eastAsia"/>
          <w:color w:val="auto"/>
          <w:szCs w:val="24"/>
        </w:rPr>
      </w:pPr>
      <w:r>
        <w:rPr>
          <w:rFonts w:hint="eastAsia"/>
          <w:color w:val="auto"/>
          <w:szCs w:val="24"/>
        </w:rPr>
        <w:t>30.4以联合体形式参加政府采购活动的，其质疑应当由组成联合体的所有供应商共同提出。</w:t>
      </w:r>
    </w:p>
    <w:p w14:paraId="3ABE912B">
      <w:pPr>
        <w:spacing w:line="360" w:lineRule="auto"/>
        <w:ind w:firstLine="480" w:firstLineChars="200"/>
        <w:rPr>
          <w:rFonts w:hint="eastAsia"/>
          <w:color w:val="auto"/>
          <w:szCs w:val="24"/>
        </w:rPr>
      </w:pPr>
      <w:r>
        <w:rPr>
          <w:rFonts w:hint="eastAsia"/>
          <w:color w:val="auto"/>
          <w:szCs w:val="24"/>
        </w:rPr>
        <w:t>30.5供应商提出质疑应当提交质疑函和必要的证明材料。质疑函应当包括下列内容：</w:t>
      </w:r>
    </w:p>
    <w:p w14:paraId="0843516A">
      <w:pPr>
        <w:spacing w:line="360" w:lineRule="auto"/>
        <w:ind w:firstLine="480" w:firstLineChars="200"/>
        <w:rPr>
          <w:rFonts w:hint="eastAsia"/>
          <w:color w:val="auto"/>
          <w:szCs w:val="24"/>
        </w:rPr>
      </w:pPr>
      <w:r>
        <w:rPr>
          <w:rFonts w:hint="eastAsia"/>
          <w:color w:val="auto"/>
          <w:szCs w:val="24"/>
        </w:rPr>
        <w:t>30.5.1供应商的姓名或者名称、地址、邮编、联系人及联系电话；</w:t>
      </w:r>
    </w:p>
    <w:p w14:paraId="7E3F555C">
      <w:pPr>
        <w:spacing w:line="360" w:lineRule="auto"/>
        <w:ind w:firstLine="480" w:firstLineChars="200"/>
        <w:rPr>
          <w:rFonts w:hint="eastAsia"/>
          <w:color w:val="auto"/>
          <w:szCs w:val="24"/>
        </w:rPr>
      </w:pPr>
      <w:r>
        <w:rPr>
          <w:rFonts w:hint="eastAsia"/>
          <w:color w:val="auto"/>
          <w:szCs w:val="24"/>
        </w:rPr>
        <w:t>30.5.2质疑项目的名称、编号；</w:t>
      </w:r>
    </w:p>
    <w:p w14:paraId="75FB5E4C">
      <w:pPr>
        <w:spacing w:line="360" w:lineRule="auto"/>
        <w:ind w:firstLine="480" w:firstLineChars="200"/>
        <w:rPr>
          <w:rFonts w:hint="eastAsia"/>
          <w:color w:val="auto"/>
          <w:szCs w:val="24"/>
        </w:rPr>
      </w:pPr>
      <w:r>
        <w:rPr>
          <w:rFonts w:hint="eastAsia"/>
          <w:color w:val="auto"/>
          <w:szCs w:val="24"/>
        </w:rPr>
        <w:t>30.5.3具体、明确的质疑事项和与质疑事项相关的请求；</w:t>
      </w:r>
    </w:p>
    <w:p w14:paraId="7121F19F">
      <w:pPr>
        <w:spacing w:line="360" w:lineRule="auto"/>
        <w:ind w:firstLine="480" w:firstLineChars="200"/>
        <w:rPr>
          <w:rFonts w:hint="eastAsia"/>
          <w:color w:val="auto"/>
          <w:szCs w:val="24"/>
        </w:rPr>
      </w:pPr>
      <w:r>
        <w:rPr>
          <w:rFonts w:hint="eastAsia"/>
          <w:color w:val="auto"/>
          <w:szCs w:val="24"/>
        </w:rPr>
        <w:t>30.5.4事实依据；</w:t>
      </w:r>
    </w:p>
    <w:p w14:paraId="4BCAA527">
      <w:pPr>
        <w:spacing w:line="360" w:lineRule="auto"/>
        <w:ind w:firstLine="480" w:firstLineChars="200"/>
        <w:rPr>
          <w:rFonts w:hint="eastAsia"/>
          <w:color w:val="auto"/>
          <w:szCs w:val="24"/>
        </w:rPr>
      </w:pPr>
      <w:r>
        <w:rPr>
          <w:rFonts w:hint="eastAsia"/>
          <w:color w:val="auto"/>
          <w:szCs w:val="24"/>
        </w:rPr>
        <w:t>30.5.5必要的法律依据；</w:t>
      </w:r>
    </w:p>
    <w:p w14:paraId="20C3DAC6">
      <w:pPr>
        <w:spacing w:line="360" w:lineRule="auto"/>
        <w:ind w:firstLine="480" w:firstLineChars="200"/>
        <w:rPr>
          <w:rFonts w:hint="eastAsia"/>
          <w:color w:val="auto"/>
          <w:szCs w:val="24"/>
        </w:rPr>
      </w:pPr>
      <w:r>
        <w:rPr>
          <w:rFonts w:hint="eastAsia"/>
          <w:color w:val="auto"/>
          <w:szCs w:val="24"/>
        </w:rPr>
        <w:t>30.5.6提出质疑的日期。</w:t>
      </w:r>
    </w:p>
    <w:p w14:paraId="0D3FDDCE">
      <w:pPr>
        <w:spacing w:line="360" w:lineRule="auto"/>
        <w:ind w:firstLine="480" w:firstLineChars="200"/>
        <w:rPr>
          <w:rFonts w:hint="eastAsia"/>
          <w:color w:val="auto"/>
          <w:szCs w:val="24"/>
        </w:rPr>
      </w:pPr>
      <w:r>
        <w:rPr>
          <w:rFonts w:hint="eastAsia"/>
          <w:color w:val="auto"/>
          <w:szCs w:val="24"/>
        </w:rPr>
        <w:t>30.6有下列情形之一的，属于无效质疑，采购代理机构和采购人不予受理：</w:t>
      </w:r>
    </w:p>
    <w:p w14:paraId="7C117942">
      <w:pPr>
        <w:spacing w:line="360" w:lineRule="auto"/>
        <w:ind w:firstLine="480" w:firstLineChars="200"/>
        <w:rPr>
          <w:rFonts w:hint="eastAsia"/>
          <w:color w:val="auto"/>
          <w:szCs w:val="24"/>
        </w:rPr>
      </w:pPr>
      <w:r>
        <w:rPr>
          <w:rFonts w:hint="eastAsia"/>
          <w:color w:val="auto"/>
          <w:szCs w:val="24"/>
        </w:rPr>
        <w:t>30.6.1质疑供应商不是参与本次政府采购项目的供应商；</w:t>
      </w:r>
    </w:p>
    <w:p w14:paraId="28F99E86">
      <w:pPr>
        <w:spacing w:line="360" w:lineRule="auto"/>
        <w:ind w:firstLine="480" w:firstLineChars="200"/>
        <w:rPr>
          <w:rFonts w:hint="eastAsia"/>
          <w:color w:val="auto"/>
          <w:szCs w:val="24"/>
        </w:rPr>
      </w:pPr>
      <w:r>
        <w:rPr>
          <w:rFonts w:hint="eastAsia"/>
          <w:color w:val="auto"/>
          <w:szCs w:val="24"/>
        </w:rPr>
        <w:t>30.6.2质疑供应商与质疑事项不存在利害关系的；</w:t>
      </w:r>
    </w:p>
    <w:p w14:paraId="6C33259D">
      <w:pPr>
        <w:spacing w:line="360" w:lineRule="auto"/>
        <w:ind w:firstLine="480" w:firstLineChars="200"/>
        <w:rPr>
          <w:rFonts w:hint="eastAsia"/>
          <w:color w:val="auto"/>
          <w:szCs w:val="24"/>
        </w:rPr>
      </w:pPr>
      <w:r>
        <w:rPr>
          <w:rFonts w:hint="eastAsia"/>
          <w:color w:val="auto"/>
          <w:szCs w:val="24"/>
        </w:rPr>
        <w:t>30.6.3未在法定期限内提出质疑的；</w:t>
      </w:r>
    </w:p>
    <w:p w14:paraId="46A19C7C">
      <w:pPr>
        <w:spacing w:line="360" w:lineRule="auto"/>
        <w:ind w:firstLine="480" w:firstLineChars="200"/>
        <w:rPr>
          <w:rFonts w:hint="eastAsia"/>
          <w:color w:val="auto"/>
          <w:szCs w:val="24"/>
        </w:rPr>
      </w:pPr>
      <w:r>
        <w:rPr>
          <w:rFonts w:hint="eastAsia"/>
          <w:color w:val="auto"/>
          <w:szCs w:val="24"/>
        </w:rPr>
        <w:t>30.6.4质疑未以书面形式提出，或质疑函主要内容构成不完整的；</w:t>
      </w:r>
    </w:p>
    <w:p w14:paraId="3AC040C7">
      <w:pPr>
        <w:spacing w:line="360" w:lineRule="auto"/>
        <w:ind w:firstLine="480" w:firstLineChars="200"/>
        <w:rPr>
          <w:rFonts w:hint="eastAsia"/>
          <w:color w:val="auto"/>
          <w:szCs w:val="24"/>
        </w:rPr>
      </w:pPr>
      <w:r>
        <w:rPr>
          <w:rFonts w:hint="eastAsia"/>
          <w:color w:val="auto"/>
          <w:szCs w:val="24"/>
        </w:rPr>
        <w:t>30.6.5应当提交授权书而未提交的；</w:t>
      </w:r>
    </w:p>
    <w:p w14:paraId="10FAF3AF">
      <w:pPr>
        <w:spacing w:line="360" w:lineRule="auto"/>
        <w:ind w:firstLine="480" w:firstLineChars="200"/>
        <w:rPr>
          <w:rFonts w:hint="eastAsia"/>
          <w:color w:val="auto"/>
          <w:szCs w:val="24"/>
        </w:rPr>
      </w:pPr>
      <w:r>
        <w:rPr>
          <w:rFonts w:hint="eastAsia"/>
          <w:color w:val="auto"/>
          <w:szCs w:val="24"/>
        </w:rPr>
        <w:t>30.6.6以非法手段取得证据、材料的；</w:t>
      </w:r>
    </w:p>
    <w:p w14:paraId="394B97E8">
      <w:pPr>
        <w:spacing w:line="360" w:lineRule="auto"/>
        <w:ind w:firstLine="480" w:firstLineChars="200"/>
        <w:rPr>
          <w:rFonts w:hint="eastAsia"/>
          <w:color w:val="auto"/>
          <w:szCs w:val="24"/>
        </w:rPr>
      </w:pPr>
      <w:r>
        <w:rPr>
          <w:rFonts w:hint="eastAsia"/>
          <w:color w:val="auto"/>
          <w:szCs w:val="24"/>
        </w:rPr>
        <w:t>30.6.7质疑答复后，同一质疑人就同一事项或同一采购程序环节再次提出质疑的；</w:t>
      </w:r>
    </w:p>
    <w:p w14:paraId="60CC8B67">
      <w:pPr>
        <w:spacing w:line="360" w:lineRule="auto"/>
        <w:ind w:firstLine="480" w:firstLineChars="200"/>
        <w:rPr>
          <w:rFonts w:hint="eastAsia"/>
          <w:color w:val="auto"/>
          <w:szCs w:val="24"/>
        </w:rPr>
      </w:pPr>
      <w:r>
        <w:rPr>
          <w:rFonts w:hint="eastAsia"/>
          <w:color w:val="auto"/>
          <w:szCs w:val="24"/>
        </w:rPr>
        <w:t>30.6.8不符合法律、法规、规章和政府采购监管机构规定的其他条件的。</w:t>
      </w:r>
    </w:p>
    <w:p w14:paraId="08D9732C">
      <w:pPr>
        <w:spacing w:line="360" w:lineRule="auto"/>
        <w:rPr>
          <w:rFonts w:hint="eastAsia"/>
          <w:color w:val="auto"/>
          <w:szCs w:val="24"/>
        </w:rPr>
      </w:pPr>
      <w:r>
        <w:rPr>
          <w:rFonts w:hint="eastAsia"/>
          <w:color w:val="auto"/>
          <w:szCs w:val="24"/>
        </w:rPr>
        <w:t xml:space="preserve">    30.7质疑答复</w:t>
      </w:r>
    </w:p>
    <w:p w14:paraId="32E1BD91">
      <w:pPr>
        <w:spacing w:line="360" w:lineRule="auto"/>
        <w:ind w:firstLine="480" w:firstLineChars="200"/>
        <w:rPr>
          <w:rFonts w:hint="eastAsia"/>
          <w:color w:val="auto"/>
          <w:szCs w:val="24"/>
        </w:rPr>
      </w:pPr>
      <w:r>
        <w:rPr>
          <w:rFonts w:hint="eastAsia"/>
          <w:color w:val="auto"/>
          <w:szCs w:val="24"/>
        </w:rPr>
        <w:t>30.7.1采购人或采购代理机构在收到质疑函后7个工作日内作出答复，并以书面形式通知质疑供应商和其他有关供应商。</w:t>
      </w:r>
    </w:p>
    <w:p w14:paraId="0CFB8B93">
      <w:pPr>
        <w:spacing w:line="360" w:lineRule="auto"/>
        <w:ind w:firstLine="480" w:firstLineChars="200"/>
        <w:rPr>
          <w:rFonts w:hint="eastAsia"/>
          <w:color w:val="auto"/>
          <w:szCs w:val="24"/>
        </w:rPr>
      </w:pPr>
      <w:r>
        <w:rPr>
          <w:rFonts w:hint="eastAsia"/>
          <w:color w:val="auto"/>
          <w:szCs w:val="24"/>
        </w:rPr>
        <w:t>30.7.2质疑供应商对采购人、采购代理机构的答复不满意，或者采购人、采购代理机构未在规定时间内作出答复的，可以在答复期满后15个工作日内向同级人民政府财政部门提起投诉。</w:t>
      </w:r>
    </w:p>
    <w:p w14:paraId="4BD49CAC">
      <w:pPr>
        <w:spacing w:line="360" w:lineRule="auto"/>
        <w:ind w:firstLine="480" w:firstLineChars="200"/>
        <w:rPr>
          <w:rFonts w:hint="eastAsia"/>
          <w:color w:val="auto"/>
          <w:szCs w:val="24"/>
        </w:rPr>
      </w:pPr>
      <w:r>
        <w:rPr>
          <w:rFonts w:hint="eastAsia"/>
          <w:color w:val="auto"/>
          <w:szCs w:val="24"/>
        </w:rPr>
        <w:t>30.8其他需要说明的事项</w:t>
      </w:r>
    </w:p>
    <w:p w14:paraId="4A6D2185">
      <w:pPr>
        <w:spacing w:line="360" w:lineRule="auto"/>
        <w:ind w:firstLine="480" w:firstLineChars="200"/>
        <w:rPr>
          <w:rFonts w:hint="eastAsia"/>
          <w:color w:val="auto"/>
          <w:szCs w:val="24"/>
        </w:rPr>
      </w:pPr>
      <w:r>
        <w:rPr>
          <w:rFonts w:hint="eastAsia"/>
          <w:color w:val="auto"/>
          <w:szCs w:val="24"/>
        </w:rPr>
        <w:t>30.8.1接收质疑函的方式：书面形式</w:t>
      </w:r>
    </w:p>
    <w:p w14:paraId="04D2C6CA">
      <w:pPr>
        <w:spacing w:line="360" w:lineRule="auto"/>
        <w:ind w:firstLine="480" w:firstLineChars="200"/>
        <w:rPr>
          <w:rFonts w:hint="eastAsia"/>
          <w:color w:val="auto"/>
          <w:szCs w:val="24"/>
        </w:rPr>
      </w:pPr>
      <w:r>
        <w:rPr>
          <w:rFonts w:hint="eastAsia"/>
          <w:color w:val="auto"/>
          <w:szCs w:val="24"/>
        </w:rPr>
        <w:t>30.8.2联系部门：榆林市恒易达工程项目管理有限公司</w:t>
      </w:r>
    </w:p>
    <w:p w14:paraId="6EC7FF70">
      <w:pPr>
        <w:spacing w:line="360" w:lineRule="auto"/>
        <w:ind w:firstLine="480" w:firstLineChars="200"/>
        <w:rPr>
          <w:rFonts w:hint="eastAsia"/>
          <w:color w:val="auto"/>
          <w:szCs w:val="24"/>
        </w:rPr>
      </w:pPr>
      <w:r>
        <w:rPr>
          <w:rFonts w:hint="eastAsia"/>
          <w:color w:val="auto"/>
          <w:szCs w:val="24"/>
        </w:rPr>
        <w:t>30.8.3联系电话：0912-3448777</w:t>
      </w:r>
    </w:p>
    <w:p w14:paraId="4DDB15BC">
      <w:pPr>
        <w:spacing w:line="360" w:lineRule="auto"/>
        <w:ind w:firstLine="480" w:firstLineChars="200"/>
        <w:rPr>
          <w:rFonts w:hint="eastAsia" w:hAnsi="宋体" w:cs="宋体"/>
          <w:b/>
          <w:bCs/>
          <w:color w:val="auto"/>
          <w:szCs w:val="24"/>
        </w:rPr>
      </w:pPr>
      <w:r>
        <w:rPr>
          <w:rFonts w:hint="eastAsia"/>
          <w:color w:val="auto"/>
          <w:szCs w:val="24"/>
        </w:rPr>
        <w:t>30.8.4通讯地址：</w:t>
      </w:r>
      <w:r>
        <w:rPr>
          <w:rFonts w:hint="eastAsia" w:hAnsi="宋体" w:cs="宋体"/>
          <w:color w:val="auto"/>
          <w:szCs w:val="24"/>
          <w:shd w:val="clear" w:color="auto" w:fill="FFFFFF"/>
          <w:lang w:eastAsia="zh-CN"/>
        </w:rPr>
        <w:t>榆林市高新区安居东路58号（金叶小区一楼商铺）</w:t>
      </w:r>
      <w:r>
        <w:rPr>
          <w:rFonts w:hint="eastAsia"/>
          <w:color w:val="auto"/>
          <w:szCs w:val="24"/>
        </w:rPr>
        <w:t>（榆林市恒易达工程项目管理有限公司）</w:t>
      </w:r>
    </w:p>
    <w:p w14:paraId="5F946642">
      <w:pPr>
        <w:spacing w:line="360" w:lineRule="auto"/>
        <w:rPr>
          <w:rFonts w:hint="eastAsia" w:hAnsi="宋体"/>
          <w:b/>
          <w:color w:val="auto"/>
          <w:szCs w:val="24"/>
        </w:rPr>
      </w:pPr>
      <w:r>
        <w:rPr>
          <w:rFonts w:hint="eastAsia" w:hAnsi="宋体"/>
          <w:b/>
          <w:color w:val="auto"/>
          <w:szCs w:val="24"/>
        </w:rPr>
        <w:t>31</w:t>
      </w:r>
      <w:r>
        <w:rPr>
          <w:rFonts w:hAnsi="宋体"/>
          <w:b/>
          <w:color w:val="auto"/>
          <w:szCs w:val="24"/>
        </w:rPr>
        <w:t>.其他</w:t>
      </w:r>
    </w:p>
    <w:p w14:paraId="2C658307">
      <w:pPr>
        <w:spacing w:line="360" w:lineRule="auto"/>
        <w:ind w:firstLine="480" w:firstLineChars="200"/>
        <w:rPr>
          <w:rFonts w:hint="eastAsia" w:hAnsi="宋体"/>
          <w:color w:val="auto"/>
          <w:szCs w:val="24"/>
        </w:rPr>
      </w:pPr>
      <w:r>
        <w:rPr>
          <w:rFonts w:hint="eastAsia" w:hAnsi="宋体"/>
          <w:color w:val="auto"/>
          <w:szCs w:val="24"/>
        </w:rPr>
        <w:t>31.1磋商步骤为：第一次报价---初步评审---分别磋商---第二次报价---综合评审推荐成交候选人。（以供应商递交的磋商响应文件中的总报价为第一次报价。分别磋商后，供应商填报的磋商响应总报价为第二次报价）</w:t>
      </w:r>
    </w:p>
    <w:p w14:paraId="2DA9C7A3">
      <w:pPr>
        <w:spacing w:line="360" w:lineRule="auto"/>
        <w:ind w:firstLine="480" w:firstLineChars="200"/>
        <w:rPr>
          <w:rFonts w:hint="eastAsia" w:hAnsi="宋体"/>
          <w:color w:val="auto"/>
          <w:szCs w:val="24"/>
        </w:rPr>
      </w:pPr>
      <w:r>
        <w:rPr>
          <w:rFonts w:hint="eastAsia" w:hAnsi="宋体"/>
          <w:color w:val="auto"/>
          <w:szCs w:val="24"/>
        </w:rPr>
        <w:t>31.2当第二次报价全部超过磋商文件规定的采购预算（或最高限价）或均低于公认的制作成本时，磋商小组有权决定是否磋商失败或进行第三次报价。当第三次报价若超出财政预算，且采购人又无力支付，磋商小组有权决定磋商失败。</w:t>
      </w:r>
    </w:p>
    <w:p w14:paraId="415BD27B">
      <w:pPr>
        <w:spacing w:line="360" w:lineRule="auto"/>
        <w:ind w:firstLine="480" w:firstLineChars="200"/>
        <w:jc w:val="left"/>
        <w:rPr>
          <w:rFonts w:hint="eastAsia" w:hAnsi="宋体"/>
          <w:color w:val="auto"/>
          <w:szCs w:val="24"/>
        </w:rPr>
      </w:pPr>
      <w:r>
        <w:rPr>
          <w:rFonts w:hint="eastAsia" w:hAnsi="宋体" w:cs="宋体"/>
          <w:color w:val="auto"/>
          <w:szCs w:val="24"/>
        </w:rPr>
        <w:t>31.3采用竞争性磋商采购方式采购的政府购买服务项目（含政府和社会资本合作项目），</w:t>
      </w:r>
      <w:r>
        <w:rPr>
          <w:rFonts w:hint="eastAsia" w:hAnsi="宋体" w:cs="宋体"/>
          <w:color w:val="auto"/>
        </w:rPr>
        <w:t>采购过程中符合要求的供应商</w:t>
      </w:r>
      <w:r>
        <w:rPr>
          <w:rFonts w:hint="eastAsia" w:hAnsi="宋体" w:cs="宋体"/>
          <w:color w:val="auto"/>
          <w:szCs w:val="24"/>
        </w:rPr>
        <w:t>（社会资本）只有2家的，竞争性磋商采购活动可以继续进行。采购过程中符合要求的供应商（社会资本）只有1家的，采购人或者采购代理机构应当终止竞争性磋商采购活动，发布项目终止公告并说明原因，重新开展采购活动。</w:t>
      </w:r>
    </w:p>
    <w:p w14:paraId="1DAFFAF9">
      <w:pPr>
        <w:spacing w:line="360" w:lineRule="auto"/>
        <w:ind w:firstLine="480" w:firstLineChars="200"/>
        <w:rPr>
          <w:rFonts w:hint="eastAsia" w:hAnsi="宋体"/>
          <w:color w:val="auto"/>
          <w:szCs w:val="24"/>
        </w:rPr>
      </w:pPr>
      <w:r>
        <w:rPr>
          <w:rFonts w:hint="eastAsia" w:hAnsi="宋体"/>
          <w:color w:val="auto"/>
          <w:szCs w:val="24"/>
        </w:rPr>
        <w:t>31.4成交供应商确定后，成交供应商无正当理由拖延或拒签合同的，或未能按照规定的时间提供履约担保，采购人有权取消其成交资格，并按评审顺序重新确定成交供应商。同时报请监督机构予以通报，禁止其进入政府采购市场。给采购人造成损失超过磋商保证金额的，供应商还应当对超过部分予以赔偿，并依法承担相应法律责任。</w:t>
      </w:r>
    </w:p>
    <w:p w14:paraId="59FE3FDD">
      <w:pPr>
        <w:spacing w:line="360" w:lineRule="auto"/>
        <w:ind w:firstLine="480" w:firstLineChars="200"/>
        <w:rPr>
          <w:rFonts w:hint="eastAsia" w:hAnsi="宋体"/>
          <w:color w:val="auto"/>
          <w:szCs w:val="24"/>
        </w:rPr>
      </w:pPr>
    </w:p>
    <w:p w14:paraId="6E06CB68">
      <w:pPr>
        <w:spacing w:line="360" w:lineRule="auto"/>
        <w:ind w:firstLine="480" w:firstLineChars="200"/>
        <w:rPr>
          <w:rFonts w:hint="eastAsia" w:hAnsi="宋体"/>
          <w:color w:val="auto"/>
          <w:szCs w:val="24"/>
        </w:rPr>
      </w:pPr>
    </w:p>
    <w:p w14:paraId="16D9D54D">
      <w:pPr>
        <w:spacing w:line="360" w:lineRule="auto"/>
        <w:ind w:firstLine="480" w:firstLineChars="200"/>
        <w:rPr>
          <w:rFonts w:hint="eastAsia" w:hAnsi="宋体"/>
          <w:color w:val="auto"/>
          <w:szCs w:val="24"/>
        </w:rPr>
      </w:pPr>
    </w:p>
    <w:p w14:paraId="45B6E5F2">
      <w:pPr>
        <w:spacing w:line="360" w:lineRule="auto"/>
        <w:ind w:firstLine="480" w:firstLineChars="200"/>
        <w:rPr>
          <w:rFonts w:hint="eastAsia" w:hAnsi="宋体"/>
          <w:color w:val="auto"/>
          <w:szCs w:val="24"/>
        </w:rPr>
      </w:pPr>
    </w:p>
    <w:p w14:paraId="5CDA4A93">
      <w:pPr>
        <w:spacing w:line="360" w:lineRule="auto"/>
        <w:ind w:firstLine="480" w:firstLineChars="200"/>
        <w:rPr>
          <w:rFonts w:hint="eastAsia" w:hAnsi="宋体"/>
          <w:color w:val="auto"/>
          <w:szCs w:val="24"/>
        </w:rPr>
      </w:pPr>
    </w:p>
    <w:p w14:paraId="510CF52C">
      <w:pPr>
        <w:spacing w:line="360" w:lineRule="auto"/>
        <w:ind w:firstLine="480" w:firstLineChars="200"/>
        <w:rPr>
          <w:rFonts w:hint="eastAsia" w:hAnsi="宋体"/>
          <w:color w:val="auto"/>
          <w:szCs w:val="24"/>
        </w:rPr>
      </w:pPr>
    </w:p>
    <w:p w14:paraId="142B36B4">
      <w:pPr>
        <w:spacing w:line="360" w:lineRule="auto"/>
        <w:ind w:firstLine="480" w:firstLineChars="200"/>
        <w:rPr>
          <w:rFonts w:hint="eastAsia" w:hAnsi="宋体"/>
          <w:color w:val="auto"/>
          <w:szCs w:val="24"/>
        </w:rPr>
      </w:pPr>
    </w:p>
    <w:p w14:paraId="23AC8B6B">
      <w:pPr>
        <w:spacing w:line="360" w:lineRule="auto"/>
        <w:ind w:firstLine="480" w:firstLineChars="200"/>
        <w:rPr>
          <w:rFonts w:hint="eastAsia" w:hAnsi="宋体"/>
          <w:color w:val="auto"/>
          <w:szCs w:val="24"/>
        </w:rPr>
      </w:pPr>
    </w:p>
    <w:p w14:paraId="02D7D4D6">
      <w:pPr>
        <w:spacing w:line="360" w:lineRule="auto"/>
        <w:ind w:firstLine="480" w:firstLineChars="200"/>
        <w:rPr>
          <w:rFonts w:hint="eastAsia" w:hAnsi="宋体"/>
          <w:color w:val="auto"/>
          <w:szCs w:val="24"/>
        </w:rPr>
      </w:pPr>
    </w:p>
    <w:p w14:paraId="12262AB3">
      <w:pPr>
        <w:spacing w:line="360" w:lineRule="auto"/>
        <w:ind w:firstLine="480" w:firstLineChars="200"/>
        <w:rPr>
          <w:rFonts w:hint="eastAsia" w:hAnsi="宋体"/>
          <w:color w:val="auto"/>
          <w:szCs w:val="24"/>
        </w:rPr>
      </w:pPr>
    </w:p>
    <w:p w14:paraId="64E34253">
      <w:pPr>
        <w:spacing w:line="360" w:lineRule="auto"/>
        <w:ind w:firstLine="480" w:firstLineChars="200"/>
        <w:rPr>
          <w:rFonts w:hint="eastAsia" w:hAnsi="宋体"/>
          <w:color w:val="auto"/>
          <w:szCs w:val="24"/>
        </w:rPr>
      </w:pPr>
    </w:p>
    <w:p w14:paraId="3B258031">
      <w:pPr>
        <w:spacing w:line="360" w:lineRule="auto"/>
        <w:ind w:firstLine="480" w:firstLineChars="200"/>
        <w:rPr>
          <w:rFonts w:hint="eastAsia" w:hAnsi="宋体"/>
          <w:color w:val="auto"/>
          <w:szCs w:val="24"/>
        </w:rPr>
      </w:pPr>
    </w:p>
    <w:p w14:paraId="4FF55719">
      <w:pPr>
        <w:spacing w:line="360" w:lineRule="auto"/>
        <w:ind w:firstLine="480" w:firstLineChars="200"/>
        <w:rPr>
          <w:rFonts w:hint="eastAsia" w:hAnsi="宋体"/>
          <w:color w:val="auto"/>
          <w:szCs w:val="24"/>
        </w:rPr>
      </w:pPr>
    </w:p>
    <w:p w14:paraId="4C94A7C8">
      <w:pPr>
        <w:spacing w:line="360" w:lineRule="auto"/>
        <w:ind w:firstLine="480" w:firstLineChars="200"/>
        <w:rPr>
          <w:rFonts w:hint="eastAsia" w:hAnsi="宋体"/>
          <w:color w:val="auto"/>
          <w:szCs w:val="24"/>
        </w:rPr>
      </w:pPr>
    </w:p>
    <w:p w14:paraId="4FE2F2C8">
      <w:pPr>
        <w:spacing w:line="360" w:lineRule="auto"/>
        <w:ind w:firstLine="480" w:firstLineChars="200"/>
        <w:rPr>
          <w:rFonts w:hint="eastAsia" w:hAnsi="宋体"/>
          <w:color w:val="auto"/>
          <w:szCs w:val="24"/>
        </w:rPr>
      </w:pPr>
    </w:p>
    <w:p w14:paraId="549126EF">
      <w:pPr>
        <w:spacing w:line="360" w:lineRule="auto"/>
        <w:ind w:firstLine="480" w:firstLineChars="200"/>
        <w:rPr>
          <w:rFonts w:hint="eastAsia" w:hAnsi="宋体"/>
          <w:color w:val="auto"/>
          <w:szCs w:val="24"/>
        </w:rPr>
      </w:pPr>
    </w:p>
    <w:p w14:paraId="683AF58E">
      <w:pPr>
        <w:spacing w:line="360" w:lineRule="auto"/>
        <w:ind w:firstLine="480" w:firstLineChars="200"/>
        <w:rPr>
          <w:rFonts w:hint="eastAsia" w:hAnsi="宋体"/>
          <w:color w:val="auto"/>
          <w:szCs w:val="24"/>
        </w:rPr>
      </w:pPr>
    </w:p>
    <w:p w14:paraId="4659AA5E">
      <w:pPr>
        <w:spacing w:line="360" w:lineRule="auto"/>
        <w:ind w:firstLine="480" w:firstLineChars="200"/>
        <w:rPr>
          <w:rFonts w:hint="eastAsia" w:hAnsi="宋体"/>
          <w:color w:val="auto"/>
          <w:szCs w:val="24"/>
        </w:rPr>
      </w:pPr>
    </w:p>
    <w:p w14:paraId="796590D7">
      <w:pPr>
        <w:spacing w:line="360" w:lineRule="auto"/>
        <w:ind w:firstLine="480" w:firstLineChars="200"/>
        <w:rPr>
          <w:rFonts w:hint="eastAsia" w:hAnsi="宋体"/>
          <w:color w:val="auto"/>
          <w:szCs w:val="24"/>
        </w:rPr>
      </w:pPr>
    </w:p>
    <w:p w14:paraId="08F9881E">
      <w:pPr>
        <w:spacing w:line="360" w:lineRule="auto"/>
        <w:ind w:firstLine="480" w:firstLineChars="200"/>
        <w:rPr>
          <w:rFonts w:hint="eastAsia" w:hAnsi="宋体"/>
          <w:color w:val="auto"/>
          <w:szCs w:val="24"/>
        </w:rPr>
      </w:pPr>
    </w:p>
    <w:p w14:paraId="71515B5B">
      <w:pPr>
        <w:spacing w:line="360" w:lineRule="auto"/>
        <w:ind w:firstLine="480" w:firstLineChars="200"/>
        <w:rPr>
          <w:rFonts w:hint="eastAsia" w:hAnsi="宋体"/>
          <w:color w:val="auto"/>
          <w:szCs w:val="24"/>
        </w:rPr>
      </w:pPr>
    </w:p>
    <w:p w14:paraId="342E94E7">
      <w:pPr>
        <w:spacing w:line="360" w:lineRule="auto"/>
        <w:ind w:firstLine="480" w:firstLineChars="200"/>
        <w:rPr>
          <w:rFonts w:hint="eastAsia" w:hAnsi="宋体"/>
          <w:color w:val="auto"/>
          <w:szCs w:val="24"/>
        </w:rPr>
      </w:pPr>
    </w:p>
    <w:p w14:paraId="6659806E">
      <w:pPr>
        <w:spacing w:line="360" w:lineRule="auto"/>
        <w:ind w:firstLine="480" w:firstLineChars="200"/>
        <w:rPr>
          <w:rFonts w:hint="eastAsia" w:hAnsi="宋体"/>
          <w:color w:val="auto"/>
          <w:szCs w:val="24"/>
        </w:rPr>
      </w:pPr>
    </w:p>
    <w:p w14:paraId="7747E8E3">
      <w:pPr>
        <w:spacing w:line="360" w:lineRule="auto"/>
        <w:ind w:firstLine="480" w:firstLineChars="200"/>
        <w:rPr>
          <w:rFonts w:hint="eastAsia" w:hAnsi="宋体"/>
          <w:color w:val="auto"/>
          <w:szCs w:val="24"/>
        </w:rPr>
      </w:pPr>
    </w:p>
    <w:p w14:paraId="2DD7C4A1">
      <w:pPr>
        <w:spacing w:line="360" w:lineRule="auto"/>
        <w:ind w:firstLine="480" w:firstLineChars="200"/>
        <w:rPr>
          <w:rFonts w:hint="eastAsia" w:hAnsi="宋体"/>
          <w:color w:val="auto"/>
          <w:szCs w:val="24"/>
        </w:rPr>
      </w:pPr>
    </w:p>
    <w:p w14:paraId="480A0F2D">
      <w:pPr>
        <w:pStyle w:val="2"/>
        <w:rPr>
          <w:rFonts w:hint="eastAsia"/>
          <w:color w:val="auto"/>
        </w:rPr>
      </w:pPr>
    </w:p>
    <w:p w14:paraId="5BADEB5F">
      <w:pPr>
        <w:pStyle w:val="3"/>
        <w:numPr>
          <w:ilvl w:val="0"/>
          <w:numId w:val="10"/>
        </w:numPr>
        <w:jc w:val="center"/>
        <w:rPr>
          <w:rFonts w:hint="eastAsia" w:ascii="宋体" w:eastAsia="宋体"/>
          <w:bCs/>
          <w:color w:val="auto"/>
          <w:sz w:val="36"/>
          <w:szCs w:val="36"/>
        </w:rPr>
      </w:pPr>
      <w:bookmarkStart w:id="39" w:name="_Toc403077645"/>
      <w:bookmarkStart w:id="40" w:name="_Toc423973074"/>
      <w:bookmarkStart w:id="41" w:name="_Toc9896"/>
      <w:bookmarkStart w:id="42" w:name="_Toc25783"/>
      <w:bookmarkStart w:id="43" w:name="_Toc363474023"/>
      <w:r>
        <w:rPr>
          <w:rFonts w:hint="eastAsia" w:ascii="宋体" w:eastAsia="宋体"/>
          <w:bCs/>
          <w:color w:val="auto"/>
          <w:sz w:val="36"/>
          <w:szCs w:val="36"/>
        </w:rPr>
        <w:t>合同条款及格式</w:t>
      </w:r>
      <w:bookmarkEnd w:id="39"/>
      <w:bookmarkEnd w:id="40"/>
      <w:bookmarkEnd w:id="41"/>
      <w:bookmarkEnd w:id="42"/>
    </w:p>
    <w:p w14:paraId="18A94FEF">
      <w:pPr>
        <w:tabs>
          <w:tab w:val="left" w:pos="210"/>
          <w:tab w:val="left" w:pos="525"/>
        </w:tabs>
        <w:spacing w:line="360" w:lineRule="auto"/>
        <w:jc w:val="center"/>
        <w:outlineLvl w:val="1"/>
        <w:rPr>
          <w:rFonts w:hint="eastAsia"/>
          <w:color w:val="auto"/>
        </w:rPr>
      </w:pPr>
      <w:bookmarkStart w:id="44" w:name="_Toc23618"/>
      <w:r>
        <w:rPr>
          <w:rFonts w:hint="eastAsia" w:hAnsi="宋体"/>
          <w:b/>
          <w:color w:val="auto"/>
          <w:szCs w:val="24"/>
        </w:rPr>
        <w:t>合同前附表</w:t>
      </w:r>
      <w:bookmarkEnd w:id="44"/>
    </w:p>
    <w:p w14:paraId="2CB35A6D">
      <w:pPr>
        <w:rPr>
          <w:rFonts w:hAnsi="宋体"/>
          <w:color w:val="auto"/>
          <w:szCs w:val="24"/>
        </w:rPr>
      </w:pPr>
      <w:r>
        <w:rPr>
          <w:rFonts w:hint="eastAsia"/>
          <w:color w:val="auto"/>
          <w:szCs w:val="24"/>
        </w:rPr>
        <w:t>本</w:t>
      </w:r>
      <w:r>
        <w:rPr>
          <w:rFonts w:hint="eastAsia" w:hAnsi="宋体"/>
          <w:color w:val="auto"/>
          <w:szCs w:val="24"/>
        </w:rPr>
        <w:t>表是对合同条款的具体补充和修改，如有矛盾，应以本资料表为准。</w:t>
      </w:r>
    </w:p>
    <w:tbl>
      <w:tblPr>
        <w:tblStyle w:val="47"/>
        <w:tblW w:w="97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41"/>
        <w:gridCol w:w="9106"/>
      </w:tblGrid>
      <w:tr w14:paraId="12B8B4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8" w:hRule="atLeast"/>
          <w:jc w:val="center"/>
        </w:trPr>
        <w:tc>
          <w:tcPr>
            <w:tcW w:w="641" w:type="dxa"/>
            <w:noWrap w:val="0"/>
            <w:vAlign w:val="center"/>
          </w:tcPr>
          <w:p w14:paraId="686739CA">
            <w:pPr>
              <w:spacing w:line="360" w:lineRule="auto"/>
              <w:jc w:val="center"/>
              <w:rPr>
                <w:rFonts w:hint="eastAsia" w:ascii="宋体" w:hAnsi="宋体" w:cs="宋体"/>
                <w:color w:val="auto"/>
                <w:sz w:val="24"/>
                <w:szCs w:val="24"/>
              </w:rPr>
            </w:pPr>
            <w:bookmarkStart w:id="45" w:name="_Toc8333"/>
            <w:bookmarkStart w:id="46" w:name="_Toc29888"/>
            <w:bookmarkStart w:id="47" w:name="_Toc31520"/>
            <w:bookmarkStart w:id="48" w:name="_Toc389582037"/>
            <w:bookmarkStart w:id="49" w:name="_Toc19199"/>
            <w:bookmarkStart w:id="50" w:name="_Toc26595"/>
            <w:bookmarkStart w:id="51" w:name="_Toc423973075"/>
            <w:bookmarkStart w:id="52" w:name="_Toc4679"/>
            <w:bookmarkStart w:id="53" w:name="_Toc19246"/>
            <w:r>
              <w:rPr>
                <w:rFonts w:hint="eastAsia" w:ascii="宋体" w:hAnsi="宋体" w:cs="宋体"/>
                <w:color w:val="auto"/>
                <w:sz w:val="24"/>
                <w:szCs w:val="24"/>
              </w:rPr>
              <w:t>条款号</w:t>
            </w:r>
          </w:p>
        </w:tc>
        <w:tc>
          <w:tcPr>
            <w:tcW w:w="9106" w:type="dxa"/>
            <w:noWrap w:val="0"/>
            <w:vAlign w:val="center"/>
          </w:tcPr>
          <w:p w14:paraId="121BA065">
            <w:pPr>
              <w:spacing w:line="360" w:lineRule="auto"/>
              <w:jc w:val="center"/>
              <w:rPr>
                <w:rFonts w:hint="eastAsia" w:ascii="宋体" w:hAnsi="宋体" w:cs="宋体"/>
                <w:b/>
                <w:color w:val="auto"/>
                <w:sz w:val="24"/>
                <w:szCs w:val="24"/>
              </w:rPr>
            </w:pPr>
            <w:r>
              <w:rPr>
                <w:rFonts w:hint="eastAsia" w:ascii="宋体" w:hAnsi="宋体" w:cs="宋体"/>
                <w:b/>
                <w:color w:val="auto"/>
                <w:sz w:val="24"/>
                <w:szCs w:val="24"/>
              </w:rPr>
              <w:t>内      容</w:t>
            </w:r>
          </w:p>
        </w:tc>
      </w:tr>
      <w:tr w14:paraId="425E45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641" w:type="dxa"/>
            <w:noWrap w:val="0"/>
            <w:vAlign w:val="center"/>
          </w:tcPr>
          <w:p w14:paraId="3FABE181">
            <w:pPr>
              <w:jc w:val="center"/>
              <w:rPr>
                <w:rFonts w:hint="eastAsia" w:ascii="宋体" w:hAnsi="宋体" w:cs="宋体"/>
                <w:color w:val="auto"/>
                <w:sz w:val="24"/>
                <w:szCs w:val="24"/>
              </w:rPr>
            </w:pPr>
            <w:r>
              <w:rPr>
                <w:rFonts w:hint="eastAsia" w:ascii="宋体" w:hAnsi="宋体" w:cs="宋体"/>
                <w:color w:val="auto"/>
                <w:sz w:val="24"/>
                <w:szCs w:val="24"/>
              </w:rPr>
              <w:t>1</w:t>
            </w:r>
          </w:p>
        </w:tc>
        <w:tc>
          <w:tcPr>
            <w:tcW w:w="9106" w:type="dxa"/>
            <w:noWrap w:val="0"/>
            <w:vAlign w:val="center"/>
          </w:tcPr>
          <w:p w14:paraId="30A67315">
            <w:pPr>
              <w:spacing w:line="360" w:lineRule="auto"/>
              <w:rPr>
                <w:rFonts w:hint="eastAsia" w:ascii="宋体" w:hAnsi="宋体" w:eastAsia="宋体" w:cs="宋体"/>
                <w:color w:val="auto"/>
                <w:sz w:val="24"/>
                <w:szCs w:val="24"/>
                <w:lang w:eastAsia="zh-CN"/>
              </w:rPr>
            </w:pPr>
            <w:r>
              <w:rPr>
                <w:rFonts w:hint="eastAsia" w:ascii="宋体" w:hAnsi="宋体" w:cs="宋体"/>
                <w:color w:val="auto"/>
                <w:sz w:val="24"/>
                <w:szCs w:val="24"/>
              </w:rPr>
              <w:t>采购人名称：</w:t>
            </w:r>
            <w:r>
              <w:rPr>
                <w:rFonts w:hint="eastAsia" w:hAnsi="宋体" w:cs="宋体"/>
                <w:color w:val="auto"/>
                <w:sz w:val="24"/>
                <w:szCs w:val="24"/>
                <w:lang w:eastAsia="zh-CN"/>
              </w:rPr>
              <w:t>榆林市商务局</w:t>
            </w:r>
          </w:p>
          <w:p w14:paraId="72C22BF1">
            <w:pPr>
              <w:spacing w:line="360" w:lineRule="auto"/>
              <w:rPr>
                <w:rFonts w:hint="eastAsia" w:cs="宋体"/>
                <w:color w:val="auto"/>
                <w:kern w:val="2"/>
                <w:szCs w:val="24"/>
              </w:rPr>
            </w:pPr>
            <w:r>
              <w:rPr>
                <w:rFonts w:hint="eastAsia" w:cs="宋体"/>
                <w:color w:val="auto"/>
                <w:kern w:val="2"/>
                <w:szCs w:val="24"/>
              </w:rPr>
              <w:t>地    址：青山路榆林市人民政府8楼815室</w:t>
            </w:r>
          </w:p>
          <w:p w14:paraId="5F7DA4C0">
            <w:pPr>
              <w:spacing w:line="360" w:lineRule="auto"/>
              <w:rPr>
                <w:rFonts w:hint="eastAsia" w:ascii="宋体" w:hAnsi="宋体" w:eastAsia="宋体" w:cs="宋体"/>
                <w:color w:val="auto"/>
                <w:sz w:val="24"/>
                <w:szCs w:val="24"/>
                <w:lang w:eastAsia="zh-CN"/>
              </w:rPr>
            </w:pPr>
            <w:r>
              <w:rPr>
                <w:rFonts w:hint="eastAsia" w:ascii="宋体" w:hAnsi="宋体" w:cs="宋体"/>
                <w:color w:val="auto"/>
                <w:sz w:val="24"/>
                <w:szCs w:val="24"/>
              </w:rPr>
              <w:t>项目名称：</w:t>
            </w:r>
            <w:r>
              <w:rPr>
                <w:rFonts w:hint="eastAsia" w:hAnsi="宋体" w:cs="宋体"/>
                <w:color w:val="auto"/>
                <w:sz w:val="24"/>
                <w:szCs w:val="24"/>
                <w:lang w:eastAsia="zh-CN"/>
              </w:rPr>
              <w:t>榆林市商务局关于第十届丝博会美食活动服务项目</w:t>
            </w:r>
          </w:p>
          <w:p w14:paraId="2BB5DC86">
            <w:pPr>
              <w:spacing w:line="360" w:lineRule="auto"/>
              <w:rPr>
                <w:rFonts w:hint="eastAsia" w:ascii="宋体" w:hAnsi="宋体" w:cs="宋体"/>
                <w:color w:val="auto"/>
                <w:sz w:val="24"/>
                <w:szCs w:val="24"/>
              </w:rPr>
            </w:pPr>
            <w:r>
              <w:rPr>
                <w:rFonts w:hint="eastAsia" w:ascii="宋体" w:hAnsi="宋体" w:cs="宋体"/>
                <w:color w:val="auto"/>
                <w:sz w:val="24"/>
                <w:szCs w:val="24"/>
              </w:rPr>
              <w:t>资金来源：财政资金</w:t>
            </w:r>
          </w:p>
        </w:tc>
      </w:tr>
      <w:tr w14:paraId="0C475B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3" w:hRule="atLeast"/>
          <w:jc w:val="center"/>
        </w:trPr>
        <w:tc>
          <w:tcPr>
            <w:tcW w:w="641" w:type="dxa"/>
            <w:noWrap w:val="0"/>
            <w:vAlign w:val="center"/>
          </w:tcPr>
          <w:p w14:paraId="1982294D">
            <w:pPr>
              <w:spacing w:line="360" w:lineRule="auto"/>
              <w:jc w:val="center"/>
              <w:rPr>
                <w:rFonts w:hint="eastAsia" w:ascii="宋体" w:hAnsi="宋体" w:cs="宋体"/>
                <w:color w:val="auto"/>
                <w:sz w:val="24"/>
                <w:szCs w:val="24"/>
              </w:rPr>
            </w:pPr>
            <w:r>
              <w:rPr>
                <w:rFonts w:hint="eastAsia" w:ascii="宋体" w:hAnsi="宋体" w:cs="宋体"/>
                <w:color w:val="auto"/>
                <w:sz w:val="24"/>
                <w:szCs w:val="24"/>
              </w:rPr>
              <w:t>2</w:t>
            </w:r>
          </w:p>
        </w:tc>
        <w:tc>
          <w:tcPr>
            <w:tcW w:w="9106" w:type="dxa"/>
            <w:noWrap w:val="0"/>
            <w:vAlign w:val="center"/>
          </w:tcPr>
          <w:p w14:paraId="293768B6">
            <w:pPr>
              <w:spacing w:line="360" w:lineRule="auto"/>
              <w:rPr>
                <w:rFonts w:hint="eastAsia" w:ascii="宋体" w:hAnsi="宋体" w:cs="宋体"/>
                <w:color w:val="auto"/>
                <w:sz w:val="24"/>
                <w:szCs w:val="24"/>
              </w:rPr>
            </w:pPr>
            <w:r>
              <w:rPr>
                <w:rFonts w:hint="eastAsia" w:hAnsi="宋体" w:cs="宋体"/>
                <w:b/>
                <w:bCs/>
                <w:color w:val="auto"/>
                <w:sz w:val="24"/>
                <w:szCs w:val="24"/>
                <w:lang w:eastAsia="zh-CN"/>
              </w:rPr>
              <w:t>服务</w:t>
            </w:r>
            <w:r>
              <w:rPr>
                <w:rFonts w:hint="eastAsia" w:ascii="宋体" w:hAnsi="宋体" w:cs="宋体"/>
                <w:b/>
                <w:bCs/>
                <w:color w:val="auto"/>
                <w:sz w:val="24"/>
                <w:szCs w:val="24"/>
              </w:rPr>
              <w:t>地点：</w:t>
            </w:r>
            <w:r>
              <w:rPr>
                <w:rFonts w:hint="eastAsia" w:ascii="宋体" w:hAnsi="宋体" w:cs="宋体"/>
                <w:color w:val="auto"/>
                <w:sz w:val="24"/>
                <w:szCs w:val="24"/>
              </w:rPr>
              <w:t>采购人指定地点。</w:t>
            </w:r>
          </w:p>
        </w:tc>
      </w:tr>
      <w:tr w14:paraId="5D63FA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641" w:type="dxa"/>
            <w:noWrap w:val="0"/>
            <w:vAlign w:val="center"/>
          </w:tcPr>
          <w:p w14:paraId="1EF8BFF6">
            <w:pPr>
              <w:spacing w:line="360" w:lineRule="auto"/>
              <w:jc w:val="center"/>
              <w:rPr>
                <w:rFonts w:hint="eastAsia" w:ascii="宋体" w:hAnsi="宋体" w:cs="宋体"/>
                <w:color w:val="auto"/>
                <w:sz w:val="24"/>
                <w:szCs w:val="24"/>
              </w:rPr>
            </w:pPr>
            <w:r>
              <w:rPr>
                <w:rFonts w:hint="eastAsia" w:ascii="宋体" w:hAnsi="宋体" w:cs="宋体"/>
                <w:color w:val="auto"/>
                <w:sz w:val="24"/>
                <w:szCs w:val="24"/>
              </w:rPr>
              <w:t>3</w:t>
            </w:r>
          </w:p>
        </w:tc>
        <w:tc>
          <w:tcPr>
            <w:tcW w:w="9106" w:type="dxa"/>
            <w:noWrap w:val="0"/>
            <w:vAlign w:val="center"/>
          </w:tcPr>
          <w:p w14:paraId="3D19ACCA">
            <w:pPr>
              <w:spacing w:line="360" w:lineRule="auto"/>
              <w:rPr>
                <w:rFonts w:hint="default"/>
                <w:color w:val="auto"/>
                <w:lang w:val="en-US"/>
              </w:rPr>
            </w:pPr>
            <w:r>
              <w:rPr>
                <w:rFonts w:hint="eastAsia"/>
                <w:b/>
                <w:bCs/>
                <w:color w:val="auto"/>
                <w:lang w:eastAsia="zh-CN"/>
              </w:rPr>
              <w:t>服务</w:t>
            </w:r>
            <w:r>
              <w:rPr>
                <w:rFonts w:hint="eastAsia"/>
                <w:b/>
                <w:bCs/>
                <w:color w:val="auto"/>
              </w:rPr>
              <w:t>期:</w:t>
            </w:r>
            <w:r>
              <w:rPr>
                <w:rFonts w:hint="eastAsia" w:hAnsi="宋体" w:cs="宋体"/>
                <w:color w:val="auto"/>
                <w:sz w:val="24"/>
                <w:szCs w:val="24"/>
                <w:lang w:val="en-US" w:eastAsia="zh-CN"/>
              </w:rPr>
              <w:t>一年</w:t>
            </w:r>
          </w:p>
        </w:tc>
      </w:tr>
      <w:tr w14:paraId="2991C0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641" w:type="dxa"/>
            <w:noWrap w:val="0"/>
            <w:vAlign w:val="center"/>
          </w:tcPr>
          <w:p w14:paraId="5FDA7720">
            <w:pPr>
              <w:spacing w:line="360" w:lineRule="auto"/>
              <w:jc w:val="center"/>
              <w:rPr>
                <w:rFonts w:hint="eastAsia" w:ascii="宋体" w:hAnsi="宋体" w:eastAsia="宋体" w:cs="宋体"/>
                <w:color w:val="auto"/>
                <w:sz w:val="24"/>
                <w:szCs w:val="24"/>
                <w:lang w:eastAsia="zh-CN"/>
              </w:rPr>
            </w:pPr>
            <w:r>
              <w:rPr>
                <w:rFonts w:hint="eastAsia" w:hAnsi="宋体" w:cs="宋体"/>
                <w:color w:val="auto"/>
                <w:sz w:val="24"/>
                <w:szCs w:val="24"/>
                <w:lang w:val="en-US" w:eastAsia="zh-CN"/>
              </w:rPr>
              <w:t>4</w:t>
            </w:r>
          </w:p>
        </w:tc>
        <w:tc>
          <w:tcPr>
            <w:tcW w:w="9106" w:type="dxa"/>
            <w:noWrap w:val="0"/>
            <w:vAlign w:val="center"/>
          </w:tcPr>
          <w:p w14:paraId="065079D2">
            <w:pPr>
              <w:spacing w:line="360" w:lineRule="auto"/>
              <w:rPr>
                <w:rFonts w:hint="eastAsia" w:ascii="宋体" w:hAnsi="宋体" w:cs="宋体"/>
                <w:b/>
                <w:bCs/>
                <w:color w:val="auto"/>
                <w:sz w:val="24"/>
                <w:szCs w:val="24"/>
              </w:rPr>
            </w:pPr>
            <w:r>
              <w:rPr>
                <w:rFonts w:hint="eastAsia" w:ascii="宋体" w:hAnsi="宋体" w:cs="宋体"/>
                <w:b/>
                <w:bCs/>
                <w:color w:val="auto"/>
                <w:sz w:val="24"/>
                <w:szCs w:val="24"/>
              </w:rPr>
              <w:t>付款方式：</w:t>
            </w:r>
          </w:p>
          <w:p w14:paraId="6672A89F">
            <w:pPr>
              <w:spacing w:line="360" w:lineRule="auto"/>
              <w:ind w:firstLine="480" w:firstLineChars="200"/>
              <w:rPr>
                <w:rFonts w:ascii="宋体" w:hAnsi="宋体"/>
                <w:color w:val="auto"/>
                <w:sz w:val="24"/>
              </w:rPr>
            </w:pPr>
            <w:r>
              <w:rPr>
                <w:rFonts w:hint="eastAsia" w:ascii="宋体" w:hAnsi="宋体"/>
                <w:color w:val="auto"/>
                <w:sz w:val="24"/>
                <w:lang w:val="en-US" w:eastAsia="zh-CN"/>
              </w:rPr>
              <w:t>（一）</w:t>
            </w:r>
            <w:r>
              <w:rPr>
                <w:rFonts w:hint="eastAsia" w:ascii="宋体" w:hAnsi="宋体"/>
                <w:color w:val="auto"/>
                <w:sz w:val="24"/>
              </w:rPr>
              <w:t>结算单位：采购人结算，具体以合同约定为准。</w:t>
            </w:r>
          </w:p>
          <w:p w14:paraId="25BD07A0">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color w:val="auto"/>
                <w:sz w:val="24"/>
                <w:lang w:val="en-US" w:eastAsia="zh-CN"/>
              </w:rPr>
              <w:t>（二）</w:t>
            </w:r>
            <w:r>
              <w:rPr>
                <w:rFonts w:hint="eastAsia" w:ascii="宋体" w:hAnsi="宋体"/>
                <w:color w:val="auto"/>
                <w:sz w:val="24"/>
              </w:rPr>
              <w:t>付款方式：</w:t>
            </w:r>
            <w:r>
              <w:rPr>
                <w:rFonts w:hint="eastAsia" w:hAnsi="宋体" w:cs="宋体"/>
                <w:sz w:val="24"/>
                <w:szCs w:val="24"/>
                <w:lang w:val="en-US" w:eastAsia="zh-CN"/>
              </w:rPr>
              <w:t>合同签订后，预付合同金额的40%，余款验收合格后一次性付清。</w:t>
            </w:r>
          </w:p>
        </w:tc>
      </w:tr>
      <w:tr w14:paraId="2BF089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68" w:hRule="atLeast"/>
          <w:jc w:val="center"/>
        </w:trPr>
        <w:tc>
          <w:tcPr>
            <w:tcW w:w="641" w:type="dxa"/>
            <w:noWrap w:val="0"/>
            <w:vAlign w:val="center"/>
          </w:tcPr>
          <w:p w14:paraId="3C915427">
            <w:pPr>
              <w:spacing w:line="360" w:lineRule="auto"/>
              <w:jc w:val="center"/>
              <w:rPr>
                <w:rFonts w:hint="eastAsia" w:ascii="宋体" w:hAnsi="宋体" w:eastAsia="宋体"/>
                <w:color w:val="auto"/>
                <w:sz w:val="24"/>
                <w:szCs w:val="24"/>
                <w:lang w:eastAsia="zh-CN"/>
              </w:rPr>
            </w:pPr>
            <w:r>
              <w:rPr>
                <w:rFonts w:hint="eastAsia" w:hAnsi="宋体"/>
                <w:color w:val="auto"/>
                <w:sz w:val="24"/>
                <w:szCs w:val="24"/>
                <w:lang w:val="en-US" w:eastAsia="zh-CN"/>
              </w:rPr>
              <w:t>5</w:t>
            </w:r>
          </w:p>
        </w:tc>
        <w:tc>
          <w:tcPr>
            <w:tcW w:w="9106" w:type="dxa"/>
            <w:noWrap w:val="0"/>
            <w:vAlign w:val="center"/>
          </w:tcPr>
          <w:p w14:paraId="50F38070">
            <w:pPr>
              <w:pStyle w:val="23"/>
              <w:spacing w:line="360" w:lineRule="auto"/>
              <w:rPr>
                <w:rFonts w:hint="eastAsia" w:hAnsi="宋体"/>
                <w:b/>
                <w:color w:val="auto"/>
                <w:kern w:val="0"/>
                <w:sz w:val="24"/>
                <w:szCs w:val="22"/>
                <w:lang w:val="en-US" w:eastAsia="zh-CN"/>
              </w:rPr>
            </w:pPr>
            <w:r>
              <w:rPr>
                <w:rFonts w:hint="eastAsia" w:hAnsi="宋体"/>
                <w:b/>
                <w:color w:val="auto"/>
                <w:kern w:val="0"/>
                <w:sz w:val="24"/>
                <w:szCs w:val="22"/>
                <w:lang w:val="en-US" w:eastAsia="zh-CN"/>
              </w:rPr>
              <w:t>质量保证：</w:t>
            </w:r>
          </w:p>
          <w:p w14:paraId="0C3A264C">
            <w:pPr>
              <w:pageBreakBefore w:val="0"/>
              <w:kinsoku/>
              <w:wordWrap/>
              <w:overflowPunct/>
              <w:topLinePunct w:val="0"/>
              <w:autoSpaceDE/>
              <w:autoSpaceDN/>
              <w:bidi w:val="0"/>
              <w:adjustRightInd/>
              <w:snapToGrid w:val="0"/>
              <w:spacing w:line="360" w:lineRule="auto"/>
              <w:ind w:left="0" w:leftChars="0" w:right="0" w:rightChars="0" w:firstLine="472" w:firstLineChars="200"/>
              <w:textAlignment w:val="auto"/>
              <w:rPr>
                <w:rFonts w:hint="eastAsia" w:ascii="宋体" w:hAnsi="宋体"/>
                <w:color w:val="auto"/>
                <w:kern w:val="0"/>
                <w:sz w:val="24"/>
              </w:rPr>
            </w:pPr>
            <w:r>
              <w:rPr>
                <w:color w:val="auto"/>
                <w:spacing w:val="-2"/>
                <w:sz w:val="24"/>
                <w:szCs w:val="24"/>
              </w:rPr>
              <w:t>供应商交付的服务必须保证质量可靠，应全面满足招标文件的</w:t>
            </w:r>
            <w:r>
              <w:rPr>
                <w:color w:val="auto"/>
                <w:spacing w:val="-3"/>
                <w:sz w:val="24"/>
                <w:szCs w:val="24"/>
              </w:rPr>
              <w:t>要求，</w:t>
            </w:r>
            <w:r>
              <w:rPr>
                <w:color w:val="auto"/>
                <w:sz w:val="24"/>
                <w:szCs w:val="24"/>
              </w:rPr>
              <w:t xml:space="preserve"> 采购文件未明确要求的内容，供应商按磋商服务要求或以采购人的 补充要求为</w:t>
            </w:r>
            <w:r>
              <w:rPr>
                <w:color w:val="auto"/>
                <w:spacing w:val="-3"/>
                <w:sz w:val="24"/>
                <w:szCs w:val="24"/>
              </w:rPr>
              <w:t>准。所供服务应严格按照国家最新发布的规范标准执行，如发生问题由供</w:t>
            </w:r>
            <w:r>
              <w:rPr>
                <w:color w:val="auto"/>
                <w:spacing w:val="-2"/>
                <w:sz w:val="24"/>
                <w:szCs w:val="24"/>
              </w:rPr>
              <w:t>应商承担全部责任。</w:t>
            </w:r>
          </w:p>
        </w:tc>
      </w:tr>
      <w:tr w14:paraId="04DB0F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36" w:hRule="atLeast"/>
          <w:jc w:val="center"/>
        </w:trPr>
        <w:tc>
          <w:tcPr>
            <w:tcW w:w="641" w:type="dxa"/>
            <w:noWrap w:val="0"/>
            <w:vAlign w:val="center"/>
          </w:tcPr>
          <w:p w14:paraId="3250DE38">
            <w:pPr>
              <w:spacing w:line="360" w:lineRule="auto"/>
              <w:jc w:val="center"/>
              <w:rPr>
                <w:rFonts w:hint="eastAsia" w:ascii="宋体" w:hAnsi="宋体" w:eastAsia="宋体"/>
                <w:color w:val="auto"/>
                <w:sz w:val="24"/>
                <w:szCs w:val="24"/>
                <w:lang w:eastAsia="zh-CN"/>
              </w:rPr>
            </w:pPr>
            <w:r>
              <w:rPr>
                <w:rFonts w:hint="eastAsia" w:hAnsi="宋体"/>
                <w:color w:val="auto"/>
                <w:sz w:val="24"/>
                <w:szCs w:val="24"/>
                <w:lang w:val="en-US" w:eastAsia="zh-CN"/>
              </w:rPr>
              <w:t>6</w:t>
            </w:r>
          </w:p>
        </w:tc>
        <w:tc>
          <w:tcPr>
            <w:tcW w:w="9106" w:type="dxa"/>
            <w:noWrap w:val="0"/>
            <w:vAlign w:val="center"/>
          </w:tcPr>
          <w:p w14:paraId="45307304">
            <w:pPr>
              <w:pStyle w:val="204"/>
              <w:adjustRightInd w:val="0"/>
              <w:snapToGrid w:val="0"/>
              <w:ind w:left="0" w:leftChars="0" w:firstLine="0" w:firstLineChars="0"/>
              <w:rPr>
                <w:rFonts w:hint="eastAsia" w:ascii="宋体" w:hAnsi="宋体"/>
                <w:b/>
                <w:color w:val="auto"/>
                <w:sz w:val="24"/>
                <w:szCs w:val="24"/>
              </w:rPr>
            </w:pPr>
            <w:r>
              <w:rPr>
                <w:rFonts w:hint="eastAsia" w:ascii="宋体" w:hAnsi="宋体"/>
                <w:b/>
                <w:color w:val="auto"/>
                <w:sz w:val="24"/>
                <w:szCs w:val="24"/>
              </w:rPr>
              <w:t>验收：</w:t>
            </w:r>
          </w:p>
          <w:p w14:paraId="69BC0F1E">
            <w:pPr>
              <w:spacing w:line="360" w:lineRule="auto"/>
              <w:ind w:firstLine="480" w:firstLineChars="200"/>
              <w:rPr>
                <w:rFonts w:hint="eastAsia" w:ascii="宋体" w:hAnsi="宋体"/>
                <w:color w:val="auto"/>
                <w:sz w:val="24"/>
              </w:rPr>
            </w:pPr>
            <w:r>
              <w:rPr>
                <w:rFonts w:hint="eastAsia" w:ascii="宋体" w:hAnsi="宋体"/>
                <w:color w:val="auto"/>
                <w:sz w:val="24"/>
                <w:lang w:eastAsia="zh-CN"/>
              </w:rPr>
              <w:t>（一）</w:t>
            </w:r>
            <w:r>
              <w:rPr>
                <w:rFonts w:hint="eastAsia" w:ascii="宋体" w:hAnsi="宋体"/>
                <w:color w:val="auto"/>
                <w:sz w:val="24"/>
              </w:rPr>
              <w:t>项目评审验收共分两个阶段，验收时成交供应商应无条件予以配合并提供验收所需的全部资料；采购人组织内部评审，并将第一、第二阶段的加权得分和最终验收等级反馈各成交供应商。</w:t>
            </w:r>
          </w:p>
          <w:p w14:paraId="1A7BE265">
            <w:pPr>
              <w:spacing w:line="360" w:lineRule="auto"/>
              <w:ind w:firstLine="480" w:firstLineChars="200"/>
              <w:rPr>
                <w:rFonts w:hint="eastAsia" w:ascii="宋体" w:hAnsi="宋体"/>
                <w:color w:val="auto"/>
                <w:sz w:val="24"/>
                <w:szCs w:val="24"/>
              </w:rPr>
            </w:pPr>
            <w:r>
              <w:rPr>
                <w:rFonts w:hint="eastAsia" w:ascii="宋体" w:hAnsi="宋体"/>
                <w:color w:val="auto"/>
                <w:sz w:val="24"/>
                <w:lang w:eastAsia="zh-CN"/>
              </w:rPr>
              <w:t>（二）</w:t>
            </w:r>
            <w:r>
              <w:rPr>
                <w:rFonts w:hint="eastAsia" w:ascii="宋体" w:hAnsi="宋体"/>
                <w:color w:val="auto"/>
                <w:sz w:val="24"/>
              </w:rPr>
              <w:t>验收依据：磋商文件、响应文件、合同文本、国内相应的标准、规范。</w:t>
            </w:r>
          </w:p>
        </w:tc>
      </w:tr>
      <w:tr w14:paraId="59C79C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641" w:type="dxa"/>
            <w:noWrap w:val="0"/>
            <w:vAlign w:val="center"/>
          </w:tcPr>
          <w:p w14:paraId="0004CEC1">
            <w:pPr>
              <w:spacing w:line="360" w:lineRule="auto"/>
              <w:jc w:val="center"/>
              <w:rPr>
                <w:rFonts w:hint="default" w:ascii="宋体" w:hAnsi="宋体" w:eastAsia="宋体"/>
                <w:color w:val="auto"/>
                <w:sz w:val="24"/>
                <w:szCs w:val="24"/>
                <w:lang w:val="en-US" w:eastAsia="zh-CN"/>
              </w:rPr>
            </w:pPr>
            <w:r>
              <w:rPr>
                <w:rFonts w:hint="eastAsia" w:hAnsi="宋体"/>
                <w:color w:val="auto"/>
                <w:sz w:val="24"/>
                <w:szCs w:val="24"/>
                <w:lang w:val="en-US" w:eastAsia="zh-CN"/>
              </w:rPr>
              <w:t>7</w:t>
            </w:r>
          </w:p>
        </w:tc>
        <w:tc>
          <w:tcPr>
            <w:tcW w:w="9106" w:type="dxa"/>
            <w:noWrap w:val="0"/>
            <w:vAlign w:val="center"/>
          </w:tcPr>
          <w:p w14:paraId="3B3F648E">
            <w:pPr>
              <w:spacing w:line="360" w:lineRule="auto"/>
              <w:rPr>
                <w:rFonts w:hint="eastAsia" w:ascii="宋体" w:hAnsi="宋体"/>
                <w:b/>
                <w:color w:val="auto"/>
                <w:sz w:val="24"/>
                <w:szCs w:val="24"/>
              </w:rPr>
            </w:pPr>
            <w:r>
              <w:rPr>
                <w:rFonts w:hint="eastAsia" w:ascii="宋体" w:hAnsi="宋体"/>
                <w:b/>
                <w:color w:val="auto"/>
                <w:sz w:val="24"/>
                <w:szCs w:val="24"/>
              </w:rPr>
              <w:t>违约责任：</w:t>
            </w:r>
          </w:p>
          <w:p w14:paraId="2318E6D5">
            <w:pPr>
              <w:spacing w:line="360" w:lineRule="auto"/>
              <w:rPr>
                <w:rFonts w:ascii="宋体" w:hAnsi="宋体"/>
                <w:color w:val="auto"/>
                <w:sz w:val="24"/>
                <w:szCs w:val="24"/>
              </w:rPr>
            </w:pPr>
            <w:r>
              <w:rPr>
                <w:rFonts w:hint="eastAsia" w:ascii="宋体" w:hAnsi="宋体"/>
                <w:color w:val="auto"/>
                <w:sz w:val="24"/>
                <w:szCs w:val="24"/>
              </w:rPr>
              <w:t>按《</w:t>
            </w:r>
            <w:r>
              <w:rPr>
                <w:rFonts w:hint="eastAsia" w:hAnsi="宋体"/>
                <w:color w:val="auto"/>
                <w:sz w:val="24"/>
                <w:szCs w:val="24"/>
                <w:lang w:eastAsia="zh-CN"/>
              </w:rPr>
              <w:t>民法典</w:t>
            </w:r>
            <w:r>
              <w:rPr>
                <w:rFonts w:hint="eastAsia" w:ascii="宋体" w:hAnsi="宋体"/>
                <w:color w:val="auto"/>
                <w:sz w:val="24"/>
                <w:szCs w:val="24"/>
              </w:rPr>
              <w:t>》中的相关条款执行。</w:t>
            </w:r>
          </w:p>
          <w:p w14:paraId="167212E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1.采购人及供应商双方必须遵守采购合同并执行合同中的各项规定，保证采购合同的正常履行。任何一方违约给对方造成的直接损失均负有赔偿责任，对方均有权视情况要求对方继续履行合同或提出解除合同。</w:t>
            </w:r>
          </w:p>
          <w:p w14:paraId="6A5D545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如因供应商在履行过程中的疏忽、失职、过错等故意或者过失原因给采购人造成损失或侵害，包括但不限于采购人本身的财产损失、由此而导致的采购人对任何第三方的法律责任等，供应商对此均应承担相应的赔偿责任。</w:t>
            </w:r>
          </w:p>
          <w:p w14:paraId="6B316C34">
            <w:pPr>
              <w:pStyle w:val="204"/>
              <w:adjustRightInd w:val="0"/>
              <w:snapToGrid w:val="0"/>
              <w:ind w:firstLine="480" w:firstLineChars="200"/>
              <w:rPr>
                <w:rFonts w:hint="eastAsia" w:hAnsi="宋体"/>
                <w:color w:val="auto"/>
                <w:szCs w:val="24"/>
                <w:lang w:val="en-US" w:eastAsia="zh-CN"/>
              </w:rPr>
            </w:pPr>
            <w:r>
              <w:rPr>
                <w:rFonts w:hint="eastAsia" w:ascii="宋体" w:hAnsi="宋体" w:eastAsia="宋体" w:cs="宋体"/>
                <w:color w:val="auto"/>
                <w:sz w:val="24"/>
                <w:szCs w:val="24"/>
              </w:rPr>
              <w:t>3.如供应商提交的成果达不到相关质量要求或未按采购人时间进度安排完 成成果，采购人有权扣除合同支付金额和提出解除合同。</w:t>
            </w:r>
          </w:p>
        </w:tc>
      </w:tr>
      <w:tr w14:paraId="2EAACF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641" w:type="dxa"/>
            <w:noWrap w:val="0"/>
            <w:vAlign w:val="center"/>
          </w:tcPr>
          <w:p w14:paraId="629E7508">
            <w:pPr>
              <w:spacing w:line="360" w:lineRule="auto"/>
              <w:jc w:val="center"/>
              <w:rPr>
                <w:rFonts w:hint="eastAsia" w:hAnsi="宋体"/>
                <w:color w:val="auto"/>
                <w:sz w:val="24"/>
                <w:szCs w:val="24"/>
                <w:lang w:val="en-US" w:eastAsia="zh-CN"/>
              </w:rPr>
            </w:pPr>
            <w:r>
              <w:rPr>
                <w:rFonts w:hint="eastAsia" w:hAnsi="宋体"/>
                <w:color w:val="auto"/>
                <w:sz w:val="24"/>
                <w:szCs w:val="24"/>
                <w:lang w:val="en-US" w:eastAsia="zh-CN"/>
              </w:rPr>
              <w:t>8</w:t>
            </w:r>
          </w:p>
        </w:tc>
        <w:tc>
          <w:tcPr>
            <w:tcW w:w="9106" w:type="dxa"/>
            <w:noWrap w:val="0"/>
            <w:vAlign w:val="center"/>
          </w:tcPr>
          <w:p w14:paraId="2E2B9480">
            <w:pPr>
              <w:spacing w:line="360" w:lineRule="auto"/>
              <w:rPr>
                <w:rFonts w:hint="eastAsia" w:ascii="宋体" w:hAnsi="宋体" w:eastAsia="宋体" w:cs="宋体"/>
                <w:color w:val="auto"/>
                <w:sz w:val="24"/>
                <w:szCs w:val="24"/>
              </w:rPr>
            </w:pPr>
            <w:r>
              <w:rPr>
                <w:rFonts w:hint="eastAsia" w:ascii="宋体" w:hAnsi="宋体" w:eastAsia="宋体" w:cs="宋体"/>
                <w:b/>
                <w:bCs/>
                <w:color w:val="auto"/>
                <w:sz w:val="24"/>
                <w:szCs w:val="24"/>
              </w:rPr>
              <w:t>争议解决办法</w:t>
            </w:r>
          </w:p>
          <w:p w14:paraId="762DA80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1.采购人及供应商双方就采购合同所产生的任何争议都应该进行友好协商，协商解决不成的，任何一方均可向项目所在地仲裁委员会申请仲裁。</w:t>
            </w:r>
          </w:p>
          <w:p w14:paraId="6CB766B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2.仲裁费应由败诉方承担。</w:t>
            </w:r>
          </w:p>
          <w:p w14:paraId="4EBF767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3.在仲裁期间，除正在进行仲裁的部分外，合同其他部分继续执行。</w:t>
            </w:r>
          </w:p>
        </w:tc>
      </w:tr>
      <w:tr w14:paraId="5B7594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641" w:type="dxa"/>
            <w:noWrap w:val="0"/>
            <w:vAlign w:val="center"/>
          </w:tcPr>
          <w:p w14:paraId="23E65523">
            <w:pPr>
              <w:spacing w:line="360" w:lineRule="auto"/>
              <w:jc w:val="center"/>
              <w:rPr>
                <w:rFonts w:hint="eastAsia" w:hAnsi="宋体"/>
                <w:color w:val="auto"/>
                <w:sz w:val="24"/>
                <w:szCs w:val="24"/>
                <w:lang w:val="en-US" w:eastAsia="zh-CN"/>
              </w:rPr>
            </w:pPr>
            <w:r>
              <w:rPr>
                <w:rFonts w:hint="eastAsia" w:hAnsi="宋体"/>
                <w:color w:val="auto"/>
                <w:sz w:val="24"/>
                <w:szCs w:val="24"/>
                <w:lang w:val="en-US" w:eastAsia="zh-CN"/>
              </w:rPr>
              <w:t>9</w:t>
            </w:r>
          </w:p>
        </w:tc>
        <w:tc>
          <w:tcPr>
            <w:tcW w:w="9106" w:type="dxa"/>
            <w:noWrap w:val="0"/>
            <w:vAlign w:val="center"/>
          </w:tcPr>
          <w:p w14:paraId="1316DACC">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其他相关事宜</w:t>
            </w:r>
          </w:p>
          <w:p w14:paraId="3FDD77A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1.在本采购文件中没有提及的与本项目履约切实相关的事宜，在采购人与成交供应商订立合同时按明细约定或后续补充约定(约定的内容须符合国家相关法律法规的规定)。</w:t>
            </w:r>
          </w:p>
          <w:p w14:paraId="0C36AFB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.本项目自成交方签订合同之日起至提交全部成果验收合格之日止，成交方将负责该项目实施过程中的人身安全、财产安全、环境安全，因本项目实施过程中造成的直接或间接损失，均由供应商自行承担。</w:t>
            </w:r>
          </w:p>
        </w:tc>
      </w:tr>
    </w:tbl>
    <w:p w14:paraId="7789530D">
      <w:pPr>
        <w:pStyle w:val="45"/>
        <w:ind w:firstLine="480"/>
        <w:jc w:val="center"/>
        <w:rPr>
          <w:rFonts w:hint="eastAsia" w:ascii="宋体" w:hAnsi="宋体" w:cs="宋体"/>
          <w:b/>
          <w:bCs/>
          <w:color w:val="auto"/>
          <w:sz w:val="32"/>
          <w:szCs w:val="32"/>
        </w:rPr>
      </w:pPr>
    </w:p>
    <w:p w14:paraId="2C464D2C">
      <w:pPr>
        <w:pStyle w:val="45"/>
        <w:ind w:firstLine="480"/>
        <w:jc w:val="center"/>
        <w:rPr>
          <w:rFonts w:hint="eastAsia" w:ascii="宋体" w:hAnsi="宋体" w:cs="宋体"/>
          <w:b/>
          <w:bCs/>
          <w:color w:val="auto"/>
          <w:sz w:val="32"/>
          <w:szCs w:val="32"/>
        </w:rPr>
      </w:pPr>
    </w:p>
    <w:p w14:paraId="31A88418">
      <w:pPr>
        <w:pStyle w:val="45"/>
        <w:ind w:firstLine="480"/>
        <w:jc w:val="center"/>
        <w:rPr>
          <w:rFonts w:hint="eastAsia" w:ascii="宋体" w:hAnsi="宋体" w:cs="宋体"/>
          <w:b/>
          <w:bCs/>
          <w:color w:val="auto"/>
          <w:sz w:val="32"/>
          <w:szCs w:val="32"/>
        </w:rPr>
      </w:pPr>
    </w:p>
    <w:p w14:paraId="663F61DF">
      <w:pPr>
        <w:pStyle w:val="45"/>
        <w:ind w:firstLine="480"/>
        <w:jc w:val="center"/>
        <w:rPr>
          <w:rFonts w:hint="eastAsia" w:ascii="宋体" w:hAnsi="宋体" w:cs="宋体"/>
          <w:b/>
          <w:bCs/>
          <w:color w:val="auto"/>
          <w:sz w:val="32"/>
          <w:szCs w:val="32"/>
        </w:rPr>
      </w:pPr>
    </w:p>
    <w:p w14:paraId="05DCE762">
      <w:pPr>
        <w:pStyle w:val="45"/>
        <w:ind w:firstLine="480"/>
        <w:jc w:val="center"/>
        <w:rPr>
          <w:rFonts w:hint="eastAsia" w:ascii="宋体" w:hAnsi="宋体" w:cs="宋体"/>
          <w:b/>
          <w:bCs/>
          <w:color w:val="auto"/>
          <w:sz w:val="32"/>
          <w:szCs w:val="32"/>
        </w:rPr>
      </w:pPr>
    </w:p>
    <w:p w14:paraId="34EF392A">
      <w:pPr>
        <w:pStyle w:val="45"/>
        <w:ind w:firstLine="480"/>
        <w:jc w:val="center"/>
        <w:rPr>
          <w:rFonts w:hint="eastAsia" w:ascii="宋体" w:hAnsi="宋体" w:cs="宋体"/>
          <w:b/>
          <w:bCs/>
          <w:color w:val="auto"/>
          <w:sz w:val="32"/>
          <w:szCs w:val="32"/>
        </w:rPr>
      </w:pPr>
    </w:p>
    <w:p w14:paraId="1C7E8377">
      <w:pPr>
        <w:pStyle w:val="45"/>
        <w:ind w:firstLine="480"/>
        <w:jc w:val="center"/>
        <w:rPr>
          <w:rFonts w:hint="eastAsia" w:ascii="宋体" w:hAnsi="宋体" w:cs="宋体"/>
          <w:b/>
          <w:bCs/>
          <w:color w:val="auto"/>
          <w:sz w:val="32"/>
          <w:szCs w:val="32"/>
        </w:rPr>
      </w:pPr>
    </w:p>
    <w:p w14:paraId="5FC7AC3B">
      <w:pPr>
        <w:pStyle w:val="45"/>
        <w:ind w:firstLine="480"/>
        <w:jc w:val="center"/>
        <w:rPr>
          <w:rFonts w:hint="eastAsia" w:ascii="宋体" w:hAnsi="宋体" w:cs="宋体"/>
          <w:b/>
          <w:bCs/>
          <w:color w:val="auto"/>
          <w:sz w:val="32"/>
          <w:szCs w:val="32"/>
        </w:rPr>
      </w:pPr>
    </w:p>
    <w:p w14:paraId="69974CBF">
      <w:pPr>
        <w:pStyle w:val="45"/>
        <w:ind w:firstLine="480"/>
        <w:jc w:val="center"/>
        <w:rPr>
          <w:rFonts w:hint="eastAsia" w:ascii="宋体" w:hAnsi="宋体" w:cs="宋体"/>
          <w:b/>
          <w:bCs/>
          <w:color w:val="auto"/>
          <w:sz w:val="32"/>
          <w:szCs w:val="32"/>
        </w:rPr>
      </w:pPr>
    </w:p>
    <w:p w14:paraId="2242A75B">
      <w:pPr>
        <w:pStyle w:val="45"/>
        <w:ind w:firstLine="480"/>
        <w:jc w:val="center"/>
        <w:rPr>
          <w:rFonts w:hint="eastAsia" w:ascii="宋体" w:hAnsi="宋体" w:cs="宋体"/>
          <w:b/>
          <w:bCs/>
          <w:color w:val="auto"/>
          <w:sz w:val="32"/>
          <w:szCs w:val="32"/>
        </w:rPr>
      </w:pPr>
    </w:p>
    <w:p w14:paraId="71C7D2C2">
      <w:pPr>
        <w:pStyle w:val="45"/>
        <w:ind w:firstLine="480"/>
        <w:jc w:val="center"/>
        <w:rPr>
          <w:rFonts w:hint="eastAsia" w:ascii="宋体" w:hAnsi="宋体" w:cs="宋体"/>
          <w:b/>
          <w:bCs/>
          <w:color w:val="auto"/>
          <w:sz w:val="32"/>
          <w:szCs w:val="32"/>
        </w:rPr>
      </w:pPr>
    </w:p>
    <w:p w14:paraId="2E66ABDB">
      <w:pPr>
        <w:pStyle w:val="45"/>
        <w:ind w:firstLine="480"/>
        <w:jc w:val="center"/>
        <w:rPr>
          <w:rFonts w:hint="eastAsia" w:ascii="华文中宋" w:hAnsi="华文中宋" w:eastAsia="华文中宋"/>
          <w:b/>
          <w:bCs/>
          <w:color w:val="auto"/>
          <w:sz w:val="48"/>
          <w:szCs w:val="48"/>
        </w:rPr>
      </w:pPr>
      <w:r>
        <w:rPr>
          <w:rFonts w:hint="eastAsia" w:ascii="宋体" w:hAnsi="宋体" w:cs="宋体"/>
          <w:b/>
          <w:bCs/>
          <w:color w:val="auto"/>
          <w:sz w:val="32"/>
          <w:szCs w:val="32"/>
        </w:rPr>
        <w:t>政府采购合同</w:t>
      </w:r>
    </w:p>
    <w:p w14:paraId="68B75070">
      <w:pPr>
        <w:spacing w:line="360" w:lineRule="auto"/>
        <w:jc w:val="center"/>
        <w:rPr>
          <w:rFonts w:hint="eastAsia" w:ascii="宋体" w:hAnsi="宋体"/>
          <w:b/>
          <w:color w:val="auto"/>
          <w:sz w:val="24"/>
        </w:rPr>
      </w:pPr>
      <w:bookmarkStart w:id="54" w:name="_Toc7682"/>
      <w:r>
        <w:rPr>
          <w:rFonts w:hint="eastAsia"/>
          <w:b/>
          <w:color w:val="auto"/>
        </w:rPr>
        <w:t>（此合同只作为参考，最终签订的合同以采购人确定的合同内容为准。）</w:t>
      </w:r>
    </w:p>
    <w:p w14:paraId="6CC887F6">
      <w:pPr>
        <w:adjustRightInd w:val="0"/>
        <w:snapToGrid w:val="0"/>
        <w:spacing w:line="520" w:lineRule="exact"/>
        <w:ind w:firstLine="482" w:firstLineChars="200"/>
        <w:rPr>
          <w:rFonts w:hint="eastAsia" w:ascii="宋体" w:hAnsi="宋体"/>
          <w:b/>
          <w:color w:val="auto"/>
          <w:sz w:val="24"/>
        </w:rPr>
      </w:pPr>
      <w:r>
        <w:rPr>
          <w:rFonts w:hint="eastAsia" w:ascii="宋体" w:hAnsi="宋体"/>
          <w:b/>
          <w:color w:val="auto"/>
          <w:sz w:val="24"/>
        </w:rPr>
        <w:t>采购人（全称）：</w:t>
      </w:r>
      <w:r>
        <w:rPr>
          <w:rFonts w:hint="eastAsia" w:ascii="宋体" w:hAnsi="宋体"/>
          <w:b/>
          <w:color w:val="auto"/>
          <w:sz w:val="24"/>
          <w:u w:val="single"/>
        </w:rPr>
        <w:t xml:space="preserve">                                      </w:t>
      </w:r>
    </w:p>
    <w:p w14:paraId="2199B02D">
      <w:pPr>
        <w:adjustRightInd w:val="0"/>
        <w:snapToGrid w:val="0"/>
        <w:spacing w:line="520" w:lineRule="exact"/>
        <w:ind w:firstLine="482" w:firstLineChars="200"/>
        <w:rPr>
          <w:rFonts w:hint="eastAsia" w:ascii="宋体" w:hAnsi="宋体"/>
          <w:color w:val="auto"/>
          <w:sz w:val="24"/>
        </w:rPr>
      </w:pPr>
      <w:r>
        <w:rPr>
          <w:rFonts w:hint="eastAsia" w:ascii="宋体" w:hAnsi="宋体"/>
          <w:b/>
          <w:color w:val="auto"/>
          <w:sz w:val="24"/>
        </w:rPr>
        <w:t>供应商（全称）：</w:t>
      </w:r>
      <w:r>
        <w:rPr>
          <w:rFonts w:hint="eastAsia" w:ascii="宋体" w:hAnsi="宋体"/>
          <w:b/>
          <w:color w:val="auto"/>
          <w:sz w:val="24"/>
          <w:u w:val="single"/>
        </w:rPr>
        <w:t xml:space="preserve">                                   </w:t>
      </w:r>
      <w:r>
        <w:rPr>
          <w:rFonts w:hint="eastAsia" w:ascii="宋体" w:hAnsi="宋体"/>
          <w:color w:val="auto"/>
          <w:sz w:val="24"/>
          <w:u w:val="single"/>
        </w:rPr>
        <w:t xml:space="preserve">   </w:t>
      </w:r>
    </w:p>
    <w:p w14:paraId="0035B805">
      <w:pPr>
        <w:adjustRightInd w:val="0"/>
        <w:snapToGrid w:val="0"/>
        <w:spacing w:line="520" w:lineRule="exact"/>
        <w:ind w:firstLine="480" w:firstLineChars="200"/>
        <w:rPr>
          <w:rFonts w:hint="eastAsia" w:ascii="宋体" w:hAnsi="宋体"/>
          <w:color w:val="auto"/>
          <w:sz w:val="24"/>
          <w:u w:val="single"/>
        </w:rPr>
      </w:pPr>
      <w:r>
        <w:rPr>
          <w:rFonts w:hint="eastAsia" w:ascii="宋体" w:hAnsi="宋体"/>
          <w:color w:val="auto"/>
          <w:sz w:val="24"/>
        </w:rPr>
        <w:t>根据《中华人民共和国</w:t>
      </w:r>
      <w:r>
        <w:rPr>
          <w:rFonts w:hint="eastAsia" w:hAnsi="宋体"/>
          <w:color w:val="auto"/>
          <w:sz w:val="24"/>
          <w:lang w:val="en-US" w:eastAsia="zh-CN"/>
        </w:rPr>
        <w:t>民法典</w:t>
      </w:r>
      <w:r>
        <w:rPr>
          <w:rFonts w:hint="eastAsia" w:ascii="宋体" w:hAnsi="宋体"/>
          <w:color w:val="auto"/>
          <w:sz w:val="24"/>
        </w:rPr>
        <w:t>》及其他有关法律、法规，遵循平等、自愿、公平和诚信的原则，双方就下述项目范围与相关服务事项协商一致，订立本合同。</w:t>
      </w:r>
    </w:p>
    <w:p w14:paraId="48811E4D">
      <w:pPr>
        <w:adjustRightInd w:val="0"/>
        <w:snapToGrid w:val="0"/>
        <w:spacing w:line="520" w:lineRule="exact"/>
        <w:rPr>
          <w:rFonts w:hint="eastAsia" w:ascii="宋体" w:hAnsi="宋体"/>
          <w:b/>
          <w:color w:val="auto"/>
          <w:sz w:val="24"/>
        </w:rPr>
      </w:pPr>
      <w:r>
        <w:rPr>
          <w:rFonts w:hint="eastAsia" w:ascii="宋体" w:hAnsi="宋体"/>
          <w:b/>
          <w:color w:val="auto"/>
          <w:sz w:val="24"/>
        </w:rPr>
        <w:t>一、项目概况</w:t>
      </w:r>
    </w:p>
    <w:p w14:paraId="39047926">
      <w:pPr>
        <w:adjustRightInd w:val="0"/>
        <w:snapToGrid w:val="0"/>
        <w:spacing w:line="520" w:lineRule="exact"/>
        <w:ind w:firstLine="475" w:firstLineChars="198"/>
        <w:rPr>
          <w:rFonts w:hint="eastAsia" w:ascii="宋体" w:hAnsi="宋体"/>
          <w:color w:val="auto"/>
          <w:sz w:val="24"/>
        </w:rPr>
      </w:pPr>
      <w:r>
        <w:rPr>
          <w:rFonts w:hint="eastAsia" w:ascii="宋体" w:hAnsi="宋体"/>
          <w:color w:val="auto"/>
          <w:sz w:val="24"/>
        </w:rPr>
        <w:t>1. 项目名称：</w:t>
      </w:r>
      <w:r>
        <w:rPr>
          <w:rFonts w:hint="eastAsia" w:ascii="宋体" w:hAnsi="宋体"/>
          <w:color w:val="auto"/>
          <w:sz w:val="24"/>
          <w:u w:val="single"/>
        </w:rPr>
        <w:t xml:space="preserve">                                         </w:t>
      </w:r>
      <w:r>
        <w:rPr>
          <w:rFonts w:hint="eastAsia" w:ascii="宋体" w:hAnsi="宋体"/>
          <w:color w:val="auto"/>
          <w:sz w:val="24"/>
        </w:rPr>
        <w:t>；</w:t>
      </w:r>
    </w:p>
    <w:p w14:paraId="089E0B66">
      <w:pPr>
        <w:adjustRightInd w:val="0"/>
        <w:snapToGrid w:val="0"/>
        <w:spacing w:line="520" w:lineRule="exact"/>
        <w:ind w:firstLine="475" w:firstLineChars="198"/>
        <w:rPr>
          <w:rFonts w:hint="eastAsia" w:ascii="宋体" w:hAnsi="宋体"/>
          <w:color w:val="auto"/>
          <w:sz w:val="24"/>
        </w:rPr>
      </w:pPr>
      <w:r>
        <w:rPr>
          <w:rFonts w:hint="eastAsia" w:ascii="宋体" w:hAnsi="宋体"/>
          <w:color w:val="auto"/>
          <w:sz w:val="24"/>
        </w:rPr>
        <w:t>2. 项目地点：</w:t>
      </w:r>
      <w:r>
        <w:rPr>
          <w:rFonts w:hint="eastAsia" w:ascii="宋体" w:hAnsi="宋体"/>
          <w:color w:val="auto"/>
          <w:sz w:val="24"/>
          <w:u w:val="single"/>
        </w:rPr>
        <w:t xml:space="preserve">  采购人指定地点                             </w:t>
      </w:r>
      <w:r>
        <w:rPr>
          <w:rFonts w:hint="eastAsia" w:ascii="宋体" w:hAnsi="宋体"/>
          <w:color w:val="auto"/>
          <w:sz w:val="24"/>
        </w:rPr>
        <w:t>；</w:t>
      </w:r>
    </w:p>
    <w:p w14:paraId="073771FC">
      <w:pPr>
        <w:adjustRightInd w:val="0"/>
        <w:snapToGrid w:val="0"/>
        <w:spacing w:line="520" w:lineRule="exact"/>
        <w:ind w:firstLine="475" w:firstLineChars="198"/>
        <w:jc w:val="left"/>
        <w:rPr>
          <w:rFonts w:hint="eastAsia" w:ascii="宋体" w:hAnsi="宋体"/>
          <w:color w:val="auto"/>
          <w:sz w:val="24"/>
        </w:rPr>
      </w:pPr>
      <w:r>
        <w:rPr>
          <w:rFonts w:hint="eastAsia" w:ascii="宋体" w:hAnsi="宋体"/>
          <w:color w:val="auto"/>
          <w:sz w:val="24"/>
        </w:rPr>
        <w:t>3. 项目</w:t>
      </w:r>
      <w:r>
        <w:rPr>
          <w:rFonts w:hint="eastAsia" w:ascii="宋体" w:hAnsi="宋体"/>
          <w:color w:val="auto"/>
          <w:kern w:val="0"/>
          <w:sz w:val="24"/>
        </w:rPr>
        <w:t>内容</w:t>
      </w:r>
      <w:r>
        <w:rPr>
          <w:rFonts w:hint="eastAsia" w:ascii="宋体" w:hAnsi="宋体"/>
          <w:color w:val="auto"/>
          <w:sz w:val="24"/>
        </w:rPr>
        <w:t>：</w:t>
      </w:r>
      <w:r>
        <w:rPr>
          <w:rFonts w:hint="eastAsia" w:ascii="宋体" w:hAnsi="宋体"/>
          <w:color w:val="auto"/>
          <w:sz w:val="24"/>
          <w:u w:val="single"/>
        </w:rPr>
        <w:t xml:space="preserve">                                           </w:t>
      </w:r>
      <w:r>
        <w:rPr>
          <w:rFonts w:hint="eastAsia" w:ascii="宋体" w:hAnsi="宋体"/>
          <w:color w:val="auto"/>
          <w:sz w:val="24"/>
        </w:rPr>
        <w:t>。</w:t>
      </w:r>
    </w:p>
    <w:p w14:paraId="5CF24687">
      <w:pPr>
        <w:adjustRightInd w:val="0"/>
        <w:snapToGrid w:val="0"/>
        <w:spacing w:line="520" w:lineRule="exact"/>
        <w:rPr>
          <w:rFonts w:hint="eastAsia" w:ascii="宋体" w:hAnsi="宋体"/>
          <w:b/>
          <w:color w:val="auto"/>
          <w:sz w:val="24"/>
        </w:rPr>
      </w:pPr>
      <w:r>
        <w:rPr>
          <w:rFonts w:hint="eastAsia" w:ascii="宋体" w:hAnsi="宋体"/>
          <w:b/>
          <w:color w:val="auto"/>
          <w:sz w:val="24"/>
        </w:rPr>
        <w:t>二、组成本合同的文件</w:t>
      </w:r>
    </w:p>
    <w:p w14:paraId="349784CB">
      <w:pPr>
        <w:adjustRightInd w:val="0"/>
        <w:snapToGrid w:val="0"/>
        <w:spacing w:line="520" w:lineRule="exact"/>
        <w:ind w:firstLine="475" w:firstLineChars="198"/>
        <w:rPr>
          <w:rFonts w:hint="eastAsia" w:ascii="宋体" w:hAnsi="宋体"/>
          <w:color w:val="auto"/>
          <w:sz w:val="24"/>
        </w:rPr>
      </w:pPr>
      <w:r>
        <w:rPr>
          <w:rFonts w:hint="eastAsia" w:ascii="宋体" w:hAnsi="宋体"/>
          <w:color w:val="auto"/>
          <w:sz w:val="24"/>
        </w:rPr>
        <w:t>1. 协议书；</w:t>
      </w:r>
    </w:p>
    <w:p w14:paraId="40252AE5">
      <w:pPr>
        <w:adjustRightInd w:val="0"/>
        <w:snapToGrid w:val="0"/>
        <w:spacing w:line="520" w:lineRule="exact"/>
        <w:ind w:firstLine="475" w:firstLineChars="198"/>
        <w:rPr>
          <w:rFonts w:hint="eastAsia" w:ascii="宋体" w:hAnsi="宋体"/>
          <w:color w:val="auto"/>
          <w:sz w:val="24"/>
        </w:rPr>
      </w:pPr>
      <w:r>
        <w:rPr>
          <w:rFonts w:hint="eastAsia" w:ascii="宋体" w:hAnsi="宋体"/>
          <w:color w:val="auto"/>
          <w:sz w:val="24"/>
        </w:rPr>
        <w:t>2. 竞争性谈判响应文件、澄清、成交通知书；</w:t>
      </w:r>
    </w:p>
    <w:p w14:paraId="0A883395">
      <w:pPr>
        <w:adjustRightInd w:val="0"/>
        <w:snapToGrid w:val="0"/>
        <w:spacing w:line="520" w:lineRule="exact"/>
        <w:ind w:firstLine="480" w:firstLineChars="200"/>
        <w:rPr>
          <w:rFonts w:hint="eastAsia" w:ascii="宋体" w:hAnsi="宋体"/>
          <w:color w:val="auto"/>
          <w:sz w:val="24"/>
        </w:rPr>
      </w:pPr>
      <w:r>
        <w:rPr>
          <w:rFonts w:hint="eastAsia" w:ascii="宋体" w:hAnsi="宋体"/>
          <w:color w:val="auto"/>
          <w:sz w:val="24"/>
        </w:rPr>
        <w:t>3. 相关服务建议书；</w:t>
      </w:r>
    </w:p>
    <w:p w14:paraId="49465459">
      <w:pPr>
        <w:adjustRightInd w:val="0"/>
        <w:snapToGrid w:val="0"/>
        <w:spacing w:line="520" w:lineRule="exact"/>
        <w:rPr>
          <w:rFonts w:hint="eastAsia" w:ascii="宋体" w:hAnsi="宋体"/>
          <w:color w:val="auto"/>
          <w:sz w:val="24"/>
        </w:rPr>
      </w:pPr>
      <w:r>
        <w:rPr>
          <w:rFonts w:hint="eastAsia" w:ascii="宋体" w:hAnsi="宋体"/>
          <w:color w:val="auto"/>
          <w:sz w:val="24"/>
        </w:rPr>
        <w:t xml:space="preserve">    4. 附录，即：附表内相关服务的范围和内容；</w:t>
      </w:r>
    </w:p>
    <w:p w14:paraId="127D9F99">
      <w:pPr>
        <w:adjustRightInd w:val="0"/>
        <w:snapToGrid w:val="0"/>
        <w:spacing w:line="520" w:lineRule="exact"/>
        <w:ind w:firstLine="475" w:firstLineChars="198"/>
        <w:rPr>
          <w:rFonts w:hint="eastAsia" w:ascii="宋体" w:hAnsi="宋体"/>
          <w:color w:val="auto"/>
          <w:sz w:val="24"/>
        </w:rPr>
      </w:pPr>
      <w:r>
        <w:rPr>
          <w:rFonts w:hint="eastAsia" w:ascii="宋体" w:hAnsi="宋体"/>
          <w:color w:val="auto"/>
          <w:sz w:val="24"/>
        </w:rPr>
        <w:t>本合同签订后，双方依法签订的补充协议、备忘录也是本合同文件的组成部分。</w:t>
      </w:r>
    </w:p>
    <w:p w14:paraId="7909B120">
      <w:pPr>
        <w:adjustRightInd w:val="0"/>
        <w:snapToGrid w:val="0"/>
        <w:spacing w:line="520" w:lineRule="exact"/>
        <w:rPr>
          <w:rFonts w:hint="eastAsia" w:ascii="宋体" w:hAnsi="宋体"/>
          <w:b/>
          <w:color w:val="auto"/>
          <w:sz w:val="24"/>
        </w:rPr>
      </w:pPr>
      <w:r>
        <w:rPr>
          <w:rFonts w:hint="eastAsia" w:ascii="宋体" w:hAnsi="宋体"/>
          <w:b/>
          <w:color w:val="auto"/>
          <w:sz w:val="24"/>
        </w:rPr>
        <w:t>三、签约金额</w:t>
      </w:r>
    </w:p>
    <w:p w14:paraId="7B61CFD0">
      <w:pPr>
        <w:adjustRightInd w:val="0"/>
        <w:snapToGrid w:val="0"/>
        <w:spacing w:line="520" w:lineRule="exact"/>
        <w:ind w:firstLine="475" w:firstLineChars="198"/>
        <w:rPr>
          <w:rFonts w:hint="eastAsia" w:ascii="宋体" w:hAnsi="宋体"/>
          <w:color w:val="auto"/>
          <w:sz w:val="24"/>
        </w:rPr>
      </w:pPr>
      <w:r>
        <w:rPr>
          <w:rFonts w:hint="eastAsia" w:ascii="宋体" w:hAnsi="宋体"/>
          <w:color w:val="auto"/>
          <w:sz w:val="24"/>
        </w:rPr>
        <w:t>签约金额（大写）：</w:t>
      </w:r>
      <w:r>
        <w:rPr>
          <w:rFonts w:hint="eastAsia" w:ascii="宋体" w:hAnsi="宋体"/>
          <w:color w:val="auto"/>
          <w:sz w:val="24"/>
          <w:u w:val="single"/>
        </w:rPr>
        <w:t xml:space="preserve">                            </w:t>
      </w:r>
      <w:r>
        <w:rPr>
          <w:rFonts w:hint="eastAsia" w:ascii="宋体" w:hAnsi="宋体"/>
          <w:color w:val="auto"/>
          <w:sz w:val="24"/>
        </w:rPr>
        <w:t>（¥        ）。</w:t>
      </w:r>
    </w:p>
    <w:p w14:paraId="09FEDA42">
      <w:pPr>
        <w:adjustRightInd w:val="0"/>
        <w:snapToGrid w:val="0"/>
        <w:spacing w:line="520" w:lineRule="exact"/>
        <w:ind w:firstLine="475" w:firstLineChars="198"/>
        <w:rPr>
          <w:rFonts w:hint="eastAsia" w:ascii="宋体" w:hAnsi="宋体"/>
          <w:color w:val="auto"/>
          <w:sz w:val="24"/>
        </w:rPr>
      </w:pPr>
      <w:r>
        <w:rPr>
          <w:rFonts w:hint="eastAsia" w:ascii="宋体" w:hAnsi="宋体"/>
          <w:color w:val="auto"/>
          <w:sz w:val="24"/>
        </w:rPr>
        <w:t>合同单价一次包死，不受市场价变化或实际工作量变化的影响，合同价格为含税价，供应商（成交人）提供服务所发生的一切税（包括增值税）费等都已包含于合同价款中。</w:t>
      </w:r>
    </w:p>
    <w:p w14:paraId="39A8F4B0">
      <w:pPr>
        <w:numPr>
          <w:ilvl w:val="0"/>
          <w:numId w:val="11"/>
        </w:numPr>
        <w:adjustRightInd w:val="0"/>
        <w:snapToGrid w:val="0"/>
        <w:spacing w:line="520" w:lineRule="exact"/>
        <w:ind w:firstLine="477" w:firstLineChars="198"/>
        <w:rPr>
          <w:rFonts w:hint="eastAsia" w:ascii="宋体" w:hAnsi="宋体"/>
          <w:b/>
          <w:color w:val="auto"/>
          <w:sz w:val="24"/>
        </w:rPr>
      </w:pPr>
      <w:r>
        <w:rPr>
          <w:rFonts w:hint="eastAsia" w:ascii="宋体" w:hAnsi="宋体"/>
          <w:b/>
          <w:color w:val="auto"/>
          <w:sz w:val="24"/>
        </w:rPr>
        <w:t>结算方式：</w:t>
      </w:r>
    </w:p>
    <w:p w14:paraId="2A5224AA">
      <w:pPr>
        <w:adjustRightInd w:val="0"/>
        <w:snapToGrid w:val="0"/>
        <w:spacing w:line="520" w:lineRule="exact"/>
        <w:ind w:firstLine="480" w:firstLineChars="200"/>
        <w:rPr>
          <w:rFonts w:hint="eastAsia" w:ascii="宋体" w:hAnsi="宋体"/>
          <w:color w:val="auto"/>
          <w:sz w:val="24"/>
        </w:rPr>
      </w:pPr>
      <w:r>
        <w:rPr>
          <w:rFonts w:hint="eastAsia" w:ascii="宋体" w:hAnsi="宋体"/>
          <w:color w:val="auto"/>
          <w:sz w:val="24"/>
        </w:rPr>
        <w:t>（1）结算单位：由采购人以人民币负责结算，在付款前，</w:t>
      </w:r>
      <w:r>
        <w:rPr>
          <w:rFonts w:hint="eastAsia" w:hAnsi="宋体"/>
          <w:color w:val="auto"/>
          <w:sz w:val="24"/>
        </w:rPr>
        <w:t>供应商</w:t>
      </w:r>
      <w:r>
        <w:rPr>
          <w:rFonts w:hint="eastAsia" w:ascii="宋体" w:hAnsi="宋体"/>
          <w:color w:val="auto"/>
          <w:sz w:val="24"/>
        </w:rPr>
        <w:t>必须开具发票给采购人。</w:t>
      </w:r>
    </w:p>
    <w:p w14:paraId="40C87BDC">
      <w:pPr>
        <w:spacing w:line="360" w:lineRule="auto"/>
        <w:ind w:firstLine="480" w:firstLineChars="200"/>
        <w:rPr>
          <w:rFonts w:hint="eastAsia" w:ascii="宋体" w:hAnsi="宋体"/>
          <w:color w:val="auto"/>
          <w:sz w:val="24"/>
        </w:rPr>
      </w:pPr>
      <w:r>
        <w:rPr>
          <w:rFonts w:hint="eastAsia" w:ascii="宋体" w:hAnsi="宋体"/>
          <w:color w:val="auto"/>
          <w:sz w:val="24"/>
        </w:rPr>
        <w:t>（2）</w:t>
      </w:r>
      <w:r>
        <w:rPr>
          <w:rFonts w:hint="eastAsia" w:ascii="宋体" w:hAnsi="宋体"/>
          <w:color w:val="auto"/>
          <w:sz w:val="24"/>
          <w:szCs w:val="24"/>
        </w:rPr>
        <w:t>付款方式：</w:t>
      </w:r>
      <w:r>
        <w:rPr>
          <w:rFonts w:hint="eastAsia"/>
          <w:szCs w:val="24"/>
          <w:lang w:val="en-US" w:eastAsia="zh-CN"/>
        </w:rPr>
        <w:t>合同签订后，预付合同金额的40%，余款</w:t>
      </w:r>
      <w:r>
        <w:rPr>
          <w:rFonts w:hint="eastAsia"/>
          <w:szCs w:val="24"/>
          <w:highlight w:val="none"/>
          <w:lang w:val="en-US" w:eastAsia="zh-CN"/>
        </w:rPr>
        <w:t>验收合格后一次性付清</w:t>
      </w:r>
      <w:r>
        <w:rPr>
          <w:rFonts w:hint="eastAsia"/>
          <w:szCs w:val="24"/>
          <w:lang w:eastAsia="zh-CN"/>
        </w:rPr>
        <w:t>。</w:t>
      </w:r>
    </w:p>
    <w:p w14:paraId="3B018CD6">
      <w:pPr>
        <w:adjustRightInd w:val="0"/>
        <w:snapToGrid w:val="0"/>
        <w:spacing w:line="520" w:lineRule="exact"/>
        <w:rPr>
          <w:rFonts w:hint="eastAsia" w:ascii="宋体" w:hAnsi="宋体"/>
          <w:b/>
          <w:color w:val="auto"/>
          <w:sz w:val="24"/>
        </w:rPr>
      </w:pPr>
      <w:r>
        <w:rPr>
          <w:rFonts w:hint="eastAsia" w:ascii="宋体" w:hAnsi="宋体"/>
          <w:b/>
          <w:color w:val="auto"/>
          <w:sz w:val="24"/>
        </w:rPr>
        <w:t>五、期限</w:t>
      </w:r>
    </w:p>
    <w:p w14:paraId="6A7F4A59">
      <w:pPr>
        <w:spacing w:line="360" w:lineRule="auto"/>
        <w:ind w:firstLine="480" w:firstLineChars="200"/>
        <w:rPr>
          <w:rFonts w:hint="eastAsia" w:ascii="宋体" w:hAnsi="宋体" w:eastAsia="宋体" w:cs="宋体"/>
          <w:color w:val="auto"/>
          <w:sz w:val="24"/>
          <w:szCs w:val="24"/>
        </w:rPr>
      </w:pPr>
      <w:r>
        <w:rPr>
          <w:rFonts w:hint="eastAsia" w:ascii="宋体" w:hAnsi="宋体"/>
          <w:color w:val="auto"/>
          <w:sz w:val="24"/>
          <w:szCs w:val="24"/>
        </w:rPr>
        <w:t>服务</w:t>
      </w:r>
      <w:r>
        <w:rPr>
          <w:rFonts w:hint="eastAsia" w:ascii="宋体" w:hAnsi="宋体" w:eastAsia="宋体" w:cs="宋体"/>
          <w:color w:val="auto"/>
          <w:sz w:val="24"/>
          <w:szCs w:val="24"/>
        </w:rPr>
        <w:t>期：</w:t>
      </w:r>
    </w:p>
    <w:p w14:paraId="5287C27B">
      <w:pPr>
        <w:adjustRightInd w:val="0"/>
        <w:snapToGrid w:val="0"/>
        <w:spacing w:line="520" w:lineRule="exact"/>
        <w:rPr>
          <w:rFonts w:hint="eastAsia" w:ascii="宋体" w:hAnsi="宋体"/>
          <w:b/>
          <w:color w:val="auto"/>
          <w:sz w:val="24"/>
        </w:rPr>
      </w:pPr>
      <w:r>
        <w:rPr>
          <w:rFonts w:hint="eastAsia" w:ascii="宋体" w:hAnsi="宋体"/>
          <w:b/>
          <w:color w:val="auto"/>
          <w:sz w:val="24"/>
        </w:rPr>
        <w:t>六、双方承诺</w:t>
      </w:r>
    </w:p>
    <w:p w14:paraId="27BF0ACA">
      <w:pPr>
        <w:adjustRightInd w:val="0"/>
        <w:snapToGrid w:val="0"/>
        <w:spacing w:line="520" w:lineRule="exact"/>
        <w:ind w:firstLine="475" w:firstLineChars="198"/>
        <w:rPr>
          <w:rFonts w:hint="eastAsia" w:ascii="宋体" w:hAnsi="宋体"/>
          <w:color w:val="auto"/>
          <w:sz w:val="24"/>
        </w:rPr>
      </w:pPr>
      <w:r>
        <w:rPr>
          <w:rFonts w:hint="eastAsia" w:ascii="宋体" w:hAnsi="宋体"/>
          <w:color w:val="auto"/>
          <w:sz w:val="24"/>
        </w:rPr>
        <w:t>1. 供应商向采购人承诺，按照本合同约定提供相关服务。</w:t>
      </w:r>
    </w:p>
    <w:p w14:paraId="27DDDDA3">
      <w:pPr>
        <w:adjustRightInd w:val="0"/>
        <w:snapToGrid w:val="0"/>
        <w:spacing w:line="520" w:lineRule="exact"/>
        <w:ind w:firstLine="475" w:firstLineChars="198"/>
        <w:rPr>
          <w:rFonts w:hint="eastAsia" w:ascii="宋体" w:hAnsi="宋体"/>
          <w:color w:val="auto"/>
          <w:sz w:val="24"/>
        </w:rPr>
      </w:pPr>
      <w:r>
        <w:rPr>
          <w:rFonts w:hint="eastAsia" w:ascii="宋体" w:hAnsi="宋体"/>
          <w:color w:val="auto"/>
          <w:sz w:val="24"/>
        </w:rPr>
        <w:t>2. 采购人向供应商承诺，按照本合同约定支付服务款项。</w:t>
      </w:r>
    </w:p>
    <w:p w14:paraId="26412458">
      <w:pPr>
        <w:tabs>
          <w:tab w:val="left" w:pos="840"/>
        </w:tabs>
        <w:adjustRightInd w:val="0"/>
        <w:snapToGrid w:val="0"/>
        <w:spacing w:line="520" w:lineRule="exact"/>
        <w:rPr>
          <w:rFonts w:hint="eastAsia" w:ascii="宋体" w:hAnsi="宋体"/>
          <w:b/>
          <w:color w:val="auto"/>
          <w:sz w:val="24"/>
        </w:rPr>
      </w:pPr>
      <w:r>
        <w:rPr>
          <w:rFonts w:hint="eastAsia" w:ascii="宋体" w:hAnsi="宋体"/>
          <w:b/>
          <w:color w:val="auto"/>
          <w:sz w:val="24"/>
        </w:rPr>
        <w:t>七、内容及要求：</w:t>
      </w:r>
    </w:p>
    <w:p w14:paraId="5261D1C5">
      <w:pPr>
        <w:tabs>
          <w:tab w:val="left" w:pos="840"/>
        </w:tabs>
        <w:adjustRightInd w:val="0"/>
        <w:snapToGrid w:val="0"/>
        <w:spacing w:line="520" w:lineRule="exact"/>
        <w:ind w:firstLine="480" w:firstLineChars="200"/>
        <w:rPr>
          <w:rFonts w:hint="eastAsia" w:ascii="宋体" w:hAnsi="宋体"/>
          <w:color w:val="auto"/>
          <w:sz w:val="24"/>
        </w:rPr>
      </w:pPr>
      <w:r>
        <w:rPr>
          <w:rFonts w:hint="eastAsia" w:ascii="宋体" w:hAnsi="宋体"/>
          <w:color w:val="auto"/>
          <w:sz w:val="24"/>
        </w:rPr>
        <w:t>即服务内容与竞争性谈判响应文件、成交通知书等所指明的，或者与本合同所指明的服务内容相一致。（附清单）</w:t>
      </w:r>
    </w:p>
    <w:p w14:paraId="0D750715">
      <w:pPr>
        <w:adjustRightInd w:val="0"/>
        <w:snapToGrid w:val="0"/>
        <w:spacing w:line="520" w:lineRule="exact"/>
        <w:rPr>
          <w:rFonts w:hint="eastAsia" w:ascii="宋体" w:hAnsi="宋体"/>
          <w:b/>
          <w:color w:val="auto"/>
          <w:sz w:val="24"/>
        </w:rPr>
      </w:pPr>
      <w:r>
        <w:rPr>
          <w:rFonts w:hint="eastAsia" w:ascii="宋体" w:hAnsi="宋体"/>
          <w:b/>
          <w:color w:val="auto"/>
          <w:sz w:val="24"/>
        </w:rPr>
        <w:t>八、项目服务地点：</w:t>
      </w:r>
      <w:r>
        <w:rPr>
          <w:rFonts w:hint="eastAsia" w:ascii="宋体" w:hAnsi="宋体" w:cs="宋体"/>
          <w:color w:val="auto"/>
          <w:sz w:val="24"/>
        </w:rPr>
        <w:t>采购人</w:t>
      </w:r>
      <w:r>
        <w:rPr>
          <w:rFonts w:hint="eastAsia" w:ascii="宋体" w:hAnsi="宋体" w:cs="宋体"/>
          <w:bCs/>
          <w:color w:val="auto"/>
          <w:sz w:val="24"/>
        </w:rPr>
        <w:t>指定地点</w:t>
      </w:r>
      <w:r>
        <w:rPr>
          <w:rFonts w:hint="eastAsia" w:ascii="宋体" w:hAnsi="宋体"/>
          <w:color w:val="auto"/>
          <w:sz w:val="24"/>
        </w:rPr>
        <w:t>。</w:t>
      </w:r>
    </w:p>
    <w:p w14:paraId="6A8D7A57">
      <w:pPr>
        <w:adjustRightInd w:val="0"/>
        <w:snapToGrid w:val="0"/>
        <w:spacing w:line="520" w:lineRule="exact"/>
        <w:rPr>
          <w:rFonts w:hint="eastAsia" w:ascii="宋体" w:hAnsi="宋体"/>
          <w:b/>
          <w:color w:val="auto"/>
          <w:sz w:val="24"/>
          <w:szCs w:val="24"/>
        </w:rPr>
      </w:pPr>
      <w:r>
        <w:rPr>
          <w:rFonts w:hint="eastAsia" w:ascii="宋体" w:hAnsi="宋体"/>
          <w:b/>
          <w:color w:val="auto"/>
          <w:sz w:val="24"/>
        </w:rPr>
        <w:t>九、</w:t>
      </w:r>
      <w:r>
        <w:rPr>
          <w:rFonts w:hint="eastAsia" w:ascii="宋体" w:hAnsi="宋体"/>
          <w:b/>
          <w:color w:val="auto"/>
          <w:sz w:val="24"/>
          <w:szCs w:val="24"/>
        </w:rPr>
        <w:t>保密</w:t>
      </w:r>
    </w:p>
    <w:p w14:paraId="407EF162">
      <w:pPr>
        <w:adjustRightInd w:val="0"/>
        <w:snapToGrid w:val="0"/>
        <w:spacing w:line="520" w:lineRule="exact"/>
        <w:rPr>
          <w:rFonts w:hint="eastAsia" w:ascii="宋体" w:hAnsi="宋体"/>
          <w:color w:val="auto"/>
          <w:sz w:val="24"/>
          <w:szCs w:val="24"/>
        </w:rPr>
      </w:pPr>
      <w:r>
        <w:rPr>
          <w:rFonts w:hint="eastAsia" w:ascii="宋体" w:hAnsi="宋体"/>
          <w:color w:val="auto"/>
          <w:sz w:val="24"/>
          <w:szCs w:val="24"/>
        </w:rPr>
        <w:t>双方须对工作中了解到的使用单位技术、机密等进行严格保密，不得向他人泄漏。</w:t>
      </w:r>
    </w:p>
    <w:p w14:paraId="6DB68B54">
      <w:pPr>
        <w:adjustRightInd w:val="0"/>
        <w:snapToGrid w:val="0"/>
        <w:spacing w:line="520" w:lineRule="exact"/>
        <w:rPr>
          <w:rFonts w:hint="eastAsia" w:ascii="宋体" w:hAnsi="宋体"/>
          <w:b/>
          <w:color w:val="auto"/>
          <w:sz w:val="24"/>
          <w:szCs w:val="24"/>
        </w:rPr>
      </w:pPr>
      <w:r>
        <w:rPr>
          <w:rFonts w:hint="eastAsia" w:ascii="宋体" w:hAnsi="宋体"/>
          <w:b/>
          <w:color w:val="auto"/>
          <w:sz w:val="24"/>
          <w:szCs w:val="24"/>
        </w:rPr>
        <w:t>十、知识产权</w:t>
      </w:r>
    </w:p>
    <w:p w14:paraId="4F79BAD9">
      <w:pPr>
        <w:adjustRightInd w:val="0"/>
        <w:snapToGrid w:val="0"/>
        <w:spacing w:line="520" w:lineRule="exact"/>
        <w:rPr>
          <w:rFonts w:hint="eastAsia" w:ascii="宋体" w:hAnsi="宋体"/>
          <w:color w:val="auto"/>
          <w:sz w:val="24"/>
          <w:szCs w:val="24"/>
        </w:rPr>
      </w:pPr>
      <w:r>
        <w:rPr>
          <w:rFonts w:hint="eastAsia" w:ascii="宋体" w:hAnsi="宋体"/>
          <w:color w:val="auto"/>
          <w:sz w:val="24"/>
          <w:szCs w:val="24"/>
        </w:rPr>
        <w:t>供应商应保证投标产品及服务不会出现因第三方提出侵犯其专利权、商标权或其它知识产权而引发法律或经济纠纷，否则由供应商承担全部责任。</w:t>
      </w:r>
      <w:r>
        <w:rPr>
          <w:rFonts w:ascii="宋体" w:hAnsi="宋体"/>
          <w:color w:val="auto"/>
          <w:sz w:val="24"/>
          <w:szCs w:val="24"/>
        </w:rPr>
        <w:t>任何被</w:t>
      </w:r>
      <w:r>
        <w:rPr>
          <w:rFonts w:hint="eastAsia" w:ascii="宋体" w:hAnsi="宋体"/>
          <w:color w:val="auto"/>
          <w:sz w:val="24"/>
          <w:szCs w:val="24"/>
        </w:rPr>
        <w:t>供应商</w:t>
      </w:r>
      <w:r>
        <w:rPr>
          <w:rFonts w:ascii="宋体" w:hAnsi="宋体"/>
          <w:color w:val="auto"/>
          <w:sz w:val="24"/>
          <w:szCs w:val="24"/>
        </w:rPr>
        <w:t>用于未经授权的商业目的行为所造成的违约或侵权责任由</w:t>
      </w:r>
      <w:r>
        <w:rPr>
          <w:rFonts w:hint="eastAsia" w:ascii="宋体" w:hAnsi="宋体"/>
          <w:color w:val="auto"/>
          <w:sz w:val="24"/>
          <w:szCs w:val="24"/>
        </w:rPr>
        <w:t>供应商</w:t>
      </w:r>
      <w:r>
        <w:rPr>
          <w:rFonts w:ascii="宋体" w:hAnsi="宋体"/>
          <w:color w:val="auto"/>
          <w:sz w:val="24"/>
          <w:szCs w:val="24"/>
        </w:rPr>
        <w:t>承但。</w:t>
      </w:r>
    </w:p>
    <w:p w14:paraId="5BFD4255">
      <w:pPr>
        <w:adjustRightInd w:val="0"/>
        <w:snapToGrid w:val="0"/>
        <w:spacing w:line="520" w:lineRule="exact"/>
        <w:rPr>
          <w:rFonts w:hint="eastAsia" w:ascii="宋体" w:hAnsi="宋体"/>
          <w:color w:val="auto"/>
          <w:sz w:val="24"/>
        </w:rPr>
      </w:pPr>
      <w:r>
        <w:rPr>
          <w:rFonts w:hint="eastAsia" w:ascii="宋体" w:hAnsi="宋体"/>
          <w:b/>
          <w:color w:val="auto"/>
          <w:sz w:val="24"/>
        </w:rPr>
        <w:t>十一、合同争议的解决：</w:t>
      </w:r>
      <w:r>
        <w:rPr>
          <w:rFonts w:hint="eastAsia" w:ascii="宋体" w:hAnsi="宋体"/>
          <w:color w:val="auto"/>
          <w:sz w:val="24"/>
        </w:rPr>
        <w:t>合同执行中发生争议的，当事人双方应协商解决，协商达不成一致时，可向采购人住所地有管辖权的人民法院提请诉讼。</w:t>
      </w:r>
    </w:p>
    <w:p w14:paraId="4A3AE8B7">
      <w:pPr>
        <w:adjustRightInd w:val="0"/>
        <w:snapToGrid w:val="0"/>
        <w:spacing w:line="520" w:lineRule="exact"/>
        <w:rPr>
          <w:rFonts w:hint="eastAsia" w:ascii="宋体" w:hAnsi="宋体"/>
          <w:color w:val="auto"/>
          <w:sz w:val="24"/>
        </w:rPr>
      </w:pPr>
      <w:r>
        <w:rPr>
          <w:rFonts w:hint="eastAsia" w:ascii="宋体" w:hAnsi="宋体"/>
          <w:b/>
          <w:color w:val="auto"/>
          <w:sz w:val="24"/>
        </w:rPr>
        <w:t>十二、</w:t>
      </w:r>
      <w:r>
        <w:rPr>
          <w:rFonts w:hint="eastAsia" w:ascii="宋体" w:hAnsi="宋体"/>
          <w:color w:val="auto"/>
          <w:sz w:val="24"/>
        </w:rPr>
        <w:t>在发生不可抗力情况下的应对措施和解决办法。</w:t>
      </w:r>
    </w:p>
    <w:p w14:paraId="7D4344AA">
      <w:pPr>
        <w:adjustRightInd w:val="0"/>
        <w:snapToGrid w:val="0"/>
        <w:spacing w:line="520" w:lineRule="exact"/>
        <w:rPr>
          <w:rFonts w:hint="eastAsia" w:ascii="宋体" w:hAnsi="宋体"/>
          <w:color w:val="auto"/>
          <w:sz w:val="24"/>
        </w:rPr>
      </w:pPr>
      <w:r>
        <w:rPr>
          <w:rFonts w:hint="eastAsia" w:ascii="宋体" w:hAnsi="宋体"/>
          <w:b/>
          <w:color w:val="auto"/>
          <w:sz w:val="24"/>
        </w:rPr>
        <w:t>十三、</w:t>
      </w:r>
      <w:r>
        <w:rPr>
          <w:rFonts w:hint="eastAsia" w:ascii="宋体" w:hAnsi="宋体"/>
          <w:color w:val="auto"/>
          <w:sz w:val="24"/>
        </w:rPr>
        <w:t>合同一经签订，不得擅自变更、中止或者终止合同。对确需变更、调整或者中止、终止合同的，应按规定履行相应的手续。</w:t>
      </w:r>
    </w:p>
    <w:p w14:paraId="4573C0BB">
      <w:pPr>
        <w:adjustRightInd w:val="0"/>
        <w:snapToGrid w:val="0"/>
        <w:spacing w:line="520" w:lineRule="exact"/>
        <w:rPr>
          <w:rFonts w:hint="eastAsia" w:ascii="宋体" w:hAnsi="宋体"/>
          <w:color w:val="auto"/>
          <w:sz w:val="24"/>
        </w:rPr>
      </w:pPr>
      <w:r>
        <w:rPr>
          <w:rFonts w:hint="eastAsia" w:ascii="宋体" w:hAnsi="宋体"/>
          <w:b/>
          <w:color w:val="auto"/>
          <w:sz w:val="24"/>
        </w:rPr>
        <w:t>十四、违约责任：</w:t>
      </w:r>
      <w:r>
        <w:rPr>
          <w:rFonts w:hint="eastAsia" w:ascii="宋体" w:hAnsi="宋体"/>
          <w:color w:val="auto"/>
          <w:sz w:val="24"/>
        </w:rPr>
        <w:t>依据《中华人民共和国</w:t>
      </w:r>
      <w:r>
        <w:rPr>
          <w:rFonts w:hint="eastAsia" w:hAnsi="宋体"/>
          <w:color w:val="auto"/>
          <w:sz w:val="24"/>
          <w:lang w:val="en-US" w:eastAsia="zh-CN"/>
        </w:rPr>
        <w:t>民法典</w:t>
      </w:r>
      <w:r>
        <w:rPr>
          <w:rFonts w:hint="eastAsia" w:ascii="宋体" w:hAnsi="宋体"/>
          <w:color w:val="auto"/>
          <w:sz w:val="24"/>
        </w:rPr>
        <w:t>》、《中华人民共和国政府采购法》的相关条款和本合同约定，成交供应商未全面履行合同义务或者发生违约，采购单位会同采购代理机构有权终止合同，依法向成交供应商进行经济索赔，并报请政府采购监督管理机关进行相应的行政处罚。采购单位违约的，应当赔偿给成交供应商造成的经济损失。</w:t>
      </w:r>
    </w:p>
    <w:p w14:paraId="4A3B9EF0">
      <w:pPr>
        <w:adjustRightInd w:val="0"/>
        <w:snapToGrid w:val="0"/>
        <w:spacing w:line="520" w:lineRule="exact"/>
        <w:rPr>
          <w:rFonts w:hint="eastAsia" w:ascii="宋体" w:hAnsi="宋体"/>
          <w:b/>
          <w:color w:val="auto"/>
          <w:sz w:val="24"/>
        </w:rPr>
      </w:pPr>
      <w:r>
        <w:rPr>
          <w:rFonts w:hint="eastAsia" w:ascii="宋体" w:hAnsi="宋体"/>
          <w:b/>
          <w:color w:val="auto"/>
          <w:sz w:val="24"/>
        </w:rPr>
        <w:t>十五、验收</w:t>
      </w:r>
    </w:p>
    <w:p w14:paraId="00ED3C67">
      <w:pPr>
        <w:adjustRightInd w:val="0"/>
        <w:snapToGrid w:val="0"/>
        <w:spacing w:line="520" w:lineRule="exact"/>
        <w:rPr>
          <w:rFonts w:hint="eastAsia" w:ascii="宋体" w:hAnsi="宋体"/>
          <w:color w:val="auto"/>
          <w:sz w:val="24"/>
          <w:szCs w:val="22"/>
        </w:rPr>
      </w:pPr>
      <w:r>
        <w:rPr>
          <w:rFonts w:hint="eastAsia" w:ascii="宋体" w:hAnsi="宋体"/>
          <w:color w:val="auto"/>
          <w:sz w:val="24"/>
          <w:szCs w:val="22"/>
        </w:rPr>
        <w:t>由采购人负责组织验收，或者邀请有关专家、质检机构、采购代理机构共同进行验收,验收费用由成交供应商支付(备注：如有验收需向采购代理机构支付金额2000-3000元不等)；验收合格须交接项目实施的全部资料，并填写政府采购项目验收报告单。验收须以合同、谈判文件及响应文件、澄清、及国家相应的标准、规范等为依据。</w:t>
      </w:r>
    </w:p>
    <w:p w14:paraId="366FFBD1">
      <w:pPr>
        <w:adjustRightInd w:val="0"/>
        <w:snapToGrid w:val="0"/>
        <w:spacing w:line="520" w:lineRule="exact"/>
        <w:rPr>
          <w:rFonts w:hint="eastAsia" w:ascii="宋体" w:hAnsi="宋体"/>
          <w:b/>
          <w:color w:val="auto"/>
          <w:sz w:val="24"/>
          <w:szCs w:val="22"/>
        </w:rPr>
      </w:pPr>
      <w:r>
        <w:rPr>
          <w:rFonts w:hint="eastAsia" w:ascii="宋体" w:hAnsi="宋体"/>
          <w:b/>
          <w:color w:val="auto"/>
          <w:sz w:val="24"/>
          <w:szCs w:val="22"/>
        </w:rPr>
        <w:t>十六、其他（在合同中具体明确）</w:t>
      </w:r>
    </w:p>
    <w:p w14:paraId="7F2AC0E8">
      <w:pPr>
        <w:adjustRightInd w:val="0"/>
        <w:snapToGrid w:val="0"/>
        <w:spacing w:line="520" w:lineRule="exact"/>
        <w:rPr>
          <w:rFonts w:hint="eastAsia" w:ascii="宋体" w:hAnsi="宋体"/>
          <w:b/>
          <w:color w:val="auto"/>
          <w:sz w:val="24"/>
        </w:rPr>
      </w:pPr>
      <w:r>
        <w:rPr>
          <w:rFonts w:hint="eastAsia" w:ascii="宋体" w:hAnsi="宋体"/>
          <w:b/>
          <w:color w:val="auto"/>
          <w:sz w:val="24"/>
        </w:rPr>
        <w:t>十七、合同订立</w:t>
      </w:r>
    </w:p>
    <w:p w14:paraId="443B9FFF">
      <w:pPr>
        <w:adjustRightInd w:val="0"/>
        <w:snapToGrid w:val="0"/>
        <w:spacing w:line="520" w:lineRule="exact"/>
        <w:ind w:firstLine="475" w:firstLineChars="198"/>
        <w:rPr>
          <w:rFonts w:hint="eastAsia" w:ascii="宋体" w:hAnsi="宋体"/>
          <w:color w:val="auto"/>
          <w:sz w:val="24"/>
        </w:rPr>
      </w:pPr>
      <w:r>
        <w:rPr>
          <w:rFonts w:hint="eastAsia" w:ascii="宋体" w:hAnsi="宋体"/>
          <w:color w:val="auto"/>
          <w:sz w:val="24"/>
        </w:rPr>
        <w:t>1. 订立时间：</w:t>
      </w:r>
      <w:r>
        <w:rPr>
          <w:rFonts w:hint="eastAsia"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hint="eastAsia" w:ascii="宋体" w:hAnsi="宋体"/>
          <w:color w:val="auto"/>
          <w:sz w:val="24"/>
        </w:rPr>
        <w:t>日。</w:t>
      </w:r>
    </w:p>
    <w:p w14:paraId="7804EB2F">
      <w:pPr>
        <w:adjustRightInd w:val="0"/>
        <w:snapToGrid w:val="0"/>
        <w:spacing w:line="520" w:lineRule="exact"/>
        <w:ind w:firstLine="475" w:firstLineChars="198"/>
        <w:rPr>
          <w:rFonts w:hint="eastAsia" w:ascii="宋体" w:hAnsi="宋体"/>
          <w:color w:val="auto"/>
          <w:sz w:val="24"/>
        </w:rPr>
      </w:pPr>
      <w:r>
        <w:rPr>
          <w:rFonts w:hint="eastAsia" w:ascii="宋体" w:hAnsi="宋体"/>
          <w:color w:val="auto"/>
          <w:sz w:val="24"/>
        </w:rPr>
        <w:t>2. 订立地点：</w:t>
      </w:r>
      <w:r>
        <w:rPr>
          <w:rFonts w:hint="eastAsia" w:ascii="宋体" w:hAnsi="宋体"/>
          <w:color w:val="auto"/>
          <w:sz w:val="24"/>
          <w:u w:val="single"/>
        </w:rPr>
        <w:t xml:space="preserve">                                 </w:t>
      </w:r>
      <w:r>
        <w:rPr>
          <w:rFonts w:hint="eastAsia" w:ascii="宋体" w:hAnsi="宋体"/>
          <w:color w:val="auto"/>
          <w:sz w:val="24"/>
        </w:rPr>
        <w:t>。</w:t>
      </w:r>
    </w:p>
    <w:p w14:paraId="3F160DAF">
      <w:pPr>
        <w:tabs>
          <w:tab w:val="left" w:pos="980"/>
        </w:tabs>
        <w:kinsoku w:val="0"/>
        <w:adjustRightInd w:val="0"/>
        <w:snapToGrid w:val="0"/>
        <w:spacing w:line="520" w:lineRule="exact"/>
        <w:ind w:left="250" w:leftChars="104" w:firstLine="259" w:firstLineChars="108"/>
        <w:rPr>
          <w:rFonts w:hint="eastAsia" w:ascii="宋体" w:hAnsi="宋体"/>
          <w:color w:val="auto"/>
          <w:sz w:val="24"/>
        </w:rPr>
      </w:pPr>
      <w:r>
        <w:rPr>
          <w:rFonts w:hint="eastAsia" w:ascii="宋体" w:hAnsi="宋体"/>
          <w:color w:val="auto"/>
          <w:sz w:val="24"/>
        </w:rPr>
        <w:t>3. 本合同一式</w:t>
      </w:r>
      <w:r>
        <w:rPr>
          <w:rFonts w:hint="eastAsia" w:ascii="宋体" w:hAnsi="宋体"/>
          <w:color w:val="auto"/>
          <w:sz w:val="24"/>
          <w:u w:val="single"/>
        </w:rPr>
        <w:t xml:space="preserve">    </w:t>
      </w:r>
      <w:r>
        <w:rPr>
          <w:rFonts w:hint="eastAsia" w:ascii="宋体" w:hAnsi="宋体"/>
          <w:color w:val="auto"/>
          <w:sz w:val="24"/>
        </w:rPr>
        <w:t>份，具有同等法律效力，双方各执</w:t>
      </w:r>
      <w:r>
        <w:rPr>
          <w:rFonts w:hint="eastAsia" w:ascii="宋体" w:hAnsi="宋体"/>
          <w:color w:val="auto"/>
          <w:sz w:val="24"/>
          <w:u w:val="single"/>
        </w:rPr>
        <w:t xml:space="preserve">    </w:t>
      </w:r>
      <w:r>
        <w:rPr>
          <w:rFonts w:hint="eastAsia" w:ascii="宋体" w:hAnsi="宋体"/>
          <w:color w:val="auto"/>
          <w:sz w:val="24"/>
        </w:rPr>
        <w:t>份，监管部门备案壹份、采购代理机构存档壹份。各方签字盖章后生效，合同执行完毕自动失效（合同的服务承诺则长期有效）。</w:t>
      </w:r>
    </w:p>
    <w:p w14:paraId="5167BCD1">
      <w:pPr>
        <w:adjustRightInd w:val="0"/>
        <w:snapToGrid w:val="0"/>
        <w:spacing w:line="520" w:lineRule="exact"/>
        <w:ind w:firstLine="475" w:firstLineChars="198"/>
        <w:rPr>
          <w:rFonts w:hint="eastAsia" w:ascii="宋体" w:hAnsi="宋体"/>
          <w:color w:val="auto"/>
          <w:sz w:val="24"/>
        </w:rPr>
      </w:pPr>
      <w:r>
        <w:rPr>
          <w:rFonts w:hint="eastAsia" w:ascii="宋体" w:hAnsi="宋体"/>
          <w:color w:val="auto"/>
          <w:sz w:val="24"/>
        </w:rPr>
        <w:t>采购人：</w:t>
      </w:r>
      <w:r>
        <w:rPr>
          <w:rFonts w:hint="eastAsia" w:ascii="宋体" w:hAnsi="宋体"/>
          <w:color w:val="auto"/>
          <w:sz w:val="24"/>
          <w:u w:val="single"/>
        </w:rPr>
        <w:t xml:space="preserve">   （盖章）     </w:t>
      </w:r>
      <w:r>
        <w:rPr>
          <w:rFonts w:hint="eastAsia" w:ascii="宋体" w:hAnsi="宋体"/>
          <w:color w:val="auto"/>
          <w:sz w:val="24"/>
        </w:rPr>
        <w:t xml:space="preserve">           供应商：</w:t>
      </w:r>
      <w:r>
        <w:rPr>
          <w:rFonts w:hint="eastAsia" w:ascii="宋体" w:hAnsi="宋体"/>
          <w:color w:val="auto"/>
          <w:sz w:val="24"/>
          <w:u w:val="single"/>
        </w:rPr>
        <w:t xml:space="preserve">   （盖章）    </w:t>
      </w:r>
    </w:p>
    <w:p w14:paraId="520330FF">
      <w:pPr>
        <w:adjustRightInd w:val="0"/>
        <w:snapToGrid w:val="0"/>
        <w:spacing w:line="520" w:lineRule="exact"/>
        <w:ind w:firstLine="475" w:firstLineChars="198"/>
        <w:rPr>
          <w:rFonts w:hint="eastAsia" w:ascii="宋体" w:hAnsi="宋体"/>
          <w:color w:val="auto"/>
          <w:sz w:val="24"/>
        </w:rPr>
      </w:pPr>
      <w:r>
        <w:rPr>
          <w:rFonts w:hint="eastAsia" w:ascii="宋体" w:hAnsi="宋体"/>
          <w:color w:val="auto"/>
          <w:sz w:val="24"/>
        </w:rPr>
        <w:t xml:space="preserve">地址： </w:t>
      </w:r>
      <w:r>
        <w:rPr>
          <w:rFonts w:hint="eastAsia" w:ascii="宋体" w:hAnsi="宋体"/>
          <w:color w:val="auto"/>
          <w:sz w:val="24"/>
          <w:u w:val="single"/>
        </w:rPr>
        <w:t xml:space="preserve">                     </w:t>
      </w:r>
      <w:r>
        <w:rPr>
          <w:rFonts w:hint="eastAsia" w:ascii="宋体" w:hAnsi="宋体"/>
          <w:color w:val="auto"/>
          <w:sz w:val="24"/>
        </w:rPr>
        <w:t xml:space="preserve">       地址： </w:t>
      </w:r>
      <w:r>
        <w:rPr>
          <w:rFonts w:hint="eastAsia" w:ascii="宋体" w:hAnsi="宋体"/>
          <w:color w:val="auto"/>
          <w:sz w:val="24"/>
          <w:u w:val="single"/>
        </w:rPr>
        <w:t xml:space="preserve">                      </w:t>
      </w:r>
    </w:p>
    <w:p w14:paraId="6444D100">
      <w:pPr>
        <w:adjustRightInd w:val="0"/>
        <w:snapToGrid w:val="0"/>
        <w:spacing w:line="520" w:lineRule="exact"/>
        <w:ind w:firstLine="480" w:firstLineChars="200"/>
        <w:rPr>
          <w:rFonts w:hint="eastAsia" w:ascii="宋体" w:hAnsi="宋体"/>
          <w:color w:val="auto"/>
          <w:sz w:val="24"/>
        </w:rPr>
      </w:pPr>
      <w:r>
        <w:rPr>
          <w:rFonts w:hint="eastAsia" w:ascii="宋体" w:hAnsi="宋体"/>
          <w:color w:val="auto"/>
          <w:sz w:val="24"/>
        </w:rPr>
        <w:t>邮政编码：</w:t>
      </w:r>
      <w:r>
        <w:rPr>
          <w:rFonts w:hint="eastAsia" w:ascii="宋体" w:hAnsi="宋体"/>
          <w:color w:val="auto"/>
          <w:sz w:val="24"/>
          <w:u w:val="single"/>
        </w:rPr>
        <w:t xml:space="preserve">                  </w:t>
      </w:r>
      <w:r>
        <w:rPr>
          <w:rFonts w:hint="eastAsia" w:ascii="宋体" w:hAnsi="宋体"/>
          <w:color w:val="auto"/>
          <w:sz w:val="24"/>
        </w:rPr>
        <w:t xml:space="preserve">       邮政编码：</w:t>
      </w:r>
      <w:r>
        <w:rPr>
          <w:rFonts w:hint="eastAsia" w:ascii="宋体" w:hAnsi="宋体"/>
          <w:color w:val="auto"/>
          <w:sz w:val="24"/>
          <w:u w:val="single"/>
        </w:rPr>
        <w:t xml:space="preserve">                  </w:t>
      </w:r>
    </w:p>
    <w:p w14:paraId="0D5C3C16">
      <w:pPr>
        <w:adjustRightInd w:val="0"/>
        <w:snapToGrid w:val="0"/>
        <w:spacing w:line="520" w:lineRule="exact"/>
        <w:ind w:firstLine="475" w:firstLineChars="198"/>
        <w:rPr>
          <w:rFonts w:hint="eastAsia" w:ascii="宋体" w:hAnsi="宋体"/>
          <w:color w:val="auto"/>
          <w:sz w:val="24"/>
        </w:rPr>
      </w:pPr>
      <w:r>
        <w:rPr>
          <w:rFonts w:hint="eastAsia" w:ascii="宋体" w:hAnsi="宋体"/>
          <w:color w:val="auto"/>
          <w:sz w:val="24"/>
        </w:rPr>
        <w:t>法定代表人或其授权                 法定代表人或其授权</w:t>
      </w:r>
    </w:p>
    <w:p w14:paraId="1D958055">
      <w:pPr>
        <w:adjustRightInd w:val="0"/>
        <w:snapToGrid w:val="0"/>
        <w:spacing w:line="520" w:lineRule="exact"/>
        <w:ind w:firstLine="475" w:firstLineChars="198"/>
        <w:rPr>
          <w:rFonts w:hint="eastAsia" w:ascii="宋体" w:hAnsi="宋体"/>
          <w:color w:val="auto"/>
          <w:sz w:val="24"/>
        </w:rPr>
      </w:pPr>
      <w:r>
        <w:rPr>
          <w:rFonts w:hint="eastAsia" w:ascii="宋体" w:hAnsi="宋体"/>
          <w:color w:val="auto"/>
          <w:sz w:val="24"/>
        </w:rPr>
        <w:t>的代理人：</w:t>
      </w:r>
      <w:r>
        <w:rPr>
          <w:rFonts w:hint="eastAsia" w:ascii="宋体" w:hAnsi="宋体"/>
          <w:color w:val="auto"/>
          <w:sz w:val="24"/>
          <w:u w:val="single"/>
        </w:rPr>
        <w:t xml:space="preserve">（签字）      </w:t>
      </w:r>
      <w:r>
        <w:rPr>
          <w:rFonts w:hint="eastAsia" w:ascii="宋体" w:hAnsi="宋体"/>
          <w:color w:val="auto"/>
          <w:sz w:val="24"/>
        </w:rPr>
        <w:t xml:space="preserve">           的代理人：</w:t>
      </w:r>
      <w:r>
        <w:rPr>
          <w:rFonts w:hint="eastAsia" w:ascii="宋体" w:hAnsi="宋体"/>
          <w:color w:val="auto"/>
          <w:sz w:val="24"/>
          <w:u w:val="single"/>
        </w:rPr>
        <w:t xml:space="preserve">（签字）          </w:t>
      </w:r>
    </w:p>
    <w:p w14:paraId="6B8ECE1E">
      <w:pPr>
        <w:adjustRightInd w:val="0"/>
        <w:snapToGrid w:val="0"/>
        <w:spacing w:line="520" w:lineRule="exact"/>
        <w:ind w:firstLine="475" w:firstLineChars="198"/>
        <w:rPr>
          <w:rFonts w:hint="eastAsia" w:ascii="宋体" w:hAnsi="宋体"/>
          <w:color w:val="auto"/>
          <w:sz w:val="24"/>
        </w:rPr>
      </w:pPr>
      <w:r>
        <w:rPr>
          <w:rFonts w:hint="eastAsia" w:ascii="宋体" w:hAnsi="宋体"/>
          <w:color w:val="auto"/>
          <w:sz w:val="24"/>
        </w:rPr>
        <w:t>开户银行：</w:t>
      </w:r>
      <w:r>
        <w:rPr>
          <w:rFonts w:hint="eastAsia" w:ascii="宋体" w:hAnsi="宋体"/>
          <w:color w:val="auto"/>
          <w:sz w:val="24"/>
          <w:u w:val="single"/>
        </w:rPr>
        <w:t xml:space="preserve">                 </w:t>
      </w:r>
      <w:r>
        <w:rPr>
          <w:rFonts w:hint="eastAsia" w:ascii="宋体" w:hAnsi="宋体"/>
          <w:color w:val="auto"/>
          <w:sz w:val="24"/>
        </w:rPr>
        <w:t xml:space="preserve">        开户银行：</w:t>
      </w:r>
      <w:r>
        <w:rPr>
          <w:rFonts w:hint="eastAsia" w:ascii="宋体" w:hAnsi="宋体"/>
          <w:color w:val="auto"/>
          <w:sz w:val="24"/>
          <w:u w:val="single"/>
        </w:rPr>
        <w:t xml:space="preserve">                  </w:t>
      </w:r>
    </w:p>
    <w:p w14:paraId="47D2E5A4">
      <w:pPr>
        <w:adjustRightInd w:val="0"/>
        <w:snapToGrid w:val="0"/>
        <w:spacing w:line="520" w:lineRule="exact"/>
        <w:ind w:firstLine="475" w:firstLineChars="198"/>
        <w:rPr>
          <w:rFonts w:hint="eastAsia" w:ascii="宋体" w:hAnsi="宋体"/>
          <w:color w:val="auto"/>
          <w:sz w:val="24"/>
        </w:rPr>
      </w:pPr>
      <w:r>
        <w:rPr>
          <w:rFonts w:hint="eastAsia" w:ascii="宋体" w:hAnsi="宋体"/>
          <w:color w:val="auto"/>
          <w:sz w:val="24"/>
        </w:rPr>
        <w:t>账号：</w:t>
      </w:r>
      <w:r>
        <w:rPr>
          <w:rFonts w:hint="eastAsia" w:ascii="宋体" w:hAnsi="宋体"/>
          <w:color w:val="auto"/>
          <w:sz w:val="24"/>
          <w:u w:val="single"/>
        </w:rPr>
        <w:t xml:space="preserve">                      </w:t>
      </w:r>
      <w:r>
        <w:rPr>
          <w:rFonts w:hint="eastAsia" w:ascii="宋体" w:hAnsi="宋体"/>
          <w:color w:val="auto"/>
          <w:sz w:val="24"/>
        </w:rPr>
        <w:t xml:space="preserve">       账号：</w:t>
      </w:r>
      <w:r>
        <w:rPr>
          <w:rFonts w:hint="eastAsia" w:ascii="宋体" w:hAnsi="宋体"/>
          <w:color w:val="auto"/>
          <w:sz w:val="24"/>
          <w:u w:val="single"/>
        </w:rPr>
        <w:t xml:space="preserve">                       </w:t>
      </w:r>
      <w:r>
        <w:rPr>
          <w:rFonts w:hint="eastAsia" w:ascii="宋体" w:hAnsi="宋体"/>
          <w:color w:val="auto"/>
          <w:sz w:val="24"/>
        </w:rPr>
        <w:t xml:space="preserve"> </w:t>
      </w:r>
      <w:r>
        <w:rPr>
          <w:rFonts w:hint="eastAsia" w:ascii="宋体" w:hAnsi="宋体"/>
          <w:color w:val="auto"/>
          <w:sz w:val="24"/>
          <w:u w:val="single"/>
        </w:rPr>
        <w:t xml:space="preserve"> </w:t>
      </w:r>
    </w:p>
    <w:p w14:paraId="0298881F">
      <w:pPr>
        <w:adjustRightInd w:val="0"/>
        <w:snapToGrid w:val="0"/>
        <w:spacing w:line="520" w:lineRule="exact"/>
        <w:ind w:firstLine="475" w:firstLineChars="198"/>
        <w:rPr>
          <w:rFonts w:hint="eastAsia" w:ascii="宋体" w:hAnsi="宋体"/>
          <w:color w:val="auto"/>
          <w:sz w:val="24"/>
        </w:rPr>
      </w:pPr>
      <w:r>
        <w:rPr>
          <w:rFonts w:hint="eastAsia" w:ascii="宋体" w:hAnsi="宋体"/>
          <w:color w:val="auto"/>
          <w:sz w:val="24"/>
        </w:rPr>
        <w:t>电话：</w:t>
      </w:r>
      <w:r>
        <w:rPr>
          <w:rFonts w:hint="eastAsia" w:ascii="宋体" w:hAnsi="宋体"/>
          <w:color w:val="auto"/>
          <w:sz w:val="24"/>
          <w:u w:val="single"/>
        </w:rPr>
        <w:t xml:space="preserve">                      </w:t>
      </w:r>
      <w:r>
        <w:rPr>
          <w:rFonts w:hint="eastAsia" w:ascii="宋体" w:hAnsi="宋体"/>
          <w:color w:val="auto"/>
          <w:sz w:val="24"/>
        </w:rPr>
        <w:t xml:space="preserve">       电话：</w:t>
      </w:r>
      <w:r>
        <w:rPr>
          <w:rFonts w:hint="eastAsia" w:ascii="宋体" w:hAnsi="宋体"/>
          <w:color w:val="auto"/>
          <w:sz w:val="24"/>
          <w:u w:val="single"/>
        </w:rPr>
        <w:t xml:space="preserve">                       </w:t>
      </w:r>
    </w:p>
    <w:p w14:paraId="1D8FF00C">
      <w:pPr>
        <w:adjustRightInd w:val="0"/>
        <w:snapToGrid w:val="0"/>
        <w:spacing w:line="520" w:lineRule="exact"/>
        <w:ind w:firstLine="475" w:firstLineChars="198"/>
        <w:rPr>
          <w:rFonts w:hint="eastAsia" w:ascii="宋体" w:hAnsi="宋体"/>
          <w:color w:val="auto"/>
          <w:sz w:val="24"/>
        </w:rPr>
      </w:pPr>
      <w:r>
        <w:rPr>
          <w:rFonts w:hint="eastAsia" w:ascii="宋体" w:hAnsi="宋体"/>
          <w:color w:val="auto"/>
          <w:sz w:val="24"/>
        </w:rPr>
        <w:t>传真：</w:t>
      </w:r>
      <w:r>
        <w:rPr>
          <w:rFonts w:hint="eastAsia" w:ascii="宋体" w:hAnsi="宋体"/>
          <w:color w:val="auto"/>
          <w:sz w:val="24"/>
          <w:u w:val="single"/>
        </w:rPr>
        <w:t xml:space="preserve">                      </w:t>
      </w:r>
      <w:r>
        <w:rPr>
          <w:rFonts w:hint="eastAsia" w:ascii="宋体" w:hAnsi="宋体"/>
          <w:color w:val="auto"/>
          <w:sz w:val="24"/>
        </w:rPr>
        <w:t xml:space="preserve">       传真：</w:t>
      </w:r>
      <w:r>
        <w:rPr>
          <w:rFonts w:hint="eastAsia" w:ascii="宋体" w:hAnsi="宋体"/>
          <w:color w:val="auto"/>
          <w:sz w:val="24"/>
          <w:u w:val="single"/>
        </w:rPr>
        <w:t xml:space="preserve">                       </w:t>
      </w:r>
    </w:p>
    <w:p w14:paraId="101578B2">
      <w:pPr>
        <w:adjustRightInd w:val="0"/>
        <w:snapToGrid w:val="0"/>
        <w:spacing w:line="520" w:lineRule="exact"/>
        <w:ind w:firstLine="480" w:firstLineChars="200"/>
        <w:rPr>
          <w:rFonts w:hint="eastAsia" w:ascii="宋体" w:hAnsi="宋体"/>
          <w:color w:val="auto"/>
          <w:sz w:val="24"/>
          <w:u w:val="single"/>
        </w:rPr>
      </w:pPr>
      <w:r>
        <w:rPr>
          <w:rFonts w:hint="eastAsia" w:ascii="宋体" w:hAnsi="宋体"/>
          <w:color w:val="auto"/>
          <w:sz w:val="24"/>
        </w:rPr>
        <w:t>电子邮箱：</w:t>
      </w:r>
      <w:r>
        <w:rPr>
          <w:rFonts w:hint="eastAsia" w:ascii="宋体" w:hAnsi="宋体"/>
          <w:color w:val="auto"/>
          <w:sz w:val="24"/>
          <w:u w:val="single"/>
        </w:rPr>
        <w:t xml:space="preserve">                 </w:t>
      </w:r>
      <w:r>
        <w:rPr>
          <w:rFonts w:hint="eastAsia" w:ascii="宋体" w:hAnsi="宋体"/>
          <w:color w:val="auto"/>
          <w:sz w:val="24"/>
        </w:rPr>
        <w:t xml:space="preserve">        电子邮箱：</w:t>
      </w:r>
      <w:r>
        <w:rPr>
          <w:rFonts w:hint="eastAsia" w:ascii="宋体" w:hAnsi="宋体"/>
          <w:color w:val="auto"/>
          <w:sz w:val="24"/>
          <w:u w:val="single"/>
        </w:rPr>
        <w:t xml:space="preserve">               </w:t>
      </w:r>
    </w:p>
    <w:p w14:paraId="3F448047">
      <w:pPr>
        <w:pStyle w:val="66"/>
        <w:rPr>
          <w:rFonts w:hint="eastAsia" w:ascii="宋体" w:hAnsi="宋体"/>
          <w:color w:val="auto"/>
          <w:sz w:val="24"/>
          <w:u w:val="single"/>
        </w:rPr>
      </w:pPr>
    </w:p>
    <w:p w14:paraId="3E269038">
      <w:pPr>
        <w:pStyle w:val="66"/>
        <w:rPr>
          <w:rFonts w:hint="eastAsia" w:ascii="宋体" w:hAnsi="宋体"/>
          <w:color w:val="auto"/>
          <w:sz w:val="24"/>
          <w:u w:val="single"/>
        </w:rPr>
      </w:pPr>
    </w:p>
    <w:p w14:paraId="5D4B04FC">
      <w:pPr>
        <w:pStyle w:val="66"/>
        <w:rPr>
          <w:rFonts w:hint="eastAsia" w:ascii="宋体" w:hAnsi="宋体"/>
          <w:color w:val="auto"/>
          <w:sz w:val="24"/>
          <w:u w:val="single"/>
        </w:rPr>
      </w:pPr>
    </w:p>
    <w:p w14:paraId="48636E4B">
      <w:pPr>
        <w:pStyle w:val="66"/>
        <w:rPr>
          <w:rFonts w:hint="eastAsia" w:ascii="宋体" w:hAnsi="宋体"/>
          <w:color w:val="auto"/>
          <w:sz w:val="24"/>
          <w:u w:val="single"/>
        </w:rPr>
      </w:pPr>
    </w:p>
    <w:p w14:paraId="038D8968">
      <w:pPr>
        <w:pStyle w:val="66"/>
        <w:rPr>
          <w:rFonts w:hint="eastAsia" w:ascii="宋体" w:hAnsi="宋体"/>
          <w:color w:val="auto"/>
          <w:sz w:val="24"/>
          <w:u w:val="single"/>
        </w:rPr>
      </w:pPr>
    </w:p>
    <w:p w14:paraId="6E0D1095">
      <w:pPr>
        <w:pStyle w:val="66"/>
        <w:rPr>
          <w:rFonts w:hint="eastAsia" w:ascii="宋体" w:hAnsi="宋体"/>
          <w:color w:val="auto"/>
          <w:sz w:val="24"/>
          <w:u w:val="single"/>
        </w:rPr>
      </w:pPr>
    </w:p>
    <w:p w14:paraId="1871D26F">
      <w:pPr>
        <w:pStyle w:val="66"/>
        <w:rPr>
          <w:rFonts w:hint="eastAsia" w:ascii="宋体" w:hAnsi="宋体"/>
          <w:color w:val="auto"/>
          <w:sz w:val="24"/>
          <w:u w:val="single"/>
        </w:rPr>
      </w:pPr>
    </w:p>
    <w:p w14:paraId="0BDDD143">
      <w:pPr>
        <w:pStyle w:val="66"/>
        <w:rPr>
          <w:rFonts w:hint="eastAsia" w:ascii="宋体" w:hAnsi="宋体"/>
          <w:color w:val="auto"/>
          <w:sz w:val="24"/>
          <w:u w:val="single"/>
        </w:rPr>
      </w:pPr>
    </w:p>
    <w:p w14:paraId="00106825">
      <w:pPr>
        <w:pStyle w:val="3"/>
        <w:numPr>
          <w:ilvl w:val="0"/>
          <w:numId w:val="10"/>
        </w:numPr>
        <w:bidi w:val="0"/>
        <w:jc w:val="center"/>
        <w:rPr>
          <w:rFonts w:hint="eastAsia"/>
          <w:color w:val="auto"/>
        </w:rPr>
      </w:pPr>
      <w:r>
        <w:rPr>
          <w:rFonts w:hint="eastAsia" w:ascii="宋体" w:hAnsi="宋体" w:eastAsia="宋体" w:cs="宋体"/>
          <w:color w:val="auto"/>
        </w:rPr>
        <w:t>竞争性磋商内容及技术要求</w:t>
      </w:r>
      <w:bookmarkEnd w:id="45"/>
      <w:bookmarkEnd w:id="46"/>
      <w:bookmarkEnd w:id="47"/>
      <w:bookmarkEnd w:id="48"/>
      <w:bookmarkEnd w:id="49"/>
      <w:bookmarkEnd w:id="50"/>
      <w:bookmarkEnd w:id="51"/>
      <w:bookmarkEnd w:id="52"/>
      <w:bookmarkEnd w:id="53"/>
      <w:bookmarkEnd w:id="54"/>
      <w:bookmarkStart w:id="55" w:name="_Toc18831"/>
      <w:bookmarkStart w:id="56" w:name="_Toc11450"/>
      <w:bookmarkStart w:id="57" w:name="_Toc23856"/>
      <w:bookmarkStart w:id="58" w:name="_Toc4053"/>
      <w:bookmarkStart w:id="59" w:name="_Toc2711"/>
      <w:bookmarkStart w:id="60" w:name="_Toc389582038"/>
      <w:bookmarkStart w:id="61" w:name="_Toc1025"/>
      <w:bookmarkStart w:id="62" w:name="_Toc20481"/>
    </w:p>
    <w:p w14:paraId="5AF122D9">
      <w:pPr>
        <w:spacing w:before="78" w:line="219" w:lineRule="auto"/>
        <w:rPr>
          <w:rFonts w:ascii="宋体" w:hAnsi="宋体" w:eastAsia="宋体" w:cs="宋体"/>
          <w:b/>
          <w:bCs/>
          <w:spacing w:val="-12"/>
          <w:sz w:val="24"/>
          <w:szCs w:val="24"/>
        </w:rPr>
      </w:pPr>
    </w:p>
    <w:p w14:paraId="2F050F96">
      <w:pPr>
        <w:pStyle w:val="2"/>
        <w:keepNext w:val="0"/>
        <w:keepLines w:val="0"/>
        <w:pageBreakBefore w:val="0"/>
        <w:widowControl w:val="0"/>
        <w:numPr>
          <w:ilvl w:val="0"/>
          <w:numId w:val="12"/>
        </w:numPr>
        <w:kinsoku/>
        <w:wordWrap/>
        <w:overflowPunct/>
        <w:topLinePunct w:val="0"/>
        <w:autoSpaceDE/>
        <w:autoSpaceDN/>
        <w:bidi w:val="0"/>
        <w:spacing w:line="360" w:lineRule="auto"/>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采购内容:搭建约510平米的美食特装馆展区，预计设置2</w:t>
      </w:r>
      <w:r>
        <w:rPr>
          <w:rFonts w:hint="eastAsia" w:ascii="宋体" w:hAnsi="宋体" w:cs="宋体"/>
          <w:b w:val="0"/>
          <w:bCs w:val="0"/>
          <w:sz w:val="21"/>
          <w:szCs w:val="21"/>
          <w:lang w:val="en-US" w:eastAsia="zh-CN"/>
        </w:rPr>
        <w:t>2</w:t>
      </w:r>
      <w:r>
        <w:rPr>
          <w:rFonts w:hint="eastAsia" w:ascii="宋体" w:hAnsi="宋体" w:eastAsia="宋体" w:cs="宋体"/>
          <w:b w:val="0"/>
          <w:bCs w:val="0"/>
          <w:sz w:val="21"/>
          <w:szCs w:val="21"/>
          <w:lang w:val="en-US" w:eastAsia="zh-CN"/>
        </w:rPr>
        <w:t>个美食摊位，现场制作和售卖特色美食，保障水电、桌椅等美食节所有项目。</w:t>
      </w:r>
    </w:p>
    <w:p w14:paraId="4D44D6B7">
      <w:pPr>
        <w:pStyle w:val="2"/>
        <w:keepNext w:val="0"/>
        <w:keepLines w:val="0"/>
        <w:pageBreakBefore w:val="0"/>
        <w:widowControl w:val="0"/>
        <w:numPr>
          <w:ilvl w:val="0"/>
          <w:numId w:val="12"/>
        </w:numPr>
        <w:kinsoku/>
        <w:wordWrap/>
        <w:overflowPunct/>
        <w:topLinePunct w:val="0"/>
        <w:autoSpaceDE/>
        <w:autoSpaceDN/>
        <w:bidi w:val="0"/>
        <w:spacing w:line="360" w:lineRule="auto"/>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主要功能或目标:搭建约510平米的美食特装馆展区，预计设置</w:t>
      </w:r>
      <w:r>
        <w:rPr>
          <w:rFonts w:hint="eastAsia" w:ascii="宋体" w:hAnsi="宋体" w:cs="宋体"/>
          <w:b w:val="0"/>
          <w:bCs w:val="0"/>
          <w:sz w:val="21"/>
          <w:szCs w:val="21"/>
          <w:lang w:val="en-US" w:eastAsia="zh-CN"/>
        </w:rPr>
        <w:t>22</w:t>
      </w:r>
      <w:r>
        <w:rPr>
          <w:rFonts w:hint="eastAsia" w:ascii="宋体" w:hAnsi="宋体" w:eastAsia="宋体" w:cs="宋体"/>
          <w:b w:val="0"/>
          <w:bCs w:val="0"/>
          <w:sz w:val="21"/>
          <w:szCs w:val="21"/>
          <w:lang w:val="en-US" w:eastAsia="zh-CN"/>
        </w:rPr>
        <w:t>个美食摊位，现场制作和售卖特色美食，保障水电、桌椅等美食节所有项目。</w:t>
      </w:r>
    </w:p>
    <w:p w14:paraId="31858965">
      <w:pPr>
        <w:keepNext w:val="0"/>
        <w:keepLines w:val="0"/>
        <w:pageBreakBefore w:val="0"/>
        <w:widowControl w:val="0"/>
        <w:numPr>
          <w:ilvl w:val="0"/>
          <w:numId w:val="12"/>
        </w:numPr>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服务质量要求：</w:t>
      </w:r>
      <w:r>
        <w:rPr>
          <w:rFonts w:hint="eastAsia" w:ascii="宋体" w:hAnsi="宋体" w:eastAsia="宋体" w:cs="宋体"/>
          <w:color w:val="auto"/>
          <w:kern w:val="0"/>
          <w:sz w:val="21"/>
          <w:szCs w:val="21"/>
          <w:lang w:eastAsia="zh-CN"/>
        </w:rPr>
        <w:t>供应商</w:t>
      </w:r>
      <w:r>
        <w:rPr>
          <w:rFonts w:hint="eastAsia" w:ascii="宋体" w:hAnsi="宋体" w:eastAsia="宋体" w:cs="宋体"/>
          <w:color w:val="auto"/>
          <w:kern w:val="0"/>
          <w:sz w:val="21"/>
          <w:szCs w:val="21"/>
        </w:rPr>
        <w:t>提供的货物及材料必须保证质量可靠，为市场最新或主流货物，进货渠道正常，配置合理齐全，应全面满足</w:t>
      </w:r>
      <w:r>
        <w:rPr>
          <w:rFonts w:hint="eastAsia" w:ascii="宋体" w:hAnsi="宋体" w:eastAsia="宋体" w:cs="宋体"/>
          <w:color w:val="auto"/>
          <w:kern w:val="0"/>
          <w:sz w:val="21"/>
          <w:szCs w:val="21"/>
          <w:lang w:eastAsia="zh-CN"/>
        </w:rPr>
        <w:t>磋商</w:t>
      </w:r>
      <w:r>
        <w:rPr>
          <w:rFonts w:hint="eastAsia" w:ascii="宋体" w:hAnsi="宋体" w:eastAsia="宋体" w:cs="宋体"/>
          <w:color w:val="auto"/>
          <w:kern w:val="0"/>
          <w:sz w:val="21"/>
          <w:szCs w:val="21"/>
        </w:rPr>
        <w:t>文件的要求，</w:t>
      </w:r>
      <w:r>
        <w:rPr>
          <w:rFonts w:hint="eastAsia" w:ascii="宋体" w:hAnsi="宋体" w:eastAsia="宋体" w:cs="宋体"/>
          <w:color w:val="auto"/>
          <w:kern w:val="0"/>
          <w:sz w:val="21"/>
          <w:szCs w:val="21"/>
          <w:lang w:eastAsia="zh-CN"/>
        </w:rPr>
        <w:t>磋商</w:t>
      </w:r>
      <w:r>
        <w:rPr>
          <w:rFonts w:hint="eastAsia" w:ascii="宋体" w:hAnsi="宋体" w:eastAsia="宋体" w:cs="宋体"/>
          <w:color w:val="auto"/>
          <w:kern w:val="0"/>
          <w:sz w:val="21"/>
          <w:szCs w:val="21"/>
        </w:rPr>
        <w:t>文件未明确要求的内容，</w:t>
      </w:r>
      <w:r>
        <w:rPr>
          <w:rFonts w:hint="eastAsia" w:ascii="宋体" w:hAnsi="宋体" w:eastAsia="宋体" w:cs="宋体"/>
          <w:color w:val="auto"/>
          <w:kern w:val="0"/>
          <w:sz w:val="21"/>
          <w:szCs w:val="21"/>
          <w:lang w:eastAsia="zh-CN"/>
        </w:rPr>
        <w:t>供应商</w:t>
      </w:r>
      <w:r>
        <w:rPr>
          <w:rFonts w:hint="eastAsia" w:ascii="宋体" w:hAnsi="宋体" w:eastAsia="宋体" w:cs="宋体"/>
          <w:color w:val="auto"/>
          <w:kern w:val="0"/>
          <w:sz w:val="21"/>
          <w:szCs w:val="21"/>
        </w:rPr>
        <w:t>须按招标货物主流标准配置或以采购人的补充要求为准。所供货物工艺质量应严格按国家最新发布的规范标准执行，如发生质量问题由投标人承担全部责任。</w:t>
      </w:r>
    </w:p>
    <w:p w14:paraId="3DF0099C">
      <w:pPr>
        <w:pStyle w:val="2"/>
        <w:ind w:left="871" w:leftChars="225" w:hanging="331" w:hangingChars="158"/>
        <w:rPr>
          <w:rFonts w:hint="default" w:eastAsia="宋体"/>
          <w:lang w:val="en-US" w:eastAsia="zh-CN"/>
        </w:rPr>
      </w:pPr>
      <w:r>
        <w:rPr>
          <w:rFonts w:hint="eastAsia" w:ascii="宋体" w:hAnsi="宋体" w:cs="宋体"/>
          <w:color w:val="auto"/>
          <w:kern w:val="0"/>
          <w:sz w:val="21"/>
          <w:szCs w:val="21"/>
          <w:lang w:val="en-US" w:eastAsia="zh-CN"/>
        </w:rPr>
        <w:t>4.人员要求：两名服务员，持健康证。</w:t>
      </w:r>
    </w:p>
    <w:p w14:paraId="70C078A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lang w:val="en-US" w:eastAsia="zh-CN"/>
        </w:rPr>
      </w:pPr>
      <w:r>
        <w:rPr>
          <w:rFonts w:hint="eastAsia" w:hAnsi="宋体" w:cs="宋体"/>
          <w:sz w:val="21"/>
          <w:szCs w:val="21"/>
          <w:lang w:val="en-US" w:eastAsia="zh-CN" w:bidi="ar-SA"/>
        </w:rPr>
        <w:t>5</w:t>
      </w:r>
      <w:r>
        <w:rPr>
          <w:rFonts w:hint="default" w:ascii="宋体" w:hAnsi="宋体" w:eastAsia="宋体" w:cs="宋体"/>
          <w:sz w:val="21"/>
          <w:szCs w:val="21"/>
          <w:lang w:val="en-US" w:eastAsia="zh-CN" w:bidi="ar-SA"/>
        </w:rPr>
        <w:t>．</w:t>
      </w:r>
      <w:r>
        <w:rPr>
          <w:rFonts w:hint="eastAsia" w:ascii="宋体" w:hAnsi="宋体" w:eastAsia="宋体" w:cs="宋体"/>
          <w:sz w:val="21"/>
          <w:szCs w:val="21"/>
          <w:lang w:val="en-US" w:eastAsia="zh-CN"/>
        </w:rPr>
        <w:t xml:space="preserve">磋商报价相关说明    </w:t>
      </w:r>
    </w:p>
    <w:p w14:paraId="11CF0612">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合同价即中标价，</w:t>
      </w:r>
      <w:r>
        <w:rPr>
          <w:rFonts w:hint="eastAsia" w:ascii="宋体" w:hAnsi="宋体" w:eastAsia="宋体" w:cs="宋体"/>
          <w:color w:val="auto"/>
          <w:kern w:val="0"/>
          <w:sz w:val="21"/>
          <w:szCs w:val="21"/>
          <w:lang w:eastAsia="zh-CN"/>
        </w:rPr>
        <w:t>供应商</w:t>
      </w:r>
      <w:r>
        <w:rPr>
          <w:rFonts w:hint="eastAsia" w:ascii="宋体" w:hAnsi="宋体" w:eastAsia="宋体" w:cs="宋体"/>
          <w:color w:val="auto"/>
          <w:sz w:val="21"/>
          <w:szCs w:val="21"/>
        </w:rPr>
        <w:t>应在投标报价表中包含但不限于完成本次招标所要求的服务且验收合格的所有费用，包括服务费、</w:t>
      </w:r>
      <w:r>
        <w:rPr>
          <w:rFonts w:hint="eastAsia" w:ascii="宋体" w:hAnsi="宋体" w:eastAsia="宋体" w:cs="宋体"/>
          <w:color w:val="auto"/>
          <w:sz w:val="21"/>
          <w:szCs w:val="21"/>
          <w:lang w:eastAsia="zh-CN"/>
        </w:rPr>
        <w:t>设计</w:t>
      </w:r>
      <w:r>
        <w:rPr>
          <w:rFonts w:hint="eastAsia" w:ascii="宋体" w:hAnsi="宋体" w:eastAsia="宋体" w:cs="宋体"/>
          <w:color w:val="auto"/>
          <w:sz w:val="21"/>
          <w:szCs w:val="21"/>
        </w:rPr>
        <w:t>费、</w:t>
      </w:r>
      <w:r>
        <w:rPr>
          <w:rFonts w:hint="eastAsia" w:ascii="宋体" w:hAnsi="宋体" w:eastAsia="宋体" w:cs="宋体"/>
          <w:color w:val="auto"/>
          <w:sz w:val="21"/>
          <w:szCs w:val="21"/>
          <w:lang w:eastAsia="zh-CN"/>
        </w:rPr>
        <w:t>美食活动人工费、美食活动配套设施设备、搭建费及配套活动等举办相关费用、</w:t>
      </w:r>
      <w:r>
        <w:rPr>
          <w:rFonts w:hint="eastAsia" w:ascii="宋体" w:hAnsi="宋体" w:eastAsia="宋体" w:cs="宋体"/>
          <w:color w:val="auto"/>
          <w:sz w:val="21"/>
          <w:szCs w:val="21"/>
        </w:rPr>
        <w:t>人工费、验收费用、税费等其他相关费用。投标报价表中包含为完成本次服务的所有单项价格和总价，任何有选择的报价将不予接受，按无效投标处理。</w:t>
      </w:r>
    </w:p>
    <w:p w14:paraId="7489C92A">
      <w:pPr>
        <w:keepNext w:val="0"/>
        <w:keepLines w:val="0"/>
        <w:pageBreakBefore w:val="0"/>
        <w:widowControl w:val="0"/>
        <w:numPr>
          <w:ilvl w:val="0"/>
          <w:numId w:val="13"/>
        </w:numPr>
        <w:kinsoku/>
        <w:wordWrap/>
        <w:overflowPunct/>
        <w:topLinePunct w:val="0"/>
        <w:autoSpaceDE/>
        <w:autoSpaceDN/>
        <w:bidi w:val="0"/>
        <w:spacing w:line="360" w:lineRule="auto"/>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color w:val="auto"/>
          <w:sz w:val="21"/>
          <w:szCs w:val="21"/>
        </w:rPr>
        <w:t>合同总价一次包死，不受市场价变化或实际工作量变化的影响。</w:t>
      </w:r>
    </w:p>
    <w:p w14:paraId="2C6888B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0" w:firstLineChars="200"/>
        <w:textAlignment w:val="auto"/>
        <w:rPr>
          <w:rFonts w:hint="default" w:ascii="宋体" w:hAnsi="宋体" w:eastAsia="宋体" w:cs="宋体"/>
          <w:sz w:val="21"/>
          <w:szCs w:val="21"/>
          <w:lang w:val="en-US" w:eastAsia="zh-CN"/>
        </w:rPr>
      </w:pPr>
      <w:r>
        <w:rPr>
          <w:rFonts w:hint="eastAsia" w:hAnsi="宋体" w:cs="宋体"/>
          <w:sz w:val="21"/>
          <w:szCs w:val="21"/>
          <w:lang w:val="en-US" w:eastAsia="zh-CN" w:bidi="ar-SA"/>
        </w:rPr>
        <w:t>6</w:t>
      </w:r>
      <w:r>
        <w:rPr>
          <w:rFonts w:hint="default" w:ascii="宋体" w:hAnsi="宋体" w:eastAsia="宋体" w:cs="宋体"/>
          <w:sz w:val="21"/>
          <w:szCs w:val="21"/>
          <w:lang w:val="en-US" w:eastAsia="zh-CN" w:bidi="ar-SA"/>
        </w:rPr>
        <w:t>．</w:t>
      </w:r>
      <w:r>
        <w:rPr>
          <w:rFonts w:hint="eastAsia" w:ascii="宋体" w:hAnsi="宋体" w:eastAsia="宋体" w:cs="宋体"/>
          <w:sz w:val="21"/>
          <w:szCs w:val="21"/>
          <w:lang w:val="en-US" w:eastAsia="zh-CN"/>
        </w:rPr>
        <w:t>报价清单明细</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99"/>
        <w:gridCol w:w="1597"/>
        <w:gridCol w:w="1253"/>
        <w:gridCol w:w="3453"/>
        <w:gridCol w:w="1537"/>
      </w:tblGrid>
      <w:tr w14:paraId="1C70A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99" w:type="dxa"/>
            <w:gridSpan w:val="2"/>
            <w:noWrap w:val="0"/>
            <w:vAlign w:val="center"/>
          </w:tcPr>
          <w:p w14:paraId="7735EE34">
            <w:pPr>
              <w:jc w:val="center"/>
              <w:rPr>
                <w:rFonts w:hint="default"/>
                <w:vertAlign w:val="baseline"/>
                <w:lang w:val="en-US" w:eastAsia="zh-CN"/>
              </w:rPr>
            </w:pPr>
            <w:r>
              <w:rPr>
                <w:rFonts w:hint="eastAsia"/>
                <w:vertAlign w:val="baseline"/>
                <w:lang w:val="en-US" w:eastAsia="zh-CN"/>
              </w:rPr>
              <w:t>序号</w:t>
            </w:r>
          </w:p>
        </w:tc>
        <w:tc>
          <w:tcPr>
            <w:tcW w:w="1715" w:type="dxa"/>
            <w:noWrap w:val="0"/>
            <w:vAlign w:val="center"/>
          </w:tcPr>
          <w:p w14:paraId="179213DB">
            <w:pPr>
              <w:jc w:val="center"/>
              <w:rPr>
                <w:rFonts w:hint="default"/>
                <w:vertAlign w:val="baseline"/>
                <w:lang w:val="en-US" w:eastAsia="zh-CN"/>
              </w:rPr>
            </w:pPr>
            <w:r>
              <w:rPr>
                <w:rFonts w:hint="eastAsia"/>
                <w:vertAlign w:val="baseline"/>
                <w:lang w:val="en-US" w:eastAsia="zh-CN"/>
              </w:rPr>
              <w:t>项目名称</w:t>
            </w:r>
          </w:p>
        </w:tc>
        <w:tc>
          <w:tcPr>
            <w:tcW w:w="1307" w:type="dxa"/>
            <w:noWrap w:val="0"/>
            <w:vAlign w:val="center"/>
          </w:tcPr>
          <w:p w14:paraId="7AFFEC85">
            <w:pPr>
              <w:jc w:val="center"/>
              <w:rPr>
                <w:rFonts w:hint="default"/>
                <w:vertAlign w:val="baseline"/>
                <w:lang w:val="en-US" w:eastAsia="zh-CN"/>
              </w:rPr>
            </w:pPr>
            <w:r>
              <w:rPr>
                <w:rFonts w:hint="eastAsia"/>
                <w:vertAlign w:val="baseline"/>
                <w:lang w:val="en-US" w:eastAsia="zh-CN"/>
              </w:rPr>
              <w:t>面积（m</w:t>
            </w:r>
            <w:r>
              <w:rPr>
                <w:rFonts w:hint="eastAsia"/>
                <w:sz w:val="21"/>
                <w:vertAlign w:val="superscript"/>
                <w:lang w:val="en-US" w:eastAsia="zh-CN"/>
              </w:rPr>
              <w:t>2</w:t>
            </w:r>
            <w:r>
              <w:rPr>
                <w:rFonts w:hint="eastAsia"/>
                <w:sz w:val="21"/>
                <w:vertAlign w:val="baseline"/>
                <w:lang w:val="en-US" w:eastAsia="zh-CN"/>
              </w:rPr>
              <w:t>)</w:t>
            </w:r>
          </w:p>
        </w:tc>
        <w:tc>
          <w:tcPr>
            <w:tcW w:w="3739" w:type="dxa"/>
            <w:noWrap w:val="0"/>
            <w:vAlign w:val="center"/>
          </w:tcPr>
          <w:p w14:paraId="5EEEF217">
            <w:pPr>
              <w:jc w:val="center"/>
              <w:rPr>
                <w:rFonts w:hint="default"/>
                <w:vertAlign w:val="baseline"/>
                <w:lang w:val="en-US" w:eastAsia="zh-CN"/>
              </w:rPr>
            </w:pPr>
            <w:r>
              <w:rPr>
                <w:rFonts w:hint="eastAsia"/>
                <w:vertAlign w:val="baseline"/>
                <w:lang w:val="en-US" w:eastAsia="zh-CN"/>
              </w:rPr>
              <w:t>技术要求</w:t>
            </w:r>
          </w:p>
        </w:tc>
        <w:tc>
          <w:tcPr>
            <w:tcW w:w="1599" w:type="dxa"/>
            <w:noWrap w:val="0"/>
            <w:vAlign w:val="center"/>
          </w:tcPr>
          <w:p w14:paraId="73790A99">
            <w:pPr>
              <w:jc w:val="center"/>
              <w:rPr>
                <w:rFonts w:hint="default"/>
                <w:vertAlign w:val="baseline"/>
                <w:lang w:val="en-US" w:eastAsia="zh-CN"/>
              </w:rPr>
            </w:pPr>
            <w:r>
              <w:rPr>
                <w:rFonts w:hint="eastAsia"/>
                <w:vertAlign w:val="baseline"/>
                <w:lang w:val="en-US" w:eastAsia="zh-CN"/>
              </w:rPr>
              <w:t>合价（元）</w:t>
            </w:r>
          </w:p>
        </w:tc>
      </w:tr>
      <w:tr w14:paraId="5A9F6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noWrap w:val="0"/>
            <w:vAlign w:val="top"/>
          </w:tcPr>
          <w:p w14:paraId="5485A6E1">
            <w:pPr>
              <w:numPr>
                <w:ilvl w:val="0"/>
                <w:numId w:val="14"/>
              </w:numPr>
              <w:ind w:left="425" w:leftChars="0" w:hanging="425" w:firstLineChars="0"/>
              <w:rPr>
                <w:rFonts w:hint="default"/>
                <w:vertAlign w:val="baseline"/>
                <w:lang w:val="en-US" w:eastAsia="zh-CN"/>
              </w:rPr>
            </w:pPr>
          </w:p>
        </w:tc>
        <w:tc>
          <w:tcPr>
            <w:tcW w:w="1822" w:type="dxa"/>
            <w:gridSpan w:val="2"/>
            <w:noWrap w:val="0"/>
            <w:vAlign w:val="top"/>
          </w:tcPr>
          <w:p w14:paraId="0CDA0DD3">
            <w:pPr>
              <w:rPr>
                <w:rFonts w:hint="default"/>
                <w:vertAlign w:val="baseline"/>
                <w:lang w:val="en-US" w:eastAsia="zh-CN"/>
              </w:rPr>
            </w:pPr>
            <w:r>
              <w:rPr>
                <w:rFonts w:hint="eastAsia"/>
                <w:vertAlign w:val="baseline"/>
                <w:lang w:val="en-US" w:eastAsia="zh-CN"/>
              </w:rPr>
              <w:t>设计服务费</w:t>
            </w:r>
          </w:p>
        </w:tc>
        <w:tc>
          <w:tcPr>
            <w:tcW w:w="1307" w:type="dxa"/>
            <w:vMerge w:val="restart"/>
            <w:noWrap w:val="0"/>
            <w:vAlign w:val="center"/>
          </w:tcPr>
          <w:p w14:paraId="2DE94CA5">
            <w:pPr>
              <w:jc w:val="center"/>
              <w:rPr>
                <w:rFonts w:hint="eastAsia"/>
                <w:vertAlign w:val="baseline"/>
                <w:lang w:val="en-US" w:eastAsia="zh-CN"/>
              </w:rPr>
            </w:pPr>
            <w:r>
              <w:rPr>
                <w:rFonts w:hint="eastAsia"/>
                <w:vertAlign w:val="baseline"/>
                <w:lang w:val="en-US" w:eastAsia="zh-CN"/>
              </w:rPr>
              <w:t>510</w:t>
            </w:r>
          </w:p>
          <w:p w14:paraId="1D531150">
            <w:pPr>
              <w:jc w:val="center"/>
              <w:rPr>
                <w:rFonts w:hint="default"/>
                <w:vertAlign w:val="baseline"/>
                <w:lang w:val="en-US" w:eastAsia="zh-CN"/>
              </w:rPr>
            </w:pPr>
          </w:p>
        </w:tc>
        <w:tc>
          <w:tcPr>
            <w:tcW w:w="3739" w:type="dxa"/>
            <w:noWrap w:val="0"/>
            <w:vAlign w:val="top"/>
          </w:tcPr>
          <w:p w14:paraId="4A17E50B">
            <w:pPr>
              <w:rPr>
                <w:rFonts w:hint="default"/>
                <w:vertAlign w:val="baseline"/>
                <w:lang w:val="en-US" w:eastAsia="zh-CN"/>
              </w:rPr>
            </w:pPr>
          </w:p>
        </w:tc>
        <w:tc>
          <w:tcPr>
            <w:tcW w:w="1599" w:type="dxa"/>
            <w:noWrap w:val="0"/>
            <w:vAlign w:val="top"/>
          </w:tcPr>
          <w:p w14:paraId="28E7D902">
            <w:pPr>
              <w:rPr>
                <w:rFonts w:hint="default"/>
                <w:vertAlign w:val="baseline"/>
                <w:lang w:val="en-US" w:eastAsia="zh-CN"/>
              </w:rPr>
            </w:pPr>
          </w:p>
        </w:tc>
      </w:tr>
      <w:tr w14:paraId="7AF31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noWrap w:val="0"/>
            <w:vAlign w:val="top"/>
          </w:tcPr>
          <w:p w14:paraId="5FD1C626">
            <w:pPr>
              <w:numPr>
                <w:ilvl w:val="0"/>
                <w:numId w:val="14"/>
              </w:numPr>
              <w:ind w:left="425" w:leftChars="0" w:hanging="425" w:firstLineChars="0"/>
              <w:rPr>
                <w:rFonts w:hint="default"/>
                <w:vertAlign w:val="baseline"/>
                <w:lang w:val="en-US" w:eastAsia="zh-CN"/>
              </w:rPr>
            </w:pPr>
          </w:p>
        </w:tc>
        <w:tc>
          <w:tcPr>
            <w:tcW w:w="1822" w:type="dxa"/>
            <w:gridSpan w:val="2"/>
            <w:noWrap w:val="0"/>
            <w:vAlign w:val="top"/>
          </w:tcPr>
          <w:p w14:paraId="7C219954">
            <w:pPr>
              <w:rPr>
                <w:rFonts w:hint="default"/>
                <w:vertAlign w:val="baseline"/>
                <w:lang w:val="en-US" w:eastAsia="zh-CN"/>
              </w:rPr>
            </w:pPr>
            <w:r>
              <w:rPr>
                <w:rFonts w:hint="eastAsia"/>
                <w:vertAlign w:val="baseline"/>
                <w:lang w:val="en-US" w:eastAsia="zh-CN"/>
              </w:rPr>
              <w:t>造型制作费</w:t>
            </w:r>
          </w:p>
        </w:tc>
        <w:tc>
          <w:tcPr>
            <w:tcW w:w="1307" w:type="dxa"/>
            <w:vMerge w:val="continue"/>
            <w:noWrap w:val="0"/>
            <w:vAlign w:val="top"/>
          </w:tcPr>
          <w:p w14:paraId="7C850903">
            <w:pPr>
              <w:rPr>
                <w:rFonts w:hint="default"/>
                <w:vertAlign w:val="baseline"/>
                <w:lang w:val="en-US" w:eastAsia="zh-CN"/>
              </w:rPr>
            </w:pPr>
          </w:p>
        </w:tc>
        <w:tc>
          <w:tcPr>
            <w:tcW w:w="3739" w:type="dxa"/>
            <w:noWrap w:val="0"/>
            <w:vAlign w:val="top"/>
          </w:tcPr>
          <w:p w14:paraId="5955FD40">
            <w:pPr>
              <w:rPr>
                <w:rFonts w:hint="default"/>
                <w:vertAlign w:val="baseline"/>
                <w:lang w:val="en-US" w:eastAsia="zh-CN"/>
              </w:rPr>
            </w:pPr>
          </w:p>
        </w:tc>
        <w:tc>
          <w:tcPr>
            <w:tcW w:w="1599" w:type="dxa"/>
            <w:noWrap w:val="0"/>
            <w:vAlign w:val="top"/>
          </w:tcPr>
          <w:p w14:paraId="0C3D3329">
            <w:pPr>
              <w:rPr>
                <w:rFonts w:hint="default"/>
                <w:vertAlign w:val="baseline"/>
                <w:lang w:val="en-US" w:eastAsia="zh-CN"/>
              </w:rPr>
            </w:pPr>
          </w:p>
        </w:tc>
      </w:tr>
      <w:tr w14:paraId="2579E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noWrap w:val="0"/>
            <w:vAlign w:val="top"/>
          </w:tcPr>
          <w:p w14:paraId="270BB409">
            <w:pPr>
              <w:numPr>
                <w:ilvl w:val="0"/>
                <w:numId w:val="14"/>
              </w:numPr>
              <w:ind w:left="425" w:leftChars="0" w:hanging="425" w:firstLineChars="0"/>
              <w:rPr>
                <w:rFonts w:hint="default"/>
                <w:vertAlign w:val="baseline"/>
                <w:lang w:val="en-US" w:eastAsia="zh-CN"/>
              </w:rPr>
            </w:pPr>
          </w:p>
        </w:tc>
        <w:tc>
          <w:tcPr>
            <w:tcW w:w="1822" w:type="dxa"/>
            <w:gridSpan w:val="2"/>
            <w:noWrap w:val="0"/>
            <w:vAlign w:val="top"/>
          </w:tcPr>
          <w:p w14:paraId="17F43FD8">
            <w:pPr>
              <w:rPr>
                <w:rFonts w:hint="default"/>
                <w:vertAlign w:val="baseline"/>
                <w:lang w:val="en-US" w:eastAsia="zh-CN"/>
              </w:rPr>
            </w:pPr>
            <w:r>
              <w:rPr>
                <w:rFonts w:hint="eastAsia"/>
                <w:vertAlign w:val="baseline"/>
                <w:lang w:val="en-US" w:eastAsia="zh-CN"/>
              </w:rPr>
              <w:t>技艺展演</w:t>
            </w:r>
          </w:p>
        </w:tc>
        <w:tc>
          <w:tcPr>
            <w:tcW w:w="1307" w:type="dxa"/>
            <w:vMerge w:val="continue"/>
            <w:noWrap w:val="0"/>
            <w:vAlign w:val="top"/>
          </w:tcPr>
          <w:p w14:paraId="2DE1EA10">
            <w:pPr>
              <w:rPr>
                <w:rFonts w:hint="default"/>
                <w:vertAlign w:val="baseline"/>
                <w:lang w:val="en-US" w:eastAsia="zh-CN"/>
              </w:rPr>
            </w:pPr>
          </w:p>
        </w:tc>
        <w:tc>
          <w:tcPr>
            <w:tcW w:w="3739" w:type="dxa"/>
            <w:noWrap w:val="0"/>
            <w:vAlign w:val="top"/>
          </w:tcPr>
          <w:p w14:paraId="40E0D164">
            <w:pPr>
              <w:rPr>
                <w:rFonts w:hint="default"/>
                <w:vertAlign w:val="baseline"/>
                <w:lang w:val="en-US" w:eastAsia="zh-CN"/>
              </w:rPr>
            </w:pPr>
          </w:p>
        </w:tc>
        <w:tc>
          <w:tcPr>
            <w:tcW w:w="1599" w:type="dxa"/>
            <w:noWrap w:val="0"/>
            <w:vAlign w:val="top"/>
          </w:tcPr>
          <w:p w14:paraId="14153A51">
            <w:pPr>
              <w:rPr>
                <w:rFonts w:hint="default"/>
                <w:vertAlign w:val="baseline"/>
                <w:lang w:val="en-US" w:eastAsia="zh-CN"/>
              </w:rPr>
            </w:pPr>
          </w:p>
        </w:tc>
      </w:tr>
      <w:tr w14:paraId="69CC6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noWrap w:val="0"/>
            <w:vAlign w:val="top"/>
          </w:tcPr>
          <w:p w14:paraId="78B20F47">
            <w:pPr>
              <w:numPr>
                <w:ilvl w:val="0"/>
                <w:numId w:val="14"/>
              </w:numPr>
              <w:ind w:left="425" w:leftChars="0" w:hanging="425" w:firstLineChars="0"/>
              <w:rPr>
                <w:rFonts w:hint="default"/>
                <w:vertAlign w:val="baseline"/>
                <w:lang w:val="en-US" w:eastAsia="zh-CN"/>
              </w:rPr>
            </w:pPr>
          </w:p>
        </w:tc>
        <w:tc>
          <w:tcPr>
            <w:tcW w:w="1822" w:type="dxa"/>
            <w:gridSpan w:val="2"/>
            <w:noWrap w:val="0"/>
            <w:vAlign w:val="top"/>
          </w:tcPr>
          <w:p w14:paraId="0AE709C3">
            <w:pPr>
              <w:rPr>
                <w:rFonts w:hint="default"/>
                <w:vertAlign w:val="baseline"/>
                <w:lang w:val="en-US" w:eastAsia="zh-CN"/>
              </w:rPr>
            </w:pPr>
            <w:r>
              <w:rPr>
                <w:rFonts w:hint="eastAsia"/>
                <w:vertAlign w:val="baseline"/>
                <w:lang w:val="en-US" w:eastAsia="zh-CN"/>
              </w:rPr>
              <w:t>展会宣传费</w:t>
            </w:r>
          </w:p>
        </w:tc>
        <w:tc>
          <w:tcPr>
            <w:tcW w:w="1307" w:type="dxa"/>
            <w:vMerge w:val="continue"/>
            <w:noWrap w:val="0"/>
            <w:vAlign w:val="top"/>
          </w:tcPr>
          <w:p w14:paraId="6E631015">
            <w:pPr>
              <w:rPr>
                <w:rFonts w:hint="default"/>
                <w:vertAlign w:val="baseline"/>
                <w:lang w:val="en-US" w:eastAsia="zh-CN"/>
              </w:rPr>
            </w:pPr>
          </w:p>
        </w:tc>
        <w:tc>
          <w:tcPr>
            <w:tcW w:w="3739" w:type="dxa"/>
            <w:noWrap w:val="0"/>
            <w:vAlign w:val="top"/>
          </w:tcPr>
          <w:p w14:paraId="4531FD1D">
            <w:pPr>
              <w:rPr>
                <w:rFonts w:hint="default"/>
                <w:vertAlign w:val="baseline"/>
                <w:lang w:val="en-US" w:eastAsia="zh-CN"/>
              </w:rPr>
            </w:pPr>
          </w:p>
        </w:tc>
        <w:tc>
          <w:tcPr>
            <w:tcW w:w="1599" w:type="dxa"/>
            <w:noWrap w:val="0"/>
            <w:vAlign w:val="top"/>
          </w:tcPr>
          <w:p w14:paraId="72E711A9">
            <w:pPr>
              <w:rPr>
                <w:rFonts w:hint="default"/>
                <w:vertAlign w:val="baseline"/>
                <w:lang w:val="en-US" w:eastAsia="zh-CN"/>
              </w:rPr>
            </w:pPr>
          </w:p>
        </w:tc>
      </w:tr>
      <w:tr w14:paraId="20563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592" w:type="dxa"/>
            <w:noWrap w:val="0"/>
            <w:vAlign w:val="top"/>
          </w:tcPr>
          <w:p w14:paraId="4AEDDDFB">
            <w:pPr>
              <w:numPr>
                <w:ilvl w:val="0"/>
                <w:numId w:val="14"/>
              </w:numPr>
              <w:ind w:left="425" w:leftChars="0" w:hanging="425" w:firstLineChars="0"/>
              <w:rPr>
                <w:rFonts w:hint="default"/>
                <w:vertAlign w:val="baseline"/>
                <w:lang w:val="en-US" w:eastAsia="zh-CN"/>
              </w:rPr>
            </w:pPr>
          </w:p>
        </w:tc>
        <w:tc>
          <w:tcPr>
            <w:tcW w:w="1822" w:type="dxa"/>
            <w:gridSpan w:val="2"/>
            <w:noWrap w:val="0"/>
            <w:vAlign w:val="top"/>
          </w:tcPr>
          <w:p w14:paraId="1D801F01">
            <w:pPr>
              <w:rPr>
                <w:rFonts w:hint="default"/>
                <w:vertAlign w:val="baseline"/>
                <w:lang w:val="en-US" w:eastAsia="zh-CN"/>
              </w:rPr>
            </w:pPr>
            <w:r>
              <w:rPr>
                <w:rFonts w:hint="eastAsia"/>
                <w:vertAlign w:val="baseline"/>
                <w:lang w:val="en-US" w:eastAsia="zh-CN"/>
              </w:rPr>
              <w:t>材料费</w:t>
            </w:r>
          </w:p>
        </w:tc>
        <w:tc>
          <w:tcPr>
            <w:tcW w:w="1307" w:type="dxa"/>
            <w:vMerge w:val="continue"/>
            <w:noWrap w:val="0"/>
            <w:vAlign w:val="top"/>
          </w:tcPr>
          <w:p w14:paraId="77194654">
            <w:pPr>
              <w:rPr>
                <w:rFonts w:hint="default"/>
                <w:vertAlign w:val="baseline"/>
                <w:lang w:val="en-US" w:eastAsia="zh-CN"/>
              </w:rPr>
            </w:pPr>
          </w:p>
        </w:tc>
        <w:tc>
          <w:tcPr>
            <w:tcW w:w="3739" w:type="dxa"/>
            <w:noWrap w:val="0"/>
            <w:vAlign w:val="top"/>
          </w:tcPr>
          <w:p w14:paraId="62CCACE6">
            <w:pPr>
              <w:rPr>
                <w:rFonts w:hint="default"/>
                <w:vertAlign w:val="baseline"/>
                <w:lang w:val="en-US" w:eastAsia="zh-CN"/>
              </w:rPr>
            </w:pPr>
            <w:r>
              <w:rPr>
                <w:rFonts w:hint="eastAsia"/>
                <w:vertAlign w:val="baseline"/>
                <w:lang w:val="en-US" w:eastAsia="zh-CN"/>
              </w:rPr>
              <w:t>主体搭建、展位建设、榆林美食推广宣传现场操作台、LED屏音响、冷藏柜、冷冻柜、空调、桌椅、垃圾箱等其余相关设施设备</w:t>
            </w:r>
          </w:p>
        </w:tc>
        <w:tc>
          <w:tcPr>
            <w:tcW w:w="1599" w:type="dxa"/>
            <w:noWrap w:val="0"/>
            <w:vAlign w:val="top"/>
          </w:tcPr>
          <w:p w14:paraId="46AD85DD">
            <w:pPr>
              <w:rPr>
                <w:rFonts w:hint="default"/>
                <w:vertAlign w:val="baseline"/>
                <w:lang w:val="en-US" w:eastAsia="zh-CN"/>
              </w:rPr>
            </w:pPr>
          </w:p>
        </w:tc>
      </w:tr>
      <w:tr w14:paraId="5E5D7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noWrap w:val="0"/>
            <w:vAlign w:val="top"/>
          </w:tcPr>
          <w:p w14:paraId="1859A86B">
            <w:pPr>
              <w:numPr>
                <w:ilvl w:val="0"/>
                <w:numId w:val="14"/>
              </w:numPr>
              <w:ind w:left="425" w:leftChars="0" w:hanging="425" w:firstLineChars="0"/>
              <w:rPr>
                <w:rFonts w:hint="default"/>
                <w:vertAlign w:val="baseline"/>
                <w:lang w:val="en-US" w:eastAsia="zh-CN"/>
              </w:rPr>
            </w:pPr>
          </w:p>
        </w:tc>
        <w:tc>
          <w:tcPr>
            <w:tcW w:w="1822" w:type="dxa"/>
            <w:gridSpan w:val="2"/>
            <w:noWrap w:val="0"/>
            <w:vAlign w:val="top"/>
          </w:tcPr>
          <w:p w14:paraId="421436BB">
            <w:pPr>
              <w:rPr>
                <w:rFonts w:hint="default"/>
                <w:vertAlign w:val="baseline"/>
                <w:lang w:val="en-US" w:eastAsia="zh-CN"/>
              </w:rPr>
            </w:pPr>
            <w:r>
              <w:rPr>
                <w:rFonts w:hint="eastAsia"/>
                <w:vertAlign w:val="baseline"/>
                <w:lang w:val="en-US" w:eastAsia="zh-CN"/>
              </w:rPr>
              <w:t>人工费</w:t>
            </w:r>
          </w:p>
        </w:tc>
        <w:tc>
          <w:tcPr>
            <w:tcW w:w="1307" w:type="dxa"/>
            <w:vMerge w:val="continue"/>
            <w:noWrap w:val="0"/>
            <w:vAlign w:val="top"/>
          </w:tcPr>
          <w:p w14:paraId="39352A5A">
            <w:pPr>
              <w:rPr>
                <w:rFonts w:hint="default"/>
                <w:vertAlign w:val="baseline"/>
                <w:lang w:val="en-US" w:eastAsia="zh-CN"/>
              </w:rPr>
            </w:pPr>
          </w:p>
        </w:tc>
        <w:tc>
          <w:tcPr>
            <w:tcW w:w="3739" w:type="dxa"/>
            <w:noWrap w:val="0"/>
            <w:vAlign w:val="top"/>
          </w:tcPr>
          <w:p w14:paraId="5290238A">
            <w:pPr>
              <w:rPr>
                <w:rFonts w:hint="default"/>
                <w:vertAlign w:val="baseline"/>
                <w:lang w:val="en-US" w:eastAsia="zh-CN"/>
              </w:rPr>
            </w:pPr>
          </w:p>
        </w:tc>
        <w:tc>
          <w:tcPr>
            <w:tcW w:w="1599" w:type="dxa"/>
            <w:noWrap w:val="0"/>
            <w:vAlign w:val="top"/>
          </w:tcPr>
          <w:p w14:paraId="616D13E4">
            <w:pPr>
              <w:rPr>
                <w:rFonts w:hint="default"/>
                <w:vertAlign w:val="baseline"/>
                <w:lang w:val="en-US" w:eastAsia="zh-CN"/>
              </w:rPr>
            </w:pPr>
          </w:p>
        </w:tc>
      </w:tr>
      <w:tr w14:paraId="02DF6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noWrap w:val="0"/>
            <w:vAlign w:val="top"/>
          </w:tcPr>
          <w:p w14:paraId="7656049D">
            <w:pPr>
              <w:numPr>
                <w:ilvl w:val="0"/>
                <w:numId w:val="14"/>
              </w:numPr>
              <w:ind w:left="425" w:leftChars="0" w:hanging="425" w:firstLineChars="0"/>
              <w:rPr>
                <w:rFonts w:hint="default"/>
                <w:vertAlign w:val="baseline"/>
                <w:lang w:val="en-US" w:eastAsia="zh-CN"/>
              </w:rPr>
            </w:pPr>
          </w:p>
        </w:tc>
        <w:tc>
          <w:tcPr>
            <w:tcW w:w="1822" w:type="dxa"/>
            <w:gridSpan w:val="2"/>
            <w:noWrap w:val="0"/>
            <w:vAlign w:val="top"/>
          </w:tcPr>
          <w:p w14:paraId="5F24200C">
            <w:pPr>
              <w:rPr>
                <w:rFonts w:hint="default"/>
                <w:vertAlign w:val="baseline"/>
                <w:lang w:val="en-US" w:eastAsia="zh-CN"/>
              </w:rPr>
            </w:pPr>
            <w:r>
              <w:rPr>
                <w:rFonts w:hint="eastAsia"/>
                <w:vertAlign w:val="baseline"/>
                <w:lang w:val="en-US" w:eastAsia="zh-CN"/>
              </w:rPr>
              <w:t>含税价合计</w:t>
            </w:r>
          </w:p>
        </w:tc>
        <w:tc>
          <w:tcPr>
            <w:tcW w:w="6645" w:type="dxa"/>
            <w:gridSpan w:val="3"/>
            <w:noWrap w:val="0"/>
            <w:vAlign w:val="top"/>
          </w:tcPr>
          <w:p w14:paraId="2FE04C1E">
            <w:pPr>
              <w:rPr>
                <w:rFonts w:hint="default"/>
                <w:vertAlign w:val="baseline"/>
                <w:lang w:val="en-US" w:eastAsia="zh-CN"/>
              </w:rPr>
            </w:pPr>
          </w:p>
        </w:tc>
      </w:tr>
    </w:tbl>
    <w:p w14:paraId="64E7B741">
      <w:pPr>
        <w:spacing w:before="78" w:line="219" w:lineRule="auto"/>
        <w:rPr>
          <w:rFonts w:ascii="宋体" w:hAnsi="宋体" w:eastAsia="宋体" w:cs="宋体"/>
          <w:b/>
          <w:bCs/>
          <w:spacing w:val="-12"/>
          <w:sz w:val="24"/>
          <w:szCs w:val="24"/>
        </w:rPr>
      </w:pPr>
    </w:p>
    <w:p w14:paraId="440F2CA3">
      <w:pPr>
        <w:spacing w:before="78" w:line="219" w:lineRule="auto"/>
        <w:rPr>
          <w:rFonts w:ascii="宋体" w:hAnsi="宋体" w:eastAsia="宋体" w:cs="宋体"/>
          <w:b/>
          <w:bCs/>
          <w:spacing w:val="-12"/>
          <w:sz w:val="24"/>
          <w:szCs w:val="24"/>
        </w:rPr>
      </w:pPr>
    </w:p>
    <w:p w14:paraId="106C5B10">
      <w:pPr>
        <w:spacing w:before="78" w:line="219" w:lineRule="auto"/>
        <w:rPr>
          <w:rFonts w:ascii="宋体" w:hAnsi="宋体" w:eastAsia="宋体" w:cs="宋体"/>
          <w:b/>
          <w:bCs/>
          <w:spacing w:val="-12"/>
          <w:sz w:val="24"/>
          <w:szCs w:val="24"/>
        </w:rPr>
      </w:pPr>
    </w:p>
    <w:p w14:paraId="6C1F03F7">
      <w:pPr>
        <w:spacing w:before="78" w:line="219" w:lineRule="auto"/>
        <w:rPr>
          <w:rFonts w:ascii="宋体" w:hAnsi="宋体" w:eastAsia="宋体" w:cs="宋体"/>
          <w:b/>
          <w:bCs/>
          <w:spacing w:val="-12"/>
          <w:sz w:val="24"/>
          <w:szCs w:val="24"/>
        </w:rPr>
      </w:pPr>
    </w:p>
    <w:p w14:paraId="5B621952">
      <w:pPr>
        <w:pStyle w:val="3"/>
        <w:keepNext w:val="0"/>
        <w:spacing w:before="156" w:beforeLines="50" w:after="156" w:afterLines="50" w:line="360" w:lineRule="auto"/>
        <w:jc w:val="center"/>
        <w:rPr>
          <w:rFonts w:hint="eastAsia" w:ascii="宋体" w:eastAsia="宋体"/>
          <w:bCs/>
          <w:color w:val="auto"/>
          <w:sz w:val="24"/>
          <w:szCs w:val="24"/>
        </w:rPr>
      </w:pPr>
      <w:r>
        <w:rPr>
          <w:rFonts w:hint="eastAsia" w:ascii="宋体" w:eastAsia="宋体"/>
          <w:bCs/>
          <w:color w:val="auto"/>
          <w:sz w:val="36"/>
          <w:szCs w:val="36"/>
        </w:rPr>
        <w:t>第五章  评审方法</w:t>
      </w:r>
      <w:bookmarkEnd w:id="55"/>
      <w:r>
        <w:rPr>
          <w:rFonts w:hint="eastAsia" w:ascii="宋体" w:eastAsia="宋体"/>
          <w:bCs/>
          <w:color w:val="auto"/>
          <w:sz w:val="36"/>
          <w:szCs w:val="36"/>
        </w:rPr>
        <w:t xml:space="preserve"> </w:t>
      </w:r>
    </w:p>
    <w:p w14:paraId="7392E4AE">
      <w:pPr>
        <w:spacing w:line="360" w:lineRule="auto"/>
        <w:rPr>
          <w:b/>
          <w:color w:val="auto"/>
          <w:szCs w:val="24"/>
        </w:rPr>
      </w:pPr>
      <w:r>
        <w:rPr>
          <w:rFonts w:hint="eastAsia"/>
          <w:b/>
          <w:color w:val="auto"/>
          <w:szCs w:val="24"/>
        </w:rPr>
        <w:t>一．评审方法：</w:t>
      </w:r>
    </w:p>
    <w:p w14:paraId="7663A8A8">
      <w:pPr>
        <w:spacing w:line="500" w:lineRule="exact"/>
        <w:ind w:firstLine="520" w:firstLineChars="217"/>
        <w:rPr>
          <w:rFonts w:hint="eastAsia" w:hAnsi="宋体"/>
          <w:color w:val="auto"/>
          <w:spacing w:val="4"/>
          <w:szCs w:val="24"/>
        </w:rPr>
      </w:pPr>
      <w:r>
        <w:rPr>
          <w:rFonts w:hAnsi="宋体"/>
          <w:color w:val="auto"/>
          <w:szCs w:val="24"/>
        </w:rPr>
        <w:t>按照《中华人民共和国政府采购法》</w:t>
      </w:r>
      <w:r>
        <w:rPr>
          <w:rFonts w:hint="eastAsia" w:hAnsi="宋体"/>
          <w:color w:val="auto"/>
          <w:szCs w:val="24"/>
        </w:rPr>
        <w:t>及实施条例和</w:t>
      </w:r>
      <w:r>
        <w:rPr>
          <w:rFonts w:hAnsi="宋体"/>
          <w:color w:val="auto"/>
          <w:szCs w:val="24"/>
        </w:rPr>
        <w:t>关于印发《政府采购竞争性磋商采购方式管理暂行办法》的通知</w:t>
      </w:r>
      <w:r>
        <w:rPr>
          <w:rFonts w:hint="eastAsia" w:hAnsi="宋体"/>
          <w:color w:val="auto"/>
          <w:szCs w:val="24"/>
        </w:rPr>
        <w:t>（</w:t>
      </w:r>
      <w:r>
        <w:rPr>
          <w:rFonts w:hAnsi="宋体"/>
          <w:color w:val="auto"/>
          <w:szCs w:val="24"/>
        </w:rPr>
        <w:t>财库【2014】214号</w:t>
      </w:r>
      <w:r>
        <w:rPr>
          <w:rFonts w:hint="eastAsia" w:hAnsi="宋体"/>
          <w:color w:val="auto"/>
          <w:szCs w:val="24"/>
        </w:rPr>
        <w:t>）</w:t>
      </w:r>
      <w:r>
        <w:rPr>
          <w:rFonts w:hint="eastAsia" w:hAnsi="宋体"/>
          <w:color w:val="auto"/>
          <w:spacing w:val="4"/>
          <w:szCs w:val="24"/>
        </w:rPr>
        <w:t>的规定，本次评标采用综合评分法，即在最大限度地满足竞争性磋商文件实质性要求前提下，按照竞争性磋商文件中规定的各项因素和相应的权重分值进行综合评审后，以总得分最高的供应商作为成交候选人并依次排序（</w:t>
      </w:r>
      <w:r>
        <w:rPr>
          <w:rFonts w:hint="eastAsia" w:hAnsi="宋体"/>
          <w:b/>
          <w:bCs/>
          <w:color w:val="auto"/>
          <w:spacing w:val="4"/>
          <w:szCs w:val="24"/>
        </w:rPr>
        <w:t>最低报价不是成交的唯一标准</w:t>
      </w:r>
      <w:r>
        <w:rPr>
          <w:rFonts w:hint="eastAsia" w:hAnsi="宋体"/>
          <w:color w:val="auto"/>
          <w:spacing w:val="4"/>
          <w:szCs w:val="24"/>
        </w:rPr>
        <w:t>）。</w:t>
      </w:r>
    </w:p>
    <w:p w14:paraId="22AFE3F0">
      <w:pPr>
        <w:spacing w:line="500" w:lineRule="exact"/>
        <w:rPr>
          <w:rFonts w:hint="eastAsia" w:hAnsi="宋体"/>
          <w:b/>
          <w:color w:val="auto"/>
          <w:spacing w:val="4"/>
          <w:szCs w:val="24"/>
        </w:rPr>
      </w:pPr>
      <w:r>
        <w:rPr>
          <w:rFonts w:hint="eastAsia" w:hAnsi="宋体"/>
          <w:b/>
          <w:color w:val="auto"/>
          <w:spacing w:val="4"/>
          <w:szCs w:val="24"/>
        </w:rPr>
        <w:t>二、评审程序：</w:t>
      </w:r>
    </w:p>
    <w:p w14:paraId="57088675">
      <w:pPr>
        <w:pStyle w:val="36"/>
        <w:spacing w:line="500" w:lineRule="exact"/>
        <w:ind w:left="0" w:leftChars="0" w:firstLine="496" w:firstLineChars="200"/>
        <w:rPr>
          <w:rFonts w:hint="eastAsia"/>
          <w:color w:val="auto"/>
          <w:sz w:val="24"/>
          <w:szCs w:val="24"/>
        </w:rPr>
      </w:pPr>
      <w:r>
        <w:rPr>
          <w:rFonts w:hint="eastAsia"/>
          <w:color w:val="auto"/>
          <w:sz w:val="24"/>
          <w:szCs w:val="24"/>
        </w:rPr>
        <w:t>按照竞争性磋商响应文件初审、澄清有关问题、分别磋商、二次报价、比较与评审、推荐成交候选</w:t>
      </w:r>
      <w:r>
        <w:rPr>
          <w:rFonts w:hint="eastAsia"/>
          <w:color w:val="auto"/>
          <w:sz w:val="24"/>
          <w:szCs w:val="24"/>
          <w:lang w:eastAsia="zh-CN"/>
        </w:rPr>
        <w:t>人</w:t>
      </w:r>
      <w:r>
        <w:rPr>
          <w:rFonts w:hint="eastAsia"/>
          <w:color w:val="auto"/>
          <w:sz w:val="24"/>
          <w:szCs w:val="24"/>
        </w:rPr>
        <w:t>名单。在上一步评审中被认定为无效磋商者，不进入下一步的评审。</w:t>
      </w:r>
    </w:p>
    <w:p w14:paraId="6782DF5E">
      <w:pPr>
        <w:numPr>
          <w:ilvl w:val="0"/>
          <w:numId w:val="15"/>
        </w:numPr>
        <w:spacing w:line="500" w:lineRule="exact"/>
        <w:ind w:firstLine="498" w:firstLineChars="200"/>
        <w:rPr>
          <w:rFonts w:hint="eastAsia" w:hAnsi="宋体"/>
          <w:b/>
          <w:bCs/>
          <w:color w:val="auto"/>
          <w:spacing w:val="4"/>
          <w:szCs w:val="24"/>
        </w:rPr>
      </w:pPr>
      <w:r>
        <w:rPr>
          <w:rFonts w:hint="eastAsia" w:hAnsi="宋体"/>
          <w:b/>
          <w:bCs/>
          <w:color w:val="auto"/>
          <w:spacing w:val="4"/>
          <w:szCs w:val="24"/>
        </w:rPr>
        <w:t>对磋商响应文件的初审：</w:t>
      </w:r>
    </w:p>
    <w:p w14:paraId="2C6E0638">
      <w:pPr>
        <w:tabs>
          <w:tab w:val="left" w:pos="0"/>
        </w:tabs>
        <w:adjustRightInd w:val="0"/>
        <w:snapToGrid w:val="0"/>
        <w:spacing w:line="500" w:lineRule="exact"/>
        <w:ind w:firstLine="472" w:firstLineChars="196"/>
        <w:rPr>
          <w:color w:val="auto"/>
        </w:rPr>
      </w:pPr>
      <w:r>
        <w:rPr>
          <w:rFonts w:hint="eastAsia"/>
          <w:b/>
          <w:bCs/>
          <w:color w:val="auto"/>
        </w:rPr>
        <w:t>1.1</w:t>
      </w:r>
      <w:r>
        <w:rPr>
          <w:b/>
          <w:bCs/>
          <w:color w:val="auto"/>
        </w:rPr>
        <w:t>资格性审查。</w:t>
      </w:r>
      <w:r>
        <w:rPr>
          <w:rFonts w:hint="eastAsia"/>
          <w:color w:val="auto"/>
        </w:rPr>
        <w:t>磋商小组</w:t>
      </w:r>
      <w:r>
        <w:rPr>
          <w:color w:val="auto"/>
        </w:rPr>
        <w:t>将依据</w:t>
      </w:r>
      <w:r>
        <w:rPr>
          <w:rFonts w:hint="eastAsia"/>
          <w:color w:val="auto"/>
        </w:rPr>
        <w:t>磋商响应</w:t>
      </w:r>
      <w:r>
        <w:rPr>
          <w:color w:val="auto"/>
        </w:rPr>
        <w:t>文件，按照</w:t>
      </w:r>
      <w:r>
        <w:rPr>
          <w:rFonts w:hint="eastAsia"/>
          <w:color w:val="auto"/>
        </w:rPr>
        <w:t>磋商</w:t>
      </w:r>
      <w:r>
        <w:rPr>
          <w:color w:val="auto"/>
        </w:rPr>
        <w:t>文件第二章</w:t>
      </w:r>
      <w:r>
        <w:rPr>
          <w:rFonts w:hint="eastAsia"/>
          <w:color w:val="auto"/>
        </w:rPr>
        <w:t>供应商须知</w:t>
      </w:r>
      <w:r>
        <w:rPr>
          <w:rFonts w:hint="eastAsia" w:hAnsi="宋体" w:cs="宋体"/>
          <w:color w:val="auto"/>
        </w:rPr>
        <w:t>前附表12.1条所述资格要</w:t>
      </w:r>
      <w:r>
        <w:rPr>
          <w:rFonts w:hint="eastAsia"/>
          <w:color w:val="auto"/>
        </w:rPr>
        <w:t>求进行资格性审查，</w:t>
      </w:r>
      <w:r>
        <w:rPr>
          <w:color w:val="auto"/>
        </w:rPr>
        <w:t>如果</w:t>
      </w:r>
      <w:r>
        <w:rPr>
          <w:rFonts w:hint="eastAsia"/>
          <w:color w:val="auto"/>
        </w:rPr>
        <w:t>供应商</w:t>
      </w:r>
      <w:r>
        <w:rPr>
          <w:color w:val="auto"/>
        </w:rPr>
        <w:t>不满足</w:t>
      </w:r>
      <w:r>
        <w:rPr>
          <w:rFonts w:hint="eastAsia"/>
          <w:color w:val="auto"/>
        </w:rPr>
        <w:t>磋商</w:t>
      </w:r>
      <w:r>
        <w:rPr>
          <w:color w:val="auto"/>
        </w:rPr>
        <w:t>文件所规定的</w:t>
      </w:r>
      <w:r>
        <w:rPr>
          <w:rFonts w:hint="eastAsia"/>
          <w:color w:val="auto"/>
        </w:rPr>
        <w:t>资格要求</w:t>
      </w:r>
      <w:r>
        <w:rPr>
          <w:color w:val="auto"/>
        </w:rPr>
        <w:t>或提供</w:t>
      </w:r>
      <w:r>
        <w:rPr>
          <w:rFonts w:hint="eastAsia"/>
          <w:color w:val="auto"/>
        </w:rPr>
        <w:t>资格证明文件</w:t>
      </w:r>
      <w:r>
        <w:rPr>
          <w:color w:val="auto"/>
        </w:rPr>
        <w:t>不全,将被视为未实质性响应</w:t>
      </w:r>
      <w:r>
        <w:rPr>
          <w:rFonts w:hint="eastAsia"/>
          <w:color w:val="auto"/>
        </w:rPr>
        <w:t>磋商</w:t>
      </w:r>
      <w:r>
        <w:rPr>
          <w:color w:val="auto"/>
        </w:rPr>
        <w:t>文件。</w:t>
      </w:r>
    </w:p>
    <w:p w14:paraId="77C8E0FA">
      <w:pPr>
        <w:tabs>
          <w:tab w:val="left" w:pos="0"/>
        </w:tabs>
        <w:adjustRightInd w:val="0"/>
        <w:snapToGrid w:val="0"/>
        <w:spacing w:line="500" w:lineRule="exact"/>
        <w:ind w:firstLine="472" w:firstLineChars="196"/>
        <w:rPr>
          <w:color w:val="auto"/>
        </w:rPr>
      </w:pPr>
      <w:r>
        <w:rPr>
          <w:rFonts w:hint="eastAsia"/>
          <w:b/>
          <w:bCs/>
          <w:color w:val="auto"/>
        </w:rPr>
        <w:t>1</w:t>
      </w:r>
      <w:r>
        <w:rPr>
          <w:b/>
          <w:bCs/>
          <w:color w:val="auto"/>
        </w:rPr>
        <w:t>.2符合性审查。</w:t>
      </w:r>
      <w:r>
        <w:rPr>
          <w:rFonts w:hint="eastAsia"/>
          <w:color w:val="auto"/>
        </w:rPr>
        <w:t>磋商小组</w:t>
      </w:r>
      <w:r>
        <w:rPr>
          <w:color w:val="auto"/>
        </w:rPr>
        <w:t>从</w:t>
      </w:r>
      <w:r>
        <w:rPr>
          <w:rFonts w:hint="eastAsia"/>
          <w:color w:val="auto"/>
        </w:rPr>
        <w:t>磋商响应</w:t>
      </w:r>
      <w:r>
        <w:rPr>
          <w:color w:val="auto"/>
        </w:rPr>
        <w:t>文件的完整性、有效性和对</w:t>
      </w:r>
      <w:r>
        <w:rPr>
          <w:rFonts w:hint="eastAsia"/>
          <w:color w:val="auto"/>
        </w:rPr>
        <w:t>磋商</w:t>
      </w:r>
      <w:r>
        <w:rPr>
          <w:color w:val="auto"/>
        </w:rPr>
        <w:t>文件的响应程度进行审查，以确定其是否对</w:t>
      </w:r>
      <w:r>
        <w:rPr>
          <w:rFonts w:hint="eastAsia"/>
          <w:color w:val="auto"/>
        </w:rPr>
        <w:t>磋商</w:t>
      </w:r>
      <w:r>
        <w:rPr>
          <w:color w:val="auto"/>
        </w:rPr>
        <w:t>文件实质性内容作出响应。</w:t>
      </w:r>
    </w:p>
    <w:p w14:paraId="134722E6">
      <w:pPr>
        <w:spacing w:line="500" w:lineRule="exact"/>
        <w:ind w:firstLine="496" w:firstLineChars="200"/>
        <w:rPr>
          <w:rFonts w:hint="eastAsia" w:hAnsi="宋体" w:cs="宋体"/>
          <w:bCs/>
          <w:color w:val="auto"/>
          <w:spacing w:val="4"/>
          <w:szCs w:val="24"/>
        </w:rPr>
      </w:pPr>
      <w:r>
        <w:rPr>
          <w:rFonts w:hint="eastAsia" w:hAnsi="宋体" w:cs="宋体"/>
          <w:bCs/>
          <w:color w:val="auto"/>
          <w:spacing w:val="4"/>
          <w:szCs w:val="24"/>
        </w:rPr>
        <w:t>1.2.1竞争性磋商响应文件的完整性。竞争性磋商响应文件构成是否有重大缺项，是否按照竞争性磋商文件要求的格式编写竞争性磋商响应文件。</w:t>
      </w:r>
    </w:p>
    <w:p w14:paraId="056D7259">
      <w:pPr>
        <w:spacing w:line="500" w:lineRule="exact"/>
        <w:ind w:firstLine="496" w:firstLineChars="200"/>
        <w:rPr>
          <w:rFonts w:hint="eastAsia" w:hAnsi="宋体" w:cs="宋体"/>
          <w:bCs/>
          <w:color w:val="auto"/>
          <w:spacing w:val="4"/>
          <w:szCs w:val="24"/>
        </w:rPr>
      </w:pPr>
      <w:r>
        <w:rPr>
          <w:rFonts w:hint="eastAsia" w:hAnsi="宋体" w:cs="宋体"/>
          <w:bCs/>
          <w:color w:val="auto"/>
          <w:spacing w:val="4"/>
          <w:szCs w:val="24"/>
        </w:rPr>
        <w:t>1.2.2竞争性磋商响应文件的有效性。竞争性磋商响应文件的签署、加盖印章是否合格、有效；提供的各种证明文件、数据、资料是否真实、有效。</w:t>
      </w:r>
    </w:p>
    <w:p w14:paraId="71DDD329">
      <w:pPr>
        <w:spacing w:line="500" w:lineRule="exact"/>
        <w:ind w:firstLine="496" w:firstLineChars="200"/>
        <w:rPr>
          <w:rFonts w:hint="eastAsia" w:hAnsi="宋体" w:cs="宋体"/>
          <w:color w:val="auto"/>
          <w:szCs w:val="24"/>
        </w:rPr>
      </w:pPr>
      <w:r>
        <w:rPr>
          <w:rFonts w:hint="eastAsia" w:hAnsi="宋体" w:cs="宋体"/>
          <w:bCs/>
          <w:color w:val="auto"/>
          <w:spacing w:val="4"/>
          <w:szCs w:val="24"/>
        </w:rPr>
        <w:t>1.2.3竞争性磋商</w:t>
      </w:r>
      <w:r>
        <w:rPr>
          <w:rFonts w:hint="eastAsia" w:hAnsi="宋体" w:cs="宋体"/>
          <w:color w:val="auto"/>
          <w:szCs w:val="24"/>
        </w:rPr>
        <w:t>响应文件的响应性。磋商有效期是否符合竞争性磋商文件要求；是否满足本次磋商的特殊要求；磋商方案是否有重大缺漏项；磋商产品的技术规格是否有重大偏离；磋商商务响应条款是否有重大偏离；对合同中规定的双方的权利和义务是否做出了实质性修改。</w:t>
      </w:r>
    </w:p>
    <w:p w14:paraId="26345A4D">
      <w:pPr>
        <w:spacing w:line="500" w:lineRule="exact"/>
        <w:ind w:firstLine="480" w:firstLineChars="200"/>
        <w:rPr>
          <w:rFonts w:hint="eastAsia" w:hAnsi="宋体" w:cs="宋体"/>
          <w:color w:val="auto"/>
          <w:szCs w:val="24"/>
        </w:rPr>
      </w:pPr>
      <w:r>
        <w:rPr>
          <w:rFonts w:hint="eastAsia" w:hAnsi="宋体" w:cs="宋体"/>
          <w:color w:val="auto"/>
          <w:szCs w:val="24"/>
        </w:rPr>
        <w:t>1.2.4报价是否超过采购预算。</w:t>
      </w:r>
    </w:p>
    <w:p w14:paraId="5C881419">
      <w:pPr>
        <w:spacing w:before="156" w:beforeLines="50" w:after="156" w:afterLines="50" w:line="500" w:lineRule="exact"/>
        <w:ind w:firstLine="482" w:firstLineChars="200"/>
        <w:rPr>
          <w:rFonts w:hint="eastAsia" w:hAnsi="宋体" w:cs="宋体"/>
          <w:b/>
          <w:color w:val="auto"/>
        </w:rPr>
      </w:pPr>
      <w:r>
        <w:rPr>
          <w:rFonts w:hint="eastAsia" w:hAnsi="宋体" w:cs="宋体"/>
          <w:b/>
          <w:color w:val="auto"/>
        </w:rPr>
        <w:t>2、磋商响应文件的澄清</w:t>
      </w:r>
    </w:p>
    <w:p w14:paraId="74ED57D2">
      <w:pPr>
        <w:spacing w:line="500" w:lineRule="exact"/>
        <w:ind w:firstLine="496" w:firstLineChars="200"/>
        <w:rPr>
          <w:rFonts w:hint="eastAsia" w:hAnsi="宋体" w:cs="宋体"/>
          <w:bCs/>
          <w:color w:val="auto"/>
          <w:spacing w:val="4"/>
          <w:szCs w:val="24"/>
        </w:rPr>
      </w:pPr>
      <w:r>
        <w:rPr>
          <w:rFonts w:hint="eastAsia" w:hAnsi="宋体" w:cs="宋体"/>
          <w:bCs/>
          <w:color w:val="auto"/>
          <w:spacing w:val="4"/>
          <w:szCs w:val="24"/>
        </w:rPr>
        <w:t>2.1磋商小组发现供应商的报价明显低于其他磋商报价，有可能影响服务质量或者不能诚信履约的，应当要求其在合理的时间内做出书面说明，必要提交相关证明材料。供应商不能证明其报价合理性的，由磋商小组将其作为无效响应处理。</w:t>
      </w:r>
    </w:p>
    <w:p w14:paraId="2E9B2891">
      <w:pPr>
        <w:spacing w:line="500" w:lineRule="exact"/>
        <w:ind w:firstLine="480" w:firstLineChars="200"/>
        <w:rPr>
          <w:rFonts w:hint="eastAsia" w:hAnsi="宋体" w:cs="宋体"/>
          <w:bCs/>
          <w:color w:val="auto"/>
          <w:spacing w:val="4"/>
          <w:szCs w:val="24"/>
        </w:rPr>
      </w:pPr>
      <w:r>
        <w:rPr>
          <w:rFonts w:hint="eastAsia" w:hAnsi="宋体" w:cs="宋体"/>
          <w:color w:val="auto"/>
          <w:szCs w:val="24"/>
        </w:rPr>
        <w:t>2.2有效的书面澄清材料，是磋商响应文件的补充材料，成为磋商响应文件的组成部分。</w:t>
      </w:r>
    </w:p>
    <w:p w14:paraId="3F06BDE7">
      <w:pPr>
        <w:spacing w:line="500" w:lineRule="exact"/>
        <w:ind w:firstLine="482" w:firstLineChars="200"/>
        <w:rPr>
          <w:rFonts w:hint="eastAsia" w:hAnsi="宋体"/>
          <w:color w:val="auto"/>
          <w:szCs w:val="24"/>
        </w:rPr>
      </w:pPr>
      <w:r>
        <w:rPr>
          <w:rFonts w:hint="eastAsia" w:hAnsi="宋体"/>
          <w:b/>
          <w:bCs/>
          <w:color w:val="auto"/>
          <w:szCs w:val="24"/>
        </w:rPr>
        <w:t>3、磋商：</w:t>
      </w:r>
      <w:r>
        <w:rPr>
          <w:rFonts w:hint="eastAsia" w:hAnsi="宋体"/>
          <w:color w:val="auto"/>
          <w:szCs w:val="24"/>
        </w:rPr>
        <w:t>磋商小组所有成员集中与单一供应商分别进行磋商，并要求供应商在规定的时间内提交最后报价。在磋商过程中，磋商小组可以根据磋商文件和磋商情况实质性变动采购需求中的技术</w:t>
      </w:r>
      <w:r>
        <w:rPr>
          <w:rFonts w:hAnsi="宋体"/>
          <w:color w:val="auto"/>
          <w:szCs w:val="24"/>
        </w:rPr>
        <w:t>、</w:t>
      </w:r>
      <w:r>
        <w:rPr>
          <w:rFonts w:hint="eastAsia" w:hAnsi="宋体"/>
          <w:color w:val="auto"/>
          <w:szCs w:val="24"/>
        </w:rPr>
        <w:t>服务要求以及合同草案条款，但不得变动磋商文件中的其它内容。实质性变动得内容，需经采购人代表确认。</w:t>
      </w:r>
    </w:p>
    <w:p w14:paraId="521CB608">
      <w:pPr>
        <w:spacing w:line="500" w:lineRule="exact"/>
        <w:ind w:firstLine="602" w:firstLineChars="250"/>
        <w:rPr>
          <w:rFonts w:hint="eastAsia" w:hAnsi="宋体"/>
          <w:color w:val="auto"/>
          <w:szCs w:val="24"/>
        </w:rPr>
      </w:pPr>
      <w:r>
        <w:rPr>
          <w:rFonts w:hint="eastAsia" w:hAnsi="宋体"/>
          <w:b/>
          <w:bCs/>
          <w:color w:val="auto"/>
          <w:szCs w:val="24"/>
        </w:rPr>
        <w:t>4、</w:t>
      </w:r>
      <w:r>
        <w:rPr>
          <w:rFonts w:hint="eastAsia"/>
          <w:b/>
          <w:bCs/>
          <w:color w:val="auto"/>
          <w:szCs w:val="24"/>
        </w:rPr>
        <w:t>综合评审</w:t>
      </w:r>
      <w:r>
        <w:rPr>
          <w:rFonts w:hint="eastAsia" w:hAnsi="宋体"/>
          <w:b/>
          <w:bCs/>
          <w:color w:val="auto"/>
          <w:szCs w:val="24"/>
        </w:rPr>
        <w:t>：</w:t>
      </w:r>
      <w:r>
        <w:rPr>
          <w:rFonts w:hint="eastAsia" w:hAnsi="宋体"/>
          <w:color w:val="auto"/>
          <w:szCs w:val="24"/>
        </w:rPr>
        <w:t>对于经初审合格的所有供应商，</w:t>
      </w:r>
      <w:r>
        <w:rPr>
          <w:rFonts w:hint="eastAsia"/>
          <w:color w:val="auto"/>
          <w:szCs w:val="24"/>
        </w:rPr>
        <w:t>由磋商小组各成员依据磋商响应文件和最终报价，</w:t>
      </w:r>
      <w:r>
        <w:rPr>
          <w:rFonts w:hint="eastAsia" w:hAnsi="宋体"/>
          <w:color w:val="auto"/>
          <w:szCs w:val="24"/>
        </w:rPr>
        <w:t>按照下列《评标要素和分值分解表》规定的内容独立进行综合评价、比较打分，然后汇总每个供应商的得分，从高到低依次排序，推荐成交候选人。</w:t>
      </w:r>
    </w:p>
    <w:p w14:paraId="20294619">
      <w:pPr>
        <w:spacing w:line="500" w:lineRule="exact"/>
        <w:jc w:val="left"/>
        <w:rPr>
          <w:rFonts w:hint="eastAsia" w:hAnsi="宋体"/>
          <w:b/>
          <w:color w:val="auto"/>
          <w:szCs w:val="24"/>
        </w:rPr>
      </w:pPr>
      <w:r>
        <w:rPr>
          <w:rFonts w:hint="eastAsia" w:hAnsi="宋体"/>
          <w:b/>
          <w:color w:val="auto"/>
          <w:szCs w:val="24"/>
        </w:rPr>
        <w:t>三</w:t>
      </w:r>
      <w:r>
        <w:rPr>
          <w:rFonts w:hAnsi="宋体"/>
          <w:b/>
          <w:color w:val="auto"/>
          <w:szCs w:val="24"/>
        </w:rPr>
        <w:t>、政策性扣减</w:t>
      </w:r>
    </w:p>
    <w:p w14:paraId="709CAB0E">
      <w:pPr>
        <w:spacing w:line="500" w:lineRule="exact"/>
        <w:ind w:firstLine="482" w:firstLineChars="200"/>
        <w:jc w:val="left"/>
        <w:rPr>
          <w:rFonts w:hint="eastAsia" w:hAnsi="宋体"/>
          <w:b/>
          <w:bCs/>
          <w:color w:val="auto"/>
          <w:szCs w:val="24"/>
        </w:rPr>
      </w:pPr>
      <w:r>
        <w:rPr>
          <w:rFonts w:hint="eastAsia" w:hAnsi="宋体"/>
          <w:b/>
          <w:bCs/>
          <w:color w:val="auto"/>
          <w:szCs w:val="24"/>
        </w:rPr>
        <w:t>1</w:t>
      </w:r>
      <w:r>
        <w:rPr>
          <w:rFonts w:hAnsi="宋体"/>
          <w:b/>
          <w:bCs/>
          <w:color w:val="auto"/>
          <w:szCs w:val="24"/>
        </w:rPr>
        <w:t>政策性扣减范围</w:t>
      </w:r>
    </w:p>
    <w:p w14:paraId="259670CF">
      <w:pPr>
        <w:spacing w:line="500" w:lineRule="exact"/>
        <w:ind w:firstLine="480" w:firstLineChars="200"/>
        <w:jc w:val="left"/>
        <w:rPr>
          <w:rFonts w:hint="eastAsia" w:hAnsi="宋体"/>
          <w:color w:val="auto"/>
          <w:szCs w:val="24"/>
        </w:rPr>
      </w:pPr>
      <w:r>
        <w:rPr>
          <w:rFonts w:hAnsi="宋体"/>
          <w:color w:val="auto"/>
          <w:szCs w:val="24"/>
        </w:rPr>
        <w:t>1.1供应商符合小型、微型企业或监狱企业</w:t>
      </w:r>
      <w:r>
        <w:rPr>
          <w:rFonts w:hint="eastAsia" w:hAnsi="宋体"/>
          <w:color w:val="auto"/>
          <w:szCs w:val="24"/>
        </w:rPr>
        <w:t>、残疾人福利性单位</w:t>
      </w:r>
      <w:r>
        <w:rPr>
          <w:rFonts w:hAnsi="宋体"/>
          <w:color w:val="auto"/>
          <w:szCs w:val="24"/>
        </w:rPr>
        <w:t>条件的，其</w:t>
      </w:r>
      <w:r>
        <w:rPr>
          <w:rFonts w:hint="eastAsia" w:hAnsi="宋体"/>
          <w:color w:val="auto"/>
          <w:szCs w:val="24"/>
        </w:rPr>
        <w:t>磋商</w:t>
      </w:r>
      <w:r>
        <w:rPr>
          <w:rFonts w:hAnsi="宋体"/>
          <w:color w:val="auto"/>
          <w:szCs w:val="24"/>
        </w:rPr>
        <w:t>报价价格评审时将按相应比例进行扣减。</w:t>
      </w:r>
    </w:p>
    <w:p w14:paraId="17F22784">
      <w:pPr>
        <w:spacing w:line="500" w:lineRule="exact"/>
        <w:ind w:firstLine="480" w:firstLineChars="200"/>
        <w:jc w:val="left"/>
        <w:rPr>
          <w:rFonts w:hint="eastAsia" w:hAnsi="宋体"/>
          <w:color w:val="auto"/>
          <w:szCs w:val="24"/>
        </w:rPr>
      </w:pPr>
      <w:r>
        <w:rPr>
          <w:rFonts w:hAnsi="宋体"/>
          <w:color w:val="auto"/>
          <w:szCs w:val="24"/>
        </w:rPr>
        <w:t>1.2依照&lt;关于印发《政府采购促进中小企业发展暂行办法》的通知&gt;（财库</w:t>
      </w:r>
      <w:r>
        <w:rPr>
          <w:rFonts w:hint="eastAsia" w:hAnsi="宋体"/>
          <w:color w:val="auto"/>
          <w:szCs w:val="24"/>
        </w:rPr>
        <w:t>(</w:t>
      </w:r>
      <w:r>
        <w:rPr>
          <w:rFonts w:hAnsi="宋体"/>
          <w:color w:val="auto"/>
          <w:szCs w:val="24"/>
        </w:rPr>
        <w:t>20</w:t>
      </w:r>
      <w:r>
        <w:rPr>
          <w:rFonts w:hint="eastAsia" w:hAnsi="宋体"/>
          <w:color w:val="auto"/>
          <w:szCs w:val="24"/>
          <w:lang w:val="en-US" w:eastAsia="zh-CN"/>
        </w:rPr>
        <w:t>20</w:t>
      </w:r>
      <w:r>
        <w:rPr>
          <w:rFonts w:hAnsi="宋体"/>
          <w:color w:val="auto"/>
          <w:szCs w:val="24"/>
        </w:rPr>
        <w:t>〕</w:t>
      </w:r>
      <w:r>
        <w:rPr>
          <w:rFonts w:hint="eastAsia" w:hAnsi="宋体"/>
          <w:color w:val="auto"/>
          <w:szCs w:val="24"/>
          <w:lang w:val="en-US" w:eastAsia="zh-CN"/>
        </w:rPr>
        <w:t>46</w:t>
      </w:r>
      <w:r>
        <w:rPr>
          <w:rFonts w:hAnsi="宋体"/>
          <w:color w:val="auto"/>
          <w:szCs w:val="24"/>
        </w:rPr>
        <w:t>号）的规定，小型、微型企业应当同时符合以下条件：</w:t>
      </w:r>
    </w:p>
    <w:p w14:paraId="419AD219">
      <w:pPr>
        <w:spacing w:line="500" w:lineRule="exact"/>
        <w:ind w:firstLine="480" w:firstLineChars="200"/>
        <w:jc w:val="left"/>
        <w:rPr>
          <w:rFonts w:hint="eastAsia" w:hAnsi="宋体"/>
          <w:color w:val="auto"/>
          <w:szCs w:val="24"/>
        </w:rPr>
      </w:pPr>
      <w:r>
        <w:rPr>
          <w:rFonts w:hAnsi="宋体"/>
          <w:color w:val="auto"/>
          <w:szCs w:val="24"/>
        </w:rPr>
        <w:t>1.2.1符合中小企业划分标准（中小企业划分标准是指国务院有关部门根据企业从业人员、营业收入、资产总额等指标制定的中小企业划型标准（工信部联企业〔2011〕300号））。</w:t>
      </w:r>
    </w:p>
    <w:p w14:paraId="216579A7">
      <w:pPr>
        <w:spacing w:line="500" w:lineRule="exact"/>
        <w:ind w:firstLine="480" w:firstLineChars="200"/>
        <w:jc w:val="left"/>
        <w:rPr>
          <w:rFonts w:hint="eastAsia" w:hAnsi="宋体"/>
          <w:color w:val="auto"/>
          <w:szCs w:val="24"/>
        </w:rPr>
      </w:pPr>
      <w:r>
        <w:rPr>
          <w:rFonts w:hAnsi="宋体"/>
          <w:color w:val="auto"/>
          <w:szCs w:val="24"/>
        </w:rPr>
        <w:t>1.2.2提供本企业制造的货物、承担的工程或者服务，或者提供其他中小企业制造的货物，不包括提供或使用大型企业注册商标的货物。</w:t>
      </w:r>
    </w:p>
    <w:p w14:paraId="346CDF6C">
      <w:pPr>
        <w:spacing w:line="560" w:lineRule="exact"/>
        <w:ind w:firstLine="480" w:firstLineChars="200"/>
        <w:rPr>
          <w:rFonts w:hint="eastAsia" w:ascii="宋体" w:hAnsi="宋体" w:eastAsia="宋体" w:cs="Times New Roman"/>
          <w:color w:val="auto"/>
          <w:szCs w:val="22"/>
        </w:rPr>
      </w:pPr>
      <w:r>
        <w:rPr>
          <w:rFonts w:hint="eastAsia" w:ascii="宋体" w:hAnsi="宋体" w:eastAsia="宋体" w:cs="Times New Roman"/>
          <w:color w:val="auto"/>
          <w:szCs w:val="22"/>
        </w:rPr>
        <w:t>1.2.3小型、微型企业提供中型企业制造的货物的，视同为中型企业；小型、微型、中型企业提供大型企业制造的货物的，视同为大型企业。</w:t>
      </w:r>
    </w:p>
    <w:p w14:paraId="2E93DBA8">
      <w:pPr>
        <w:spacing w:line="560" w:lineRule="exact"/>
        <w:ind w:firstLine="480" w:firstLineChars="200"/>
        <w:rPr>
          <w:rFonts w:hint="eastAsia" w:ascii="宋体" w:hAnsi="宋体" w:eastAsia="宋体" w:cs="Times New Roman"/>
          <w:color w:val="auto"/>
          <w:szCs w:val="22"/>
        </w:rPr>
      </w:pPr>
      <w:r>
        <w:rPr>
          <w:rFonts w:hint="eastAsia" w:ascii="宋体" w:hAnsi="宋体" w:eastAsia="宋体" w:cs="Times New Roman"/>
          <w:color w:val="auto"/>
          <w:szCs w:val="22"/>
        </w:rPr>
        <w:t>1.3采购人拟采购产品属于优先采购节能环境标志产品范围的，应当优先采购节能环境标志产品，节能产品以财政部国家发展改革委关于调整公布最新一期节能产品政府采购清单所列产品为准。环保产品以财政部环境保护部关于调整公布最新一期环境标志产品政府采购清单所列产品为准。</w:t>
      </w:r>
    </w:p>
    <w:p w14:paraId="79F500A3">
      <w:pPr>
        <w:spacing w:line="560" w:lineRule="exact"/>
        <w:ind w:firstLine="480" w:firstLineChars="200"/>
        <w:rPr>
          <w:rFonts w:hint="eastAsia" w:ascii="宋体" w:hAnsi="宋体" w:eastAsia="宋体" w:cs="Times New Roman"/>
          <w:color w:val="auto"/>
          <w:szCs w:val="22"/>
        </w:rPr>
      </w:pPr>
      <w:r>
        <w:rPr>
          <w:rFonts w:hint="eastAsia" w:ascii="宋体" w:hAnsi="宋体" w:eastAsia="宋体" w:cs="Times New Roman"/>
          <w:color w:val="auto"/>
          <w:szCs w:val="22"/>
        </w:rPr>
        <w:t>1.3.1“节能产品政府采购清单”：符合政府采购优先采购政策的，所投产品属于“节能产品政府采购清单”中品目的产品，需提供最新一期“节能产品政府采购清单”中磋商产品所在清单页并加盖供应商公章。该清单可在中国政府采购网（</w:t>
      </w:r>
      <w:r>
        <w:rPr>
          <w:rFonts w:hint="eastAsia" w:ascii="宋体" w:hAnsi="宋体" w:eastAsia="宋体" w:cs="Times New Roman"/>
          <w:color w:val="auto"/>
          <w:szCs w:val="22"/>
        </w:rPr>
        <w:fldChar w:fldCharType="begin"/>
      </w:r>
      <w:r>
        <w:rPr>
          <w:rFonts w:hint="eastAsia" w:ascii="宋体" w:hAnsi="宋体" w:eastAsia="宋体" w:cs="Times New Roman"/>
          <w:color w:val="auto"/>
          <w:szCs w:val="22"/>
        </w:rPr>
        <w:instrText xml:space="preserve"> HYPERLINK "http://www.ccgp.gov.cn/" </w:instrText>
      </w:r>
      <w:r>
        <w:rPr>
          <w:rFonts w:hint="eastAsia" w:ascii="宋体" w:hAnsi="宋体" w:eastAsia="宋体" w:cs="Times New Roman"/>
          <w:color w:val="auto"/>
          <w:szCs w:val="22"/>
        </w:rPr>
        <w:fldChar w:fldCharType="separate"/>
      </w:r>
      <w:r>
        <w:rPr>
          <w:rFonts w:hint="eastAsia" w:ascii="宋体" w:hAnsi="宋体" w:eastAsia="宋体" w:cs="Times New Roman"/>
          <w:color w:val="auto"/>
          <w:szCs w:val="22"/>
        </w:rPr>
        <w:t>http://www.ccgp.gov.cn/</w:t>
      </w:r>
      <w:r>
        <w:rPr>
          <w:rFonts w:hint="eastAsia" w:ascii="宋体" w:hAnsi="宋体" w:eastAsia="宋体" w:cs="Times New Roman"/>
          <w:color w:val="auto"/>
          <w:szCs w:val="22"/>
        </w:rPr>
        <w:fldChar w:fldCharType="end"/>
      </w:r>
      <w:r>
        <w:rPr>
          <w:rFonts w:hint="eastAsia" w:ascii="宋体" w:hAnsi="宋体" w:eastAsia="宋体" w:cs="Times New Roman"/>
          <w:color w:val="auto"/>
          <w:szCs w:val="22"/>
        </w:rPr>
        <w:t>）上查找。</w:t>
      </w:r>
    </w:p>
    <w:p w14:paraId="6CE799D6">
      <w:pPr>
        <w:spacing w:line="560" w:lineRule="exact"/>
        <w:ind w:firstLine="480" w:firstLineChars="200"/>
        <w:rPr>
          <w:rFonts w:hint="eastAsia" w:ascii="宋体" w:hAnsi="宋体" w:eastAsia="宋体" w:cs="Times New Roman"/>
          <w:color w:val="auto"/>
          <w:szCs w:val="22"/>
        </w:rPr>
      </w:pPr>
      <w:r>
        <w:rPr>
          <w:rFonts w:hint="eastAsia" w:ascii="宋体" w:hAnsi="宋体" w:eastAsia="宋体" w:cs="Times New Roman"/>
          <w:color w:val="auto"/>
          <w:szCs w:val="22"/>
        </w:rPr>
        <w:t>1.3.2 “环境标志产品政府采购清单”：所投产品属于“环境标志产品政府采购清单”中品目的产品，需提供最新一期“环境标志产品政府采购清单”中磋商产品所在清单页并加盖供应商公章。该清单可在中国政府采购网（</w:t>
      </w:r>
      <w:r>
        <w:rPr>
          <w:rFonts w:hint="eastAsia" w:ascii="宋体" w:hAnsi="宋体" w:eastAsia="宋体" w:cs="Times New Roman"/>
          <w:color w:val="auto"/>
          <w:szCs w:val="22"/>
        </w:rPr>
        <w:fldChar w:fldCharType="begin"/>
      </w:r>
      <w:r>
        <w:rPr>
          <w:rFonts w:hint="eastAsia" w:ascii="宋体" w:hAnsi="宋体" w:eastAsia="宋体" w:cs="Times New Roman"/>
          <w:color w:val="auto"/>
          <w:szCs w:val="22"/>
        </w:rPr>
        <w:instrText xml:space="preserve"> HYPERLINK "http://www.ccgp.gov.cn/" </w:instrText>
      </w:r>
      <w:r>
        <w:rPr>
          <w:rFonts w:hint="eastAsia" w:ascii="宋体" w:hAnsi="宋体" w:eastAsia="宋体" w:cs="Times New Roman"/>
          <w:color w:val="auto"/>
          <w:szCs w:val="22"/>
        </w:rPr>
        <w:fldChar w:fldCharType="separate"/>
      </w:r>
      <w:r>
        <w:rPr>
          <w:rFonts w:hint="eastAsia" w:ascii="宋体" w:hAnsi="宋体" w:eastAsia="宋体" w:cs="Times New Roman"/>
          <w:color w:val="auto"/>
          <w:szCs w:val="22"/>
        </w:rPr>
        <w:t>http://www.ccgp.gov.cn/</w:t>
      </w:r>
      <w:r>
        <w:rPr>
          <w:rFonts w:hint="eastAsia" w:ascii="宋体" w:hAnsi="宋体" w:eastAsia="宋体" w:cs="Times New Roman"/>
          <w:color w:val="auto"/>
          <w:szCs w:val="22"/>
        </w:rPr>
        <w:fldChar w:fldCharType="end"/>
      </w:r>
      <w:r>
        <w:rPr>
          <w:rFonts w:hint="eastAsia" w:ascii="宋体" w:hAnsi="宋体" w:eastAsia="宋体" w:cs="Times New Roman"/>
          <w:color w:val="auto"/>
          <w:szCs w:val="22"/>
        </w:rPr>
        <w:t>）上查找。</w:t>
      </w:r>
    </w:p>
    <w:p w14:paraId="3CF45DF8">
      <w:pPr>
        <w:spacing w:line="560" w:lineRule="exact"/>
        <w:ind w:firstLine="480" w:firstLineChars="200"/>
        <w:rPr>
          <w:rFonts w:hint="eastAsia" w:ascii="宋体" w:hAnsi="宋体" w:eastAsia="宋体" w:cs="Times New Roman"/>
          <w:color w:val="auto"/>
          <w:szCs w:val="22"/>
        </w:rPr>
      </w:pPr>
      <w:r>
        <w:rPr>
          <w:rFonts w:hint="eastAsia" w:ascii="宋体" w:hAnsi="宋体" w:eastAsia="宋体" w:cs="Times New Roman"/>
          <w:color w:val="auto"/>
          <w:szCs w:val="22"/>
        </w:rPr>
        <w:t>1.4监狱企业参加政府采购活动时，应当提供由省级以上监狱管理局、戒毒管理局(含新疆生产建设兵团)出具的属于监狱企业的证明文件。监狱企业参加政府采购活动时，视同小型、微型企业。</w:t>
      </w:r>
    </w:p>
    <w:p w14:paraId="2AB06E3F">
      <w:pPr>
        <w:spacing w:line="560" w:lineRule="exact"/>
        <w:ind w:firstLine="480" w:firstLineChars="200"/>
        <w:rPr>
          <w:rFonts w:hint="eastAsia" w:hAnsi="宋体"/>
          <w:color w:val="auto"/>
        </w:rPr>
      </w:pPr>
      <w:r>
        <w:rPr>
          <w:rFonts w:hint="eastAsia" w:hAnsi="宋体" w:cs="宋体"/>
          <w:color w:val="auto"/>
          <w:szCs w:val="24"/>
        </w:rPr>
        <w:t>1.5符合条件的残疾人福利性单位在参加政府采购活动时，应当提供本通知规定的《残疾人福利性单位声明函》，并对声明的真实性负责。残疾人福利性单位</w:t>
      </w:r>
      <w:r>
        <w:rPr>
          <w:rFonts w:hint="eastAsia" w:hAnsi="宋体"/>
          <w:color w:val="auto"/>
        </w:rPr>
        <w:t>参加政府采购活动时，视同小型、微型企业；</w:t>
      </w:r>
      <w:r>
        <w:rPr>
          <w:rFonts w:hint="eastAsia" w:hAnsi="宋体" w:cs="宋体"/>
          <w:color w:val="auto"/>
          <w:szCs w:val="24"/>
        </w:rPr>
        <w:t>残疾人福利性单位属于小型、微型企业的，不重复享受政策。</w:t>
      </w:r>
    </w:p>
    <w:p w14:paraId="0C7E8899">
      <w:pPr>
        <w:spacing w:line="500" w:lineRule="exact"/>
        <w:ind w:firstLine="482" w:firstLineChars="200"/>
        <w:jc w:val="left"/>
        <w:rPr>
          <w:rFonts w:hint="eastAsia" w:hAnsi="宋体"/>
          <w:b/>
          <w:bCs/>
          <w:color w:val="auto"/>
          <w:szCs w:val="24"/>
        </w:rPr>
      </w:pPr>
      <w:r>
        <w:rPr>
          <w:rFonts w:hAnsi="宋体"/>
          <w:b/>
          <w:bCs/>
          <w:color w:val="auto"/>
          <w:szCs w:val="24"/>
        </w:rPr>
        <w:t>2、政策性扣减方式：</w:t>
      </w:r>
    </w:p>
    <w:p w14:paraId="5727AEF6">
      <w:pPr>
        <w:spacing w:line="500" w:lineRule="exact"/>
        <w:ind w:firstLine="480" w:firstLineChars="200"/>
        <w:jc w:val="left"/>
        <w:rPr>
          <w:rFonts w:hint="eastAsia" w:hAnsi="宋体"/>
          <w:color w:val="auto"/>
          <w:szCs w:val="24"/>
        </w:rPr>
      </w:pPr>
      <w:r>
        <w:rPr>
          <w:rFonts w:hAnsi="宋体"/>
          <w:color w:val="auto"/>
          <w:szCs w:val="24"/>
        </w:rPr>
        <w:t>2.1供应商为非联合体参与</w:t>
      </w:r>
      <w:r>
        <w:rPr>
          <w:rFonts w:hint="eastAsia" w:hAnsi="宋体"/>
          <w:color w:val="auto"/>
          <w:szCs w:val="24"/>
        </w:rPr>
        <w:t>磋商</w:t>
      </w:r>
      <w:r>
        <w:rPr>
          <w:rFonts w:hAnsi="宋体"/>
          <w:color w:val="auto"/>
          <w:szCs w:val="24"/>
        </w:rPr>
        <w:t>的情况：</w:t>
      </w:r>
    </w:p>
    <w:p w14:paraId="6FF2CD63">
      <w:pPr>
        <w:spacing w:line="500" w:lineRule="exact"/>
        <w:ind w:firstLine="480" w:firstLineChars="200"/>
        <w:jc w:val="left"/>
        <w:rPr>
          <w:rFonts w:hint="eastAsia" w:hAnsi="宋体"/>
          <w:color w:val="auto"/>
          <w:szCs w:val="24"/>
        </w:rPr>
      </w:pPr>
      <w:r>
        <w:rPr>
          <w:rFonts w:hAnsi="宋体"/>
          <w:color w:val="auto"/>
          <w:szCs w:val="24"/>
        </w:rPr>
        <w:t>2.1.1在</w:t>
      </w:r>
      <w:r>
        <w:rPr>
          <w:rFonts w:hint="eastAsia" w:hAnsi="宋体"/>
          <w:color w:val="auto"/>
          <w:szCs w:val="24"/>
        </w:rPr>
        <w:t>磋商最终</w:t>
      </w:r>
      <w:r>
        <w:rPr>
          <w:rFonts w:hAnsi="宋体"/>
          <w:color w:val="auto"/>
          <w:szCs w:val="24"/>
        </w:rPr>
        <w:t>报价的基础上，小型企业或达到小型企业划分标准的监狱企业</w:t>
      </w:r>
      <w:r>
        <w:rPr>
          <w:rFonts w:hint="eastAsia" w:hAnsi="宋体"/>
          <w:color w:val="auto"/>
          <w:szCs w:val="24"/>
        </w:rPr>
        <w:t>（或残疾人福利性单位）</w:t>
      </w:r>
      <w:r>
        <w:rPr>
          <w:rFonts w:hAnsi="宋体"/>
          <w:color w:val="auto"/>
          <w:szCs w:val="24"/>
        </w:rPr>
        <w:t>，按“</w:t>
      </w:r>
      <w:r>
        <w:rPr>
          <w:rFonts w:hint="eastAsia" w:hAnsi="宋体"/>
          <w:color w:val="auto"/>
          <w:szCs w:val="24"/>
        </w:rPr>
        <w:t>磋商最终</w:t>
      </w:r>
      <w:r>
        <w:rPr>
          <w:rFonts w:hAnsi="宋体"/>
          <w:color w:val="auto"/>
          <w:szCs w:val="24"/>
        </w:rPr>
        <w:t>报价×</w:t>
      </w:r>
      <w:r>
        <w:rPr>
          <w:rFonts w:hint="eastAsia" w:hAnsi="宋体"/>
          <w:color w:val="auto"/>
          <w:szCs w:val="24"/>
          <w:lang w:val="en-US" w:eastAsia="zh-CN"/>
        </w:rPr>
        <w:t>10</w:t>
      </w:r>
      <w:r>
        <w:rPr>
          <w:rFonts w:hAnsi="宋体"/>
          <w:color w:val="auto"/>
          <w:szCs w:val="24"/>
        </w:rPr>
        <w:t>%”进行扣减；</w:t>
      </w:r>
    </w:p>
    <w:p w14:paraId="0D3C244A">
      <w:pPr>
        <w:spacing w:line="500" w:lineRule="exact"/>
        <w:ind w:firstLine="480" w:firstLineChars="200"/>
        <w:jc w:val="left"/>
        <w:rPr>
          <w:rFonts w:hint="eastAsia" w:hAnsi="宋体"/>
          <w:color w:val="auto"/>
          <w:szCs w:val="24"/>
        </w:rPr>
      </w:pPr>
      <w:r>
        <w:rPr>
          <w:rFonts w:hAnsi="宋体"/>
          <w:color w:val="auto"/>
          <w:szCs w:val="24"/>
        </w:rPr>
        <w:t>2.1.2在</w:t>
      </w:r>
      <w:r>
        <w:rPr>
          <w:rFonts w:hint="eastAsia" w:hAnsi="宋体"/>
          <w:color w:val="auto"/>
          <w:szCs w:val="24"/>
        </w:rPr>
        <w:t>磋商最终</w:t>
      </w:r>
      <w:r>
        <w:rPr>
          <w:rFonts w:hAnsi="宋体"/>
          <w:color w:val="auto"/>
          <w:szCs w:val="24"/>
        </w:rPr>
        <w:t>报价的基础上，注册资金在十五万元以上的微型企业或注册资金在十五万元以上达到微型企业划分标准的监狱企业</w:t>
      </w:r>
      <w:r>
        <w:rPr>
          <w:rFonts w:hint="eastAsia" w:hAnsi="宋体"/>
          <w:color w:val="auto"/>
          <w:szCs w:val="24"/>
        </w:rPr>
        <w:t>（或残疾人福利性单位）</w:t>
      </w:r>
      <w:r>
        <w:rPr>
          <w:rFonts w:hAnsi="宋体"/>
          <w:color w:val="auto"/>
          <w:szCs w:val="24"/>
        </w:rPr>
        <w:t>，按“</w:t>
      </w:r>
      <w:r>
        <w:rPr>
          <w:rFonts w:hint="eastAsia" w:hAnsi="宋体"/>
          <w:color w:val="auto"/>
          <w:szCs w:val="24"/>
        </w:rPr>
        <w:t>磋商最终</w:t>
      </w:r>
      <w:r>
        <w:rPr>
          <w:rFonts w:hAnsi="宋体"/>
          <w:color w:val="auto"/>
          <w:szCs w:val="24"/>
        </w:rPr>
        <w:t>报价×</w:t>
      </w:r>
      <w:r>
        <w:rPr>
          <w:rFonts w:hint="eastAsia" w:hAnsi="宋体"/>
          <w:color w:val="auto"/>
          <w:szCs w:val="24"/>
          <w:lang w:val="en-US" w:eastAsia="zh-CN"/>
        </w:rPr>
        <w:t>10</w:t>
      </w:r>
      <w:r>
        <w:rPr>
          <w:rFonts w:hAnsi="宋体"/>
          <w:color w:val="auto"/>
          <w:szCs w:val="24"/>
        </w:rPr>
        <w:t>%”进行扣减；</w:t>
      </w:r>
    </w:p>
    <w:p w14:paraId="46E609EA">
      <w:pPr>
        <w:spacing w:line="500" w:lineRule="exact"/>
        <w:ind w:firstLine="480" w:firstLineChars="200"/>
        <w:jc w:val="left"/>
        <w:rPr>
          <w:rFonts w:hint="eastAsia" w:hAnsi="宋体"/>
          <w:color w:val="auto"/>
          <w:szCs w:val="24"/>
        </w:rPr>
      </w:pPr>
      <w:r>
        <w:rPr>
          <w:rFonts w:hAnsi="宋体"/>
          <w:color w:val="auto"/>
          <w:szCs w:val="24"/>
        </w:rPr>
        <w:t>2.1.3在</w:t>
      </w:r>
      <w:r>
        <w:rPr>
          <w:rFonts w:hint="eastAsia" w:hAnsi="宋体"/>
          <w:color w:val="auto"/>
          <w:szCs w:val="24"/>
        </w:rPr>
        <w:t>磋商最终</w:t>
      </w:r>
      <w:r>
        <w:rPr>
          <w:rFonts w:hAnsi="宋体"/>
          <w:color w:val="auto"/>
          <w:szCs w:val="24"/>
        </w:rPr>
        <w:t>报价的基础上，注册资金在十五万元以下的微型企业或注册资金在十五万元以下达到微型企业划分标准的监狱企业</w:t>
      </w:r>
      <w:r>
        <w:rPr>
          <w:rFonts w:hint="eastAsia" w:hAnsi="宋体"/>
          <w:color w:val="auto"/>
          <w:szCs w:val="24"/>
        </w:rPr>
        <w:t>（或残疾人福利性单位）</w:t>
      </w:r>
      <w:r>
        <w:rPr>
          <w:rFonts w:hAnsi="宋体"/>
          <w:color w:val="auto"/>
          <w:szCs w:val="24"/>
        </w:rPr>
        <w:t>，按“</w:t>
      </w:r>
      <w:r>
        <w:rPr>
          <w:rFonts w:hint="eastAsia" w:hAnsi="宋体"/>
          <w:color w:val="auto"/>
          <w:szCs w:val="24"/>
        </w:rPr>
        <w:t>磋商最终</w:t>
      </w:r>
      <w:r>
        <w:rPr>
          <w:rFonts w:hAnsi="宋体"/>
          <w:color w:val="auto"/>
          <w:szCs w:val="24"/>
        </w:rPr>
        <w:t>报价×10%”进行扣减。</w:t>
      </w:r>
    </w:p>
    <w:p w14:paraId="1021C4DC">
      <w:pPr>
        <w:spacing w:line="500" w:lineRule="exact"/>
        <w:ind w:firstLine="480" w:firstLineChars="200"/>
        <w:jc w:val="left"/>
        <w:rPr>
          <w:rFonts w:hint="eastAsia" w:hAnsi="宋体"/>
          <w:color w:val="auto"/>
          <w:szCs w:val="24"/>
        </w:rPr>
      </w:pPr>
      <w:r>
        <w:rPr>
          <w:rFonts w:hAnsi="宋体"/>
          <w:color w:val="auto"/>
          <w:szCs w:val="24"/>
        </w:rPr>
        <w:t>2.2供应商为联合体参与</w:t>
      </w:r>
      <w:r>
        <w:rPr>
          <w:rFonts w:hint="eastAsia" w:hAnsi="宋体"/>
          <w:color w:val="auto"/>
          <w:szCs w:val="24"/>
        </w:rPr>
        <w:t>磋商</w:t>
      </w:r>
      <w:r>
        <w:rPr>
          <w:rFonts w:hAnsi="宋体"/>
          <w:color w:val="auto"/>
          <w:szCs w:val="24"/>
        </w:rPr>
        <w:t>且联合协议中约定小型或微型企业的协议合同金额占到联合体协议合同总金额30％以上的情况：</w:t>
      </w:r>
    </w:p>
    <w:p w14:paraId="3D364A03">
      <w:pPr>
        <w:spacing w:line="500" w:lineRule="exact"/>
        <w:ind w:firstLine="480" w:firstLineChars="200"/>
        <w:jc w:val="left"/>
        <w:rPr>
          <w:rFonts w:hint="eastAsia" w:hAnsi="宋体"/>
          <w:color w:val="auto"/>
          <w:szCs w:val="24"/>
        </w:rPr>
      </w:pPr>
      <w:r>
        <w:rPr>
          <w:rFonts w:hAnsi="宋体"/>
          <w:color w:val="auto"/>
          <w:szCs w:val="24"/>
        </w:rPr>
        <w:t>2.2.1在</w:t>
      </w:r>
      <w:r>
        <w:rPr>
          <w:rFonts w:hint="eastAsia" w:hAnsi="宋体"/>
          <w:color w:val="auto"/>
          <w:szCs w:val="24"/>
        </w:rPr>
        <w:t>磋商最终</w:t>
      </w:r>
      <w:r>
        <w:rPr>
          <w:rFonts w:hAnsi="宋体"/>
          <w:color w:val="auto"/>
          <w:szCs w:val="24"/>
        </w:rPr>
        <w:t>报价的基础上，与小型企业或达到小型企业划分标准的监狱企业</w:t>
      </w:r>
      <w:r>
        <w:rPr>
          <w:rFonts w:hint="eastAsia" w:hAnsi="宋体"/>
          <w:color w:val="auto"/>
          <w:szCs w:val="24"/>
        </w:rPr>
        <w:t>（或残疾人福利性单位）</w:t>
      </w:r>
      <w:r>
        <w:rPr>
          <w:rFonts w:hAnsi="宋体"/>
          <w:color w:val="auto"/>
          <w:szCs w:val="24"/>
        </w:rPr>
        <w:t>联合的，按“</w:t>
      </w:r>
      <w:r>
        <w:rPr>
          <w:rFonts w:hint="eastAsia" w:hAnsi="宋体"/>
          <w:color w:val="auto"/>
          <w:szCs w:val="24"/>
        </w:rPr>
        <w:t>磋商最终</w:t>
      </w:r>
      <w:r>
        <w:rPr>
          <w:rFonts w:hAnsi="宋体"/>
          <w:color w:val="auto"/>
          <w:szCs w:val="24"/>
        </w:rPr>
        <w:t>报价×2%”进行扣减；</w:t>
      </w:r>
    </w:p>
    <w:p w14:paraId="0872731D">
      <w:pPr>
        <w:spacing w:line="500" w:lineRule="exact"/>
        <w:ind w:firstLine="480" w:firstLineChars="200"/>
        <w:jc w:val="left"/>
        <w:rPr>
          <w:rFonts w:hint="eastAsia" w:hAnsi="宋体"/>
          <w:color w:val="auto"/>
          <w:szCs w:val="24"/>
        </w:rPr>
      </w:pPr>
      <w:r>
        <w:rPr>
          <w:rFonts w:hAnsi="宋体"/>
          <w:color w:val="auto"/>
          <w:szCs w:val="24"/>
        </w:rPr>
        <w:t>2.2.2在</w:t>
      </w:r>
      <w:r>
        <w:rPr>
          <w:rFonts w:hint="eastAsia" w:hAnsi="宋体"/>
          <w:color w:val="auto"/>
          <w:szCs w:val="24"/>
        </w:rPr>
        <w:t>磋商最终</w:t>
      </w:r>
      <w:r>
        <w:rPr>
          <w:rFonts w:hAnsi="宋体"/>
          <w:color w:val="auto"/>
          <w:szCs w:val="24"/>
        </w:rPr>
        <w:t>报价的基础上，与微型企业</w:t>
      </w:r>
      <w:r>
        <w:rPr>
          <w:rFonts w:hint="eastAsia" w:hAnsi="宋体"/>
          <w:color w:val="auto"/>
          <w:szCs w:val="24"/>
        </w:rPr>
        <w:t>或</w:t>
      </w:r>
      <w:r>
        <w:rPr>
          <w:rFonts w:hAnsi="宋体"/>
          <w:color w:val="auto"/>
          <w:szCs w:val="24"/>
        </w:rPr>
        <w:t>达到微型企业划分标准的监狱企业</w:t>
      </w:r>
      <w:r>
        <w:rPr>
          <w:rFonts w:hint="eastAsia" w:hAnsi="宋体"/>
          <w:color w:val="auto"/>
          <w:szCs w:val="24"/>
        </w:rPr>
        <w:t>（或残疾人福利性单位）</w:t>
      </w:r>
      <w:r>
        <w:rPr>
          <w:rFonts w:hAnsi="宋体"/>
          <w:color w:val="auto"/>
          <w:szCs w:val="24"/>
        </w:rPr>
        <w:t>联合的，按“</w:t>
      </w:r>
      <w:r>
        <w:rPr>
          <w:rFonts w:hint="eastAsia" w:hAnsi="宋体"/>
          <w:color w:val="auto"/>
          <w:szCs w:val="24"/>
        </w:rPr>
        <w:t>磋商最终</w:t>
      </w:r>
      <w:r>
        <w:rPr>
          <w:rFonts w:hAnsi="宋体"/>
          <w:color w:val="auto"/>
          <w:szCs w:val="24"/>
        </w:rPr>
        <w:t>报价×3%”进行扣减。</w:t>
      </w:r>
    </w:p>
    <w:p w14:paraId="546CF10C">
      <w:pPr>
        <w:spacing w:line="500" w:lineRule="exact"/>
        <w:ind w:firstLine="480" w:firstLineChars="200"/>
        <w:jc w:val="left"/>
        <w:rPr>
          <w:rFonts w:hint="eastAsia" w:hAnsi="宋体"/>
          <w:color w:val="auto"/>
          <w:szCs w:val="24"/>
        </w:rPr>
      </w:pPr>
      <w:r>
        <w:rPr>
          <w:rFonts w:hAnsi="宋体"/>
          <w:color w:val="auto"/>
          <w:szCs w:val="24"/>
        </w:rPr>
        <w:t>2.2.3在</w:t>
      </w:r>
      <w:r>
        <w:rPr>
          <w:rFonts w:hint="eastAsia" w:hAnsi="宋体"/>
          <w:color w:val="auto"/>
          <w:szCs w:val="24"/>
        </w:rPr>
        <w:t>磋商最终</w:t>
      </w:r>
      <w:r>
        <w:rPr>
          <w:rFonts w:hAnsi="宋体"/>
          <w:color w:val="auto"/>
          <w:szCs w:val="24"/>
        </w:rPr>
        <w:t>报价的基础上，同时与小型、微型企业或达到小型、微型企业划分标准的监狱企业</w:t>
      </w:r>
      <w:r>
        <w:rPr>
          <w:rFonts w:hint="eastAsia" w:hAnsi="宋体"/>
          <w:color w:val="auto"/>
          <w:szCs w:val="24"/>
        </w:rPr>
        <w:t>（或残疾人福利性单位）</w:t>
      </w:r>
      <w:r>
        <w:rPr>
          <w:rFonts w:hAnsi="宋体"/>
          <w:color w:val="auto"/>
          <w:szCs w:val="24"/>
        </w:rPr>
        <w:t>组成两家以上的联合体的，仅按照“</w:t>
      </w:r>
      <w:r>
        <w:rPr>
          <w:rFonts w:hint="eastAsia" w:hAnsi="宋体"/>
          <w:color w:val="auto"/>
          <w:szCs w:val="24"/>
        </w:rPr>
        <w:t>磋商最终</w:t>
      </w:r>
      <w:r>
        <w:rPr>
          <w:rFonts w:hAnsi="宋体"/>
          <w:color w:val="auto"/>
          <w:szCs w:val="24"/>
        </w:rPr>
        <w:t>报价×3%”进行扣减。不累计扣减。</w:t>
      </w:r>
    </w:p>
    <w:p w14:paraId="289534B6">
      <w:pPr>
        <w:spacing w:line="600" w:lineRule="exact"/>
        <w:ind w:firstLine="480" w:firstLineChars="200"/>
        <w:rPr>
          <w:rFonts w:hint="eastAsia" w:hAnsi="宋体"/>
          <w:color w:val="auto"/>
          <w:szCs w:val="24"/>
        </w:rPr>
      </w:pPr>
      <w:r>
        <w:rPr>
          <w:rFonts w:hint="eastAsia" w:hAnsi="宋体"/>
          <w:color w:val="auto"/>
          <w:szCs w:val="24"/>
        </w:rPr>
        <w:t>2.3</w:t>
      </w:r>
      <w:r>
        <w:rPr>
          <w:rFonts w:hint="eastAsia"/>
          <w:color w:val="auto"/>
        </w:rPr>
        <w:t>供应商</w:t>
      </w:r>
      <w:r>
        <w:rPr>
          <w:color w:val="auto"/>
        </w:rPr>
        <w:t>享受</w:t>
      </w:r>
      <w:r>
        <w:rPr>
          <w:bCs/>
          <w:color w:val="auto"/>
        </w:rPr>
        <w:t>支持</w:t>
      </w:r>
      <w:r>
        <w:rPr>
          <w:color w:val="auto"/>
        </w:rPr>
        <w:t>中小型企业发展政策优惠</w:t>
      </w:r>
      <w:r>
        <w:rPr>
          <w:rFonts w:hint="eastAsia"/>
          <w:color w:val="auto"/>
        </w:rPr>
        <w:t>的，可以同时享受节能、环境标志产品优先采购政策。</w:t>
      </w:r>
    </w:p>
    <w:p w14:paraId="3F5024C4">
      <w:pPr>
        <w:spacing w:line="600" w:lineRule="exact"/>
        <w:ind w:firstLine="480" w:firstLineChars="200"/>
        <w:rPr>
          <w:rFonts w:hint="eastAsia" w:hAnsi="宋体"/>
          <w:color w:val="auto"/>
          <w:szCs w:val="24"/>
        </w:rPr>
      </w:pPr>
      <w:r>
        <w:rPr>
          <w:rFonts w:hint="eastAsia" w:hAnsi="宋体"/>
          <w:color w:val="auto"/>
          <w:szCs w:val="24"/>
        </w:rPr>
        <w:t>2.3.1单个合同项为单一产品的，所投产品为</w:t>
      </w:r>
      <w:r>
        <w:rPr>
          <w:rFonts w:hAnsi="宋体"/>
          <w:color w:val="auto"/>
          <w:szCs w:val="24"/>
        </w:rPr>
        <w:t>节能</w:t>
      </w:r>
      <w:r>
        <w:rPr>
          <w:rFonts w:hint="eastAsia" w:hAnsi="宋体"/>
          <w:color w:val="auto"/>
          <w:szCs w:val="24"/>
        </w:rPr>
        <w:t>、环境标志</w:t>
      </w:r>
      <w:r>
        <w:rPr>
          <w:rFonts w:hAnsi="宋体"/>
          <w:color w:val="auto"/>
          <w:szCs w:val="24"/>
        </w:rPr>
        <w:t>产品</w:t>
      </w:r>
      <w:r>
        <w:rPr>
          <w:rFonts w:hint="eastAsia" w:hAnsi="宋体"/>
          <w:color w:val="auto"/>
          <w:szCs w:val="24"/>
        </w:rPr>
        <w:t>的在磋商最终</w:t>
      </w:r>
      <w:r>
        <w:rPr>
          <w:rFonts w:hAnsi="宋体"/>
          <w:color w:val="auto"/>
          <w:szCs w:val="24"/>
        </w:rPr>
        <w:t>报价</w:t>
      </w:r>
      <w:r>
        <w:rPr>
          <w:rFonts w:hint="eastAsia" w:hAnsi="宋体"/>
          <w:color w:val="auto"/>
          <w:szCs w:val="24"/>
        </w:rPr>
        <w:t>的基础上，按“磋商最终</w:t>
      </w:r>
      <w:r>
        <w:rPr>
          <w:rFonts w:hAnsi="宋体"/>
          <w:color w:val="auto"/>
          <w:szCs w:val="24"/>
        </w:rPr>
        <w:t>报价</w:t>
      </w:r>
      <w:r>
        <w:rPr>
          <w:rFonts w:hint="eastAsia" w:hAnsi="宋体"/>
          <w:color w:val="auto"/>
          <w:szCs w:val="24"/>
        </w:rPr>
        <w:t>×6%”进行扣减；</w:t>
      </w:r>
    </w:p>
    <w:p w14:paraId="19C38E8B">
      <w:pPr>
        <w:spacing w:line="600" w:lineRule="exact"/>
        <w:ind w:firstLine="480" w:firstLineChars="200"/>
        <w:rPr>
          <w:rFonts w:hint="eastAsia" w:hAnsi="宋体"/>
          <w:color w:val="auto"/>
          <w:szCs w:val="24"/>
        </w:rPr>
      </w:pPr>
      <w:r>
        <w:rPr>
          <w:rFonts w:hint="eastAsia" w:hAnsi="宋体"/>
          <w:color w:val="auto"/>
          <w:szCs w:val="24"/>
        </w:rPr>
        <w:t>2.3.2单个合同项为多种产品的，所投产品为节能、环境标志产品报价占到总报价30％以上的，在磋商最终</w:t>
      </w:r>
      <w:r>
        <w:rPr>
          <w:rFonts w:hAnsi="宋体"/>
          <w:color w:val="auto"/>
          <w:szCs w:val="24"/>
        </w:rPr>
        <w:t>报价</w:t>
      </w:r>
      <w:r>
        <w:rPr>
          <w:rFonts w:hint="eastAsia" w:hAnsi="宋体"/>
          <w:color w:val="auto"/>
          <w:szCs w:val="24"/>
        </w:rPr>
        <w:t>的基础上，按“磋商最终</w:t>
      </w:r>
      <w:r>
        <w:rPr>
          <w:rFonts w:hAnsi="宋体"/>
          <w:color w:val="auto"/>
          <w:szCs w:val="24"/>
        </w:rPr>
        <w:t>报价</w:t>
      </w:r>
      <w:r>
        <w:rPr>
          <w:rFonts w:hint="eastAsia" w:hAnsi="宋体"/>
          <w:color w:val="auto"/>
          <w:szCs w:val="24"/>
        </w:rPr>
        <w:t>×3%”进行扣减；在磋商最终</w:t>
      </w:r>
      <w:r>
        <w:rPr>
          <w:rFonts w:hAnsi="宋体"/>
          <w:color w:val="auto"/>
          <w:szCs w:val="24"/>
        </w:rPr>
        <w:t>报价</w:t>
      </w:r>
      <w:r>
        <w:rPr>
          <w:rFonts w:hint="eastAsia" w:hAnsi="宋体"/>
          <w:color w:val="auto"/>
          <w:szCs w:val="24"/>
        </w:rPr>
        <w:t>时须对此类产品单独分项报价，计算出小计及占总价的百分比，未提供节能、环境标志产品报价明细表及1.3.1和1.3.2条规定的证明材料，在评审时不享受政府采购优惠政策。</w:t>
      </w:r>
    </w:p>
    <w:p w14:paraId="1764A654">
      <w:pPr>
        <w:spacing w:line="500" w:lineRule="exact"/>
        <w:ind w:firstLine="600" w:firstLineChars="250"/>
        <w:rPr>
          <w:rFonts w:hint="eastAsia" w:hAnsi="宋体"/>
          <w:color w:val="auto"/>
          <w:szCs w:val="24"/>
        </w:rPr>
      </w:pPr>
      <w:r>
        <w:rPr>
          <w:rFonts w:hAnsi="宋体"/>
          <w:color w:val="auto"/>
          <w:szCs w:val="24"/>
        </w:rPr>
        <w:t>3、</w:t>
      </w:r>
      <w:r>
        <w:rPr>
          <w:rFonts w:hint="eastAsia" w:hAnsi="宋体"/>
          <w:color w:val="auto"/>
          <w:szCs w:val="24"/>
        </w:rPr>
        <w:t>成交</w:t>
      </w:r>
      <w:r>
        <w:rPr>
          <w:rFonts w:hAnsi="宋体"/>
          <w:color w:val="auto"/>
          <w:szCs w:val="24"/>
        </w:rPr>
        <w:t>价格=</w:t>
      </w:r>
      <w:r>
        <w:rPr>
          <w:rFonts w:hint="eastAsia" w:hAnsi="宋体"/>
          <w:color w:val="auto"/>
          <w:szCs w:val="24"/>
        </w:rPr>
        <w:t>成交</w:t>
      </w:r>
      <w:r>
        <w:rPr>
          <w:rFonts w:hAnsi="宋体"/>
          <w:color w:val="auto"/>
          <w:szCs w:val="24"/>
        </w:rPr>
        <w:t>供应商的有效</w:t>
      </w:r>
      <w:r>
        <w:rPr>
          <w:rFonts w:hint="eastAsia" w:hAnsi="宋体"/>
          <w:color w:val="auto"/>
          <w:szCs w:val="24"/>
        </w:rPr>
        <w:t>磋商</w:t>
      </w:r>
      <w:r>
        <w:rPr>
          <w:rFonts w:hAnsi="宋体"/>
          <w:color w:val="auto"/>
          <w:szCs w:val="24"/>
        </w:rPr>
        <w:t>报价。</w:t>
      </w:r>
    </w:p>
    <w:p w14:paraId="3D0545F0">
      <w:pPr>
        <w:spacing w:line="360" w:lineRule="auto"/>
        <w:rPr>
          <w:rFonts w:hint="eastAsia" w:hAnsi="宋体"/>
          <w:b/>
          <w:bCs/>
          <w:color w:val="auto"/>
          <w:spacing w:val="4"/>
          <w:kern w:val="2"/>
          <w:szCs w:val="24"/>
        </w:rPr>
      </w:pPr>
    </w:p>
    <w:p w14:paraId="32F4C8B2">
      <w:pPr>
        <w:numPr>
          <w:ilvl w:val="0"/>
          <w:numId w:val="16"/>
        </w:numPr>
        <w:spacing w:line="360" w:lineRule="auto"/>
        <w:rPr>
          <w:rFonts w:hint="eastAsia" w:hAnsi="宋体"/>
          <w:b/>
          <w:color w:val="auto"/>
          <w:spacing w:val="4"/>
          <w:szCs w:val="24"/>
        </w:rPr>
      </w:pPr>
      <w:r>
        <w:rPr>
          <w:rFonts w:hint="eastAsia" w:hAnsi="宋体"/>
          <w:b/>
          <w:color w:val="auto"/>
          <w:spacing w:val="4"/>
          <w:szCs w:val="24"/>
        </w:rPr>
        <w:t>详细评审（总分100分）</w:t>
      </w:r>
    </w:p>
    <w:p w14:paraId="66D23FA8">
      <w:pPr>
        <w:spacing w:after="156" w:afterLines="50" w:line="360" w:lineRule="auto"/>
        <w:jc w:val="center"/>
        <w:rPr>
          <w:rFonts w:hint="eastAsia" w:hAnsi="宋体"/>
          <w:b/>
          <w:color w:val="auto"/>
          <w:szCs w:val="24"/>
        </w:rPr>
      </w:pPr>
      <w:r>
        <w:rPr>
          <w:rFonts w:hint="eastAsia" w:hAnsi="宋体"/>
          <w:b/>
          <w:color w:val="auto"/>
          <w:szCs w:val="24"/>
        </w:rPr>
        <w:t>评审要素和分值分解表</w:t>
      </w:r>
    </w:p>
    <w:tbl>
      <w:tblPr>
        <w:tblStyle w:val="47"/>
        <w:tblpPr w:leftFromText="180" w:rightFromText="180" w:vertAnchor="text" w:horzAnchor="page" w:tblpX="1412" w:tblpY="553"/>
        <w:tblOverlap w:val="never"/>
        <w:tblW w:w="97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917"/>
        <w:gridCol w:w="1291"/>
        <w:gridCol w:w="7562"/>
      </w:tblGrid>
      <w:tr w14:paraId="51964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78" w:hRule="atLeast"/>
        </w:trPr>
        <w:tc>
          <w:tcPr>
            <w:tcW w:w="917" w:type="dxa"/>
            <w:shd w:val="clear" w:color="auto" w:fill="auto"/>
            <w:noWrap w:val="0"/>
            <w:vAlign w:val="top"/>
          </w:tcPr>
          <w:p w14:paraId="7A1BBCE4">
            <w:pPr>
              <w:pStyle w:val="286"/>
              <w:keepNext w:val="0"/>
              <w:keepLines/>
              <w:pageBreakBefore w:val="0"/>
              <w:widowControl w:val="0"/>
              <w:shd w:val="clear" w:color="auto" w:fill="auto"/>
              <w:kinsoku/>
              <w:wordWrap/>
              <w:overflowPunct/>
              <w:topLinePunct w:val="0"/>
              <w:autoSpaceDE w:val="0"/>
              <w:autoSpaceDN w:val="0"/>
              <w:bidi w:val="0"/>
              <w:adjustRightInd/>
              <w:snapToGrid/>
              <w:spacing w:before="0" w:line="360" w:lineRule="auto"/>
              <w:ind w:right="88" w:rightChars="0"/>
              <w:jc w:val="center"/>
              <w:textAlignment w:val="auto"/>
              <w:rPr>
                <w:rFonts w:hint="eastAsia" w:ascii="宋体" w:hAnsi="宋体" w:eastAsia="宋体" w:cs="宋体"/>
                <w:b/>
                <w:color w:val="auto"/>
                <w:spacing w:val="0"/>
                <w:sz w:val="24"/>
                <w:szCs w:val="24"/>
                <w:highlight w:val="none"/>
                <w:lang w:val="en-US" w:eastAsia="zh-CN"/>
              </w:rPr>
            </w:pPr>
            <w:r>
              <w:rPr>
                <w:rFonts w:hint="eastAsia" w:ascii="宋体" w:hAnsi="宋体" w:eastAsia="宋体" w:cs="宋体"/>
                <w:b/>
                <w:color w:val="auto"/>
                <w:spacing w:val="0"/>
                <w:sz w:val="24"/>
                <w:szCs w:val="24"/>
                <w:highlight w:val="none"/>
                <w:lang w:val="en-US" w:eastAsia="zh-CN"/>
              </w:rPr>
              <w:t>分值</w:t>
            </w:r>
          </w:p>
          <w:p w14:paraId="2BE77DFF">
            <w:pPr>
              <w:pStyle w:val="286"/>
              <w:keepNext w:val="0"/>
              <w:keepLines/>
              <w:pageBreakBefore w:val="0"/>
              <w:widowControl w:val="0"/>
              <w:shd w:val="clear" w:color="auto" w:fill="auto"/>
              <w:kinsoku/>
              <w:wordWrap/>
              <w:overflowPunct/>
              <w:topLinePunct w:val="0"/>
              <w:autoSpaceDE w:val="0"/>
              <w:autoSpaceDN w:val="0"/>
              <w:bidi w:val="0"/>
              <w:adjustRightInd/>
              <w:snapToGrid/>
              <w:spacing w:before="0" w:line="360" w:lineRule="auto"/>
              <w:ind w:right="88" w:rightChars="0"/>
              <w:jc w:val="center"/>
              <w:textAlignment w:val="auto"/>
              <w:rPr>
                <w:rFonts w:hint="eastAsia" w:ascii="宋体" w:hAnsi="宋体" w:eastAsia="宋体" w:cs="宋体"/>
                <w:b/>
                <w:color w:val="auto"/>
                <w:spacing w:val="0"/>
                <w:sz w:val="24"/>
                <w:szCs w:val="24"/>
                <w:highlight w:val="none"/>
                <w:lang w:val="en-US" w:eastAsia="zh-CN"/>
              </w:rPr>
            </w:pPr>
            <w:r>
              <w:rPr>
                <w:rFonts w:hint="eastAsia" w:ascii="宋体" w:hAnsi="宋体" w:eastAsia="宋体" w:cs="宋体"/>
                <w:b/>
                <w:color w:val="auto"/>
                <w:spacing w:val="0"/>
                <w:sz w:val="24"/>
                <w:szCs w:val="24"/>
                <w:highlight w:val="none"/>
                <w:lang w:val="en-US" w:eastAsia="zh-CN"/>
              </w:rPr>
              <w:t>（分）</w:t>
            </w:r>
          </w:p>
        </w:tc>
        <w:tc>
          <w:tcPr>
            <w:tcW w:w="1291" w:type="dxa"/>
            <w:shd w:val="clear" w:color="auto" w:fill="auto"/>
            <w:noWrap w:val="0"/>
            <w:vAlign w:val="center"/>
          </w:tcPr>
          <w:p w14:paraId="71CB2510">
            <w:pPr>
              <w:pStyle w:val="286"/>
              <w:keepNext w:val="0"/>
              <w:keepLines/>
              <w:pageBreakBefore w:val="0"/>
              <w:widowControl w:val="0"/>
              <w:shd w:val="clear" w:color="auto" w:fill="auto"/>
              <w:kinsoku/>
              <w:wordWrap/>
              <w:overflowPunct/>
              <w:topLinePunct w:val="0"/>
              <w:autoSpaceDE w:val="0"/>
              <w:autoSpaceDN w:val="0"/>
              <w:bidi w:val="0"/>
              <w:adjustRightInd/>
              <w:snapToGrid/>
              <w:spacing w:before="0" w:line="360" w:lineRule="auto"/>
              <w:ind w:right="163" w:rightChars="0"/>
              <w:jc w:val="center"/>
              <w:textAlignment w:val="auto"/>
              <w:rPr>
                <w:rFonts w:hint="eastAsia" w:ascii="宋体" w:hAnsi="宋体" w:eastAsia="宋体" w:cs="宋体"/>
                <w:b/>
                <w:color w:val="auto"/>
                <w:spacing w:val="0"/>
                <w:sz w:val="24"/>
                <w:szCs w:val="24"/>
                <w:highlight w:val="none"/>
                <w:lang w:val="en-US" w:eastAsia="zh-CN"/>
              </w:rPr>
            </w:pPr>
            <w:r>
              <w:rPr>
                <w:rFonts w:hint="eastAsia" w:ascii="宋体" w:hAnsi="宋体" w:eastAsia="宋体" w:cs="宋体"/>
                <w:b/>
                <w:color w:val="auto"/>
                <w:sz w:val="24"/>
                <w:szCs w:val="24"/>
                <w:highlight w:val="none"/>
                <w:lang w:val="en-US" w:eastAsia="zh-CN"/>
              </w:rPr>
              <w:t>评审内容</w:t>
            </w:r>
          </w:p>
        </w:tc>
        <w:tc>
          <w:tcPr>
            <w:tcW w:w="7562" w:type="dxa"/>
            <w:shd w:val="clear" w:color="auto" w:fill="auto"/>
            <w:noWrap w:val="0"/>
            <w:vAlign w:val="center"/>
          </w:tcPr>
          <w:p w14:paraId="628E186C">
            <w:pPr>
              <w:pStyle w:val="286"/>
              <w:keepNext w:val="0"/>
              <w:keepLines/>
              <w:pageBreakBefore w:val="0"/>
              <w:widowControl w:val="0"/>
              <w:shd w:val="clear" w:color="auto" w:fill="auto"/>
              <w:kinsoku/>
              <w:wordWrap/>
              <w:overflowPunct/>
              <w:topLinePunct w:val="0"/>
              <w:autoSpaceDE w:val="0"/>
              <w:autoSpaceDN w:val="0"/>
              <w:bidi w:val="0"/>
              <w:adjustRightInd/>
              <w:snapToGrid/>
              <w:spacing w:before="0" w:line="360" w:lineRule="auto"/>
              <w:ind w:left="0" w:right="0" w:firstLine="2409" w:firstLineChars="1000"/>
              <w:jc w:val="both"/>
              <w:textAlignment w:val="auto"/>
              <w:rPr>
                <w:rFonts w:hint="eastAsia" w:ascii="宋体" w:hAnsi="宋体" w:eastAsia="宋体" w:cs="宋体"/>
                <w:b/>
                <w:color w:val="auto"/>
                <w:spacing w:val="0"/>
                <w:sz w:val="24"/>
                <w:szCs w:val="24"/>
                <w:highlight w:val="none"/>
              </w:rPr>
            </w:pPr>
            <w:r>
              <w:rPr>
                <w:rFonts w:hint="eastAsia" w:ascii="宋体" w:hAnsi="宋体" w:eastAsia="宋体" w:cs="宋体"/>
                <w:b/>
                <w:color w:val="auto"/>
                <w:spacing w:val="0"/>
                <w:sz w:val="24"/>
                <w:szCs w:val="24"/>
                <w:highlight w:val="none"/>
              </w:rPr>
              <w:t>评审因素与评审</w:t>
            </w:r>
            <w:r>
              <w:rPr>
                <w:rFonts w:hint="eastAsia" w:ascii="宋体" w:hAnsi="宋体" w:eastAsia="宋体" w:cs="宋体"/>
                <w:b/>
                <w:color w:val="auto"/>
                <w:spacing w:val="0"/>
                <w:sz w:val="24"/>
                <w:szCs w:val="24"/>
                <w:highlight w:val="none"/>
                <w:lang w:val="en-US" w:eastAsia="zh-CN"/>
              </w:rPr>
              <w:t>标</w:t>
            </w:r>
            <w:r>
              <w:rPr>
                <w:rFonts w:hint="eastAsia" w:ascii="宋体" w:hAnsi="宋体" w:eastAsia="宋体" w:cs="宋体"/>
                <w:b/>
                <w:color w:val="auto"/>
                <w:spacing w:val="0"/>
                <w:sz w:val="24"/>
                <w:szCs w:val="24"/>
                <w:highlight w:val="none"/>
              </w:rPr>
              <w:t>准</w:t>
            </w:r>
          </w:p>
        </w:tc>
      </w:tr>
      <w:tr w14:paraId="530FC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151" w:hRule="atLeast"/>
        </w:trPr>
        <w:tc>
          <w:tcPr>
            <w:tcW w:w="917" w:type="dxa"/>
            <w:shd w:val="clear" w:color="auto" w:fill="auto"/>
            <w:noWrap w:val="0"/>
            <w:vAlign w:val="center"/>
          </w:tcPr>
          <w:p w14:paraId="089B62A9">
            <w:pPr>
              <w:pStyle w:val="286"/>
              <w:keepNext w:val="0"/>
              <w:pageBreakBefore w:val="0"/>
              <w:widowControl w:val="0"/>
              <w:shd w:val="clear" w:color="auto" w:fill="auto"/>
              <w:kinsoku/>
              <w:wordWrap/>
              <w:overflowPunct/>
              <w:topLinePunct w:val="0"/>
              <w:autoSpaceDE w:val="0"/>
              <w:autoSpaceDN w:val="0"/>
              <w:bidi w:val="0"/>
              <w:adjustRightInd/>
              <w:snapToGrid/>
              <w:spacing w:before="0" w:line="360" w:lineRule="auto"/>
              <w:ind w:left="95" w:right="8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总分100</w:t>
            </w:r>
          </w:p>
        </w:tc>
        <w:tc>
          <w:tcPr>
            <w:tcW w:w="1291" w:type="dxa"/>
            <w:shd w:val="clear" w:color="auto" w:fill="auto"/>
            <w:noWrap w:val="0"/>
            <w:vAlign w:val="center"/>
          </w:tcPr>
          <w:p w14:paraId="7AC1B22B">
            <w:pPr>
              <w:pStyle w:val="286"/>
              <w:keepNext w:val="0"/>
              <w:pageBreakBefore w:val="0"/>
              <w:widowControl w:val="0"/>
              <w:shd w:val="clear" w:color="auto" w:fill="auto"/>
              <w:kinsoku/>
              <w:wordWrap/>
              <w:overflowPunct/>
              <w:topLinePunct w:val="0"/>
              <w:autoSpaceDE w:val="0"/>
              <w:autoSpaceDN w:val="0"/>
              <w:bidi w:val="0"/>
              <w:adjustRightInd/>
              <w:snapToGrid/>
              <w:spacing w:before="0" w:line="360" w:lineRule="auto"/>
              <w:ind w:left="1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分值构成</w:t>
            </w:r>
          </w:p>
          <w:p w14:paraId="7B631B8E">
            <w:pPr>
              <w:pStyle w:val="286"/>
              <w:keepNext w:val="0"/>
              <w:pageBreakBefore w:val="0"/>
              <w:widowControl w:val="0"/>
              <w:shd w:val="clear" w:color="auto" w:fill="auto"/>
              <w:kinsoku/>
              <w:wordWrap/>
              <w:overflowPunct/>
              <w:topLinePunct w:val="0"/>
              <w:autoSpaceDE w:val="0"/>
              <w:autoSpaceDN w:val="0"/>
              <w:bidi w:val="0"/>
              <w:adjustRightInd/>
              <w:snapToGrid/>
              <w:spacing w:before="0" w:line="360" w:lineRule="auto"/>
              <w:ind w:left="8"/>
              <w:jc w:val="center"/>
              <w:textAlignment w:val="auto"/>
              <w:rPr>
                <w:rFonts w:hint="eastAsia" w:ascii="宋体" w:hAnsi="宋体" w:eastAsia="宋体" w:cs="宋体"/>
                <w:color w:val="auto"/>
                <w:sz w:val="24"/>
                <w:szCs w:val="24"/>
                <w:highlight w:val="none"/>
              </w:rPr>
            </w:pPr>
          </w:p>
        </w:tc>
        <w:tc>
          <w:tcPr>
            <w:tcW w:w="7562" w:type="dxa"/>
            <w:shd w:val="clear" w:color="auto" w:fill="auto"/>
            <w:noWrap w:val="0"/>
            <w:vAlign w:val="center"/>
          </w:tcPr>
          <w:p w14:paraId="60A8BAE5">
            <w:pPr>
              <w:pStyle w:val="286"/>
              <w:keepNext w:val="0"/>
              <w:pageBreakBefore w:val="0"/>
              <w:widowControl w:val="0"/>
              <w:shd w:val="clear" w:color="auto" w:fill="auto"/>
              <w:tabs>
                <w:tab w:val="left" w:pos="2634"/>
              </w:tabs>
              <w:kinsoku/>
              <w:wordWrap/>
              <w:overflowPunct/>
              <w:topLinePunct w:val="0"/>
              <w:autoSpaceDE w:val="0"/>
              <w:autoSpaceDN w:val="0"/>
              <w:bidi w:val="0"/>
              <w:adjustRightInd/>
              <w:snapToGrid/>
              <w:spacing w:before="0" w:line="360" w:lineRule="auto"/>
              <w:ind w:left="220" w:leftChars="0" w:right="2248" w:firstLine="0" w:firstLineChars="0"/>
              <w:jc w:val="left"/>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磋商报价得分：0-10分</w:t>
            </w:r>
          </w:p>
          <w:p w14:paraId="2DCFAD53">
            <w:pPr>
              <w:pStyle w:val="286"/>
              <w:keepNext w:val="0"/>
              <w:pageBreakBefore w:val="0"/>
              <w:widowControl w:val="0"/>
              <w:shd w:val="clear" w:color="auto" w:fill="auto"/>
              <w:tabs>
                <w:tab w:val="left" w:pos="2634"/>
              </w:tabs>
              <w:kinsoku/>
              <w:wordWrap/>
              <w:overflowPunct/>
              <w:topLinePunct w:val="0"/>
              <w:autoSpaceDE w:val="0"/>
              <w:autoSpaceDN w:val="0"/>
              <w:bidi w:val="0"/>
              <w:adjustRightInd/>
              <w:snapToGrid/>
              <w:spacing w:before="0" w:line="360" w:lineRule="auto"/>
              <w:ind w:left="220" w:leftChars="0" w:right="2248" w:firstLine="0" w:firstLineChars="0"/>
              <w:jc w:val="left"/>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技术得分：0-</w:t>
            </w:r>
            <w:r>
              <w:rPr>
                <w:rFonts w:hint="eastAsia" w:cs="宋体"/>
                <w:b/>
                <w:color w:val="auto"/>
                <w:sz w:val="24"/>
                <w:szCs w:val="24"/>
                <w:highlight w:val="none"/>
                <w:lang w:val="en-US" w:eastAsia="zh-CN"/>
              </w:rPr>
              <w:t>9</w:t>
            </w:r>
            <w:r>
              <w:rPr>
                <w:rFonts w:hint="eastAsia" w:ascii="宋体" w:hAnsi="宋体" w:eastAsia="宋体" w:cs="宋体"/>
                <w:b/>
                <w:color w:val="auto"/>
                <w:sz w:val="24"/>
                <w:szCs w:val="24"/>
                <w:highlight w:val="none"/>
                <w:lang w:val="en-US" w:eastAsia="zh-CN"/>
              </w:rPr>
              <w:t>0分</w:t>
            </w:r>
          </w:p>
        </w:tc>
      </w:tr>
      <w:tr w14:paraId="0AE72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917" w:type="dxa"/>
            <w:shd w:val="clear" w:color="auto" w:fill="auto"/>
            <w:noWrap w:val="0"/>
            <w:vAlign w:val="center"/>
          </w:tcPr>
          <w:p w14:paraId="7E689AE0">
            <w:pPr>
              <w:pStyle w:val="286"/>
              <w:keepNext w:val="0"/>
              <w:pageBreakBefore w:val="0"/>
              <w:widowControl w:val="0"/>
              <w:shd w:val="clear" w:color="auto" w:fill="auto"/>
              <w:kinsoku/>
              <w:wordWrap/>
              <w:overflowPunct/>
              <w:topLinePunct w:val="0"/>
              <w:autoSpaceDE w:val="0"/>
              <w:autoSpaceDN w:val="0"/>
              <w:bidi w:val="0"/>
              <w:adjustRightInd/>
              <w:snapToGrid/>
              <w:spacing w:before="0" w:line="360" w:lineRule="auto"/>
              <w:ind w:left="95" w:right="8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0-10</w:t>
            </w:r>
          </w:p>
        </w:tc>
        <w:tc>
          <w:tcPr>
            <w:tcW w:w="1291" w:type="dxa"/>
            <w:shd w:val="clear" w:color="auto" w:fill="auto"/>
            <w:noWrap w:val="0"/>
            <w:vAlign w:val="center"/>
          </w:tcPr>
          <w:p w14:paraId="73B151B3">
            <w:pPr>
              <w:pStyle w:val="286"/>
              <w:keepNext w:val="0"/>
              <w:pageBreakBefore w:val="0"/>
              <w:widowControl w:val="0"/>
              <w:shd w:val="clear" w:color="auto" w:fill="auto"/>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val="en-US" w:eastAsia="zh-CN"/>
              </w:rPr>
              <w:t>磋商报价得分</w:t>
            </w:r>
          </w:p>
        </w:tc>
        <w:tc>
          <w:tcPr>
            <w:tcW w:w="7562" w:type="dxa"/>
            <w:shd w:val="clear" w:color="auto" w:fill="auto"/>
            <w:noWrap w:val="0"/>
            <w:vAlign w:val="top"/>
          </w:tcPr>
          <w:p w14:paraId="7A495825">
            <w:pPr>
              <w:pStyle w:val="286"/>
              <w:keepNext w:val="0"/>
              <w:keepLines w:val="0"/>
              <w:pageBreakBefore w:val="0"/>
              <w:widowControl w:val="0"/>
              <w:numPr>
                <w:ilvl w:val="0"/>
                <w:numId w:val="17"/>
              </w:numPr>
              <w:shd w:val="clear" w:color="auto" w:fill="auto"/>
              <w:tabs>
                <w:tab w:val="left" w:pos="1998"/>
              </w:tabs>
              <w:kinsoku/>
              <w:wordWrap/>
              <w:overflowPunct/>
              <w:topLinePunct w:val="0"/>
              <w:autoSpaceDE w:val="0"/>
              <w:autoSpaceDN w:val="0"/>
              <w:bidi w:val="0"/>
              <w:adjustRightInd/>
              <w:snapToGrid/>
              <w:spacing w:before="0" w:line="360" w:lineRule="auto"/>
              <w:ind w:right="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采用低价优先法计算，即满足磋商文件要求且最终报价最低的供应商的价格为评标基准价，其价格分为满分10分。</w:t>
            </w:r>
          </w:p>
          <w:p w14:paraId="125E070D">
            <w:pPr>
              <w:pStyle w:val="286"/>
              <w:keepNext w:val="0"/>
              <w:keepLines w:val="0"/>
              <w:pageBreakBefore w:val="0"/>
              <w:widowControl w:val="0"/>
              <w:numPr>
                <w:ilvl w:val="0"/>
                <w:numId w:val="17"/>
              </w:numPr>
              <w:shd w:val="clear" w:color="auto" w:fill="auto"/>
              <w:tabs>
                <w:tab w:val="left" w:pos="1998"/>
              </w:tabs>
              <w:kinsoku/>
              <w:wordWrap/>
              <w:overflowPunct/>
              <w:topLinePunct w:val="0"/>
              <w:autoSpaceDE w:val="0"/>
              <w:autoSpaceDN w:val="0"/>
              <w:bidi w:val="0"/>
              <w:adjustRightInd/>
              <w:snapToGrid/>
              <w:spacing w:before="0" w:line="360" w:lineRule="auto"/>
              <w:ind w:right="0"/>
              <w:jc w:val="both"/>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en-US" w:eastAsia="zh-CN"/>
              </w:rPr>
              <w:t>磋商报价得分＝（磋商基准价/最后磋商报价）×价格权值×100</w:t>
            </w:r>
            <w:r>
              <w:rPr>
                <w:rFonts w:hint="eastAsia" w:ascii="宋体" w:hAnsi="宋体" w:eastAsia="宋体" w:cs="宋体"/>
                <w:b/>
                <w:bCs/>
                <w:color w:val="auto"/>
                <w:sz w:val="24"/>
                <w:szCs w:val="24"/>
                <w:highlight w:val="none"/>
                <w:lang w:val="zh-CN" w:eastAsia="zh-CN" w:bidi="zh-CN"/>
              </w:rPr>
              <w:t>）</w:t>
            </w:r>
          </w:p>
        </w:tc>
      </w:tr>
      <w:tr w14:paraId="68552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250" w:hRule="atLeast"/>
        </w:trPr>
        <w:tc>
          <w:tcPr>
            <w:tcW w:w="917" w:type="dxa"/>
            <w:vMerge w:val="restart"/>
            <w:shd w:val="clear" w:color="auto" w:fill="auto"/>
            <w:noWrap w:val="0"/>
            <w:vAlign w:val="center"/>
          </w:tcPr>
          <w:p w14:paraId="1D997291">
            <w:pPr>
              <w:pStyle w:val="286"/>
              <w:keepNext w:val="0"/>
              <w:keepLines w:val="0"/>
              <w:pageBreakBefore w:val="0"/>
              <w:widowControl w:val="0"/>
              <w:shd w:val="clear" w:color="auto" w:fill="auto"/>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技术方案</w:t>
            </w:r>
          </w:p>
        </w:tc>
        <w:tc>
          <w:tcPr>
            <w:tcW w:w="1291" w:type="dxa"/>
            <w:shd w:val="clear" w:color="auto" w:fill="auto"/>
            <w:noWrap w:val="0"/>
            <w:vAlign w:val="center"/>
          </w:tcPr>
          <w:p w14:paraId="5F2E5816">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方案创新性与实用性</w:t>
            </w:r>
          </w:p>
          <w:p w14:paraId="5AF0BB83">
            <w:pPr>
              <w:pStyle w:val="286"/>
              <w:keepNext w:val="0"/>
              <w:pageBreakBefore w:val="0"/>
              <w:widowControl w:val="0"/>
              <w:shd w:val="clear" w:color="auto" w:fill="auto"/>
              <w:kinsoku/>
              <w:wordWrap/>
              <w:overflowPunct/>
              <w:topLinePunct w:val="0"/>
              <w:autoSpaceDE w:val="0"/>
              <w:autoSpaceDN w:val="0"/>
              <w:bidi w:val="0"/>
              <w:adjustRightInd/>
              <w:snapToGrid/>
              <w:spacing w:before="0" w:line="360" w:lineRule="auto"/>
              <w:ind w:left="10" w:leftChars="0" w:right="113" w:firstLine="114"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lang w:val="en-US" w:eastAsia="zh-CN"/>
              </w:rPr>
              <w:t>0-20</w:t>
            </w:r>
            <w:r>
              <w:rPr>
                <w:rFonts w:hint="eastAsia" w:ascii="宋体" w:hAnsi="宋体" w:eastAsia="宋体" w:cs="宋体"/>
                <w:bCs/>
                <w:color w:val="auto"/>
                <w:sz w:val="24"/>
                <w:szCs w:val="24"/>
                <w:lang w:eastAsia="zh-CN"/>
              </w:rPr>
              <w:t>）</w:t>
            </w:r>
          </w:p>
        </w:tc>
        <w:tc>
          <w:tcPr>
            <w:tcW w:w="7562" w:type="dxa"/>
            <w:shd w:val="clear" w:color="auto" w:fill="auto"/>
            <w:noWrap w:val="0"/>
            <w:vAlign w:val="center"/>
          </w:tcPr>
          <w:p w14:paraId="01960549">
            <w:pPr>
              <w:spacing w:line="360" w:lineRule="auto"/>
              <w:rPr>
                <w:rFonts w:hint="eastAsia" w:ascii="宋体" w:hAnsi="宋体" w:eastAsia="宋体" w:cs="宋体"/>
                <w:bCs/>
                <w:color w:val="auto"/>
                <w:sz w:val="24"/>
                <w:szCs w:val="24"/>
                <w:lang w:val="en-US" w:eastAsia="zh-CN"/>
              </w:rPr>
            </w:pPr>
            <w:r>
              <w:rPr>
                <w:rFonts w:hint="eastAsia" w:ascii="宋体" w:hAnsi="宋体" w:eastAsia="宋体" w:cs="宋体"/>
                <w:b/>
                <w:bCs w:val="0"/>
                <w:color w:val="auto"/>
                <w:sz w:val="24"/>
                <w:szCs w:val="24"/>
                <w:lang w:val="en-US" w:eastAsia="zh-CN"/>
              </w:rPr>
              <w:t>细化指标</w:t>
            </w:r>
            <w:r>
              <w:rPr>
                <w:rFonts w:hint="eastAsia" w:ascii="宋体" w:hAnsi="宋体" w:eastAsia="宋体" w:cs="宋体"/>
                <w:bCs/>
                <w:color w:val="auto"/>
                <w:sz w:val="24"/>
                <w:szCs w:val="24"/>
                <w:lang w:val="en-US" w:eastAsia="zh-CN"/>
              </w:rPr>
              <w:t>：</w:t>
            </w:r>
            <w:r>
              <w:rPr>
                <w:rFonts w:hint="eastAsia" w:ascii="宋体" w:hAnsi="宋体" w:eastAsia="宋体" w:cs="宋体"/>
                <w:sz w:val="24"/>
                <w:szCs w:val="24"/>
              </w:rPr>
              <w:t>本项评估主要考察策划方案的创新程度和实用性。</w:t>
            </w:r>
          </w:p>
          <w:p w14:paraId="48C30571">
            <w:pPr>
              <w:spacing w:line="360" w:lineRule="auto"/>
              <w:rPr>
                <w:rFonts w:hint="eastAsia" w:ascii="宋体" w:hAnsi="宋体" w:eastAsia="宋体" w:cs="宋体"/>
                <w:sz w:val="24"/>
                <w:szCs w:val="24"/>
              </w:rPr>
            </w:pPr>
            <w:r>
              <w:rPr>
                <w:rFonts w:hint="eastAsia" w:ascii="宋体" w:hAnsi="宋体" w:eastAsia="宋体" w:cs="宋体"/>
                <w:sz w:val="24"/>
                <w:szCs w:val="24"/>
              </w:rPr>
              <w:t>1. 创新性：评估策划方案在内容、形式、技术手段等方面的创新程度，是否能够吸引参展商和观众的关注。</w:t>
            </w:r>
          </w:p>
          <w:p w14:paraId="2675ECCC">
            <w:pPr>
              <w:spacing w:line="360" w:lineRule="auto"/>
              <w:rPr>
                <w:rFonts w:hint="eastAsia" w:ascii="宋体" w:hAnsi="宋体" w:eastAsia="宋体" w:cs="宋体"/>
                <w:sz w:val="24"/>
                <w:szCs w:val="24"/>
              </w:rPr>
            </w:pPr>
            <w:r>
              <w:rPr>
                <w:rFonts w:hint="eastAsia" w:ascii="宋体" w:hAnsi="宋体" w:eastAsia="宋体" w:cs="宋体"/>
                <w:sz w:val="24"/>
                <w:szCs w:val="24"/>
              </w:rPr>
              <w:t>2. 实用性：分析策划方案是否符合实际操作要求，能否有效实现采购展销会的目标，并提升活动的整体效果。</w:t>
            </w:r>
          </w:p>
          <w:p w14:paraId="0D676553">
            <w:pPr>
              <w:numPr>
                <w:ilvl w:val="0"/>
                <w:numId w:val="0"/>
              </w:numPr>
              <w:spacing w:line="360" w:lineRule="auto"/>
              <w:ind w:leftChars="0"/>
              <w:jc w:val="both"/>
              <w:rPr>
                <w:rFonts w:hint="eastAsia" w:ascii="宋体" w:hAnsi="宋体" w:eastAsia="宋体" w:cs="宋体"/>
                <w:bCs/>
                <w:color w:val="auto"/>
                <w:sz w:val="24"/>
                <w:szCs w:val="24"/>
                <w:lang w:val="en-US" w:eastAsia="zh-CN"/>
              </w:rPr>
            </w:pPr>
            <w:r>
              <w:rPr>
                <w:rFonts w:hint="eastAsia" w:ascii="宋体" w:hAnsi="宋体" w:eastAsia="宋体" w:cs="宋体"/>
                <w:b/>
                <w:bCs w:val="0"/>
                <w:color w:val="auto"/>
                <w:sz w:val="24"/>
                <w:szCs w:val="24"/>
                <w:lang w:val="en-US" w:eastAsia="zh-CN"/>
              </w:rPr>
              <w:t>量化指标</w:t>
            </w:r>
            <w:r>
              <w:rPr>
                <w:rFonts w:hint="eastAsia" w:ascii="宋体" w:hAnsi="宋体" w:eastAsia="宋体" w:cs="宋体"/>
                <w:bCs/>
                <w:color w:val="auto"/>
                <w:sz w:val="24"/>
                <w:szCs w:val="24"/>
                <w:lang w:val="en-US" w:eastAsia="zh-CN"/>
              </w:rPr>
              <w:t>：</w:t>
            </w:r>
          </w:p>
          <w:p w14:paraId="0376D2EE">
            <w:pPr>
              <w:numPr>
                <w:ilvl w:val="0"/>
                <w:numId w:val="0"/>
              </w:numPr>
              <w:spacing w:line="360" w:lineRule="auto"/>
              <w:ind w:leftChars="0"/>
              <w:jc w:val="both"/>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fldChar w:fldCharType="begin"/>
            </w:r>
            <w:r>
              <w:rPr>
                <w:rFonts w:hint="eastAsia" w:ascii="宋体" w:hAnsi="宋体" w:eastAsia="宋体" w:cs="宋体"/>
                <w:bCs/>
                <w:color w:val="auto"/>
                <w:sz w:val="24"/>
                <w:szCs w:val="24"/>
                <w:lang w:val="en-US" w:eastAsia="zh-CN"/>
              </w:rPr>
              <w:instrText xml:space="preserve"> = 1 \* GB3 \* MERGEFORMAT </w:instrText>
            </w:r>
            <w:r>
              <w:rPr>
                <w:rFonts w:hint="eastAsia" w:ascii="宋体" w:hAnsi="宋体" w:eastAsia="宋体" w:cs="宋体"/>
                <w:bCs/>
                <w:color w:val="auto"/>
                <w:sz w:val="24"/>
                <w:szCs w:val="24"/>
                <w:lang w:val="en-US" w:eastAsia="zh-CN"/>
              </w:rPr>
              <w:fldChar w:fldCharType="separate"/>
            </w:r>
            <w:r>
              <w:rPr>
                <w:rFonts w:hint="eastAsia" w:ascii="宋体" w:hAnsi="宋体" w:eastAsia="宋体" w:cs="宋体"/>
                <w:bCs/>
                <w:color w:val="auto"/>
                <w:sz w:val="24"/>
                <w:szCs w:val="24"/>
                <w:lang w:val="en-US" w:eastAsia="zh-CN"/>
              </w:rPr>
              <w:t>①</w:t>
            </w:r>
            <w:r>
              <w:rPr>
                <w:rFonts w:hint="eastAsia" w:ascii="宋体" w:hAnsi="宋体" w:eastAsia="宋体" w:cs="宋体"/>
                <w:bCs/>
                <w:color w:val="auto"/>
                <w:sz w:val="24"/>
                <w:szCs w:val="24"/>
                <w:lang w:val="en-US" w:eastAsia="zh-CN"/>
              </w:rPr>
              <w:fldChar w:fldCharType="end"/>
            </w:r>
            <w:r>
              <w:rPr>
                <w:rFonts w:hint="eastAsia" w:ascii="宋体" w:hAnsi="宋体" w:eastAsia="宋体" w:cs="宋体"/>
                <w:bCs/>
                <w:color w:val="auto"/>
                <w:sz w:val="24"/>
                <w:szCs w:val="24"/>
                <w:lang w:val="en-US" w:eastAsia="zh-CN"/>
              </w:rPr>
              <w:t>、策划实施方案思路清晰，方案的内容、形式及技术手段等方面创新程度高，能够吸引参展商和观众的关注，</w:t>
            </w:r>
            <w:r>
              <w:rPr>
                <w:rFonts w:hint="eastAsia" w:ascii="宋体" w:hAnsi="宋体" w:eastAsia="宋体" w:cs="宋体"/>
                <w:sz w:val="24"/>
                <w:szCs w:val="24"/>
              </w:rPr>
              <w:t>策划方案符合实际操作要求，能有效实现采购展销会的目标，并提升活动的整体效果</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本项</w:t>
            </w:r>
            <w:r>
              <w:rPr>
                <w:rFonts w:hint="eastAsia" w:ascii="宋体" w:hAnsi="宋体" w:eastAsia="宋体" w:cs="宋体"/>
                <w:bCs/>
                <w:color w:val="auto"/>
                <w:sz w:val="24"/>
                <w:szCs w:val="24"/>
                <w:lang w:val="en-US" w:eastAsia="zh-CN"/>
              </w:rPr>
              <w:t>得20分</w:t>
            </w:r>
          </w:p>
          <w:p w14:paraId="2B2E5AB0">
            <w:pPr>
              <w:numPr>
                <w:ilvl w:val="0"/>
                <w:numId w:val="0"/>
              </w:numPr>
              <w:spacing w:line="360" w:lineRule="auto"/>
              <w:ind w:leftChars="0"/>
              <w:jc w:val="both"/>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fldChar w:fldCharType="begin"/>
            </w:r>
            <w:r>
              <w:rPr>
                <w:rFonts w:hint="eastAsia" w:ascii="宋体" w:hAnsi="宋体" w:eastAsia="宋体" w:cs="宋体"/>
                <w:bCs/>
                <w:color w:val="auto"/>
                <w:sz w:val="24"/>
                <w:szCs w:val="24"/>
                <w:lang w:val="en-US" w:eastAsia="zh-CN"/>
              </w:rPr>
              <w:instrText xml:space="preserve"> = 2 \* GB3 \* MERGEFORMAT </w:instrText>
            </w:r>
            <w:r>
              <w:rPr>
                <w:rFonts w:hint="eastAsia" w:ascii="宋体" w:hAnsi="宋体" w:eastAsia="宋体" w:cs="宋体"/>
                <w:bCs/>
                <w:color w:val="auto"/>
                <w:sz w:val="24"/>
                <w:szCs w:val="24"/>
                <w:lang w:val="en-US" w:eastAsia="zh-CN"/>
              </w:rPr>
              <w:fldChar w:fldCharType="separate"/>
            </w:r>
            <w:r>
              <w:rPr>
                <w:rFonts w:hint="eastAsia" w:ascii="宋体" w:hAnsi="宋体" w:eastAsia="宋体" w:cs="宋体"/>
                <w:bCs/>
                <w:color w:val="auto"/>
                <w:sz w:val="24"/>
                <w:szCs w:val="24"/>
                <w:lang w:val="en-US" w:eastAsia="zh-CN"/>
              </w:rPr>
              <w:t>②</w:t>
            </w:r>
            <w:r>
              <w:rPr>
                <w:rFonts w:hint="eastAsia" w:ascii="宋体" w:hAnsi="宋体" w:eastAsia="宋体" w:cs="宋体"/>
                <w:bCs/>
                <w:color w:val="auto"/>
                <w:sz w:val="24"/>
                <w:szCs w:val="24"/>
                <w:lang w:val="en-US" w:eastAsia="zh-CN"/>
              </w:rPr>
              <w:fldChar w:fldCharType="end"/>
            </w:r>
            <w:r>
              <w:rPr>
                <w:rFonts w:hint="eastAsia" w:ascii="宋体" w:hAnsi="宋体" w:eastAsia="宋体" w:cs="宋体"/>
                <w:bCs/>
                <w:color w:val="auto"/>
                <w:sz w:val="24"/>
                <w:szCs w:val="24"/>
                <w:lang w:val="en-US" w:eastAsia="zh-CN"/>
              </w:rPr>
              <w:t>、策划实施方案思路较清晰，文案的内容、形式及技术手段等方面创新程度较高，能够吸引参展商和观众的关注，</w:t>
            </w:r>
            <w:r>
              <w:rPr>
                <w:rFonts w:hint="eastAsia" w:ascii="宋体" w:hAnsi="宋体" w:eastAsia="宋体" w:cs="宋体"/>
                <w:sz w:val="24"/>
                <w:szCs w:val="24"/>
              </w:rPr>
              <w:t>策划方案符合实际操作要求，能有效实现采购展销会的目标，并提升活动的整体效果</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本项</w:t>
            </w:r>
            <w:r>
              <w:rPr>
                <w:rFonts w:hint="eastAsia" w:ascii="宋体" w:hAnsi="宋体" w:eastAsia="宋体" w:cs="宋体"/>
                <w:bCs/>
                <w:color w:val="auto"/>
                <w:sz w:val="24"/>
                <w:szCs w:val="24"/>
                <w:lang w:val="en-US" w:eastAsia="zh-CN"/>
              </w:rPr>
              <w:t>得18分</w:t>
            </w:r>
          </w:p>
          <w:p w14:paraId="161050A0">
            <w:pPr>
              <w:numPr>
                <w:ilvl w:val="0"/>
                <w:numId w:val="0"/>
              </w:numPr>
              <w:spacing w:line="360" w:lineRule="auto"/>
              <w:ind w:leftChars="0"/>
              <w:jc w:val="both"/>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fldChar w:fldCharType="begin"/>
            </w:r>
            <w:r>
              <w:rPr>
                <w:rFonts w:hint="eastAsia" w:ascii="宋体" w:hAnsi="宋体" w:eastAsia="宋体" w:cs="宋体"/>
                <w:bCs/>
                <w:color w:val="auto"/>
                <w:sz w:val="24"/>
                <w:szCs w:val="24"/>
                <w:lang w:val="en-US" w:eastAsia="zh-CN"/>
              </w:rPr>
              <w:instrText xml:space="preserve"> = 3 \* GB3 \* MERGEFORMAT </w:instrText>
            </w:r>
            <w:r>
              <w:rPr>
                <w:rFonts w:hint="eastAsia" w:ascii="宋体" w:hAnsi="宋体" w:eastAsia="宋体" w:cs="宋体"/>
                <w:bCs/>
                <w:color w:val="auto"/>
                <w:sz w:val="24"/>
                <w:szCs w:val="24"/>
                <w:lang w:val="en-US" w:eastAsia="zh-CN"/>
              </w:rPr>
              <w:fldChar w:fldCharType="separate"/>
            </w:r>
            <w:r>
              <w:rPr>
                <w:rFonts w:hint="eastAsia" w:ascii="宋体" w:hAnsi="宋体" w:eastAsia="宋体" w:cs="宋体"/>
                <w:bCs/>
                <w:color w:val="auto"/>
                <w:sz w:val="24"/>
                <w:szCs w:val="24"/>
                <w:lang w:val="en-US" w:eastAsia="zh-CN"/>
              </w:rPr>
              <w:t>③</w:t>
            </w:r>
            <w:r>
              <w:rPr>
                <w:rFonts w:hint="eastAsia" w:ascii="宋体" w:hAnsi="宋体" w:eastAsia="宋体" w:cs="宋体"/>
                <w:bCs/>
                <w:color w:val="auto"/>
                <w:sz w:val="24"/>
                <w:szCs w:val="24"/>
                <w:lang w:val="en-US" w:eastAsia="zh-CN"/>
              </w:rPr>
              <w:fldChar w:fldCharType="end"/>
            </w:r>
            <w:r>
              <w:rPr>
                <w:rFonts w:hint="eastAsia" w:ascii="宋体" w:hAnsi="宋体" w:eastAsia="宋体" w:cs="宋体"/>
                <w:bCs/>
                <w:color w:val="auto"/>
                <w:sz w:val="24"/>
                <w:szCs w:val="24"/>
                <w:lang w:val="en-US" w:eastAsia="zh-CN"/>
              </w:rPr>
              <w:t>、策划实施方案思路较清晰，文案的内容、形式及技术手段等方面比较传统，基本不能够引起参展商和观众的关注，</w:t>
            </w:r>
            <w:r>
              <w:rPr>
                <w:rFonts w:hint="eastAsia" w:ascii="宋体" w:hAnsi="宋体" w:eastAsia="宋体" w:cs="宋体"/>
                <w:sz w:val="24"/>
                <w:szCs w:val="24"/>
              </w:rPr>
              <w:t>策划方案</w:t>
            </w:r>
            <w:r>
              <w:rPr>
                <w:rFonts w:hint="eastAsia" w:ascii="宋体" w:hAnsi="宋体" w:eastAsia="宋体" w:cs="宋体"/>
                <w:sz w:val="24"/>
                <w:szCs w:val="24"/>
                <w:lang w:val="en-US" w:eastAsia="zh-CN"/>
              </w:rPr>
              <w:t>对</w:t>
            </w:r>
            <w:r>
              <w:rPr>
                <w:rFonts w:hint="eastAsia" w:ascii="宋体" w:hAnsi="宋体" w:eastAsia="宋体" w:cs="宋体"/>
                <w:sz w:val="24"/>
                <w:szCs w:val="24"/>
              </w:rPr>
              <w:t>有效实现采购展销会的目标</w:t>
            </w:r>
            <w:r>
              <w:rPr>
                <w:rFonts w:hint="eastAsia" w:ascii="宋体" w:hAnsi="宋体" w:eastAsia="宋体" w:cs="宋体"/>
                <w:sz w:val="24"/>
                <w:szCs w:val="24"/>
                <w:lang w:val="en-US" w:eastAsia="zh-CN"/>
              </w:rPr>
              <w:t>还有提升的空间</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本项</w:t>
            </w:r>
            <w:r>
              <w:rPr>
                <w:rFonts w:hint="eastAsia" w:ascii="宋体" w:hAnsi="宋体" w:eastAsia="宋体" w:cs="宋体"/>
                <w:bCs/>
                <w:color w:val="auto"/>
                <w:sz w:val="24"/>
                <w:szCs w:val="24"/>
                <w:lang w:val="en-US" w:eastAsia="zh-CN"/>
              </w:rPr>
              <w:t>得16分</w:t>
            </w:r>
          </w:p>
          <w:p w14:paraId="7EEE3C31">
            <w:pPr>
              <w:numPr>
                <w:ilvl w:val="0"/>
                <w:numId w:val="0"/>
              </w:numPr>
              <w:spacing w:line="360" w:lineRule="auto"/>
              <w:ind w:leftChars="0"/>
              <w:jc w:val="both"/>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fldChar w:fldCharType="begin"/>
            </w:r>
            <w:r>
              <w:rPr>
                <w:rFonts w:hint="eastAsia" w:ascii="宋体" w:hAnsi="宋体" w:eastAsia="宋体" w:cs="宋体"/>
                <w:bCs/>
                <w:color w:val="auto"/>
                <w:sz w:val="24"/>
                <w:szCs w:val="24"/>
                <w:lang w:val="en-US" w:eastAsia="zh-CN"/>
              </w:rPr>
              <w:instrText xml:space="preserve"> = 4 \* GB3 \* MERGEFORMAT </w:instrText>
            </w:r>
            <w:r>
              <w:rPr>
                <w:rFonts w:hint="eastAsia" w:ascii="宋体" w:hAnsi="宋体" w:eastAsia="宋体" w:cs="宋体"/>
                <w:bCs/>
                <w:color w:val="auto"/>
                <w:sz w:val="24"/>
                <w:szCs w:val="24"/>
                <w:lang w:val="en-US" w:eastAsia="zh-CN"/>
              </w:rPr>
              <w:fldChar w:fldCharType="separate"/>
            </w:r>
            <w:r>
              <w:rPr>
                <w:rFonts w:hint="eastAsia" w:ascii="宋体" w:hAnsi="宋体" w:eastAsia="宋体" w:cs="宋体"/>
                <w:bCs/>
                <w:color w:val="auto"/>
                <w:sz w:val="24"/>
                <w:szCs w:val="24"/>
                <w:lang w:val="en-US" w:eastAsia="zh-CN"/>
              </w:rPr>
              <w:t>④</w:t>
            </w:r>
            <w:r>
              <w:rPr>
                <w:rFonts w:hint="eastAsia" w:ascii="宋体" w:hAnsi="宋体" w:eastAsia="宋体" w:cs="宋体"/>
                <w:bCs/>
                <w:color w:val="auto"/>
                <w:sz w:val="24"/>
                <w:szCs w:val="24"/>
                <w:lang w:val="en-US" w:eastAsia="zh-CN"/>
              </w:rPr>
              <w:fldChar w:fldCharType="end"/>
            </w:r>
            <w:r>
              <w:rPr>
                <w:rFonts w:hint="eastAsia" w:ascii="宋体" w:hAnsi="宋体" w:eastAsia="宋体" w:cs="宋体"/>
                <w:bCs/>
                <w:color w:val="auto"/>
                <w:sz w:val="24"/>
                <w:szCs w:val="24"/>
                <w:lang w:val="en-US" w:eastAsia="zh-CN"/>
              </w:rPr>
              <w:t>、无内容不得分</w:t>
            </w:r>
          </w:p>
        </w:tc>
      </w:tr>
      <w:tr w14:paraId="56C58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23" w:hRule="atLeast"/>
        </w:trPr>
        <w:tc>
          <w:tcPr>
            <w:tcW w:w="917" w:type="dxa"/>
            <w:vMerge w:val="continue"/>
            <w:shd w:val="clear" w:color="auto" w:fill="auto"/>
            <w:noWrap w:val="0"/>
            <w:vAlign w:val="center"/>
          </w:tcPr>
          <w:p w14:paraId="7F55BC3E">
            <w:pPr>
              <w:pStyle w:val="286"/>
              <w:keepNext w:val="0"/>
              <w:pageBreakBefore w:val="0"/>
              <w:widowControl w:val="0"/>
              <w:shd w:val="clear" w:color="auto" w:fill="auto"/>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color w:val="auto"/>
                <w:sz w:val="24"/>
                <w:szCs w:val="24"/>
                <w:highlight w:val="none"/>
                <w:lang w:val="en-US" w:eastAsia="zh-CN"/>
              </w:rPr>
            </w:pPr>
          </w:p>
        </w:tc>
        <w:tc>
          <w:tcPr>
            <w:tcW w:w="1291" w:type="dxa"/>
            <w:shd w:val="clear" w:color="auto" w:fill="auto"/>
            <w:noWrap w:val="0"/>
            <w:vAlign w:val="center"/>
          </w:tcPr>
          <w:p w14:paraId="42448FD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活动流程设计合理性</w:t>
            </w:r>
          </w:p>
          <w:p w14:paraId="0FAD9651">
            <w:pPr>
              <w:numPr>
                <w:ilvl w:val="0"/>
                <w:numId w:val="0"/>
              </w:numPr>
              <w:spacing w:line="360" w:lineRule="auto"/>
              <w:ind w:leftChars="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（0-</w:t>
            </w:r>
            <w:r>
              <w:rPr>
                <w:rFonts w:hint="eastAsia" w:hAnsi="宋体" w:cs="宋体"/>
                <w:bCs/>
                <w:color w:val="auto"/>
                <w:sz w:val="24"/>
                <w:szCs w:val="24"/>
                <w:lang w:val="en-US" w:eastAsia="zh-CN"/>
              </w:rPr>
              <w:t>20</w:t>
            </w:r>
            <w:r>
              <w:rPr>
                <w:rFonts w:hint="eastAsia" w:ascii="宋体" w:hAnsi="宋体" w:eastAsia="宋体" w:cs="宋体"/>
                <w:bCs/>
                <w:color w:val="auto"/>
                <w:sz w:val="24"/>
                <w:szCs w:val="24"/>
                <w:lang w:val="en-US" w:eastAsia="zh-CN"/>
              </w:rPr>
              <w:t>）</w:t>
            </w:r>
          </w:p>
        </w:tc>
        <w:tc>
          <w:tcPr>
            <w:tcW w:w="7562" w:type="dxa"/>
            <w:shd w:val="clear" w:color="auto" w:fill="auto"/>
            <w:noWrap w:val="0"/>
            <w:vAlign w:val="center"/>
          </w:tcPr>
          <w:p w14:paraId="1440501F">
            <w:pPr>
              <w:spacing w:line="360" w:lineRule="auto"/>
              <w:rPr>
                <w:rFonts w:hint="eastAsia" w:ascii="宋体" w:hAnsi="宋体" w:eastAsia="宋体" w:cs="宋体"/>
                <w:sz w:val="24"/>
                <w:szCs w:val="24"/>
              </w:rPr>
            </w:pPr>
            <w:r>
              <w:rPr>
                <w:rFonts w:hint="eastAsia" w:ascii="宋体" w:hAnsi="宋体" w:eastAsia="宋体" w:cs="宋体"/>
                <w:b/>
                <w:bCs w:val="0"/>
                <w:color w:val="auto"/>
                <w:sz w:val="24"/>
                <w:szCs w:val="24"/>
                <w:lang w:val="en-US" w:eastAsia="zh-CN"/>
              </w:rPr>
              <w:t>细化指标</w:t>
            </w:r>
            <w:r>
              <w:rPr>
                <w:rFonts w:hint="eastAsia" w:ascii="宋体" w:hAnsi="宋体" w:eastAsia="宋体" w:cs="宋体"/>
                <w:bCs/>
                <w:color w:val="auto"/>
                <w:sz w:val="24"/>
                <w:szCs w:val="24"/>
                <w:lang w:val="en-US" w:eastAsia="zh-CN"/>
              </w:rPr>
              <w:t>：</w:t>
            </w:r>
            <w:r>
              <w:rPr>
                <w:rFonts w:hint="eastAsia" w:ascii="宋体" w:hAnsi="宋体" w:eastAsia="宋体" w:cs="宋体"/>
                <w:sz w:val="24"/>
                <w:szCs w:val="24"/>
              </w:rPr>
              <w:t>活动流程是展销会成功的关键。本项评估将关注流程的连贯性、效率以及观众体验。具体标准如下：</w:t>
            </w:r>
          </w:p>
          <w:p w14:paraId="20AF5278">
            <w:pPr>
              <w:spacing w:line="360" w:lineRule="auto"/>
              <w:rPr>
                <w:rFonts w:hint="eastAsia" w:ascii="宋体" w:hAnsi="宋体" w:eastAsia="宋体" w:cs="宋体"/>
                <w:sz w:val="24"/>
                <w:szCs w:val="24"/>
              </w:rPr>
            </w:pPr>
            <w:r>
              <w:rPr>
                <w:rFonts w:hint="eastAsia" w:ascii="宋体" w:hAnsi="宋体" w:eastAsia="宋体" w:cs="宋体"/>
                <w:sz w:val="24"/>
                <w:szCs w:val="24"/>
              </w:rPr>
              <w:t>1. 流程连贯性：评估活动流程是否清晰、有序，各个环节是否能够顺畅衔接。</w:t>
            </w:r>
          </w:p>
          <w:p w14:paraId="674C7F0F">
            <w:pPr>
              <w:spacing w:line="360" w:lineRule="auto"/>
              <w:rPr>
                <w:rFonts w:hint="eastAsia" w:ascii="宋体" w:hAnsi="宋体" w:eastAsia="宋体" w:cs="宋体"/>
                <w:sz w:val="24"/>
                <w:szCs w:val="24"/>
              </w:rPr>
            </w:pPr>
            <w:r>
              <w:rPr>
                <w:rFonts w:hint="eastAsia" w:ascii="宋体" w:hAnsi="宋体" w:eastAsia="宋体" w:cs="宋体"/>
                <w:sz w:val="24"/>
                <w:szCs w:val="24"/>
              </w:rPr>
              <w:t>2. 时间效率：分析活动流程的时间安排是否合理，能否在保证效果的前提下提高效率。</w:t>
            </w:r>
          </w:p>
          <w:p w14:paraId="1F954C78">
            <w:pPr>
              <w:spacing w:line="360" w:lineRule="auto"/>
              <w:rPr>
                <w:rFonts w:hint="eastAsia" w:ascii="宋体" w:hAnsi="宋体" w:eastAsia="宋体" w:cs="宋体"/>
                <w:sz w:val="24"/>
                <w:szCs w:val="24"/>
              </w:rPr>
            </w:pPr>
            <w:r>
              <w:rPr>
                <w:rFonts w:hint="eastAsia" w:ascii="宋体" w:hAnsi="宋体" w:eastAsia="宋体" w:cs="宋体"/>
                <w:sz w:val="24"/>
                <w:szCs w:val="24"/>
              </w:rPr>
              <w:t>3. 观众体验：关注观众在活动过程中的参与度、互动性以及整体满意度。</w:t>
            </w:r>
          </w:p>
          <w:p w14:paraId="1532BA38">
            <w:pPr>
              <w:numPr>
                <w:ilvl w:val="0"/>
                <w:numId w:val="0"/>
              </w:numPr>
              <w:spacing w:line="360" w:lineRule="auto"/>
              <w:ind w:leftChars="0"/>
              <w:jc w:val="both"/>
              <w:rPr>
                <w:rFonts w:hint="eastAsia" w:ascii="宋体" w:hAnsi="宋体" w:eastAsia="宋体" w:cs="宋体"/>
                <w:bCs/>
                <w:color w:val="auto"/>
                <w:sz w:val="24"/>
                <w:szCs w:val="24"/>
                <w:lang w:val="en-US" w:eastAsia="zh-CN"/>
              </w:rPr>
            </w:pPr>
            <w:r>
              <w:rPr>
                <w:rFonts w:hint="eastAsia" w:ascii="宋体" w:hAnsi="宋体" w:eastAsia="宋体" w:cs="宋体"/>
                <w:b/>
                <w:bCs w:val="0"/>
                <w:color w:val="auto"/>
                <w:sz w:val="24"/>
                <w:szCs w:val="24"/>
                <w:lang w:val="en-US" w:eastAsia="zh-CN"/>
              </w:rPr>
              <w:t>量化指标</w:t>
            </w:r>
            <w:r>
              <w:rPr>
                <w:rFonts w:hint="eastAsia" w:ascii="宋体" w:hAnsi="宋体" w:eastAsia="宋体" w:cs="宋体"/>
                <w:bCs/>
                <w:color w:val="auto"/>
                <w:sz w:val="24"/>
                <w:szCs w:val="24"/>
                <w:lang w:val="en-US" w:eastAsia="zh-CN"/>
              </w:rPr>
              <w:t>：</w:t>
            </w:r>
          </w:p>
          <w:p w14:paraId="30972D5F">
            <w:pPr>
              <w:numPr>
                <w:ilvl w:val="0"/>
                <w:numId w:val="0"/>
              </w:numPr>
              <w:spacing w:line="360" w:lineRule="auto"/>
              <w:ind w:leftChars="0"/>
              <w:jc w:val="both"/>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fldChar w:fldCharType="begin"/>
            </w:r>
            <w:r>
              <w:rPr>
                <w:rFonts w:hint="eastAsia" w:ascii="宋体" w:hAnsi="宋体" w:eastAsia="宋体" w:cs="宋体"/>
                <w:bCs/>
                <w:color w:val="auto"/>
                <w:sz w:val="24"/>
                <w:szCs w:val="24"/>
                <w:lang w:val="en-US" w:eastAsia="zh-CN"/>
              </w:rPr>
              <w:instrText xml:space="preserve"> = 1 \* GB3 \* MERGEFORMAT </w:instrText>
            </w:r>
            <w:r>
              <w:rPr>
                <w:rFonts w:hint="eastAsia" w:ascii="宋体" w:hAnsi="宋体" w:eastAsia="宋体" w:cs="宋体"/>
                <w:bCs/>
                <w:color w:val="auto"/>
                <w:sz w:val="24"/>
                <w:szCs w:val="24"/>
                <w:lang w:val="en-US" w:eastAsia="zh-CN"/>
              </w:rPr>
              <w:fldChar w:fldCharType="separate"/>
            </w:r>
            <w:r>
              <w:rPr>
                <w:rFonts w:hint="eastAsia" w:ascii="宋体" w:hAnsi="宋体" w:eastAsia="宋体" w:cs="宋体"/>
                <w:bCs/>
                <w:color w:val="auto"/>
                <w:sz w:val="24"/>
                <w:szCs w:val="24"/>
                <w:lang w:val="en-US" w:eastAsia="zh-CN"/>
              </w:rPr>
              <w:t>①</w:t>
            </w:r>
            <w:r>
              <w:rPr>
                <w:rFonts w:hint="eastAsia" w:ascii="宋体" w:hAnsi="宋体" w:eastAsia="宋体" w:cs="宋体"/>
                <w:bCs/>
                <w:color w:val="auto"/>
                <w:sz w:val="24"/>
                <w:szCs w:val="24"/>
                <w:lang w:val="en-US" w:eastAsia="zh-CN"/>
              </w:rPr>
              <w:fldChar w:fldCharType="end"/>
            </w:r>
            <w:r>
              <w:rPr>
                <w:rFonts w:hint="eastAsia" w:ascii="宋体" w:hAnsi="宋体" w:eastAsia="宋体" w:cs="宋体"/>
                <w:bCs/>
                <w:color w:val="auto"/>
                <w:sz w:val="24"/>
                <w:szCs w:val="24"/>
                <w:lang w:val="en-US" w:eastAsia="zh-CN"/>
              </w:rPr>
              <w:t>、</w:t>
            </w:r>
            <w:r>
              <w:rPr>
                <w:rFonts w:hint="eastAsia" w:ascii="宋体" w:hAnsi="宋体" w:eastAsia="宋体" w:cs="宋体"/>
                <w:sz w:val="24"/>
                <w:szCs w:val="24"/>
              </w:rPr>
              <w:t>活动流程清晰、有序，各个环节能够顺畅衔接</w:t>
            </w:r>
            <w:r>
              <w:rPr>
                <w:rFonts w:hint="eastAsia" w:ascii="宋体" w:hAnsi="宋体" w:eastAsia="宋体" w:cs="宋体"/>
                <w:bCs/>
                <w:color w:val="auto"/>
                <w:sz w:val="24"/>
                <w:szCs w:val="24"/>
                <w:lang w:eastAsia="zh-CN"/>
              </w:rPr>
              <w:t>，</w:t>
            </w:r>
            <w:r>
              <w:rPr>
                <w:rFonts w:hint="eastAsia" w:ascii="宋体" w:hAnsi="宋体" w:eastAsia="宋体" w:cs="宋体"/>
                <w:sz w:val="24"/>
                <w:szCs w:val="24"/>
              </w:rPr>
              <w:t>时间安排合理，能在保证效果的前提下提高效率</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有详细的</w:t>
            </w:r>
            <w:r>
              <w:rPr>
                <w:rFonts w:hint="eastAsia" w:ascii="宋体" w:hAnsi="宋体" w:eastAsia="宋体" w:cs="宋体"/>
                <w:sz w:val="24"/>
                <w:szCs w:val="24"/>
              </w:rPr>
              <w:t>关注观众在活动过程中的参与度、互动性以及整体满意度</w:t>
            </w:r>
            <w:r>
              <w:rPr>
                <w:rFonts w:hint="eastAsia" w:ascii="宋体" w:hAnsi="宋体" w:eastAsia="宋体" w:cs="宋体"/>
                <w:sz w:val="24"/>
                <w:szCs w:val="24"/>
                <w:lang w:val="en-US" w:eastAsia="zh-CN"/>
              </w:rPr>
              <w:t>调查方案</w:t>
            </w:r>
            <w:r>
              <w:rPr>
                <w:rFonts w:hint="eastAsia" w:ascii="宋体" w:hAnsi="宋体" w:eastAsia="宋体" w:cs="宋体"/>
                <w:sz w:val="24"/>
                <w:szCs w:val="24"/>
              </w:rPr>
              <w:t>。</w:t>
            </w:r>
            <w:r>
              <w:rPr>
                <w:rFonts w:hint="eastAsia" w:ascii="宋体" w:hAnsi="宋体" w:eastAsia="宋体" w:cs="宋体"/>
                <w:sz w:val="24"/>
                <w:szCs w:val="24"/>
                <w:lang w:val="en-US" w:eastAsia="zh-CN"/>
              </w:rPr>
              <w:t>本项</w:t>
            </w:r>
            <w:r>
              <w:rPr>
                <w:rFonts w:hint="eastAsia" w:ascii="宋体" w:hAnsi="宋体" w:eastAsia="宋体" w:cs="宋体"/>
                <w:bCs/>
                <w:color w:val="auto"/>
                <w:sz w:val="24"/>
                <w:szCs w:val="24"/>
                <w:lang w:val="en-US" w:eastAsia="zh-CN"/>
              </w:rPr>
              <w:t>得</w:t>
            </w:r>
            <w:r>
              <w:rPr>
                <w:rFonts w:hint="eastAsia" w:hAnsi="宋体" w:cs="宋体"/>
                <w:bCs/>
                <w:color w:val="auto"/>
                <w:sz w:val="24"/>
                <w:szCs w:val="24"/>
                <w:lang w:val="en-US" w:eastAsia="zh-CN"/>
              </w:rPr>
              <w:t>20</w:t>
            </w:r>
            <w:r>
              <w:rPr>
                <w:rFonts w:hint="eastAsia" w:ascii="宋体" w:hAnsi="宋体" w:eastAsia="宋体" w:cs="宋体"/>
                <w:bCs/>
                <w:color w:val="auto"/>
                <w:sz w:val="24"/>
                <w:szCs w:val="24"/>
                <w:lang w:val="en-US" w:eastAsia="zh-CN"/>
              </w:rPr>
              <w:t>分</w:t>
            </w:r>
          </w:p>
          <w:p w14:paraId="745F1F87">
            <w:pPr>
              <w:numPr>
                <w:ilvl w:val="0"/>
                <w:numId w:val="0"/>
              </w:numPr>
              <w:spacing w:line="360" w:lineRule="auto"/>
              <w:ind w:leftChars="0"/>
              <w:jc w:val="both"/>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fldChar w:fldCharType="begin"/>
            </w:r>
            <w:r>
              <w:rPr>
                <w:rFonts w:hint="eastAsia" w:ascii="宋体" w:hAnsi="宋体" w:eastAsia="宋体" w:cs="宋体"/>
                <w:bCs/>
                <w:color w:val="auto"/>
                <w:sz w:val="24"/>
                <w:szCs w:val="24"/>
                <w:lang w:val="en-US" w:eastAsia="zh-CN"/>
              </w:rPr>
              <w:instrText xml:space="preserve"> = 2 \* GB3 \* MERGEFORMAT </w:instrText>
            </w:r>
            <w:r>
              <w:rPr>
                <w:rFonts w:hint="eastAsia" w:ascii="宋体" w:hAnsi="宋体" w:eastAsia="宋体" w:cs="宋体"/>
                <w:bCs/>
                <w:color w:val="auto"/>
                <w:sz w:val="24"/>
                <w:szCs w:val="24"/>
                <w:lang w:val="en-US" w:eastAsia="zh-CN"/>
              </w:rPr>
              <w:fldChar w:fldCharType="separate"/>
            </w:r>
            <w:r>
              <w:rPr>
                <w:rFonts w:hint="eastAsia" w:ascii="宋体" w:hAnsi="宋体" w:eastAsia="宋体" w:cs="宋体"/>
                <w:bCs/>
                <w:color w:val="auto"/>
                <w:sz w:val="24"/>
                <w:szCs w:val="24"/>
                <w:lang w:val="en-US" w:eastAsia="zh-CN"/>
              </w:rPr>
              <w:t>②</w:t>
            </w:r>
            <w:r>
              <w:rPr>
                <w:rFonts w:hint="eastAsia" w:ascii="宋体" w:hAnsi="宋体" w:eastAsia="宋体" w:cs="宋体"/>
                <w:bCs/>
                <w:color w:val="auto"/>
                <w:sz w:val="24"/>
                <w:szCs w:val="24"/>
                <w:lang w:val="en-US" w:eastAsia="zh-CN"/>
              </w:rPr>
              <w:fldChar w:fldCharType="end"/>
            </w:r>
            <w:r>
              <w:rPr>
                <w:rFonts w:hint="eastAsia" w:ascii="宋体" w:hAnsi="宋体" w:eastAsia="宋体" w:cs="宋体"/>
                <w:bCs/>
                <w:color w:val="auto"/>
                <w:sz w:val="24"/>
                <w:szCs w:val="24"/>
                <w:lang w:val="en-US" w:eastAsia="zh-CN"/>
              </w:rPr>
              <w:t>、</w:t>
            </w:r>
            <w:r>
              <w:rPr>
                <w:rFonts w:hint="eastAsia" w:ascii="宋体" w:hAnsi="宋体" w:eastAsia="宋体" w:cs="宋体"/>
                <w:sz w:val="24"/>
                <w:szCs w:val="24"/>
              </w:rPr>
              <w:t>活动流程</w:t>
            </w:r>
            <w:r>
              <w:rPr>
                <w:rFonts w:hint="eastAsia" w:ascii="宋体" w:hAnsi="宋体" w:eastAsia="宋体" w:cs="宋体"/>
                <w:sz w:val="24"/>
                <w:szCs w:val="24"/>
                <w:lang w:val="en-US" w:eastAsia="zh-CN"/>
              </w:rPr>
              <w:t>基本</w:t>
            </w:r>
            <w:r>
              <w:rPr>
                <w:rFonts w:hint="eastAsia" w:ascii="宋体" w:hAnsi="宋体" w:eastAsia="宋体" w:cs="宋体"/>
                <w:sz w:val="24"/>
                <w:szCs w:val="24"/>
              </w:rPr>
              <w:t>清晰、有序，各个环节</w:t>
            </w:r>
            <w:r>
              <w:rPr>
                <w:rFonts w:hint="eastAsia" w:ascii="宋体" w:hAnsi="宋体" w:eastAsia="宋体" w:cs="宋体"/>
                <w:sz w:val="24"/>
                <w:szCs w:val="24"/>
                <w:lang w:val="en-US" w:eastAsia="zh-CN"/>
              </w:rPr>
              <w:t>基本</w:t>
            </w:r>
            <w:r>
              <w:rPr>
                <w:rFonts w:hint="eastAsia" w:ascii="宋体" w:hAnsi="宋体" w:eastAsia="宋体" w:cs="宋体"/>
                <w:sz w:val="24"/>
                <w:szCs w:val="24"/>
              </w:rPr>
              <w:t>能够顺畅衔接</w:t>
            </w:r>
            <w:r>
              <w:rPr>
                <w:rFonts w:hint="eastAsia" w:ascii="宋体" w:hAnsi="宋体" w:eastAsia="宋体" w:cs="宋体"/>
                <w:bCs/>
                <w:color w:val="auto"/>
                <w:sz w:val="24"/>
                <w:szCs w:val="24"/>
                <w:lang w:eastAsia="zh-CN"/>
              </w:rPr>
              <w:t>，</w:t>
            </w:r>
            <w:r>
              <w:rPr>
                <w:rFonts w:hint="eastAsia" w:ascii="宋体" w:hAnsi="宋体" w:eastAsia="宋体" w:cs="宋体"/>
                <w:sz w:val="24"/>
                <w:szCs w:val="24"/>
              </w:rPr>
              <w:t>时间安排合理，能在保证效果的前提下提高效率</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有较详细的</w:t>
            </w:r>
            <w:r>
              <w:rPr>
                <w:rFonts w:hint="eastAsia" w:ascii="宋体" w:hAnsi="宋体" w:eastAsia="宋体" w:cs="宋体"/>
                <w:sz w:val="24"/>
                <w:szCs w:val="24"/>
              </w:rPr>
              <w:t>关注观众在活动过程中的参与度、互动性以及整体满意度</w:t>
            </w:r>
            <w:r>
              <w:rPr>
                <w:rFonts w:hint="eastAsia" w:ascii="宋体" w:hAnsi="宋体" w:eastAsia="宋体" w:cs="宋体"/>
                <w:sz w:val="24"/>
                <w:szCs w:val="24"/>
                <w:lang w:val="en-US" w:eastAsia="zh-CN"/>
              </w:rPr>
              <w:t>调查方案</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本项</w:t>
            </w:r>
            <w:r>
              <w:rPr>
                <w:rFonts w:hint="eastAsia" w:ascii="宋体" w:hAnsi="宋体" w:eastAsia="宋体" w:cs="宋体"/>
                <w:bCs/>
                <w:color w:val="auto"/>
                <w:sz w:val="24"/>
                <w:szCs w:val="24"/>
                <w:lang w:val="en-US" w:eastAsia="zh-CN"/>
              </w:rPr>
              <w:t>得1</w:t>
            </w:r>
            <w:r>
              <w:rPr>
                <w:rFonts w:hint="eastAsia" w:hAnsi="宋体" w:cs="宋体"/>
                <w:bCs/>
                <w:color w:val="auto"/>
                <w:sz w:val="24"/>
                <w:szCs w:val="24"/>
                <w:lang w:val="en-US" w:eastAsia="zh-CN"/>
              </w:rPr>
              <w:t>8</w:t>
            </w:r>
            <w:r>
              <w:rPr>
                <w:rFonts w:hint="eastAsia" w:ascii="宋体" w:hAnsi="宋体" w:eastAsia="宋体" w:cs="宋体"/>
                <w:bCs/>
                <w:color w:val="auto"/>
                <w:sz w:val="24"/>
                <w:szCs w:val="24"/>
                <w:lang w:val="en-US" w:eastAsia="zh-CN"/>
              </w:rPr>
              <w:t>分</w:t>
            </w:r>
          </w:p>
          <w:p w14:paraId="77DE8704">
            <w:pPr>
              <w:numPr>
                <w:ilvl w:val="0"/>
                <w:numId w:val="0"/>
              </w:numPr>
              <w:spacing w:line="360" w:lineRule="auto"/>
              <w:ind w:leftChars="0"/>
              <w:jc w:val="both"/>
              <w:rPr>
                <w:rFonts w:hint="eastAsia" w:ascii="宋体" w:hAnsi="宋体" w:eastAsia="宋体" w:cs="宋体"/>
                <w:sz w:val="24"/>
                <w:szCs w:val="24"/>
              </w:rPr>
            </w:pPr>
            <w:r>
              <w:rPr>
                <w:rFonts w:hint="eastAsia" w:ascii="宋体" w:hAnsi="宋体" w:eastAsia="宋体" w:cs="宋体"/>
                <w:bCs/>
                <w:color w:val="auto"/>
                <w:sz w:val="24"/>
                <w:szCs w:val="24"/>
                <w:lang w:val="en-US" w:eastAsia="zh-CN"/>
              </w:rPr>
              <w:fldChar w:fldCharType="begin"/>
            </w:r>
            <w:r>
              <w:rPr>
                <w:rFonts w:hint="eastAsia" w:ascii="宋体" w:hAnsi="宋体" w:eastAsia="宋体" w:cs="宋体"/>
                <w:bCs/>
                <w:color w:val="auto"/>
                <w:sz w:val="24"/>
                <w:szCs w:val="24"/>
                <w:lang w:val="en-US" w:eastAsia="zh-CN"/>
              </w:rPr>
              <w:instrText xml:space="preserve"> = 3 \* GB3 \* MERGEFORMAT </w:instrText>
            </w:r>
            <w:r>
              <w:rPr>
                <w:rFonts w:hint="eastAsia" w:ascii="宋体" w:hAnsi="宋体" w:eastAsia="宋体" w:cs="宋体"/>
                <w:bCs/>
                <w:color w:val="auto"/>
                <w:sz w:val="24"/>
                <w:szCs w:val="24"/>
                <w:lang w:val="en-US" w:eastAsia="zh-CN"/>
              </w:rPr>
              <w:fldChar w:fldCharType="separate"/>
            </w:r>
            <w:r>
              <w:rPr>
                <w:rFonts w:hint="eastAsia" w:ascii="宋体" w:hAnsi="宋体" w:eastAsia="宋体" w:cs="宋体"/>
                <w:bCs/>
                <w:color w:val="auto"/>
                <w:sz w:val="24"/>
                <w:szCs w:val="24"/>
                <w:lang w:val="en-US" w:eastAsia="zh-CN"/>
              </w:rPr>
              <w:t>③</w:t>
            </w:r>
            <w:r>
              <w:rPr>
                <w:rFonts w:hint="eastAsia" w:ascii="宋体" w:hAnsi="宋体" w:eastAsia="宋体" w:cs="宋体"/>
                <w:bCs/>
                <w:color w:val="auto"/>
                <w:sz w:val="24"/>
                <w:szCs w:val="24"/>
                <w:lang w:val="en-US" w:eastAsia="zh-CN"/>
              </w:rPr>
              <w:fldChar w:fldCharType="end"/>
            </w:r>
            <w:r>
              <w:rPr>
                <w:rFonts w:hint="eastAsia" w:ascii="宋体" w:hAnsi="宋体" w:eastAsia="宋体" w:cs="宋体"/>
                <w:bCs/>
                <w:color w:val="auto"/>
                <w:sz w:val="24"/>
                <w:szCs w:val="24"/>
                <w:lang w:val="en-US" w:eastAsia="zh-CN"/>
              </w:rPr>
              <w:t>、</w:t>
            </w:r>
            <w:r>
              <w:rPr>
                <w:rFonts w:hint="eastAsia" w:ascii="宋体" w:hAnsi="宋体" w:eastAsia="宋体" w:cs="宋体"/>
                <w:sz w:val="24"/>
                <w:szCs w:val="24"/>
              </w:rPr>
              <w:t>活动流程</w:t>
            </w:r>
            <w:r>
              <w:rPr>
                <w:rFonts w:hint="eastAsia" w:ascii="宋体" w:hAnsi="宋体" w:eastAsia="宋体" w:cs="宋体"/>
                <w:sz w:val="24"/>
                <w:szCs w:val="24"/>
                <w:lang w:val="en-US" w:eastAsia="zh-CN"/>
              </w:rPr>
              <w:t>基本</w:t>
            </w:r>
            <w:r>
              <w:rPr>
                <w:rFonts w:hint="eastAsia" w:ascii="宋体" w:hAnsi="宋体" w:eastAsia="宋体" w:cs="宋体"/>
                <w:sz w:val="24"/>
                <w:szCs w:val="24"/>
              </w:rPr>
              <w:t>清晰、有序，各个环节衔接</w:t>
            </w:r>
            <w:r>
              <w:rPr>
                <w:rFonts w:hint="eastAsia" w:ascii="宋体" w:hAnsi="宋体" w:eastAsia="宋体" w:cs="宋体"/>
                <w:sz w:val="24"/>
                <w:szCs w:val="24"/>
                <w:lang w:val="en-US" w:eastAsia="zh-CN"/>
              </w:rPr>
              <w:t>有漏洞</w:t>
            </w:r>
            <w:r>
              <w:rPr>
                <w:rFonts w:hint="eastAsia" w:ascii="宋体" w:hAnsi="宋体" w:eastAsia="宋体" w:cs="宋体"/>
                <w:bCs/>
                <w:color w:val="auto"/>
                <w:sz w:val="24"/>
                <w:szCs w:val="24"/>
                <w:lang w:eastAsia="zh-CN"/>
              </w:rPr>
              <w:t>，</w:t>
            </w:r>
            <w:r>
              <w:rPr>
                <w:rFonts w:hint="eastAsia" w:ascii="宋体" w:hAnsi="宋体" w:eastAsia="宋体" w:cs="宋体"/>
                <w:sz w:val="24"/>
                <w:szCs w:val="24"/>
              </w:rPr>
              <w:t>时间安排</w:t>
            </w:r>
            <w:r>
              <w:rPr>
                <w:rFonts w:hint="eastAsia" w:ascii="宋体" w:hAnsi="宋体" w:eastAsia="宋体" w:cs="宋体"/>
                <w:sz w:val="24"/>
                <w:szCs w:val="24"/>
                <w:lang w:val="en-US" w:eastAsia="zh-CN"/>
              </w:rPr>
              <w:t>基本</w:t>
            </w:r>
            <w:r>
              <w:rPr>
                <w:rFonts w:hint="eastAsia" w:ascii="宋体" w:hAnsi="宋体" w:eastAsia="宋体" w:cs="宋体"/>
                <w:sz w:val="24"/>
                <w:szCs w:val="24"/>
              </w:rPr>
              <w:t>合理，</w:t>
            </w:r>
            <w:r>
              <w:rPr>
                <w:rFonts w:hint="eastAsia" w:ascii="宋体" w:hAnsi="宋体" w:eastAsia="宋体" w:cs="宋体"/>
                <w:sz w:val="24"/>
                <w:szCs w:val="24"/>
                <w:lang w:val="en-US" w:eastAsia="zh-CN"/>
              </w:rPr>
              <w:t>基本</w:t>
            </w:r>
            <w:r>
              <w:rPr>
                <w:rFonts w:hint="eastAsia" w:ascii="宋体" w:hAnsi="宋体" w:eastAsia="宋体" w:cs="宋体"/>
                <w:sz w:val="24"/>
                <w:szCs w:val="24"/>
              </w:rPr>
              <w:t>能保证效果</w:t>
            </w:r>
            <w:r>
              <w:rPr>
                <w:rFonts w:hint="eastAsia" w:ascii="宋体" w:hAnsi="宋体" w:eastAsia="宋体" w:cs="宋体"/>
                <w:sz w:val="24"/>
                <w:szCs w:val="24"/>
                <w:lang w:val="en-US" w:eastAsia="zh-CN"/>
              </w:rPr>
              <w:t>但不能够保证可以</w:t>
            </w:r>
            <w:r>
              <w:rPr>
                <w:rFonts w:hint="eastAsia" w:ascii="宋体" w:hAnsi="宋体" w:eastAsia="宋体" w:cs="宋体"/>
                <w:sz w:val="24"/>
                <w:szCs w:val="24"/>
              </w:rPr>
              <w:t>提高效率</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有</w:t>
            </w:r>
            <w:r>
              <w:rPr>
                <w:rFonts w:hint="eastAsia" w:ascii="宋体" w:hAnsi="宋体" w:eastAsia="宋体" w:cs="宋体"/>
                <w:sz w:val="24"/>
                <w:szCs w:val="24"/>
              </w:rPr>
              <w:t>关注观众在活动过程中的参与度、互动性以及整体满意度</w:t>
            </w:r>
            <w:r>
              <w:rPr>
                <w:rFonts w:hint="eastAsia" w:ascii="宋体" w:hAnsi="宋体" w:eastAsia="宋体" w:cs="宋体"/>
                <w:sz w:val="24"/>
                <w:szCs w:val="24"/>
                <w:lang w:val="en-US" w:eastAsia="zh-CN"/>
              </w:rPr>
              <w:t>的方案</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本项得</w:t>
            </w:r>
            <w:r>
              <w:rPr>
                <w:rFonts w:hint="eastAsia" w:hAnsi="宋体" w:cs="宋体"/>
                <w:sz w:val="24"/>
                <w:szCs w:val="24"/>
                <w:lang w:val="en-US" w:eastAsia="zh-CN"/>
              </w:rPr>
              <w:t>16</w:t>
            </w:r>
            <w:r>
              <w:rPr>
                <w:rFonts w:hint="eastAsia" w:ascii="宋体" w:hAnsi="宋体" w:eastAsia="宋体" w:cs="宋体"/>
                <w:sz w:val="24"/>
                <w:szCs w:val="24"/>
                <w:lang w:val="en-US" w:eastAsia="zh-CN"/>
              </w:rPr>
              <w:t>分</w:t>
            </w:r>
          </w:p>
          <w:p w14:paraId="43F13705">
            <w:pPr>
              <w:numPr>
                <w:ilvl w:val="0"/>
                <w:numId w:val="0"/>
              </w:numPr>
              <w:spacing w:line="360" w:lineRule="auto"/>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 4 \* GB3 \* MERGEFORMAT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④</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、本项无内容不得分。</w:t>
            </w:r>
          </w:p>
        </w:tc>
      </w:tr>
      <w:tr w14:paraId="35DED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540" w:hRule="atLeast"/>
        </w:trPr>
        <w:tc>
          <w:tcPr>
            <w:tcW w:w="917" w:type="dxa"/>
            <w:vMerge w:val="continue"/>
            <w:shd w:val="clear" w:color="auto" w:fill="auto"/>
            <w:noWrap w:val="0"/>
            <w:vAlign w:val="center"/>
          </w:tcPr>
          <w:p w14:paraId="740557F6">
            <w:pPr>
              <w:pStyle w:val="286"/>
              <w:keepNext w:val="0"/>
              <w:pageBreakBefore w:val="0"/>
              <w:widowControl w:val="0"/>
              <w:shd w:val="clear" w:color="auto" w:fill="auto"/>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color w:val="auto"/>
                <w:sz w:val="24"/>
                <w:szCs w:val="24"/>
                <w:highlight w:val="none"/>
                <w:lang w:val="en-US" w:eastAsia="zh-CN"/>
              </w:rPr>
            </w:pPr>
          </w:p>
        </w:tc>
        <w:tc>
          <w:tcPr>
            <w:tcW w:w="1291" w:type="dxa"/>
            <w:shd w:val="clear" w:color="auto" w:fill="auto"/>
            <w:noWrap w:val="0"/>
            <w:vAlign w:val="center"/>
          </w:tcPr>
          <w:p w14:paraId="6323A696">
            <w:pPr>
              <w:pStyle w:val="286"/>
              <w:keepNext w:val="0"/>
              <w:pageBreakBefore w:val="0"/>
              <w:widowControl w:val="0"/>
              <w:shd w:val="clear" w:color="auto" w:fill="auto"/>
              <w:kinsoku/>
              <w:wordWrap/>
              <w:overflowPunct/>
              <w:topLinePunct w:val="0"/>
              <w:autoSpaceDE w:val="0"/>
              <w:autoSpaceDN w:val="0"/>
              <w:bidi w:val="0"/>
              <w:adjustRightInd/>
              <w:snapToGrid/>
              <w:spacing w:before="0" w:line="360" w:lineRule="auto"/>
              <w:ind w:left="10" w:leftChars="0" w:right="113" w:firstLine="114"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宣传推广策略效果</w:t>
            </w:r>
          </w:p>
          <w:p w14:paraId="1DD1F1FB">
            <w:pPr>
              <w:pStyle w:val="286"/>
              <w:keepNext w:val="0"/>
              <w:pageBreakBefore w:val="0"/>
              <w:widowControl w:val="0"/>
              <w:shd w:val="clear" w:color="auto" w:fill="auto"/>
              <w:kinsoku/>
              <w:wordWrap/>
              <w:overflowPunct/>
              <w:topLinePunct w:val="0"/>
              <w:autoSpaceDE w:val="0"/>
              <w:autoSpaceDN w:val="0"/>
              <w:bidi w:val="0"/>
              <w:adjustRightInd/>
              <w:snapToGrid/>
              <w:spacing w:before="0" w:line="360" w:lineRule="auto"/>
              <w:ind w:left="10" w:leftChars="0" w:right="113" w:firstLine="114"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0-</w:t>
            </w:r>
            <w:r>
              <w:rPr>
                <w:rFonts w:hint="eastAsia" w:cs="宋体"/>
                <w:sz w:val="24"/>
                <w:szCs w:val="24"/>
                <w:lang w:val="en-US" w:eastAsia="zh-CN"/>
              </w:rPr>
              <w:t>20</w:t>
            </w:r>
            <w:r>
              <w:rPr>
                <w:rFonts w:hint="eastAsia" w:ascii="宋体" w:hAnsi="宋体" w:eastAsia="宋体" w:cs="宋体"/>
                <w:sz w:val="24"/>
                <w:szCs w:val="24"/>
                <w:lang w:val="en-US" w:eastAsia="zh-CN"/>
              </w:rPr>
              <w:t>分）</w:t>
            </w:r>
          </w:p>
        </w:tc>
        <w:tc>
          <w:tcPr>
            <w:tcW w:w="7562" w:type="dxa"/>
            <w:shd w:val="clear" w:color="auto" w:fill="auto"/>
            <w:noWrap w:val="0"/>
            <w:vAlign w:val="center"/>
          </w:tcPr>
          <w:p w14:paraId="248E4E7A">
            <w:pPr>
              <w:spacing w:line="360" w:lineRule="auto"/>
              <w:rPr>
                <w:rFonts w:hint="eastAsia" w:ascii="宋体" w:hAnsi="宋体" w:eastAsia="宋体" w:cs="宋体"/>
                <w:sz w:val="24"/>
                <w:szCs w:val="24"/>
              </w:rPr>
            </w:pPr>
            <w:r>
              <w:rPr>
                <w:rFonts w:hint="eastAsia" w:ascii="宋体" w:hAnsi="宋体" w:eastAsia="宋体" w:cs="宋体"/>
                <w:b/>
                <w:bCs/>
                <w:sz w:val="24"/>
                <w:szCs w:val="24"/>
                <w:lang w:val="en-US" w:eastAsia="zh-CN"/>
              </w:rPr>
              <w:t>细化指标</w:t>
            </w:r>
            <w:r>
              <w:rPr>
                <w:rFonts w:hint="eastAsia" w:ascii="宋体" w:hAnsi="宋体" w:eastAsia="宋体" w:cs="宋体"/>
                <w:sz w:val="24"/>
                <w:szCs w:val="24"/>
                <w:lang w:val="en-US" w:eastAsia="zh-CN"/>
              </w:rPr>
              <w:t>：</w:t>
            </w:r>
            <w:r>
              <w:rPr>
                <w:rFonts w:hint="eastAsia" w:ascii="宋体" w:hAnsi="宋体" w:eastAsia="宋体" w:cs="宋体"/>
                <w:sz w:val="24"/>
                <w:szCs w:val="24"/>
              </w:rPr>
              <w:t>有效的宣传推广是吸引观众和</w:t>
            </w:r>
            <w:r>
              <w:rPr>
                <w:rFonts w:hint="eastAsia" w:ascii="宋体" w:hAnsi="宋体" w:eastAsia="宋体" w:cs="宋体"/>
                <w:sz w:val="24"/>
                <w:szCs w:val="24"/>
                <w:lang w:val="en-US" w:eastAsia="zh-CN"/>
              </w:rPr>
              <w:t>经销</w:t>
            </w:r>
            <w:r>
              <w:rPr>
                <w:rFonts w:hint="eastAsia" w:ascii="宋体" w:hAnsi="宋体" w:eastAsia="宋体" w:cs="宋体"/>
                <w:sz w:val="24"/>
                <w:szCs w:val="24"/>
              </w:rPr>
              <w:t>商的关键。本项评估将关注宣传推广的策略和效果。具体标准如下：</w:t>
            </w:r>
          </w:p>
          <w:p w14:paraId="4363E17E">
            <w:pPr>
              <w:spacing w:line="360" w:lineRule="auto"/>
              <w:rPr>
                <w:rFonts w:hint="eastAsia" w:ascii="宋体" w:hAnsi="宋体" w:eastAsia="宋体" w:cs="宋体"/>
                <w:sz w:val="24"/>
                <w:szCs w:val="24"/>
              </w:rPr>
            </w:pPr>
            <w:r>
              <w:rPr>
                <w:rFonts w:hint="eastAsia" w:ascii="宋体" w:hAnsi="宋体" w:eastAsia="宋体" w:cs="宋体"/>
                <w:sz w:val="24"/>
                <w:szCs w:val="24"/>
              </w:rPr>
              <w:t>1. 宣传渠道：评估宣传推广所选择的渠道是否广泛、有效，能够覆盖目标</w:t>
            </w:r>
            <w:r>
              <w:rPr>
                <w:rFonts w:hint="eastAsia" w:ascii="宋体" w:hAnsi="宋体" w:eastAsia="宋体" w:cs="宋体"/>
                <w:sz w:val="24"/>
                <w:szCs w:val="24"/>
                <w:lang w:val="en-US" w:eastAsia="zh-CN"/>
              </w:rPr>
              <w:t>大</w:t>
            </w:r>
            <w:r>
              <w:rPr>
                <w:rFonts w:hint="eastAsia" w:ascii="宋体" w:hAnsi="宋体" w:eastAsia="宋体" w:cs="宋体"/>
                <w:sz w:val="24"/>
                <w:szCs w:val="24"/>
              </w:rPr>
              <w:t>众。</w:t>
            </w:r>
          </w:p>
          <w:p w14:paraId="45F6B1E4">
            <w:pPr>
              <w:spacing w:line="360" w:lineRule="auto"/>
              <w:rPr>
                <w:rFonts w:hint="eastAsia" w:ascii="宋体" w:hAnsi="宋体" w:eastAsia="宋体" w:cs="宋体"/>
                <w:sz w:val="24"/>
                <w:szCs w:val="24"/>
              </w:rPr>
            </w:pPr>
            <w:r>
              <w:rPr>
                <w:rFonts w:hint="eastAsia" w:ascii="宋体" w:hAnsi="宋体" w:eastAsia="宋体" w:cs="宋体"/>
                <w:sz w:val="24"/>
                <w:szCs w:val="24"/>
              </w:rPr>
              <w:t>2. 宣传内容：分析宣传内容是否准确、吸引人，能够突出展销会的亮点和特色。</w:t>
            </w:r>
          </w:p>
          <w:p w14:paraId="7D9A5B7A">
            <w:pPr>
              <w:spacing w:line="360" w:lineRule="auto"/>
              <w:rPr>
                <w:rFonts w:hint="eastAsia" w:ascii="宋体" w:hAnsi="宋体" w:eastAsia="宋体" w:cs="宋体"/>
                <w:sz w:val="24"/>
                <w:szCs w:val="24"/>
              </w:rPr>
            </w:pPr>
            <w:r>
              <w:rPr>
                <w:rFonts w:hint="eastAsia" w:ascii="宋体" w:hAnsi="宋体" w:eastAsia="宋体" w:cs="宋体"/>
                <w:sz w:val="24"/>
                <w:szCs w:val="24"/>
              </w:rPr>
              <w:t>3. 宣传效果：关注宣传推广活动对于提升展销会知名度和吸引力的实际效果。</w:t>
            </w:r>
          </w:p>
          <w:p w14:paraId="59A03598">
            <w:pPr>
              <w:numPr>
                <w:ilvl w:val="0"/>
                <w:numId w:val="0"/>
              </w:numPr>
              <w:spacing w:line="360" w:lineRule="auto"/>
              <w:ind w:leftChars="0"/>
              <w:jc w:val="both"/>
              <w:rPr>
                <w:rFonts w:hint="eastAsia" w:ascii="宋体" w:hAnsi="宋体" w:eastAsia="宋体" w:cs="宋体"/>
                <w:bCs/>
                <w:color w:val="auto"/>
                <w:sz w:val="24"/>
                <w:szCs w:val="24"/>
                <w:lang w:val="en-US" w:eastAsia="zh-CN"/>
              </w:rPr>
            </w:pPr>
            <w:r>
              <w:rPr>
                <w:rFonts w:hint="eastAsia" w:ascii="宋体" w:hAnsi="宋体" w:eastAsia="宋体" w:cs="宋体"/>
                <w:b/>
                <w:bCs w:val="0"/>
                <w:color w:val="auto"/>
                <w:sz w:val="24"/>
                <w:szCs w:val="24"/>
                <w:lang w:val="en-US" w:eastAsia="zh-CN"/>
              </w:rPr>
              <w:t>量化指标</w:t>
            </w:r>
            <w:r>
              <w:rPr>
                <w:rFonts w:hint="eastAsia" w:ascii="宋体" w:hAnsi="宋体" w:eastAsia="宋体" w:cs="宋体"/>
                <w:bCs/>
                <w:color w:val="auto"/>
                <w:sz w:val="24"/>
                <w:szCs w:val="24"/>
                <w:lang w:val="en-US" w:eastAsia="zh-CN"/>
              </w:rPr>
              <w:t>：</w:t>
            </w:r>
          </w:p>
          <w:p w14:paraId="0961AFF0">
            <w:pPr>
              <w:numPr>
                <w:ilvl w:val="0"/>
                <w:numId w:val="0"/>
              </w:numPr>
              <w:spacing w:line="360" w:lineRule="auto"/>
              <w:ind w:leftChars="0"/>
              <w:jc w:val="both"/>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fldChar w:fldCharType="begin"/>
            </w:r>
            <w:r>
              <w:rPr>
                <w:rFonts w:hint="eastAsia" w:ascii="宋体" w:hAnsi="宋体" w:eastAsia="宋体" w:cs="宋体"/>
                <w:bCs/>
                <w:color w:val="auto"/>
                <w:sz w:val="24"/>
                <w:szCs w:val="24"/>
                <w:lang w:val="en-US" w:eastAsia="zh-CN"/>
              </w:rPr>
              <w:instrText xml:space="preserve"> = 1 \* GB3 \* MERGEFORMAT </w:instrText>
            </w:r>
            <w:r>
              <w:rPr>
                <w:rFonts w:hint="eastAsia" w:ascii="宋体" w:hAnsi="宋体" w:eastAsia="宋体" w:cs="宋体"/>
                <w:bCs/>
                <w:color w:val="auto"/>
                <w:sz w:val="24"/>
                <w:szCs w:val="24"/>
                <w:lang w:val="en-US" w:eastAsia="zh-CN"/>
              </w:rPr>
              <w:fldChar w:fldCharType="separate"/>
            </w:r>
            <w:r>
              <w:rPr>
                <w:rFonts w:hint="eastAsia" w:ascii="宋体" w:hAnsi="宋体" w:eastAsia="宋体" w:cs="宋体"/>
                <w:sz w:val="24"/>
                <w:szCs w:val="24"/>
              </w:rPr>
              <w:t>①</w:t>
            </w:r>
            <w:r>
              <w:rPr>
                <w:rFonts w:hint="eastAsia" w:ascii="宋体" w:hAnsi="宋体" w:eastAsia="宋体" w:cs="宋体"/>
                <w:bCs/>
                <w:color w:val="auto"/>
                <w:sz w:val="24"/>
                <w:szCs w:val="24"/>
                <w:lang w:val="en-US" w:eastAsia="zh-CN"/>
              </w:rPr>
              <w:fldChar w:fldCharType="end"/>
            </w:r>
            <w:r>
              <w:rPr>
                <w:rFonts w:hint="eastAsia" w:ascii="宋体" w:hAnsi="宋体" w:eastAsia="宋体" w:cs="宋体"/>
                <w:sz w:val="24"/>
                <w:szCs w:val="24"/>
              </w:rPr>
              <w:t>宣传推广所选择的渠道广泛、有效，能够覆盖目标</w:t>
            </w:r>
            <w:r>
              <w:rPr>
                <w:rFonts w:hint="eastAsia" w:ascii="宋体" w:hAnsi="宋体" w:eastAsia="宋体" w:cs="宋体"/>
                <w:sz w:val="24"/>
                <w:szCs w:val="24"/>
                <w:lang w:val="en-US" w:eastAsia="zh-CN"/>
              </w:rPr>
              <w:t>大</w:t>
            </w:r>
            <w:r>
              <w:rPr>
                <w:rFonts w:hint="eastAsia" w:ascii="宋体" w:hAnsi="宋体" w:eastAsia="宋体" w:cs="宋体"/>
                <w:sz w:val="24"/>
                <w:szCs w:val="24"/>
              </w:rPr>
              <w:t>众</w:t>
            </w:r>
            <w:r>
              <w:rPr>
                <w:rFonts w:hint="eastAsia" w:ascii="宋体" w:hAnsi="宋体" w:eastAsia="宋体" w:cs="宋体"/>
                <w:sz w:val="24"/>
                <w:szCs w:val="24"/>
                <w:lang w:eastAsia="zh-CN"/>
              </w:rPr>
              <w:t>，</w:t>
            </w:r>
            <w:r>
              <w:rPr>
                <w:rFonts w:hint="eastAsia" w:ascii="宋体" w:hAnsi="宋体" w:eastAsia="宋体" w:cs="宋体"/>
                <w:sz w:val="24"/>
                <w:szCs w:val="24"/>
              </w:rPr>
              <w:t>宣传内容准确、吸引人，能够突出展销会的亮点和特色</w:t>
            </w:r>
            <w:r>
              <w:rPr>
                <w:rFonts w:hint="eastAsia" w:ascii="宋体" w:hAnsi="宋体" w:eastAsia="宋体" w:cs="宋体"/>
                <w:sz w:val="24"/>
                <w:szCs w:val="24"/>
                <w:lang w:eastAsia="zh-CN"/>
              </w:rPr>
              <w:t>，</w:t>
            </w:r>
            <w:r>
              <w:rPr>
                <w:rFonts w:hint="eastAsia" w:ascii="宋体" w:hAnsi="宋体" w:eastAsia="宋体" w:cs="宋体"/>
                <w:sz w:val="24"/>
                <w:szCs w:val="24"/>
              </w:rPr>
              <w:t>关注宣传推广活动对于提升展销会知名度和吸引力的实际效果。</w:t>
            </w:r>
            <w:r>
              <w:rPr>
                <w:rFonts w:hint="eastAsia" w:ascii="宋体" w:hAnsi="宋体" w:eastAsia="宋体" w:cs="宋体"/>
                <w:sz w:val="24"/>
                <w:szCs w:val="24"/>
                <w:lang w:val="en-US" w:eastAsia="zh-CN"/>
              </w:rPr>
              <w:t>本项</w:t>
            </w:r>
            <w:r>
              <w:rPr>
                <w:rFonts w:hint="eastAsia" w:ascii="宋体" w:hAnsi="宋体" w:eastAsia="宋体" w:cs="宋体"/>
                <w:bCs/>
                <w:color w:val="auto"/>
                <w:sz w:val="24"/>
                <w:szCs w:val="24"/>
                <w:lang w:val="en-US" w:eastAsia="zh-CN"/>
              </w:rPr>
              <w:t>得</w:t>
            </w:r>
            <w:r>
              <w:rPr>
                <w:rFonts w:hint="eastAsia" w:hAnsi="宋体" w:cs="宋体"/>
                <w:bCs/>
                <w:color w:val="auto"/>
                <w:sz w:val="24"/>
                <w:szCs w:val="24"/>
                <w:lang w:val="en-US" w:eastAsia="zh-CN"/>
              </w:rPr>
              <w:t>20</w:t>
            </w:r>
            <w:r>
              <w:rPr>
                <w:rFonts w:hint="eastAsia" w:ascii="宋体" w:hAnsi="宋体" w:eastAsia="宋体" w:cs="宋体"/>
                <w:bCs/>
                <w:color w:val="auto"/>
                <w:sz w:val="24"/>
                <w:szCs w:val="24"/>
                <w:lang w:val="en-US" w:eastAsia="zh-CN"/>
              </w:rPr>
              <w:t>分</w:t>
            </w:r>
          </w:p>
          <w:p w14:paraId="29A11E5B">
            <w:pPr>
              <w:numPr>
                <w:ilvl w:val="0"/>
                <w:numId w:val="0"/>
              </w:numPr>
              <w:spacing w:line="360" w:lineRule="auto"/>
              <w:ind w:leftChars="0"/>
              <w:jc w:val="both"/>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fldChar w:fldCharType="begin"/>
            </w:r>
            <w:r>
              <w:rPr>
                <w:rFonts w:hint="eastAsia" w:ascii="宋体" w:hAnsi="宋体" w:eastAsia="宋体" w:cs="宋体"/>
                <w:bCs/>
                <w:color w:val="auto"/>
                <w:sz w:val="24"/>
                <w:szCs w:val="24"/>
                <w:lang w:val="en-US" w:eastAsia="zh-CN"/>
              </w:rPr>
              <w:instrText xml:space="preserve"> = 2 \* GB3 \* MERGEFORMAT </w:instrText>
            </w:r>
            <w:r>
              <w:rPr>
                <w:rFonts w:hint="eastAsia" w:ascii="宋体" w:hAnsi="宋体" w:eastAsia="宋体" w:cs="宋体"/>
                <w:bCs/>
                <w:color w:val="auto"/>
                <w:sz w:val="24"/>
                <w:szCs w:val="24"/>
                <w:lang w:val="en-US" w:eastAsia="zh-CN"/>
              </w:rPr>
              <w:fldChar w:fldCharType="separate"/>
            </w:r>
            <w:r>
              <w:rPr>
                <w:rFonts w:hint="eastAsia" w:ascii="宋体" w:hAnsi="宋体" w:eastAsia="宋体" w:cs="宋体"/>
                <w:sz w:val="24"/>
                <w:szCs w:val="24"/>
              </w:rPr>
              <w:t>②</w:t>
            </w:r>
            <w:r>
              <w:rPr>
                <w:rFonts w:hint="eastAsia" w:ascii="宋体" w:hAnsi="宋体" w:eastAsia="宋体" w:cs="宋体"/>
                <w:bCs/>
                <w:color w:val="auto"/>
                <w:sz w:val="24"/>
                <w:szCs w:val="24"/>
                <w:lang w:val="en-US" w:eastAsia="zh-CN"/>
              </w:rPr>
              <w:fldChar w:fldCharType="end"/>
            </w:r>
            <w:r>
              <w:rPr>
                <w:rFonts w:hint="eastAsia" w:ascii="宋体" w:hAnsi="宋体" w:eastAsia="宋体" w:cs="宋体"/>
                <w:sz w:val="24"/>
                <w:szCs w:val="24"/>
              </w:rPr>
              <w:t>宣传推广所选择的渠道</w:t>
            </w:r>
            <w:r>
              <w:rPr>
                <w:rFonts w:hint="eastAsia" w:ascii="宋体" w:hAnsi="宋体" w:eastAsia="宋体" w:cs="宋体"/>
                <w:sz w:val="24"/>
                <w:szCs w:val="24"/>
                <w:lang w:val="en-US" w:eastAsia="zh-CN"/>
              </w:rPr>
              <w:t>相对</w:t>
            </w:r>
            <w:r>
              <w:rPr>
                <w:rFonts w:hint="eastAsia" w:ascii="宋体" w:hAnsi="宋体" w:eastAsia="宋体" w:cs="宋体"/>
                <w:sz w:val="24"/>
                <w:szCs w:val="24"/>
              </w:rPr>
              <w:t>广泛、有效，</w:t>
            </w:r>
            <w:r>
              <w:rPr>
                <w:rFonts w:hint="eastAsia" w:ascii="宋体" w:hAnsi="宋体" w:eastAsia="宋体" w:cs="宋体"/>
                <w:sz w:val="24"/>
                <w:szCs w:val="24"/>
                <w:lang w:val="en-US" w:eastAsia="zh-CN"/>
              </w:rPr>
              <w:t>有可</w:t>
            </w:r>
            <w:r>
              <w:rPr>
                <w:rFonts w:hint="eastAsia" w:ascii="宋体" w:hAnsi="宋体" w:eastAsia="宋体" w:cs="宋体"/>
                <w:sz w:val="24"/>
                <w:szCs w:val="24"/>
              </w:rPr>
              <w:t>能覆盖目标</w:t>
            </w:r>
            <w:r>
              <w:rPr>
                <w:rFonts w:hint="eastAsia" w:ascii="宋体" w:hAnsi="宋体" w:eastAsia="宋体" w:cs="宋体"/>
                <w:sz w:val="24"/>
                <w:szCs w:val="24"/>
                <w:lang w:val="en-US" w:eastAsia="zh-CN"/>
              </w:rPr>
              <w:t>大</w:t>
            </w:r>
            <w:r>
              <w:rPr>
                <w:rFonts w:hint="eastAsia" w:ascii="宋体" w:hAnsi="宋体" w:eastAsia="宋体" w:cs="宋体"/>
                <w:sz w:val="24"/>
                <w:szCs w:val="24"/>
              </w:rPr>
              <w:t>众</w:t>
            </w:r>
            <w:r>
              <w:rPr>
                <w:rFonts w:hint="eastAsia" w:ascii="宋体" w:hAnsi="宋体" w:eastAsia="宋体" w:cs="宋体"/>
                <w:sz w:val="24"/>
                <w:szCs w:val="24"/>
                <w:lang w:eastAsia="zh-CN"/>
              </w:rPr>
              <w:t>，</w:t>
            </w:r>
            <w:r>
              <w:rPr>
                <w:rFonts w:hint="eastAsia" w:ascii="宋体" w:hAnsi="宋体" w:eastAsia="宋体" w:cs="宋体"/>
                <w:sz w:val="24"/>
                <w:szCs w:val="24"/>
              </w:rPr>
              <w:t>宣传内容</w:t>
            </w:r>
            <w:r>
              <w:rPr>
                <w:rFonts w:hint="eastAsia" w:ascii="宋体" w:hAnsi="宋体" w:eastAsia="宋体" w:cs="宋体"/>
                <w:sz w:val="24"/>
                <w:szCs w:val="24"/>
                <w:lang w:val="en-US" w:eastAsia="zh-CN"/>
              </w:rPr>
              <w:t>基本</w:t>
            </w:r>
            <w:r>
              <w:rPr>
                <w:rFonts w:hint="eastAsia" w:ascii="宋体" w:hAnsi="宋体" w:eastAsia="宋体" w:cs="宋体"/>
                <w:sz w:val="24"/>
                <w:szCs w:val="24"/>
              </w:rPr>
              <w:t>准确、</w:t>
            </w:r>
            <w:r>
              <w:rPr>
                <w:rFonts w:hint="eastAsia" w:ascii="宋体" w:hAnsi="宋体" w:eastAsia="宋体" w:cs="宋体"/>
                <w:sz w:val="24"/>
                <w:szCs w:val="24"/>
                <w:lang w:val="en-US" w:eastAsia="zh-CN"/>
              </w:rPr>
              <w:t>有</w:t>
            </w:r>
            <w:r>
              <w:rPr>
                <w:rFonts w:hint="eastAsia" w:ascii="宋体" w:hAnsi="宋体" w:eastAsia="宋体" w:cs="宋体"/>
                <w:sz w:val="24"/>
                <w:szCs w:val="24"/>
              </w:rPr>
              <w:t>吸引人</w:t>
            </w:r>
            <w:r>
              <w:rPr>
                <w:rFonts w:hint="eastAsia" w:ascii="宋体" w:hAnsi="宋体" w:eastAsia="宋体" w:cs="宋体"/>
                <w:sz w:val="24"/>
                <w:szCs w:val="24"/>
                <w:lang w:val="en-US" w:eastAsia="zh-CN"/>
              </w:rPr>
              <w:t>的地方</w:t>
            </w:r>
            <w:r>
              <w:rPr>
                <w:rFonts w:hint="eastAsia" w:ascii="宋体" w:hAnsi="宋体" w:eastAsia="宋体" w:cs="宋体"/>
                <w:sz w:val="24"/>
                <w:szCs w:val="24"/>
              </w:rPr>
              <w:t>，能够</w:t>
            </w:r>
            <w:r>
              <w:rPr>
                <w:rFonts w:hint="eastAsia" w:ascii="宋体" w:hAnsi="宋体" w:eastAsia="宋体" w:cs="宋体"/>
                <w:sz w:val="24"/>
                <w:szCs w:val="24"/>
                <w:lang w:val="en-US" w:eastAsia="zh-CN"/>
              </w:rPr>
              <w:t>显示出</w:t>
            </w:r>
            <w:r>
              <w:rPr>
                <w:rFonts w:hint="eastAsia" w:ascii="宋体" w:hAnsi="宋体" w:eastAsia="宋体" w:cs="宋体"/>
                <w:sz w:val="24"/>
                <w:szCs w:val="24"/>
              </w:rPr>
              <w:t>展销会的亮点和特色</w:t>
            </w:r>
            <w:r>
              <w:rPr>
                <w:rFonts w:hint="eastAsia" w:ascii="宋体" w:hAnsi="宋体" w:eastAsia="宋体" w:cs="宋体"/>
                <w:sz w:val="24"/>
                <w:szCs w:val="24"/>
                <w:lang w:eastAsia="zh-CN"/>
              </w:rPr>
              <w:t>，</w:t>
            </w:r>
            <w:r>
              <w:rPr>
                <w:rFonts w:hint="eastAsia" w:ascii="宋体" w:hAnsi="宋体" w:eastAsia="宋体" w:cs="宋体"/>
                <w:sz w:val="24"/>
                <w:szCs w:val="24"/>
              </w:rPr>
              <w:t>关注宣传推广活动对于提升展销会知名度和吸引力的实际效果。</w:t>
            </w:r>
            <w:r>
              <w:rPr>
                <w:rFonts w:hint="eastAsia" w:ascii="宋体" w:hAnsi="宋体" w:eastAsia="宋体" w:cs="宋体"/>
                <w:sz w:val="24"/>
                <w:szCs w:val="24"/>
                <w:lang w:val="en-US" w:eastAsia="zh-CN"/>
              </w:rPr>
              <w:t>本项</w:t>
            </w:r>
            <w:r>
              <w:rPr>
                <w:rFonts w:hint="eastAsia" w:ascii="宋体" w:hAnsi="宋体" w:eastAsia="宋体" w:cs="宋体"/>
                <w:bCs/>
                <w:color w:val="auto"/>
                <w:sz w:val="24"/>
                <w:szCs w:val="24"/>
                <w:lang w:val="en-US" w:eastAsia="zh-CN"/>
              </w:rPr>
              <w:t>得1</w:t>
            </w:r>
            <w:r>
              <w:rPr>
                <w:rFonts w:hint="eastAsia" w:hAnsi="宋体" w:cs="宋体"/>
                <w:bCs/>
                <w:color w:val="auto"/>
                <w:sz w:val="24"/>
                <w:szCs w:val="24"/>
                <w:lang w:val="en-US" w:eastAsia="zh-CN"/>
              </w:rPr>
              <w:t>8</w:t>
            </w:r>
            <w:r>
              <w:rPr>
                <w:rFonts w:hint="eastAsia" w:ascii="宋体" w:hAnsi="宋体" w:eastAsia="宋体" w:cs="宋体"/>
                <w:bCs/>
                <w:color w:val="auto"/>
                <w:sz w:val="24"/>
                <w:szCs w:val="24"/>
                <w:lang w:val="en-US" w:eastAsia="zh-CN"/>
              </w:rPr>
              <w:t>分</w:t>
            </w:r>
          </w:p>
          <w:p w14:paraId="2BA6E159">
            <w:pPr>
              <w:numPr>
                <w:ilvl w:val="0"/>
                <w:numId w:val="0"/>
              </w:numPr>
              <w:spacing w:line="360" w:lineRule="auto"/>
              <w:ind w:leftChars="0"/>
              <w:jc w:val="both"/>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fldChar w:fldCharType="begin"/>
            </w:r>
            <w:r>
              <w:rPr>
                <w:rFonts w:hint="eastAsia" w:ascii="宋体" w:hAnsi="宋体" w:eastAsia="宋体" w:cs="宋体"/>
                <w:bCs/>
                <w:color w:val="auto"/>
                <w:sz w:val="24"/>
                <w:szCs w:val="24"/>
                <w:lang w:val="en-US" w:eastAsia="zh-CN"/>
              </w:rPr>
              <w:instrText xml:space="preserve"> = 3 \* GB3 \* MERGEFORMAT </w:instrText>
            </w:r>
            <w:r>
              <w:rPr>
                <w:rFonts w:hint="eastAsia" w:ascii="宋体" w:hAnsi="宋体" w:eastAsia="宋体" w:cs="宋体"/>
                <w:bCs/>
                <w:color w:val="auto"/>
                <w:sz w:val="24"/>
                <w:szCs w:val="24"/>
                <w:lang w:val="en-US" w:eastAsia="zh-CN"/>
              </w:rPr>
              <w:fldChar w:fldCharType="separate"/>
            </w:r>
            <w:r>
              <w:rPr>
                <w:rFonts w:hint="eastAsia" w:ascii="宋体" w:hAnsi="宋体" w:eastAsia="宋体" w:cs="宋体"/>
                <w:sz w:val="24"/>
                <w:szCs w:val="24"/>
              </w:rPr>
              <w:t>③</w:t>
            </w:r>
            <w:r>
              <w:rPr>
                <w:rFonts w:hint="eastAsia" w:ascii="宋体" w:hAnsi="宋体" w:eastAsia="宋体" w:cs="宋体"/>
                <w:bCs/>
                <w:color w:val="auto"/>
                <w:sz w:val="24"/>
                <w:szCs w:val="24"/>
                <w:lang w:val="en-US" w:eastAsia="zh-CN"/>
              </w:rPr>
              <w:fldChar w:fldCharType="end"/>
            </w:r>
            <w:r>
              <w:rPr>
                <w:rFonts w:hint="eastAsia" w:ascii="宋体" w:hAnsi="宋体" w:eastAsia="宋体" w:cs="宋体"/>
                <w:sz w:val="24"/>
                <w:szCs w:val="24"/>
              </w:rPr>
              <w:t>宣传推广所选择的渠道</w:t>
            </w:r>
            <w:r>
              <w:rPr>
                <w:rFonts w:hint="eastAsia" w:ascii="宋体" w:hAnsi="宋体" w:eastAsia="宋体" w:cs="宋体"/>
                <w:sz w:val="24"/>
                <w:szCs w:val="24"/>
                <w:lang w:val="en-US" w:eastAsia="zh-CN"/>
              </w:rPr>
              <w:t>不宽</w:t>
            </w:r>
            <w:r>
              <w:rPr>
                <w:rFonts w:hint="eastAsia" w:ascii="宋体" w:hAnsi="宋体" w:eastAsia="宋体" w:cs="宋体"/>
                <w:sz w:val="24"/>
                <w:szCs w:val="24"/>
              </w:rPr>
              <w:t>泛，覆盖</w:t>
            </w:r>
            <w:r>
              <w:rPr>
                <w:rFonts w:hint="eastAsia" w:ascii="宋体" w:hAnsi="宋体" w:eastAsia="宋体" w:cs="宋体"/>
                <w:sz w:val="24"/>
                <w:szCs w:val="24"/>
                <w:lang w:val="en-US" w:eastAsia="zh-CN"/>
              </w:rPr>
              <w:t>面不广</w:t>
            </w:r>
            <w:r>
              <w:rPr>
                <w:rFonts w:hint="eastAsia" w:ascii="宋体" w:hAnsi="宋体" w:eastAsia="宋体" w:cs="宋体"/>
                <w:sz w:val="24"/>
                <w:szCs w:val="24"/>
                <w:lang w:eastAsia="zh-CN"/>
              </w:rPr>
              <w:t>，</w:t>
            </w:r>
            <w:r>
              <w:rPr>
                <w:rFonts w:hint="eastAsia" w:ascii="宋体" w:hAnsi="宋体" w:eastAsia="宋体" w:cs="宋体"/>
                <w:sz w:val="24"/>
                <w:szCs w:val="24"/>
              </w:rPr>
              <w:t>宣传内容</w:t>
            </w:r>
            <w:r>
              <w:rPr>
                <w:rFonts w:hint="eastAsia" w:ascii="宋体" w:hAnsi="宋体" w:eastAsia="宋体" w:cs="宋体"/>
                <w:sz w:val="24"/>
                <w:szCs w:val="24"/>
                <w:lang w:val="en-US" w:eastAsia="zh-CN"/>
              </w:rPr>
              <w:t>基本</w:t>
            </w:r>
            <w:r>
              <w:rPr>
                <w:rFonts w:hint="eastAsia" w:ascii="宋体" w:hAnsi="宋体" w:eastAsia="宋体" w:cs="宋体"/>
                <w:sz w:val="24"/>
                <w:szCs w:val="24"/>
              </w:rPr>
              <w:t>准确，能够</w:t>
            </w:r>
            <w:r>
              <w:rPr>
                <w:rFonts w:hint="eastAsia" w:ascii="宋体" w:hAnsi="宋体" w:eastAsia="宋体" w:cs="宋体"/>
                <w:sz w:val="24"/>
                <w:szCs w:val="24"/>
                <w:lang w:val="en-US" w:eastAsia="zh-CN"/>
              </w:rPr>
              <w:t>显示出</w:t>
            </w:r>
            <w:r>
              <w:rPr>
                <w:rFonts w:hint="eastAsia" w:ascii="宋体" w:hAnsi="宋体" w:eastAsia="宋体" w:cs="宋体"/>
                <w:sz w:val="24"/>
                <w:szCs w:val="24"/>
              </w:rPr>
              <w:t>展销会的特色</w:t>
            </w:r>
            <w:r>
              <w:rPr>
                <w:rFonts w:hint="eastAsia" w:ascii="宋体" w:hAnsi="宋体" w:eastAsia="宋体" w:cs="宋体"/>
                <w:sz w:val="24"/>
                <w:szCs w:val="24"/>
                <w:lang w:val="en-US" w:eastAsia="zh-CN"/>
              </w:rPr>
              <w:t>但无亮点</w:t>
            </w:r>
            <w:r>
              <w:rPr>
                <w:rFonts w:hint="eastAsia" w:ascii="宋体" w:hAnsi="宋体" w:eastAsia="宋体" w:cs="宋体"/>
                <w:sz w:val="24"/>
                <w:szCs w:val="24"/>
              </w:rPr>
              <w:t>。</w:t>
            </w:r>
            <w:r>
              <w:rPr>
                <w:rFonts w:hint="eastAsia" w:ascii="宋体" w:hAnsi="宋体" w:eastAsia="宋体" w:cs="宋体"/>
                <w:sz w:val="24"/>
                <w:szCs w:val="24"/>
                <w:lang w:val="en-US" w:eastAsia="zh-CN"/>
              </w:rPr>
              <w:t>本项</w:t>
            </w:r>
            <w:r>
              <w:rPr>
                <w:rFonts w:hint="eastAsia" w:ascii="宋体" w:hAnsi="宋体" w:eastAsia="宋体" w:cs="宋体"/>
                <w:bCs/>
                <w:color w:val="auto"/>
                <w:sz w:val="24"/>
                <w:szCs w:val="24"/>
                <w:lang w:val="en-US" w:eastAsia="zh-CN"/>
              </w:rPr>
              <w:t>得1</w:t>
            </w:r>
            <w:r>
              <w:rPr>
                <w:rFonts w:hint="eastAsia" w:hAnsi="宋体" w:cs="宋体"/>
                <w:bCs/>
                <w:color w:val="auto"/>
                <w:sz w:val="24"/>
                <w:szCs w:val="24"/>
                <w:lang w:val="en-US" w:eastAsia="zh-CN"/>
              </w:rPr>
              <w:t>6</w:t>
            </w:r>
            <w:r>
              <w:rPr>
                <w:rFonts w:hint="eastAsia" w:ascii="宋体" w:hAnsi="宋体" w:eastAsia="宋体" w:cs="宋体"/>
                <w:bCs/>
                <w:color w:val="auto"/>
                <w:sz w:val="24"/>
                <w:szCs w:val="24"/>
                <w:lang w:val="en-US" w:eastAsia="zh-CN"/>
              </w:rPr>
              <w:t>分</w:t>
            </w:r>
          </w:p>
          <w:p w14:paraId="7A5CC236">
            <w:pPr>
              <w:numPr>
                <w:ilvl w:val="0"/>
                <w:numId w:val="0"/>
              </w:numPr>
              <w:spacing w:line="360" w:lineRule="auto"/>
              <w:ind w:leftChars="0"/>
              <w:jc w:val="both"/>
              <w:rPr>
                <w:rFonts w:hint="eastAsia" w:ascii="宋体" w:hAnsi="宋体" w:eastAsia="宋体" w:cs="宋体"/>
                <w:bCs/>
                <w:color w:val="auto"/>
                <w:sz w:val="24"/>
                <w:szCs w:val="24"/>
                <w:lang w:val="en-US" w:eastAsia="zh-CN"/>
              </w:rPr>
            </w:pPr>
            <w:r>
              <w:rPr>
                <w:rFonts w:hint="eastAsia" w:ascii="宋体" w:hAnsi="宋体" w:eastAsia="宋体" w:cs="宋体"/>
                <w:b w:val="0"/>
                <w:bCs/>
                <w:color w:val="auto"/>
                <w:kern w:val="2"/>
                <w:sz w:val="24"/>
                <w:szCs w:val="24"/>
                <w:lang w:val="en-US" w:eastAsia="zh-CN" w:bidi="ar-SA"/>
              </w:rPr>
              <w:fldChar w:fldCharType="begin"/>
            </w:r>
            <w:r>
              <w:rPr>
                <w:rFonts w:hint="eastAsia" w:ascii="宋体" w:hAnsi="宋体" w:eastAsia="宋体" w:cs="宋体"/>
                <w:b w:val="0"/>
                <w:bCs/>
                <w:color w:val="auto"/>
                <w:kern w:val="2"/>
                <w:sz w:val="24"/>
                <w:szCs w:val="24"/>
                <w:lang w:val="en-US" w:eastAsia="zh-CN" w:bidi="ar-SA"/>
              </w:rPr>
              <w:instrText xml:space="preserve"> = 4 \* GB3 \* MERGEFORMAT </w:instrText>
            </w:r>
            <w:r>
              <w:rPr>
                <w:rFonts w:hint="eastAsia" w:ascii="宋体" w:hAnsi="宋体" w:eastAsia="宋体" w:cs="宋体"/>
                <w:b w:val="0"/>
                <w:bCs/>
                <w:color w:val="auto"/>
                <w:kern w:val="2"/>
                <w:sz w:val="24"/>
                <w:szCs w:val="24"/>
                <w:lang w:val="en-US" w:eastAsia="zh-CN" w:bidi="ar-SA"/>
              </w:rPr>
              <w:fldChar w:fldCharType="separate"/>
            </w:r>
            <w:r>
              <w:rPr>
                <w:rFonts w:hint="eastAsia" w:ascii="宋体" w:hAnsi="宋体" w:eastAsia="宋体" w:cs="宋体"/>
                <w:b w:val="0"/>
                <w:bCs/>
                <w:color w:val="auto"/>
                <w:kern w:val="2"/>
                <w:sz w:val="24"/>
                <w:szCs w:val="24"/>
                <w:lang w:val="en-US" w:eastAsia="zh-CN" w:bidi="ar-SA"/>
              </w:rPr>
              <w:t>④</w:t>
            </w:r>
            <w:r>
              <w:rPr>
                <w:rFonts w:hint="eastAsia" w:ascii="宋体" w:hAnsi="宋体" w:eastAsia="宋体" w:cs="宋体"/>
                <w:b w:val="0"/>
                <w:bCs/>
                <w:color w:val="auto"/>
                <w:kern w:val="2"/>
                <w:sz w:val="24"/>
                <w:szCs w:val="24"/>
                <w:lang w:val="en-US" w:eastAsia="zh-CN" w:bidi="ar-SA"/>
              </w:rPr>
              <w:fldChar w:fldCharType="end"/>
            </w:r>
            <w:r>
              <w:rPr>
                <w:rFonts w:hint="eastAsia" w:ascii="宋体" w:hAnsi="宋体" w:eastAsia="宋体" w:cs="宋体"/>
                <w:b w:val="0"/>
                <w:bCs/>
                <w:color w:val="auto"/>
                <w:kern w:val="2"/>
                <w:sz w:val="24"/>
                <w:szCs w:val="24"/>
                <w:lang w:val="en-US" w:eastAsia="zh-CN" w:bidi="ar-SA"/>
              </w:rPr>
              <w:t>、本项无内容不得分。</w:t>
            </w:r>
          </w:p>
        </w:tc>
      </w:tr>
      <w:tr w14:paraId="2C2E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917" w:type="dxa"/>
            <w:vMerge w:val="continue"/>
            <w:shd w:val="clear" w:color="auto" w:fill="auto"/>
            <w:noWrap w:val="0"/>
            <w:vAlign w:val="center"/>
          </w:tcPr>
          <w:p w14:paraId="1D616A79">
            <w:pPr>
              <w:pStyle w:val="286"/>
              <w:keepNext w:val="0"/>
              <w:pageBreakBefore w:val="0"/>
              <w:widowControl w:val="0"/>
              <w:shd w:val="clear" w:color="auto" w:fill="auto"/>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color w:val="auto"/>
                <w:sz w:val="24"/>
                <w:szCs w:val="24"/>
                <w:highlight w:val="none"/>
                <w:lang w:val="en-US" w:eastAsia="zh-CN"/>
              </w:rPr>
            </w:pPr>
          </w:p>
        </w:tc>
        <w:tc>
          <w:tcPr>
            <w:tcW w:w="1291" w:type="dxa"/>
            <w:shd w:val="clear" w:color="auto" w:fill="auto"/>
            <w:noWrap w:val="0"/>
            <w:vAlign w:val="center"/>
          </w:tcPr>
          <w:p w14:paraId="4EB39A74">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安全与风险控制措施</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0-20分）</w:t>
            </w:r>
          </w:p>
          <w:p w14:paraId="4AADBB7E">
            <w:pPr>
              <w:pStyle w:val="286"/>
              <w:keepNext w:val="0"/>
              <w:pageBreakBefore w:val="0"/>
              <w:widowControl w:val="0"/>
              <w:shd w:val="clear" w:color="auto" w:fill="auto"/>
              <w:kinsoku/>
              <w:wordWrap/>
              <w:overflowPunct/>
              <w:topLinePunct w:val="0"/>
              <w:autoSpaceDE w:val="0"/>
              <w:autoSpaceDN w:val="0"/>
              <w:bidi w:val="0"/>
              <w:adjustRightInd/>
              <w:snapToGrid/>
              <w:spacing w:before="0" w:line="360" w:lineRule="auto"/>
              <w:ind w:left="10" w:leftChars="0" w:right="113" w:firstLine="114" w:firstLineChars="0"/>
              <w:jc w:val="center"/>
              <w:textAlignment w:val="auto"/>
              <w:rPr>
                <w:rFonts w:hint="eastAsia" w:ascii="宋体" w:hAnsi="宋体" w:eastAsia="宋体" w:cs="宋体"/>
                <w:color w:val="auto"/>
                <w:sz w:val="24"/>
                <w:szCs w:val="24"/>
                <w:lang w:eastAsia="zh-CN"/>
              </w:rPr>
            </w:pPr>
          </w:p>
        </w:tc>
        <w:tc>
          <w:tcPr>
            <w:tcW w:w="7562" w:type="dxa"/>
            <w:shd w:val="clear" w:color="auto" w:fill="auto"/>
            <w:noWrap w:val="0"/>
            <w:vAlign w:val="center"/>
          </w:tcPr>
          <w:p w14:paraId="3DF2F2E8">
            <w:pPr>
              <w:spacing w:line="360" w:lineRule="auto"/>
              <w:rPr>
                <w:rFonts w:hint="eastAsia" w:ascii="宋体" w:hAnsi="宋体" w:eastAsia="宋体" w:cs="宋体"/>
                <w:sz w:val="24"/>
                <w:szCs w:val="24"/>
              </w:rPr>
            </w:pPr>
            <w:r>
              <w:rPr>
                <w:rFonts w:hint="eastAsia" w:ascii="宋体" w:hAnsi="宋体" w:eastAsia="宋体" w:cs="宋体"/>
                <w:b/>
                <w:bCs/>
                <w:sz w:val="24"/>
                <w:szCs w:val="24"/>
                <w:lang w:val="en-US" w:eastAsia="zh-CN"/>
              </w:rPr>
              <w:t>细化指标</w:t>
            </w:r>
            <w:r>
              <w:rPr>
                <w:rFonts w:hint="eastAsia" w:ascii="宋体" w:hAnsi="宋体" w:eastAsia="宋体" w:cs="宋体"/>
                <w:sz w:val="24"/>
                <w:szCs w:val="24"/>
                <w:lang w:val="en-US" w:eastAsia="zh-CN"/>
              </w:rPr>
              <w:t>：</w:t>
            </w:r>
            <w:r>
              <w:rPr>
                <w:rFonts w:hint="eastAsia" w:ascii="宋体" w:hAnsi="宋体" w:eastAsia="宋体" w:cs="宋体"/>
                <w:sz w:val="24"/>
                <w:szCs w:val="24"/>
              </w:rPr>
              <w:t>安全与风险控制是展销会成功的重要保障。本项评估将关注安全与风险控制措施的实施情况。具体标准如下：</w:t>
            </w:r>
          </w:p>
          <w:p w14:paraId="6A862EF6">
            <w:pPr>
              <w:spacing w:line="360" w:lineRule="auto"/>
              <w:rPr>
                <w:rFonts w:hint="eastAsia" w:ascii="宋体" w:hAnsi="宋体" w:eastAsia="宋体" w:cs="宋体"/>
                <w:sz w:val="24"/>
                <w:szCs w:val="24"/>
              </w:rPr>
            </w:pPr>
            <w:r>
              <w:rPr>
                <w:rFonts w:hint="eastAsia" w:ascii="宋体" w:hAnsi="宋体" w:eastAsia="宋体" w:cs="宋体"/>
                <w:sz w:val="24"/>
                <w:szCs w:val="24"/>
              </w:rPr>
              <w:t>1. 安全管理制度：评估是否建立健全的安全管理制度和应急预案，确保活动的安全有序进行。</w:t>
            </w:r>
          </w:p>
          <w:p w14:paraId="51CFD813">
            <w:pPr>
              <w:spacing w:line="360" w:lineRule="auto"/>
              <w:rPr>
                <w:rFonts w:hint="eastAsia" w:ascii="宋体" w:hAnsi="宋体" w:eastAsia="宋体" w:cs="宋体"/>
                <w:sz w:val="24"/>
                <w:szCs w:val="24"/>
              </w:rPr>
            </w:pPr>
            <w:r>
              <w:rPr>
                <w:rFonts w:hint="eastAsia" w:ascii="宋体" w:hAnsi="宋体" w:eastAsia="宋体" w:cs="宋体"/>
                <w:sz w:val="24"/>
                <w:szCs w:val="24"/>
              </w:rPr>
              <w:t>2. 风险控制措施：分析是否采取有效的风险控制措施，降低潜在风险的发生概率和影响程度。</w:t>
            </w:r>
          </w:p>
          <w:p w14:paraId="32CDC9C9">
            <w:pPr>
              <w:numPr>
                <w:ilvl w:val="0"/>
                <w:numId w:val="0"/>
              </w:numPr>
              <w:spacing w:line="360" w:lineRule="auto"/>
              <w:ind w:leftChars="0"/>
              <w:jc w:val="both"/>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量化指标</w:t>
            </w:r>
            <w:r>
              <w:rPr>
                <w:rFonts w:hint="eastAsia" w:ascii="宋体" w:hAnsi="宋体" w:eastAsia="宋体" w:cs="宋体"/>
                <w:sz w:val="24"/>
                <w:szCs w:val="24"/>
                <w:lang w:val="en-US" w:eastAsia="zh-CN"/>
              </w:rPr>
              <w:t>：</w:t>
            </w:r>
          </w:p>
          <w:p w14:paraId="0B2D4BE1">
            <w:pPr>
              <w:numPr>
                <w:ilvl w:val="0"/>
                <w:numId w:val="0"/>
              </w:numPr>
              <w:spacing w:line="360" w:lineRule="auto"/>
              <w:ind w:leftChars="0"/>
              <w:jc w:val="both"/>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fldChar w:fldCharType="begin"/>
            </w:r>
            <w:r>
              <w:rPr>
                <w:rFonts w:hint="eastAsia" w:ascii="宋体" w:hAnsi="宋体" w:eastAsia="宋体" w:cs="宋体"/>
                <w:bCs/>
                <w:color w:val="auto"/>
                <w:sz w:val="24"/>
                <w:szCs w:val="24"/>
                <w:lang w:val="en-US" w:eastAsia="zh-CN"/>
              </w:rPr>
              <w:instrText xml:space="preserve"> = 1 \* GB3 \* MERGEFORMAT </w:instrText>
            </w:r>
            <w:r>
              <w:rPr>
                <w:rFonts w:hint="eastAsia" w:ascii="宋体" w:hAnsi="宋体" w:eastAsia="宋体" w:cs="宋体"/>
                <w:bCs/>
                <w:color w:val="auto"/>
                <w:sz w:val="24"/>
                <w:szCs w:val="24"/>
                <w:lang w:val="en-US" w:eastAsia="zh-CN"/>
              </w:rPr>
              <w:fldChar w:fldCharType="separate"/>
            </w:r>
            <w:r>
              <w:rPr>
                <w:rFonts w:hint="eastAsia" w:ascii="宋体" w:hAnsi="宋体" w:eastAsia="宋体" w:cs="宋体"/>
                <w:sz w:val="24"/>
                <w:szCs w:val="24"/>
              </w:rPr>
              <w:t>①</w:t>
            </w:r>
            <w:r>
              <w:rPr>
                <w:rFonts w:hint="eastAsia" w:ascii="宋体" w:hAnsi="宋体" w:eastAsia="宋体" w:cs="宋体"/>
                <w:bCs/>
                <w:color w:val="auto"/>
                <w:sz w:val="24"/>
                <w:szCs w:val="24"/>
                <w:lang w:val="en-US" w:eastAsia="zh-CN"/>
              </w:rPr>
              <w:fldChar w:fldCharType="end"/>
            </w:r>
            <w:r>
              <w:rPr>
                <w:rFonts w:hint="eastAsia" w:ascii="宋体" w:hAnsi="宋体" w:eastAsia="宋体" w:cs="宋体"/>
                <w:sz w:val="24"/>
                <w:szCs w:val="24"/>
                <w:lang w:val="en-US" w:eastAsia="zh-CN"/>
              </w:rPr>
              <w:t>有</w:t>
            </w:r>
            <w:r>
              <w:rPr>
                <w:rFonts w:hint="eastAsia" w:ascii="宋体" w:hAnsi="宋体" w:eastAsia="宋体" w:cs="宋体"/>
                <w:sz w:val="24"/>
                <w:szCs w:val="24"/>
              </w:rPr>
              <w:t>健全的安全管理制度和应急预案，风险控制措施</w:t>
            </w:r>
            <w:r>
              <w:rPr>
                <w:rFonts w:hint="eastAsia" w:ascii="宋体" w:hAnsi="宋体" w:eastAsia="宋体" w:cs="宋体"/>
                <w:sz w:val="24"/>
                <w:szCs w:val="24"/>
                <w:lang w:val="en-US" w:eastAsia="zh-CN"/>
              </w:rPr>
              <w:t>实施性强</w:t>
            </w:r>
            <w:r>
              <w:rPr>
                <w:rFonts w:hint="eastAsia" w:ascii="宋体" w:hAnsi="宋体" w:eastAsia="宋体" w:cs="宋体"/>
                <w:sz w:val="24"/>
                <w:szCs w:val="24"/>
              </w:rPr>
              <w:t>，</w:t>
            </w:r>
            <w:r>
              <w:rPr>
                <w:rFonts w:hint="eastAsia" w:ascii="宋体" w:hAnsi="宋体" w:eastAsia="宋体" w:cs="宋体"/>
                <w:sz w:val="24"/>
                <w:szCs w:val="24"/>
                <w:lang w:val="en-US" w:eastAsia="zh-CN"/>
              </w:rPr>
              <w:t>有完整的</w:t>
            </w:r>
            <w:r>
              <w:rPr>
                <w:rFonts w:hint="eastAsia" w:ascii="宋体" w:hAnsi="宋体" w:eastAsia="宋体" w:cs="宋体"/>
                <w:sz w:val="24"/>
                <w:szCs w:val="24"/>
              </w:rPr>
              <w:t>降低潜在风险的发生概率</w:t>
            </w:r>
            <w:r>
              <w:rPr>
                <w:rFonts w:hint="eastAsia" w:ascii="宋体" w:hAnsi="宋体" w:eastAsia="宋体" w:cs="宋体"/>
                <w:sz w:val="24"/>
                <w:szCs w:val="24"/>
                <w:lang w:val="en-US" w:eastAsia="zh-CN"/>
              </w:rPr>
              <w:t>的保证措施</w:t>
            </w:r>
            <w:r>
              <w:rPr>
                <w:rFonts w:hint="eastAsia" w:ascii="宋体" w:hAnsi="宋体" w:eastAsia="宋体" w:cs="宋体"/>
                <w:sz w:val="24"/>
                <w:szCs w:val="24"/>
              </w:rPr>
              <w:t>。</w:t>
            </w:r>
            <w:r>
              <w:rPr>
                <w:rFonts w:hint="eastAsia" w:ascii="宋体" w:hAnsi="宋体" w:eastAsia="宋体" w:cs="宋体"/>
                <w:sz w:val="24"/>
                <w:szCs w:val="24"/>
                <w:lang w:val="en-US" w:eastAsia="zh-CN"/>
              </w:rPr>
              <w:t>本项</w:t>
            </w:r>
            <w:r>
              <w:rPr>
                <w:rFonts w:hint="eastAsia" w:ascii="宋体" w:hAnsi="宋体" w:eastAsia="宋体" w:cs="宋体"/>
                <w:bCs/>
                <w:color w:val="auto"/>
                <w:sz w:val="24"/>
                <w:szCs w:val="24"/>
                <w:lang w:val="en-US" w:eastAsia="zh-CN"/>
              </w:rPr>
              <w:t>得20分</w:t>
            </w:r>
          </w:p>
          <w:p w14:paraId="423767E3">
            <w:pPr>
              <w:numPr>
                <w:ilvl w:val="0"/>
                <w:numId w:val="0"/>
              </w:numPr>
              <w:spacing w:line="360" w:lineRule="auto"/>
              <w:ind w:leftChars="0"/>
              <w:jc w:val="both"/>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fldChar w:fldCharType="begin"/>
            </w:r>
            <w:r>
              <w:rPr>
                <w:rFonts w:hint="eastAsia" w:ascii="宋体" w:hAnsi="宋体" w:eastAsia="宋体" w:cs="宋体"/>
                <w:bCs/>
                <w:color w:val="auto"/>
                <w:sz w:val="24"/>
                <w:szCs w:val="24"/>
                <w:lang w:val="en-US" w:eastAsia="zh-CN"/>
              </w:rPr>
              <w:instrText xml:space="preserve"> = 2 \* GB3 \* MERGEFORMAT </w:instrText>
            </w:r>
            <w:r>
              <w:rPr>
                <w:rFonts w:hint="eastAsia" w:ascii="宋体" w:hAnsi="宋体" w:eastAsia="宋体" w:cs="宋体"/>
                <w:bCs/>
                <w:color w:val="auto"/>
                <w:sz w:val="24"/>
                <w:szCs w:val="24"/>
                <w:lang w:val="en-US" w:eastAsia="zh-CN"/>
              </w:rPr>
              <w:fldChar w:fldCharType="separate"/>
            </w:r>
            <w:r>
              <w:rPr>
                <w:rFonts w:hint="eastAsia" w:ascii="宋体" w:hAnsi="宋体" w:eastAsia="宋体" w:cs="宋体"/>
                <w:sz w:val="24"/>
                <w:szCs w:val="24"/>
              </w:rPr>
              <w:t>②</w:t>
            </w:r>
            <w:r>
              <w:rPr>
                <w:rFonts w:hint="eastAsia" w:ascii="宋体" w:hAnsi="宋体" w:eastAsia="宋体" w:cs="宋体"/>
                <w:bCs/>
                <w:color w:val="auto"/>
                <w:sz w:val="24"/>
                <w:szCs w:val="24"/>
                <w:lang w:val="en-US" w:eastAsia="zh-CN"/>
              </w:rPr>
              <w:fldChar w:fldCharType="end"/>
            </w:r>
            <w:r>
              <w:rPr>
                <w:rFonts w:hint="eastAsia" w:ascii="宋体" w:hAnsi="宋体" w:eastAsia="宋体" w:cs="宋体"/>
                <w:sz w:val="24"/>
                <w:szCs w:val="24"/>
                <w:lang w:val="en-US" w:eastAsia="zh-CN"/>
              </w:rPr>
              <w:t>有</w:t>
            </w:r>
            <w:r>
              <w:rPr>
                <w:rFonts w:hint="eastAsia" w:ascii="宋体" w:hAnsi="宋体" w:eastAsia="宋体" w:cs="宋体"/>
                <w:sz w:val="24"/>
                <w:szCs w:val="24"/>
              </w:rPr>
              <w:t>健全的安全管理制度和应急预案，风险控制措施</w:t>
            </w:r>
            <w:r>
              <w:rPr>
                <w:rFonts w:hint="eastAsia" w:ascii="宋体" w:hAnsi="宋体" w:eastAsia="宋体" w:cs="宋体"/>
                <w:sz w:val="24"/>
                <w:szCs w:val="24"/>
                <w:lang w:val="en-US" w:eastAsia="zh-CN"/>
              </w:rPr>
              <w:t>实施性较强</w:t>
            </w:r>
            <w:r>
              <w:rPr>
                <w:rFonts w:hint="eastAsia" w:ascii="宋体" w:hAnsi="宋体" w:eastAsia="宋体" w:cs="宋体"/>
                <w:sz w:val="24"/>
                <w:szCs w:val="24"/>
              </w:rPr>
              <w:t>，</w:t>
            </w:r>
            <w:r>
              <w:rPr>
                <w:rFonts w:hint="eastAsia" w:ascii="宋体" w:hAnsi="宋体" w:eastAsia="宋体" w:cs="宋体"/>
                <w:sz w:val="24"/>
                <w:szCs w:val="24"/>
                <w:lang w:val="en-US" w:eastAsia="zh-CN"/>
              </w:rPr>
              <w:t>有较完整的</w:t>
            </w:r>
            <w:r>
              <w:rPr>
                <w:rFonts w:hint="eastAsia" w:ascii="宋体" w:hAnsi="宋体" w:eastAsia="宋体" w:cs="宋体"/>
                <w:sz w:val="24"/>
                <w:szCs w:val="24"/>
              </w:rPr>
              <w:t>降低潜在风险的发生概率</w:t>
            </w:r>
            <w:r>
              <w:rPr>
                <w:rFonts w:hint="eastAsia" w:ascii="宋体" w:hAnsi="宋体" w:eastAsia="宋体" w:cs="宋体"/>
                <w:sz w:val="24"/>
                <w:szCs w:val="24"/>
                <w:lang w:val="en-US" w:eastAsia="zh-CN"/>
              </w:rPr>
              <w:t>的保证措施</w:t>
            </w:r>
            <w:r>
              <w:rPr>
                <w:rFonts w:hint="eastAsia" w:ascii="宋体" w:hAnsi="宋体" w:eastAsia="宋体" w:cs="宋体"/>
                <w:sz w:val="24"/>
                <w:szCs w:val="24"/>
              </w:rPr>
              <w:t>。</w:t>
            </w:r>
            <w:r>
              <w:rPr>
                <w:rFonts w:hint="eastAsia" w:ascii="宋体" w:hAnsi="宋体" w:eastAsia="宋体" w:cs="宋体"/>
                <w:sz w:val="24"/>
                <w:szCs w:val="24"/>
                <w:lang w:val="en-US" w:eastAsia="zh-CN"/>
              </w:rPr>
              <w:t>本项</w:t>
            </w:r>
            <w:r>
              <w:rPr>
                <w:rFonts w:hint="eastAsia" w:ascii="宋体" w:hAnsi="宋体" w:eastAsia="宋体" w:cs="宋体"/>
                <w:bCs/>
                <w:color w:val="auto"/>
                <w:sz w:val="24"/>
                <w:szCs w:val="24"/>
                <w:lang w:val="en-US" w:eastAsia="zh-CN"/>
              </w:rPr>
              <w:t>得18分</w:t>
            </w:r>
          </w:p>
          <w:p w14:paraId="1030FD3D">
            <w:pPr>
              <w:numPr>
                <w:ilvl w:val="0"/>
                <w:numId w:val="0"/>
              </w:numPr>
              <w:spacing w:line="360" w:lineRule="auto"/>
              <w:ind w:leftChars="0"/>
              <w:jc w:val="both"/>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fldChar w:fldCharType="begin"/>
            </w:r>
            <w:r>
              <w:rPr>
                <w:rFonts w:hint="eastAsia" w:ascii="宋体" w:hAnsi="宋体" w:eastAsia="宋体" w:cs="宋体"/>
                <w:bCs/>
                <w:color w:val="auto"/>
                <w:sz w:val="24"/>
                <w:szCs w:val="24"/>
                <w:lang w:val="en-US" w:eastAsia="zh-CN"/>
              </w:rPr>
              <w:instrText xml:space="preserve"> = 3 \* GB3 \* MERGEFORMAT </w:instrText>
            </w:r>
            <w:r>
              <w:rPr>
                <w:rFonts w:hint="eastAsia" w:ascii="宋体" w:hAnsi="宋体" w:eastAsia="宋体" w:cs="宋体"/>
                <w:bCs/>
                <w:color w:val="auto"/>
                <w:sz w:val="24"/>
                <w:szCs w:val="24"/>
                <w:lang w:val="en-US" w:eastAsia="zh-CN"/>
              </w:rPr>
              <w:fldChar w:fldCharType="separate"/>
            </w:r>
            <w:r>
              <w:rPr>
                <w:rFonts w:hint="eastAsia" w:ascii="宋体" w:hAnsi="宋体" w:eastAsia="宋体" w:cs="宋体"/>
                <w:sz w:val="24"/>
                <w:szCs w:val="24"/>
              </w:rPr>
              <w:t>③</w:t>
            </w:r>
            <w:r>
              <w:rPr>
                <w:rFonts w:hint="eastAsia" w:ascii="宋体" w:hAnsi="宋体" w:eastAsia="宋体" w:cs="宋体"/>
                <w:bCs/>
                <w:color w:val="auto"/>
                <w:sz w:val="24"/>
                <w:szCs w:val="24"/>
                <w:lang w:val="en-US" w:eastAsia="zh-CN"/>
              </w:rPr>
              <w:fldChar w:fldCharType="end"/>
            </w:r>
            <w:r>
              <w:rPr>
                <w:rFonts w:hint="eastAsia" w:ascii="宋体" w:hAnsi="宋体" w:eastAsia="宋体" w:cs="宋体"/>
                <w:sz w:val="24"/>
                <w:szCs w:val="24"/>
                <w:lang w:val="en-US" w:eastAsia="zh-CN"/>
              </w:rPr>
              <w:t>有比较</w:t>
            </w:r>
            <w:r>
              <w:rPr>
                <w:rFonts w:hint="eastAsia" w:ascii="宋体" w:hAnsi="宋体" w:eastAsia="宋体" w:cs="宋体"/>
                <w:sz w:val="24"/>
                <w:szCs w:val="24"/>
              </w:rPr>
              <w:t>全的安全管理制度和应急预案，风险控制措施</w:t>
            </w:r>
            <w:r>
              <w:rPr>
                <w:rFonts w:hint="eastAsia" w:ascii="宋体" w:hAnsi="宋体" w:eastAsia="宋体" w:cs="宋体"/>
                <w:sz w:val="24"/>
                <w:szCs w:val="24"/>
                <w:lang w:val="en-US" w:eastAsia="zh-CN"/>
              </w:rPr>
              <w:t>实施性可以但仍有可补充完善的空间</w:t>
            </w:r>
            <w:r>
              <w:rPr>
                <w:rFonts w:hint="eastAsia" w:ascii="宋体" w:hAnsi="宋体" w:eastAsia="宋体" w:cs="宋体"/>
                <w:sz w:val="24"/>
                <w:szCs w:val="24"/>
              </w:rPr>
              <w:t>，</w:t>
            </w:r>
            <w:r>
              <w:rPr>
                <w:rFonts w:hint="eastAsia" w:ascii="宋体" w:hAnsi="宋体" w:eastAsia="宋体" w:cs="宋体"/>
                <w:sz w:val="24"/>
                <w:szCs w:val="24"/>
                <w:lang w:val="en-US" w:eastAsia="zh-CN"/>
              </w:rPr>
              <w:t>有</w:t>
            </w:r>
            <w:r>
              <w:rPr>
                <w:rFonts w:hint="eastAsia" w:ascii="宋体" w:hAnsi="宋体" w:eastAsia="宋体" w:cs="宋体"/>
                <w:sz w:val="24"/>
                <w:szCs w:val="24"/>
              </w:rPr>
              <w:t>降低潜在风险发生概率</w:t>
            </w:r>
            <w:r>
              <w:rPr>
                <w:rFonts w:hint="eastAsia" w:ascii="宋体" w:hAnsi="宋体" w:eastAsia="宋体" w:cs="宋体"/>
                <w:sz w:val="24"/>
                <w:szCs w:val="24"/>
                <w:lang w:val="en-US" w:eastAsia="zh-CN"/>
              </w:rPr>
              <w:t>的措施但不够完整</w:t>
            </w:r>
            <w:r>
              <w:rPr>
                <w:rFonts w:hint="eastAsia" w:ascii="宋体" w:hAnsi="宋体" w:eastAsia="宋体" w:cs="宋体"/>
                <w:sz w:val="24"/>
                <w:szCs w:val="24"/>
              </w:rPr>
              <w:t>。</w:t>
            </w:r>
            <w:r>
              <w:rPr>
                <w:rFonts w:hint="eastAsia" w:ascii="宋体" w:hAnsi="宋体" w:eastAsia="宋体" w:cs="宋体"/>
                <w:sz w:val="24"/>
                <w:szCs w:val="24"/>
                <w:lang w:val="en-US" w:eastAsia="zh-CN"/>
              </w:rPr>
              <w:t>本项</w:t>
            </w:r>
            <w:r>
              <w:rPr>
                <w:rFonts w:hint="eastAsia" w:ascii="宋体" w:hAnsi="宋体" w:eastAsia="宋体" w:cs="宋体"/>
                <w:bCs/>
                <w:color w:val="auto"/>
                <w:sz w:val="24"/>
                <w:szCs w:val="24"/>
                <w:lang w:val="en-US" w:eastAsia="zh-CN"/>
              </w:rPr>
              <w:t>得16分</w:t>
            </w:r>
          </w:p>
          <w:p w14:paraId="3697040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宋体" w:hAnsi="宋体" w:eastAsia="宋体" w:cs="宋体"/>
                <w:color w:val="auto"/>
                <w:sz w:val="24"/>
                <w:szCs w:val="24"/>
              </w:rPr>
            </w:pPr>
            <w:r>
              <w:rPr>
                <w:rFonts w:hint="eastAsia" w:ascii="宋体" w:hAnsi="宋体" w:eastAsia="宋体" w:cs="宋体"/>
                <w:b w:val="0"/>
                <w:bCs/>
                <w:color w:val="auto"/>
                <w:kern w:val="2"/>
                <w:sz w:val="24"/>
                <w:szCs w:val="24"/>
                <w:lang w:val="en-US" w:eastAsia="zh-CN" w:bidi="ar-SA"/>
              </w:rPr>
              <w:fldChar w:fldCharType="begin"/>
            </w:r>
            <w:r>
              <w:rPr>
                <w:rFonts w:hint="eastAsia" w:ascii="宋体" w:hAnsi="宋体" w:eastAsia="宋体" w:cs="宋体"/>
                <w:b w:val="0"/>
                <w:bCs/>
                <w:color w:val="auto"/>
                <w:kern w:val="2"/>
                <w:sz w:val="24"/>
                <w:szCs w:val="24"/>
                <w:lang w:val="en-US" w:eastAsia="zh-CN" w:bidi="ar-SA"/>
              </w:rPr>
              <w:instrText xml:space="preserve"> = 4 \* GB3 \* MERGEFORMAT </w:instrText>
            </w:r>
            <w:r>
              <w:rPr>
                <w:rFonts w:hint="eastAsia" w:ascii="宋体" w:hAnsi="宋体" w:eastAsia="宋体" w:cs="宋体"/>
                <w:b w:val="0"/>
                <w:bCs/>
                <w:color w:val="auto"/>
                <w:kern w:val="2"/>
                <w:sz w:val="24"/>
                <w:szCs w:val="24"/>
                <w:lang w:val="en-US" w:eastAsia="zh-CN" w:bidi="ar-SA"/>
              </w:rPr>
              <w:fldChar w:fldCharType="separate"/>
            </w:r>
            <w:r>
              <w:rPr>
                <w:rFonts w:hint="eastAsia" w:ascii="宋体" w:hAnsi="宋体" w:eastAsia="宋体" w:cs="宋体"/>
                <w:b w:val="0"/>
                <w:bCs/>
                <w:color w:val="auto"/>
                <w:kern w:val="2"/>
                <w:sz w:val="24"/>
                <w:szCs w:val="24"/>
                <w:lang w:val="en-US" w:eastAsia="zh-CN" w:bidi="ar-SA"/>
              </w:rPr>
              <w:t>④</w:t>
            </w:r>
            <w:r>
              <w:rPr>
                <w:rFonts w:hint="eastAsia" w:ascii="宋体" w:hAnsi="宋体" w:eastAsia="宋体" w:cs="宋体"/>
                <w:b w:val="0"/>
                <w:bCs/>
                <w:color w:val="auto"/>
                <w:kern w:val="2"/>
                <w:sz w:val="24"/>
                <w:szCs w:val="24"/>
                <w:lang w:val="en-US" w:eastAsia="zh-CN" w:bidi="ar-SA"/>
              </w:rPr>
              <w:fldChar w:fldCharType="end"/>
            </w:r>
            <w:r>
              <w:rPr>
                <w:rFonts w:hint="eastAsia" w:ascii="宋体" w:hAnsi="宋体" w:eastAsia="宋体" w:cs="宋体"/>
                <w:b w:val="0"/>
                <w:bCs/>
                <w:color w:val="auto"/>
                <w:kern w:val="2"/>
                <w:sz w:val="24"/>
                <w:szCs w:val="24"/>
                <w:lang w:val="en-US" w:eastAsia="zh-CN" w:bidi="ar-SA"/>
              </w:rPr>
              <w:t>、本项无内容不得分。</w:t>
            </w:r>
          </w:p>
        </w:tc>
      </w:tr>
      <w:tr w14:paraId="085FA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95" w:hRule="atLeast"/>
        </w:trPr>
        <w:tc>
          <w:tcPr>
            <w:tcW w:w="917" w:type="dxa"/>
            <w:shd w:val="clear" w:color="auto" w:fill="auto"/>
            <w:noWrap w:val="0"/>
            <w:vAlign w:val="center"/>
          </w:tcPr>
          <w:p w14:paraId="5BE304F6">
            <w:pPr>
              <w:pStyle w:val="286"/>
              <w:keepNext w:val="0"/>
              <w:pageBreakBefore w:val="0"/>
              <w:widowControl w:val="0"/>
              <w:shd w:val="clear" w:color="auto" w:fill="auto"/>
              <w:kinsoku/>
              <w:wordWrap/>
              <w:overflowPunct/>
              <w:topLinePunct w:val="0"/>
              <w:autoSpaceDE w:val="0"/>
              <w:autoSpaceDN w:val="0"/>
              <w:bidi w:val="0"/>
              <w:adjustRightInd/>
              <w:snapToGrid/>
              <w:spacing w:before="0" w:line="360" w:lineRule="auto"/>
              <w:jc w:val="center"/>
              <w:textAlignment w:val="auto"/>
              <w:rPr>
                <w:rFonts w:hint="eastAsia" w:ascii="宋体" w:hAnsi="宋体" w:eastAsia="宋体" w:cs="宋体"/>
                <w:color w:val="auto"/>
                <w:sz w:val="24"/>
                <w:szCs w:val="24"/>
                <w:highlight w:val="none"/>
                <w:lang w:val="en-US" w:eastAsia="zh-CN"/>
              </w:rPr>
            </w:pPr>
          </w:p>
        </w:tc>
        <w:tc>
          <w:tcPr>
            <w:tcW w:w="1291" w:type="dxa"/>
            <w:shd w:val="clear" w:color="auto" w:fill="auto"/>
            <w:noWrap w:val="0"/>
            <w:vAlign w:val="center"/>
          </w:tcPr>
          <w:p w14:paraId="5650CCE9">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展销场地选择与布置</w:t>
            </w:r>
          </w:p>
          <w:p w14:paraId="67332BAE">
            <w:pPr>
              <w:pStyle w:val="286"/>
              <w:keepNext w:val="0"/>
              <w:pageBreakBefore w:val="0"/>
              <w:widowControl w:val="0"/>
              <w:shd w:val="clear" w:color="auto" w:fill="auto"/>
              <w:kinsoku/>
              <w:wordWrap/>
              <w:overflowPunct/>
              <w:topLinePunct w:val="0"/>
              <w:autoSpaceDE w:val="0"/>
              <w:autoSpaceDN w:val="0"/>
              <w:bidi w:val="0"/>
              <w:adjustRightInd/>
              <w:snapToGrid/>
              <w:spacing w:before="0" w:line="360" w:lineRule="auto"/>
              <w:ind w:left="10" w:leftChars="0" w:right="113" w:rightChars="0" w:firstLine="114"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kern w:val="2"/>
                <w:sz w:val="24"/>
                <w:szCs w:val="24"/>
                <w:lang w:val="en-US" w:eastAsia="zh-CN" w:bidi="ar-SA"/>
              </w:rPr>
              <w:t>（0-10）</w:t>
            </w:r>
          </w:p>
        </w:tc>
        <w:tc>
          <w:tcPr>
            <w:tcW w:w="7562" w:type="dxa"/>
            <w:shd w:val="clear" w:color="auto" w:fill="auto"/>
            <w:noWrap w:val="0"/>
            <w:vAlign w:val="center"/>
          </w:tcPr>
          <w:p w14:paraId="7A6572C9">
            <w:pPr>
              <w:spacing w:line="360" w:lineRule="auto"/>
              <w:rPr>
                <w:rFonts w:hint="eastAsia" w:ascii="宋体" w:hAnsi="宋体" w:eastAsia="宋体" w:cs="宋体"/>
                <w:sz w:val="24"/>
                <w:szCs w:val="24"/>
              </w:rPr>
            </w:pPr>
            <w:r>
              <w:rPr>
                <w:rFonts w:hint="eastAsia" w:ascii="宋体" w:hAnsi="宋体" w:eastAsia="宋体" w:cs="宋体"/>
                <w:b/>
                <w:bCs/>
                <w:sz w:val="24"/>
                <w:szCs w:val="24"/>
                <w:lang w:val="en-US" w:eastAsia="zh-CN"/>
              </w:rPr>
              <w:t>细化指标</w:t>
            </w:r>
            <w:r>
              <w:rPr>
                <w:rFonts w:hint="eastAsia" w:ascii="宋体" w:hAnsi="宋体" w:eastAsia="宋体" w:cs="宋体"/>
                <w:sz w:val="24"/>
                <w:szCs w:val="24"/>
                <w:lang w:val="en-US" w:eastAsia="zh-CN"/>
              </w:rPr>
              <w:t>：</w:t>
            </w:r>
            <w:r>
              <w:rPr>
                <w:rFonts w:hint="eastAsia" w:ascii="宋体" w:hAnsi="宋体" w:eastAsia="宋体" w:cs="宋体"/>
                <w:sz w:val="24"/>
                <w:szCs w:val="24"/>
              </w:rPr>
              <w:t>场地选择与布置对于营造良好展销氛围至关重要。本项评估将关注场地的适宜性和布置效果。具体标准如下：</w:t>
            </w:r>
          </w:p>
          <w:p w14:paraId="7E2135A7">
            <w:pPr>
              <w:spacing w:line="360" w:lineRule="auto"/>
              <w:rPr>
                <w:rFonts w:hint="eastAsia" w:ascii="宋体" w:hAnsi="宋体" w:eastAsia="宋体" w:cs="宋体"/>
                <w:sz w:val="24"/>
                <w:szCs w:val="24"/>
              </w:rPr>
            </w:pPr>
            <w:r>
              <w:rPr>
                <w:rFonts w:hint="eastAsia" w:ascii="宋体" w:hAnsi="宋体" w:eastAsia="宋体" w:cs="宋体"/>
                <w:sz w:val="24"/>
                <w:szCs w:val="24"/>
              </w:rPr>
              <w:t>1. 场地适宜性：评估场地是否满足展销会的需求，包括面积、设施、交通便利性等。</w:t>
            </w:r>
          </w:p>
          <w:p w14:paraId="3055FBB2">
            <w:pPr>
              <w:spacing w:line="360" w:lineRule="auto"/>
              <w:rPr>
                <w:rFonts w:hint="eastAsia" w:ascii="宋体" w:hAnsi="宋体" w:eastAsia="宋体" w:cs="宋体"/>
                <w:sz w:val="24"/>
                <w:szCs w:val="24"/>
              </w:rPr>
            </w:pPr>
            <w:r>
              <w:rPr>
                <w:rFonts w:hint="eastAsia" w:ascii="宋体" w:hAnsi="宋体" w:eastAsia="宋体" w:cs="宋体"/>
                <w:sz w:val="24"/>
                <w:szCs w:val="24"/>
              </w:rPr>
              <w:t>2. 布置效果：分析场地的布置是否美观、大气，能够体现展销会的主题和特色。</w:t>
            </w:r>
          </w:p>
          <w:p w14:paraId="6BE3E153">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量化指标</w:t>
            </w:r>
            <w:r>
              <w:rPr>
                <w:rFonts w:hint="eastAsia" w:ascii="宋体" w:hAnsi="宋体" w:eastAsia="宋体" w:cs="宋体"/>
                <w:color w:val="auto"/>
                <w:sz w:val="24"/>
                <w:szCs w:val="24"/>
                <w:highlight w:val="none"/>
                <w:lang w:val="en-US" w:eastAsia="zh-CN"/>
              </w:rPr>
              <w:t>:</w:t>
            </w:r>
          </w:p>
          <w:p w14:paraId="1448CE2A">
            <w:pPr>
              <w:spacing w:line="360" w:lineRule="auto"/>
              <w:rPr>
                <w:rFonts w:hint="eastAsia" w:ascii="宋体" w:hAnsi="宋体" w:eastAsia="宋体" w:cs="宋体"/>
                <w:sz w:val="24"/>
                <w:szCs w:val="24"/>
                <w:lang w:val="en-US" w:eastAsia="zh-CN"/>
              </w:rPr>
            </w:pP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 1 \* GB3 \* MERGEFORMAT </w:instrText>
            </w:r>
            <w:r>
              <w:rPr>
                <w:rFonts w:hint="eastAsia" w:ascii="宋体" w:hAnsi="宋体" w:eastAsia="宋体" w:cs="宋体"/>
                <w:color w:val="auto"/>
                <w:sz w:val="24"/>
                <w:szCs w:val="24"/>
                <w:highlight w:val="none"/>
                <w:lang w:val="en-US" w:eastAsia="zh-CN"/>
              </w:rPr>
              <w:fldChar w:fldCharType="separate"/>
            </w:r>
            <w:r>
              <w:rPr>
                <w:rFonts w:hint="eastAsia" w:ascii="宋体" w:hAnsi="宋体" w:eastAsia="宋体" w:cs="宋体"/>
                <w:sz w:val="24"/>
                <w:szCs w:val="24"/>
              </w:rPr>
              <w:t>①</w:t>
            </w:r>
            <w:r>
              <w:rPr>
                <w:rFonts w:hint="eastAsia" w:ascii="宋体" w:hAnsi="宋体" w:eastAsia="宋体" w:cs="宋体"/>
                <w:color w:val="auto"/>
                <w:sz w:val="24"/>
                <w:szCs w:val="24"/>
                <w:highlight w:val="none"/>
                <w:lang w:val="en-US" w:eastAsia="zh-CN"/>
              </w:rPr>
              <w:fldChar w:fldCharType="end"/>
            </w:r>
            <w:r>
              <w:rPr>
                <w:rFonts w:hint="eastAsia" w:ascii="宋体" w:hAnsi="宋体" w:eastAsia="宋体" w:cs="宋体"/>
                <w:sz w:val="24"/>
                <w:szCs w:val="24"/>
              </w:rPr>
              <w:t>场地面积、设施、</w:t>
            </w:r>
            <w:r>
              <w:rPr>
                <w:rFonts w:hint="eastAsia" w:ascii="宋体" w:hAnsi="宋体" w:eastAsia="宋体" w:cs="宋体"/>
                <w:sz w:val="24"/>
                <w:szCs w:val="24"/>
                <w:lang w:val="en-US" w:eastAsia="zh-CN"/>
              </w:rPr>
              <w:t>场地所处位置</w:t>
            </w:r>
            <w:r>
              <w:rPr>
                <w:rFonts w:hint="eastAsia" w:ascii="宋体" w:hAnsi="宋体" w:eastAsia="宋体" w:cs="宋体"/>
                <w:sz w:val="24"/>
                <w:szCs w:val="24"/>
              </w:rPr>
              <w:t>便利性满足展销会的需求，场地的布置美观、大气，能够体现展销会的主题和特色。</w:t>
            </w:r>
            <w:r>
              <w:rPr>
                <w:rFonts w:hint="eastAsia" w:ascii="宋体" w:hAnsi="宋体" w:eastAsia="宋体" w:cs="宋体"/>
                <w:sz w:val="24"/>
                <w:szCs w:val="24"/>
                <w:lang w:val="en-US" w:eastAsia="zh-CN"/>
              </w:rPr>
              <w:t>本项得10分</w:t>
            </w:r>
          </w:p>
          <w:p w14:paraId="0FD15123">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 2 \* GB3 \* MERGEFORMAT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②</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rPr>
              <w:t>场地面积、设施满足展销会的需求，</w:t>
            </w:r>
            <w:r>
              <w:rPr>
                <w:rFonts w:hint="eastAsia" w:ascii="宋体" w:hAnsi="宋体" w:eastAsia="宋体" w:cs="宋体"/>
                <w:sz w:val="24"/>
                <w:szCs w:val="24"/>
                <w:lang w:val="en-US" w:eastAsia="zh-CN"/>
              </w:rPr>
              <w:t>场地位置不是太理想，</w:t>
            </w:r>
            <w:r>
              <w:rPr>
                <w:rFonts w:hint="eastAsia" w:ascii="宋体" w:hAnsi="宋体" w:eastAsia="宋体" w:cs="宋体"/>
                <w:sz w:val="24"/>
                <w:szCs w:val="24"/>
              </w:rPr>
              <w:t>场地的布置</w:t>
            </w:r>
            <w:r>
              <w:rPr>
                <w:rFonts w:hint="eastAsia" w:ascii="宋体" w:hAnsi="宋体" w:eastAsia="宋体" w:cs="宋体"/>
                <w:sz w:val="24"/>
                <w:szCs w:val="24"/>
                <w:lang w:val="en-US" w:eastAsia="zh-CN"/>
              </w:rPr>
              <w:t>色彩把握基本到位</w:t>
            </w:r>
            <w:r>
              <w:rPr>
                <w:rFonts w:hint="eastAsia" w:ascii="宋体" w:hAnsi="宋体" w:eastAsia="宋体" w:cs="宋体"/>
                <w:sz w:val="24"/>
                <w:szCs w:val="24"/>
              </w:rPr>
              <w:t>、能够体现展销会的主题和特色。</w:t>
            </w:r>
            <w:r>
              <w:rPr>
                <w:rFonts w:hint="eastAsia" w:ascii="宋体" w:hAnsi="宋体" w:eastAsia="宋体" w:cs="宋体"/>
                <w:sz w:val="24"/>
                <w:szCs w:val="24"/>
                <w:lang w:val="en-US" w:eastAsia="zh-CN"/>
              </w:rPr>
              <w:t>本项得8分</w:t>
            </w:r>
          </w:p>
          <w:p w14:paraId="7C5B1BC1">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 3 \* GB3 \* MERGEFORMAT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③</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rPr>
              <w:t>场地面积、设施满足展销会的需求，</w:t>
            </w:r>
            <w:r>
              <w:rPr>
                <w:rFonts w:hint="eastAsia" w:ascii="宋体" w:hAnsi="宋体" w:eastAsia="宋体" w:cs="宋体"/>
                <w:sz w:val="24"/>
                <w:szCs w:val="24"/>
                <w:lang w:val="en-US" w:eastAsia="zh-CN"/>
              </w:rPr>
              <w:t>场地位置不理想，</w:t>
            </w:r>
            <w:r>
              <w:rPr>
                <w:rFonts w:hint="eastAsia" w:ascii="宋体" w:hAnsi="宋体" w:eastAsia="宋体" w:cs="宋体"/>
                <w:sz w:val="24"/>
                <w:szCs w:val="24"/>
              </w:rPr>
              <w:t>场地的布置</w:t>
            </w:r>
            <w:r>
              <w:rPr>
                <w:rFonts w:hint="eastAsia" w:ascii="宋体" w:hAnsi="宋体" w:eastAsia="宋体" w:cs="宋体"/>
                <w:sz w:val="24"/>
                <w:szCs w:val="24"/>
                <w:lang w:val="en-US" w:eastAsia="zh-CN"/>
              </w:rPr>
              <w:t>色彩与要推广的产品不相匹配，不能够突显</w:t>
            </w:r>
            <w:r>
              <w:rPr>
                <w:rFonts w:hint="eastAsia" w:ascii="宋体" w:hAnsi="宋体" w:eastAsia="宋体" w:cs="宋体"/>
                <w:sz w:val="24"/>
                <w:szCs w:val="24"/>
              </w:rPr>
              <w:t>展销会的主题和特色。</w:t>
            </w:r>
            <w:r>
              <w:rPr>
                <w:rFonts w:hint="eastAsia" w:ascii="宋体" w:hAnsi="宋体" w:eastAsia="宋体" w:cs="宋体"/>
                <w:sz w:val="24"/>
                <w:szCs w:val="24"/>
                <w:lang w:val="en-US" w:eastAsia="zh-CN"/>
              </w:rPr>
              <w:t>本项得6分</w:t>
            </w:r>
          </w:p>
          <w:p w14:paraId="07923A42">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color w:val="auto"/>
                <w:kern w:val="2"/>
                <w:sz w:val="24"/>
                <w:szCs w:val="24"/>
                <w:lang w:val="en-US" w:eastAsia="zh-CN" w:bidi="ar-SA"/>
              </w:rPr>
              <w:fldChar w:fldCharType="begin"/>
            </w:r>
            <w:r>
              <w:rPr>
                <w:rFonts w:hint="eastAsia" w:ascii="宋体" w:hAnsi="宋体" w:eastAsia="宋体" w:cs="宋体"/>
                <w:b w:val="0"/>
                <w:bCs/>
                <w:color w:val="auto"/>
                <w:kern w:val="2"/>
                <w:sz w:val="24"/>
                <w:szCs w:val="24"/>
                <w:lang w:val="en-US" w:eastAsia="zh-CN" w:bidi="ar-SA"/>
              </w:rPr>
              <w:instrText xml:space="preserve"> = 4 \* GB3 \* MERGEFORMAT </w:instrText>
            </w:r>
            <w:r>
              <w:rPr>
                <w:rFonts w:hint="eastAsia" w:ascii="宋体" w:hAnsi="宋体" w:eastAsia="宋体" w:cs="宋体"/>
                <w:b w:val="0"/>
                <w:bCs/>
                <w:color w:val="auto"/>
                <w:kern w:val="2"/>
                <w:sz w:val="24"/>
                <w:szCs w:val="24"/>
                <w:lang w:val="en-US" w:eastAsia="zh-CN" w:bidi="ar-SA"/>
              </w:rPr>
              <w:fldChar w:fldCharType="separate"/>
            </w:r>
            <w:r>
              <w:rPr>
                <w:rFonts w:hint="eastAsia" w:ascii="宋体" w:hAnsi="宋体" w:eastAsia="宋体" w:cs="宋体"/>
                <w:b w:val="0"/>
                <w:bCs/>
                <w:color w:val="auto"/>
                <w:kern w:val="2"/>
                <w:sz w:val="24"/>
                <w:szCs w:val="24"/>
                <w:lang w:val="en-US" w:eastAsia="zh-CN" w:bidi="ar-SA"/>
              </w:rPr>
              <w:t>④</w:t>
            </w:r>
            <w:r>
              <w:rPr>
                <w:rFonts w:hint="eastAsia" w:ascii="宋体" w:hAnsi="宋体" w:eastAsia="宋体" w:cs="宋体"/>
                <w:b w:val="0"/>
                <w:bCs/>
                <w:color w:val="auto"/>
                <w:kern w:val="2"/>
                <w:sz w:val="24"/>
                <w:szCs w:val="24"/>
                <w:lang w:val="en-US" w:eastAsia="zh-CN" w:bidi="ar-SA"/>
              </w:rPr>
              <w:fldChar w:fldCharType="end"/>
            </w:r>
            <w:r>
              <w:rPr>
                <w:rFonts w:hint="eastAsia" w:ascii="宋体" w:hAnsi="宋体" w:eastAsia="宋体" w:cs="宋体"/>
                <w:b w:val="0"/>
                <w:bCs/>
                <w:color w:val="auto"/>
                <w:kern w:val="2"/>
                <w:sz w:val="24"/>
                <w:szCs w:val="24"/>
                <w:lang w:val="en-US" w:eastAsia="zh-CN" w:bidi="ar-SA"/>
              </w:rPr>
              <w:t>、本项无内容不得分。</w:t>
            </w:r>
          </w:p>
        </w:tc>
      </w:tr>
    </w:tbl>
    <w:p w14:paraId="55883468">
      <w:pPr>
        <w:pStyle w:val="36"/>
        <w:spacing w:line="240" w:lineRule="auto"/>
        <w:ind w:left="0" w:leftChars="0" w:firstLine="0" w:firstLineChars="0"/>
        <w:rPr>
          <w:rFonts w:hint="eastAsia"/>
          <w:b/>
          <w:color w:val="auto"/>
          <w:sz w:val="24"/>
          <w:szCs w:val="24"/>
        </w:rPr>
      </w:pPr>
    </w:p>
    <w:p w14:paraId="69155229">
      <w:pPr>
        <w:pStyle w:val="36"/>
        <w:spacing w:line="240" w:lineRule="auto"/>
        <w:ind w:left="0" w:leftChars="0" w:firstLine="0" w:firstLineChars="0"/>
        <w:rPr>
          <w:b/>
          <w:color w:val="auto"/>
          <w:sz w:val="24"/>
          <w:szCs w:val="24"/>
        </w:rPr>
      </w:pPr>
      <w:r>
        <w:rPr>
          <w:rFonts w:hint="eastAsia"/>
          <w:b/>
          <w:color w:val="auto"/>
          <w:sz w:val="24"/>
          <w:szCs w:val="24"/>
        </w:rPr>
        <w:t>五、成交：</w:t>
      </w:r>
    </w:p>
    <w:p w14:paraId="5512F37A">
      <w:pPr>
        <w:spacing w:line="360" w:lineRule="auto"/>
        <w:ind w:firstLine="496" w:firstLineChars="200"/>
        <w:rPr>
          <w:rFonts w:hAnsi="宋体"/>
          <w:color w:val="auto"/>
          <w:spacing w:val="4"/>
          <w:szCs w:val="24"/>
        </w:rPr>
      </w:pPr>
      <w:r>
        <w:rPr>
          <w:rFonts w:hAnsi="宋体"/>
          <w:color w:val="auto"/>
          <w:spacing w:val="4"/>
          <w:szCs w:val="24"/>
        </w:rPr>
        <w:t>1</w:t>
      </w:r>
      <w:r>
        <w:rPr>
          <w:rFonts w:hint="eastAsia" w:hAnsi="宋体"/>
          <w:color w:val="auto"/>
          <w:spacing w:val="4"/>
          <w:szCs w:val="24"/>
        </w:rPr>
        <w:t>、磋商结果报告由磋商小组全体成员签字确认。</w:t>
      </w:r>
    </w:p>
    <w:p w14:paraId="75577FC4">
      <w:pPr>
        <w:spacing w:line="360" w:lineRule="auto"/>
        <w:ind w:firstLine="496" w:firstLineChars="200"/>
        <w:rPr>
          <w:rFonts w:hAnsi="宋体"/>
          <w:color w:val="auto"/>
          <w:spacing w:val="4"/>
          <w:szCs w:val="24"/>
        </w:rPr>
      </w:pPr>
      <w:r>
        <w:rPr>
          <w:rFonts w:hAnsi="宋体"/>
          <w:color w:val="auto"/>
          <w:spacing w:val="4"/>
          <w:szCs w:val="24"/>
        </w:rPr>
        <w:t>2</w:t>
      </w:r>
      <w:r>
        <w:rPr>
          <w:rFonts w:hint="eastAsia" w:hAnsi="宋体"/>
          <w:color w:val="auto"/>
          <w:spacing w:val="4"/>
          <w:szCs w:val="24"/>
        </w:rPr>
        <w:t>、采购人根据磋商结果报告中推荐的成交候选人确定成交供应商，以复函通知采购代理机构。</w:t>
      </w:r>
    </w:p>
    <w:p w14:paraId="037BC9A3">
      <w:pPr>
        <w:pStyle w:val="36"/>
        <w:spacing w:line="360" w:lineRule="auto"/>
        <w:ind w:left="0" w:leftChars="0" w:firstLine="446"/>
        <w:rPr>
          <w:rFonts w:hint="eastAsia"/>
          <w:b/>
          <w:color w:val="auto"/>
          <w:sz w:val="24"/>
          <w:szCs w:val="24"/>
        </w:rPr>
      </w:pPr>
      <w:r>
        <w:rPr>
          <w:rFonts w:hint="eastAsia"/>
          <w:b/>
          <w:color w:val="auto"/>
          <w:sz w:val="24"/>
          <w:szCs w:val="24"/>
        </w:rPr>
        <w:t>注：评审办法中要求提供原件</w:t>
      </w:r>
      <w:r>
        <w:rPr>
          <w:rFonts w:hint="eastAsia"/>
          <w:b/>
          <w:color w:val="auto"/>
          <w:sz w:val="24"/>
          <w:szCs w:val="24"/>
          <w:lang w:eastAsia="zh-CN"/>
        </w:rPr>
        <w:t>的</w:t>
      </w:r>
      <w:r>
        <w:rPr>
          <w:rFonts w:hint="eastAsia"/>
          <w:b/>
          <w:color w:val="auto"/>
          <w:sz w:val="24"/>
          <w:szCs w:val="24"/>
        </w:rPr>
        <w:t>得分项，供应商如提供原件的同时须在磋商响应文件中附相应的复印件或扫描件。</w:t>
      </w:r>
    </w:p>
    <w:p w14:paraId="3E747A57">
      <w:pPr>
        <w:spacing w:line="520" w:lineRule="exact"/>
        <w:rPr>
          <w:rFonts w:hint="eastAsia" w:hAnsi="宋体"/>
          <w:b/>
          <w:bCs/>
          <w:color w:val="auto"/>
          <w:spacing w:val="4"/>
          <w:kern w:val="2"/>
          <w:szCs w:val="24"/>
        </w:rPr>
      </w:pPr>
      <w:r>
        <w:rPr>
          <w:rFonts w:hint="eastAsia" w:hAnsi="宋体"/>
          <w:b/>
          <w:bCs/>
          <w:color w:val="auto"/>
          <w:spacing w:val="4"/>
          <w:kern w:val="2"/>
          <w:szCs w:val="24"/>
        </w:rPr>
        <w:t>六、特殊情况的处理</w:t>
      </w:r>
    </w:p>
    <w:p w14:paraId="2C82DF2F">
      <w:pPr>
        <w:spacing w:line="520" w:lineRule="exact"/>
        <w:ind w:firstLine="496" w:firstLineChars="200"/>
        <w:rPr>
          <w:rFonts w:hint="eastAsia" w:hAnsi="宋体"/>
          <w:color w:val="auto"/>
          <w:spacing w:val="4"/>
          <w:kern w:val="2"/>
          <w:szCs w:val="24"/>
        </w:rPr>
      </w:pPr>
      <w:r>
        <w:rPr>
          <w:rFonts w:hint="eastAsia" w:hAnsi="宋体"/>
          <w:color w:val="auto"/>
          <w:spacing w:val="4"/>
          <w:kern w:val="2"/>
          <w:szCs w:val="24"/>
        </w:rPr>
        <w:t>磋商过程中，若出现本评审方法以外的特殊情况时，将暂停评审，待磋商小组商榷后，再进行评定。</w:t>
      </w:r>
    </w:p>
    <w:p w14:paraId="3379783E">
      <w:pPr>
        <w:pStyle w:val="36"/>
        <w:spacing w:line="360" w:lineRule="auto"/>
        <w:ind w:left="708" w:firstLine="446"/>
        <w:rPr>
          <w:rFonts w:hint="eastAsia"/>
          <w:b/>
          <w:color w:val="auto"/>
          <w:sz w:val="24"/>
          <w:szCs w:val="24"/>
        </w:rPr>
      </w:pPr>
    </w:p>
    <w:p w14:paraId="16CFFB4B">
      <w:pPr>
        <w:pStyle w:val="36"/>
        <w:spacing w:line="360" w:lineRule="auto"/>
        <w:ind w:left="708" w:firstLine="446"/>
        <w:rPr>
          <w:rFonts w:hint="eastAsia"/>
          <w:b/>
          <w:color w:val="auto"/>
          <w:sz w:val="24"/>
          <w:szCs w:val="24"/>
        </w:rPr>
      </w:pPr>
    </w:p>
    <w:p w14:paraId="29F7AEE0">
      <w:pPr>
        <w:pStyle w:val="36"/>
        <w:spacing w:line="360" w:lineRule="auto"/>
        <w:ind w:left="708" w:firstLine="446"/>
        <w:rPr>
          <w:rFonts w:hint="eastAsia"/>
          <w:b/>
          <w:color w:val="auto"/>
          <w:sz w:val="24"/>
          <w:szCs w:val="24"/>
        </w:rPr>
      </w:pPr>
    </w:p>
    <w:p w14:paraId="5DB073C4">
      <w:pPr>
        <w:pStyle w:val="36"/>
        <w:spacing w:line="360" w:lineRule="auto"/>
        <w:ind w:left="708" w:firstLine="446"/>
        <w:rPr>
          <w:rFonts w:hint="eastAsia"/>
          <w:b/>
          <w:color w:val="auto"/>
          <w:sz w:val="24"/>
          <w:szCs w:val="24"/>
        </w:rPr>
      </w:pPr>
    </w:p>
    <w:p w14:paraId="60C81D00">
      <w:pPr>
        <w:pStyle w:val="36"/>
        <w:spacing w:line="360" w:lineRule="auto"/>
        <w:ind w:left="708" w:firstLine="446"/>
        <w:rPr>
          <w:rFonts w:hint="eastAsia"/>
          <w:b/>
          <w:color w:val="auto"/>
          <w:sz w:val="24"/>
          <w:szCs w:val="24"/>
        </w:rPr>
      </w:pPr>
    </w:p>
    <w:p w14:paraId="2DF86D3D">
      <w:pPr>
        <w:pStyle w:val="36"/>
        <w:spacing w:line="360" w:lineRule="auto"/>
        <w:ind w:left="708" w:firstLine="446"/>
        <w:rPr>
          <w:rFonts w:hint="eastAsia"/>
          <w:b/>
          <w:color w:val="auto"/>
          <w:sz w:val="24"/>
          <w:szCs w:val="24"/>
        </w:rPr>
      </w:pPr>
    </w:p>
    <w:p w14:paraId="555A2EF6">
      <w:pPr>
        <w:pStyle w:val="36"/>
        <w:spacing w:line="360" w:lineRule="auto"/>
        <w:ind w:left="708" w:firstLine="446"/>
        <w:rPr>
          <w:rFonts w:hint="eastAsia"/>
          <w:b/>
          <w:color w:val="auto"/>
          <w:sz w:val="24"/>
          <w:szCs w:val="24"/>
        </w:rPr>
      </w:pPr>
    </w:p>
    <w:p w14:paraId="0AC9D190">
      <w:pPr>
        <w:pStyle w:val="36"/>
        <w:spacing w:line="360" w:lineRule="auto"/>
        <w:ind w:left="708" w:firstLine="446"/>
        <w:rPr>
          <w:rFonts w:hint="eastAsia"/>
          <w:b/>
          <w:color w:val="auto"/>
          <w:sz w:val="24"/>
          <w:szCs w:val="24"/>
        </w:rPr>
      </w:pPr>
    </w:p>
    <w:p w14:paraId="7E6DC93E">
      <w:pPr>
        <w:pStyle w:val="36"/>
        <w:spacing w:line="360" w:lineRule="auto"/>
        <w:ind w:left="708" w:firstLine="446"/>
        <w:rPr>
          <w:rFonts w:hint="eastAsia"/>
          <w:b/>
          <w:color w:val="auto"/>
          <w:sz w:val="24"/>
          <w:szCs w:val="24"/>
        </w:rPr>
      </w:pPr>
    </w:p>
    <w:p w14:paraId="2810A3AA">
      <w:pPr>
        <w:pStyle w:val="36"/>
        <w:spacing w:line="360" w:lineRule="auto"/>
        <w:ind w:left="708" w:firstLine="446"/>
        <w:rPr>
          <w:rFonts w:hint="eastAsia"/>
          <w:b/>
          <w:color w:val="auto"/>
          <w:sz w:val="24"/>
          <w:szCs w:val="24"/>
        </w:rPr>
      </w:pPr>
    </w:p>
    <w:bookmarkEnd w:id="43"/>
    <w:bookmarkEnd w:id="56"/>
    <w:bookmarkEnd w:id="57"/>
    <w:bookmarkEnd w:id="58"/>
    <w:bookmarkEnd w:id="59"/>
    <w:bookmarkEnd w:id="60"/>
    <w:bookmarkEnd w:id="61"/>
    <w:bookmarkEnd w:id="62"/>
    <w:p w14:paraId="42C24D29">
      <w:pPr>
        <w:pStyle w:val="3"/>
        <w:numPr>
          <w:ilvl w:val="0"/>
          <w:numId w:val="0"/>
        </w:numPr>
        <w:jc w:val="center"/>
        <w:rPr>
          <w:rFonts w:hint="eastAsia" w:ascii="宋体" w:eastAsia="宋体"/>
          <w:bCs/>
          <w:color w:val="auto"/>
          <w:sz w:val="36"/>
          <w:szCs w:val="36"/>
        </w:rPr>
      </w:pPr>
      <w:bookmarkStart w:id="63" w:name="_Toc16809"/>
      <w:r>
        <w:rPr>
          <w:rFonts w:hint="eastAsia" w:ascii="宋体" w:eastAsia="宋体"/>
          <w:bCs/>
          <w:color w:val="auto"/>
          <w:sz w:val="36"/>
          <w:szCs w:val="36"/>
        </w:rPr>
        <w:t>第</w:t>
      </w:r>
      <w:r>
        <w:rPr>
          <w:rFonts w:hint="eastAsia" w:ascii="宋体" w:eastAsia="宋体"/>
          <w:bCs/>
          <w:color w:val="auto"/>
          <w:sz w:val="36"/>
          <w:szCs w:val="36"/>
          <w:lang w:eastAsia="zh-CN"/>
        </w:rPr>
        <w:t>六</w:t>
      </w:r>
      <w:r>
        <w:rPr>
          <w:rFonts w:hint="eastAsia" w:ascii="宋体" w:eastAsia="宋体"/>
          <w:bCs/>
          <w:color w:val="auto"/>
          <w:sz w:val="36"/>
          <w:szCs w:val="36"/>
        </w:rPr>
        <w:t xml:space="preserve">章 </w:t>
      </w:r>
      <w:r>
        <w:rPr>
          <w:rFonts w:hint="eastAsia" w:ascii="宋体" w:eastAsia="宋体"/>
          <w:bCs/>
          <w:color w:val="auto"/>
          <w:sz w:val="36"/>
          <w:szCs w:val="36"/>
          <w:lang w:eastAsia="zh-CN"/>
        </w:rPr>
        <w:t>竞争性磋商响应文件</w:t>
      </w:r>
      <w:r>
        <w:rPr>
          <w:rFonts w:hint="eastAsia" w:ascii="宋体" w:eastAsia="宋体"/>
          <w:bCs/>
          <w:color w:val="auto"/>
          <w:sz w:val="36"/>
          <w:szCs w:val="36"/>
        </w:rPr>
        <w:t>构成及格式</w:t>
      </w:r>
      <w:bookmarkEnd w:id="63"/>
      <w:bookmarkStart w:id="64" w:name="_Toc347478745"/>
      <w:bookmarkStart w:id="65" w:name="_Toc334522290"/>
    </w:p>
    <w:p w14:paraId="531D0DC8">
      <w:pPr>
        <w:spacing w:line="360" w:lineRule="auto"/>
        <w:jc w:val="left"/>
        <w:rPr>
          <w:rFonts w:hint="eastAsia" w:ascii="宋体" w:hAnsi="宋体" w:cs="宋体"/>
          <w:b/>
          <w:color w:val="auto"/>
          <w:sz w:val="32"/>
        </w:rPr>
      </w:pPr>
      <w:r>
        <w:rPr>
          <w:rFonts w:hint="eastAsia" w:ascii="宋体" w:hAnsi="宋体" w:cs="宋体"/>
          <w:b/>
          <w:color w:val="auto"/>
          <w:sz w:val="32"/>
        </w:rPr>
        <w:t xml:space="preserve">采购项目编号：                      </w:t>
      </w:r>
    </w:p>
    <w:p w14:paraId="221BFBAE">
      <w:pPr>
        <w:spacing w:line="360" w:lineRule="auto"/>
        <w:jc w:val="right"/>
        <w:rPr>
          <w:rFonts w:hint="eastAsia" w:ascii="宋体" w:hAnsi="宋体" w:cs="宋体"/>
          <w:b/>
          <w:color w:val="auto"/>
          <w:sz w:val="32"/>
        </w:rPr>
      </w:pPr>
      <w:r>
        <w:rPr>
          <w:rFonts w:hint="eastAsia" w:ascii="宋体" w:hAnsi="宋体" w:cs="宋体"/>
          <w:b/>
          <w:color w:val="auto"/>
          <w:sz w:val="32"/>
        </w:rPr>
        <w:t>（正/副本）</w:t>
      </w:r>
    </w:p>
    <w:p w14:paraId="19ECB21C">
      <w:pPr>
        <w:rPr>
          <w:rFonts w:hint="eastAsia" w:ascii="宋体" w:hAnsi="宋体" w:cs="宋体"/>
          <w:color w:val="auto"/>
        </w:rPr>
      </w:pPr>
    </w:p>
    <w:p w14:paraId="643E6FC0">
      <w:pPr>
        <w:rPr>
          <w:rFonts w:hint="eastAsia" w:ascii="宋体" w:hAnsi="宋体" w:cs="宋体"/>
          <w:color w:val="auto"/>
        </w:rPr>
      </w:pPr>
    </w:p>
    <w:p w14:paraId="41E4E441">
      <w:pPr>
        <w:rPr>
          <w:rFonts w:hint="eastAsia" w:ascii="宋体" w:hAnsi="宋体" w:cs="宋体"/>
          <w:color w:val="auto"/>
        </w:rPr>
      </w:pPr>
    </w:p>
    <w:p w14:paraId="38C33082">
      <w:pPr>
        <w:rPr>
          <w:rFonts w:hint="eastAsia" w:ascii="宋体" w:hAnsi="宋体" w:cs="宋体"/>
          <w:color w:val="auto"/>
        </w:rPr>
      </w:pPr>
    </w:p>
    <w:p w14:paraId="00CC4DA7">
      <w:pPr>
        <w:spacing w:line="360" w:lineRule="auto"/>
        <w:jc w:val="center"/>
        <w:rPr>
          <w:rFonts w:hint="eastAsia" w:ascii="宋体" w:hAnsi="宋体" w:cs="宋体"/>
          <w:b/>
          <w:bCs/>
          <w:color w:val="auto"/>
          <w:sz w:val="52"/>
          <w:szCs w:val="52"/>
        </w:rPr>
      </w:pPr>
      <w:r>
        <w:rPr>
          <w:rFonts w:hint="eastAsia" w:ascii="宋体" w:hAnsi="宋体" w:cs="宋体"/>
          <w:b/>
          <w:bCs/>
          <w:color w:val="auto"/>
          <w:sz w:val="52"/>
          <w:szCs w:val="52"/>
          <w:u w:val="single"/>
        </w:rPr>
        <w:t xml:space="preserve">                         </w:t>
      </w:r>
      <w:r>
        <w:rPr>
          <w:rFonts w:hint="eastAsia" w:ascii="宋体" w:hAnsi="宋体" w:cs="宋体"/>
          <w:b/>
          <w:bCs/>
          <w:color w:val="auto"/>
          <w:sz w:val="52"/>
          <w:szCs w:val="52"/>
        </w:rPr>
        <w:t>项目</w:t>
      </w:r>
    </w:p>
    <w:p w14:paraId="41D74BE0">
      <w:pPr>
        <w:spacing w:line="360" w:lineRule="auto"/>
        <w:rPr>
          <w:rFonts w:hint="eastAsia" w:ascii="宋体" w:hAnsi="宋体" w:cs="宋体"/>
          <w:b/>
          <w:bCs/>
          <w:color w:val="auto"/>
          <w:sz w:val="66"/>
          <w:szCs w:val="48"/>
        </w:rPr>
      </w:pPr>
    </w:p>
    <w:p w14:paraId="500C63CC">
      <w:pPr>
        <w:spacing w:line="360" w:lineRule="auto"/>
        <w:jc w:val="center"/>
        <w:rPr>
          <w:rFonts w:hint="eastAsia" w:ascii="宋体" w:hAnsi="宋体" w:cs="宋体"/>
          <w:b/>
          <w:bCs/>
          <w:color w:val="auto"/>
          <w:sz w:val="66"/>
          <w:szCs w:val="48"/>
        </w:rPr>
      </w:pPr>
      <w:r>
        <w:rPr>
          <w:rFonts w:hint="eastAsia" w:ascii="宋体" w:hAnsi="宋体" w:cs="宋体"/>
          <w:b/>
          <w:bCs/>
          <w:color w:val="auto"/>
          <w:sz w:val="84"/>
          <w:szCs w:val="84"/>
          <w:lang w:eastAsia="zh-CN"/>
        </w:rPr>
        <w:t>竞争性磋商响应</w:t>
      </w:r>
      <w:r>
        <w:rPr>
          <w:rFonts w:hint="eastAsia" w:ascii="宋体" w:hAnsi="宋体" w:cs="宋体"/>
          <w:b/>
          <w:bCs/>
          <w:color w:val="auto"/>
          <w:sz w:val="84"/>
          <w:szCs w:val="84"/>
        </w:rPr>
        <w:t>文件</w:t>
      </w:r>
      <w:r>
        <w:rPr>
          <w:rFonts w:hint="eastAsia" w:ascii="宋体" w:hAnsi="宋体" w:cs="宋体"/>
          <w:b/>
          <w:bCs/>
          <w:color w:val="auto"/>
          <w:sz w:val="66"/>
          <w:szCs w:val="48"/>
        </w:rPr>
        <w:t xml:space="preserve"> </w:t>
      </w:r>
    </w:p>
    <w:p w14:paraId="6129843C">
      <w:pPr>
        <w:spacing w:line="360" w:lineRule="auto"/>
        <w:jc w:val="center"/>
        <w:rPr>
          <w:rFonts w:hint="eastAsia" w:ascii="宋体" w:hAnsi="宋体" w:cs="宋体"/>
          <w:b/>
          <w:color w:val="auto"/>
          <w:sz w:val="32"/>
        </w:rPr>
      </w:pPr>
    </w:p>
    <w:p w14:paraId="2DF51654">
      <w:pPr>
        <w:spacing w:line="360" w:lineRule="auto"/>
        <w:rPr>
          <w:rFonts w:hint="eastAsia" w:ascii="宋体" w:hAnsi="宋体" w:cs="宋体"/>
          <w:b/>
          <w:color w:val="auto"/>
          <w:sz w:val="32"/>
        </w:rPr>
      </w:pPr>
    </w:p>
    <w:p w14:paraId="501357D3">
      <w:pPr>
        <w:spacing w:line="360" w:lineRule="auto"/>
        <w:rPr>
          <w:rFonts w:hint="eastAsia" w:ascii="宋体" w:hAnsi="宋体" w:cs="宋体"/>
          <w:b/>
          <w:color w:val="auto"/>
          <w:sz w:val="32"/>
        </w:rPr>
      </w:pPr>
    </w:p>
    <w:p w14:paraId="23184945">
      <w:pPr>
        <w:spacing w:line="360" w:lineRule="auto"/>
        <w:jc w:val="center"/>
        <w:rPr>
          <w:rFonts w:hint="eastAsia" w:ascii="宋体" w:hAnsi="宋体" w:cs="宋体"/>
          <w:b/>
          <w:color w:val="auto"/>
          <w:sz w:val="32"/>
        </w:rPr>
      </w:pPr>
    </w:p>
    <w:p w14:paraId="4D377501">
      <w:pPr>
        <w:pStyle w:val="12"/>
        <w:rPr>
          <w:rFonts w:hint="eastAsia"/>
          <w:color w:val="auto"/>
        </w:rPr>
      </w:pPr>
    </w:p>
    <w:p w14:paraId="134BCDA5">
      <w:pPr>
        <w:spacing w:line="360" w:lineRule="auto"/>
        <w:ind w:firstLine="964" w:firstLineChars="300"/>
        <w:rPr>
          <w:rFonts w:hint="eastAsia" w:ascii="宋体" w:hAnsi="宋体" w:cs="宋体"/>
          <w:b/>
          <w:color w:val="auto"/>
          <w:sz w:val="32"/>
          <w:szCs w:val="32"/>
          <w:u w:val="single"/>
        </w:rPr>
      </w:pPr>
      <w:r>
        <w:rPr>
          <w:rFonts w:hint="eastAsia" w:ascii="宋体" w:hAnsi="宋体" w:cs="宋体"/>
          <w:b/>
          <w:color w:val="auto"/>
          <w:sz w:val="32"/>
          <w:szCs w:val="32"/>
        </w:rPr>
        <w:t>投标人：</w:t>
      </w:r>
      <w:r>
        <w:rPr>
          <w:rFonts w:hint="eastAsia" w:ascii="宋体" w:hAnsi="宋体" w:cs="宋体"/>
          <w:b/>
          <w:color w:val="auto"/>
          <w:sz w:val="32"/>
          <w:szCs w:val="32"/>
          <w:u w:val="single"/>
        </w:rPr>
        <w:t xml:space="preserve"> (公司名称、加盖公章)             </w:t>
      </w:r>
    </w:p>
    <w:p w14:paraId="66C1AD69">
      <w:pPr>
        <w:spacing w:line="360" w:lineRule="auto"/>
        <w:jc w:val="center"/>
        <w:rPr>
          <w:rFonts w:hint="eastAsia" w:ascii="宋体" w:hAnsi="宋体" w:cs="宋体"/>
          <w:b/>
          <w:color w:val="auto"/>
          <w:sz w:val="32"/>
          <w:szCs w:val="32"/>
          <w:u w:val="single"/>
        </w:rPr>
      </w:pPr>
    </w:p>
    <w:p w14:paraId="6A3BB254">
      <w:pPr>
        <w:spacing w:line="360" w:lineRule="auto"/>
        <w:jc w:val="left"/>
        <w:rPr>
          <w:rFonts w:hint="eastAsia" w:ascii="宋体" w:hAnsi="宋体" w:cs="宋体"/>
          <w:b/>
          <w:color w:val="auto"/>
          <w:sz w:val="32"/>
          <w:szCs w:val="32"/>
          <w:u w:val="single"/>
        </w:rPr>
      </w:pPr>
      <w:r>
        <w:rPr>
          <w:rFonts w:hint="eastAsia" w:ascii="宋体" w:hAnsi="宋体" w:cs="宋体"/>
          <w:b/>
          <w:color w:val="auto"/>
          <w:sz w:val="32"/>
          <w:szCs w:val="32"/>
        </w:rPr>
        <w:t xml:space="preserve">      投标人法人或授权委托人（签字或盖章）：</w:t>
      </w:r>
      <w:r>
        <w:rPr>
          <w:rFonts w:hint="eastAsia" w:ascii="宋体" w:hAnsi="宋体" w:cs="宋体"/>
          <w:b/>
          <w:i/>
          <w:iCs/>
          <w:color w:val="auto"/>
          <w:sz w:val="32"/>
          <w:szCs w:val="32"/>
          <w:u w:val="single"/>
        </w:rPr>
        <w:t xml:space="preserve">  </w:t>
      </w:r>
      <w:r>
        <w:rPr>
          <w:rFonts w:hint="eastAsia" w:ascii="宋体" w:hAnsi="宋体" w:cs="宋体"/>
          <w:b/>
          <w:color w:val="auto"/>
          <w:sz w:val="32"/>
          <w:szCs w:val="32"/>
          <w:u w:val="single"/>
        </w:rPr>
        <w:t xml:space="preserve">               </w:t>
      </w:r>
    </w:p>
    <w:p w14:paraId="4BCB76B8">
      <w:pPr>
        <w:spacing w:line="360" w:lineRule="auto"/>
        <w:jc w:val="left"/>
        <w:rPr>
          <w:rFonts w:hint="eastAsia" w:ascii="宋体" w:hAnsi="宋体" w:cs="宋体"/>
          <w:b/>
          <w:color w:val="auto"/>
          <w:sz w:val="32"/>
          <w:szCs w:val="32"/>
          <w:u w:val="single"/>
        </w:rPr>
      </w:pPr>
    </w:p>
    <w:p w14:paraId="50F28B93">
      <w:pPr>
        <w:spacing w:line="360" w:lineRule="auto"/>
        <w:jc w:val="left"/>
        <w:rPr>
          <w:rFonts w:hint="eastAsia" w:ascii="宋体" w:hAnsi="宋体" w:cs="宋体"/>
          <w:b/>
          <w:color w:val="auto"/>
          <w:sz w:val="32"/>
          <w:szCs w:val="32"/>
          <w:u w:val="single"/>
        </w:rPr>
      </w:pPr>
      <w:r>
        <w:rPr>
          <w:rFonts w:hint="eastAsia" w:ascii="宋体" w:hAnsi="宋体" w:cs="宋体"/>
          <w:b/>
          <w:color w:val="auto"/>
          <w:sz w:val="32"/>
          <w:szCs w:val="32"/>
        </w:rPr>
        <w:t xml:space="preserve">      时  间：</w:t>
      </w:r>
      <w:r>
        <w:rPr>
          <w:rFonts w:hint="eastAsia" w:ascii="宋体" w:hAnsi="宋体" w:cs="宋体"/>
          <w:b/>
          <w:color w:val="auto"/>
          <w:sz w:val="32"/>
          <w:szCs w:val="32"/>
          <w:u w:val="single"/>
        </w:rPr>
        <w:t xml:space="preserve">                  </w:t>
      </w:r>
      <w:bookmarkEnd w:id="64"/>
      <w:bookmarkEnd w:id="65"/>
      <w:bookmarkStart w:id="66" w:name="_Toc70"/>
      <w:bookmarkStart w:id="67" w:name="_Toc462325841"/>
    </w:p>
    <w:p w14:paraId="70042A53">
      <w:pPr>
        <w:pStyle w:val="12"/>
        <w:rPr>
          <w:rFonts w:hint="eastAsia" w:ascii="宋体" w:hAnsi="宋体" w:cs="宋体"/>
          <w:b/>
          <w:color w:val="auto"/>
          <w:sz w:val="32"/>
          <w:szCs w:val="32"/>
          <w:u w:val="single"/>
        </w:rPr>
      </w:pPr>
    </w:p>
    <w:p w14:paraId="13A9DD43">
      <w:pPr>
        <w:pStyle w:val="12"/>
        <w:rPr>
          <w:rFonts w:hint="eastAsia" w:ascii="宋体" w:hAnsi="宋体" w:cs="宋体"/>
          <w:b/>
          <w:color w:val="auto"/>
          <w:sz w:val="32"/>
          <w:szCs w:val="32"/>
          <w:u w:val="single"/>
        </w:rPr>
      </w:pPr>
    </w:p>
    <w:p w14:paraId="4C85B122">
      <w:pPr>
        <w:tabs>
          <w:tab w:val="left" w:pos="4400"/>
        </w:tabs>
        <w:spacing w:line="0" w:lineRule="atLeast"/>
        <w:jc w:val="center"/>
        <w:rPr>
          <w:rFonts w:hint="eastAsia" w:ascii="宋体" w:hAnsi="宋体" w:cs="宋体"/>
          <w:color w:val="auto"/>
          <w:sz w:val="32"/>
        </w:rPr>
      </w:pPr>
      <w:r>
        <w:rPr>
          <w:rFonts w:hint="eastAsia" w:ascii="宋体" w:hAnsi="宋体" w:cs="宋体"/>
          <w:color w:val="auto"/>
          <w:sz w:val="32"/>
        </w:rPr>
        <w:t>目 录</w:t>
      </w:r>
    </w:p>
    <w:p w14:paraId="2717AFD1">
      <w:pPr>
        <w:spacing w:line="200" w:lineRule="exact"/>
        <w:rPr>
          <w:rFonts w:hint="eastAsia" w:ascii="宋体" w:hAnsi="宋体" w:cs="宋体"/>
          <w:color w:val="auto"/>
        </w:rPr>
      </w:pPr>
    </w:p>
    <w:p w14:paraId="59868093">
      <w:pPr>
        <w:spacing w:line="200" w:lineRule="exact"/>
        <w:rPr>
          <w:rFonts w:hint="eastAsia" w:ascii="宋体" w:hAnsi="宋体" w:cs="宋体"/>
          <w:color w:val="auto"/>
        </w:rPr>
      </w:pPr>
    </w:p>
    <w:p w14:paraId="557B9546">
      <w:pPr>
        <w:spacing w:line="480" w:lineRule="auto"/>
        <w:rPr>
          <w:rFonts w:hint="eastAsia" w:ascii="宋体" w:hAnsi="宋体" w:cs="宋体"/>
          <w:color w:val="auto"/>
        </w:rPr>
      </w:pPr>
    </w:p>
    <w:p w14:paraId="57B083D4">
      <w:pPr>
        <w:spacing w:line="480" w:lineRule="auto"/>
        <w:rPr>
          <w:rFonts w:hint="eastAsia" w:ascii="宋体" w:hAnsi="宋体" w:cs="宋体"/>
          <w:color w:val="auto"/>
        </w:rPr>
      </w:pPr>
    </w:p>
    <w:p w14:paraId="5E9CD233">
      <w:pPr>
        <w:spacing w:line="480" w:lineRule="auto"/>
        <w:ind w:left="540"/>
        <w:rPr>
          <w:rFonts w:hint="eastAsia" w:ascii="宋体" w:hAnsi="宋体" w:cs="宋体"/>
          <w:color w:val="auto"/>
        </w:rPr>
      </w:pPr>
      <w:r>
        <w:rPr>
          <w:rFonts w:hint="eastAsia" w:ascii="宋体" w:hAnsi="宋体" w:cs="宋体"/>
          <w:color w:val="auto"/>
          <w:sz w:val="24"/>
        </w:rPr>
        <w:t>（一） 投标函</w:t>
      </w:r>
    </w:p>
    <w:p w14:paraId="3669C553">
      <w:pPr>
        <w:spacing w:line="480" w:lineRule="auto"/>
        <w:rPr>
          <w:rFonts w:hint="eastAsia" w:ascii="宋体" w:hAnsi="宋体" w:cs="宋体"/>
          <w:color w:val="auto"/>
        </w:rPr>
      </w:pPr>
    </w:p>
    <w:p w14:paraId="0567CCF0">
      <w:pPr>
        <w:spacing w:line="480" w:lineRule="auto"/>
        <w:ind w:left="540"/>
        <w:rPr>
          <w:rFonts w:hint="eastAsia" w:ascii="宋体" w:hAnsi="宋体" w:cs="宋体"/>
          <w:color w:val="auto"/>
        </w:rPr>
      </w:pPr>
      <w:r>
        <w:rPr>
          <w:rFonts w:hint="eastAsia" w:ascii="宋体" w:hAnsi="宋体" w:cs="宋体"/>
          <w:color w:val="auto"/>
          <w:sz w:val="24"/>
        </w:rPr>
        <w:t>（</w:t>
      </w:r>
      <w:r>
        <w:rPr>
          <w:rFonts w:hint="eastAsia" w:hAnsi="宋体" w:cs="宋体"/>
          <w:color w:val="auto"/>
          <w:sz w:val="24"/>
          <w:lang w:eastAsia="zh-CN"/>
        </w:rPr>
        <w:t>二</w:t>
      </w:r>
      <w:r>
        <w:rPr>
          <w:rFonts w:hint="eastAsia" w:ascii="宋体" w:hAnsi="宋体" w:cs="宋体"/>
          <w:color w:val="auto"/>
          <w:sz w:val="24"/>
        </w:rPr>
        <w:t>） 投标报价表</w:t>
      </w:r>
    </w:p>
    <w:p w14:paraId="24FC1D51">
      <w:pPr>
        <w:spacing w:line="480" w:lineRule="auto"/>
        <w:rPr>
          <w:rFonts w:hint="eastAsia" w:ascii="宋体" w:hAnsi="宋体" w:cs="宋体"/>
          <w:color w:val="auto"/>
        </w:rPr>
      </w:pPr>
    </w:p>
    <w:p w14:paraId="0EF8D724">
      <w:pPr>
        <w:spacing w:line="480" w:lineRule="auto"/>
        <w:ind w:left="540"/>
        <w:rPr>
          <w:rFonts w:hint="eastAsia" w:ascii="宋体" w:hAnsi="宋体" w:cs="宋体"/>
          <w:color w:val="auto"/>
          <w:sz w:val="24"/>
        </w:rPr>
      </w:pPr>
      <w:r>
        <w:rPr>
          <w:rFonts w:hint="eastAsia" w:ascii="宋体" w:hAnsi="宋体" w:cs="宋体"/>
          <w:color w:val="auto"/>
          <w:sz w:val="24"/>
        </w:rPr>
        <w:t>（</w:t>
      </w:r>
      <w:r>
        <w:rPr>
          <w:rFonts w:hint="eastAsia" w:hAnsi="宋体" w:cs="宋体"/>
          <w:color w:val="auto"/>
          <w:sz w:val="24"/>
          <w:lang w:eastAsia="zh-CN"/>
        </w:rPr>
        <w:t>三</w:t>
      </w:r>
      <w:r>
        <w:rPr>
          <w:rFonts w:hint="eastAsia" w:ascii="宋体" w:hAnsi="宋体" w:cs="宋体"/>
          <w:color w:val="auto"/>
          <w:sz w:val="24"/>
        </w:rPr>
        <w:t>） 资格证明文件</w:t>
      </w:r>
    </w:p>
    <w:p w14:paraId="456CD7EF">
      <w:pPr>
        <w:spacing w:line="480" w:lineRule="auto"/>
        <w:ind w:left="540"/>
        <w:rPr>
          <w:rFonts w:hint="eastAsia" w:ascii="宋体" w:hAnsi="宋体" w:cs="宋体"/>
          <w:color w:val="auto"/>
          <w:sz w:val="24"/>
        </w:rPr>
      </w:pPr>
    </w:p>
    <w:p w14:paraId="40B56697">
      <w:pPr>
        <w:spacing w:line="480" w:lineRule="auto"/>
        <w:ind w:left="540"/>
        <w:rPr>
          <w:rFonts w:hint="eastAsia" w:ascii="宋体" w:hAnsi="宋体" w:cs="宋体"/>
          <w:color w:val="auto"/>
          <w:sz w:val="24"/>
        </w:rPr>
      </w:pPr>
      <w:r>
        <w:rPr>
          <w:rFonts w:hint="eastAsia" w:ascii="宋体" w:hAnsi="宋体" w:cs="宋体"/>
          <w:color w:val="auto"/>
          <w:sz w:val="24"/>
        </w:rPr>
        <w:t>（</w:t>
      </w:r>
      <w:r>
        <w:rPr>
          <w:rFonts w:hint="eastAsia" w:hAnsi="宋体" w:cs="宋体"/>
          <w:color w:val="auto"/>
          <w:sz w:val="24"/>
          <w:lang w:eastAsia="zh-CN"/>
        </w:rPr>
        <w:t>四</w:t>
      </w:r>
      <w:r>
        <w:rPr>
          <w:rFonts w:hint="eastAsia" w:ascii="宋体" w:hAnsi="宋体" w:cs="宋体"/>
          <w:color w:val="auto"/>
          <w:sz w:val="24"/>
        </w:rPr>
        <w:t>） 投标方案说明书</w:t>
      </w:r>
    </w:p>
    <w:p w14:paraId="6EBB7D19">
      <w:pPr>
        <w:spacing w:line="480" w:lineRule="auto"/>
        <w:rPr>
          <w:rFonts w:hint="eastAsia" w:ascii="宋体" w:hAnsi="宋体" w:cs="宋体"/>
          <w:color w:val="auto"/>
        </w:rPr>
      </w:pPr>
    </w:p>
    <w:p w14:paraId="0A36ECE6">
      <w:pPr>
        <w:spacing w:line="480" w:lineRule="auto"/>
        <w:ind w:left="540"/>
        <w:rPr>
          <w:rFonts w:hint="eastAsia" w:ascii="宋体" w:hAnsi="宋体" w:cs="宋体"/>
          <w:color w:val="auto"/>
          <w:sz w:val="24"/>
        </w:rPr>
      </w:pPr>
      <w:r>
        <w:rPr>
          <w:rFonts w:hint="eastAsia" w:ascii="宋体" w:hAnsi="宋体" w:cs="宋体"/>
          <w:color w:val="auto"/>
          <w:sz w:val="24"/>
        </w:rPr>
        <w:t>（</w:t>
      </w:r>
      <w:r>
        <w:rPr>
          <w:rFonts w:hint="eastAsia" w:hAnsi="宋体" w:cs="宋体"/>
          <w:color w:val="auto"/>
          <w:sz w:val="24"/>
          <w:lang w:eastAsia="zh-CN"/>
        </w:rPr>
        <w:t>五</w:t>
      </w:r>
      <w:r>
        <w:rPr>
          <w:rFonts w:hint="eastAsia" w:ascii="宋体" w:hAnsi="宋体" w:cs="宋体"/>
          <w:color w:val="auto"/>
          <w:sz w:val="24"/>
        </w:rPr>
        <w:t>） 商务响应说明书</w:t>
      </w:r>
    </w:p>
    <w:p w14:paraId="5193FF06">
      <w:pPr>
        <w:spacing w:line="480" w:lineRule="auto"/>
        <w:rPr>
          <w:rFonts w:hint="eastAsia" w:ascii="宋体" w:hAnsi="宋体" w:cs="宋体"/>
          <w:color w:val="auto"/>
        </w:rPr>
      </w:pPr>
    </w:p>
    <w:p w14:paraId="42DCB7BA">
      <w:pPr>
        <w:spacing w:line="480" w:lineRule="auto"/>
        <w:ind w:left="540"/>
        <w:rPr>
          <w:rFonts w:hint="eastAsia" w:ascii="宋体" w:hAnsi="宋体" w:cs="宋体"/>
          <w:color w:val="auto"/>
          <w:sz w:val="24"/>
          <w:lang w:eastAsia="zh-CN"/>
        </w:rPr>
      </w:pPr>
      <w:r>
        <w:rPr>
          <w:rFonts w:hint="eastAsia" w:ascii="宋体" w:hAnsi="宋体" w:cs="宋体"/>
          <w:color w:val="auto"/>
          <w:sz w:val="24"/>
          <w:lang w:eastAsia="zh-CN"/>
        </w:rPr>
        <w:t>（六）技术响应表</w:t>
      </w:r>
    </w:p>
    <w:p w14:paraId="6FD155A1">
      <w:pPr>
        <w:spacing w:line="480" w:lineRule="auto"/>
        <w:ind w:left="540"/>
        <w:rPr>
          <w:rFonts w:hint="eastAsia" w:ascii="宋体" w:hAnsi="宋体" w:cs="宋体"/>
          <w:color w:val="auto"/>
          <w:sz w:val="24"/>
        </w:rPr>
      </w:pPr>
    </w:p>
    <w:p w14:paraId="76525566">
      <w:pPr>
        <w:spacing w:line="480" w:lineRule="auto"/>
        <w:ind w:left="540"/>
        <w:rPr>
          <w:rFonts w:hint="eastAsia" w:ascii="宋体" w:hAnsi="宋体" w:cs="宋体"/>
          <w:color w:val="auto"/>
          <w:sz w:val="24"/>
        </w:rPr>
      </w:pPr>
      <w:r>
        <w:rPr>
          <w:rFonts w:hint="eastAsia" w:ascii="宋体" w:hAnsi="宋体" w:cs="宋体"/>
          <w:color w:val="auto"/>
          <w:sz w:val="24"/>
        </w:rPr>
        <w:t>（</w:t>
      </w:r>
      <w:r>
        <w:rPr>
          <w:rFonts w:hint="eastAsia" w:hAnsi="宋体" w:cs="宋体"/>
          <w:color w:val="auto"/>
          <w:sz w:val="24"/>
          <w:lang w:eastAsia="zh-CN"/>
        </w:rPr>
        <w:t>七</w:t>
      </w:r>
      <w:r>
        <w:rPr>
          <w:rFonts w:hint="eastAsia" w:ascii="宋体" w:hAnsi="宋体" w:cs="宋体"/>
          <w:color w:val="auto"/>
          <w:sz w:val="24"/>
        </w:rPr>
        <w:t>） 法人代表授权书</w:t>
      </w:r>
    </w:p>
    <w:p w14:paraId="1BEEFFE1">
      <w:pPr>
        <w:rPr>
          <w:rFonts w:hint="eastAsia" w:ascii="宋体" w:hAnsi="宋体" w:cs="宋体"/>
          <w:color w:val="auto"/>
        </w:rPr>
      </w:pPr>
    </w:p>
    <w:p w14:paraId="55491575">
      <w:pPr>
        <w:rPr>
          <w:rFonts w:hint="eastAsia" w:ascii="宋体" w:hAnsi="宋体" w:cs="宋体"/>
          <w:color w:val="auto"/>
          <w:szCs w:val="32"/>
        </w:rPr>
      </w:pPr>
    </w:p>
    <w:p w14:paraId="0023EDA1">
      <w:pPr>
        <w:rPr>
          <w:rFonts w:hint="eastAsia" w:ascii="宋体" w:hAnsi="宋体" w:cs="宋体"/>
          <w:color w:val="auto"/>
          <w:szCs w:val="32"/>
        </w:rPr>
      </w:pPr>
    </w:p>
    <w:p w14:paraId="5B5D436D">
      <w:pPr>
        <w:rPr>
          <w:rFonts w:hint="eastAsia" w:ascii="宋体" w:hAnsi="宋体" w:cs="宋体"/>
          <w:color w:val="auto"/>
          <w:szCs w:val="32"/>
        </w:rPr>
      </w:pPr>
    </w:p>
    <w:p w14:paraId="085DF55C">
      <w:pPr>
        <w:rPr>
          <w:rFonts w:hint="eastAsia" w:ascii="宋体" w:hAnsi="宋体" w:cs="宋体"/>
          <w:color w:val="auto"/>
          <w:szCs w:val="32"/>
        </w:rPr>
      </w:pPr>
    </w:p>
    <w:p w14:paraId="1D8A6DC1">
      <w:pPr>
        <w:rPr>
          <w:rFonts w:hint="eastAsia" w:ascii="宋体" w:hAnsi="宋体" w:cs="宋体"/>
          <w:color w:val="auto"/>
          <w:szCs w:val="32"/>
        </w:rPr>
      </w:pPr>
    </w:p>
    <w:p w14:paraId="07D2B78E">
      <w:pPr>
        <w:rPr>
          <w:rFonts w:hint="eastAsia" w:ascii="宋体" w:hAnsi="宋体" w:cs="宋体"/>
          <w:color w:val="auto"/>
          <w:szCs w:val="32"/>
        </w:rPr>
      </w:pPr>
    </w:p>
    <w:p w14:paraId="4FC74A62">
      <w:pPr>
        <w:rPr>
          <w:rFonts w:hint="eastAsia" w:ascii="宋体" w:hAnsi="宋体" w:cs="宋体"/>
          <w:color w:val="auto"/>
          <w:szCs w:val="32"/>
        </w:rPr>
      </w:pPr>
    </w:p>
    <w:p w14:paraId="1DB5D805">
      <w:pPr>
        <w:rPr>
          <w:rFonts w:hint="eastAsia" w:ascii="宋体" w:hAnsi="宋体" w:cs="宋体"/>
          <w:color w:val="auto"/>
          <w:szCs w:val="32"/>
        </w:rPr>
      </w:pPr>
    </w:p>
    <w:p w14:paraId="5CA283F3">
      <w:pPr>
        <w:rPr>
          <w:rFonts w:hint="eastAsia" w:ascii="宋体" w:hAnsi="宋体" w:cs="宋体"/>
          <w:color w:val="auto"/>
        </w:rPr>
      </w:pPr>
      <w:bookmarkStart w:id="68" w:name="_Toc3840"/>
    </w:p>
    <w:p w14:paraId="495C4AC8">
      <w:pPr>
        <w:pStyle w:val="4"/>
        <w:spacing w:before="0" w:after="0" w:line="360" w:lineRule="auto"/>
        <w:jc w:val="center"/>
        <w:rPr>
          <w:rFonts w:hint="eastAsia" w:ascii="宋体" w:hAnsi="宋体" w:eastAsia="宋体" w:cs="宋体"/>
          <w:color w:val="auto"/>
          <w:szCs w:val="32"/>
        </w:rPr>
      </w:pPr>
      <w:r>
        <w:rPr>
          <w:rFonts w:hint="eastAsia" w:ascii="宋体" w:hAnsi="宋体" w:eastAsia="宋体" w:cs="宋体"/>
          <w:color w:val="auto"/>
          <w:szCs w:val="32"/>
        </w:rPr>
        <w:t>一、</w:t>
      </w:r>
      <w:bookmarkEnd w:id="66"/>
      <w:bookmarkEnd w:id="67"/>
      <w:r>
        <w:rPr>
          <w:rFonts w:hint="eastAsia" w:ascii="宋体" w:hAnsi="宋体" w:cs="宋体"/>
          <w:color w:val="auto"/>
          <w:szCs w:val="32"/>
          <w:lang w:eastAsia="zh-CN"/>
        </w:rPr>
        <w:t>响应</w:t>
      </w:r>
      <w:r>
        <w:rPr>
          <w:rFonts w:hint="eastAsia" w:ascii="宋体" w:hAnsi="宋体" w:eastAsia="宋体" w:cs="宋体"/>
          <w:color w:val="auto"/>
          <w:szCs w:val="32"/>
        </w:rPr>
        <w:t>函</w:t>
      </w:r>
      <w:bookmarkEnd w:id="68"/>
    </w:p>
    <w:p w14:paraId="0FACA95B">
      <w:pPr>
        <w:spacing w:line="480" w:lineRule="exact"/>
        <w:rPr>
          <w:rFonts w:hint="eastAsia" w:ascii="宋体" w:hAnsi="宋体"/>
          <w:color w:val="auto"/>
          <w:sz w:val="24"/>
        </w:rPr>
      </w:pPr>
      <w:r>
        <w:rPr>
          <w:rFonts w:hint="eastAsia" w:hAnsi="宋体"/>
          <w:color w:val="auto"/>
          <w:sz w:val="24"/>
          <w:lang w:eastAsia="zh-CN"/>
        </w:rPr>
        <w:t>榆林市商务局</w:t>
      </w:r>
      <w:r>
        <w:rPr>
          <w:rFonts w:hint="eastAsia" w:ascii="宋体" w:hAnsi="宋体"/>
          <w:color w:val="auto"/>
          <w:sz w:val="24"/>
        </w:rPr>
        <w:t>：</w:t>
      </w:r>
    </w:p>
    <w:p w14:paraId="0CB44350">
      <w:pPr>
        <w:spacing w:line="480" w:lineRule="exact"/>
        <w:ind w:firstLine="504" w:firstLineChars="210"/>
        <w:rPr>
          <w:rFonts w:hint="eastAsia" w:ascii="宋体" w:hAnsi="宋体"/>
          <w:color w:val="auto"/>
          <w:sz w:val="24"/>
        </w:rPr>
      </w:pPr>
      <w:r>
        <w:rPr>
          <w:rFonts w:hint="eastAsia" w:ascii="宋体" w:hAnsi="宋体"/>
          <w:color w:val="auto"/>
          <w:sz w:val="24"/>
        </w:rPr>
        <w:t>我单位收到贵公司(采购项目编号：</w:t>
      </w:r>
      <w:r>
        <w:rPr>
          <w:rFonts w:hint="eastAsia" w:ascii="宋体" w:hAnsi="宋体"/>
          <w:color w:val="auto"/>
          <w:sz w:val="24"/>
          <w:u w:val="single"/>
        </w:rPr>
        <w:t xml:space="preserve">         </w:t>
      </w:r>
      <w:r>
        <w:rPr>
          <w:rFonts w:hint="eastAsia" w:ascii="宋体" w:hAnsi="宋体"/>
          <w:color w:val="auto"/>
          <w:sz w:val="24"/>
        </w:rPr>
        <w:t>)</w:t>
      </w:r>
      <w:r>
        <w:rPr>
          <w:rFonts w:hint="eastAsia" w:hAnsi="宋体"/>
          <w:color w:val="auto"/>
          <w:sz w:val="24"/>
          <w:lang w:eastAsia="zh-CN"/>
        </w:rPr>
        <w:t>竞争性磋商</w:t>
      </w:r>
      <w:r>
        <w:rPr>
          <w:rFonts w:hint="eastAsia" w:ascii="宋体" w:hAnsi="宋体"/>
          <w:color w:val="auto"/>
          <w:sz w:val="24"/>
        </w:rPr>
        <w:t>文件，经详细研究，我们决定参加本次</w:t>
      </w:r>
      <w:r>
        <w:rPr>
          <w:rFonts w:hint="eastAsia" w:hAnsi="宋体"/>
          <w:color w:val="auto"/>
          <w:sz w:val="24"/>
          <w:lang w:eastAsia="zh-CN"/>
        </w:rPr>
        <w:t>竞争性磋商</w:t>
      </w:r>
      <w:r>
        <w:rPr>
          <w:rFonts w:hint="eastAsia" w:ascii="宋体" w:hAnsi="宋体"/>
          <w:color w:val="auto"/>
          <w:sz w:val="24"/>
        </w:rPr>
        <w:t>活动。为此，我方郑重声明以下诸点，并负法律责任。</w:t>
      </w:r>
    </w:p>
    <w:p w14:paraId="415686D7">
      <w:pPr>
        <w:spacing w:line="480" w:lineRule="exact"/>
        <w:ind w:firstLine="480" w:firstLineChars="200"/>
        <w:rPr>
          <w:rFonts w:hint="eastAsia" w:ascii="宋体" w:hAnsi="宋体"/>
          <w:color w:val="auto"/>
          <w:sz w:val="24"/>
        </w:rPr>
      </w:pPr>
      <w:r>
        <w:rPr>
          <w:rFonts w:hint="eastAsia" w:ascii="宋体" w:hAnsi="宋体"/>
          <w:color w:val="auto"/>
          <w:sz w:val="24"/>
        </w:rPr>
        <w:t>1、愿意按照</w:t>
      </w:r>
      <w:r>
        <w:rPr>
          <w:rFonts w:hint="eastAsia" w:hAnsi="宋体"/>
          <w:color w:val="auto"/>
          <w:sz w:val="24"/>
          <w:lang w:eastAsia="zh-CN"/>
        </w:rPr>
        <w:t>竞争性磋商</w:t>
      </w:r>
      <w:r>
        <w:rPr>
          <w:rFonts w:hint="eastAsia" w:ascii="宋体" w:hAnsi="宋体"/>
          <w:color w:val="auto"/>
          <w:sz w:val="24"/>
        </w:rPr>
        <w:t>文件中的一切要求，提供设备及技术服务，完成合同的责任和义务。</w:t>
      </w:r>
    </w:p>
    <w:p w14:paraId="435B611A">
      <w:pPr>
        <w:spacing w:line="480" w:lineRule="exact"/>
        <w:ind w:firstLine="480" w:firstLineChars="200"/>
        <w:rPr>
          <w:rFonts w:hint="eastAsia" w:hAnsi="宋体"/>
          <w:color w:val="auto"/>
          <w:sz w:val="24"/>
          <w:u w:val="single"/>
          <w:lang w:val="en-US" w:eastAsia="zh-CN"/>
        </w:rPr>
      </w:pPr>
      <w:r>
        <w:rPr>
          <w:rFonts w:hint="eastAsia" w:ascii="宋体" w:hAnsi="宋体"/>
          <w:color w:val="auto"/>
          <w:sz w:val="24"/>
        </w:rPr>
        <w:t>2、按</w:t>
      </w:r>
      <w:r>
        <w:rPr>
          <w:rFonts w:hint="eastAsia" w:hAnsi="宋体"/>
          <w:color w:val="auto"/>
          <w:sz w:val="24"/>
          <w:lang w:eastAsia="zh-CN"/>
        </w:rPr>
        <w:t>竞争性磋商</w:t>
      </w:r>
      <w:r>
        <w:rPr>
          <w:rFonts w:hint="eastAsia" w:ascii="宋体" w:hAnsi="宋体"/>
          <w:color w:val="auto"/>
          <w:sz w:val="24"/>
        </w:rPr>
        <w:t>文件的规定，我公司的投标</w:t>
      </w:r>
      <w:r>
        <w:rPr>
          <w:rFonts w:hint="eastAsia" w:hAnsi="宋体"/>
          <w:color w:val="auto"/>
          <w:sz w:val="24"/>
          <w:lang w:val="en-US" w:eastAsia="zh-CN"/>
        </w:rPr>
        <w:t>报价</w:t>
      </w:r>
      <w:r>
        <w:rPr>
          <w:rFonts w:hint="eastAsia" w:ascii="宋体" w:hAnsi="宋体"/>
          <w:color w:val="auto"/>
          <w:sz w:val="24"/>
        </w:rPr>
        <w:t>为：</w:t>
      </w:r>
      <w:r>
        <w:rPr>
          <w:rFonts w:hint="eastAsia" w:hAnsi="宋体"/>
          <w:color w:val="auto"/>
          <w:sz w:val="24"/>
          <w:u w:val="single"/>
          <w:lang w:val="en-US" w:eastAsia="zh-CN"/>
        </w:rPr>
        <w:t xml:space="preserve">            。</w:t>
      </w:r>
    </w:p>
    <w:p w14:paraId="72E56356">
      <w:pPr>
        <w:spacing w:line="480" w:lineRule="exact"/>
        <w:ind w:firstLine="480" w:firstLineChars="200"/>
        <w:rPr>
          <w:rFonts w:hint="eastAsia" w:ascii="宋体" w:hAnsi="宋体"/>
          <w:color w:val="auto"/>
          <w:sz w:val="24"/>
        </w:rPr>
      </w:pPr>
      <w:r>
        <w:rPr>
          <w:rFonts w:hint="eastAsia" w:hAnsi="宋体"/>
          <w:color w:val="auto"/>
          <w:sz w:val="24"/>
          <w:lang w:eastAsia="zh-CN"/>
        </w:rPr>
        <w:t>服务期</w:t>
      </w:r>
      <w:r>
        <w:rPr>
          <w:rFonts w:hint="eastAsia" w:ascii="宋体" w:hAnsi="宋体"/>
          <w:color w:val="auto"/>
          <w:sz w:val="24"/>
        </w:rPr>
        <w:t>：</w:t>
      </w:r>
      <w:r>
        <w:rPr>
          <w:rFonts w:hint="eastAsia" w:ascii="宋体" w:hAnsi="宋体"/>
          <w:color w:val="auto"/>
          <w:sz w:val="24"/>
          <w:u w:val="single"/>
        </w:rPr>
        <w:t>　　　  　　</w:t>
      </w:r>
      <w:r>
        <w:rPr>
          <w:rFonts w:hint="eastAsia" w:ascii="宋体" w:hAnsi="宋体"/>
          <w:color w:val="auto"/>
          <w:sz w:val="24"/>
        </w:rPr>
        <w:t>。</w:t>
      </w:r>
    </w:p>
    <w:p w14:paraId="2317F72B">
      <w:pPr>
        <w:spacing w:line="480" w:lineRule="exact"/>
        <w:ind w:firstLine="480" w:firstLineChars="200"/>
        <w:rPr>
          <w:rFonts w:hint="eastAsia" w:ascii="宋体" w:hAnsi="宋体"/>
          <w:color w:val="auto"/>
          <w:sz w:val="24"/>
        </w:rPr>
      </w:pPr>
      <w:r>
        <w:rPr>
          <w:rFonts w:hint="eastAsia" w:ascii="宋体" w:hAnsi="宋体"/>
          <w:color w:val="auto"/>
          <w:sz w:val="24"/>
        </w:rPr>
        <w:t>3、我方提交的竞争性</w:t>
      </w:r>
      <w:r>
        <w:rPr>
          <w:rFonts w:hint="eastAsia" w:hAnsi="宋体"/>
          <w:color w:val="auto"/>
          <w:sz w:val="24"/>
          <w:lang w:eastAsia="zh-CN"/>
        </w:rPr>
        <w:t>磋商</w:t>
      </w:r>
      <w:r>
        <w:rPr>
          <w:rFonts w:hint="eastAsia" w:ascii="宋体" w:hAnsi="宋体"/>
          <w:color w:val="auto"/>
          <w:sz w:val="24"/>
        </w:rPr>
        <w:t>响应文件正本一份、副本两份、电子版U盘一份。</w:t>
      </w:r>
    </w:p>
    <w:p w14:paraId="5B8DFF2B">
      <w:pPr>
        <w:spacing w:line="480" w:lineRule="exact"/>
        <w:ind w:firstLine="480" w:firstLineChars="200"/>
        <w:rPr>
          <w:rFonts w:hint="eastAsia" w:ascii="宋体" w:hAnsi="宋体"/>
          <w:color w:val="auto"/>
          <w:sz w:val="24"/>
        </w:rPr>
      </w:pPr>
      <w:r>
        <w:rPr>
          <w:rFonts w:hint="eastAsia" w:ascii="宋体" w:hAnsi="宋体"/>
          <w:color w:val="auto"/>
          <w:sz w:val="24"/>
        </w:rPr>
        <w:t>4、</w:t>
      </w:r>
      <w:r>
        <w:rPr>
          <w:rFonts w:hint="eastAsia" w:hAnsi="宋体"/>
          <w:color w:val="auto"/>
        </w:rPr>
        <w:t>我方已递交</w:t>
      </w:r>
      <w:r>
        <w:rPr>
          <w:rFonts w:hint="eastAsia" w:hAnsi="宋体"/>
          <w:color w:val="auto"/>
          <w:lang w:eastAsia="zh-CN"/>
        </w:rPr>
        <w:t>投标信用承诺书（保证金）</w:t>
      </w:r>
      <w:r>
        <w:rPr>
          <w:rFonts w:hint="eastAsia" w:hAnsi="宋体"/>
          <w:color w:val="auto"/>
        </w:rPr>
        <w:t>。</w:t>
      </w:r>
    </w:p>
    <w:p w14:paraId="4501D451">
      <w:pPr>
        <w:spacing w:line="480" w:lineRule="exact"/>
        <w:ind w:firstLine="480" w:firstLineChars="200"/>
        <w:rPr>
          <w:rFonts w:hint="eastAsia" w:ascii="宋体" w:hAnsi="宋体"/>
          <w:color w:val="auto"/>
          <w:sz w:val="24"/>
        </w:rPr>
      </w:pPr>
      <w:r>
        <w:rPr>
          <w:rFonts w:hint="eastAsia" w:ascii="宋体" w:hAnsi="宋体"/>
          <w:color w:val="auto"/>
          <w:sz w:val="24"/>
        </w:rPr>
        <w:t>5、已详细阅读了</w:t>
      </w:r>
      <w:r>
        <w:rPr>
          <w:rFonts w:hint="eastAsia" w:hAnsi="宋体"/>
          <w:color w:val="auto"/>
          <w:sz w:val="24"/>
          <w:lang w:eastAsia="zh-CN"/>
        </w:rPr>
        <w:t>竞争性磋商</w:t>
      </w:r>
      <w:r>
        <w:rPr>
          <w:rFonts w:hint="eastAsia" w:ascii="宋体" w:hAnsi="宋体"/>
          <w:color w:val="auto"/>
          <w:sz w:val="24"/>
        </w:rPr>
        <w:t>文件，完全理解并放弃提出含糊不清或易形成歧义的表述和资料。</w:t>
      </w:r>
    </w:p>
    <w:p w14:paraId="5AFA820C">
      <w:pPr>
        <w:spacing w:line="480" w:lineRule="exact"/>
        <w:ind w:firstLine="480" w:firstLineChars="200"/>
        <w:rPr>
          <w:rFonts w:hint="eastAsia" w:ascii="宋体" w:hAnsi="宋体"/>
          <w:color w:val="auto"/>
          <w:sz w:val="24"/>
        </w:rPr>
      </w:pPr>
      <w:r>
        <w:rPr>
          <w:rFonts w:hint="eastAsia" w:ascii="宋体" w:hAnsi="宋体"/>
          <w:color w:val="auto"/>
          <w:sz w:val="24"/>
        </w:rPr>
        <w:t>6、开标后在规定的投标有效期内撤回竞争性</w:t>
      </w:r>
      <w:r>
        <w:rPr>
          <w:rFonts w:hint="eastAsia" w:hAnsi="宋体"/>
          <w:color w:val="auto"/>
          <w:sz w:val="24"/>
          <w:lang w:eastAsia="zh-CN"/>
        </w:rPr>
        <w:t>磋商</w:t>
      </w:r>
      <w:r>
        <w:rPr>
          <w:rFonts w:hint="eastAsia" w:ascii="宋体" w:hAnsi="宋体"/>
          <w:color w:val="auto"/>
          <w:sz w:val="24"/>
        </w:rPr>
        <w:t>响应文件，我们愿接受政府采购的有关处罚决定。</w:t>
      </w:r>
    </w:p>
    <w:p w14:paraId="2EE4E5FE">
      <w:pPr>
        <w:spacing w:line="480" w:lineRule="exact"/>
        <w:ind w:firstLine="480" w:firstLineChars="200"/>
        <w:rPr>
          <w:rFonts w:hint="eastAsia" w:ascii="宋体" w:hAnsi="宋体"/>
          <w:color w:val="auto"/>
          <w:sz w:val="24"/>
        </w:rPr>
      </w:pPr>
      <w:r>
        <w:rPr>
          <w:rFonts w:hint="eastAsia" w:ascii="宋体" w:hAnsi="宋体"/>
          <w:color w:val="auto"/>
          <w:sz w:val="24"/>
        </w:rPr>
        <w:t>7、同意向贵方提供可能要求的，与本次投标有关的任何证据或资料。我们完全理解贵公司不保证最低价成交的意见。</w:t>
      </w:r>
    </w:p>
    <w:p w14:paraId="55D189E7">
      <w:pPr>
        <w:spacing w:line="480" w:lineRule="exact"/>
        <w:ind w:firstLine="480" w:firstLineChars="200"/>
        <w:rPr>
          <w:rFonts w:hint="eastAsia" w:ascii="宋体" w:hAnsi="宋体"/>
          <w:color w:val="auto"/>
          <w:sz w:val="24"/>
        </w:rPr>
      </w:pPr>
      <w:r>
        <w:rPr>
          <w:rFonts w:hint="eastAsia" w:ascii="宋体" w:hAnsi="宋体"/>
          <w:color w:val="auto"/>
          <w:sz w:val="24"/>
        </w:rPr>
        <w:t>8、我方的竞争性</w:t>
      </w:r>
      <w:r>
        <w:rPr>
          <w:rFonts w:hint="eastAsia" w:hAnsi="宋体"/>
          <w:color w:val="auto"/>
          <w:sz w:val="24"/>
          <w:lang w:eastAsia="zh-CN"/>
        </w:rPr>
        <w:t>磋商</w:t>
      </w:r>
      <w:r>
        <w:rPr>
          <w:rFonts w:hint="eastAsia" w:ascii="宋体" w:hAnsi="宋体"/>
          <w:color w:val="auto"/>
          <w:sz w:val="24"/>
        </w:rPr>
        <w:t>响应文件有效期为90天。</w:t>
      </w:r>
    </w:p>
    <w:p w14:paraId="22F6289F">
      <w:pPr>
        <w:spacing w:line="480" w:lineRule="exact"/>
        <w:ind w:firstLine="480" w:firstLineChars="200"/>
        <w:rPr>
          <w:rFonts w:hint="eastAsia" w:ascii="宋体" w:hAnsi="宋体"/>
          <w:color w:val="auto"/>
          <w:sz w:val="24"/>
        </w:rPr>
      </w:pPr>
      <w:r>
        <w:rPr>
          <w:rFonts w:hint="eastAsia" w:ascii="宋体" w:hAnsi="宋体"/>
          <w:color w:val="auto"/>
          <w:sz w:val="24"/>
        </w:rPr>
        <w:t>9、有关于本标书的函电，请按下列地址联系。</w:t>
      </w:r>
    </w:p>
    <w:p w14:paraId="0F022DA7">
      <w:pPr>
        <w:spacing w:line="480" w:lineRule="exact"/>
        <w:ind w:firstLine="480" w:firstLineChars="200"/>
        <w:rPr>
          <w:rFonts w:hint="eastAsia" w:ascii="宋体" w:hAnsi="宋体"/>
          <w:color w:val="auto"/>
          <w:sz w:val="24"/>
        </w:rPr>
      </w:pPr>
      <w:r>
        <w:rPr>
          <w:rFonts w:hint="eastAsia" w:ascii="宋体" w:hAnsi="宋体"/>
          <w:color w:val="auto"/>
          <w:sz w:val="24"/>
        </w:rPr>
        <w:t>投标单位全称（印章）：</w:t>
      </w:r>
    </w:p>
    <w:p w14:paraId="6DCCB6D4">
      <w:pPr>
        <w:spacing w:line="480" w:lineRule="exact"/>
        <w:ind w:firstLine="480" w:firstLineChars="200"/>
        <w:rPr>
          <w:rFonts w:hint="eastAsia" w:ascii="宋体" w:hAnsi="宋体"/>
          <w:color w:val="auto"/>
          <w:sz w:val="24"/>
        </w:rPr>
      </w:pPr>
      <w:r>
        <w:rPr>
          <w:rFonts w:hint="eastAsia" w:ascii="宋体" w:hAnsi="宋体"/>
          <w:color w:val="auto"/>
          <w:sz w:val="24"/>
        </w:rPr>
        <w:t>地    址：______________________________________</w:t>
      </w:r>
    </w:p>
    <w:p w14:paraId="5E0720CA">
      <w:pPr>
        <w:spacing w:line="480" w:lineRule="exact"/>
        <w:ind w:firstLine="480" w:firstLineChars="200"/>
        <w:rPr>
          <w:rFonts w:hint="eastAsia" w:ascii="宋体" w:hAnsi="宋体"/>
          <w:color w:val="auto"/>
          <w:sz w:val="24"/>
        </w:rPr>
      </w:pPr>
      <w:r>
        <w:rPr>
          <w:rFonts w:hint="eastAsia" w:ascii="宋体" w:hAnsi="宋体"/>
          <w:color w:val="auto"/>
          <w:sz w:val="24"/>
        </w:rPr>
        <w:t>电    话：______________________________________</w:t>
      </w:r>
    </w:p>
    <w:p w14:paraId="20C0893E">
      <w:pPr>
        <w:spacing w:line="480" w:lineRule="exact"/>
        <w:ind w:firstLine="480" w:firstLineChars="200"/>
        <w:rPr>
          <w:rFonts w:hint="eastAsia" w:ascii="宋体" w:hAnsi="宋体"/>
          <w:color w:val="auto"/>
          <w:sz w:val="24"/>
        </w:rPr>
      </w:pPr>
      <w:r>
        <w:rPr>
          <w:rFonts w:hint="eastAsia" w:ascii="宋体" w:hAnsi="宋体"/>
          <w:color w:val="auto"/>
          <w:sz w:val="24"/>
        </w:rPr>
        <w:t>传    真：______________________________________</w:t>
      </w:r>
    </w:p>
    <w:p w14:paraId="4832F76E">
      <w:pPr>
        <w:spacing w:line="480" w:lineRule="exact"/>
        <w:ind w:firstLine="480" w:firstLineChars="200"/>
        <w:rPr>
          <w:rFonts w:hint="eastAsia" w:ascii="宋体" w:hAnsi="宋体"/>
          <w:color w:val="auto"/>
          <w:sz w:val="24"/>
        </w:rPr>
      </w:pPr>
      <w:r>
        <w:rPr>
          <w:rFonts w:hint="eastAsia" w:ascii="宋体" w:hAnsi="宋体"/>
          <w:color w:val="auto"/>
          <w:sz w:val="24"/>
        </w:rPr>
        <w:t>邮    编：______________________________________</w:t>
      </w:r>
    </w:p>
    <w:p w14:paraId="2F5D9218">
      <w:pPr>
        <w:spacing w:line="480" w:lineRule="exact"/>
        <w:ind w:firstLine="480" w:firstLineChars="200"/>
        <w:rPr>
          <w:rFonts w:hint="eastAsia" w:ascii="宋体" w:hAnsi="宋体"/>
          <w:color w:val="auto"/>
          <w:sz w:val="24"/>
        </w:rPr>
      </w:pPr>
      <w:r>
        <w:rPr>
          <w:rFonts w:hint="eastAsia" w:hAnsi="宋体" w:cs="宋体"/>
          <w:color w:val="auto"/>
        </w:rPr>
        <w:t>法定代表人/被授权人（签字或盖章）</w:t>
      </w:r>
      <w:r>
        <w:rPr>
          <w:rFonts w:hint="eastAsia" w:hAnsi="宋体"/>
          <w:color w:val="auto"/>
        </w:rPr>
        <w:t>：</w:t>
      </w:r>
      <w:r>
        <w:rPr>
          <w:rFonts w:hint="eastAsia" w:ascii="宋体" w:hAnsi="宋体"/>
          <w:color w:val="auto"/>
          <w:sz w:val="24"/>
        </w:rPr>
        <w:t xml:space="preserve"> _____________________________</w:t>
      </w:r>
    </w:p>
    <w:p w14:paraId="5F0902AB">
      <w:pPr>
        <w:wordWrap w:val="0"/>
        <w:ind w:right="360"/>
        <w:jc w:val="right"/>
        <w:rPr>
          <w:rFonts w:hint="eastAsia" w:ascii="宋体" w:hAnsi="宋体"/>
          <w:color w:val="auto"/>
          <w:sz w:val="24"/>
        </w:rPr>
      </w:pPr>
      <w:r>
        <w:rPr>
          <w:rFonts w:hint="eastAsia" w:ascii="宋体" w:hAnsi="宋体"/>
          <w:color w:val="auto"/>
          <w:sz w:val="24"/>
        </w:rPr>
        <w:t>年     月     日</w:t>
      </w:r>
    </w:p>
    <w:p w14:paraId="7C469D92">
      <w:pPr>
        <w:pStyle w:val="4"/>
        <w:spacing w:line="360" w:lineRule="auto"/>
        <w:jc w:val="center"/>
        <w:rPr>
          <w:rFonts w:hint="eastAsia" w:ascii="宋体" w:hAnsi="宋体" w:eastAsia="宋体" w:cs="宋体"/>
          <w:color w:val="auto"/>
          <w:szCs w:val="22"/>
        </w:rPr>
      </w:pPr>
      <w:r>
        <w:rPr>
          <w:rFonts w:hint="eastAsia" w:ascii="宋体" w:hAnsi="宋体" w:eastAsia="宋体" w:cs="宋体"/>
          <w:color w:val="auto"/>
          <w:sz w:val="24"/>
        </w:rPr>
        <w:br w:type="page"/>
      </w:r>
      <w:bookmarkStart w:id="69" w:name="_Toc19403"/>
      <w:bookmarkStart w:id="70" w:name="_Toc462325842"/>
      <w:r>
        <w:rPr>
          <w:rFonts w:hint="eastAsia" w:ascii="宋体" w:hAnsi="宋体" w:cs="宋体"/>
          <w:color w:val="auto"/>
          <w:szCs w:val="22"/>
          <w:lang w:eastAsia="zh-CN"/>
        </w:rPr>
        <w:t>二</w:t>
      </w:r>
      <w:r>
        <w:rPr>
          <w:rFonts w:hint="eastAsia" w:ascii="宋体" w:hAnsi="宋体" w:eastAsia="宋体" w:cs="宋体"/>
          <w:color w:val="auto"/>
          <w:szCs w:val="22"/>
        </w:rPr>
        <w:t>、</w:t>
      </w:r>
      <w:bookmarkEnd w:id="69"/>
      <w:r>
        <w:rPr>
          <w:rFonts w:hint="eastAsia" w:ascii="宋体" w:hAnsi="宋体" w:eastAsia="宋体" w:cs="宋体"/>
          <w:color w:val="auto"/>
          <w:szCs w:val="22"/>
        </w:rPr>
        <w:t>第一次磋商报价表</w:t>
      </w:r>
    </w:p>
    <w:p w14:paraId="1694F239">
      <w:pPr>
        <w:spacing w:line="360" w:lineRule="auto"/>
        <w:jc w:val="center"/>
        <w:rPr>
          <w:rFonts w:hint="eastAsia" w:ascii="宋体" w:hAnsi="宋体" w:eastAsia="宋体" w:cs="宋体"/>
          <w:color w:val="auto"/>
          <w:lang w:eastAsia="zh-CN"/>
        </w:rPr>
      </w:pPr>
      <w:r>
        <w:rPr>
          <w:rFonts w:hint="eastAsia" w:hAnsi="宋体" w:cs="宋体"/>
          <w:b/>
          <w:bCs/>
          <w:color w:val="auto"/>
          <w:sz w:val="32"/>
          <w:szCs w:val="28"/>
          <w:lang w:val="en-US" w:eastAsia="zh-CN"/>
        </w:rPr>
        <w:t>2</w:t>
      </w:r>
      <w:r>
        <w:rPr>
          <w:rFonts w:hint="eastAsia" w:ascii="宋体" w:hAnsi="宋体" w:cs="宋体"/>
          <w:b/>
          <w:bCs/>
          <w:color w:val="auto"/>
          <w:sz w:val="32"/>
          <w:szCs w:val="28"/>
        </w:rPr>
        <w:t>.1</w:t>
      </w:r>
      <w:bookmarkEnd w:id="70"/>
      <w:r>
        <w:rPr>
          <w:rFonts w:hint="eastAsia" w:hAnsi="宋体" w:cs="宋体"/>
          <w:b/>
          <w:bCs/>
          <w:color w:val="auto"/>
          <w:sz w:val="32"/>
          <w:szCs w:val="28"/>
          <w:lang w:eastAsia="zh-CN"/>
        </w:rPr>
        <w:t>磋商报价表</w:t>
      </w:r>
    </w:p>
    <w:p w14:paraId="550FA211">
      <w:pPr>
        <w:jc w:val="right"/>
        <w:rPr>
          <w:rFonts w:hint="eastAsia" w:ascii="宋体" w:hAnsi="宋体" w:cs="宋体"/>
          <w:color w:val="auto"/>
          <w:sz w:val="24"/>
          <w:szCs w:val="22"/>
        </w:rPr>
      </w:pPr>
      <w:r>
        <w:rPr>
          <w:rFonts w:hint="eastAsia" w:ascii="宋体" w:hAnsi="宋体" w:cs="宋体"/>
          <w:color w:val="auto"/>
          <w:sz w:val="24"/>
          <w:szCs w:val="22"/>
        </w:rPr>
        <w:t>单元：（元）</w:t>
      </w:r>
    </w:p>
    <w:tbl>
      <w:tblPr>
        <w:tblStyle w:val="47"/>
        <w:tblW w:w="9362"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27"/>
        <w:gridCol w:w="7635"/>
      </w:tblGrid>
      <w:tr w14:paraId="63C0930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8" w:hRule="atLeast"/>
        </w:trPr>
        <w:tc>
          <w:tcPr>
            <w:tcW w:w="1727" w:type="dxa"/>
            <w:tcBorders>
              <w:bottom w:val="single" w:color="auto" w:sz="4" w:space="0"/>
            </w:tcBorders>
            <w:noWrap w:val="0"/>
            <w:vAlign w:val="center"/>
          </w:tcPr>
          <w:p w14:paraId="314FE6AB">
            <w:pPr>
              <w:spacing w:line="360" w:lineRule="auto"/>
              <w:jc w:val="center"/>
              <w:rPr>
                <w:rFonts w:hint="eastAsia" w:ascii="宋体" w:hAnsi="宋体" w:cs="宋体"/>
                <w:b/>
                <w:bCs/>
                <w:color w:val="auto"/>
                <w:sz w:val="24"/>
              </w:rPr>
            </w:pPr>
            <w:bookmarkStart w:id="71" w:name="OLE_LINK14"/>
            <w:r>
              <w:rPr>
                <w:rFonts w:hint="eastAsia" w:ascii="宋体" w:hAnsi="宋体" w:cs="宋体"/>
                <w:b/>
                <w:bCs/>
                <w:color w:val="auto"/>
                <w:sz w:val="24"/>
              </w:rPr>
              <w:t>采购项目名称</w:t>
            </w:r>
          </w:p>
        </w:tc>
        <w:tc>
          <w:tcPr>
            <w:tcW w:w="7635" w:type="dxa"/>
            <w:noWrap w:val="0"/>
            <w:vAlign w:val="center"/>
          </w:tcPr>
          <w:p w14:paraId="43602F7E">
            <w:pPr>
              <w:pStyle w:val="3"/>
              <w:spacing w:line="360" w:lineRule="auto"/>
              <w:jc w:val="center"/>
              <w:rPr>
                <w:rFonts w:hint="eastAsia" w:ascii="宋体" w:hAnsi="宋体" w:cs="宋体"/>
                <w:b w:val="0"/>
                <w:color w:val="auto"/>
                <w:kern w:val="2"/>
                <w:sz w:val="24"/>
              </w:rPr>
            </w:pPr>
          </w:p>
        </w:tc>
      </w:tr>
      <w:tr w14:paraId="2CBE84C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trPr>
        <w:tc>
          <w:tcPr>
            <w:tcW w:w="1727" w:type="dxa"/>
            <w:tcBorders>
              <w:bottom w:val="single" w:color="auto" w:sz="4" w:space="0"/>
            </w:tcBorders>
            <w:noWrap w:val="0"/>
            <w:vAlign w:val="center"/>
          </w:tcPr>
          <w:p w14:paraId="34C5A989">
            <w:pPr>
              <w:spacing w:line="360" w:lineRule="auto"/>
              <w:jc w:val="center"/>
              <w:rPr>
                <w:rFonts w:hint="eastAsia" w:ascii="宋体" w:hAnsi="宋体" w:cs="宋体"/>
                <w:b/>
                <w:bCs/>
                <w:color w:val="auto"/>
                <w:sz w:val="24"/>
              </w:rPr>
            </w:pPr>
            <w:r>
              <w:rPr>
                <w:rFonts w:hint="eastAsia" w:ascii="宋体" w:hAnsi="宋体" w:cs="宋体"/>
                <w:b/>
                <w:bCs/>
                <w:color w:val="auto"/>
                <w:sz w:val="24"/>
              </w:rPr>
              <w:t>采购项目编号</w:t>
            </w:r>
          </w:p>
        </w:tc>
        <w:tc>
          <w:tcPr>
            <w:tcW w:w="7635" w:type="dxa"/>
            <w:tcBorders>
              <w:bottom w:val="single" w:color="auto" w:sz="4" w:space="0"/>
            </w:tcBorders>
            <w:noWrap w:val="0"/>
            <w:vAlign w:val="center"/>
          </w:tcPr>
          <w:p w14:paraId="5F56049A">
            <w:pPr>
              <w:spacing w:line="360" w:lineRule="auto"/>
              <w:jc w:val="center"/>
              <w:rPr>
                <w:rFonts w:hint="eastAsia" w:ascii="宋体" w:hAnsi="宋体" w:cs="宋体"/>
                <w:bCs/>
                <w:color w:val="auto"/>
                <w:sz w:val="24"/>
              </w:rPr>
            </w:pPr>
          </w:p>
        </w:tc>
      </w:tr>
      <w:tr w14:paraId="54735E0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97" w:hRule="atLeast"/>
        </w:trPr>
        <w:tc>
          <w:tcPr>
            <w:tcW w:w="1727" w:type="dxa"/>
            <w:noWrap w:val="0"/>
            <w:vAlign w:val="center"/>
          </w:tcPr>
          <w:p w14:paraId="3C2E095B">
            <w:pPr>
              <w:spacing w:line="360" w:lineRule="auto"/>
              <w:jc w:val="center"/>
              <w:rPr>
                <w:rFonts w:hint="eastAsia" w:ascii="宋体" w:hAnsi="宋体" w:cs="宋体"/>
                <w:b/>
                <w:bCs/>
                <w:color w:val="auto"/>
                <w:sz w:val="24"/>
              </w:rPr>
            </w:pPr>
            <w:r>
              <w:rPr>
                <w:rFonts w:hint="eastAsia" w:ascii="宋体" w:hAnsi="宋体" w:cs="宋体"/>
                <w:b/>
                <w:bCs/>
                <w:color w:val="auto"/>
                <w:sz w:val="24"/>
              </w:rPr>
              <w:t>供应商名称</w:t>
            </w:r>
          </w:p>
          <w:p w14:paraId="429E15FC">
            <w:pPr>
              <w:spacing w:line="360" w:lineRule="auto"/>
              <w:jc w:val="center"/>
              <w:rPr>
                <w:rFonts w:hint="eastAsia" w:ascii="宋体" w:hAnsi="宋体" w:cs="宋体"/>
                <w:b/>
                <w:bCs/>
                <w:color w:val="auto"/>
                <w:sz w:val="24"/>
              </w:rPr>
            </w:pPr>
            <w:r>
              <w:rPr>
                <w:rFonts w:hint="eastAsia" w:ascii="宋体" w:hAnsi="宋体" w:cs="宋体"/>
                <w:b/>
                <w:bCs/>
                <w:color w:val="auto"/>
                <w:sz w:val="24"/>
              </w:rPr>
              <w:t>(单位名称)</w:t>
            </w:r>
          </w:p>
        </w:tc>
        <w:tc>
          <w:tcPr>
            <w:tcW w:w="7635" w:type="dxa"/>
            <w:noWrap w:val="0"/>
            <w:vAlign w:val="center"/>
          </w:tcPr>
          <w:p w14:paraId="406F4A66">
            <w:pPr>
              <w:spacing w:line="360" w:lineRule="auto"/>
              <w:jc w:val="center"/>
              <w:rPr>
                <w:rFonts w:hint="eastAsia" w:ascii="宋体" w:hAnsi="宋体" w:cs="宋体"/>
                <w:b/>
                <w:bCs/>
                <w:color w:val="auto"/>
                <w:sz w:val="24"/>
              </w:rPr>
            </w:pPr>
          </w:p>
        </w:tc>
      </w:tr>
      <w:tr w14:paraId="4DD59E3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320" w:hRule="atLeast"/>
        </w:trPr>
        <w:tc>
          <w:tcPr>
            <w:tcW w:w="1727" w:type="dxa"/>
            <w:noWrap w:val="0"/>
            <w:vAlign w:val="center"/>
          </w:tcPr>
          <w:p w14:paraId="31911F8E">
            <w:pPr>
              <w:spacing w:line="360" w:lineRule="auto"/>
              <w:jc w:val="center"/>
              <w:rPr>
                <w:rFonts w:hint="eastAsia" w:ascii="宋体" w:hAnsi="宋体" w:cs="宋体"/>
                <w:b/>
                <w:bCs/>
                <w:color w:val="auto"/>
                <w:sz w:val="24"/>
              </w:rPr>
            </w:pPr>
            <w:r>
              <w:rPr>
                <w:rFonts w:hint="eastAsia" w:hAnsi="宋体" w:cs="宋体"/>
                <w:b/>
                <w:bCs/>
                <w:color w:val="auto"/>
                <w:sz w:val="24"/>
                <w:lang w:eastAsia="zh-CN"/>
              </w:rPr>
              <w:t>磋商</w:t>
            </w:r>
            <w:r>
              <w:rPr>
                <w:rFonts w:hint="eastAsia" w:ascii="宋体" w:hAnsi="宋体" w:cs="宋体"/>
                <w:b/>
                <w:bCs/>
                <w:color w:val="auto"/>
                <w:sz w:val="24"/>
              </w:rPr>
              <w:t>报价</w:t>
            </w:r>
          </w:p>
        </w:tc>
        <w:tc>
          <w:tcPr>
            <w:tcW w:w="7635" w:type="dxa"/>
            <w:noWrap w:val="0"/>
            <w:vAlign w:val="top"/>
          </w:tcPr>
          <w:p w14:paraId="2787F3EC">
            <w:pPr>
              <w:spacing w:line="360" w:lineRule="auto"/>
              <w:rPr>
                <w:rFonts w:hint="eastAsia" w:hAnsi="宋体" w:cs="宋体"/>
                <w:b/>
                <w:bCs/>
                <w:color w:val="auto"/>
                <w:sz w:val="24"/>
                <w:lang w:eastAsia="zh-CN"/>
              </w:rPr>
            </w:pPr>
          </w:p>
        </w:tc>
      </w:tr>
      <w:tr w14:paraId="362D619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trPr>
        <w:tc>
          <w:tcPr>
            <w:tcW w:w="1727" w:type="dxa"/>
            <w:noWrap w:val="0"/>
            <w:vAlign w:val="center"/>
          </w:tcPr>
          <w:p w14:paraId="2B23ED10">
            <w:pPr>
              <w:spacing w:line="360" w:lineRule="auto"/>
              <w:jc w:val="center"/>
              <w:rPr>
                <w:rFonts w:hint="eastAsia" w:ascii="宋体" w:hAnsi="宋体" w:eastAsia="宋体" w:cs="宋体"/>
                <w:b/>
                <w:bCs/>
                <w:color w:val="auto"/>
                <w:sz w:val="24"/>
                <w:lang w:eastAsia="zh-CN"/>
              </w:rPr>
            </w:pPr>
            <w:r>
              <w:rPr>
                <w:rFonts w:hint="eastAsia" w:hAnsi="宋体" w:cs="宋体"/>
                <w:b/>
                <w:bCs/>
                <w:color w:val="auto"/>
                <w:sz w:val="24"/>
                <w:lang w:eastAsia="zh-CN"/>
              </w:rPr>
              <w:t>服务期</w:t>
            </w:r>
          </w:p>
        </w:tc>
        <w:tc>
          <w:tcPr>
            <w:tcW w:w="7635" w:type="dxa"/>
            <w:noWrap w:val="0"/>
            <w:vAlign w:val="top"/>
          </w:tcPr>
          <w:p w14:paraId="0AF7FDD1">
            <w:pPr>
              <w:spacing w:line="360" w:lineRule="auto"/>
              <w:rPr>
                <w:rFonts w:hint="eastAsia" w:ascii="宋体" w:hAnsi="宋体" w:cs="宋体"/>
                <w:b/>
                <w:bCs/>
                <w:color w:val="auto"/>
                <w:sz w:val="24"/>
              </w:rPr>
            </w:pPr>
          </w:p>
        </w:tc>
      </w:tr>
      <w:tr w14:paraId="4D40EAD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trPr>
        <w:tc>
          <w:tcPr>
            <w:tcW w:w="1727" w:type="dxa"/>
            <w:noWrap w:val="0"/>
            <w:vAlign w:val="center"/>
          </w:tcPr>
          <w:p w14:paraId="46ED8F24">
            <w:pPr>
              <w:spacing w:line="360" w:lineRule="auto"/>
              <w:jc w:val="center"/>
              <w:rPr>
                <w:rFonts w:hint="eastAsia" w:ascii="宋体" w:hAnsi="宋体" w:cs="宋体"/>
                <w:b/>
                <w:bCs/>
                <w:color w:val="auto"/>
                <w:sz w:val="24"/>
              </w:rPr>
            </w:pPr>
            <w:r>
              <w:rPr>
                <w:rFonts w:hint="eastAsia" w:ascii="宋体" w:hAnsi="宋体" w:cs="宋体"/>
                <w:b/>
                <w:bCs/>
                <w:color w:val="auto"/>
                <w:sz w:val="24"/>
              </w:rPr>
              <w:t>投标声明</w:t>
            </w:r>
          </w:p>
        </w:tc>
        <w:tc>
          <w:tcPr>
            <w:tcW w:w="7635" w:type="dxa"/>
            <w:noWrap w:val="0"/>
            <w:vAlign w:val="top"/>
          </w:tcPr>
          <w:p w14:paraId="5FB122FD">
            <w:pPr>
              <w:spacing w:line="360" w:lineRule="auto"/>
              <w:rPr>
                <w:rFonts w:hint="default" w:ascii="宋体" w:hAnsi="宋体" w:eastAsia="宋体" w:cs="宋体"/>
                <w:b/>
                <w:bCs/>
                <w:color w:val="auto"/>
                <w:sz w:val="24"/>
                <w:lang w:val="en-US" w:eastAsia="zh-CN"/>
              </w:rPr>
            </w:pPr>
          </w:p>
        </w:tc>
      </w:tr>
      <w:bookmarkEnd w:id="71"/>
    </w:tbl>
    <w:p w14:paraId="6826E5BF">
      <w:pPr>
        <w:rPr>
          <w:rFonts w:hint="eastAsia" w:ascii="宋体" w:hAnsi="宋体" w:cs="宋体"/>
          <w:color w:val="auto"/>
          <w:sz w:val="24"/>
          <w:szCs w:val="24"/>
        </w:rPr>
      </w:pPr>
    </w:p>
    <w:p w14:paraId="5423D559">
      <w:pPr>
        <w:spacing w:line="480" w:lineRule="auto"/>
        <w:rPr>
          <w:rFonts w:hint="eastAsia" w:ascii="宋体" w:hAnsi="宋体" w:cs="宋体"/>
          <w:color w:val="auto"/>
        </w:rPr>
      </w:pPr>
      <w:r>
        <w:rPr>
          <w:rFonts w:hint="eastAsia" w:ascii="宋体" w:hAnsi="宋体" w:cs="宋体"/>
          <w:color w:val="auto"/>
          <w:sz w:val="24"/>
          <w:szCs w:val="24"/>
        </w:rPr>
        <w:t>投标人名称：</w:t>
      </w:r>
      <w:r>
        <w:rPr>
          <w:rFonts w:hint="eastAsia" w:ascii="宋体" w:hAnsi="宋体" w:cs="宋体"/>
          <w:color w:val="auto"/>
          <w:sz w:val="24"/>
          <w:szCs w:val="24"/>
          <w:u w:val="single"/>
        </w:rPr>
        <w:t xml:space="preserve">           （加盖单位公章）           </w:t>
      </w:r>
    </w:p>
    <w:p w14:paraId="18F503C2">
      <w:pPr>
        <w:spacing w:line="480" w:lineRule="auto"/>
        <w:rPr>
          <w:rFonts w:hint="eastAsia" w:ascii="宋体" w:hAnsi="宋体" w:cs="宋体"/>
          <w:color w:val="auto"/>
          <w:sz w:val="24"/>
        </w:rPr>
      </w:pPr>
      <w:r>
        <w:rPr>
          <w:rFonts w:hint="eastAsia" w:ascii="宋体" w:hAnsi="宋体" w:cs="宋体"/>
          <w:color w:val="auto"/>
          <w:sz w:val="24"/>
        </w:rPr>
        <w:t>法定代表人</w:t>
      </w:r>
      <w:r>
        <w:rPr>
          <w:rFonts w:hint="eastAsia" w:hAnsi="宋体" w:cs="宋体"/>
          <w:color w:val="auto"/>
          <w:sz w:val="24"/>
          <w:lang w:val="en-US" w:eastAsia="zh-CN"/>
        </w:rPr>
        <w:t>/</w:t>
      </w:r>
      <w:r>
        <w:rPr>
          <w:rFonts w:hint="eastAsia" w:ascii="宋体" w:hAnsi="宋体" w:cs="宋体"/>
          <w:color w:val="auto"/>
          <w:sz w:val="24"/>
        </w:rPr>
        <w:t>被授权人</w:t>
      </w:r>
      <w:r>
        <w:rPr>
          <w:rFonts w:hint="eastAsia" w:hAnsi="宋体" w:cs="宋体"/>
          <w:color w:val="auto"/>
          <w:sz w:val="24"/>
          <w:lang w:eastAsia="zh-CN"/>
        </w:rPr>
        <w:t>（</w:t>
      </w:r>
      <w:r>
        <w:rPr>
          <w:rFonts w:hint="eastAsia" w:ascii="宋体" w:hAnsi="宋体" w:cs="宋体"/>
          <w:color w:val="auto"/>
          <w:sz w:val="24"/>
        </w:rPr>
        <w:t>签字</w:t>
      </w:r>
      <w:r>
        <w:rPr>
          <w:rFonts w:hint="eastAsia" w:hAnsi="宋体" w:cs="宋体"/>
          <w:color w:val="auto"/>
          <w:sz w:val="24"/>
          <w:lang w:eastAsia="zh-CN"/>
        </w:rPr>
        <w:t>或盖章）</w:t>
      </w:r>
      <w:r>
        <w:rPr>
          <w:rFonts w:hint="eastAsia" w:ascii="宋体" w:hAnsi="宋体" w:cs="宋体"/>
          <w:color w:val="auto"/>
          <w:sz w:val="24"/>
        </w:rPr>
        <w:t>：</w:t>
      </w:r>
      <w:r>
        <w:rPr>
          <w:rFonts w:hint="eastAsia" w:ascii="宋体" w:hAnsi="宋体" w:cs="宋体"/>
          <w:color w:val="auto"/>
          <w:sz w:val="24"/>
          <w:u w:val="single"/>
        </w:rPr>
        <w:t xml:space="preserve">               </w:t>
      </w:r>
    </w:p>
    <w:p w14:paraId="286F5489">
      <w:pPr>
        <w:tabs>
          <w:tab w:val="left" w:pos="1100"/>
        </w:tabs>
        <w:spacing w:line="480" w:lineRule="auto"/>
        <w:rPr>
          <w:rFonts w:hint="eastAsia" w:ascii="宋体" w:hAnsi="宋体" w:cs="宋体"/>
          <w:color w:val="auto"/>
          <w:sz w:val="24"/>
        </w:rPr>
      </w:pPr>
      <w:r>
        <w:rPr>
          <w:rFonts w:hint="eastAsia" w:ascii="宋体" w:hAnsi="宋体" w:cs="宋体"/>
          <w:color w:val="auto"/>
          <w:sz w:val="24"/>
        </w:rPr>
        <w:t>日</w:t>
      </w:r>
      <w:r>
        <w:rPr>
          <w:rFonts w:hint="eastAsia" w:ascii="宋体" w:hAnsi="宋体" w:cs="宋体"/>
          <w:color w:val="auto"/>
        </w:rPr>
        <w:tab/>
      </w:r>
      <w:r>
        <w:rPr>
          <w:rFonts w:hint="eastAsia" w:ascii="宋体" w:hAnsi="宋体" w:cs="宋体"/>
          <w:color w:val="auto"/>
          <w:sz w:val="24"/>
        </w:rPr>
        <w:t>期：</w:t>
      </w:r>
      <w:r>
        <w:rPr>
          <w:rFonts w:hint="eastAsia" w:ascii="宋体" w:hAnsi="宋体" w:cs="宋体"/>
          <w:color w:val="auto"/>
          <w:sz w:val="24"/>
          <w:u w:val="single"/>
        </w:rPr>
        <w:t xml:space="preserve">               </w:t>
      </w:r>
    </w:p>
    <w:p w14:paraId="4363EE06">
      <w:pPr>
        <w:spacing w:line="480" w:lineRule="auto"/>
        <w:rPr>
          <w:rFonts w:hint="eastAsia" w:ascii="宋体" w:hAnsi="宋体" w:cs="宋体"/>
          <w:color w:val="auto"/>
        </w:rPr>
      </w:pPr>
    </w:p>
    <w:p w14:paraId="0FE053A4">
      <w:pPr>
        <w:spacing w:line="360" w:lineRule="auto"/>
        <w:rPr>
          <w:rFonts w:hint="eastAsia" w:ascii="宋体" w:hAnsi="宋体" w:cs="宋体"/>
          <w:color w:val="auto"/>
          <w:sz w:val="24"/>
          <w:szCs w:val="24"/>
        </w:rPr>
      </w:pPr>
      <w:r>
        <w:rPr>
          <w:rFonts w:hint="eastAsia" w:ascii="宋体" w:hAnsi="宋体" w:cs="宋体"/>
          <w:color w:val="auto"/>
          <w:sz w:val="24"/>
          <w:szCs w:val="24"/>
        </w:rPr>
        <w:t>注：本表应按“投标人须知”的规定密封单独提交。若有折扣声明，请与本表一并装订和密封。</w:t>
      </w:r>
    </w:p>
    <w:p w14:paraId="72B1D19E">
      <w:pPr>
        <w:spacing w:line="360" w:lineRule="auto"/>
        <w:rPr>
          <w:rFonts w:hint="eastAsia" w:ascii="宋体" w:hAnsi="宋体" w:cs="宋体"/>
          <w:color w:val="auto"/>
          <w:sz w:val="24"/>
          <w:szCs w:val="24"/>
        </w:rPr>
        <w:sectPr>
          <w:headerReference r:id="rId7" w:type="default"/>
          <w:footerReference r:id="rId8" w:type="default"/>
          <w:pgSz w:w="11906" w:h="16838"/>
          <w:pgMar w:top="1440" w:right="1803" w:bottom="1440" w:left="1803" w:header="850" w:footer="992" w:gutter="0"/>
          <w:pgNumType w:fmt="decimal" w:start="1"/>
          <w:cols w:space="720" w:num="1"/>
          <w:docGrid w:linePitch="360" w:charSpace="0"/>
        </w:sectPr>
      </w:pPr>
    </w:p>
    <w:p w14:paraId="2DC9E809">
      <w:pPr>
        <w:spacing w:line="360" w:lineRule="auto"/>
        <w:jc w:val="center"/>
        <w:rPr>
          <w:rFonts w:hint="eastAsia" w:ascii="宋体" w:hAnsi="宋体" w:cs="宋体"/>
          <w:b/>
          <w:bCs/>
          <w:color w:val="auto"/>
          <w:sz w:val="32"/>
          <w:szCs w:val="28"/>
        </w:rPr>
      </w:pPr>
      <w:r>
        <w:rPr>
          <w:rFonts w:hint="eastAsia" w:hAnsi="宋体" w:cs="宋体"/>
          <w:b/>
          <w:bCs/>
          <w:color w:val="auto"/>
          <w:sz w:val="32"/>
          <w:szCs w:val="28"/>
          <w:lang w:val="en-US" w:eastAsia="zh-CN"/>
        </w:rPr>
        <w:t>2</w:t>
      </w:r>
      <w:r>
        <w:rPr>
          <w:rFonts w:hint="eastAsia" w:ascii="宋体" w:hAnsi="宋体" w:cs="宋体"/>
          <w:b/>
          <w:bCs/>
          <w:color w:val="auto"/>
          <w:sz w:val="32"/>
          <w:szCs w:val="28"/>
        </w:rPr>
        <w:t>.2、</w:t>
      </w:r>
      <w:bookmarkStart w:id="72" w:name="_Toc9619"/>
      <w:r>
        <w:rPr>
          <w:rFonts w:hint="eastAsia" w:ascii="宋体" w:hAnsi="宋体" w:cs="宋体"/>
          <w:b/>
          <w:bCs/>
          <w:color w:val="auto"/>
          <w:sz w:val="32"/>
          <w:szCs w:val="28"/>
        </w:rPr>
        <w:t>具体报价书</w:t>
      </w:r>
      <w:bookmarkEnd w:id="72"/>
    </w:p>
    <w:p w14:paraId="45F3A9CB">
      <w:pPr>
        <w:pStyle w:val="4"/>
        <w:jc w:val="center"/>
        <w:rPr>
          <w:rFonts w:hint="eastAsia" w:ascii="宋体" w:hAnsi="宋体" w:eastAsia="宋体"/>
          <w:color w:val="auto"/>
          <w:sz w:val="32"/>
          <w:szCs w:val="32"/>
        </w:rPr>
      </w:pPr>
    </w:p>
    <w:p w14:paraId="0C06696D">
      <w:pPr>
        <w:jc w:val="center"/>
        <w:rPr>
          <w:rFonts w:hint="eastAsia"/>
          <w:color w:val="auto"/>
        </w:rPr>
      </w:pPr>
      <w:r>
        <w:rPr>
          <w:rFonts w:hint="eastAsia"/>
          <w:color w:val="auto"/>
        </w:rPr>
        <w:t>投标人自拟</w:t>
      </w:r>
    </w:p>
    <w:p w14:paraId="4C852261">
      <w:pPr>
        <w:spacing w:line="480" w:lineRule="auto"/>
        <w:rPr>
          <w:rFonts w:hint="eastAsia" w:ascii="宋体" w:hAnsi="宋体" w:cs="宋体"/>
          <w:color w:val="auto"/>
          <w:sz w:val="24"/>
          <w:szCs w:val="24"/>
        </w:rPr>
      </w:pPr>
    </w:p>
    <w:p w14:paraId="3AA1030E">
      <w:pPr>
        <w:pStyle w:val="2"/>
        <w:rPr>
          <w:rFonts w:hint="eastAsia" w:ascii="宋体" w:hAnsi="宋体" w:cs="宋体"/>
          <w:color w:val="auto"/>
          <w:sz w:val="24"/>
          <w:szCs w:val="24"/>
        </w:rPr>
      </w:pPr>
    </w:p>
    <w:p w14:paraId="5CB957CF">
      <w:pPr>
        <w:rPr>
          <w:rFonts w:hint="eastAsia" w:ascii="宋体" w:hAnsi="宋体" w:cs="宋体"/>
          <w:color w:val="auto"/>
          <w:sz w:val="24"/>
          <w:szCs w:val="24"/>
        </w:rPr>
      </w:pPr>
    </w:p>
    <w:p w14:paraId="6171F9BB">
      <w:pPr>
        <w:pStyle w:val="2"/>
        <w:rPr>
          <w:rFonts w:hint="eastAsia" w:ascii="宋体" w:hAnsi="宋体" w:cs="宋体"/>
          <w:color w:val="auto"/>
          <w:sz w:val="24"/>
          <w:szCs w:val="24"/>
        </w:rPr>
      </w:pPr>
    </w:p>
    <w:p w14:paraId="7588C7B2">
      <w:pPr>
        <w:rPr>
          <w:rFonts w:hint="eastAsia" w:ascii="宋体" w:hAnsi="宋体" w:cs="宋体"/>
          <w:color w:val="auto"/>
          <w:sz w:val="24"/>
          <w:szCs w:val="24"/>
        </w:rPr>
      </w:pPr>
    </w:p>
    <w:p w14:paraId="6124C5B7">
      <w:pPr>
        <w:pStyle w:val="2"/>
        <w:rPr>
          <w:rFonts w:hint="eastAsia" w:ascii="宋体" w:hAnsi="宋体" w:cs="宋体"/>
          <w:color w:val="auto"/>
          <w:sz w:val="24"/>
          <w:szCs w:val="24"/>
        </w:rPr>
      </w:pPr>
    </w:p>
    <w:p w14:paraId="3CEF4B84">
      <w:pPr>
        <w:rPr>
          <w:rFonts w:hint="eastAsia" w:ascii="宋体" w:hAnsi="宋体" w:cs="宋体"/>
          <w:color w:val="auto"/>
          <w:sz w:val="24"/>
          <w:szCs w:val="24"/>
        </w:rPr>
      </w:pPr>
    </w:p>
    <w:p w14:paraId="2C2BD099">
      <w:pPr>
        <w:pStyle w:val="2"/>
        <w:rPr>
          <w:rFonts w:hint="eastAsia" w:ascii="宋体" w:hAnsi="宋体" w:cs="宋体"/>
          <w:color w:val="auto"/>
          <w:sz w:val="24"/>
          <w:szCs w:val="24"/>
        </w:rPr>
      </w:pPr>
    </w:p>
    <w:p w14:paraId="4F769FC3">
      <w:pPr>
        <w:rPr>
          <w:rFonts w:hint="eastAsia" w:ascii="宋体" w:hAnsi="宋体" w:cs="宋体"/>
          <w:color w:val="auto"/>
          <w:sz w:val="24"/>
          <w:szCs w:val="24"/>
        </w:rPr>
      </w:pPr>
    </w:p>
    <w:p w14:paraId="27D0D333">
      <w:pPr>
        <w:pStyle w:val="2"/>
        <w:rPr>
          <w:rFonts w:hint="eastAsia" w:ascii="宋体" w:hAnsi="宋体" w:cs="宋体"/>
          <w:color w:val="auto"/>
          <w:sz w:val="24"/>
          <w:szCs w:val="24"/>
        </w:rPr>
      </w:pPr>
    </w:p>
    <w:p w14:paraId="2B310B59">
      <w:pPr>
        <w:rPr>
          <w:rFonts w:hint="eastAsia"/>
          <w:color w:val="auto"/>
        </w:rPr>
      </w:pPr>
    </w:p>
    <w:p w14:paraId="570E5B1A">
      <w:pPr>
        <w:spacing w:line="480" w:lineRule="auto"/>
        <w:rPr>
          <w:rFonts w:hint="eastAsia" w:ascii="宋体" w:hAnsi="宋体" w:cs="宋体"/>
          <w:color w:val="auto"/>
        </w:rPr>
      </w:pPr>
      <w:r>
        <w:rPr>
          <w:rFonts w:hint="eastAsia" w:ascii="宋体" w:hAnsi="宋体" w:cs="宋体"/>
          <w:color w:val="auto"/>
          <w:sz w:val="24"/>
          <w:szCs w:val="24"/>
        </w:rPr>
        <w:t>投标人名称：</w:t>
      </w:r>
      <w:r>
        <w:rPr>
          <w:rFonts w:hint="eastAsia" w:ascii="宋体" w:hAnsi="宋体" w:cs="宋体"/>
          <w:color w:val="auto"/>
          <w:sz w:val="24"/>
          <w:szCs w:val="24"/>
          <w:u w:val="single"/>
        </w:rPr>
        <w:t xml:space="preserve">           （加盖单位公章）           </w:t>
      </w:r>
    </w:p>
    <w:p w14:paraId="255F494C">
      <w:pPr>
        <w:spacing w:line="480" w:lineRule="auto"/>
        <w:rPr>
          <w:rFonts w:hint="eastAsia" w:ascii="宋体" w:hAnsi="宋体" w:cs="宋体"/>
          <w:color w:val="auto"/>
          <w:sz w:val="24"/>
        </w:rPr>
      </w:pPr>
      <w:r>
        <w:rPr>
          <w:rFonts w:hint="eastAsia" w:ascii="宋体" w:hAnsi="宋体" w:cs="宋体"/>
          <w:color w:val="auto"/>
          <w:sz w:val="24"/>
        </w:rPr>
        <w:t>法定代表人</w:t>
      </w:r>
      <w:r>
        <w:rPr>
          <w:rFonts w:hint="eastAsia" w:hAnsi="宋体" w:cs="宋体"/>
          <w:color w:val="auto"/>
          <w:sz w:val="24"/>
          <w:lang w:val="en-US" w:eastAsia="zh-CN"/>
        </w:rPr>
        <w:t>/</w:t>
      </w:r>
      <w:r>
        <w:rPr>
          <w:rFonts w:hint="eastAsia" w:ascii="宋体" w:hAnsi="宋体" w:cs="宋体"/>
          <w:color w:val="auto"/>
          <w:sz w:val="24"/>
        </w:rPr>
        <w:t>被授权人</w:t>
      </w:r>
      <w:r>
        <w:rPr>
          <w:rFonts w:hint="eastAsia" w:hAnsi="宋体" w:cs="宋体"/>
          <w:color w:val="auto"/>
          <w:sz w:val="24"/>
          <w:lang w:eastAsia="zh-CN"/>
        </w:rPr>
        <w:t>（</w:t>
      </w:r>
      <w:r>
        <w:rPr>
          <w:rFonts w:hint="eastAsia" w:ascii="宋体" w:hAnsi="宋体" w:cs="宋体"/>
          <w:color w:val="auto"/>
          <w:sz w:val="24"/>
        </w:rPr>
        <w:t>签字</w:t>
      </w:r>
      <w:r>
        <w:rPr>
          <w:rFonts w:hint="eastAsia" w:hAnsi="宋体" w:cs="宋体"/>
          <w:color w:val="auto"/>
          <w:sz w:val="24"/>
          <w:lang w:eastAsia="zh-CN"/>
        </w:rPr>
        <w:t>或盖章）</w:t>
      </w:r>
      <w:r>
        <w:rPr>
          <w:rFonts w:hint="eastAsia" w:ascii="宋体" w:hAnsi="宋体" w:cs="宋体"/>
          <w:color w:val="auto"/>
          <w:sz w:val="24"/>
        </w:rPr>
        <w:t>：</w:t>
      </w:r>
      <w:r>
        <w:rPr>
          <w:rFonts w:hint="eastAsia" w:ascii="宋体" w:hAnsi="宋体" w:cs="宋体"/>
          <w:color w:val="auto"/>
          <w:sz w:val="24"/>
          <w:u w:val="single"/>
        </w:rPr>
        <w:t xml:space="preserve">               </w:t>
      </w:r>
    </w:p>
    <w:p w14:paraId="2B339A8B">
      <w:pPr>
        <w:tabs>
          <w:tab w:val="left" w:pos="1100"/>
        </w:tabs>
        <w:spacing w:line="480" w:lineRule="auto"/>
        <w:rPr>
          <w:rFonts w:hint="eastAsia" w:ascii="宋体" w:hAnsi="宋体" w:cs="宋体"/>
          <w:color w:val="auto"/>
          <w:sz w:val="24"/>
        </w:rPr>
      </w:pPr>
      <w:r>
        <w:rPr>
          <w:rFonts w:hint="eastAsia" w:ascii="宋体" w:hAnsi="宋体" w:cs="宋体"/>
          <w:color w:val="auto"/>
          <w:sz w:val="24"/>
        </w:rPr>
        <w:t>日</w:t>
      </w:r>
      <w:r>
        <w:rPr>
          <w:rFonts w:hint="eastAsia" w:ascii="宋体" w:hAnsi="宋体" w:cs="宋体"/>
          <w:color w:val="auto"/>
        </w:rPr>
        <w:tab/>
      </w:r>
      <w:r>
        <w:rPr>
          <w:rFonts w:hint="eastAsia" w:ascii="宋体" w:hAnsi="宋体" w:cs="宋体"/>
          <w:color w:val="auto"/>
          <w:sz w:val="24"/>
        </w:rPr>
        <w:t>期：</w:t>
      </w:r>
      <w:r>
        <w:rPr>
          <w:rFonts w:hint="eastAsia" w:ascii="宋体" w:hAnsi="宋体" w:cs="宋体"/>
          <w:color w:val="auto"/>
          <w:sz w:val="24"/>
          <w:u w:val="single"/>
        </w:rPr>
        <w:t xml:space="preserve">               </w:t>
      </w:r>
    </w:p>
    <w:p w14:paraId="3C4FD0CA">
      <w:pPr>
        <w:spacing w:line="360" w:lineRule="auto"/>
        <w:rPr>
          <w:rFonts w:hint="eastAsia" w:ascii="宋体" w:hAnsi="宋体" w:cs="宋体"/>
          <w:color w:val="auto"/>
          <w:sz w:val="24"/>
          <w:szCs w:val="24"/>
        </w:rPr>
      </w:pPr>
      <w:r>
        <w:rPr>
          <w:rFonts w:hint="eastAsia" w:ascii="宋体" w:hAnsi="宋体" w:cs="宋体"/>
          <w:color w:val="auto"/>
          <w:sz w:val="24"/>
          <w:szCs w:val="24"/>
        </w:rPr>
        <w:t>注：1.如果按单价计算的结果与总价不一致，以单价为准修正总价。</w:t>
      </w:r>
    </w:p>
    <w:p w14:paraId="7138E77C">
      <w:pPr>
        <w:spacing w:line="360" w:lineRule="auto"/>
        <w:rPr>
          <w:rFonts w:hint="eastAsia" w:ascii="宋体" w:hAnsi="宋体" w:cs="宋体"/>
          <w:color w:val="auto"/>
          <w:sz w:val="24"/>
          <w:szCs w:val="24"/>
        </w:rPr>
      </w:pPr>
      <w:r>
        <w:rPr>
          <w:rFonts w:hint="eastAsia" w:ascii="宋体" w:hAnsi="宋体" w:cs="宋体"/>
          <w:color w:val="auto"/>
          <w:sz w:val="24"/>
          <w:szCs w:val="24"/>
        </w:rPr>
        <w:t>2.如果不提供详细分项报价将视为没有实质性响应</w:t>
      </w:r>
      <w:r>
        <w:rPr>
          <w:rFonts w:hint="eastAsia" w:ascii="宋体" w:hAnsi="宋体" w:cs="宋体"/>
          <w:color w:val="auto"/>
          <w:sz w:val="24"/>
          <w:szCs w:val="24"/>
          <w:lang w:eastAsia="zh-CN"/>
        </w:rPr>
        <w:t>磋商文件</w:t>
      </w:r>
      <w:r>
        <w:rPr>
          <w:rFonts w:hint="eastAsia" w:ascii="宋体" w:hAnsi="宋体" w:cs="宋体"/>
          <w:color w:val="auto"/>
          <w:sz w:val="24"/>
          <w:szCs w:val="24"/>
        </w:rPr>
        <w:t>。</w:t>
      </w:r>
    </w:p>
    <w:p w14:paraId="33798E70">
      <w:pPr>
        <w:adjustRightInd w:val="0"/>
        <w:spacing w:line="360" w:lineRule="auto"/>
        <w:textAlignment w:val="baseline"/>
        <w:rPr>
          <w:rFonts w:hint="eastAsia" w:ascii="宋体" w:hAnsi="宋体" w:cs="宋体"/>
          <w:b/>
          <w:color w:val="auto"/>
          <w:sz w:val="32"/>
          <w:szCs w:val="32"/>
        </w:rPr>
      </w:pPr>
    </w:p>
    <w:p w14:paraId="38D48F1D">
      <w:pPr>
        <w:adjustRightInd w:val="0"/>
        <w:spacing w:line="360" w:lineRule="auto"/>
        <w:textAlignment w:val="baseline"/>
        <w:rPr>
          <w:rFonts w:hint="eastAsia" w:ascii="宋体" w:hAnsi="宋体" w:cs="宋体"/>
          <w:b/>
          <w:color w:val="auto"/>
          <w:sz w:val="32"/>
          <w:szCs w:val="32"/>
        </w:rPr>
      </w:pPr>
    </w:p>
    <w:p w14:paraId="76028228">
      <w:pPr>
        <w:pStyle w:val="4"/>
        <w:spacing w:before="0" w:after="0" w:line="360" w:lineRule="auto"/>
        <w:jc w:val="center"/>
        <w:rPr>
          <w:rFonts w:hint="eastAsia" w:ascii="宋体" w:hAnsi="宋体" w:eastAsia="宋体" w:cs="宋体"/>
          <w:color w:val="auto"/>
          <w:szCs w:val="32"/>
        </w:rPr>
      </w:pPr>
      <w:bookmarkStart w:id="73" w:name="_Toc283240498"/>
      <w:bookmarkStart w:id="74" w:name="_Toc462325843"/>
      <w:bookmarkStart w:id="75" w:name="_Toc311415659"/>
      <w:bookmarkStart w:id="76" w:name="_Toc14667"/>
      <w:bookmarkStart w:id="77" w:name="_Toc334522293"/>
      <w:bookmarkStart w:id="78" w:name="_Toc312789405"/>
      <w:bookmarkStart w:id="79" w:name="_Toc347478748"/>
      <w:bookmarkStart w:id="80" w:name="_Toc11839"/>
    </w:p>
    <w:p w14:paraId="2082BA43">
      <w:pPr>
        <w:rPr>
          <w:rFonts w:hint="eastAsia"/>
          <w:color w:val="auto"/>
        </w:rPr>
      </w:pPr>
    </w:p>
    <w:p w14:paraId="0600777F">
      <w:pPr>
        <w:pStyle w:val="12"/>
        <w:rPr>
          <w:rFonts w:hint="eastAsia" w:ascii="宋体" w:hAnsi="宋体" w:eastAsia="宋体" w:cs="宋体"/>
          <w:color w:val="auto"/>
          <w:szCs w:val="32"/>
        </w:rPr>
      </w:pPr>
    </w:p>
    <w:p w14:paraId="213BC7F3">
      <w:pPr>
        <w:pStyle w:val="12"/>
        <w:rPr>
          <w:rFonts w:hint="eastAsia" w:ascii="宋体" w:hAnsi="宋体" w:eastAsia="宋体" w:cs="宋体"/>
          <w:color w:val="auto"/>
          <w:szCs w:val="32"/>
        </w:rPr>
      </w:pPr>
    </w:p>
    <w:p w14:paraId="798164C5">
      <w:pPr>
        <w:pStyle w:val="12"/>
        <w:rPr>
          <w:rFonts w:hint="eastAsia" w:ascii="宋体" w:hAnsi="宋体" w:eastAsia="宋体" w:cs="宋体"/>
          <w:color w:val="auto"/>
          <w:szCs w:val="32"/>
        </w:rPr>
      </w:pPr>
    </w:p>
    <w:p w14:paraId="436B64AF">
      <w:pPr>
        <w:pStyle w:val="12"/>
        <w:rPr>
          <w:rFonts w:hint="eastAsia" w:ascii="宋体" w:hAnsi="宋体" w:eastAsia="宋体" w:cs="宋体"/>
          <w:color w:val="auto"/>
          <w:szCs w:val="32"/>
        </w:rPr>
      </w:pPr>
    </w:p>
    <w:p w14:paraId="2B7DFF66">
      <w:pPr>
        <w:pStyle w:val="4"/>
        <w:spacing w:line="360" w:lineRule="auto"/>
        <w:jc w:val="center"/>
        <w:rPr>
          <w:rFonts w:hint="eastAsia" w:ascii="宋体" w:hAnsi="宋体" w:eastAsia="宋体" w:cs="宋体"/>
          <w:color w:val="auto"/>
        </w:rPr>
      </w:pPr>
      <w:bookmarkStart w:id="81" w:name="_Toc14559"/>
      <w:r>
        <w:rPr>
          <w:rFonts w:hint="eastAsia" w:ascii="宋体" w:hAnsi="宋体" w:cs="宋体"/>
          <w:color w:val="auto"/>
          <w:szCs w:val="32"/>
          <w:lang w:eastAsia="zh-CN"/>
        </w:rPr>
        <w:t>三</w:t>
      </w:r>
      <w:r>
        <w:rPr>
          <w:rFonts w:hint="eastAsia" w:ascii="宋体" w:hAnsi="宋体" w:eastAsia="宋体" w:cs="宋体"/>
          <w:color w:val="auto"/>
          <w:szCs w:val="32"/>
        </w:rPr>
        <w:t>、资格证明文件</w:t>
      </w:r>
      <w:bookmarkEnd w:id="81"/>
    </w:p>
    <w:p w14:paraId="27797D82">
      <w:pPr>
        <w:spacing w:line="368" w:lineRule="exact"/>
        <w:rPr>
          <w:rFonts w:hint="eastAsia" w:ascii="宋体" w:hAnsi="宋体" w:cs="宋体"/>
          <w:color w:val="auto"/>
        </w:rPr>
      </w:pPr>
    </w:p>
    <w:p w14:paraId="2F690C98">
      <w:pPr>
        <w:spacing w:line="0" w:lineRule="atLeast"/>
        <w:ind w:left="200" w:firstLine="460" w:firstLineChars="200"/>
        <w:rPr>
          <w:rFonts w:hint="eastAsia" w:ascii="宋体" w:hAnsi="宋体" w:cs="宋体"/>
          <w:color w:val="auto"/>
          <w:sz w:val="23"/>
        </w:rPr>
      </w:pPr>
      <w:r>
        <w:rPr>
          <w:rFonts w:hint="eastAsia" w:ascii="宋体" w:hAnsi="宋体" w:cs="宋体"/>
          <w:color w:val="auto"/>
          <w:sz w:val="23"/>
        </w:rPr>
        <w:t>投标人应按照</w:t>
      </w:r>
      <w:r>
        <w:rPr>
          <w:rFonts w:hint="eastAsia" w:ascii="宋体" w:hAnsi="宋体" w:cs="宋体"/>
          <w:color w:val="auto"/>
          <w:sz w:val="23"/>
          <w:lang w:eastAsia="zh-CN"/>
        </w:rPr>
        <w:t>磋商文件</w:t>
      </w:r>
      <w:r>
        <w:rPr>
          <w:rFonts w:hint="eastAsia" w:ascii="宋体" w:hAnsi="宋体" w:cs="宋体"/>
          <w:color w:val="auto"/>
          <w:sz w:val="23"/>
        </w:rPr>
        <w:t>的要求准备、封装至</w:t>
      </w:r>
      <w:r>
        <w:rPr>
          <w:rFonts w:hint="eastAsia" w:ascii="宋体" w:hAnsi="宋体" w:cs="宋体"/>
          <w:color w:val="auto"/>
          <w:sz w:val="23"/>
          <w:lang w:eastAsia="zh-CN"/>
        </w:rPr>
        <w:t>竞争性磋商响应文件</w:t>
      </w:r>
      <w:r>
        <w:rPr>
          <w:rFonts w:hint="eastAsia" w:ascii="宋体" w:hAnsi="宋体" w:cs="宋体"/>
          <w:color w:val="auto"/>
          <w:sz w:val="23"/>
        </w:rPr>
        <w:t>中。至少应包括以下内容：</w:t>
      </w:r>
    </w:p>
    <w:p w14:paraId="4A1B75C6">
      <w:pPr>
        <w:spacing w:line="234" w:lineRule="exact"/>
        <w:rPr>
          <w:rFonts w:hint="eastAsia" w:ascii="宋体" w:hAnsi="宋体" w:cs="宋体"/>
          <w:color w:val="auto"/>
        </w:rPr>
      </w:pPr>
    </w:p>
    <w:p w14:paraId="6C293845">
      <w:pPr>
        <w:spacing w:line="360" w:lineRule="auto"/>
        <w:ind w:firstLine="480" w:firstLineChars="200"/>
        <w:rPr>
          <w:rFonts w:hint="eastAsia" w:ascii="宋体" w:hAnsi="宋体"/>
          <w:color w:val="auto"/>
          <w:sz w:val="24"/>
        </w:rPr>
      </w:pPr>
      <w:r>
        <w:rPr>
          <w:rFonts w:hint="eastAsia" w:hAnsi="宋体"/>
          <w:color w:val="auto"/>
          <w:sz w:val="24"/>
          <w:lang w:val="en-US" w:eastAsia="zh-CN"/>
        </w:rPr>
        <w:t>1</w:t>
      </w:r>
      <w:r>
        <w:rPr>
          <w:rFonts w:hint="eastAsia" w:ascii="宋体" w:hAnsi="宋体"/>
          <w:color w:val="auto"/>
          <w:sz w:val="24"/>
        </w:rPr>
        <w:t>、投标人资格证明</w:t>
      </w:r>
      <w:r>
        <w:rPr>
          <w:rFonts w:hint="eastAsia" w:hAnsi="宋体"/>
          <w:color w:val="auto"/>
          <w:sz w:val="24"/>
          <w:lang w:eastAsia="zh-CN"/>
        </w:rPr>
        <w:t>文件</w:t>
      </w:r>
      <w:r>
        <w:rPr>
          <w:rFonts w:hint="eastAsia" w:ascii="宋体" w:hAnsi="宋体"/>
          <w:color w:val="auto"/>
          <w:sz w:val="24"/>
        </w:rPr>
        <w:t>主要内容（</w:t>
      </w:r>
      <w:r>
        <w:rPr>
          <w:rFonts w:hint="eastAsia" w:hAnsi="宋体"/>
          <w:color w:val="auto"/>
          <w:sz w:val="24"/>
          <w:lang w:eastAsia="zh-CN"/>
        </w:rPr>
        <w:t>磋商</w:t>
      </w:r>
      <w:r>
        <w:rPr>
          <w:rFonts w:hint="eastAsia" w:ascii="宋体" w:hAnsi="宋体"/>
          <w:color w:val="auto"/>
          <w:sz w:val="24"/>
        </w:rPr>
        <w:t>文件规定的资格证明</w:t>
      </w:r>
      <w:r>
        <w:rPr>
          <w:rFonts w:hint="eastAsia" w:hAnsi="宋体"/>
          <w:color w:val="auto"/>
          <w:sz w:val="24"/>
          <w:lang w:eastAsia="zh-CN"/>
        </w:rPr>
        <w:t>文件</w:t>
      </w:r>
      <w:r>
        <w:rPr>
          <w:rFonts w:hint="eastAsia" w:ascii="宋体" w:hAnsi="宋体"/>
          <w:color w:val="auto"/>
          <w:sz w:val="24"/>
        </w:rPr>
        <w:t>复印件）。</w:t>
      </w:r>
    </w:p>
    <w:p w14:paraId="039DD281">
      <w:pPr>
        <w:spacing w:line="360" w:lineRule="auto"/>
        <w:ind w:firstLine="480" w:firstLineChars="200"/>
        <w:rPr>
          <w:rFonts w:hint="eastAsia" w:ascii="宋体" w:hAnsi="宋体"/>
          <w:color w:val="auto"/>
          <w:sz w:val="24"/>
        </w:rPr>
      </w:pPr>
      <w:r>
        <w:rPr>
          <w:rFonts w:hint="eastAsia" w:hAnsi="宋体"/>
          <w:color w:val="auto"/>
          <w:sz w:val="24"/>
          <w:lang w:val="en-US" w:eastAsia="zh-CN"/>
        </w:rPr>
        <w:t>2</w:t>
      </w:r>
      <w:r>
        <w:rPr>
          <w:rFonts w:hint="eastAsia" w:ascii="宋体" w:hAnsi="宋体"/>
          <w:color w:val="auto"/>
          <w:sz w:val="24"/>
        </w:rPr>
        <w:t>、以往同类业绩证明。</w:t>
      </w:r>
    </w:p>
    <w:p w14:paraId="7ABD612D">
      <w:pPr>
        <w:spacing w:line="234" w:lineRule="exact"/>
        <w:rPr>
          <w:rFonts w:hint="eastAsia" w:ascii="宋体" w:hAnsi="宋体" w:cs="宋体"/>
          <w:color w:val="auto"/>
        </w:rPr>
      </w:pPr>
    </w:p>
    <w:p w14:paraId="0CE8544C">
      <w:pPr>
        <w:pStyle w:val="46"/>
        <w:rPr>
          <w:rFonts w:hint="eastAsia" w:ascii="宋体" w:hAnsi="宋体" w:cs="宋体"/>
          <w:color w:val="auto"/>
        </w:rPr>
      </w:pPr>
    </w:p>
    <w:p w14:paraId="70DB6D4F">
      <w:pPr>
        <w:pStyle w:val="46"/>
        <w:rPr>
          <w:rFonts w:hint="eastAsia" w:ascii="宋体" w:hAnsi="宋体" w:cs="宋体"/>
          <w:color w:val="auto"/>
        </w:rPr>
      </w:pPr>
    </w:p>
    <w:p w14:paraId="0D9F3A02">
      <w:pPr>
        <w:pStyle w:val="46"/>
        <w:rPr>
          <w:rFonts w:hint="eastAsia" w:ascii="宋体" w:hAnsi="宋体" w:cs="宋体"/>
          <w:color w:val="auto"/>
        </w:rPr>
      </w:pPr>
    </w:p>
    <w:p w14:paraId="70A3EE06">
      <w:pPr>
        <w:pStyle w:val="46"/>
        <w:rPr>
          <w:rFonts w:hint="eastAsia" w:ascii="宋体" w:hAnsi="宋体" w:cs="宋体"/>
          <w:color w:val="auto"/>
        </w:rPr>
      </w:pPr>
    </w:p>
    <w:p w14:paraId="367966DF">
      <w:pPr>
        <w:pStyle w:val="46"/>
        <w:rPr>
          <w:rFonts w:hint="eastAsia" w:ascii="宋体" w:hAnsi="宋体" w:cs="宋体"/>
          <w:color w:val="auto"/>
        </w:rPr>
      </w:pPr>
    </w:p>
    <w:p w14:paraId="5C9C8896">
      <w:pPr>
        <w:pStyle w:val="46"/>
        <w:rPr>
          <w:rFonts w:hint="eastAsia" w:ascii="宋体" w:hAnsi="宋体" w:cs="宋体"/>
          <w:color w:val="auto"/>
        </w:rPr>
      </w:pPr>
    </w:p>
    <w:p w14:paraId="32ADC02D">
      <w:pPr>
        <w:pStyle w:val="46"/>
        <w:rPr>
          <w:rFonts w:hint="eastAsia" w:ascii="宋体" w:hAnsi="宋体" w:cs="宋体"/>
          <w:color w:val="auto"/>
        </w:rPr>
      </w:pPr>
    </w:p>
    <w:p w14:paraId="38D69462">
      <w:pPr>
        <w:pStyle w:val="46"/>
        <w:rPr>
          <w:rFonts w:hint="eastAsia" w:ascii="宋体" w:hAnsi="宋体" w:cs="宋体"/>
          <w:color w:val="auto"/>
        </w:rPr>
      </w:pPr>
    </w:p>
    <w:p w14:paraId="2A69468C">
      <w:pPr>
        <w:pStyle w:val="46"/>
        <w:rPr>
          <w:rFonts w:hint="eastAsia" w:ascii="宋体" w:hAnsi="宋体" w:cs="宋体"/>
          <w:color w:val="auto"/>
        </w:rPr>
      </w:pPr>
    </w:p>
    <w:p w14:paraId="2B0B0C7A">
      <w:pPr>
        <w:pStyle w:val="46"/>
        <w:rPr>
          <w:rFonts w:hint="eastAsia" w:ascii="宋体" w:hAnsi="宋体" w:cs="宋体"/>
          <w:color w:val="auto"/>
        </w:rPr>
      </w:pPr>
    </w:p>
    <w:p w14:paraId="2E62E961">
      <w:pPr>
        <w:pStyle w:val="46"/>
        <w:rPr>
          <w:rFonts w:hint="eastAsia" w:ascii="宋体" w:hAnsi="宋体" w:cs="宋体"/>
          <w:color w:val="auto"/>
        </w:rPr>
      </w:pPr>
    </w:p>
    <w:p w14:paraId="2BE3D4BE">
      <w:pPr>
        <w:pStyle w:val="46"/>
        <w:rPr>
          <w:rFonts w:hint="eastAsia" w:ascii="宋体" w:hAnsi="宋体" w:cs="宋体"/>
          <w:color w:val="auto"/>
        </w:rPr>
      </w:pPr>
    </w:p>
    <w:p w14:paraId="1B7DC6B6">
      <w:pPr>
        <w:pStyle w:val="46"/>
        <w:rPr>
          <w:rFonts w:hint="eastAsia" w:ascii="宋体" w:hAnsi="宋体" w:cs="宋体"/>
          <w:color w:val="auto"/>
        </w:rPr>
      </w:pPr>
    </w:p>
    <w:p w14:paraId="6E6A9E41">
      <w:pPr>
        <w:pStyle w:val="46"/>
        <w:rPr>
          <w:rFonts w:hint="eastAsia" w:ascii="宋体" w:hAnsi="宋体" w:cs="宋体"/>
          <w:color w:val="auto"/>
        </w:rPr>
      </w:pPr>
    </w:p>
    <w:p w14:paraId="251DD516">
      <w:pPr>
        <w:pStyle w:val="46"/>
        <w:rPr>
          <w:rFonts w:hint="eastAsia" w:ascii="宋体" w:hAnsi="宋体" w:cs="宋体"/>
          <w:color w:val="auto"/>
        </w:rPr>
      </w:pPr>
    </w:p>
    <w:p w14:paraId="6A1E4409">
      <w:pPr>
        <w:pStyle w:val="46"/>
        <w:rPr>
          <w:rFonts w:hint="eastAsia" w:ascii="宋体" w:hAnsi="宋体" w:cs="宋体"/>
          <w:color w:val="auto"/>
        </w:rPr>
      </w:pPr>
    </w:p>
    <w:p w14:paraId="32F7CB79">
      <w:pPr>
        <w:pStyle w:val="46"/>
        <w:rPr>
          <w:rFonts w:hint="eastAsia" w:ascii="宋体" w:hAnsi="宋体" w:cs="宋体"/>
          <w:color w:val="auto"/>
        </w:rPr>
      </w:pPr>
    </w:p>
    <w:p w14:paraId="016A9D2E">
      <w:pPr>
        <w:pStyle w:val="46"/>
        <w:rPr>
          <w:rFonts w:hint="eastAsia" w:ascii="宋体" w:hAnsi="宋体" w:cs="宋体"/>
          <w:color w:val="auto"/>
        </w:rPr>
      </w:pPr>
    </w:p>
    <w:p w14:paraId="0CDABF67">
      <w:pPr>
        <w:pStyle w:val="46"/>
        <w:rPr>
          <w:rFonts w:hint="eastAsia" w:ascii="宋体" w:hAnsi="宋体" w:cs="宋体"/>
          <w:color w:val="auto"/>
        </w:rPr>
      </w:pPr>
    </w:p>
    <w:p w14:paraId="066167F9">
      <w:pPr>
        <w:pStyle w:val="46"/>
        <w:rPr>
          <w:rFonts w:hint="eastAsia" w:ascii="宋体" w:hAnsi="宋体" w:cs="宋体"/>
          <w:color w:val="auto"/>
        </w:rPr>
      </w:pPr>
    </w:p>
    <w:p w14:paraId="06E860A3">
      <w:pPr>
        <w:pStyle w:val="46"/>
        <w:rPr>
          <w:rFonts w:hint="eastAsia" w:ascii="宋体" w:hAnsi="宋体" w:cs="宋体"/>
          <w:color w:val="auto"/>
        </w:rPr>
      </w:pPr>
    </w:p>
    <w:p w14:paraId="13953CE9">
      <w:pPr>
        <w:pStyle w:val="46"/>
        <w:rPr>
          <w:rFonts w:hint="eastAsia" w:ascii="宋体" w:hAnsi="宋体" w:cs="宋体"/>
          <w:color w:val="auto"/>
        </w:rPr>
      </w:pPr>
    </w:p>
    <w:p w14:paraId="408941FC">
      <w:pPr>
        <w:pStyle w:val="46"/>
        <w:rPr>
          <w:rFonts w:hint="eastAsia" w:ascii="宋体" w:hAnsi="宋体" w:cs="宋体"/>
          <w:color w:val="auto"/>
        </w:rPr>
      </w:pPr>
    </w:p>
    <w:p w14:paraId="54141A40">
      <w:pPr>
        <w:pStyle w:val="46"/>
        <w:rPr>
          <w:rFonts w:hint="eastAsia" w:ascii="宋体" w:hAnsi="宋体" w:cs="宋体"/>
          <w:color w:val="auto"/>
        </w:rPr>
      </w:pPr>
    </w:p>
    <w:p w14:paraId="7324218B">
      <w:pPr>
        <w:pStyle w:val="46"/>
        <w:rPr>
          <w:rFonts w:hint="eastAsia" w:ascii="宋体" w:hAnsi="宋体" w:cs="宋体"/>
          <w:color w:val="auto"/>
        </w:rPr>
      </w:pPr>
    </w:p>
    <w:p w14:paraId="1A7AD280">
      <w:pPr>
        <w:pStyle w:val="46"/>
        <w:rPr>
          <w:rFonts w:hint="eastAsia" w:ascii="宋体" w:hAnsi="宋体" w:cs="宋体"/>
          <w:color w:val="auto"/>
        </w:rPr>
      </w:pPr>
    </w:p>
    <w:p w14:paraId="0F1535B3">
      <w:pPr>
        <w:pStyle w:val="46"/>
        <w:rPr>
          <w:rFonts w:hint="eastAsia" w:ascii="宋体" w:hAnsi="宋体" w:cs="宋体"/>
          <w:color w:val="auto"/>
        </w:rPr>
      </w:pPr>
    </w:p>
    <w:p w14:paraId="7CE3B910">
      <w:pPr>
        <w:pStyle w:val="46"/>
        <w:rPr>
          <w:rFonts w:hint="eastAsia" w:ascii="宋体" w:hAnsi="宋体" w:cs="宋体"/>
          <w:color w:val="auto"/>
        </w:rPr>
      </w:pPr>
    </w:p>
    <w:p w14:paraId="507E7AFB">
      <w:pPr>
        <w:pStyle w:val="65"/>
        <w:rPr>
          <w:rFonts w:hint="eastAsia" w:ascii="宋体" w:hAnsi="宋体" w:eastAsia="宋体" w:cs="宋体"/>
          <w:color w:val="auto"/>
          <w:sz w:val="28"/>
          <w:szCs w:val="28"/>
          <w:lang w:val="en-US" w:eastAsia="zh-CN"/>
        </w:rPr>
      </w:pPr>
      <w:r>
        <w:rPr>
          <w:rFonts w:hint="eastAsia" w:ascii="宋体" w:hAnsi="宋体" w:cs="宋体"/>
          <w:color w:val="auto"/>
          <w:sz w:val="28"/>
          <w:szCs w:val="28"/>
          <w:lang w:val="en-US" w:eastAsia="zh-CN"/>
        </w:rPr>
        <w:t>附件1：</w:t>
      </w:r>
    </w:p>
    <w:p w14:paraId="6A784048">
      <w:pPr>
        <w:pStyle w:val="42"/>
        <w:shd w:val="clear" w:color="060000" w:fill="FFFFFF"/>
        <w:adjustRightInd w:val="0"/>
        <w:snapToGrid w:val="0"/>
        <w:spacing w:before="0" w:beforeAutospacing="0" w:after="150" w:afterAutospacing="0" w:line="500" w:lineRule="exact"/>
        <w:ind w:firstLine="480"/>
        <w:jc w:val="center"/>
        <w:rPr>
          <w:rFonts w:hint="eastAsia" w:ascii="宋体" w:hAnsi="宋体" w:eastAsia="宋体" w:cs="宋体"/>
          <w:b/>
          <w:bCs/>
          <w:color w:val="auto"/>
          <w:kern w:val="2"/>
          <w:sz w:val="36"/>
          <w:szCs w:val="36"/>
          <w:lang w:val="en-US" w:eastAsia="zh-CN" w:bidi="ar-SA"/>
        </w:rPr>
      </w:pPr>
      <w:r>
        <w:rPr>
          <w:rFonts w:hint="eastAsia" w:ascii="宋体" w:hAnsi="宋体" w:eastAsia="宋体" w:cs="宋体"/>
          <w:b/>
          <w:bCs/>
          <w:color w:val="auto"/>
          <w:kern w:val="2"/>
          <w:sz w:val="36"/>
          <w:szCs w:val="36"/>
          <w:lang w:val="en-US" w:eastAsia="zh-CN" w:bidi="ar-SA"/>
        </w:rPr>
        <w:t>榆林市政府采购服务类项目供应商信用承诺书</w:t>
      </w:r>
    </w:p>
    <w:p w14:paraId="7AFE1F49">
      <w:pPr>
        <w:pStyle w:val="42"/>
        <w:shd w:val="clear" w:color="auto" w:fill="FFFFFF"/>
        <w:adjustRightInd w:val="0"/>
        <w:snapToGrid w:val="0"/>
        <w:spacing w:before="0" w:beforeAutospacing="0" w:after="150" w:afterAutospacing="0" w:line="560" w:lineRule="exact"/>
        <w:ind w:firstLine="480"/>
        <w:jc w:val="both"/>
        <w:rPr>
          <w:rFonts w:hint="eastAsia" w:cs="宋体"/>
          <w:color w:val="auto"/>
          <w:sz w:val="24"/>
          <w:szCs w:val="24"/>
        </w:rPr>
      </w:pPr>
      <w:r>
        <w:rPr>
          <w:rFonts w:hint="eastAsia" w:cs="宋体"/>
          <w:color w:val="auto"/>
          <w:sz w:val="24"/>
          <w:szCs w:val="24"/>
          <w:shd w:val="clear" w:color="auto" w:fill="FFFFFF"/>
        </w:rPr>
        <w:t>市场主体名称：</w:t>
      </w:r>
    </w:p>
    <w:p w14:paraId="0D3E2A6C">
      <w:pPr>
        <w:pStyle w:val="42"/>
        <w:shd w:val="clear" w:color="auto" w:fill="FFFFFF"/>
        <w:adjustRightInd w:val="0"/>
        <w:snapToGrid w:val="0"/>
        <w:spacing w:before="0" w:beforeAutospacing="0" w:after="150" w:afterAutospacing="0" w:line="560" w:lineRule="exact"/>
        <w:ind w:firstLine="480"/>
        <w:jc w:val="both"/>
        <w:rPr>
          <w:rFonts w:hint="eastAsia" w:cs="宋体"/>
          <w:color w:val="auto"/>
          <w:sz w:val="24"/>
          <w:szCs w:val="24"/>
        </w:rPr>
      </w:pPr>
      <w:r>
        <w:rPr>
          <w:rFonts w:hint="eastAsia" w:cs="宋体"/>
          <w:color w:val="auto"/>
          <w:sz w:val="24"/>
          <w:szCs w:val="24"/>
          <w:shd w:val="clear" w:color="auto" w:fill="FFFFFF"/>
        </w:rPr>
        <w:t>证件类型：统一社会信用代码</w:t>
      </w:r>
    </w:p>
    <w:p w14:paraId="140C1769">
      <w:pPr>
        <w:pStyle w:val="42"/>
        <w:shd w:val="clear" w:color="auto" w:fill="FFFFFF"/>
        <w:adjustRightInd w:val="0"/>
        <w:snapToGrid w:val="0"/>
        <w:spacing w:before="0" w:beforeAutospacing="0" w:after="150" w:afterAutospacing="0" w:line="560" w:lineRule="exact"/>
        <w:ind w:firstLine="480"/>
        <w:jc w:val="both"/>
        <w:rPr>
          <w:rFonts w:hint="eastAsia" w:cs="宋体"/>
          <w:color w:val="auto"/>
          <w:sz w:val="24"/>
          <w:szCs w:val="24"/>
          <w:shd w:val="clear" w:color="auto" w:fill="FFFFFF"/>
        </w:rPr>
      </w:pPr>
      <w:r>
        <w:rPr>
          <w:rFonts w:hint="eastAsia" w:cs="宋体"/>
          <w:color w:val="auto"/>
          <w:sz w:val="24"/>
          <w:szCs w:val="24"/>
          <w:shd w:val="clear" w:color="auto" w:fill="FFFFFF"/>
        </w:rPr>
        <w:t>证件号码：</w:t>
      </w:r>
    </w:p>
    <w:p w14:paraId="3539DDB4">
      <w:pPr>
        <w:pStyle w:val="42"/>
        <w:shd w:val="clear" w:color="auto" w:fill="FFFFFF"/>
        <w:adjustRightInd w:val="0"/>
        <w:snapToGrid w:val="0"/>
        <w:spacing w:before="0" w:beforeAutospacing="0" w:after="150" w:afterAutospacing="0" w:line="560" w:lineRule="exact"/>
        <w:ind w:firstLine="480"/>
        <w:jc w:val="both"/>
        <w:rPr>
          <w:rFonts w:hint="eastAsia" w:cs="宋体"/>
          <w:color w:val="auto"/>
          <w:sz w:val="24"/>
          <w:szCs w:val="24"/>
          <w:shd w:val="clear" w:color="auto" w:fill="FFFFFF"/>
        </w:rPr>
      </w:pPr>
      <w:r>
        <w:rPr>
          <w:rFonts w:hint="eastAsia" w:cs="宋体"/>
          <w:color w:val="auto"/>
          <w:sz w:val="24"/>
          <w:szCs w:val="24"/>
          <w:shd w:val="clear" w:color="auto" w:fill="FFFFFF"/>
        </w:rPr>
        <w:t>法人代表：</w:t>
      </w:r>
    </w:p>
    <w:p w14:paraId="166A317C">
      <w:pPr>
        <w:pStyle w:val="42"/>
        <w:shd w:val="clear" w:color="auto" w:fill="FFFFFF"/>
        <w:adjustRightInd w:val="0"/>
        <w:snapToGrid w:val="0"/>
        <w:spacing w:before="0" w:beforeAutospacing="0" w:after="150" w:afterAutospacing="0" w:line="560" w:lineRule="exact"/>
        <w:ind w:firstLine="480"/>
        <w:jc w:val="both"/>
        <w:rPr>
          <w:rFonts w:hint="eastAsia" w:eastAsia="宋体" w:cs="宋体"/>
          <w:color w:val="auto"/>
          <w:sz w:val="24"/>
          <w:szCs w:val="24"/>
          <w:shd w:val="clear" w:color="auto" w:fill="FFFFFF"/>
          <w:lang w:eastAsia="zh-CN"/>
        </w:rPr>
      </w:pPr>
      <w:r>
        <w:rPr>
          <w:rFonts w:hint="eastAsia" w:cs="宋体"/>
          <w:color w:val="auto"/>
          <w:sz w:val="24"/>
          <w:szCs w:val="24"/>
          <w:shd w:val="clear" w:color="auto" w:fill="FFFFFF"/>
        </w:rPr>
        <w:t>承诺有效期限：   年    月    日—    年    月     日</w:t>
      </w:r>
      <w:r>
        <w:rPr>
          <w:rFonts w:hint="eastAsia" w:cs="宋体"/>
          <w:color w:val="auto"/>
          <w:sz w:val="24"/>
          <w:szCs w:val="24"/>
          <w:shd w:val="clear" w:color="auto" w:fill="FFFFFF"/>
          <w:lang w:eastAsia="zh-CN"/>
        </w:rPr>
        <w:t>（有效期一年）</w:t>
      </w:r>
    </w:p>
    <w:p w14:paraId="5C7EE511">
      <w:pPr>
        <w:pStyle w:val="42"/>
        <w:shd w:val="clear" w:color="auto" w:fill="FFFFFF"/>
        <w:adjustRightInd w:val="0"/>
        <w:snapToGrid w:val="0"/>
        <w:spacing w:before="0" w:beforeAutospacing="0" w:after="150" w:afterAutospacing="0" w:line="560" w:lineRule="exact"/>
        <w:ind w:firstLine="480"/>
        <w:jc w:val="both"/>
        <w:rPr>
          <w:rFonts w:hint="eastAsia" w:cs="宋体"/>
          <w:color w:val="auto"/>
          <w:sz w:val="24"/>
          <w:szCs w:val="24"/>
        </w:rPr>
      </w:pPr>
      <w:r>
        <w:rPr>
          <w:rFonts w:hint="eastAsia" w:cs="宋体"/>
          <w:color w:val="auto"/>
          <w:sz w:val="24"/>
          <w:szCs w:val="24"/>
          <w:shd w:val="clear" w:color="auto" w:fill="FFFFFF"/>
        </w:rPr>
        <w:t>承诺内容：</w:t>
      </w:r>
    </w:p>
    <w:p w14:paraId="7529E6A9">
      <w:pPr>
        <w:pStyle w:val="42"/>
        <w:shd w:val="clear" w:color="auto" w:fill="FFFFFF"/>
        <w:adjustRightInd w:val="0"/>
        <w:snapToGrid w:val="0"/>
        <w:spacing w:before="0" w:beforeAutospacing="0" w:after="150" w:afterAutospacing="0" w:line="560" w:lineRule="exact"/>
        <w:ind w:firstLine="640"/>
        <w:jc w:val="both"/>
        <w:rPr>
          <w:rFonts w:hint="eastAsia" w:cs="宋体"/>
          <w:color w:val="auto"/>
          <w:sz w:val="24"/>
          <w:szCs w:val="24"/>
        </w:rPr>
      </w:pPr>
      <w:r>
        <w:rPr>
          <w:rFonts w:hint="eastAsia" w:cs="宋体"/>
          <w:color w:val="auto"/>
          <w:sz w:val="24"/>
          <w:szCs w:val="24"/>
          <w:shd w:val="clear" w:color="auto" w:fill="FFFFFF"/>
        </w:rPr>
        <w:t>为维护公开、公平、公正的政府采购市场秩序，树立诚实守信的政府采购供应商形象，本单位自愿做出以下承诺：</w:t>
      </w:r>
    </w:p>
    <w:p w14:paraId="315794D1">
      <w:pPr>
        <w:pStyle w:val="42"/>
        <w:shd w:val="clear" w:color="auto" w:fill="FFFFFF"/>
        <w:adjustRightInd w:val="0"/>
        <w:snapToGrid w:val="0"/>
        <w:spacing w:before="0" w:beforeAutospacing="0" w:after="150" w:afterAutospacing="0" w:line="560" w:lineRule="exact"/>
        <w:ind w:firstLine="640"/>
        <w:jc w:val="both"/>
        <w:rPr>
          <w:rFonts w:hint="eastAsia" w:cs="宋体"/>
          <w:color w:val="auto"/>
          <w:sz w:val="24"/>
          <w:szCs w:val="24"/>
        </w:rPr>
      </w:pPr>
      <w:r>
        <w:rPr>
          <w:rFonts w:hint="eastAsia" w:cs="宋体"/>
          <w:color w:val="auto"/>
          <w:sz w:val="24"/>
          <w:szCs w:val="24"/>
          <w:shd w:val="clear" w:color="auto" w:fill="FFFFFF"/>
        </w:rPr>
        <w:t>一、承诺本单位严格遵守国家法律、法规和规章，全面履行应尽的责任和义务，全面做到履约守信，具备《政府采购法》第二十二条第一款规定的条件;</w:t>
      </w:r>
    </w:p>
    <w:p w14:paraId="15363D60">
      <w:pPr>
        <w:pStyle w:val="42"/>
        <w:shd w:val="clear" w:color="auto" w:fill="FFFFFF"/>
        <w:adjustRightInd w:val="0"/>
        <w:snapToGrid w:val="0"/>
        <w:spacing w:before="0" w:beforeAutospacing="0" w:after="150" w:afterAutospacing="0" w:line="560" w:lineRule="exact"/>
        <w:ind w:firstLine="640"/>
        <w:jc w:val="both"/>
        <w:rPr>
          <w:rFonts w:hint="eastAsia" w:cs="宋体"/>
          <w:color w:val="auto"/>
          <w:sz w:val="24"/>
          <w:szCs w:val="24"/>
        </w:rPr>
      </w:pPr>
      <w:r>
        <w:rPr>
          <w:rFonts w:hint="eastAsia" w:cs="宋体"/>
          <w:color w:val="auto"/>
          <w:sz w:val="24"/>
          <w:szCs w:val="24"/>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14:paraId="630709B4">
      <w:pPr>
        <w:pStyle w:val="42"/>
        <w:shd w:val="clear" w:color="auto" w:fill="FFFFFF"/>
        <w:adjustRightInd w:val="0"/>
        <w:snapToGrid w:val="0"/>
        <w:spacing w:before="0" w:beforeAutospacing="0" w:after="150" w:afterAutospacing="0" w:line="560" w:lineRule="exact"/>
        <w:ind w:firstLine="640"/>
        <w:jc w:val="both"/>
        <w:rPr>
          <w:rFonts w:hint="eastAsia" w:cs="宋体"/>
          <w:color w:val="auto"/>
          <w:sz w:val="24"/>
          <w:szCs w:val="24"/>
        </w:rPr>
      </w:pPr>
      <w:r>
        <w:rPr>
          <w:rFonts w:hint="eastAsia" w:cs="宋体"/>
          <w:color w:val="auto"/>
          <w:sz w:val="24"/>
          <w:szCs w:val="24"/>
          <w:shd w:val="clear" w:color="auto" w:fill="FFFFFF"/>
        </w:rPr>
        <w:t>三、承诺本单位严格依法开展生产经营活动，主动接受行业监管，自愿接受依法开展的日常检查；违法失信经营后将自愿接受约束和惩戒，并依法承担相应责任；</w:t>
      </w:r>
    </w:p>
    <w:p w14:paraId="57903B0D">
      <w:pPr>
        <w:pStyle w:val="42"/>
        <w:shd w:val="clear" w:color="auto" w:fill="FFFFFF"/>
        <w:adjustRightInd w:val="0"/>
        <w:snapToGrid w:val="0"/>
        <w:spacing w:before="0" w:beforeAutospacing="0" w:after="150" w:afterAutospacing="0" w:line="560" w:lineRule="exact"/>
        <w:ind w:firstLine="640"/>
        <w:jc w:val="both"/>
        <w:rPr>
          <w:rFonts w:hint="eastAsia" w:cs="宋体"/>
          <w:color w:val="auto"/>
          <w:sz w:val="24"/>
          <w:szCs w:val="24"/>
        </w:rPr>
      </w:pPr>
      <w:r>
        <w:rPr>
          <w:rFonts w:hint="eastAsia" w:cs="宋体"/>
          <w:color w:val="auto"/>
          <w:sz w:val="24"/>
          <w:szCs w:val="24"/>
          <w:shd w:val="clear" w:color="auto" w:fill="FFFFFF"/>
        </w:rPr>
        <w:t>四、承诺本单位自觉接受行政管理部门、行业组织、社会公众、新闻舆论的监督；</w:t>
      </w:r>
    </w:p>
    <w:p w14:paraId="34E37A21">
      <w:pPr>
        <w:pStyle w:val="42"/>
        <w:shd w:val="clear" w:color="auto" w:fill="FFFFFF"/>
        <w:adjustRightInd w:val="0"/>
        <w:snapToGrid w:val="0"/>
        <w:spacing w:before="0" w:beforeAutospacing="0" w:after="150" w:afterAutospacing="0" w:line="560" w:lineRule="exact"/>
        <w:ind w:firstLine="640"/>
        <w:jc w:val="both"/>
        <w:rPr>
          <w:rFonts w:hint="eastAsia" w:cs="宋体"/>
          <w:color w:val="auto"/>
          <w:sz w:val="24"/>
          <w:szCs w:val="24"/>
        </w:rPr>
      </w:pPr>
      <w:r>
        <w:rPr>
          <w:rFonts w:hint="eastAsia" w:cs="宋体"/>
          <w:color w:val="auto"/>
          <w:sz w:val="24"/>
          <w:szCs w:val="24"/>
          <w:shd w:val="clear" w:color="auto" w:fill="FFFFFF"/>
        </w:rPr>
        <w:t>五、承诺本单位自我约束、自我管理，重合同、守信用，不制假售假、商标侵权、虚假宣传、违约毁约、恶意逃债、偷税漏税、价格欺诈、垄断和不正当竞争，维护经营者、消费者的合法权益；</w:t>
      </w:r>
    </w:p>
    <w:p w14:paraId="3B72F78F">
      <w:pPr>
        <w:pStyle w:val="42"/>
        <w:shd w:val="clear" w:color="auto" w:fill="FFFFFF"/>
        <w:adjustRightInd w:val="0"/>
        <w:snapToGrid w:val="0"/>
        <w:spacing w:before="0" w:beforeAutospacing="0" w:after="150" w:afterAutospacing="0" w:line="560" w:lineRule="exact"/>
        <w:ind w:firstLine="640"/>
        <w:jc w:val="both"/>
        <w:rPr>
          <w:rFonts w:hint="eastAsia" w:cs="宋体"/>
          <w:color w:val="auto"/>
          <w:sz w:val="24"/>
          <w:szCs w:val="24"/>
        </w:rPr>
      </w:pPr>
      <w:r>
        <w:rPr>
          <w:rFonts w:hint="eastAsia" w:cs="宋体"/>
          <w:color w:val="auto"/>
          <w:sz w:val="24"/>
          <w:szCs w:val="24"/>
          <w:shd w:val="clear" w:color="auto" w:fill="FFFFFF"/>
        </w:rPr>
        <w:t>六、承诺本单位提出政府采购质疑和投诉坚持依法依规、诚实信用原则，在全国范围12个月内没有三次以上查无实据的政府采购投诉；</w:t>
      </w:r>
    </w:p>
    <w:p w14:paraId="3C5886E6">
      <w:pPr>
        <w:pStyle w:val="42"/>
        <w:shd w:val="clear" w:color="auto" w:fill="FFFFFF"/>
        <w:adjustRightInd w:val="0"/>
        <w:snapToGrid w:val="0"/>
        <w:spacing w:before="0" w:beforeAutospacing="0" w:after="150" w:afterAutospacing="0" w:line="560" w:lineRule="exact"/>
        <w:ind w:firstLine="640"/>
        <w:jc w:val="both"/>
        <w:rPr>
          <w:rFonts w:hint="eastAsia" w:cs="宋体"/>
          <w:color w:val="auto"/>
          <w:sz w:val="24"/>
          <w:szCs w:val="24"/>
        </w:rPr>
      </w:pPr>
      <w:r>
        <w:rPr>
          <w:rFonts w:hint="eastAsia" w:cs="宋体"/>
          <w:color w:val="auto"/>
          <w:sz w:val="24"/>
          <w:szCs w:val="24"/>
          <w:shd w:val="clear" w:color="auto" w:fill="FFFFFF"/>
        </w:rPr>
        <w:t>七、根据政府采购相关法律法规的规定需要作出的其他承诺：</w:t>
      </w:r>
      <w:r>
        <w:rPr>
          <w:rFonts w:hint="eastAsia" w:cs="宋体"/>
          <w:color w:val="auto"/>
          <w:sz w:val="24"/>
          <w:szCs w:val="24"/>
          <w:u w:val="single"/>
          <w:shd w:val="clear" w:color="auto" w:fill="FFFFFF"/>
        </w:rPr>
        <w:t>                                                              </w:t>
      </w:r>
    </w:p>
    <w:p w14:paraId="7F09CBC1">
      <w:pPr>
        <w:pStyle w:val="42"/>
        <w:shd w:val="clear" w:color="auto" w:fill="FFFFFF"/>
        <w:adjustRightInd w:val="0"/>
        <w:snapToGrid w:val="0"/>
        <w:spacing w:before="0" w:beforeAutospacing="0" w:after="150" w:afterAutospacing="0" w:line="560" w:lineRule="exact"/>
        <w:ind w:firstLine="640"/>
        <w:jc w:val="both"/>
        <w:rPr>
          <w:rFonts w:hint="eastAsia" w:cs="宋体"/>
          <w:color w:val="auto"/>
          <w:sz w:val="24"/>
          <w:szCs w:val="24"/>
          <w:shd w:val="clear" w:color="auto" w:fill="FFFFFF"/>
        </w:rPr>
      </w:pPr>
      <w:r>
        <w:rPr>
          <w:rFonts w:hint="eastAsia" w:cs="宋体"/>
          <w:color w:val="auto"/>
          <w:sz w:val="24"/>
          <w:szCs w:val="24"/>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276F8924">
      <w:pPr>
        <w:pStyle w:val="42"/>
        <w:shd w:val="clear" w:color="auto" w:fill="FFFFFF"/>
        <w:adjustRightInd w:val="0"/>
        <w:snapToGrid w:val="0"/>
        <w:spacing w:before="0" w:beforeAutospacing="0" w:after="150" w:afterAutospacing="0" w:line="560" w:lineRule="exact"/>
        <w:ind w:firstLine="640"/>
        <w:jc w:val="both"/>
        <w:rPr>
          <w:rFonts w:hint="eastAsia" w:cs="宋体"/>
          <w:color w:val="auto"/>
          <w:sz w:val="24"/>
          <w:szCs w:val="24"/>
          <w:shd w:val="clear" w:color="auto" w:fill="FFFFFF"/>
        </w:rPr>
      </w:pPr>
      <w:r>
        <w:rPr>
          <w:rFonts w:hint="eastAsia" w:cs="宋体"/>
          <w:color w:val="auto"/>
          <w:sz w:val="24"/>
          <w:szCs w:val="24"/>
          <w:shd w:val="clear" w:color="auto" w:fill="FFFFFF"/>
        </w:rPr>
        <w:t>         </w:t>
      </w:r>
    </w:p>
    <w:p w14:paraId="369F9C4C">
      <w:pPr>
        <w:pStyle w:val="42"/>
        <w:shd w:val="clear" w:color="auto" w:fill="FFFFFF"/>
        <w:adjustRightInd w:val="0"/>
        <w:snapToGrid w:val="0"/>
        <w:spacing w:before="0" w:beforeAutospacing="0" w:after="150" w:afterAutospacing="0" w:line="560" w:lineRule="exact"/>
        <w:ind w:firstLine="640"/>
        <w:jc w:val="both"/>
        <w:rPr>
          <w:rFonts w:hint="eastAsia" w:cs="宋体"/>
          <w:color w:val="auto"/>
          <w:sz w:val="24"/>
          <w:szCs w:val="24"/>
        </w:rPr>
      </w:pPr>
      <w:r>
        <w:rPr>
          <w:rFonts w:hint="eastAsia" w:cs="宋体"/>
          <w:color w:val="auto"/>
          <w:sz w:val="24"/>
          <w:szCs w:val="24"/>
          <w:shd w:val="clear" w:color="auto" w:fill="FFFFFF"/>
        </w:rPr>
        <w:t xml:space="preserve">              承诺单位（盖章）：</w:t>
      </w:r>
    </w:p>
    <w:p w14:paraId="37D07583">
      <w:pPr>
        <w:pStyle w:val="42"/>
        <w:shd w:val="clear" w:color="auto" w:fill="FFFFFF"/>
        <w:adjustRightInd w:val="0"/>
        <w:snapToGrid w:val="0"/>
        <w:spacing w:before="0" w:beforeAutospacing="0" w:after="150" w:afterAutospacing="0" w:line="560" w:lineRule="exact"/>
        <w:ind w:firstLine="640"/>
        <w:jc w:val="both"/>
        <w:rPr>
          <w:rFonts w:hint="eastAsia" w:cs="宋体"/>
          <w:color w:val="auto"/>
          <w:sz w:val="24"/>
          <w:szCs w:val="24"/>
          <w:shd w:val="clear" w:color="auto" w:fill="FFFFFF"/>
        </w:rPr>
      </w:pPr>
      <w:r>
        <w:rPr>
          <w:rFonts w:hint="eastAsia" w:cs="宋体"/>
          <w:color w:val="auto"/>
          <w:sz w:val="24"/>
          <w:szCs w:val="24"/>
          <w:shd w:val="clear" w:color="auto" w:fill="FFFFFF"/>
        </w:rPr>
        <w:t>       法定代表人（负责人）：</w:t>
      </w:r>
    </w:p>
    <w:p w14:paraId="44932FAD">
      <w:pPr>
        <w:pStyle w:val="42"/>
        <w:shd w:val="clear" w:color="auto" w:fill="FFFFFF"/>
        <w:adjustRightInd w:val="0"/>
        <w:snapToGrid w:val="0"/>
        <w:spacing w:before="0" w:beforeAutospacing="0" w:after="150" w:afterAutospacing="0" w:line="560" w:lineRule="exact"/>
        <w:ind w:firstLine="2160" w:firstLineChars="900"/>
        <w:jc w:val="both"/>
        <w:rPr>
          <w:rFonts w:hint="eastAsia" w:cs="宋体"/>
          <w:color w:val="auto"/>
          <w:sz w:val="24"/>
          <w:szCs w:val="24"/>
          <w:shd w:val="clear" w:color="auto" w:fill="FFFFFF"/>
        </w:rPr>
      </w:pPr>
      <w:r>
        <w:rPr>
          <w:rFonts w:hint="eastAsia" w:cs="宋体"/>
          <w:color w:val="auto"/>
          <w:sz w:val="24"/>
          <w:szCs w:val="24"/>
          <w:shd w:val="clear" w:color="auto" w:fill="FFFFFF"/>
        </w:rPr>
        <w:t>法定代表人（负责人）身份证号：</w:t>
      </w:r>
    </w:p>
    <w:p w14:paraId="64C82F5E">
      <w:pPr>
        <w:pStyle w:val="42"/>
        <w:shd w:val="clear" w:color="auto" w:fill="FFFFFF"/>
        <w:adjustRightInd w:val="0"/>
        <w:snapToGrid w:val="0"/>
        <w:spacing w:before="0" w:beforeAutospacing="0" w:after="150" w:afterAutospacing="0" w:line="560" w:lineRule="exact"/>
        <w:ind w:firstLine="640"/>
        <w:jc w:val="both"/>
        <w:rPr>
          <w:rFonts w:hint="eastAsia" w:cs="宋体"/>
          <w:color w:val="auto"/>
          <w:sz w:val="24"/>
          <w:szCs w:val="24"/>
        </w:rPr>
      </w:pPr>
      <w:r>
        <w:rPr>
          <w:rFonts w:hint="eastAsia" w:cs="宋体"/>
          <w:color w:val="auto"/>
          <w:sz w:val="24"/>
          <w:szCs w:val="24"/>
          <w:shd w:val="clear" w:color="auto" w:fill="FFFFFF"/>
        </w:rPr>
        <w:t>         承诺日期：</w:t>
      </w:r>
    </w:p>
    <w:p w14:paraId="50B3A9FB">
      <w:pPr>
        <w:pStyle w:val="42"/>
        <w:shd w:val="clear" w:color="auto" w:fill="FFFFFF"/>
        <w:adjustRightInd w:val="0"/>
        <w:snapToGrid w:val="0"/>
        <w:spacing w:before="0" w:beforeAutospacing="0" w:after="150" w:afterAutospacing="0" w:line="560" w:lineRule="exact"/>
        <w:ind w:firstLine="480" w:firstLineChars="200"/>
        <w:jc w:val="both"/>
        <w:rPr>
          <w:rFonts w:hint="eastAsia" w:cs="宋体"/>
          <w:color w:val="auto"/>
          <w:sz w:val="24"/>
          <w:szCs w:val="24"/>
          <w:shd w:val="clear" w:color="auto" w:fill="FFFFFF"/>
        </w:rPr>
      </w:pPr>
      <w:r>
        <w:rPr>
          <w:rFonts w:hint="eastAsia" w:cs="宋体"/>
          <w:color w:val="auto"/>
          <w:sz w:val="24"/>
          <w:szCs w:val="24"/>
          <w:shd w:val="clear" w:color="auto" w:fill="FFFFFF"/>
        </w:rPr>
        <w:t>注：法定代表人或负责人、主体名称发生变更的应当重新做出承诺；承诺书标题按照工程类、货物类、服务类确定。</w:t>
      </w:r>
    </w:p>
    <w:p w14:paraId="230C0B64">
      <w:pPr>
        <w:pStyle w:val="29"/>
        <w:rPr>
          <w:rFonts w:hint="eastAsia" w:cs="宋体"/>
          <w:color w:val="auto"/>
          <w:sz w:val="24"/>
          <w:szCs w:val="24"/>
          <w:shd w:val="clear" w:color="auto" w:fill="FFFFFF"/>
        </w:rPr>
      </w:pPr>
    </w:p>
    <w:p w14:paraId="5602B85A">
      <w:pPr>
        <w:pStyle w:val="29"/>
        <w:rPr>
          <w:rFonts w:hint="eastAsia" w:cs="宋体"/>
          <w:color w:val="auto"/>
          <w:sz w:val="24"/>
          <w:szCs w:val="24"/>
          <w:shd w:val="clear" w:color="auto" w:fill="FFFFFF"/>
        </w:rPr>
      </w:pPr>
    </w:p>
    <w:p w14:paraId="2D46D9EC">
      <w:pPr>
        <w:pStyle w:val="29"/>
        <w:rPr>
          <w:rFonts w:hint="eastAsia" w:cs="宋体"/>
          <w:color w:val="auto"/>
          <w:sz w:val="24"/>
          <w:szCs w:val="24"/>
          <w:shd w:val="clear" w:color="auto" w:fill="FFFFFF"/>
        </w:rPr>
      </w:pPr>
    </w:p>
    <w:p w14:paraId="3D845ACB">
      <w:pPr>
        <w:pStyle w:val="29"/>
        <w:rPr>
          <w:rFonts w:hint="eastAsia" w:cs="宋体"/>
          <w:color w:val="auto"/>
          <w:sz w:val="24"/>
          <w:szCs w:val="24"/>
          <w:shd w:val="clear" w:color="auto" w:fill="FFFFFF"/>
        </w:rPr>
      </w:pPr>
    </w:p>
    <w:p w14:paraId="75EBC73D">
      <w:pPr>
        <w:pStyle w:val="29"/>
        <w:rPr>
          <w:rFonts w:hint="eastAsia" w:cs="宋体"/>
          <w:color w:val="auto"/>
          <w:sz w:val="24"/>
          <w:szCs w:val="24"/>
          <w:shd w:val="clear" w:color="auto" w:fill="FFFFFF"/>
        </w:rPr>
      </w:pPr>
    </w:p>
    <w:p w14:paraId="14E2F900">
      <w:pPr>
        <w:pStyle w:val="29"/>
        <w:rPr>
          <w:rFonts w:hint="eastAsia" w:cs="宋体"/>
          <w:color w:val="auto"/>
          <w:sz w:val="24"/>
          <w:szCs w:val="24"/>
          <w:shd w:val="clear" w:color="auto" w:fill="FFFFFF"/>
        </w:rPr>
      </w:pPr>
    </w:p>
    <w:p w14:paraId="1B3C6468">
      <w:pPr>
        <w:pStyle w:val="29"/>
        <w:rPr>
          <w:rFonts w:hint="eastAsia" w:cs="宋体"/>
          <w:color w:val="auto"/>
          <w:sz w:val="24"/>
          <w:szCs w:val="24"/>
          <w:shd w:val="clear" w:color="auto" w:fill="FFFFFF"/>
        </w:rPr>
      </w:pPr>
    </w:p>
    <w:p w14:paraId="0497D0F4">
      <w:pPr>
        <w:pStyle w:val="29"/>
        <w:rPr>
          <w:rFonts w:hint="eastAsia" w:cs="宋体"/>
          <w:color w:val="auto"/>
          <w:sz w:val="24"/>
          <w:szCs w:val="24"/>
          <w:shd w:val="clear" w:color="auto" w:fill="FFFFFF"/>
        </w:rPr>
      </w:pPr>
    </w:p>
    <w:p w14:paraId="500E3909">
      <w:pPr>
        <w:pStyle w:val="29"/>
        <w:rPr>
          <w:rFonts w:hint="eastAsia" w:cs="宋体"/>
          <w:color w:val="auto"/>
          <w:sz w:val="24"/>
          <w:szCs w:val="24"/>
          <w:shd w:val="clear" w:color="auto" w:fill="FFFFFF"/>
        </w:rPr>
      </w:pPr>
    </w:p>
    <w:p w14:paraId="67AF90EB">
      <w:pPr>
        <w:pStyle w:val="5"/>
        <w:keepNext/>
        <w:keepLines/>
        <w:pageBreakBefore w:val="0"/>
        <w:widowControl w:val="0"/>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附件2：</w:t>
      </w:r>
    </w:p>
    <w:p w14:paraId="23E15E38">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kern w:val="0"/>
          <w:sz w:val="24"/>
          <w:szCs w:val="24"/>
        </w:rPr>
      </w:pPr>
      <w:r>
        <w:rPr>
          <w:rFonts w:hint="eastAsia" w:ascii="宋体" w:hAnsi="宋体" w:eastAsia="宋体" w:cs="宋体"/>
          <w:b/>
          <w:bCs/>
          <w:color w:val="auto"/>
          <w:sz w:val="24"/>
          <w:szCs w:val="24"/>
          <w:lang w:val="en-US" w:eastAsia="zh-CN"/>
        </w:rPr>
        <w:t>投标信用承诺书</w:t>
      </w:r>
    </w:p>
    <w:p w14:paraId="382E7878">
      <w:pPr>
        <w:widowControl/>
        <w:spacing w:line="540" w:lineRule="exact"/>
        <w:jc w:val="left"/>
        <w:rPr>
          <w:rFonts w:hint="eastAsia" w:ascii="宋体" w:hAnsi="宋体" w:eastAsia="宋体" w:cs="宋体"/>
          <w:color w:val="auto"/>
          <w:kern w:val="0"/>
          <w:sz w:val="24"/>
          <w:szCs w:val="24"/>
          <w:u w:val="single"/>
          <w:lang w:val="en-US" w:eastAsia="zh-CN"/>
        </w:rPr>
      </w:pPr>
      <w:r>
        <w:rPr>
          <w:rFonts w:hint="eastAsia" w:ascii="宋体" w:hAnsi="宋体" w:eastAsia="宋体" w:cs="宋体"/>
          <w:color w:val="auto"/>
          <w:kern w:val="0"/>
          <w:sz w:val="24"/>
          <w:szCs w:val="24"/>
        </w:rPr>
        <w:t>项目</w:t>
      </w:r>
      <w:r>
        <w:rPr>
          <w:rFonts w:hint="eastAsia" w:ascii="宋体" w:hAnsi="宋体" w:eastAsia="宋体" w:cs="宋体"/>
          <w:color w:val="auto"/>
          <w:kern w:val="0"/>
          <w:sz w:val="24"/>
          <w:szCs w:val="24"/>
          <w:lang w:eastAsia="zh-CN"/>
        </w:rPr>
        <w:t>名称</w:t>
      </w:r>
      <w:r>
        <w:rPr>
          <w:rFonts w:hint="eastAsia" w:ascii="宋体" w:hAnsi="宋体" w:eastAsia="宋体" w:cs="宋体"/>
          <w:color w:val="auto"/>
          <w:kern w:val="0"/>
          <w:sz w:val="24"/>
          <w:szCs w:val="24"/>
        </w:rPr>
        <w:t>：</w:t>
      </w:r>
      <w:r>
        <w:rPr>
          <w:rFonts w:hint="eastAsia" w:ascii="宋体" w:hAnsi="宋体" w:eastAsia="宋体" w:cs="宋体"/>
          <w:color w:val="auto"/>
          <w:kern w:val="0"/>
          <w:sz w:val="24"/>
          <w:szCs w:val="24"/>
          <w:u w:val="single"/>
          <w:lang w:val="en-US" w:eastAsia="zh-CN"/>
        </w:rPr>
        <w:t xml:space="preserve">                          </w:t>
      </w:r>
    </w:p>
    <w:p w14:paraId="486CB9C5">
      <w:pPr>
        <w:widowControl/>
        <w:spacing w:line="540" w:lineRule="exact"/>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lang w:eastAsia="zh-CN"/>
        </w:rPr>
        <w:t>投标人</w:t>
      </w:r>
      <w:r>
        <w:rPr>
          <w:rFonts w:hint="eastAsia" w:ascii="宋体" w:hAnsi="宋体" w:eastAsia="宋体" w:cs="宋体"/>
          <w:color w:val="auto"/>
          <w:kern w:val="0"/>
          <w:sz w:val="24"/>
          <w:szCs w:val="24"/>
        </w:rPr>
        <w:t>：</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u w:val="single"/>
        </w:rPr>
        <w:t xml:space="preserve"> </w:t>
      </w:r>
    </w:p>
    <w:p w14:paraId="62CC5EED">
      <w:pPr>
        <w:widowControl/>
        <w:spacing w:line="540" w:lineRule="exact"/>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统一社会信用代码：</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u w:val="none"/>
          <w:lang w:val="en-US" w:eastAsia="zh-CN"/>
        </w:rPr>
        <w:t xml:space="preserve">         </w:t>
      </w:r>
      <w:r>
        <w:rPr>
          <w:rFonts w:hint="eastAsia" w:ascii="宋体" w:hAnsi="宋体" w:eastAsia="宋体" w:cs="宋体"/>
          <w:color w:val="auto"/>
          <w:kern w:val="0"/>
          <w:sz w:val="24"/>
          <w:szCs w:val="24"/>
        </w:rPr>
        <w:t>法人代表</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u w:val="none"/>
          <w:lang w:val="en-US" w:eastAsia="zh-CN"/>
        </w:rPr>
        <w:t xml:space="preserve"> </w:t>
      </w:r>
    </w:p>
    <w:p w14:paraId="6E7A2484">
      <w:pPr>
        <w:widowControl/>
        <w:adjustRightInd w:val="0"/>
        <w:snapToGrid w:val="0"/>
        <w:spacing w:line="54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在本项目标段招投标活动中，我公司（单位）自愿作出以下投标信用承诺：</w:t>
      </w:r>
    </w:p>
    <w:p w14:paraId="3284110D">
      <w:pPr>
        <w:widowControl/>
        <w:adjustRightInd w:val="0"/>
        <w:snapToGrid w:val="0"/>
        <w:spacing w:line="540" w:lineRule="exact"/>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（一）能严格遵守法律法规、职业道德和行业规范。</w:t>
      </w:r>
    </w:p>
    <w:p w14:paraId="5A6B7F39">
      <w:pPr>
        <w:widowControl/>
        <w:adjustRightInd w:val="0"/>
        <w:snapToGrid w:val="0"/>
        <w:spacing w:line="540" w:lineRule="exact"/>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453CFA4D">
      <w:pPr>
        <w:widowControl/>
        <w:adjustRightInd w:val="0"/>
        <w:snapToGrid w:val="0"/>
        <w:spacing w:line="540" w:lineRule="exact"/>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4E50FC41">
      <w:pPr>
        <w:widowControl/>
        <w:adjustRightInd w:val="0"/>
        <w:snapToGrid w:val="0"/>
        <w:spacing w:line="540" w:lineRule="exact"/>
        <w:ind w:firstLine="480" w:firstLineChars="200"/>
        <w:jc w:val="left"/>
        <w:rPr>
          <w:rFonts w:hint="eastAsia" w:ascii="宋体" w:hAnsi="宋体" w:eastAsia="宋体" w:cs="宋体"/>
          <w:color w:val="auto"/>
          <w:kern w:val="0"/>
          <w:sz w:val="24"/>
          <w:szCs w:val="24"/>
        </w:rPr>
      </w:pPr>
    </w:p>
    <w:p w14:paraId="618DB0D9">
      <w:pPr>
        <w:widowControl/>
        <w:tabs>
          <w:tab w:val="left" w:pos="4395"/>
        </w:tabs>
        <w:adjustRightInd w:val="0"/>
        <w:snapToGrid w:val="0"/>
        <w:spacing w:line="500" w:lineRule="exact"/>
        <w:jc w:val="left"/>
        <w:rPr>
          <w:rFonts w:hint="eastAsia" w:ascii="宋体" w:hAnsi="宋体" w:eastAsia="宋体" w:cs="宋体"/>
          <w:color w:val="auto"/>
          <w:kern w:val="0"/>
          <w:sz w:val="24"/>
          <w:szCs w:val="24"/>
          <w:lang w:val="en-US"/>
        </w:rPr>
      </w:pPr>
      <w:r>
        <w:rPr>
          <w:rFonts w:hint="eastAsia" w:ascii="宋体" w:hAnsi="宋体" w:eastAsia="宋体" w:cs="宋体"/>
          <w:color w:val="auto"/>
          <w:kern w:val="0"/>
          <w:sz w:val="24"/>
          <w:szCs w:val="24"/>
        </w:rPr>
        <w:t>法定代表人（</w:t>
      </w:r>
      <w:r>
        <w:rPr>
          <w:rFonts w:hint="eastAsia" w:hAnsi="宋体" w:cs="宋体"/>
          <w:color w:val="auto"/>
          <w:kern w:val="0"/>
          <w:sz w:val="24"/>
          <w:szCs w:val="24"/>
          <w:lang w:val="en-US" w:eastAsia="zh-CN"/>
        </w:rPr>
        <w:t>签字或盖章</w:t>
      </w:r>
      <w:r>
        <w:rPr>
          <w:rFonts w:hint="eastAsia" w:ascii="宋体" w:hAnsi="宋体" w:eastAsia="宋体" w:cs="宋体"/>
          <w:color w:val="auto"/>
          <w:kern w:val="0"/>
          <w:sz w:val="24"/>
          <w:szCs w:val="24"/>
        </w:rPr>
        <w:t xml:space="preserve">）：  </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rPr>
        <w:t>投标人（盖章）：</w:t>
      </w:r>
      <w:r>
        <w:rPr>
          <w:rFonts w:hint="eastAsia" w:ascii="宋体" w:hAnsi="宋体" w:eastAsia="宋体" w:cs="宋体"/>
          <w:color w:val="auto"/>
          <w:kern w:val="0"/>
          <w:sz w:val="24"/>
          <w:szCs w:val="24"/>
          <w:u w:val="single"/>
          <w:lang w:val="en-US" w:eastAsia="zh-CN"/>
        </w:rPr>
        <w:t xml:space="preserve">                        </w:t>
      </w:r>
    </w:p>
    <w:p w14:paraId="1F096004">
      <w:pPr>
        <w:adjustRightInd w:val="0"/>
        <w:snapToGrid w:val="0"/>
        <w:spacing w:line="500" w:lineRule="exact"/>
        <w:rPr>
          <w:rFonts w:hint="eastAsia" w:ascii="宋体" w:hAnsi="宋体" w:eastAsia="宋体" w:cs="宋体"/>
          <w:b/>
          <w:color w:val="auto"/>
          <w:kern w:val="0"/>
          <w:sz w:val="24"/>
          <w:szCs w:val="24"/>
        </w:rPr>
      </w:pPr>
    </w:p>
    <w:p w14:paraId="7A76092A">
      <w:pPr>
        <w:pStyle w:val="66"/>
        <w:ind w:firstLine="4080" w:firstLineChars="17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承诺时间：</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年</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月</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日</w:t>
      </w:r>
    </w:p>
    <w:p w14:paraId="2372CAB1">
      <w:pPr>
        <w:pStyle w:val="66"/>
        <w:ind w:left="0" w:leftChars="0" w:firstLine="0" w:firstLineChars="0"/>
        <w:rPr>
          <w:rFonts w:hint="eastAsia" w:ascii="宋体" w:hAnsi="宋体" w:eastAsia="宋体" w:cs="宋体"/>
          <w:color w:val="auto"/>
          <w:kern w:val="0"/>
          <w:sz w:val="24"/>
          <w:szCs w:val="24"/>
        </w:rPr>
      </w:pPr>
    </w:p>
    <w:p w14:paraId="552B4EC6">
      <w:pPr>
        <w:pStyle w:val="66"/>
        <w:rPr>
          <w:rFonts w:hint="eastAsia" w:ascii="宋体" w:hAnsi="宋体" w:eastAsia="宋体" w:cs="宋体"/>
          <w:color w:val="auto"/>
          <w:kern w:val="0"/>
          <w:sz w:val="24"/>
          <w:szCs w:val="24"/>
        </w:rPr>
      </w:pPr>
      <w:r>
        <w:rPr>
          <w:rFonts w:hint="eastAsia" w:ascii="宋体" w:hAnsi="宋体" w:eastAsia="宋体" w:cs="宋体"/>
          <w:b/>
          <w:color w:val="auto"/>
          <w:kern w:val="0"/>
          <w:sz w:val="24"/>
          <w:szCs w:val="24"/>
          <w:lang w:eastAsia="zh-CN"/>
        </w:rPr>
        <w:t>注：</w:t>
      </w:r>
      <w:r>
        <w:rPr>
          <w:rFonts w:hint="eastAsia" w:ascii="宋体" w:hAnsi="宋体" w:eastAsia="宋体" w:cs="宋体"/>
          <w:b/>
          <w:color w:val="auto"/>
          <w:kern w:val="0"/>
          <w:sz w:val="24"/>
          <w:szCs w:val="24"/>
        </w:rPr>
        <w:t>本承诺书效力和作用等同投标保证金，其有效期与投标有效期一致。</w:t>
      </w:r>
    </w:p>
    <w:p w14:paraId="353D265F">
      <w:pPr>
        <w:pStyle w:val="29"/>
        <w:rPr>
          <w:rFonts w:hint="eastAsia" w:cs="宋体"/>
          <w:color w:val="auto"/>
          <w:sz w:val="24"/>
          <w:szCs w:val="24"/>
          <w:shd w:val="clear" w:color="auto" w:fill="FFFFFF"/>
        </w:rPr>
        <w:sectPr>
          <w:footerReference r:id="rId9" w:type="default"/>
          <w:pgSz w:w="11906" w:h="16838"/>
          <w:pgMar w:top="1417" w:right="1669" w:bottom="1361" w:left="1417" w:header="851" w:footer="992" w:gutter="0"/>
          <w:pgNumType w:fmt="decimal"/>
          <w:cols w:space="720" w:num="1"/>
          <w:docGrid w:linePitch="312" w:charSpace="0"/>
        </w:sectPr>
      </w:pPr>
    </w:p>
    <w:p w14:paraId="7555404C">
      <w:pPr>
        <w:spacing w:line="0" w:lineRule="atLeast"/>
        <w:rPr>
          <w:rFonts w:hint="eastAsia" w:ascii="宋体" w:hAnsi="宋体" w:cs="宋体"/>
          <w:b/>
          <w:color w:val="auto"/>
          <w:sz w:val="24"/>
        </w:rPr>
      </w:pPr>
      <w:r>
        <w:rPr>
          <w:rFonts w:hint="eastAsia" w:ascii="宋体" w:hAnsi="宋体" w:cs="宋体"/>
          <w:b/>
          <w:color w:val="auto"/>
          <w:sz w:val="24"/>
        </w:rPr>
        <w:t>附件</w:t>
      </w:r>
      <w:r>
        <w:rPr>
          <w:rFonts w:hint="eastAsia" w:hAnsi="宋体" w:cs="宋体"/>
          <w:b/>
          <w:color w:val="auto"/>
          <w:sz w:val="24"/>
          <w:lang w:val="en-US" w:eastAsia="zh-CN"/>
        </w:rPr>
        <w:t>3</w:t>
      </w:r>
      <w:r>
        <w:rPr>
          <w:rFonts w:hint="eastAsia" w:ascii="宋体" w:hAnsi="宋体" w:cs="宋体"/>
          <w:b/>
          <w:color w:val="auto"/>
          <w:sz w:val="24"/>
        </w:rPr>
        <w:t>：</w:t>
      </w:r>
    </w:p>
    <w:p w14:paraId="4F52F836">
      <w:pPr>
        <w:spacing w:line="200" w:lineRule="exact"/>
        <w:rPr>
          <w:rFonts w:hint="eastAsia" w:ascii="宋体" w:hAnsi="宋体" w:cs="宋体"/>
          <w:color w:val="auto"/>
        </w:rPr>
      </w:pPr>
    </w:p>
    <w:p w14:paraId="71675A7F">
      <w:pPr>
        <w:pageBreakBefore w:val="0"/>
        <w:kinsoku/>
        <w:wordWrap/>
        <w:overflowPunct/>
        <w:topLinePunct w:val="0"/>
        <w:autoSpaceDE/>
        <w:autoSpaceDN/>
        <w:bidi w:val="0"/>
        <w:spacing w:line="560" w:lineRule="exact"/>
        <w:jc w:val="center"/>
        <w:textAlignment w:val="auto"/>
        <w:rPr>
          <w:rFonts w:hint="eastAsia" w:ascii="宋体" w:hAnsi="宋体" w:eastAsia="宋体" w:cs="宋体"/>
          <w:bCs/>
          <w:color w:val="auto"/>
          <w:sz w:val="24"/>
          <w:highlight w:val="none"/>
        </w:rPr>
      </w:pPr>
      <w:r>
        <w:rPr>
          <w:rFonts w:hint="eastAsia" w:ascii="宋体" w:hAnsi="宋体" w:eastAsia="宋体" w:cs="宋体"/>
          <w:b/>
          <w:bCs/>
          <w:color w:val="auto"/>
          <w:sz w:val="28"/>
          <w:szCs w:val="28"/>
          <w:highlight w:val="none"/>
        </w:rPr>
        <w:t>《中小企业声明函》</w:t>
      </w:r>
    </w:p>
    <w:p w14:paraId="081042AD">
      <w:pPr>
        <w:pageBreakBefore w:val="0"/>
        <w:kinsoku/>
        <w:wordWrap/>
        <w:overflowPunct/>
        <w:topLinePunct w:val="0"/>
        <w:autoSpaceDE/>
        <w:autoSpaceDN/>
        <w:bidi w:val="0"/>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本公司郑重声明，根据《政府采购促进中小企业发展管理办法》（财库﹝2020﹞46 号）的规定，本公司参加</w:t>
      </w:r>
      <w:r>
        <w:rPr>
          <w:rFonts w:hint="eastAsia" w:ascii="宋体" w:hAnsi="宋体" w:eastAsia="宋体" w:cs="宋体"/>
          <w:color w:val="auto"/>
          <w:sz w:val="24"/>
          <w:szCs w:val="24"/>
          <w:highlight w:val="none"/>
          <w:u w:val="single"/>
        </w:rPr>
        <w:t>（单位名称）</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（项目名称）</w:t>
      </w:r>
      <w:r>
        <w:rPr>
          <w:rFonts w:hint="eastAsia" w:ascii="宋体" w:hAnsi="宋体" w:eastAsia="宋体" w:cs="宋体"/>
          <w:color w:val="auto"/>
          <w:sz w:val="24"/>
          <w:szCs w:val="24"/>
          <w:highlight w:val="none"/>
        </w:rPr>
        <w:t>采购活动，工程的施工单位全部为符合政策要求的中小企业。具体情况如下：</w:t>
      </w:r>
    </w:p>
    <w:p w14:paraId="67BA837B">
      <w:pPr>
        <w:pageBreakBefore w:val="0"/>
        <w:kinsoku/>
        <w:wordWrap/>
        <w:overflowPunct/>
        <w:topLinePunct w:val="0"/>
        <w:autoSpaceDE/>
        <w:autoSpaceDN/>
        <w:bidi w:val="0"/>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（标的名称）</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rPr>
        <w:t>；承建企业为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u w:val="single"/>
        </w:rPr>
        <w:t>（中型企业、小型企业、微型企业）</w:t>
      </w:r>
      <w:r>
        <w:rPr>
          <w:rFonts w:hint="eastAsia" w:ascii="宋体" w:hAnsi="宋体" w:eastAsia="宋体" w:cs="宋体"/>
          <w:color w:val="auto"/>
          <w:sz w:val="24"/>
          <w:szCs w:val="24"/>
          <w:highlight w:val="none"/>
        </w:rPr>
        <w:t>；</w:t>
      </w:r>
    </w:p>
    <w:p w14:paraId="47B5F8E5">
      <w:pPr>
        <w:pageBreakBefore w:val="0"/>
        <w:kinsoku/>
        <w:wordWrap/>
        <w:overflowPunct/>
        <w:topLinePunct w:val="0"/>
        <w:autoSpaceDE/>
        <w:autoSpaceDN/>
        <w:bidi w:val="0"/>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以上企业，不属于大企业的分支机构，不存在控股股东为大企业的情形，也不存在与大企业的负责人为同一人的情形。</w:t>
      </w:r>
    </w:p>
    <w:p w14:paraId="614EEF97">
      <w:pPr>
        <w:pageBreakBefore w:val="0"/>
        <w:kinsoku/>
        <w:wordWrap/>
        <w:overflowPunct/>
        <w:topLinePunct w:val="0"/>
        <w:autoSpaceDE/>
        <w:autoSpaceDN/>
        <w:bidi w:val="0"/>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本企业对上述声明内容的真实性负责。如有虚假，将依法承担相应责任。</w:t>
      </w:r>
    </w:p>
    <w:p w14:paraId="5956507A">
      <w:pPr>
        <w:pageBreakBefore w:val="0"/>
        <w:kinsoku/>
        <w:wordWrap/>
        <w:overflowPunct/>
        <w:topLinePunct w:val="0"/>
        <w:autoSpaceDE/>
        <w:autoSpaceDN/>
        <w:bidi w:val="0"/>
        <w:spacing w:line="560" w:lineRule="exact"/>
        <w:ind w:firstLine="5520" w:firstLineChars="2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企业名称（盖章）： </w:t>
      </w:r>
    </w:p>
    <w:p w14:paraId="6FFA70F0">
      <w:pPr>
        <w:pageBreakBefore w:val="0"/>
        <w:kinsoku/>
        <w:wordWrap/>
        <w:overflowPunct/>
        <w:topLinePunct w:val="0"/>
        <w:autoSpaceDE/>
        <w:autoSpaceDN/>
        <w:bidi w:val="0"/>
        <w:spacing w:line="560" w:lineRule="exact"/>
        <w:ind w:firstLine="5520" w:firstLineChars="2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14:paraId="3A0C3B4D">
      <w:pPr>
        <w:pStyle w:val="26"/>
        <w:rPr>
          <w:rFonts w:hint="eastAsia"/>
          <w:color w:val="auto"/>
        </w:rPr>
      </w:pPr>
    </w:p>
    <w:p w14:paraId="1B98E39A">
      <w:pPr>
        <w:pageBreakBefore w:val="0"/>
        <w:kinsoku/>
        <w:wordWrap/>
        <w:overflowPunct/>
        <w:topLinePunct w:val="0"/>
        <w:autoSpaceDE/>
        <w:autoSpaceDN/>
        <w:bidi w:val="0"/>
        <w:spacing w:line="56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w:t>
      </w:r>
      <w:r>
        <w:rPr>
          <w:rFonts w:hint="eastAsia" w:hAnsi="宋体" w:cs="宋体"/>
          <w:b/>
          <w:color w:val="auto"/>
          <w:sz w:val="24"/>
          <w:highlight w:val="none"/>
          <w:lang w:val="en-US" w:eastAsia="zh-CN"/>
        </w:rPr>
        <w:t>1</w:t>
      </w:r>
      <w:r>
        <w:rPr>
          <w:rFonts w:hint="eastAsia" w:ascii="宋体" w:hAnsi="宋体" w:eastAsia="宋体" w:cs="宋体"/>
          <w:b/>
          <w:color w:val="auto"/>
          <w:sz w:val="24"/>
          <w:highlight w:val="none"/>
          <w:lang w:val="en-US" w:eastAsia="zh-CN"/>
        </w:rPr>
        <w:t>.</w:t>
      </w:r>
      <w:r>
        <w:rPr>
          <w:rFonts w:hint="eastAsia" w:ascii="宋体" w:hAnsi="宋体" w:eastAsia="宋体" w:cs="宋体"/>
          <w:b/>
          <w:color w:val="auto"/>
          <w:sz w:val="24"/>
          <w:highlight w:val="none"/>
          <w:lang w:eastAsia="zh-CN"/>
        </w:rPr>
        <w:t>供应商</w:t>
      </w:r>
      <w:r>
        <w:rPr>
          <w:rFonts w:hint="eastAsia" w:ascii="宋体" w:hAnsi="宋体" w:eastAsia="宋体" w:cs="宋体"/>
          <w:b/>
          <w:color w:val="auto"/>
          <w:sz w:val="24"/>
          <w:highlight w:val="none"/>
        </w:rPr>
        <w:t>提供《中小企业声明函》的需保证其真实性，如经查实存在虚假证明的情况，由</w:t>
      </w:r>
      <w:r>
        <w:rPr>
          <w:rFonts w:hint="eastAsia" w:ascii="宋体" w:hAnsi="宋体" w:eastAsia="宋体" w:cs="宋体"/>
          <w:b/>
          <w:color w:val="auto"/>
          <w:sz w:val="24"/>
          <w:highlight w:val="none"/>
          <w:lang w:eastAsia="zh-CN"/>
        </w:rPr>
        <w:t>供应商</w:t>
      </w:r>
      <w:r>
        <w:rPr>
          <w:rFonts w:hint="eastAsia" w:ascii="宋体" w:hAnsi="宋体" w:eastAsia="宋体" w:cs="宋体"/>
          <w:b/>
          <w:color w:val="auto"/>
          <w:sz w:val="24"/>
          <w:highlight w:val="none"/>
        </w:rPr>
        <w:t>自行承担相应不良影响及法律责任。</w:t>
      </w:r>
    </w:p>
    <w:p w14:paraId="46289A0B">
      <w:pPr>
        <w:pageBreakBefore w:val="0"/>
        <w:kinsoku/>
        <w:wordWrap/>
        <w:overflowPunct/>
        <w:topLinePunct w:val="0"/>
        <w:autoSpaceDE/>
        <w:autoSpaceDN/>
        <w:bidi w:val="0"/>
        <w:spacing w:line="560" w:lineRule="exact"/>
        <w:ind w:firstLine="482" w:firstLineChars="200"/>
        <w:textAlignment w:val="auto"/>
        <w:rPr>
          <w:rFonts w:hint="default" w:ascii="宋体" w:hAnsi="宋体" w:eastAsia="宋体" w:cs="宋体"/>
          <w:b/>
          <w:color w:val="auto"/>
          <w:sz w:val="24"/>
          <w:highlight w:val="none"/>
          <w:lang w:val="en-US" w:eastAsia="zh-CN"/>
        </w:rPr>
      </w:pPr>
      <w:r>
        <w:rPr>
          <w:rFonts w:hint="eastAsia" w:hAnsi="宋体" w:cs="宋体"/>
          <w:b/>
          <w:color w:val="auto"/>
          <w:sz w:val="24"/>
          <w:highlight w:val="none"/>
          <w:lang w:val="en-US" w:eastAsia="zh-CN"/>
        </w:rPr>
        <w:t>2</w:t>
      </w:r>
      <w:r>
        <w:rPr>
          <w:rFonts w:hint="eastAsia" w:ascii="宋体" w:hAnsi="宋体" w:eastAsia="宋体" w:cs="宋体"/>
          <w:b/>
          <w:color w:val="auto"/>
          <w:sz w:val="24"/>
          <w:highlight w:val="none"/>
          <w:lang w:val="en-US" w:eastAsia="zh-CN"/>
        </w:rPr>
        <w:t>.人业人员、营业收入、资产总额填报上一年度数据。</w:t>
      </w:r>
    </w:p>
    <w:p w14:paraId="6E646DA9">
      <w:pPr>
        <w:pStyle w:val="4"/>
        <w:spacing w:before="0" w:after="0" w:line="360" w:lineRule="auto"/>
        <w:jc w:val="center"/>
        <w:rPr>
          <w:rFonts w:hint="eastAsia" w:ascii="宋体" w:hAnsi="宋体" w:cs="宋体"/>
          <w:color w:val="auto"/>
          <w:szCs w:val="32"/>
          <w:lang w:eastAsia="zh-CN"/>
        </w:rPr>
      </w:pPr>
    </w:p>
    <w:p w14:paraId="290229D9">
      <w:pPr>
        <w:rPr>
          <w:rFonts w:hint="eastAsia" w:ascii="宋体" w:hAnsi="宋体" w:cs="宋体"/>
          <w:color w:val="auto"/>
          <w:szCs w:val="32"/>
          <w:lang w:eastAsia="zh-CN"/>
        </w:rPr>
      </w:pPr>
    </w:p>
    <w:p w14:paraId="3769A7B2">
      <w:pPr>
        <w:pStyle w:val="46"/>
        <w:rPr>
          <w:rFonts w:hint="eastAsia" w:ascii="宋体" w:hAnsi="宋体" w:cs="宋体"/>
          <w:color w:val="auto"/>
          <w:szCs w:val="32"/>
          <w:lang w:eastAsia="zh-CN"/>
        </w:rPr>
      </w:pPr>
    </w:p>
    <w:p w14:paraId="73718B9B">
      <w:pPr>
        <w:pStyle w:val="45"/>
        <w:rPr>
          <w:rFonts w:hint="eastAsia" w:ascii="宋体" w:hAnsi="宋体" w:cs="宋体"/>
          <w:color w:val="auto"/>
          <w:szCs w:val="32"/>
          <w:lang w:eastAsia="zh-CN"/>
        </w:rPr>
      </w:pPr>
    </w:p>
    <w:p w14:paraId="5CBF6FCE">
      <w:pPr>
        <w:pStyle w:val="45"/>
        <w:rPr>
          <w:rFonts w:hint="eastAsia" w:ascii="宋体" w:hAnsi="宋体" w:cs="宋体"/>
          <w:color w:val="auto"/>
          <w:szCs w:val="32"/>
          <w:lang w:eastAsia="zh-CN"/>
        </w:rPr>
      </w:pPr>
    </w:p>
    <w:p w14:paraId="21BB73D3">
      <w:pPr>
        <w:pStyle w:val="45"/>
        <w:rPr>
          <w:rFonts w:hint="eastAsia" w:ascii="宋体" w:hAnsi="宋体" w:cs="宋体"/>
          <w:color w:val="auto"/>
          <w:szCs w:val="32"/>
          <w:lang w:eastAsia="zh-CN"/>
        </w:rPr>
      </w:pPr>
    </w:p>
    <w:p w14:paraId="7255CA91">
      <w:pPr>
        <w:pStyle w:val="45"/>
        <w:rPr>
          <w:rFonts w:hint="eastAsia" w:ascii="宋体" w:hAnsi="宋体" w:cs="宋体"/>
          <w:color w:val="auto"/>
          <w:szCs w:val="32"/>
          <w:lang w:eastAsia="zh-CN"/>
        </w:rPr>
      </w:pPr>
    </w:p>
    <w:p w14:paraId="52881198">
      <w:pPr>
        <w:pStyle w:val="45"/>
        <w:rPr>
          <w:rFonts w:hint="eastAsia" w:ascii="宋体" w:hAnsi="宋体" w:cs="宋体"/>
          <w:color w:val="auto"/>
          <w:szCs w:val="32"/>
          <w:lang w:eastAsia="zh-CN"/>
        </w:rPr>
      </w:pPr>
    </w:p>
    <w:p w14:paraId="5B9DF1E6">
      <w:pPr>
        <w:pStyle w:val="45"/>
        <w:rPr>
          <w:rFonts w:hint="eastAsia" w:ascii="宋体" w:hAnsi="宋体" w:cs="宋体"/>
          <w:color w:val="auto"/>
          <w:szCs w:val="32"/>
          <w:lang w:eastAsia="zh-CN"/>
        </w:rPr>
      </w:pPr>
    </w:p>
    <w:p w14:paraId="45FD9115">
      <w:pPr>
        <w:pStyle w:val="45"/>
        <w:rPr>
          <w:rFonts w:hint="eastAsia" w:ascii="宋体" w:hAnsi="宋体" w:cs="宋体"/>
          <w:color w:val="auto"/>
          <w:szCs w:val="32"/>
          <w:lang w:eastAsia="zh-CN"/>
        </w:rPr>
      </w:pPr>
    </w:p>
    <w:p w14:paraId="6CD7597C">
      <w:pPr>
        <w:pStyle w:val="4"/>
        <w:spacing w:before="0" w:after="0" w:line="360" w:lineRule="auto"/>
        <w:jc w:val="center"/>
        <w:rPr>
          <w:rFonts w:hint="eastAsia" w:ascii="宋体" w:hAnsi="宋体" w:eastAsia="宋体" w:cs="宋体"/>
          <w:color w:val="auto"/>
          <w:szCs w:val="32"/>
        </w:rPr>
      </w:pPr>
      <w:r>
        <w:rPr>
          <w:rFonts w:hint="eastAsia" w:ascii="宋体" w:hAnsi="宋体" w:cs="宋体"/>
          <w:color w:val="auto"/>
          <w:szCs w:val="32"/>
          <w:lang w:eastAsia="zh-CN"/>
        </w:rPr>
        <w:t>四</w:t>
      </w:r>
      <w:r>
        <w:rPr>
          <w:rFonts w:hint="eastAsia" w:ascii="宋体" w:hAnsi="宋体" w:eastAsia="宋体" w:cs="宋体"/>
          <w:color w:val="auto"/>
          <w:szCs w:val="32"/>
        </w:rPr>
        <w:t>、</w:t>
      </w:r>
      <w:bookmarkEnd w:id="73"/>
      <w:bookmarkEnd w:id="74"/>
      <w:bookmarkEnd w:id="75"/>
      <w:bookmarkEnd w:id="76"/>
      <w:bookmarkEnd w:id="77"/>
      <w:bookmarkEnd w:id="78"/>
      <w:bookmarkEnd w:id="79"/>
      <w:r>
        <w:rPr>
          <w:rFonts w:hint="eastAsia" w:ascii="宋体" w:hAnsi="宋体" w:eastAsia="宋体" w:cs="宋体"/>
          <w:color w:val="auto"/>
          <w:szCs w:val="32"/>
        </w:rPr>
        <w:t>投标</w:t>
      </w:r>
      <w:r>
        <w:rPr>
          <w:rFonts w:hint="eastAsia" w:ascii="宋体" w:hAnsi="宋体" w:cs="宋体"/>
          <w:color w:val="auto"/>
          <w:szCs w:val="32"/>
          <w:lang w:eastAsia="zh-CN"/>
        </w:rPr>
        <w:t>响应</w:t>
      </w:r>
      <w:r>
        <w:rPr>
          <w:rFonts w:hint="eastAsia" w:ascii="宋体" w:hAnsi="宋体" w:eastAsia="宋体" w:cs="宋体"/>
          <w:color w:val="auto"/>
          <w:szCs w:val="32"/>
        </w:rPr>
        <w:t>方案</w:t>
      </w:r>
      <w:bookmarkEnd w:id="80"/>
    </w:p>
    <w:p w14:paraId="24D8E544">
      <w:pPr>
        <w:spacing w:line="0" w:lineRule="atLeast"/>
        <w:ind w:left="3260"/>
        <w:rPr>
          <w:rFonts w:hint="eastAsia" w:ascii="宋体" w:hAnsi="宋体" w:cs="宋体"/>
          <w:color w:val="auto"/>
          <w:sz w:val="24"/>
        </w:rPr>
      </w:pPr>
    </w:p>
    <w:p w14:paraId="112DF3EA">
      <w:pPr>
        <w:pStyle w:val="12"/>
        <w:rPr>
          <w:rFonts w:hint="eastAsia" w:ascii="宋体" w:hAnsi="宋体" w:cs="宋体"/>
          <w:color w:val="auto"/>
          <w:sz w:val="24"/>
        </w:rPr>
      </w:pPr>
    </w:p>
    <w:p w14:paraId="397F07EB">
      <w:pPr>
        <w:pStyle w:val="12"/>
        <w:rPr>
          <w:rFonts w:hint="eastAsia" w:ascii="宋体" w:hAnsi="宋体" w:cs="宋体"/>
          <w:color w:val="auto"/>
          <w:sz w:val="24"/>
        </w:rPr>
      </w:pPr>
    </w:p>
    <w:p w14:paraId="75FCDE08">
      <w:pPr>
        <w:pStyle w:val="12"/>
        <w:rPr>
          <w:rFonts w:hint="eastAsia" w:ascii="宋体" w:hAnsi="宋体" w:cs="宋体"/>
          <w:color w:val="auto"/>
          <w:sz w:val="24"/>
        </w:rPr>
      </w:pPr>
    </w:p>
    <w:p w14:paraId="08B20821">
      <w:pPr>
        <w:pStyle w:val="12"/>
        <w:rPr>
          <w:rFonts w:hint="eastAsia" w:ascii="宋体" w:hAnsi="宋体" w:cs="宋体"/>
          <w:color w:val="auto"/>
          <w:sz w:val="24"/>
        </w:rPr>
      </w:pPr>
    </w:p>
    <w:p w14:paraId="2BF62C5F">
      <w:pPr>
        <w:pStyle w:val="12"/>
        <w:rPr>
          <w:rFonts w:hint="eastAsia" w:ascii="宋体" w:hAnsi="宋体" w:cs="宋体"/>
          <w:color w:val="auto"/>
          <w:sz w:val="24"/>
        </w:rPr>
      </w:pPr>
    </w:p>
    <w:p w14:paraId="5ABA6D3C">
      <w:pPr>
        <w:spacing w:line="0" w:lineRule="atLeast"/>
        <w:jc w:val="center"/>
        <w:rPr>
          <w:rFonts w:hint="eastAsia" w:ascii="宋体" w:hAnsi="宋体"/>
          <w:color w:val="auto"/>
          <w:sz w:val="24"/>
        </w:rPr>
      </w:pPr>
      <w:r>
        <w:rPr>
          <w:rFonts w:hint="eastAsia" w:ascii="宋体" w:hAnsi="宋体"/>
          <w:color w:val="auto"/>
          <w:sz w:val="24"/>
        </w:rPr>
        <w:t>根据</w:t>
      </w:r>
      <w:r>
        <w:rPr>
          <w:rFonts w:hint="eastAsia" w:ascii="宋体" w:hAnsi="宋体"/>
          <w:color w:val="auto"/>
          <w:sz w:val="24"/>
          <w:lang w:eastAsia="zh-CN"/>
        </w:rPr>
        <w:t>磋商文件</w:t>
      </w:r>
      <w:r>
        <w:rPr>
          <w:rFonts w:hint="eastAsia" w:ascii="宋体" w:hAnsi="宋体"/>
          <w:color w:val="auto"/>
          <w:sz w:val="24"/>
        </w:rPr>
        <w:t>要求自拟。</w:t>
      </w:r>
    </w:p>
    <w:p w14:paraId="248D1B6C">
      <w:pPr>
        <w:pStyle w:val="12"/>
        <w:rPr>
          <w:rFonts w:hint="eastAsia" w:ascii="宋体" w:hAnsi="宋体" w:cs="宋体"/>
          <w:color w:val="auto"/>
          <w:sz w:val="24"/>
        </w:rPr>
      </w:pPr>
    </w:p>
    <w:p w14:paraId="6A64B490">
      <w:pPr>
        <w:pStyle w:val="12"/>
        <w:rPr>
          <w:rFonts w:hint="eastAsia" w:ascii="宋体" w:hAnsi="宋体" w:cs="宋体"/>
          <w:color w:val="auto"/>
          <w:sz w:val="24"/>
        </w:rPr>
      </w:pPr>
    </w:p>
    <w:p w14:paraId="0497E8C0">
      <w:pPr>
        <w:pStyle w:val="12"/>
        <w:rPr>
          <w:rFonts w:hint="eastAsia" w:ascii="宋体" w:hAnsi="宋体" w:cs="宋体"/>
          <w:color w:val="auto"/>
          <w:sz w:val="24"/>
        </w:rPr>
      </w:pPr>
    </w:p>
    <w:p w14:paraId="1D14DFF2">
      <w:pPr>
        <w:pStyle w:val="12"/>
        <w:rPr>
          <w:rFonts w:hint="eastAsia" w:ascii="宋体" w:hAnsi="宋体" w:cs="宋体"/>
          <w:color w:val="auto"/>
          <w:sz w:val="24"/>
        </w:rPr>
      </w:pPr>
    </w:p>
    <w:p w14:paraId="08524789">
      <w:pPr>
        <w:pStyle w:val="12"/>
        <w:rPr>
          <w:rFonts w:hint="eastAsia" w:ascii="宋体" w:hAnsi="宋体" w:cs="宋体"/>
          <w:color w:val="auto"/>
          <w:sz w:val="24"/>
        </w:rPr>
      </w:pPr>
    </w:p>
    <w:p w14:paraId="1A853734">
      <w:pPr>
        <w:spacing w:line="0" w:lineRule="atLeast"/>
        <w:ind w:left="3260"/>
        <w:rPr>
          <w:rFonts w:hint="eastAsia" w:ascii="宋体" w:hAnsi="宋体" w:cs="宋体"/>
          <w:color w:val="auto"/>
          <w:sz w:val="24"/>
        </w:rPr>
      </w:pPr>
    </w:p>
    <w:p w14:paraId="4CA10736">
      <w:pPr>
        <w:spacing w:line="0" w:lineRule="atLeast"/>
        <w:ind w:left="3260"/>
        <w:rPr>
          <w:rFonts w:hint="eastAsia" w:ascii="宋体" w:hAnsi="宋体" w:cs="宋体"/>
          <w:color w:val="auto"/>
        </w:rPr>
      </w:pPr>
      <w:r>
        <w:rPr>
          <w:rFonts w:hint="eastAsia" w:ascii="宋体" w:hAnsi="宋体" w:cs="宋体"/>
          <w:color w:val="auto"/>
          <w:sz w:val="24"/>
        </w:rPr>
        <w:t>法定代表人</w:t>
      </w:r>
      <w:r>
        <w:rPr>
          <w:rFonts w:hint="eastAsia" w:hAnsi="宋体" w:cs="宋体"/>
          <w:color w:val="auto"/>
          <w:sz w:val="24"/>
          <w:lang w:val="en-US" w:eastAsia="zh-CN"/>
        </w:rPr>
        <w:t>/</w:t>
      </w:r>
      <w:r>
        <w:rPr>
          <w:rFonts w:hint="eastAsia" w:ascii="宋体" w:hAnsi="宋体" w:cs="宋体"/>
          <w:color w:val="auto"/>
          <w:sz w:val="24"/>
        </w:rPr>
        <w:t>被授权人</w:t>
      </w:r>
      <w:r>
        <w:rPr>
          <w:rFonts w:hint="eastAsia" w:hAnsi="宋体" w:cs="宋体"/>
          <w:color w:val="auto"/>
          <w:sz w:val="24"/>
          <w:lang w:eastAsia="zh-CN"/>
        </w:rPr>
        <w:t>（</w:t>
      </w:r>
      <w:r>
        <w:rPr>
          <w:rFonts w:hint="eastAsia" w:ascii="宋体" w:hAnsi="宋体" w:cs="宋体"/>
          <w:color w:val="auto"/>
          <w:sz w:val="24"/>
        </w:rPr>
        <w:t>签字</w:t>
      </w:r>
      <w:r>
        <w:rPr>
          <w:rFonts w:hint="eastAsia" w:hAnsi="宋体" w:cs="宋体"/>
          <w:color w:val="auto"/>
          <w:sz w:val="24"/>
          <w:lang w:eastAsia="zh-CN"/>
        </w:rPr>
        <w:t>或盖章）</w:t>
      </w:r>
      <w:r>
        <w:rPr>
          <w:rFonts w:hint="eastAsia" w:ascii="宋体" w:hAnsi="宋体" w:cs="宋体"/>
          <w:color w:val="auto"/>
          <w:sz w:val="24"/>
        </w:rPr>
        <w:t>：</w:t>
      </w:r>
    </w:p>
    <w:p w14:paraId="759AE77E">
      <w:pPr>
        <w:spacing w:line="269" w:lineRule="exact"/>
        <w:rPr>
          <w:rFonts w:hint="eastAsia" w:ascii="宋体" w:hAnsi="宋体" w:cs="宋体"/>
          <w:color w:val="auto"/>
        </w:rPr>
      </w:pPr>
    </w:p>
    <w:p w14:paraId="288CBF75">
      <w:pPr>
        <w:spacing w:line="0" w:lineRule="atLeast"/>
        <w:ind w:left="3240"/>
        <w:rPr>
          <w:rFonts w:hint="eastAsia" w:ascii="宋体" w:hAnsi="宋体" w:cs="宋体"/>
          <w:color w:val="auto"/>
        </w:rPr>
      </w:pPr>
      <w:r>
        <w:rPr>
          <w:rFonts w:hint="eastAsia" w:ascii="宋体" w:hAnsi="宋体" w:cs="宋体"/>
          <w:color w:val="auto"/>
          <w:sz w:val="24"/>
        </w:rPr>
        <w:t>投标人名称（公章）：</w:t>
      </w:r>
    </w:p>
    <w:p w14:paraId="421518A7">
      <w:pPr>
        <w:tabs>
          <w:tab w:val="left" w:pos="4200"/>
        </w:tabs>
        <w:spacing w:line="0" w:lineRule="atLeast"/>
        <w:ind w:left="3260"/>
        <w:rPr>
          <w:rFonts w:hint="eastAsia" w:ascii="宋体" w:hAnsi="宋体" w:cs="宋体"/>
          <w:color w:val="auto"/>
          <w:sz w:val="24"/>
        </w:rPr>
      </w:pPr>
    </w:p>
    <w:p w14:paraId="56E6A42A">
      <w:pPr>
        <w:tabs>
          <w:tab w:val="left" w:pos="4200"/>
        </w:tabs>
        <w:spacing w:line="0" w:lineRule="atLeast"/>
        <w:ind w:left="3260"/>
        <w:rPr>
          <w:rFonts w:hint="eastAsia" w:ascii="宋体" w:hAnsi="宋体" w:cs="宋体"/>
          <w:color w:val="auto"/>
          <w:sz w:val="24"/>
        </w:rPr>
      </w:pPr>
      <w:r>
        <w:rPr>
          <w:rFonts w:hint="eastAsia" w:ascii="宋体" w:hAnsi="宋体" w:cs="宋体"/>
          <w:color w:val="auto"/>
          <w:sz w:val="24"/>
        </w:rPr>
        <w:t>日</w:t>
      </w:r>
      <w:r>
        <w:rPr>
          <w:rFonts w:hint="eastAsia" w:ascii="宋体" w:hAnsi="宋体" w:cs="宋体"/>
          <w:color w:val="auto"/>
        </w:rPr>
        <w:tab/>
      </w:r>
      <w:r>
        <w:rPr>
          <w:rFonts w:hint="eastAsia" w:ascii="宋体" w:hAnsi="宋体" w:cs="宋体"/>
          <w:color w:val="auto"/>
          <w:sz w:val="24"/>
        </w:rPr>
        <w:t>期：</w:t>
      </w:r>
    </w:p>
    <w:p w14:paraId="441A5377">
      <w:pPr>
        <w:pStyle w:val="2"/>
        <w:rPr>
          <w:rFonts w:hint="eastAsia" w:ascii="宋体" w:hAnsi="宋体" w:cs="宋体"/>
          <w:color w:val="auto"/>
          <w:sz w:val="24"/>
        </w:rPr>
      </w:pPr>
    </w:p>
    <w:p w14:paraId="60A89C3D">
      <w:pPr>
        <w:rPr>
          <w:rFonts w:hint="eastAsia" w:ascii="宋体" w:hAnsi="宋体" w:cs="宋体"/>
          <w:color w:val="auto"/>
          <w:sz w:val="24"/>
        </w:rPr>
      </w:pPr>
    </w:p>
    <w:p w14:paraId="7471446C">
      <w:pPr>
        <w:pStyle w:val="2"/>
        <w:rPr>
          <w:rFonts w:hint="eastAsia" w:ascii="宋体" w:hAnsi="宋体" w:cs="宋体"/>
          <w:color w:val="auto"/>
          <w:sz w:val="24"/>
        </w:rPr>
      </w:pPr>
    </w:p>
    <w:p w14:paraId="0668CA53">
      <w:pPr>
        <w:rPr>
          <w:rFonts w:hint="eastAsia" w:ascii="宋体" w:hAnsi="宋体" w:cs="宋体"/>
          <w:color w:val="auto"/>
          <w:sz w:val="24"/>
        </w:rPr>
      </w:pPr>
    </w:p>
    <w:p w14:paraId="1D25AE83">
      <w:pPr>
        <w:pStyle w:val="2"/>
        <w:rPr>
          <w:rFonts w:hint="eastAsia" w:ascii="宋体" w:hAnsi="宋体" w:cs="宋体"/>
          <w:color w:val="auto"/>
          <w:sz w:val="24"/>
        </w:rPr>
      </w:pPr>
    </w:p>
    <w:p w14:paraId="6D8D4111">
      <w:pPr>
        <w:rPr>
          <w:rFonts w:hint="eastAsia" w:ascii="宋体" w:hAnsi="宋体" w:cs="宋体"/>
          <w:color w:val="auto"/>
          <w:sz w:val="24"/>
        </w:rPr>
      </w:pPr>
    </w:p>
    <w:p w14:paraId="354BE578">
      <w:pPr>
        <w:pStyle w:val="2"/>
        <w:rPr>
          <w:rFonts w:hint="eastAsia" w:ascii="宋体" w:hAnsi="宋体" w:cs="宋体"/>
          <w:color w:val="auto"/>
          <w:sz w:val="24"/>
        </w:rPr>
      </w:pPr>
    </w:p>
    <w:p w14:paraId="06BFB8FB">
      <w:pPr>
        <w:rPr>
          <w:rFonts w:hint="eastAsia" w:ascii="宋体" w:hAnsi="宋体" w:cs="宋体"/>
          <w:color w:val="auto"/>
          <w:sz w:val="24"/>
        </w:rPr>
      </w:pPr>
    </w:p>
    <w:p w14:paraId="2DBFA82E">
      <w:pPr>
        <w:pStyle w:val="2"/>
        <w:rPr>
          <w:rFonts w:hint="eastAsia" w:ascii="宋体" w:hAnsi="宋体" w:cs="宋体"/>
          <w:color w:val="auto"/>
          <w:sz w:val="24"/>
        </w:rPr>
      </w:pPr>
    </w:p>
    <w:p w14:paraId="104D82BB">
      <w:pPr>
        <w:rPr>
          <w:rFonts w:hint="eastAsia" w:ascii="宋体" w:hAnsi="宋体" w:cs="宋体"/>
          <w:color w:val="auto"/>
          <w:sz w:val="24"/>
        </w:rPr>
      </w:pPr>
    </w:p>
    <w:p w14:paraId="75F1ECE6">
      <w:pPr>
        <w:pStyle w:val="2"/>
        <w:rPr>
          <w:rFonts w:hint="eastAsia" w:ascii="宋体" w:hAnsi="宋体" w:cs="宋体"/>
          <w:color w:val="auto"/>
          <w:sz w:val="24"/>
        </w:rPr>
      </w:pPr>
    </w:p>
    <w:p w14:paraId="274A9A1E">
      <w:pPr>
        <w:rPr>
          <w:rFonts w:hint="eastAsia" w:ascii="宋体" w:hAnsi="宋体" w:cs="宋体"/>
          <w:color w:val="auto"/>
          <w:sz w:val="24"/>
        </w:rPr>
      </w:pPr>
    </w:p>
    <w:p w14:paraId="33807547">
      <w:pPr>
        <w:pStyle w:val="2"/>
        <w:rPr>
          <w:rFonts w:hint="eastAsia" w:ascii="宋体" w:hAnsi="宋体" w:cs="宋体"/>
          <w:color w:val="auto"/>
          <w:sz w:val="24"/>
        </w:rPr>
      </w:pPr>
    </w:p>
    <w:p w14:paraId="1B7084A9">
      <w:pPr>
        <w:rPr>
          <w:rFonts w:hint="eastAsia" w:ascii="宋体" w:hAnsi="宋体" w:cs="宋体"/>
          <w:color w:val="auto"/>
          <w:sz w:val="24"/>
        </w:rPr>
      </w:pPr>
    </w:p>
    <w:p w14:paraId="74BAFEC0">
      <w:pPr>
        <w:pStyle w:val="4"/>
        <w:jc w:val="center"/>
        <w:rPr>
          <w:rFonts w:hint="eastAsia" w:eastAsia="宋体"/>
          <w:color w:val="auto"/>
          <w:lang w:eastAsia="zh-CN"/>
        </w:rPr>
      </w:pPr>
      <w:bookmarkStart w:id="82" w:name="_Toc3237"/>
      <w:bookmarkStart w:id="83" w:name="_Toc22788"/>
      <w:bookmarkStart w:id="84" w:name="_Toc5077"/>
      <w:r>
        <w:rPr>
          <w:rFonts w:hint="eastAsia"/>
          <w:color w:val="auto"/>
          <w:lang w:eastAsia="zh-CN"/>
        </w:rPr>
        <w:t>五</w:t>
      </w:r>
      <w:r>
        <w:rPr>
          <w:rFonts w:hint="eastAsia"/>
          <w:color w:val="auto"/>
        </w:rPr>
        <w:t>、商务响应</w:t>
      </w:r>
      <w:bookmarkEnd w:id="82"/>
      <w:bookmarkEnd w:id="83"/>
      <w:r>
        <w:rPr>
          <w:rFonts w:hint="eastAsia"/>
          <w:color w:val="auto"/>
          <w:lang w:eastAsia="zh-CN"/>
        </w:rPr>
        <w:t>表</w:t>
      </w:r>
    </w:p>
    <w:p w14:paraId="5FAB0453">
      <w:pPr>
        <w:spacing w:line="400" w:lineRule="atLeast"/>
        <w:rPr>
          <w:color w:val="auto"/>
        </w:rPr>
      </w:pPr>
      <w:r>
        <w:rPr>
          <w:rFonts w:hint="eastAsia" w:cs="宋体"/>
          <w:color w:val="auto"/>
          <w:sz w:val="24"/>
          <w:szCs w:val="22"/>
        </w:rPr>
        <w:t>采购项目</w:t>
      </w:r>
      <w:r>
        <w:rPr>
          <w:rFonts w:hint="eastAsia" w:ascii="宋体" w:hAnsi="宋体" w:cs="宋体"/>
          <w:color w:val="auto"/>
          <w:sz w:val="24"/>
        </w:rPr>
        <w:t>名称：</w:t>
      </w:r>
      <w:r>
        <w:rPr>
          <w:rFonts w:hint="eastAsia" w:ascii="宋体" w:hAnsi="宋体" w:cs="宋体"/>
          <w:color w:val="auto"/>
          <w:sz w:val="24"/>
          <w:u w:val="single"/>
        </w:rPr>
        <w:t xml:space="preserve">                       </w:t>
      </w:r>
      <w:r>
        <w:rPr>
          <w:rFonts w:hint="eastAsia" w:ascii="宋体" w:hAnsi="宋体" w:cs="宋体"/>
          <w:color w:val="auto"/>
          <w:sz w:val="24"/>
        </w:rPr>
        <w:t>采购项目编号：</w:t>
      </w:r>
      <w:r>
        <w:rPr>
          <w:rFonts w:hint="eastAsia" w:ascii="宋体" w:hAnsi="宋体" w:cs="宋体"/>
          <w:color w:val="auto"/>
          <w:sz w:val="24"/>
          <w:u w:val="single"/>
        </w:rPr>
        <w:t xml:space="preserve">              </w:t>
      </w:r>
    </w:p>
    <w:p w14:paraId="6454E5B7">
      <w:pPr>
        <w:spacing w:line="200" w:lineRule="exact"/>
        <w:rPr>
          <w:rFonts w:ascii="宋体" w:hAnsi="宋体" w:cs="宋体"/>
          <w:color w:val="auto"/>
          <w:sz w:val="23"/>
        </w:rPr>
      </w:pPr>
    </w:p>
    <w:tbl>
      <w:tblPr>
        <w:tblStyle w:val="47"/>
        <w:tblW w:w="879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621"/>
        <w:gridCol w:w="2264"/>
        <w:gridCol w:w="2214"/>
        <w:gridCol w:w="1253"/>
        <w:gridCol w:w="1440"/>
      </w:tblGrid>
      <w:tr w14:paraId="09C2D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1621" w:type="dxa"/>
            <w:noWrap w:val="0"/>
            <w:vAlign w:val="top"/>
          </w:tcPr>
          <w:p w14:paraId="50692D06">
            <w:pPr>
              <w:spacing w:line="400" w:lineRule="atLeast"/>
              <w:jc w:val="center"/>
              <w:rPr>
                <w:rFonts w:ascii="宋体" w:hAnsi="宋体" w:cs="宋体"/>
                <w:b/>
                <w:color w:val="auto"/>
                <w:sz w:val="24"/>
              </w:rPr>
            </w:pPr>
            <w:r>
              <w:rPr>
                <w:rFonts w:hint="eastAsia" w:ascii="宋体" w:hAnsi="宋体" w:cs="宋体"/>
                <w:b/>
                <w:color w:val="auto"/>
                <w:sz w:val="24"/>
              </w:rPr>
              <w:t>序号</w:t>
            </w:r>
          </w:p>
        </w:tc>
        <w:tc>
          <w:tcPr>
            <w:tcW w:w="2264" w:type="dxa"/>
            <w:noWrap w:val="0"/>
            <w:vAlign w:val="top"/>
          </w:tcPr>
          <w:p w14:paraId="1919995E">
            <w:pPr>
              <w:spacing w:line="400" w:lineRule="atLeast"/>
              <w:jc w:val="center"/>
              <w:rPr>
                <w:rFonts w:hint="eastAsia" w:ascii="宋体" w:hAnsi="宋体" w:cs="宋体"/>
                <w:b/>
                <w:color w:val="auto"/>
                <w:sz w:val="24"/>
                <w:lang w:eastAsia="zh-CN"/>
              </w:rPr>
            </w:pPr>
            <w:r>
              <w:rPr>
                <w:rFonts w:hint="eastAsia" w:ascii="宋体" w:hAnsi="宋体" w:cs="宋体"/>
                <w:b/>
                <w:color w:val="auto"/>
                <w:sz w:val="24"/>
                <w:lang w:eastAsia="zh-CN"/>
              </w:rPr>
              <w:t>竞争性磋商文件</w:t>
            </w:r>
          </w:p>
          <w:p w14:paraId="17C2F332">
            <w:pPr>
              <w:spacing w:line="400" w:lineRule="atLeast"/>
              <w:jc w:val="center"/>
              <w:rPr>
                <w:rFonts w:ascii="宋体" w:hAnsi="宋体" w:cs="宋体"/>
                <w:b/>
                <w:color w:val="auto"/>
                <w:sz w:val="24"/>
              </w:rPr>
            </w:pPr>
            <w:r>
              <w:rPr>
                <w:rFonts w:hint="eastAsia" w:ascii="宋体" w:hAnsi="宋体" w:cs="宋体"/>
                <w:b/>
                <w:color w:val="auto"/>
                <w:sz w:val="24"/>
              </w:rPr>
              <w:t>商务要求</w:t>
            </w:r>
          </w:p>
        </w:tc>
        <w:tc>
          <w:tcPr>
            <w:tcW w:w="2214" w:type="dxa"/>
            <w:noWrap w:val="0"/>
            <w:vAlign w:val="top"/>
          </w:tcPr>
          <w:p w14:paraId="5C4EAF11">
            <w:pPr>
              <w:spacing w:line="400" w:lineRule="atLeast"/>
              <w:jc w:val="center"/>
              <w:rPr>
                <w:rFonts w:hint="eastAsia" w:ascii="宋体" w:hAnsi="宋体" w:cs="宋体"/>
                <w:b/>
                <w:color w:val="auto"/>
                <w:sz w:val="24"/>
                <w:lang w:eastAsia="zh-CN"/>
              </w:rPr>
            </w:pPr>
            <w:r>
              <w:rPr>
                <w:rFonts w:hint="eastAsia" w:ascii="宋体" w:hAnsi="宋体" w:cs="宋体"/>
                <w:b/>
                <w:color w:val="auto"/>
                <w:sz w:val="24"/>
                <w:lang w:eastAsia="zh-CN"/>
              </w:rPr>
              <w:t>竞争性磋商响应</w:t>
            </w:r>
          </w:p>
          <w:p w14:paraId="52F22BB9">
            <w:pPr>
              <w:spacing w:line="400" w:lineRule="atLeast"/>
              <w:jc w:val="center"/>
              <w:rPr>
                <w:rFonts w:ascii="宋体" w:hAnsi="宋体" w:cs="宋体"/>
                <w:b/>
                <w:color w:val="auto"/>
                <w:sz w:val="24"/>
              </w:rPr>
            </w:pPr>
            <w:r>
              <w:rPr>
                <w:rFonts w:hint="eastAsia" w:ascii="宋体" w:hAnsi="宋体" w:cs="宋体"/>
                <w:b/>
                <w:color w:val="auto"/>
                <w:sz w:val="24"/>
                <w:lang w:eastAsia="zh-CN"/>
              </w:rPr>
              <w:t>文件</w:t>
            </w:r>
            <w:r>
              <w:rPr>
                <w:rFonts w:hint="eastAsia" w:ascii="宋体" w:hAnsi="宋体" w:cs="宋体"/>
                <w:b/>
                <w:color w:val="auto"/>
                <w:sz w:val="24"/>
              </w:rPr>
              <w:t>商务响应</w:t>
            </w:r>
          </w:p>
        </w:tc>
        <w:tc>
          <w:tcPr>
            <w:tcW w:w="1253" w:type="dxa"/>
            <w:noWrap w:val="0"/>
            <w:vAlign w:val="top"/>
          </w:tcPr>
          <w:p w14:paraId="39677458">
            <w:pPr>
              <w:spacing w:line="400" w:lineRule="atLeast"/>
              <w:jc w:val="center"/>
              <w:rPr>
                <w:rFonts w:ascii="宋体" w:hAnsi="宋体" w:cs="宋体"/>
                <w:b/>
                <w:color w:val="auto"/>
                <w:sz w:val="24"/>
              </w:rPr>
            </w:pPr>
            <w:r>
              <w:rPr>
                <w:rFonts w:hint="eastAsia" w:ascii="宋体" w:hAnsi="宋体" w:cs="宋体"/>
                <w:b/>
                <w:color w:val="auto"/>
                <w:sz w:val="24"/>
              </w:rPr>
              <w:t>偏离</w:t>
            </w:r>
          </w:p>
        </w:tc>
        <w:tc>
          <w:tcPr>
            <w:tcW w:w="1440" w:type="dxa"/>
            <w:noWrap w:val="0"/>
            <w:vAlign w:val="top"/>
          </w:tcPr>
          <w:p w14:paraId="31824900">
            <w:pPr>
              <w:spacing w:line="400" w:lineRule="atLeast"/>
              <w:jc w:val="center"/>
              <w:rPr>
                <w:rFonts w:ascii="宋体" w:hAnsi="宋体" w:cs="宋体"/>
                <w:b/>
                <w:color w:val="auto"/>
                <w:sz w:val="24"/>
              </w:rPr>
            </w:pPr>
            <w:r>
              <w:rPr>
                <w:rFonts w:hint="eastAsia" w:ascii="宋体" w:hAnsi="宋体" w:cs="宋体"/>
                <w:b/>
                <w:color w:val="auto"/>
                <w:sz w:val="24"/>
              </w:rPr>
              <w:t>说明</w:t>
            </w:r>
          </w:p>
        </w:tc>
      </w:tr>
      <w:tr w14:paraId="23DD4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621" w:type="dxa"/>
            <w:noWrap w:val="0"/>
            <w:vAlign w:val="top"/>
          </w:tcPr>
          <w:p w14:paraId="0168DC19">
            <w:pPr>
              <w:spacing w:line="400" w:lineRule="atLeast"/>
              <w:jc w:val="center"/>
              <w:rPr>
                <w:rFonts w:ascii="宋体" w:hAnsi="宋体" w:cs="宋体"/>
                <w:color w:val="auto"/>
                <w:sz w:val="24"/>
              </w:rPr>
            </w:pPr>
          </w:p>
        </w:tc>
        <w:tc>
          <w:tcPr>
            <w:tcW w:w="2264" w:type="dxa"/>
            <w:noWrap w:val="0"/>
            <w:vAlign w:val="top"/>
          </w:tcPr>
          <w:p w14:paraId="627863FB">
            <w:pPr>
              <w:spacing w:line="400" w:lineRule="atLeast"/>
              <w:jc w:val="center"/>
              <w:rPr>
                <w:rFonts w:ascii="宋体" w:hAnsi="宋体" w:cs="宋体"/>
                <w:color w:val="auto"/>
                <w:sz w:val="24"/>
              </w:rPr>
            </w:pPr>
          </w:p>
        </w:tc>
        <w:tc>
          <w:tcPr>
            <w:tcW w:w="2214" w:type="dxa"/>
            <w:noWrap w:val="0"/>
            <w:vAlign w:val="top"/>
          </w:tcPr>
          <w:p w14:paraId="1DBE285A">
            <w:pPr>
              <w:spacing w:line="400" w:lineRule="atLeast"/>
              <w:jc w:val="center"/>
              <w:rPr>
                <w:rFonts w:ascii="宋体" w:hAnsi="宋体" w:cs="宋体"/>
                <w:color w:val="auto"/>
                <w:sz w:val="24"/>
              </w:rPr>
            </w:pPr>
          </w:p>
        </w:tc>
        <w:tc>
          <w:tcPr>
            <w:tcW w:w="1253" w:type="dxa"/>
            <w:noWrap w:val="0"/>
            <w:vAlign w:val="top"/>
          </w:tcPr>
          <w:p w14:paraId="26F132E4">
            <w:pPr>
              <w:spacing w:line="400" w:lineRule="atLeast"/>
              <w:jc w:val="center"/>
              <w:rPr>
                <w:rFonts w:ascii="宋体" w:hAnsi="宋体" w:cs="宋体"/>
                <w:color w:val="auto"/>
                <w:sz w:val="24"/>
              </w:rPr>
            </w:pPr>
          </w:p>
        </w:tc>
        <w:tc>
          <w:tcPr>
            <w:tcW w:w="1440" w:type="dxa"/>
            <w:noWrap w:val="0"/>
            <w:vAlign w:val="top"/>
          </w:tcPr>
          <w:p w14:paraId="2EF6E743">
            <w:pPr>
              <w:spacing w:line="400" w:lineRule="atLeast"/>
              <w:jc w:val="center"/>
              <w:rPr>
                <w:rFonts w:ascii="宋体" w:hAnsi="宋体" w:cs="宋体"/>
                <w:color w:val="auto"/>
                <w:sz w:val="24"/>
              </w:rPr>
            </w:pPr>
          </w:p>
        </w:tc>
      </w:tr>
      <w:tr w14:paraId="25059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91" w:hRule="atLeast"/>
          <w:jc w:val="center"/>
        </w:trPr>
        <w:tc>
          <w:tcPr>
            <w:tcW w:w="1621" w:type="dxa"/>
            <w:noWrap w:val="0"/>
            <w:vAlign w:val="top"/>
          </w:tcPr>
          <w:p w14:paraId="6C71C544">
            <w:pPr>
              <w:spacing w:line="400" w:lineRule="atLeast"/>
              <w:jc w:val="center"/>
              <w:rPr>
                <w:rFonts w:ascii="宋体" w:hAnsi="宋体" w:cs="宋体"/>
                <w:color w:val="auto"/>
                <w:sz w:val="24"/>
              </w:rPr>
            </w:pPr>
          </w:p>
        </w:tc>
        <w:tc>
          <w:tcPr>
            <w:tcW w:w="2264" w:type="dxa"/>
            <w:noWrap w:val="0"/>
            <w:vAlign w:val="top"/>
          </w:tcPr>
          <w:p w14:paraId="5DBFF9C7">
            <w:pPr>
              <w:spacing w:line="400" w:lineRule="atLeast"/>
              <w:jc w:val="center"/>
              <w:rPr>
                <w:rFonts w:ascii="宋体" w:hAnsi="宋体" w:cs="宋体"/>
                <w:color w:val="auto"/>
                <w:sz w:val="24"/>
              </w:rPr>
            </w:pPr>
          </w:p>
        </w:tc>
        <w:tc>
          <w:tcPr>
            <w:tcW w:w="2214" w:type="dxa"/>
            <w:noWrap w:val="0"/>
            <w:vAlign w:val="top"/>
          </w:tcPr>
          <w:p w14:paraId="2334E259">
            <w:pPr>
              <w:spacing w:line="400" w:lineRule="atLeast"/>
              <w:jc w:val="center"/>
              <w:rPr>
                <w:rFonts w:ascii="宋体" w:hAnsi="宋体" w:cs="宋体"/>
                <w:color w:val="auto"/>
                <w:sz w:val="24"/>
              </w:rPr>
            </w:pPr>
          </w:p>
          <w:p w14:paraId="60ABB308">
            <w:pPr>
              <w:spacing w:line="400" w:lineRule="atLeast"/>
              <w:jc w:val="center"/>
              <w:rPr>
                <w:rFonts w:ascii="宋体" w:hAnsi="宋体" w:cs="宋体"/>
                <w:color w:val="auto"/>
                <w:sz w:val="24"/>
              </w:rPr>
            </w:pPr>
          </w:p>
        </w:tc>
        <w:tc>
          <w:tcPr>
            <w:tcW w:w="1253" w:type="dxa"/>
            <w:noWrap w:val="0"/>
            <w:vAlign w:val="top"/>
          </w:tcPr>
          <w:p w14:paraId="7E954310">
            <w:pPr>
              <w:spacing w:line="400" w:lineRule="atLeast"/>
              <w:jc w:val="center"/>
              <w:rPr>
                <w:rFonts w:ascii="宋体" w:hAnsi="宋体" w:cs="宋体"/>
                <w:color w:val="auto"/>
                <w:sz w:val="24"/>
              </w:rPr>
            </w:pPr>
          </w:p>
        </w:tc>
        <w:tc>
          <w:tcPr>
            <w:tcW w:w="1440" w:type="dxa"/>
            <w:noWrap w:val="0"/>
            <w:vAlign w:val="top"/>
          </w:tcPr>
          <w:p w14:paraId="22FE8BD9">
            <w:pPr>
              <w:spacing w:line="400" w:lineRule="atLeast"/>
              <w:jc w:val="center"/>
              <w:rPr>
                <w:rFonts w:ascii="宋体" w:hAnsi="宋体" w:cs="宋体"/>
                <w:color w:val="auto"/>
                <w:sz w:val="24"/>
              </w:rPr>
            </w:pPr>
          </w:p>
        </w:tc>
      </w:tr>
      <w:tr w14:paraId="46200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621" w:type="dxa"/>
            <w:noWrap w:val="0"/>
            <w:vAlign w:val="top"/>
          </w:tcPr>
          <w:p w14:paraId="30E64461">
            <w:pPr>
              <w:spacing w:line="400" w:lineRule="atLeast"/>
              <w:jc w:val="center"/>
              <w:rPr>
                <w:rFonts w:ascii="宋体" w:hAnsi="宋体" w:cs="宋体"/>
                <w:color w:val="auto"/>
                <w:sz w:val="24"/>
              </w:rPr>
            </w:pPr>
          </w:p>
        </w:tc>
        <w:tc>
          <w:tcPr>
            <w:tcW w:w="2264" w:type="dxa"/>
            <w:noWrap w:val="0"/>
            <w:vAlign w:val="top"/>
          </w:tcPr>
          <w:p w14:paraId="501E7817">
            <w:pPr>
              <w:spacing w:line="400" w:lineRule="atLeast"/>
              <w:jc w:val="center"/>
              <w:rPr>
                <w:rFonts w:ascii="宋体" w:hAnsi="宋体" w:cs="宋体"/>
                <w:color w:val="auto"/>
                <w:sz w:val="24"/>
              </w:rPr>
            </w:pPr>
          </w:p>
        </w:tc>
        <w:tc>
          <w:tcPr>
            <w:tcW w:w="2214" w:type="dxa"/>
            <w:noWrap w:val="0"/>
            <w:vAlign w:val="top"/>
          </w:tcPr>
          <w:p w14:paraId="7D3EAE8A">
            <w:pPr>
              <w:spacing w:line="400" w:lineRule="atLeast"/>
              <w:jc w:val="center"/>
              <w:rPr>
                <w:rFonts w:ascii="宋体" w:hAnsi="宋体" w:cs="宋体"/>
                <w:color w:val="auto"/>
                <w:sz w:val="24"/>
              </w:rPr>
            </w:pPr>
          </w:p>
        </w:tc>
        <w:tc>
          <w:tcPr>
            <w:tcW w:w="1253" w:type="dxa"/>
            <w:noWrap w:val="0"/>
            <w:vAlign w:val="top"/>
          </w:tcPr>
          <w:p w14:paraId="4BD244E4">
            <w:pPr>
              <w:spacing w:line="400" w:lineRule="atLeast"/>
              <w:jc w:val="center"/>
              <w:rPr>
                <w:rFonts w:ascii="宋体" w:hAnsi="宋体" w:cs="宋体"/>
                <w:color w:val="auto"/>
                <w:sz w:val="24"/>
              </w:rPr>
            </w:pPr>
          </w:p>
        </w:tc>
        <w:tc>
          <w:tcPr>
            <w:tcW w:w="1440" w:type="dxa"/>
            <w:noWrap w:val="0"/>
            <w:vAlign w:val="top"/>
          </w:tcPr>
          <w:p w14:paraId="61295C90">
            <w:pPr>
              <w:spacing w:line="400" w:lineRule="atLeast"/>
              <w:jc w:val="center"/>
              <w:rPr>
                <w:rFonts w:ascii="宋体" w:hAnsi="宋体" w:cs="宋体"/>
                <w:color w:val="auto"/>
                <w:sz w:val="24"/>
              </w:rPr>
            </w:pPr>
          </w:p>
        </w:tc>
      </w:tr>
      <w:tr w14:paraId="33E62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621" w:type="dxa"/>
            <w:noWrap w:val="0"/>
            <w:vAlign w:val="top"/>
          </w:tcPr>
          <w:p w14:paraId="64272692">
            <w:pPr>
              <w:spacing w:line="400" w:lineRule="atLeast"/>
              <w:jc w:val="center"/>
              <w:rPr>
                <w:rFonts w:ascii="宋体" w:hAnsi="宋体" w:cs="宋体"/>
                <w:color w:val="auto"/>
                <w:sz w:val="24"/>
              </w:rPr>
            </w:pPr>
          </w:p>
        </w:tc>
        <w:tc>
          <w:tcPr>
            <w:tcW w:w="2264" w:type="dxa"/>
            <w:noWrap w:val="0"/>
            <w:vAlign w:val="top"/>
          </w:tcPr>
          <w:p w14:paraId="279AE96C">
            <w:pPr>
              <w:spacing w:line="400" w:lineRule="atLeast"/>
              <w:jc w:val="center"/>
              <w:rPr>
                <w:rFonts w:ascii="宋体" w:hAnsi="宋体" w:cs="宋体"/>
                <w:color w:val="auto"/>
                <w:sz w:val="24"/>
              </w:rPr>
            </w:pPr>
          </w:p>
        </w:tc>
        <w:tc>
          <w:tcPr>
            <w:tcW w:w="2214" w:type="dxa"/>
            <w:noWrap w:val="0"/>
            <w:vAlign w:val="top"/>
          </w:tcPr>
          <w:p w14:paraId="5EE44176">
            <w:pPr>
              <w:spacing w:line="400" w:lineRule="atLeast"/>
              <w:jc w:val="center"/>
              <w:rPr>
                <w:rFonts w:ascii="宋体" w:hAnsi="宋体" w:cs="宋体"/>
                <w:color w:val="auto"/>
                <w:sz w:val="24"/>
              </w:rPr>
            </w:pPr>
          </w:p>
        </w:tc>
        <w:tc>
          <w:tcPr>
            <w:tcW w:w="1253" w:type="dxa"/>
            <w:noWrap w:val="0"/>
            <w:vAlign w:val="top"/>
          </w:tcPr>
          <w:p w14:paraId="56DACE7E">
            <w:pPr>
              <w:spacing w:line="400" w:lineRule="atLeast"/>
              <w:jc w:val="center"/>
              <w:rPr>
                <w:rFonts w:ascii="宋体" w:hAnsi="宋体" w:cs="宋体"/>
                <w:color w:val="auto"/>
                <w:sz w:val="24"/>
              </w:rPr>
            </w:pPr>
          </w:p>
        </w:tc>
        <w:tc>
          <w:tcPr>
            <w:tcW w:w="1440" w:type="dxa"/>
            <w:noWrap w:val="0"/>
            <w:vAlign w:val="top"/>
          </w:tcPr>
          <w:p w14:paraId="7BDCC7C6">
            <w:pPr>
              <w:spacing w:line="400" w:lineRule="atLeast"/>
              <w:jc w:val="center"/>
              <w:rPr>
                <w:rFonts w:ascii="宋体" w:hAnsi="宋体" w:cs="宋体"/>
                <w:color w:val="auto"/>
                <w:sz w:val="24"/>
              </w:rPr>
            </w:pPr>
          </w:p>
        </w:tc>
      </w:tr>
      <w:tr w14:paraId="36D1B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621" w:type="dxa"/>
            <w:noWrap w:val="0"/>
            <w:vAlign w:val="top"/>
          </w:tcPr>
          <w:p w14:paraId="0D78CADB">
            <w:pPr>
              <w:spacing w:line="400" w:lineRule="atLeast"/>
              <w:jc w:val="center"/>
              <w:rPr>
                <w:rFonts w:ascii="宋体" w:hAnsi="宋体" w:cs="宋体"/>
                <w:color w:val="auto"/>
                <w:sz w:val="24"/>
              </w:rPr>
            </w:pPr>
          </w:p>
        </w:tc>
        <w:tc>
          <w:tcPr>
            <w:tcW w:w="2264" w:type="dxa"/>
            <w:noWrap w:val="0"/>
            <w:vAlign w:val="top"/>
          </w:tcPr>
          <w:p w14:paraId="398D5360">
            <w:pPr>
              <w:spacing w:line="400" w:lineRule="atLeast"/>
              <w:jc w:val="center"/>
              <w:rPr>
                <w:rFonts w:ascii="宋体" w:hAnsi="宋体" w:cs="宋体"/>
                <w:color w:val="auto"/>
                <w:sz w:val="24"/>
              </w:rPr>
            </w:pPr>
          </w:p>
        </w:tc>
        <w:tc>
          <w:tcPr>
            <w:tcW w:w="2214" w:type="dxa"/>
            <w:noWrap w:val="0"/>
            <w:vAlign w:val="top"/>
          </w:tcPr>
          <w:p w14:paraId="4365B244">
            <w:pPr>
              <w:spacing w:line="400" w:lineRule="atLeast"/>
              <w:jc w:val="center"/>
              <w:rPr>
                <w:rFonts w:ascii="宋体" w:hAnsi="宋体" w:cs="宋体"/>
                <w:color w:val="auto"/>
                <w:sz w:val="24"/>
              </w:rPr>
            </w:pPr>
          </w:p>
        </w:tc>
        <w:tc>
          <w:tcPr>
            <w:tcW w:w="1253" w:type="dxa"/>
            <w:noWrap w:val="0"/>
            <w:vAlign w:val="top"/>
          </w:tcPr>
          <w:p w14:paraId="60D8DF21">
            <w:pPr>
              <w:spacing w:line="400" w:lineRule="atLeast"/>
              <w:jc w:val="center"/>
              <w:rPr>
                <w:rFonts w:ascii="宋体" w:hAnsi="宋体" w:cs="宋体"/>
                <w:color w:val="auto"/>
                <w:sz w:val="24"/>
              </w:rPr>
            </w:pPr>
          </w:p>
        </w:tc>
        <w:tc>
          <w:tcPr>
            <w:tcW w:w="1440" w:type="dxa"/>
            <w:noWrap w:val="0"/>
            <w:vAlign w:val="top"/>
          </w:tcPr>
          <w:p w14:paraId="48709CA7">
            <w:pPr>
              <w:spacing w:line="400" w:lineRule="atLeast"/>
              <w:jc w:val="center"/>
              <w:rPr>
                <w:rFonts w:ascii="宋体" w:hAnsi="宋体" w:cs="宋体"/>
                <w:color w:val="auto"/>
                <w:sz w:val="24"/>
              </w:rPr>
            </w:pPr>
          </w:p>
        </w:tc>
      </w:tr>
      <w:tr w14:paraId="499A4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91" w:hRule="atLeast"/>
          <w:jc w:val="center"/>
        </w:trPr>
        <w:tc>
          <w:tcPr>
            <w:tcW w:w="1621" w:type="dxa"/>
            <w:noWrap w:val="0"/>
            <w:vAlign w:val="top"/>
          </w:tcPr>
          <w:p w14:paraId="59195C16">
            <w:pPr>
              <w:spacing w:line="400" w:lineRule="atLeast"/>
              <w:jc w:val="center"/>
              <w:rPr>
                <w:rFonts w:ascii="宋体" w:hAnsi="宋体" w:cs="宋体"/>
                <w:color w:val="auto"/>
                <w:sz w:val="24"/>
              </w:rPr>
            </w:pPr>
          </w:p>
        </w:tc>
        <w:tc>
          <w:tcPr>
            <w:tcW w:w="2264" w:type="dxa"/>
            <w:noWrap w:val="0"/>
            <w:vAlign w:val="top"/>
          </w:tcPr>
          <w:p w14:paraId="0AFB7045">
            <w:pPr>
              <w:spacing w:line="400" w:lineRule="atLeast"/>
              <w:jc w:val="center"/>
              <w:rPr>
                <w:rFonts w:ascii="宋体" w:hAnsi="宋体" w:cs="宋体"/>
                <w:color w:val="auto"/>
                <w:sz w:val="24"/>
              </w:rPr>
            </w:pPr>
          </w:p>
        </w:tc>
        <w:tc>
          <w:tcPr>
            <w:tcW w:w="2214" w:type="dxa"/>
            <w:noWrap w:val="0"/>
            <w:vAlign w:val="top"/>
          </w:tcPr>
          <w:p w14:paraId="470CC188">
            <w:pPr>
              <w:spacing w:line="400" w:lineRule="atLeast"/>
              <w:jc w:val="center"/>
              <w:rPr>
                <w:rFonts w:ascii="宋体" w:hAnsi="宋体" w:cs="宋体"/>
                <w:color w:val="auto"/>
                <w:sz w:val="24"/>
              </w:rPr>
            </w:pPr>
          </w:p>
        </w:tc>
        <w:tc>
          <w:tcPr>
            <w:tcW w:w="1253" w:type="dxa"/>
            <w:noWrap w:val="0"/>
            <w:vAlign w:val="top"/>
          </w:tcPr>
          <w:p w14:paraId="491FC481">
            <w:pPr>
              <w:spacing w:line="400" w:lineRule="atLeast"/>
              <w:jc w:val="center"/>
              <w:rPr>
                <w:rFonts w:ascii="宋体" w:hAnsi="宋体" w:cs="宋体"/>
                <w:color w:val="auto"/>
                <w:sz w:val="24"/>
              </w:rPr>
            </w:pPr>
          </w:p>
        </w:tc>
        <w:tc>
          <w:tcPr>
            <w:tcW w:w="1440" w:type="dxa"/>
            <w:noWrap w:val="0"/>
            <w:vAlign w:val="top"/>
          </w:tcPr>
          <w:p w14:paraId="1593921A">
            <w:pPr>
              <w:spacing w:line="400" w:lineRule="atLeast"/>
              <w:jc w:val="center"/>
              <w:rPr>
                <w:rFonts w:ascii="宋体" w:hAnsi="宋体" w:cs="宋体"/>
                <w:color w:val="auto"/>
                <w:sz w:val="24"/>
              </w:rPr>
            </w:pPr>
          </w:p>
        </w:tc>
      </w:tr>
      <w:tr w14:paraId="29AC0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621" w:type="dxa"/>
            <w:noWrap w:val="0"/>
            <w:vAlign w:val="top"/>
          </w:tcPr>
          <w:p w14:paraId="0F1D16DC">
            <w:pPr>
              <w:spacing w:line="400" w:lineRule="atLeast"/>
              <w:jc w:val="center"/>
              <w:rPr>
                <w:rFonts w:ascii="宋体" w:hAnsi="宋体" w:cs="宋体"/>
                <w:color w:val="auto"/>
                <w:sz w:val="24"/>
              </w:rPr>
            </w:pPr>
          </w:p>
        </w:tc>
        <w:tc>
          <w:tcPr>
            <w:tcW w:w="2264" w:type="dxa"/>
            <w:noWrap w:val="0"/>
            <w:vAlign w:val="top"/>
          </w:tcPr>
          <w:p w14:paraId="33B09066">
            <w:pPr>
              <w:spacing w:line="400" w:lineRule="atLeast"/>
              <w:jc w:val="center"/>
              <w:rPr>
                <w:rFonts w:ascii="宋体" w:hAnsi="宋体" w:cs="宋体"/>
                <w:color w:val="auto"/>
                <w:sz w:val="24"/>
              </w:rPr>
            </w:pPr>
          </w:p>
        </w:tc>
        <w:tc>
          <w:tcPr>
            <w:tcW w:w="2214" w:type="dxa"/>
            <w:noWrap w:val="0"/>
            <w:vAlign w:val="top"/>
          </w:tcPr>
          <w:p w14:paraId="587B5041">
            <w:pPr>
              <w:spacing w:line="400" w:lineRule="atLeast"/>
              <w:jc w:val="center"/>
              <w:rPr>
                <w:rFonts w:ascii="宋体" w:hAnsi="宋体" w:cs="宋体"/>
                <w:color w:val="auto"/>
                <w:sz w:val="24"/>
              </w:rPr>
            </w:pPr>
          </w:p>
        </w:tc>
        <w:tc>
          <w:tcPr>
            <w:tcW w:w="1253" w:type="dxa"/>
            <w:noWrap w:val="0"/>
            <w:vAlign w:val="top"/>
          </w:tcPr>
          <w:p w14:paraId="22C70799">
            <w:pPr>
              <w:spacing w:line="400" w:lineRule="atLeast"/>
              <w:jc w:val="center"/>
              <w:rPr>
                <w:rFonts w:ascii="宋体" w:hAnsi="宋体" w:cs="宋体"/>
                <w:color w:val="auto"/>
                <w:sz w:val="24"/>
              </w:rPr>
            </w:pPr>
          </w:p>
        </w:tc>
        <w:tc>
          <w:tcPr>
            <w:tcW w:w="1440" w:type="dxa"/>
            <w:noWrap w:val="0"/>
            <w:vAlign w:val="top"/>
          </w:tcPr>
          <w:p w14:paraId="015B231B">
            <w:pPr>
              <w:spacing w:line="400" w:lineRule="atLeast"/>
              <w:jc w:val="center"/>
              <w:rPr>
                <w:rFonts w:ascii="宋体" w:hAnsi="宋体" w:cs="宋体"/>
                <w:color w:val="auto"/>
                <w:sz w:val="24"/>
              </w:rPr>
            </w:pPr>
          </w:p>
        </w:tc>
      </w:tr>
      <w:tr w14:paraId="174E5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621" w:type="dxa"/>
            <w:noWrap w:val="0"/>
            <w:vAlign w:val="top"/>
          </w:tcPr>
          <w:p w14:paraId="685A101B">
            <w:pPr>
              <w:spacing w:line="400" w:lineRule="atLeast"/>
              <w:jc w:val="center"/>
              <w:rPr>
                <w:rFonts w:ascii="宋体" w:hAnsi="宋体" w:cs="宋体"/>
                <w:color w:val="auto"/>
                <w:sz w:val="24"/>
              </w:rPr>
            </w:pPr>
          </w:p>
        </w:tc>
        <w:tc>
          <w:tcPr>
            <w:tcW w:w="2264" w:type="dxa"/>
            <w:noWrap w:val="0"/>
            <w:vAlign w:val="top"/>
          </w:tcPr>
          <w:p w14:paraId="68C10E48">
            <w:pPr>
              <w:spacing w:line="400" w:lineRule="atLeast"/>
              <w:jc w:val="center"/>
              <w:rPr>
                <w:rFonts w:ascii="宋体" w:hAnsi="宋体" w:cs="宋体"/>
                <w:color w:val="auto"/>
                <w:sz w:val="24"/>
              </w:rPr>
            </w:pPr>
          </w:p>
        </w:tc>
        <w:tc>
          <w:tcPr>
            <w:tcW w:w="2214" w:type="dxa"/>
            <w:noWrap w:val="0"/>
            <w:vAlign w:val="top"/>
          </w:tcPr>
          <w:p w14:paraId="3A81E89F">
            <w:pPr>
              <w:spacing w:line="400" w:lineRule="atLeast"/>
              <w:jc w:val="center"/>
              <w:rPr>
                <w:rFonts w:ascii="宋体" w:hAnsi="宋体" w:cs="宋体"/>
                <w:color w:val="auto"/>
                <w:sz w:val="24"/>
              </w:rPr>
            </w:pPr>
          </w:p>
        </w:tc>
        <w:tc>
          <w:tcPr>
            <w:tcW w:w="1253" w:type="dxa"/>
            <w:noWrap w:val="0"/>
            <w:vAlign w:val="top"/>
          </w:tcPr>
          <w:p w14:paraId="314011F5">
            <w:pPr>
              <w:spacing w:line="400" w:lineRule="atLeast"/>
              <w:jc w:val="center"/>
              <w:rPr>
                <w:rFonts w:ascii="宋体" w:hAnsi="宋体" w:cs="宋体"/>
                <w:color w:val="auto"/>
                <w:sz w:val="24"/>
              </w:rPr>
            </w:pPr>
          </w:p>
        </w:tc>
        <w:tc>
          <w:tcPr>
            <w:tcW w:w="1440" w:type="dxa"/>
            <w:noWrap w:val="0"/>
            <w:vAlign w:val="top"/>
          </w:tcPr>
          <w:p w14:paraId="58B5D024">
            <w:pPr>
              <w:spacing w:line="400" w:lineRule="atLeast"/>
              <w:jc w:val="center"/>
              <w:rPr>
                <w:rFonts w:ascii="宋体" w:hAnsi="宋体" w:cs="宋体"/>
                <w:color w:val="auto"/>
                <w:sz w:val="24"/>
              </w:rPr>
            </w:pPr>
          </w:p>
        </w:tc>
      </w:tr>
      <w:tr w14:paraId="18021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621" w:type="dxa"/>
            <w:noWrap w:val="0"/>
            <w:vAlign w:val="top"/>
          </w:tcPr>
          <w:p w14:paraId="08389AE3">
            <w:pPr>
              <w:spacing w:line="400" w:lineRule="atLeast"/>
              <w:jc w:val="center"/>
              <w:rPr>
                <w:rFonts w:ascii="宋体" w:hAnsi="宋体" w:cs="宋体"/>
                <w:color w:val="auto"/>
                <w:sz w:val="24"/>
              </w:rPr>
            </w:pPr>
          </w:p>
        </w:tc>
        <w:tc>
          <w:tcPr>
            <w:tcW w:w="2264" w:type="dxa"/>
            <w:noWrap w:val="0"/>
            <w:vAlign w:val="top"/>
          </w:tcPr>
          <w:p w14:paraId="3341079B">
            <w:pPr>
              <w:spacing w:line="400" w:lineRule="atLeast"/>
              <w:jc w:val="center"/>
              <w:rPr>
                <w:rFonts w:ascii="宋体" w:hAnsi="宋体" w:cs="宋体"/>
                <w:color w:val="auto"/>
                <w:sz w:val="24"/>
              </w:rPr>
            </w:pPr>
          </w:p>
        </w:tc>
        <w:tc>
          <w:tcPr>
            <w:tcW w:w="2214" w:type="dxa"/>
            <w:noWrap w:val="0"/>
            <w:vAlign w:val="top"/>
          </w:tcPr>
          <w:p w14:paraId="67370888">
            <w:pPr>
              <w:spacing w:line="400" w:lineRule="atLeast"/>
              <w:jc w:val="center"/>
              <w:rPr>
                <w:rFonts w:ascii="宋体" w:hAnsi="宋体" w:cs="宋体"/>
                <w:color w:val="auto"/>
                <w:sz w:val="24"/>
              </w:rPr>
            </w:pPr>
          </w:p>
        </w:tc>
        <w:tc>
          <w:tcPr>
            <w:tcW w:w="1253" w:type="dxa"/>
            <w:noWrap w:val="0"/>
            <w:vAlign w:val="top"/>
          </w:tcPr>
          <w:p w14:paraId="15F2D0E6">
            <w:pPr>
              <w:spacing w:line="400" w:lineRule="atLeast"/>
              <w:jc w:val="center"/>
              <w:rPr>
                <w:rFonts w:ascii="宋体" w:hAnsi="宋体" w:cs="宋体"/>
                <w:color w:val="auto"/>
                <w:sz w:val="24"/>
              </w:rPr>
            </w:pPr>
          </w:p>
        </w:tc>
        <w:tc>
          <w:tcPr>
            <w:tcW w:w="1440" w:type="dxa"/>
            <w:noWrap w:val="0"/>
            <w:vAlign w:val="top"/>
          </w:tcPr>
          <w:p w14:paraId="3702E479">
            <w:pPr>
              <w:spacing w:line="400" w:lineRule="atLeast"/>
              <w:jc w:val="center"/>
              <w:rPr>
                <w:rFonts w:ascii="宋体" w:hAnsi="宋体" w:cs="宋体"/>
                <w:color w:val="auto"/>
                <w:sz w:val="24"/>
              </w:rPr>
            </w:pPr>
          </w:p>
        </w:tc>
      </w:tr>
    </w:tbl>
    <w:p w14:paraId="476070A2">
      <w:pPr>
        <w:spacing w:line="200" w:lineRule="exact"/>
        <w:rPr>
          <w:rFonts w:ascii="宋体" w:hAnsi="宋体" w:cs="宋体"/>
          <w:color w:val="auto"/>
          <w:sz w:val="23"/>
        </w:rPr>
      </w:pPr>
    </w:p>
    <w:p w14:paraId="2990A5C0">
      <w:pPr>
        <w:spacing w:line="360" w:lineRule="auto"/>
        <w:jc w:val="left"/>
        <w:rPr>
          <w:rFonts w:hint="eastAsia" w:ascii="宋体" w:cs="宋体"/>
          <w:color w:val="auto"/>
          <w:sz w:val="24"/>
          <w:szCs w:val="24"/>
        </w:rPr>
      </w:pPr>
      <w:r>
        <w:rPr>
          <w:rFonts w:hint="eastAsia" w:ascii="宋体" w:cs="宋体"/>
          <w:color w:val="auto"/>
          <w:sz w:val="24"/>
          <w:szCs w:val="24"/>
        </w:rPr>
        <w:t>声明：1、供应商如有商务偏离，在表中逐项列明。除本商务偏离表中所列的偏离项目外，其它所有商务均完全响应</w:t>
      </w:r>
      <w:r>
        <w:rPr>
          <w:rFonts w:hint="eastAsia" w:ascii="宋体" w:cs="宋体"/>
          <w:color w:val="auto"/>
          <w:sz w:val="24"/>
          <w:szCs w:val="24"/>
          <w:lang w:eastAsia="zh-CN"/>
        </w:rPr>
        <w:t>磋商文件</w:t>
      </w:r>
      <w:r>
        <w:rPr>
          <w:rFonts w:hint="eastAsia" w:ascii="宋体" w:cs="宋体"/>
          <w:color w:val="auto"/>
          <w:sz w:val="24"/>
          <w:szCs w:val="24"/>
        </w:rPr>
        <w:t>中的要求。</w:t>
      </w:r>
    </w:p>
    <w:p w14:paraId="0E7609AA">
      <w:pPr>
        <w:spacing w:line="360" w:lineRule="auto"/>
        <w:jc w:val="left"/>
        <w:rPr>
          <w:rFonts w:hint="eastAsia" w:ascii="宋体" w:cs="宋体"/>
          <w:color w:val="auto"/>
          <w:sz w:val="24"/>
          <w:szCs w:val="24"/>
        </w:rPr>
      </w:pPr>
      <w:r>
        <w:rPr>
          <w:rFonts w:hint="eastAsia" w:ascii="宋体" w:cs="宋体"/>
          <w:color w:val="auto"/>
          <w:sz w:val="24"/>
          <w:szCs w:val="24"/>
        </w:rPr>
        <w:t>2、如供应商全部响应竞争性</w:t>
      </w:r>
      <w:r>
        <w:rPr>
          <w:rFonts w:hint="eastAsia" w:ascii="宋体" w:cs="宋体"/>
          <w:color w:val="auto"/>
          <w:sz w:val="24"/>
          <w:szCs w:val="24"/>
          <w:lang w:eastAsia="zh-CN"/>
        </w:rPr>
        <w:t>磋商文件</w:t>
      </w:r>
      <w:r>
        <w:rPr>
          <w:rFonts w:hint="eastAsia" w:ascii="宋体" w:cs="宋体"/>
          <w:color w:val="auto"/>
          <w:sz w:val="24"/>
          <w:szCs w:val="24"/>
        </w:rPr>
        <w:t>商务要求，在“</w:t>
      </w:r>
      <w:r>
        <w:rPr>
          <w:rFonts w:hint="eastAsia" w:ascii="宋体" w:cs="宋体"/>
          <w:color w:val="auto"/>
          <w:sz w:val="24"/>
          <w:szCs w:val="24"/>
          <w:lang w:eastAsia="zh-CN"/>
        </w:rPr>
        <w:t>磋商文件</w:t>
      </w:r>
      <w:r>
        <w:rPr>
          <w:rFonts w:hint="eastAsia" w:ascii="宋体" w:cs="宋体"/>
          <w:color w:val="auto"/>
          <w:sz w:val="24"/>
          <w:szCs w:val="24"/>
        </w:rPr>
        <w:t>商务要求”及“</w:t>
      </w:r>
      <w:r>
        <w:rPr>
          <w:rFonts w:hint="eastAsia" w:ascii="宋体" w:cs="宋体"/>
          <w:color w:val="auto"/>
          <w:sz w:val="24"/>
          <w:szCs w:val="24"/>
          <w:lang w:eastAsia="zh-CN"/>
        </w:rPr>
        <w:t>竞争性磋商响应文件</w:t>
      </w:r>
      <w:r>
        <w:rPr>
          <w:rFonts w:hint="eastAsia" w:ascii="宋体" w:cs="宋体"/>
          <w:color w:val="auto"/>
          <w:sz w:val="24"/>
          <w:szCs w:val="24"/>
        </w:rPr>
        <w:t>商务要求”栏中填写“全部”字样，在“偏离”栏填入“无偏离”字样。</w:t>
      </w:r>
    </w:p>
    <w:p w14:paraId="02E42D46">
      <w:pPr>
        <w:spacing w:line="200" w:lineRule="exact"/>
        <w:rPr>
          <w:rFonts w:ascii="宋体" w:hAnsi="宋体" w:cs="宋体"/>
          <w:color w:val="auto"/>
          <w:sz w:val="23"/>
        </w:rPr>
      </w:pPr>
    </w:p>
    <w:p w14:paraId="37D1F610">
      <w:pPr>
        <w:spacing w:line="200" w:lineRule="exact"/>
        <w:rPr>
          <w:rFonts w:ascii="宋体" w:hAnsi="宋体" w:cs="宋体"/>
          <w:color w:val="auto"/>
          <w:sz w:val="23"/>
        </w:rPr>
      </w:pPr>
    </w:p>
    <w:p w14:paraId="4F3C758B">
      <w:pPr>
        <w:spacing w:line="0" w:lineRule="atLeast"/>
        <w:ind w:left="140"/>
        <w:rPr>
          <w:rFonts w:ascii="宋体" w:hAnsi="宋体" w:cs="宋体"/>
          <w:color w:val="auto"/>
          <w:sz w:val="24"/>
        </w:rPr>
      </w:pPr>
      <w:r>
        <w:rPr>
          <w:rFonts w:hint="eastAsia" w:ascii="宋体" w:hAnsi="宋体" w:cs="宋体"/>
          <w:color w:val="auto"/>
          <w:sz w:val="24"/>
        </w:rPr>
        <w:t>投标人名称（公章）：</w:t>
      </w:r>
    </w:p>
    <w:p w14:paraId="172B7DAF">
      <w:pPr>
        <w:spacing w:line="0" w:lineRule="atLeast"/>
        <w:ind w:left="140"/>
        <w:rPr>
          <w:rFonts w:ascii="宋体" w:hAnsi="宋体" w:cs="宋体"/>
          <w:color w:val="auto"/>
          <w:sz w:val="24"/>
        </w:rPr>
      </w:pPr>
    </w:p>
    <w:p w14:paraId="2498C13E">
      <w:pPr>
        <w:rPr>
          <w:color w:val="auto"/>
        </w:rPr>
      </w:pPr>
    </w:p>
    <w:p w14:paraId="25FBF161">
      <w:pPr>
        <w:rPr>
          <w:color w:val="auto"/>
        </w:rPr>
      </w:pPr>
      <w:r>
        <w:rPr>
          <w:rFonts w:hint="eastAsia"/>
          <w:color w:val="auto"/>
        </w:rPr>
        <w:t>法定代表人</w:t>
      </w:r>
      <w:r>
        <w:rPr>
          <w:rFonts w:hint="eastAsia"/>
          <w:color w:val="auto"/>
          <w:lang w:val="en-US" w:eastAsia="zh-CN"/>
        </w:rPr>
        <w:t>/</w:t>
      </w:r>
      <w:r>
        <w:rPr>
          <w:rFonts w:hint="eastAsia"/>
          <w:color w:val="auto"/>
        </w:rPr>
        <w:t>被授权人</w:t>
      </w:r>
      <w:r>
        <w:rPr>
          <w:rFonts w:hint="eastAsia"/>
          <w:color w:val="auto"/>
          <w:lang w:eastAsia="zh-CN"/>
        </w:rPr>
        <w:t>（</w:t>
      </w:r>
      <w:r>
        <w:rPr>
          <w:rFonts w:hint="eastAsia"/>
          <w:color w:val="auto"/>
        </w:rPr>
        <w:t>签字</w:t>
      </w:r>
      <w:r>
        <w:rPr>
          <w:rFonts w:hint="eastAsia"/>
          <w:color w:val="auto"/>
          <w:lang w:eastAsia="zh-CN"/>
        </w:rPr>
        <w:t>或盖章）</w:t>
      </w:r>
      <w:r>
        <w:rPr>
          <w:rFonts w:hint="eastAsia"/>
          <w:color w:val="auto"/>
        </w:rPr>
        <w:t>：</w:t>
      </w:r>
    </w:p>
    <w:p w14:paraId="5B3FE873">
      <w:pPr>
        <w:spacing w:line="200" w:lineRule="exact"/>
        <w:rPr>
          <w:rFonts w:ascii="宋体" w:hAnsi="宋体" w:cs="宋体"/>
          <w:color w:val="auto"/>
        </w:rPr>
      </w:pPr>
    </w:p>
    <w:p w14:paraId="4657CC9C">
      <w:pPr>
        <w:spacing w:line="265" w:lineRule="exact"/>
        <w:rPr>
          <w:rFonts w:ascii="宋体" w:hAnsi="宋体" w:cs="宋体"/>
          <w:color w:val="auto"/>
        </w:rPr>
      </w:pPr>
    </w:p>
    <w:p w14:paraId="706292AF">
      <w:pPr>
        <w:tabs>
          <w:tab w:val="left" w:pos="1080"/>
        </w:tabs>
        <w:spacing w:line="0" w:lineRule="atLeast"/>
        <w:ind w:left="140"/>
        <w:rPr>
          <w:rFonts w:ascii="宋体" w:hAnsi="宋体" w:cs="宋体"/>
          <w:color w:val="auto"/>
          <w:sz w:val="24"/>
        </w:rPr>
      </w:pPr>
      <w:r>
        <w:rPr>
          <w:rFonts w:hint="eastAsia" w:ascii="宋体" w:hAnsi="宋体" w:cs="宋体"/>
          <w:color w:val="auto"/>
          <w:sz w:val="24"/>
        </w:rPr>
        <w:t>日</w:t>
      </w:r>
      <w:r>
        <w:rPr>
          <w:rFonts w:hint="eastAsia" w:ascii="宋体" w:hAnsi="宋体" w:cs="宋体"/>
          <w:color w:val="auto"/>
        </w:rPr>
        <w:tab/>
      </w:r>
      <w:r>
        <w:rPr>
          <w:rFonts w:hint="eastAsia" w:ascii="宋体" w:hAnsi="宋体" w:cs="宋体"/>
          <w:color w:val="auto"/>
          <w:sz w:val="24"/>
        </w:rPr>
        <w:t>期：</w:t>
      </w:r>
    </w:p>
    <w:bookmarkEnd w:id="84"/>
    <w:p w14:paraId="4DC6981E">
      <w:pPr>
        <w:pStyle w:val="4"/>
        <w:spacing w:before="0" w:after="0" w:line="360" w:lineRule="auto"/>
        <w:ind w:left="0" w:leftChars="0" w:firstLine="0" w:firstLineChars="0"/>
        <w:jc w:val="both"/>
        <w:rPr>
          <w:rFonts w:hint="eastAsia" w:ascii="宋体" w:hAnsi="宋体" w:cs="宋体"/>
          <w:color w:val="auto"/>
          <w:szCs w:val="32"/>
          <w:lang w:val="en-US" w:eastAsia="zh-CN"/>
        </w:rPr>
      </w:pPr>
      <w:bookmarkStart w:id="85" w:name="_Toc3956"/>
    </w:p>
    <w:p w14:paraId="457C9E6E">
      <w:pPr>
        <w:rPr>
          <w:rFonts w:hint="eastAsia"/>
          <w:color w:val="auto"/>
          <w:lang w:val="en-US" w:eastAsia="zh-CN"/>
        </w:rPr>
      </w:pPr>
    </w:p>
    <w:p w14:paraId="5D8FEE11">
      <w:pPr>
        <w:pStyle w:val="4"/>
        <w:spacing w:before="0" w:after="0" w:line="360" w:lineRule="auto"/>
        <w:jc w:val="center"/>
        <w:rPr>
          <w:rFonts w:hint="eastAsia" w:ascii="宋体" w:hAnsi="宋体" w:eastAsia="宋体" w:cs="宋体"/>
          <w:color w:val="auto"/>
          <w:szCs w:val="32"/>
        </w:rPr>
      </w:pPr>
      <w:r>
        <w:rPr>
          <w:rFonts w:hint="eastAsia" w:ascii="宋体" w:hAnsi="宋体" w:cs="宋体"/>
          <w:color w:val="auto"/>
          <w:szCs w:val="32"/>
          <w:lang w:val="en-US" w:eastAsia="zh-CN"/>
        </w:rPr>
        <w:t>六</w:t>
      </w:r>
      <w:r>
        <w:rPr>
          <w:rFonts w:hint="eastAsia" w:ascii="宋体" w:hAnsi="宋体" w:eastAsia="宋体" w:cs="宋体"/>
          <w:color w:val="auto"/>
          <w:szCs w:val="32"/>
        </w:rPr>
        <w:t>、</w:t>
      </w:r>
      <w:bookmarkEnd w:id="85"/>
      <w:r>
        <w:rPr>
          <w:rFonts w:hint="eastAsia" w:ascii="宋体" w:hAnsi="宋体" w:eastAsia="宋体" w:cs="宋体"/>
          <w:color w:val="auto"/>
          <w:szCs w:val="32"/>
        </w:rPr>
        <w:t>法定代表人证明书与法定代表人授权书</w:t>
      </w:r>
    </w:p>
    <w:p w14:paraId="31FECD69">
      <w:pPr>
        <w:tabs>
          <w:tab w:val="left" w:pos="210"/>
        </w:tabs>
        <w:spacing w:line="320" w:lineRule="exact"/>
        <w:jc w:val="center"/>
        <w:rPr>
          <w:rFonts w:hint="eastAsia" w:ascii="宋体" w:hAnsi="宋体" w:cs="宋体"/>
          <w:b/>
          <w:color w:val="auto"/>
          <w:kern w:val="0"/>
          <w:sz w:val="32"/>
          <w:szCs w:val="32"/>
        </w:rPr>
      </w:pPr>
      <w:r>
        <w:rPr>
          <w:rFonts w:hint="eastAsia" w:hAnsi="宋体" w:cs="宋体"/>
          <w:b/>
          <w:color w:val="auto"/>
          <w:kern w:val="0"/>
          <w:sz w:val="28"/>
          <w:szCs w:val="28"/>
          <w:lang w:val="en-US" w:eastAsia="zh-CN"/>
        </w:rPr>
        <w:t>6</w:t>
      </w:r>
      <w:r>
        <w:rPr>
          <w:rFonts w:hint="eastAsia" w:ascii="宋体" w:hAnsi="宋体" w:cs="宋体"/>
          <w:b/>
          <w:color w:val="auto"/>
          <w:kern w:val="0"/>
          <w:sz w:val="28"/>
          <w:szCs w:val="28"/>
        </w:rPr>
        <w:t>.1法定代表人证明书</w:t>
      </w:r>
    </w:p>
    <w:p w14:paraId="70054A82">
      <w:pPr>
        <w:tabs>
          <w:tab w:val="left" w:pos="210"/>
        </w:tabs>
        <w:spacing w:line="320" w:lineRule="exact"/>
        <w:jc w:val="center"/>
        <w:rPr>
          <w:rFonts w:hint="eastAsia" w:ascii="宋体" w:hAnsi="宋体" w:cs="宋体"/>
          <w:b/>
          <w:color w:val="auto"/>
          <w:kern w:val="0"/>
          <w:sz w:val="32"/>
          <w:szCs w:val="32"/>
        </w:rPr>
      </w:pPr>
    </w:p>
    <w:tbl>
      <w:tblPr>
        <w:tblStyle w:val="47"/>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2055"/>
        <w:gridCol w:w="2190"/>
        <w:gridCol w:w="35"/>
        <w:gridCol w:w="2050"/>
        <w:gridCol w:w="2054"/>
      </w:tblGrid>
      <w:tr w14:paraId="4EE4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9240" w:type="dxa"/>
            <w:gridSpan w:val="6"/>
            <w:noWrap w:val="0"/>
            <w:vAlign w:val="center"/>
          </w:tcPr>
          <w:p w14:paraId="0C19083D">
            <w:pPr>
              <w:tabs>
                <w:tab w:val="left" w:pos="210"/>
              </w:tabs>
              <w:spacing w:line="320" w:lineRule="exact"/>
              <w:rPr>
                <w:rFonts w:hint="eastAsia" w:ascii="宋体" w:hAnsi="宋体" w:cs="宋体"/>
                <w:color w:val="auto"/>
                <w:kern w:val="0"/>
                <w:sz w:val="24"/>
              </w:rPr>
            </w:pPr>
            <w:r>
              <w:rPr>
                <w:rFonts w:hint="eastAsia" w:ascii="宋体" w:hAnsi="宋体" w:cs="宋体"/>
                <w:color w:val="auto"/>
                <w:kern w:val="0"/>
                <w:sz w:val="24"/>
              </w:rPr>
              <w:t>致：</w:t>
            </w:r>
            <w:r>
              <w:rPr>
                <w:rFonts w:hint="eastAsia" w:hAnsi="宋体" w:cs="宋体"/>
                <w:color w:val="auto"/>
                <w:u w:val="single"/>
              </w:rPr>
              <w:t>采购人名称</w:t>
            </w:r>
            <w:r>
              <w:rPr>
                <w:rFonts w:hint="eastAsia" w:hAnsi="宋体" w:cs="宋体"/>
                <w:color w:val="auto"/>
                <w:u w:val="single"/>
                <w:lang w:eastAsia="zh-CN"/>
              </w:rPr>
              <w:t>：</w:t>
            </w:r>
            <w:r>
              <w:rPr>
                <w:rFonts w:hint="eastAsia" w:hAnsi="宋体" w:cs="宋体"/>
                <w:color w:val="auto"/>
                <w:u w:val="single"/>
              </w:rPr>
              <w:t xml:space="preserve"> </w:t>
            </w:r>
          </w:p>
        </w:tc>
      </w:tr>
      <w:tr w14:paraId="01F75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56" w:type="dxa"/>
            <w:vMerge w:val="restart"/>
            <w:noWrap w:val="0"/>
            <w:vAlign w:val="center"/>
          </w:tcPr>
          <w:p w14:paraId="51D02FE0">
            <w:pPr>
              <w:tabs>
                <w:tab w:val="left" w:pos="210"/>
              </w:tabs>
              <w:spacing w:line="320" w:lineRule="exact"/>
              <w:jc w:val="center"/>
              <w:rPr>
                <w:rFonts w:hint="eastAsia" w:ascii="宋体" w:hAnsi="宋体" w:cs="宋体"/>
                <w:color w:val="auto"/>
                <w:kern w:val="0"/>
                <w:sz w:val="24"/>
              </w:rPr>
            </w:pPr>
            <w:r>
              <w:rPr>
                <w:rFonts w:hint="eastAsia" w:ascii="宋体" w:hAnsi="宋体" w:cs="宋体"/>
                <w:color w:val="auto"/>
                <w:kern w:val="0"/>
                <w:sz w:val="24"/>
              </w:rPr>
              <w:t>企</w:t>
            </w:r>
          </w:p>
          <w:p w14:paraId="3739A300">
            <w:pPr>
              <w:tabs>
                <w:tab w:val="left" w:pos="210"/>
              </w:tabs>
              <w:spacing w:line="320" w:lineRule="exact"/>
              <w:jc w:val="center"/>
              <w:rPr>
                <w:rFonts w:hint="eastAsia" w:ascii="宋体" w:hAnsi="宋体" w:cs="宋体"/>
                <w:color w:val="auto"/>
                <w:kern w:val="0"/>
                <w:sz w:val="24"/>
              </w:rPr>
            </w:pPr>
          </w:p>
          <w:p w14:paraId="67273B17">
            <w:pPr>
              <w:tabs>
                <w:tab w:val="left" w:pos="210"/>
              </w:tabs>
              <w:spacing w:line="320" w:lineRule="exact"/>
              <w:jc w:val="center"/>
              <w:rPr>
                <w:rFonts w:hint="eastAsia" w:ascii="宋体" w:hAnsi="宋体" w:cs="宋体"/>
                <w:color w:val="auto"/>
                <w:kern w:val="0"/>
                <w:sz w:val="24"/>
              </w:rPr>
            </w:pPr>
            <w:r>
              <w:rPr>
                <w:rFonts w:hint="eastAsia" w:ascii="宋体" w:hAnsi="宋体" w:cs="宋体"/>
                <w:color w:val="auto"/>
                <w:kern w:val="0"/>
                <w:sz w:val="24"/>
              </w:rPr>
              <w:t>业</w:t>
            </w:r>
          </w:p>
          <w:p w14:paraId="10FD1D11">
            <w:pPr>
              <w:tabs>
                <w:tab w:val="left" w:pos="210"/>
              </w:tabs>
              <w:spacing w:line="320" w:lineRule="exact"/>
              <w:jc w:val="center"/>
              <w:rPr>
                <w:rFonts w:hint="eastAsia" w:ascii="宋体" w:hAnsi="宋体" w:cs="宋体"/>
                <w:color w:val="auto"/>
                <w:kern w:val="0"/>
                <w:sz w:val="24"/>
              </w:rPr>
            </w:pPr>
          </w:p>
          <w:p w14:paraId="16B48A67">
            <w:pPr>
              <w:tabs>
                <w:tab w:val="left" w:pos="210"/>
              </w:tabs>
              <w:spacing w:line="320" w:lineRule="exact"/>
              <w:jc w:val="center"/>
              <w:rPr>
                <w:rFonts w:hint="eastAsia" w:ascii="宋体" w:hAnsi="宋体" w:cs="宋体"/>
                <w:color w:val="auto"/>
                <w:kern w:val="0"/>
                <w:sz w:val="24"/>
              </w:rPr>
            </w:pPr>
            <w:r>
              <w:rPr>
                <w:rFonts w:hint="eastAsia" w:ascii="宋体" w:hAnsi="宋体" w:cs="宋体"/>
                <w:color w:val="auto"/>
                <w:kern w:val="0"/>
                <w:sz w:val="24"/>
              </w:rPr>
              <w:t>法</w:t>
            </w:r>
          </w:p>
          <w:p w14:paraId="6B41622D">
            <w:pPr>
              <w:tabs>
                <w:tab w:val="left" w:pos="210"/>
              </w:tabs>
              <w:spacing w:line="320" w:lineRule="exact"/>
              <w:jc w:val="center"/>
              <w:rPr>
                <w:rFonts w:hint="eastAsia" w:ascii="宋体" w:hAnsi="宋体" w:cs="宋体"/>
                <w:color w:val="auto"/>
                <w:kern w:val="0"/>
                <w:sz w:val="24"/>
              </w:rPr>
            </w:pPr>
          </w:p>
          <w:p w14:paraId="2F828E44">
            <w:pPr>
              <w:tabs>
                <w:tab w:val="left" w:pos="210"/>
              </w:tabs>
              <w:spacing w:line="320" w:lineRule="exact"/>
              <w:jc w:val="center"/>
              <w:rPr>
                <w:rFonts w:hint="eastAsia" w:ascii="宋体" w:hAnsi="宋体" w:cs="宋体"/>
                <w:color w:val="auto"/>
                <w:kern w:val="0"/>
                <w:sz w:val="24"/>
              </w:rPr>
            </w:pPr>
            <w:r>
              <w:rPr>
                <w:rFonts w:hint="eastAsia" w:ascii="宋体" w:hAnsi="宋体" w:cs="宋体"/>
                <w:color w:val="auto"/>
                <w:kern w:val="0"/>
                <w:sz w:val="24"/>
              </w:rPr>
              <w:t>人</w:t>
            </w:r>
          </w:p>
        </w:tc>
        <w:tc>
          <w:tcPr>
            <w:tcW w:w="2055" w:type="dxa"/>
            <w:noWrap w:val="0"/>
            <w:vAlign w:val="center"/>
          </w:tcPr>
          <w:p w14:paraId="51F59A30">
            <w:pPr>
              <w:tabs>
                <w:tab w:val="left" w:pos="210"/>
              </w:tabs>
              <w:spacing w:line="320" w:lineRule="exact"/>
              <w:jc w:val="center"/>
              <w:rPr>
                <w:rFonts w:hint="eastAsia" w:ascii="宋体" w:hAnsi="宋体" w:cs="宋体"/>
                <w:color w:val="auto"/>
                <w:kern w:val="0"/>
                <w:sz w:val="24"/>
              </w:rPr>
            </w:pPr>
            <w:r>
              <w:rPr>
                <w:rFonts w:hint="eastAsia" w:ascii="宋体" w:hAnsi="宋体" w:cs="宋体"/>
                <w:color w:val="auto"/>
                <w:kern w:val="0"/>
                <w:sz w:val="24"/>
              </w:rPr>
              <w:t>企业名称</w:t>
            </w:r>
          </w:p>
        </w:tc>
        <w:tc>
          <w:tcPr>
            <w:tcW w:w="6329" w:type="dxa"/>
            <w:gridSpan w:val="4"/>
            <w:noWrap w:val="0"/>
            <w:vAlign w:val="center"/>
          </w:tcPr>
          <w:p w14:paraId="213459B3">
            <w:pPr>
              <w:tabs>
                <w:tab w:val="left" w:pos="210"/>
              </w:tabs>
              <w:spacing w:line="320" w:lineRule="exact"/>
              <w:jc w:val="center"/>
              <w:rPr>
                <w:rFonts w:hint="eastAsia" w:ascii="宋体" w:hAnsi="宋体" w:cs="宋体"/>
                <w:color w:val="auto"/>
                <w:kern w:val="0"/>
                <w:sz w:val="24"/>
              </w:rPr>
            </w:pPr>
          </w:p>
        </w:tc>
      </w:tr>
      <w:tr w14:paraId="187E3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56" w:type="dxa"/>
            <w:vMerge w:val="continue"/>
            <w:noWrap w:val="0"/>
            <w:vAlign w:val="center"/>
          </w:tcPr>
          <w:p w14:paraId="348F558B">
            <w:pPr>
              <w:tabs>
                <w:tab w:val="left" w:pos="210"/>
              </w:tabs>
              <w:spacing w:line="320" w:lineRule="exact"/>
              <w:jc w:val="center"/>
              <w:rPr>
                <w:rFonts w:hint="eastAsia" w:ascii="宋体" w:hAnsi="宋体" w:cs="宋体"/>
                <w:color w:val="auto"/>
                <w:kern w:val="0"/>
                <w:sz w:val="24"/>
              </w:rPr>
            </w:pPr>
          </w:p>
        </w:tc>
        <w:tc>
          <w:tcPr>
            <w:tcW w:w="2055" w:type="dxa"/>
            <w:noWrap w:val="0"/>
            <w:vAlign w:val="center"/>
          </w:tcPr>
          <w:p w14:paraId="5AB580A4">
            <w:pPr>
              <w:tabs>
                <w:tab w:val="left" w:pos="210"/>
              </w:tabs>
              <w:spacing w:line="320" w:lineRule="exact"/>
              <w:jc w:val="center"/>
              <w:rPr>
                <w:rFonts w:hint="eastAsia" w:ascii="宋体" w:hAnsi="宋体" w:cs="宋体"/>
                <w:color w:val="auto"/>
                <w:kern w:val="0"/>
                <w:sz w:val="24"/>
              </w:rPr>
            </w:pPr>
            <w:r>
              <w:rPr>
                <w:rFonts w:hint="eastAsia" w:ascii="宋体" w:hAnsi="宋体" w:cs="宋体"/>
                <w:color w:val="auto"/>
                <w:kern w:val="0"/>
                <w:sz w:val="24"/>
              </w:rPr>
              <w:t>法定地址</w:t>
            </w:r>
          </w:p>
        </w:tc>
        <w:tc>
          <w:tcPr>
            <w:tcW w:w="6329" w:type="dxa"/>
            <w:gridSpan w:val="4"/>
            <w:noWrap w:val="0"/>
            <w:vAlign w:val="center"/>
          </w:tcPr>
          <w:p w14:paraId="6CA41908">
            <w:pPr>
              <w:tabs>
                <w:tab w:val="left" w:pos="210"/>
              </w:tabs>
              <w:spacing w:line="320" w:lineRule="exact"/>
              <w:jc w:val="center"/>
              <w:rPr>
                <w:rFonts w:hint="eastAsia" w:ascii="宋体" w:hAnsi="宋体" w:cs="宋体"/>
                <w:color w:val="auto"/>
                <w:kern w:val="0"/>
                <w:sz w:val="24"/>
              </w:rPr>
            </w:pPr>
          </w:p>
        </w:tc>
      </w:tr>
      <w:tr w14:paraId="4A32A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56" w:type="dxa"/>
            <w:vMerge w:val="continue"/>
            <w:noWrap w:val="0"/>
            <w:vAlign w:val="center"/>
          </w:tcPr>
          <w:p w14:paraId="00EAF918">
            <w:pPr>
              <w:tabs>
                <w:tab w:val="left" w:pos="210"/>
              </w:tabs>
              <w:spacing w:line="320" w:lineRule="exact"/>
              <w:jc w:val="center"/>
              <w:rPr>
                <w:rFonts w:hint="eastAsia" w:ascii="宋体" w:hAnsi="宋体" w:cs="宋体"/>
                <w:color w:val="auto"/>
                <w:kern w:val="0"/>
                <w:sz w:val="24"/>
              </w:rPr>
            </w:pPr>
          </w:p>
        </w:tc>
        <w:tc>
          <w:tcPr>
            <w:tcW w:w="2055" w:type="dxa"/>
            <w:noWrap w:val="0"/>
            <w:vAlign w:val="center"/>
          </w:tcPr>
          <w:p w14:paraId="5F5DB9E6">
            <w:pPr>
              <w:tabs>
                <w:tab w:val="left" w:pos="210"/>
              </w:tabs>
              <w:spacing w:line="320" w:lineRule="exact"/>
              <w:jc w:val="center"/>
              <w:rPr>
                <w:rFonts w:hint="eastAsia" w:ascii="宋体" w:hAnsi="宋体" w:cs="宋体"/>
                <w:color w:val="auto"/>
                <w:kern w:val="0"/>
                <w:sz w:val="24"/>
              </w:rPr>
            </w:pPr>
            <w:r>
              <w:rPr>
                <w:rFonts w:hint="eastAsia" w:ascii="宋体" w:hAnsi="宋体" w:cs="宋体"/>
                <w:color w:val="auto"/>
                <w:kern w:val="0"/>
                <w:sz w:val="24"/>
              </w:rPr>
              <w:t>邮政编码</w:t>
            </w:r>
          </w:p>
        </w:tc>
        <w:tc>
          <w:tcPr>
            <w:tcW w:w="6329" w:type="dxa"/>
            <w:gridSpan w:val="4"/>
            <w:noWrap w:val="0"/>
            <w:vAlign w:val="center"/>
          </w:tcPr>
          <w:p w14:paraId="6A413E29">
            <w:pPr>
              <w:tabs>
                <w:tab w:val="left" w:pos="210"/>
              </w:tabs>
              <w:spacing w:line="320" w:lineRule="exact"/>
              <w:jc w:val="center"/>
              <w:rPr>
                <w:rFonts w:hint="eastAsia" w:ascii="宋体" w:hAnsi="宋体" w:cs="宋体"/>
                <w:color w:val="auto"/>
                <w:kern w:val="0"/>
                <w:sz w:val="24"/>
              </w:rPr>
            </w:pPr>
          </w:p>
        </w:tc>
      </w:tr>
      <w:tr w14:paraId="45263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856" w:type="dxa"/>
            <w:vMerge w:val="continue"/>
            <w:noWrap w:val="0"/>
            <w:vAlign w:val="center"/>
          </w:tcPr>
          <w:p w14:paraId="6FB234EA">
            <w:pPr>
              <w:tabs>
                <w:tab w:val="left" w:pos="210"/>
              </w:tabs>
              <w:spacing w:line="320" w:lineRule="exact"/>
              <w:jc w:val="center"/>
              <w:rPr>
                <w:rFonts w:hint="eastAsia" w:ascii="宋体" w:hAnsi="宋体" w:cs="宋体"/>
                <w:color w:val="auto"/>
                <w:kern w:val="0"/>
                <w:sz w:val="24"/>
              </w:rPr>
            </w:pPr>
          </w:p>
        </w:tc>
        <w:tc>
          <w:tcPr>
            <w:tcW w:w="2055" w:type="dxa"/>
            <w:noWrap w:val="0"/>
            <w:vAlign w:val="center"/>
          </w:tcPr>
          <w:p w14:paraId="0AE398C3">
            <w:pPr>
              <w:tabs>
                <w:tab w:val="left" w:pos="210"/>
              </w:tabs>
              <w:spacing w:line="320" w:lineRule="exact"/>
              <w:jc w:val="center"/>
              <w:rPr>
                <w:rFonts w:hint="eastAsia" w:ascii="宋体" w:hAnsi="宋体" w:cs="宋体"/>
                <w:color w:val="auto"/>
                <w:kern w:val="0"/>
                <w:sz w:val="24"/>
              </w:rPr>
            </w:pPr>
            <w:r>
              <w:rPr>
                <w:rFonts w:hint="eastAsia" w:ascii="宋体" w:hAnsi="宋体" w:cs="宋体"/>
                <w:color w:val="auto"/>
                <w:kern w:val="0"/>
                <w:sz w:val="24"/>
              </w:rPr>
              <w:t>工商登记机关</w:t>
            </w:r>
          </w:p>
        </w:tc>
        <w:tc>
          <w:tcPr>
            <w:tcW w:w="6329" w:type="dxa"/>
            <w:gridSpan w:val="4"/>
            <w:noWrap w:val="0"/>
            <w:vAlign w:val="center"/>
          </w:tcPr>
          <w:p w14:paraId="3B6EACFB">
            <w:pPr>
              <w:tabs>
                <w:tab w:val="left" w:pos="210"/>
              </w:tabs>
              <w:spacing w:line="320" w:lineRule="exact"/>
              <w:jc w:val="center"/>
              <w:rPr>
                <w:rFonts w:hint="eastAsia" w:ascii="宋体" w:hAnsi="宋体" w:cs="宋体"/>
                <w:color w:val="auto"/>
                <w:kern w:val="0"/>
                <w:sz w:val="24"/>
              </w:rPr>
            </w:pPr>
          </w:p>
        </w:tc>
      </w:tr>
      <w:tr w14:paraId="0460F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56" w:type="dxa"/>
            <w:vMerge w:val="continue"/>
            <w:noWrap w:val="0"/>
            <w:vAlign w:val="center"/>
          </w:tcPr>
          <w:p w14:paraId="2F4C173F">
            <w:pPr>
              <w:tabs>
                <w:tab w:val="left" w:pos="210"/>
              </w:tabs>
              <w:spacing w:line="320" w:lineRule="exact"/>
              <w:jc w:val="center"/>
              <w:rPr>
                <w:rFonts w:hint="eastAsia" w:ascii="宋体" w:hAnsi="宋体" w:cs="宋体"/>
                <w:color w:val="auto"/>
                <w:kern w:val="0"/>
                <w:sz w:val="24"/>
              </w:rPr>
            </w:pPr>
          </w:p>
        </w:tc>
        <w:tc>
          <w:tcPr>
            <w:tcW w:w="2055" w:type="dxa"/>
            <w:noWrap w:val="0"/>
            <w:vAlign w:val="center"/>
          </w:tcPr>
          <w:p w14:paraId="44F3B7ED">
            <w:pPr>
              <w:tabs>
                <w:tab w:val="left" w:pos="210"/>
              </w:tabs>
              <w:spacing w:line="320" w:lineRule="exact"/>
              <w:jc w:val="center"/>
              <w:rPr>
                <w:rFonts w:hint="eastAsia" w:ascii="宋体" w:hAnsi="宋体" w:cs="宋体"/>
                <w:color w:val="auto"/>
                <w:kern w:val="0"/>
                <w:sz w:val="24"/>
              </w:rPr>
            </w:pPr>
            <w:r>
              <w:rPr>
                <w:rFonts w:hint="eastAsia" w:ascii="宋体" w:hAnsi="宋体" w:cs="宋体"/>
                <w:color w:val="auto"/>
                <w:kern w:val="0"/>
                <w:sz w:val="24"/>
              </w:rPr>
              <w:t>税务登记机关</w:t>
            </w:r>
          </w:p>
        </w:tc>
        <w:tc>
          <w:tcPr>
            <w:tcW w:w="6329" w:type="dxa"/>
            <w:gridSpan w:val="4"/>
            <w:noWrap w:val="0"/>
            <w:vAlign w:val="center"/>
          </w:tcPr>
          <w:p w14:paraId="0E5F8A69">
            <w:pPr>
              <w:tabs>
                <w:tab w:val="left" w:pos="210"/>
              </w:tabs>
              <w:spacing w:line="320" w:lineRule="exact"/>
              <w:rPr>
                <w:rFonts w:hint="eastAsia" w:ascii="宋体" w:hAnsi="宋体" w:cs="宋体"/>
                <w:color w:val="auto"/>
                <w:kern w:val="0"/>
                <w:sz w:val="24"/>
              </w:rPr>
            </w:pPr>
          </w:p>
        </w:tc>
      </w:tr>
      <w:tr w14:paraId="279AB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856" w:type="dxa"/>
            <w:vMerge w:val="continue"/>
            <w:noWrap w:val="0"/>
            <w:vAlign w:val="center"/>
          </w:tcPr>
          <w:p w14:paraId="41E38A91">
            <w:pPr>
              <w:tabs>
                <w:tab w:val="left" w:pos="210"/>
              </w:tabs>
              <w:spacing w:line="320" w:lineRule="exact"/>
              <w:jc w:val="center"/>
              <w:rPr>
                <w:rFonts w:hint="eastAsia" w:ascii="宋体" w:hAnsi="宋体" w:cs="宋体"/>
                <w:color w:val="auto"/>
                <w:kern w:val="0"/>
                <w:sz w:val="24"/>
              </w:rPr>
            </w:pPr>
          </w:p>
        </w:tc>
        <w:tc>
          <w:tcPr>
            <w:tcW w:w="2055" w:type="dxa"/>
            <w:noWrap w:val="0"/>
            <w:vAlign w:val="center"/>
          </w:tcPr>
          <w:p w14:paraId="24447AA7">
            <w:pPr>
              <w:tabs>
                <w:tab w:val="left" w:pos="210"/>
              </w:tabs>
              <w:spacing w:line="320" w:lineRule="exact"/>
              <w:jc w:val="center"/>
              <w:rPr>
                <w:rFonts w:hint="eastAsia" w:ascii="宋体" w:hAnsi="宋体" w:cs="宋体"/>
                <w:color w:val="auto"/>
                <w:kern w:val="0"/>
                <w:sz w:val="24"/>
              </w:rPr>
            </w:pPr>
            <w:r>
              <w:rPr>
                <w:rFonts w:hint="eastAsia" w:ascii="宋体" w:hAnsi="宋体" w:cs="宋体"/>
                <w:color w:val="auto"/>
                <w:kern w:val="0"/>
                <w:sz w:val="24"/>
              </w:rPr>
              <w:t>统一社会信用代码</w:t>
            </w:r>
          </w:p>
        </w:tc>
        <w:tc>
          <w:tcPr>
            <w:tcW w:w="6329" w:type="dxa"/>
            <w:gridSpan w:val="4"/>
            <w:noWrap w:val="0"/>
            <w:vAlign w:val="center"/>
          </w:tcPr>
          <w:p w14:paraId="70BF1666">
            <w:pPr>
              <w:tabs>
                <w:tab w:val="left" w:pos="210"/>
              </w:tabs>
              <w:spacing w:line="320" w:lineRule="exact"/>
              <w:jc w:val="center"/>
              <w:rPr>
                <w:rFonts w:hint="eastAsia" w:ascii="宋体" w:hAnsi="宋体" w:cs="宋体"/>
                <w:color w:val="auto"/>
                <w:kern w:val="0"/>
                <w:sz w:val="24"/>
              </w:rPr>
            </w:pPr>
          </w:p>
        </w:tc>
      </w:tr>
      <w:tr w14:paraId="591A9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56" w:type="dxa"/>
            <w:vMerge w:val="restart"/>
            <w:noWrap w:val="0"/>
            <w:vAlign w:val="center"/>
          </w:tcPr>
          <w:p w14:paraId="2CDB3187">
            <w:pPr>
              <w:tabs>
                <w:tab w:val="left" w:pos="210"/>
              </w:tabs>
              <w:spacing w:line="320" w:lineRule="exact"/>
              <w:jc w:val="center"/>
              <w:rPr>
                <w:rFonts w:hint="eastAsia" w:ascii="宋体" w:hAnsi="宋体" w:cs="宋体"/>
                <w:color w:val="auto"/>
                <w:kern w:val="0"/>
                <w:sz w:val="24"/>
              </w:rPr>
            </w:pPr>
            <w:r>
              <w:rPr>
                <w:rFonts w:hint="eastAsia" w:ascii="宋体" w:hAnsi="宋体" w:cs="宋体"/>
                <w:color w:val="auto"/>
                <w:kern w:val="0"/>
                <w:sz w:val="24"/>
              </w:rPr>
              <w:t>法定代表人</w:t>
            </w:r>
          </w:p>
        </w:tc>
        <w:tc>
          <w:tcPr>
            <w:tcW w:w="2055" w:type="dxa"/>
            <w:noWrap w:val="0"/>
            <w:vAlign w:val="center"/>
          </w:tcPr>
          <w:p w14:paraId="3E8729AD">
            <w:pPr>
              <w:tabs>
                <w:tab w:val="left" w:pos="210"/>
              </w:tabs>
              <w:spacing w:line="320" w:lineRule="exact"/>
              <w:jc w:val="center"/>
              <w:rPr>
                <w:rFonts w:hint="eastAsia" w:ascii="宋体" w:hAnsi="宋体" w:cs="宋体"/>
                <w:color w:val="auto"/>
                <w:kern w:val="0"/>
                <w:sz w:val="24"/>
              </w:rPr>
            </w:pPr>
            <w:r>
              <w:rPr>
                <w:rFonts w:hint="eastAsia" w:ascii="宋体" w:hAnsi="宋体" w:cs="宋体"/>
                <w:color w:val="auto"/>
                <w:kern w:val="0"/>
                <w:sz w:val="24"/>
              </w:rPr>
              <w:t>姓名</w:t>
            </w:r>
          </w:p>
        </w:tc>
        <w:tc>
          <w:tcPr>
            <w:tcW w:w="2225" w:type="dxa"/>
            <w:gridSpan w:val="2"/>
            <w:noWrap w:val="0"/>
            <w:vAlign w:val="center"/>
          </w:tcPr>
          <w:p w14:paraId="6D75C3A7">
            <w:pPr>
              <w:tabs>
                <w:tab w:val="left" w:pos="210"/>
              </w:tabs>
              <w:spacing w:line="320" w:lineRule="exact"/>
              <w:jc w:val="center"/>
              <w:rPr>
                <w:rFonts w:hint="eastAsia" w:ascii="宋体" w:hAnsi="宋体" w:cs="宋体"/>
                <w:color w:val="auto"/>
                <w:kern w:val="0"/>
                <w:sz w:val="24"/>
              </w:rPr>
            </w:pPr>
          </w:p>
        </w:tc>
        <w:tc>
          <w:tcPr>
            <w:tcW w:w="2050" w:type="dxa"/>
            <w:noWrap w:val="0"/>
            <w:vAlign w:val="center"/>
          </w:tcPr>
          <w:p w14:paraId="3ED889FA">
            <w:pPr>
              <w:tabs>
                <w:tab w:val="left" w:pos="210"/>
              </w:tabs>
              <w:spacing w:line="320" w:lineRule="exact"/>
              <w:jc w:val="center"/>
              <w:rPr>
                <w:rFonts w:hint="eastAsia" w:ascii="宋体" w:hAnsi="宋体" w:cs="宋体"/>
                <w:color w:val="auto"/>
                <w:kern w:val="0"/>
                <w:sz w:val="24"/>
              </w:rPr>
            </w:pPr>
            <w:r>
              <w:rPr>
                <w:rFonts w:hint="eastAsia" w:ascii="宋体" w:hAnsi="宋体" w:cs="宋体"/>
                <w:color w:val="auto"/>
                <w:kern w:val="0"/>
                <w:sz w:val="24"/>
              </w:rPr>
              <w:t>性别</w:t>
            </w:r>
          </w:p>
        </w:tc>
        <w:tc>
          <w:tcPr>
            <w:tcW w:w="2054" w:type="dxa"/>
            <w:noWrap w:val="0"/>
            <w:vAlign w:val="center"/>
          </w:tcPr>
          <w:p w14:paraId="0C8BE09C">
            <w:pPr>
              <w:tabs>
                <w:tab w:val="left" w:pos="210"/>
              </w:tabs>
              <w:spacing w:line="320" w:lineRule="exact"/>
              <w:jc w:val="center"/>
              <w:rPr>
                <w:rFonts w:hint="eastAsia" w:ascii="宋体" w:hAnsi="宋体" w:cs="宋体"/>
                <w:color w:val="auto"/>
                <w:kern w:val="0"/>
                <w:sz w:val="24"/>
              </w:rPr>
            </w:pPr>
          </w:p>
        </w:tc>
      </w:tr>
      <w:tr w14:paraId="2207B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56" w:type="dxa"/>
            <w:vMerge w:val="continue"/>
            <w:noWrap w:val="0"/>
            <w:vAlign w:val="center"/>
          </w:tcPr>
          <w:p w14:paraId="562BBF00">
            <w:pPr>
              <w:tabs>
                <w:tab w:val="left" w:pos="210"/>
              </w:tabs>
              <w:spacing w:line="320" w:lineRule="exact"/>
              <w:jc w:val="center"/>
              <w:rPr>
                <w:rFonts w:hint="eastAsia" w:ascii="宋体" w:hAnsi="宋体" w:cs="宋体"/>
                <w:color w:val="auto"/>
                <w:kern w:val="0"/>
                <w:sz w:val="24"/>
              </w:rPr>
            </w:pPr>
          </w:p>
        </w:tc>
        <w:tc>
          <w:tcPr>
            <w:tcW w:w="2055" w:type="dxa"/>
            <w:noWrap w:val="0"/>
            <w:vAlign w:val="center"/>
          </w:tcPr>
          <w:p w14:paraId="34C6B4FB">
            <w:pPr>
              <w:tabs>
                <w:tab w:val="left" w:pos="210"/>
              </w:tabs>
              <w:spacing w:line="320" w:lineRule="exact"/>
              <w:jc w:val="center"/>
              <w:rPr>
                <w:rFonts w:hint="eastAsia" w:ascii="宋体" w:hAnsi="宋体" w:cs="宋体"/>
                <w:color w:val="auto"/>
                <w:kern w:val="0"/>
                <w:sz w:val="24"/>
              </w:rPr>
            </w:pPr>
            <w:r>
              <w:rPr>
                <w:rFonts w:hint="eastAsia" w:ascii="宋体" w:hAnsi="宋体" w:cs="宋体"/>
                <w:color w:val="auto"/>
                <w:kern w:val="0"/>
                <w:sz w:val="24"/>
              </w:rPr>
              <w:t>职务</w:t>
            </w:r>
          </w:p>
        </w:tc>
        <w:tc>
          <w:tcPr>
            <w:tcW w:w="2225" w:type="dxa"/>
            <w:gridSpan w:val="2"/>
            <w:noWrap w:val="0"/>
            <w:vAlign w:val="center"/>
          </w:tcPr>
          <w:p w14:paraId="698FCAB8">
            <w:pPr>
              <w:tabs>
                <w:tab w:val="left" w:pos="210"/>
              </w:tabs>
              <w:spacing w:line="320" w:lineRule="exact"/>
              <w:jc w:val="center"/>
              <w:rPr>
                <w:rFonts w:hint="eastAsia" w:ascii="宋体" w:hAnsi="宋体" w:cs="宋体"/>
                <w:color w:val="auto"/>
                <w:kern w:val="0"/>
                <w:sz w:val="24"/>
              </w:rPr>
            </w:pPr>
          </w:p>
        </w:tc>
        <w:tc>
          <w:tcPr>
            <w:tcW w:w="2050" w:type="dxa"/>
            <w:noWrap w:val="0"/>
            <w:vAlign w:val="center"/>
          </w:tcPr>
          <w:p w14:paraId="5767B1A4">
            <w:pPr>
              <w:tabs>
                <w:tab w:val="left" w:pos="210"/>
              </w:tabs>
              <w:spacing w:line="320" w:lineRule="exact"/>
              <w:jc w:val="center"/>
              <w:rPr>
                <w:rFonts w:hint="eastAsia" w:ascii="宋体" w:hAnsi="宋体" w:cs="宋体"/>
                <w:color w:val="auto"/>
                <w:kern w:val="0"/>
                <w:sz w:val="24"/>
              </w:rPr>
            </w:pPr>
            <w:r>
              <w:rPr>
                <w:rFonts w:hint="eastAsia" w:ascii="宋体" w:hAnsi="宋体" w:cs="宋体"/>
                <w:color w:val="auto"/>
                <w:kern w:val="0"/>
                <w:sz w:val="24"/>
              </w:rPr>
              <w:t>联系电话</w:t>
            </w:r>
          </w:p>
        </w:tc>
        <w:tc>
          <w:tcPr>
            <w:tcW w:w="2054" w:type="dxa"/>
            <w:noWrap w:val="0"/>
            <w:vAlign w:val="center"/>
          </w:tcPr>
          <w:p w14:paraId="5C14929F">
            <w:pPr>
              <w:tabs>
                <w:tab w:val="left" w:pos="210"/>
              </w:tabs>
              <w:spacing w:line="320" w:lineRule="exact"/>
              <w:jc w:val="center"/>
              <w:rPr>
                <w:rFonts w:hint="eastAsia" w:ascii="宋体" w:hAnsi="宋体" w:cs="宋体"/>
                <w:color w:val="auto"/>
                <w:kern w:val="0"/>
                <w:sz w:val="24"/>
              </w:rPr>
            </w:pPr>
          </w:p>
        </w:tc>
      </w:tr>
      <w:tr w14:paraId="52F5E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856" w:type="dxa"/>
            <w:vMerge w:val="continue"/>
            <w:noWrap w:val="0"/>
            <w:vAlign w:val="center"/>
          </w:tcPr>
          <w:p w14:paraId="455072D7">
            <w:pPr>
              <w:tabs>
                <w:tab w:val="left" w:pos="210"/>
              </w:tabs>
              <w:spacing w:line="320" w:lineRule="exact"/>
              <w:jc w:val="center"/>
              <w:rPr>
                <w:rFonts w:hint="eastAsia" w:ascii="宋体" w:hAnsi="宋体" w:cs="宋体"/>
                <w:color w:val="auto"/>
                <w:kern w:val="0"/>
                <w:sz w:val="24"/>
              </w:rPr>
            </w:pPr>
          </w:p>
        </w:tc>
        <w:tc>
          <w:tcPr>
            <w:tcW w:w="2055" w:type="dxa"/>
            <w:noWrap w:val="0"/>
            <w:vAlign w:val="center"/>
          </w:tcPr>
          <w:p w14:paraId="34272526">
            <w:pPr>
              <w:tabs>
                <w:tab w:val="left" w:pos="210"/>
              </w:tabs>
              <w:spacing w:line="320" w:lineRule="exact"/>
              <w:jc w:val="center"/>
              <w:rPr>
                <w:rFonts w:hint="eastAsia" w:ascii="宋体" w:hAnsi="宋体" w:cs="宋体"/>
                <w:color w:val="auto"/>
                <w:kern w:val="0"/>
                <w:sz w:val="24"/>
              </w:rPr>
            </w:pPr>
            <w:r>
              <w:rPr>
                <w:rFonts w:hint="eastAsia" w:ascii="宋体" w:hAnsi="宋体" w:cs="宋体"/>
                <w:color w:val="auto"/>
                <w:kern w:val="0"/>
                <w:sz w:val="24"/>
              </w:rPr>
              <w:t>传真</w:t>
            </w:r>
          </w:p>
        </w:tc>
        <w:tc>
          <w:tcPr>
            <w:tcW w:w="6329" w:type="dxa"/>
            <w:gridSpan w:val="4"/>
            <w:noWrap w:val="0"/>
            <w:vAlign w:val="center"/>
          </w:tcPr>
          <w:p w14:paraId="345019EF">
            <w:pPr>
              <w:tabs>
                <w:tab w:val="left" w:pos="210"/>
              </w:tabs>
              <w:spacing w:line="320" w:lineRule="exact"/>
              <w:jc w:val="center"/>
              <w:rPr>
                <w:rFonts w:hint="eastAsia" w:ascii="宋体" w:hAnsi="宋体" w:cs="宋体"/>
                <w:color w:val="auto"/>
                <w:kern w:val="0"/>
                <w:sz w:val="24"/>
              </w:rPr>
            </w:pPr>
          </w:p>
        </w:tc>
      </w:tr>
      <w:tr w14:paraId="5D030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4" w:hRule="atLeast"/>
          <w:jc w:val="center"/>
        </w:trPr>
        <w:tc>
          <w:tcPr>
            <w:tcW w:w="856" w:type="dxa"/>
            <w:vMerge w:val="restart"/>
            <w:noWrap w:val="0"/>
            <w:vAlign w:val="center"/>
          </w:tcPr>
          <w:p w14:paraId="11ADA857">
            <w:pPr>
              <w:tabs>
                <w:tab w:val="left" w:pos="210"/>
              </w:tabs>
              <w:spacing w:line="320" w:lineRule="exact"/>
              <w:jc w:val="center"/>
              <w:rPr>
                <w:rFonts w:hint="eastAsia" w:ascii="宋体" w:hAnsi="宋体" w:cs="宋体"/>
                <w:color w:val="auto"/>
                <w:kern w:val="0"/>
                <w:sz w:val="24"/>
              </w:rPr>
            </w:pPr>
            <w:r>
              <w:rPr>
                <w:rFonts w:hint="eastAsia" w:ascii="宋体" w:hAnsi="宋体" w:cs="宋体"/>
                <w:color w:val="auto"/>
                <w:kern w:val="0"/>
                <w:sz w:val="24"/>
              </w:rPr>
              <w:t>法定代表人身份证复印件</w:t>
            </w:r>
          </w:p>
        </w:tc>
        <w:tc>
          <w:tcPr>
            <w:tcW w:w="4245" w:type="dxa"/>
            <w:gridSpan w:val="2"/>
            <w:vMerge w:val="restart"/>
            <w:noWrap w:val="0"/>
            <w:vAlign w:val="center"/>
          </w:tcPr>
          <w:p w14:paraId="41F759E5">
            <w:pPr>
              <w:tabs>
                <w:tab w:val="left" w:pos="210"/>
              </w:tabs>
              <w:spacing w:line="320" w:lineRule="exact"/>
              <w:jc w:val="center"/>
              <w:rPr>
                <w:rFonts w:hint="eastAsia" w:ascii="宋体" w:hAnsi="宋体" w:cs="宋体"/>
                <w:color w:val="auto"/>
                <w:kern w:val="0"/>
                <w:sz w:val="24"/>
              </w:rPr>
            </w:pPr>
            <w:r>
              <w:rPr>
                <w:rFonts w:hint="eastAsia" w:ascii="宋体" w:hAnsi="宋体" w:cs="宋体"/>
                <w:color w:val="auto"/>
                <w:kern w:val="0"/>
                <w:sz w:val="24"/>
              </w:rPr>
              <w:t>（粘贴处）</w:t>
            </w:r>
          </w:p>
        </w:tc>
        <w:tc>
          <w:tcPr>
            <w:tcW w:w="4139" w:type="dxa"/>
            <w:gridSpan w:val="3"/>
            <w:noWrap w:val="0"/>
            <w:vAlign w:val="center"/>
          </w:tcPr>
          <w:p w14:paraId="27E90A28">
            <w:pPr>
              <w:tabs>
                <w:tab w:val="left" w:pos="210"/>
              </w:tabs>
              <w:spacing w:line="320" w:lineRule="exact"/>
              <w:jc w:val="center"/>
              <w:rPr>
                <w:rFonts w:hint="eastAsia" w:ascii="宋体" w:hAnsi="宋体" w:cs="宋体"/>
                <w:color w:val="auto"/>
                <w:kern w:val="0"/>
                <w:sz w:val="24"/>
              </w:rPr>
            </w:pPr>
            <w:r>
              <w:rPr>
                <w:rFonts w:hint="eastAsia" w:ascii="宋体" w:hAnsi="宋体" w:cs="宋体"/>
                <w:color w:val="auto"/>
                <w:kern w:val="0"/>
                <w:sz w:val="24"/>
              </w:rPr>
              <w:t>法定代表人签字</w:t>
            </w:r>
            <w:r>
              <w:rPr>
                <w:rFonts w:hint="eastAsia" w:hAnsi="宋体" w:cs="宋体"/>
                <w:color w:val="auto"/>
                <w:kern w:val="0"/>
                <w:sz w:val="24"/>
                <w:lang w:eastAsia="zh-CN"/>
              </w:rPr>
              <w:t>或</w:t>
            </w:r>
            <w:r>
              <w:rPr>
                <w:rFonts w:hint="eastAsia" w:ascii="宋体" w:hAnsi="宋体" w:cs="宋体"/>
                <w:color w:val="auto"/>
                <w:kern w:val="0"/>
                <w:sz w:val="24"/>
              </w:rPr>
              <w:t>盖章</w:t>
            </w:r>
          </w:p>
        </w:tc>
      </w:tr>
      <w:tr w14:paraId="37F42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6" w:hRule="atLeast"/>
          <w:jc w:val="center"/>
        </w:trPr>
        <w:tc>
          <w:tcPr>
            <w:tcW w:w="856" w:type="dxa"/>
            <w:vMerge w:val="continue"/>
            <w:noWrap w:val="0"/>
            <w:vAlign w:val="center"/>
          </w:tcPr>
          <w:p w14:paraId="5AF841DE">
            <w:pPr>
              <w:tabs>
                <w:tab w:val="left" w:pos="210"/>
              </w:tabs>
              <w:spacing w:line="320" w:lineRule="exact"/>
              <w:jc w:val="center"/>
              <w:rPr>
                <w:rFonts w:hint="eastAsia" w:ascii="宋体" w:hAnsi="宋体" w:cs="宋体"/>
                <w:color w:val="auto"/>
                <w:kern w:val="0"/>
                <w:sz w:val="24"/>
              </w:rPr>
            </w:pPr>
          </w:p>
        </w:tc>
        <w:tc>
          <w:tcPr>
            <w:tcW w:w="4245" w:type="dxa"/>
            <w:gridSpan w:val="2"/>
            <w:vMerge w:val="continue"/>
            <w:noWrap w:val="0"/>
            <w:vAlign w:val="center"/>
          </w:tcPr>
          <w:p w14:paraId="06C8F9FA">
            <w:pPr>
              <w:tabs>
                <w:tab w:val="left" w:pos="210"/>
              </w:tabs>
              <w:spacing w:line="320" w:lineRule="exact"/>
              <w:jc w:val="center"/>
              <w:rPr>
                <w:rFonts w:hint="eastAsia" w:ascii="宋体" w:hAnsi="宋体" w:cs="宋体"/>
                <w:color w:val="auto"/>
                <w:kern w:val="0"/>
                <w:sz w:val="24"/>
              </w:rPr>
            </w:pPr>
          </w:p>
        </w:tc>
        <w:tc>
          <w:tcPr>
            <w:tcW w:w="4139" w:type="dxa"/>
            <w:gridSpan w:val="3"/>
            <w:noWrap w:val="0"/>
            <w:vAlign w:val="bottom"/>
          </w:tcPr>
          <w:p w14:paraId="3E54AC5A">
            <w:pPr>
              <w:tabs>
                <w:tab w:val="left" w:pos="210"/>
              </w:tabs>
              <w:spacing w:line="320" w:lineRule="exact"/>
              <w:jc w:val="center"/>
              <w:rPr>
                <w:rFonts w:hint="eastAsia" w:ascii="宋体" w:hAnsi="宋体" w:cs="宋体"/>
                <w:color w:val="auto"/>
                <w:kern w:val="0"/>
                <w:sz w:val="24"/>
              </w:rPr>
            </w:pPr>
            <w:r>
              <w:rPr>
                <w:rFonts w:hint="eastAsia" w:ascii="宋体" w:hAnsi="宋体" w:cs="宋体"/>
                <w:color w:val="auto"/>
                <w:kern w:val="0"/>
                <w:sz w:val="24"/>
              </w:rPr>
              <w:t>（公章）</w:t>
            </w:r>
          </w:p>
          <w:p w14:paraId="02D4C0DF">
            <w:pPr>
              <w:tabs>
                <w:tab w:val="left" w:pos="210"/>
              </w:tabs>
              <w:spacing w:line="320" w:lineRule="exact"/>
              <w:jc w:val="center"/>
              <w:rPr>
                <w:rFonts w:hint="eastAsia" w:ascii="宋体" w:hAnsi="宋体" w:cs="宋体"/>
                <w:color w:val="auto"/>
                <w:kern w:val="0"/>
                <w:sz w:val="24"/>
              </w:rPr>
            </w:pPr>
          </w:p>
          <w:p w14:paraId="67F7E19A">
            <w:pPr>
              <w:tabs>
                <w:tab w:val="left" w:pos="210"/>
              </w:tabs>
              <w:spacing w:line="320" w:lineRule="exact"/>
              <w:jc w:val="center"/>
              <w:rPr>
                <w:rFonts w:hint="eastAsia" w:ascii="宋体" w:hAnsi="宋体" w:cs="宋体"/>
                <w:color w:val="auto"/>
                <w:kern w:val="0"/>
                <w:sz w:val="24"/>
              </w:rPr>
            </w:pPr>
          </w:p>
          <w:p w14:paraId="24B171A0">
            <w:pPr>
              <w:tabs>
                <w:tab w:val="left" w:pos="210"/>
              </w:tabs>
              <w:spacing w:line="320" w:lineRule="exact"/>
              <w:jc w:val="center"/>
              <w:rPr>
                <w:rFonts w:hint="eastAsia" w:ascii="宋体" w:hAnsi="宋体" w:cs="宋体"/>
                <w:color w:val="auto"/>
                <w:kern w:val="0"/>
                <w:sz w:val="24"/>
              </w:rPr>
            </w:pPr>
          </w:p>
          <w:p w14:paraId="57D89920">
            <w:pPr>
              <w:tabs>
                <w:tab w:val="left" w:pos="210"/>
              </w:tabs>
              <w:wordWrap w:val="0"/>
              <w:spacing w:line="320" w:lineRule="exact"/>
              <w:jc w:val="right"/>
              <w:rPr>
                <w:rFonts w:hint="eastAsia" w:ascii="宋体" w:hAnsi="宋体" w:cs="宋体"/>
                <w:color w:val="auto"/>
                <w:kern w:val="0"/>
                <w:sz w:val="24"/>
              </w:rPr>
            </w:pPr>
            <w:r>
              <w:rPr>
                <w:rFonts w:hint="eastAsia" w:ascii="宋体" w:hAnsi="宋体" w:cs="宋体"/>
                <w:color w:val="auto"/>
                <w:kern w:val="0"/>
                <w:sz w:val="24"/>
              </w:rPr>
              <w:t xml:space="preserve">年  月  日 </w:t>
            </w:r>
          </w:p>
        </w:tc>
      </w:tr>
    </w:tbl>
    <w:p w14:paraId="6EE08FA0">
      <w:pPr>
        <w:rPr>
          <w:rFonts w:hint="eastAsia" w:ascii="宋体" w:hAnsi="宋体" w:cs="宋体"/>
          <w:color w:val="auto"/>
        </w:rPr>
      </w:pPr>
    </w:p>
    <w:p w14:paraId="78243F9F">
      <w:pPr>
        <w:tabs>
          <w:tab w:val="left" w:pos="210"/>
        </w:tabs>
        <w:spacing w:line="320" w:lineRule="exact"/>
        <w:jc w:val="center"/>
        <w:rPr>
          <w:rFonts w:hint="eastAsia" w:ascii="宋体" w:hAnsi="宋体" w:cs="宋体"/>
          <w:b/>
          <w:color w:val="auto"/>
          <w:kern w:val="0"/>
          <w:sz w:val="32"/>
          <w:szCs w:val="32"/>
        </w:rPr>
      </w:pPr>
      <w:r>
        <w:rPr>
          <w:rFonts w:hint="eastAsia" w:hAnsi="宋体" w:cs="宋体"/>
          <w:b/>
          <w:color w:val="auto"/>
          <w:kern w:val="0"/>
          <w:sz w:val="32"/>
          <w:szCs w:val="32"/>
          <w:lang w:val="en-US" w:eastAsia="zh-CN"/>
        </w:rPr>
        <w:t>6</w:t>
      </w:r>
      <w:r>
        <w:rPr>
          <w:rFonts w:hint="eastAsia" w:ascii="宋体" w:hAnsi="宋体" w:cs="宋体"/>
          <w:b/>
          <w:color w:val="auto"/>
          <w:kern w:val="0"/>
          <w:sz w:val="32"/>
          <w:szCs w:val="32"/>
        </w:rPr>
        <w:t>.2法定代表人授权书</w:t>
      </w:r>
    </w:p>
    <w:p w14:paraId="40631559">
      <w:pPr>
        <w:pStyle w:val="23"/>
        <w:spacing w:line="500" w:lineRule="exact"/>
        <w:rPr>
          <w:rFonts w:hint="eastAsia" w:hAnsi="宋体" w:cs="宋体"/>
          <w:color w:val="auto"/>
          <w:sz w:val="22"/>
          <w:szCs w:val="28"/>
        </w:rPr>
      </w:pPr>
      <w:r>
        <w:rPr>
          <w:rFonts w:hint="eastAsia" w:hAnsi="宋体" w:cs="宋体"/>
          <w:color w:val="auto"/>
          <w:sz w:val="22"/>
          <w:szCs w:val="28"/>
        </w:rPr>
        <w:t>采购人名称</w:t>
      </w:r>
      <w:r>
        <w:rPr>
          <w:rFonts w:hint="eastAsia" w:hAnsi="宋体" w:cs="宋体"/>
          <w:color w:val="auto"/>
          <w:sz w:val="22"/>
          <w:szCs w:val="28"/>
          <w:lang w:eastAsia="zh-CN"/>
        </w:rPr>
        <w:t>：</w:t>
      </w:r>
      <w:r>
        <w:rPr>
          <w:rFonts w:hint="eastAsia" w:hAnsi="宋体" w:cs="宋体"/>
          <w:color w:val="auto"/>
          <w:sz w:val="22"/>
          <w:szCs w:val="28"/>
        </w:rPr>
        <w:t xml:space="preserve"> </w:t>
      </w:r>
    </w:p>
    <w:p w14:paraId="01664B91">
      <w:pPr>
        <w:pStyle w:val="23"/>
        <w:spacing w:line="500" w:lineRule="exact"/>
        <w:ind w:firstLine="440" w:firstLineChars="200"/>
        <w:rPr>
          <w:rFonts w:hint="eastAsia" w:hAnsi="宋体" w:cs="宋体"/>
          <w:color w:val="auto"/>
          <w:sz w:val="22"/>
          <w:szCs w:val="28"/>
        </w:rPr>
      </w:pPr>
      <w:r>
        <w:rPr>
          <w:rFonts w:hint="eastAsia" w:hAnsi="宋体" w:cs="宋体"/>
          <w:color w:val="auto"/>
          <w:sz w:val="22"/>
          <w:szCs w:val="28"/>
        </w:rPr>
        <w:t>本授权书声明：注册于（</w:t>
      </w:r>
      <w:r>
        <w:rPr>
          <w:rFonts w:hint="eastAsia" w:hAnsi="宋体" w:cs="宋体"/>
          <w:color w:val="auto"/>
          <w:sz w:val="22"/>
          <w:szCs w:val="28"/>
          <w:u w:val="single"/>
        </w:rPr>
        <w:t xml:space="preserve"> 工商行政管理局名称）之（委托单位全称） </w:t>
      </w:r>
      <w:r>
        <w:rPr>
          <w:rFonts w:hint="eastAsia" w:hAnsi="宋体" w:cs="宋体"/>
          <w:color w:val="auto"/>
          <w:sz w:val="22"/>
          <w:szCs w:val="28"/>
        </w:rPr>
        <w:t>的法定代表人</w:t>
      </w:r>
      <w:r>
        <w:rPr>
          <w:rFonts w:hint="eastAsia" w:hAnsi="宋体" w:cs="宋体"/>
          <w:color w:val="auto"/>
          <w:sz w:val="22"/>
          <w:szCs w:val="28"/>
          <w:u w:val="single"/>
        </w:rPr>
        <w:t>（姓名、性别）</w:t>
      </w:r>
      <w:r>
        <w:rPr>
          <w:rFonts w:hint="eastAsia" w:hAnsi="宋体" w:cs="宋体"/>
          <w:color w:val="auto"/>
          <w:sz w:val="22"/>
          <w:szCs w:val="28"/>
        </w:rPr>
        <w:t>授权本公司的</w:t>
      </w:r>
      <w:r>
        <w:rPr>
          <w:rFonts w:hint="eastAsia" w:hAnsi="宋体" w:cs="宋体"/>
          <w:color w:val="auto"/>
          <w:sz w:val="22"/>
          <w:szCs w:val="28"/>
          <w:u w:val="single"/>
        </w:rPr>
        <w:t>（被授权人姓名、性别、职务）</w:t>
      </w:r>
      <w:r>
        <w:rPr>
          <w:rFonts w:hint="eastAsia" w:hAnsi="宋体" w:cs="宋体"/>
          <w:color w:val="auto"/>
          <w:sz w:val="22"/>
          <w:szCs w:val="28"/>
        </w:rPr>
        <w:t>为合法代理人，就贵方组织的有关</w:t>
      </w:r>
      <w:r>
        <w:rPr>
          <w:rFonts w:hint="eastAsia" w:hAnsi="宋体" w:cs="宋体"/>
          <w:color w:val="auto"/>
          <w:sz w:val="22"/>
          <w:szCs w:val="28"/>
          <w:u w:val="single"/>
        </w:rPr>
        <w:t>（</w:t>
      </w:r>
      <w:r>
        <w:rPr>
          <w:rFonts w:hint="eastAsia" w:hAnsi="宋体" w:cs="宋体"/>
          <w:color w:val="auto"/>
          <w:sz w:val="22"/>
          <w:szCs w:val="28"/>
          <w:u w:val="single"/>
          <w:lang w:eastAsia="zh-CN"/>
        </w:rPr>
        <w:t>采购</w:t>
      </w:r>
      <w:r>
        <w:rPr>
          <w:rFonts w:hint="eastAsia" w:hAnsi="宋体" w:cs="宋体"/>
          <w:color w:val="auto"/>
          <w:sz w:val="22"/>
          <w:szCs w:val="28"/>
          <w:u w:val="single"/>
        </w:rPr>
        <w:t>项目名称</w:t>
      </w:r>
      <w:r>
        <w:rPr>
          <w:rFonts w:hint="eastAsia" w:hAnsi="宋体" w:cs="宋体"/>
          <w:color w:val="auto"/>
          <w:sz w:val="22"/>
          <w:szCs w:val="28"/>
          <w:u w:val="single"/>
          <w:lang w:eastAsia="zh-CN"/>
        </w:rPr>
        <w:t>：</w:t>
      </w:r>
      <w:r>
        <w:rPr>
          <w:rFonts w:hint="eastAsia" w:hAnsi="宋体" w:cs="宋体"/>
          <w:color w:val="auto"/>
          <w:sz w:val="22"/>
          <w:szCs w:val="28"/>
          <w:u w:val="single"/>
          <w:lang w:val="en-US" w:eastAsia="zh-CN"/>
        </w:rPr>
        <w:t xml:space="preserve">   </w:t>
      </w:r>
      <w:r>
        <w:rPr>
          <w:rFonts w:hint="eastAsia" w:hAnsi="宋体" w:cs="宋体"/>
          <w:color w:val="auto"/>
          <w:sz w:val="22"/>
          <w:szCs w:val="28"/>
          <w:u w:val="single"/>
        </w:rPr>
        <w:t>）</w:t>
      </w:r>
      <w:r>
        <w:rPr>
          <w:rFonts w:hint="eastAsia" w:hAnsi="宋体" w:cs="宋体"/>
          <w:color w:val="auto"/>
          <w:sz w:val="22"/>
          <w:szCs w:val="28"/>
        </w:rPr>
        <w:t>（</w:t>
      </w:r>
      <w:r>
        <w:rPr>
          <w:rFonts w:hint="eastAsia" w:hAnsi="宋体" w:cs="宋体"/>
          <w:color w:val="auto"/>
          <w:sz w:val="22"/>
          <w:szCs w:val="28"/>
          <w:lang w:eastAsia="zh-CN"/>
        </w:rPr>
        <w:t>采购</w:t>
      </w:r>
      <w:r>
        <w:rPr>
          <w:rFonts w:hint="eastAsia" w:hAnsi="宋体" w:cs="宋体"/>
          <w:color w:val="auto"/>
          <w:sz w:val="22"/>
          <w:szCs w:val="28"/>
        </w:rPr>
        <w:t>项目编号：</w:t>
      </w:r>
      <w:r>
        <w:rPr>
          <w:rFonts w:hint="eastAsia" w:hAnsi="宋体" w:cs="宋体"/>
          <w:color w:val="auto"/>
          <w:sz w:val="22"/>
          <w:szCs w:val="28"/>
          <w:u w:val="single"/>
        </w:rPr>
        <w:t xml:space="preserve">          </w:t>
      </w:r>
      <w:r>
        <w:rPr>
          <w:rFonts w:hint="eastAsia" w:hAnsi="宋体" w:cs="宋体"/>
          <w:color w:val="auto"/>
          <w:sz w:val="22"/>
          <w:szCs w:val="28"/>
        </w:rPr>
        <w:t>）的投标、洽谈、执行等具体事务，签署全部有关文件、文书、协议、合同，本公司对被授权人在本项目中的签名承担全部法律责任。本授权书自开标大会之日起计算有效期为</w:t>
      </w:r>
      <w:r>
        <w:rPr>
          <w:rFonts w:hint="eastAsia" w:hAnsi="宋体" w:cs="宋体"/>
          <w:color w:val="auto"/>
          <w:sz w:val="22"/>
          <w:szCs w:val="28"/>
          <w:u w:val="single"/>
        </w:rPr>
        <w:t xml:space="preserve">    </w:t>
      </w:r>
      <w:r>
        <w:rPr>
          <w:rFonts w:hint="eastAsia" w:hAnsi="宋体" w:cs="宋体"/>
          <w:color w:val="auto"/>
          <w:sz w:val="22"/>
          <w:szCs w:val="28"/>
        </w:rPr>
        <w:t>天。</w:t>
      </w:r>
    </w:p>
    <w:p w14:paraId="6685DFD0">
      <w:pPr>
        <w:pStyle w:val="23"/>
        <w:spacing w:line="500" w:lineRule="exact"/>
        <w:ind w:firstLine="440" w:firstLineChars="200"/>
        <w:rPr>
          <w:rFonts w:hint="eastAsia" w:hAnsi="宋体" w:cs="宋体"/>
          <w:color w:val="auto"/>
          <w:sz w:val="22"/>
          <w:szCs w:val="28"/>
        </w:rPr>
      </w:pPr>
      <w:r>
        <w:rPr>
          <w:rFonts w:hint="eastAsia" w:hAnsi="宋体" w:cs="宋体"/>
          <w:color w:val="auto"/>
          <w:sz w:val="22"/>
          <w:szCs w:val="28"/>
        </w:rPr>
        <w:t>委托单位：    （公章）         法定代表人（签字</w:t>
      </w:r>
      <w:r>
        <w:rPr>
          <w:rFonts w:hint="eastAsia" w:hAnsi="宋体" w:cs="宋体"/>
          <w:color w:val="auto"/>
          <w:sz w:val="22"/>
          <w:szCs w:val="28"/>
          <w:lang w:eastAsia="zh-CN"/>
        </w:rPr>
        <w:t>或</w:t>
      </w:r>
      <w:r>
        <w:rPr>
          <w:rFonts w:hint="eastAsia" w:hAnsi="宋体" w:cs="宋体"/>
          <w:color w:val="auto"/>
          <w:sz w:val="22"/>
          <w:szCs w:val="28"/>
        </w:rPr>
        <w:t>盖章）：</w:t>
      </w:r>
    </w:p>
    <w:p w14:paraId="5590FAC9">
      <w:pPr>
        <w:pStyle w:val="23"/>
        <w:spacing w:line="500" w:lineRule="exact"/>
        <w:ind w:firstLine="440" w:firstLineChars="200"/>
        <w:rPr>
          <w:rFonts w:hint="eastAsia" w:hAnsi="宋体" w:cs="宋体"/>
          <w:color w:val="auto"/>
          <w:sz w:val="22"/>
          <w:szCs w:val="28"/>
        </w:rPr>
      </w:pPr>
      <w:r>
        <w:rPr>
          <w:rFonts w:hint="eastAsia" w:hAnsi="宋体" w:cs="宋体"/>
          <w:color w:val="auto"/>
          <w:sz w:val="22"/>
          <w:szCs w:val="28"/>
        </w:rPr>
        <w:t>签发日期：</w:t>
      </w:r>
      <w:r>
        <w:rPr>
          <w:rFonts w:hint="eastAsia" w:hAnsi="宋体" w:cs="宋体"/>
          <w:color w:val="auto"/>
          <w:sz w:val="22"/>
          <w:szCs w:val="28"/>
          <w:u w:val="single"/>
        </w:rPr>
        <w:t xml:space="preserve">     </w:t>
      </w:r>
      <w:r>
        <w:rPr>
          <w:rFonts w:hint="eastAsia" w:hAnsi="宋体" w:cs="宋体"/>
          <w:color w:val="auto"/>
          <w:sz w:val="22"/>
          <w:szCs w:val="28"/>
        </w:rPr>
        <w:t>年</w:t>
      </w:r>
      <w:r>
        <w:rPr>
          <w:rFonts w:hint="eastAsia" w:hAnsi="宋体" w:cs="宋体"/>
          <w:color w:val="auto"/>
          <w:sz w:val="22"/>
          <w:szCs w:val="28"/>
          <w:u w:val="single"/>
        </w:rPr>
        <w:t xml:space="preserve">    </w:t>
      </w:r>
      <w:r>
        <w:rPr>
          <w:rFonts w:hint="eastAsia" w:hAnsi="宋体" w:cs="宋体"/>
          <w:color w:val="auto"/>
          <w:sz w:val="22"/>
          <w:szCs w:val="28"/>
        </w:rPr>
        <w:t>月</w:t>
      </w:r>
      <w:r>
        <w:rPr>
          <w:rFonts w:hint="eastAsia" w:hAnsi="宋体" w:cs="宋体"/>
          <w:color w:val="auto"/>
          <w:sz w:val="22"/>
          <w:szCs w:val="28"/>
          <w:u w:val="single"/>
        </w:rPr>
        <w:t xml:space="preserve">    </w:t>
      </w:r>
      <w:r>
        <w:rPr>
          <w:rFonts w:hint="eastAsia" w:hAnsi="宋体" w:cs="宋体"/>
          <w:color w:val="auto"/>
          <w:sz w:val="22"/>
          <w:szCs w:val="28"/>
        </w:rPr>
        <w:t>日</w:t>
      </w:r>
    </w:p>
    <w:p w14:paraId="7E1BDF88">
      <w:pPr>
        <w:pStyle w:val="23"/>
        <w:spacing w:line="500" w:lineRule="exact"/>
        <w:ind w:firstLine="440" w:firstLineChars="200"/>
        <w:rPr>
          <w:rFonts w:hint="eastAsia" w:hAnsi="宋体" w:cs="宋体"/>
          <w:color w:val="auto"/>
          <w:sz w:val="22"/>
          <w:szCs w:val="28"/>
        </w:rPr>
      </w:pPr>
      <w:r>
        <w:rPr>
          <w:rFonts w:hint="eastAsia" w:hAnsi="宋体" w:cs="宋体"/>
          <w:color w:val="auto"/>
          <w:sz w:val="22"/>
          <w:szCs w:val="28"/>
        </w:rPr>
        <w:t>附：被授权人姓名：</w:t>
      </w:r>
      <w:r>
        <w:rPr>
          <w:rFonts w:hint="eastAsia" w:hAnsi="宋体" w:cs="宋体"/>
          <w:color w:val="auto"/>
          <w:sz w:val="22"/>
          <w:szCs w:val="28"/>
          <w:u w:val="single"/>
        </w:rPr>
        <w:t xml:space="preserve">              </w:t>
      </w:r>
      <w:r>
        <w:rPr>
          <w:rFonts w:hint="eastAsia" w:hAnsi="宋体" w:cs="宋体"/>
          <w:color w:val="auto"/>
          <w:sz w:val="22"/>
          <w:szCs w:val="28"/>
        </w:rPr>
        <w:t>性别：</w:t>
      </w:r>
      <w:r>
        <w:rPr>
          <w:rFonts w:hint="eastAsia" w:hAnsi="宋体" w:cs="宋体"/>
          <w:color w:val="auto"/>
          <w:sz w:val="22"/>
          <w:szCs w:val="28"/>
          <w:u w:val="single"/>
        </w:rPr>
        <w:t xml:space="preserve">       </w:t>
      </w:r>
      <w:r>
        <w:rPr>
          <w:rFonts w:hint="eastAsia" w:hAnsi="宋体" w:cs="宋体"/>
          <w:color w:val="auto"/>
          <w:sz w:val="22"/>
          <w:szCs w:val="28"/>
        </w:rPr>
        <w:t>职务：</w:t>
      </w:r>
      <w:r>
        <w:rPr>
          <w:rFonts w:hint="eastAsia" w:hAnsi="宋体" w:cs="宋体"/>
          <w:color w:val="auto"/>
          <w:sz w:val="22"/>
          <w:szCs w:val="28"/>
          <w:u w:val="single"/>
        </w:rPr>
        <w:t xml:space="preserve">             </w:t>
      </w:r>
    </w:p>
    <w:p w14:paraId="4C67F56A">
      <w:pPr>
        <w:pStyle w:val="23"/>
        <w:spacing w:line="500" w:lineRule="exact"/>
        <w:ind w:firstLine="880" w:firstLineChars="400"/>
        <w:rPr>
          <w:rFonts w:hint="eastAsia" w:hAnsi="宋体" w:cs="宋体"/>
          <w:color w:val="auto"/>
          <w:sz w:val="22"/>
          <w:szCs w:val="28"/>
          <w:u w:val="single"/>
        </w:rPr>
      </w:pPr>
      <w:r>
        <w:rPr>
          <w:rFonts w:hint="eastAsia" w:hAnsi="宋体" w:cs="宋体"/>
          <w:color w:val="auto"/>
          <w:sz w:val="22"/>
          <w:szCs w:val="28"/>
        </w:rPr>
        <w:t xml:space="preserve">联系地址：  </w:t>
      </w:r>
      <w:r>
        <w:rPr>
          <w:rFonts w:hint="eastAsia" w:hAnsi="宋体" w:cs="宋体"/>
          <w:color w:val="auto"/>
          <w:sz w:val="22"/>
          <w:szCs w:val="28"/>
          <w:u w:val="single"/>
        </w:rPr>
        <w:t xml:space="preserve">                                                </w:t>
      </w:r>
    </w:p>
    <w:p w14:paraId="0F72192B">
      <w:pPr>
        <w:pStyle w:val="23"/>
        <w:spacing w:line="500" w:lineRule="exact"/>
        <w:ind w:firstLine="880" w:firstLineChars="400"/>
        <w:rPr>
          <w:rFonts w:hint="eastAsia" w:hAnsi="宋体" w:cs="宋体"/>
          <w:color w:val="auto"/>
          <w:sz w:val="22"/>
          <w:szCs w:val="28"/>
          <w:u w:val="single"/>
        </w:rPr>
      </w:pPr>
      <w:r>
        <w:rPr>
          <w:rFonts w:hint="eastAsia" w:hAnsi="宋体" w:cs="宋体"/>
          <w:color w:val="auto"/>
          <w:sz w:val="22"/>
          <w:szCs w:val="28"/>
        </w:rPr>
        <w:t>联系电话：</w:t>
      </w:r>
      <w:r>
        <w:rPr>
          <w:rFonts w:hint="eastAsia" w:hAnsi="宋体" w:cs="宋体"/>
          <w:color w:val="auto"/>
          <w:sz w:val="22"/>
          <w:szCs w:val="28"/>
          <w:u w:val="single"/>
        </w:rPr>
        <w:t xml:space="preserve">                  </w:t>
      </w:r>
      <w:r>
        <w:rPr>
          <w:rFonts w:hint="eastAsia" w:hAnsi="宋体" w:cs="宋体"/>
          <w:color w:val="auto"/>
          <w:sz w:val="22"/>
          <w:szCs w:val="28"/>
        </w:rPr>
        <w:t>传真：</w:t>
      </w:r>
      <w:r>
        <w:rPr>
          <w:rFonts w:hint="eastAsia" w:hAnsi="宋体" w:cs="宋体"/>
          <w:color w:val="auto"/>
          <w:sz w:val="22"/>
          <w:szCs w:val="28"/>
          <w:u w:val="single"/>
        </w:rPr>
        <w:t xml:space="preserve">                          </w:t>
      </w:r>
    </w:p>
    <w:p w14:paraId="22BB3631">
      <w:pPr>
        <w:pStyle w:val="23"/>
        <w:spacing w:line="500" w:lineRule="exact"/>
        <w:ind w:firstLine="2530" w:firstLineChars="1150"/>
        <w:rPr>
          <w:rFonts w:hint="eastAsia" w:hAnsi="宋体" w:cs="宋体"/>
          <w:color w:val="auto"/>
          <w:sz w:val="22"/>
          <w:szCs w:val="28"/>
        </w:rPr>
      </w:pPr>
      <w:r>
        <w:rPr>
          <w:rFonts w:hint="eastAsia" w:hAnsi="宋体" w:cs="宋体"/>
          <w:color w:val="auto"/>
          <w:sz w:val="22"/>
          <w:szCs w:val="28"/>
        </w:rPr>
        <w:t>法定代表人/被授权人身份证复印件</w:t>
      </w:r>
    </w:p>
    <w:tbl>
      <w:tblPr>
        <w:tblStyle w:val="47"/>
        <w:tblW w:w="84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4213"/>
        <w:gridCol w:w="4212"/>
      </w:tblGrid>
      <w:tr w14:paraId="1886A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4" w:hRule="atLeast"/>
          <w:jc w:val="center"/>
        </w:trPr>
        <w:tc>
          <w:tcPr>
            <w:tcW w:w="4213" w:type="dxa"/>
            <w:shd w:val="clear" w:color="auto" w:fill="E0E0E0"/>
            <w:noWrap w:val="0"/>
            <w:vAlign w:val="center"/>
          </w:tcPr>
          <w:p w14:paraId="09A0EC1D">
            <w:pPr>
              <w:pStyle w:val="23"/>
              <w:spacing w:line="500" w:lineRule="exact"/>
              <w:jc w:val="center"/>
              <w:rPr>
                <w:rFonts w:hint="eastAsia" w:hAnsi="宋体" w:cs="宋体"/>
                <w:color w:val="auto"/>
                <w:sz w:val="22"/>
                <w:szCs w:val="28"/>
                <w:shd w:val="pct10" w:color="auto" w:fill="FFFFFF"/>
                <w:lang w:val="en-US" w:eastAsia="zh-CN"/>
              </w:rPr>
            </w:pPr>
            <w:r>
              <w:rPr>
                <w:rFonts w:hint="eastAsia" w:hAnsi="宋体" w:cs="宋体"/>
                <w:color w:val="auto"/>
                <w:sz w:val="22"/>
                <w:szCs w:val="28"/>
                <w:shd w:val="pct10" w:color="auto" w:fill="FFFFFF"/>
                <w:lang w:val="en-US" w:eastAsia="zh-CN"/>
              </w:rPr>
              <w:t>法定代表人身份证复印件（正面）</w:t>
            </w:r>
          </w:p>
        </w:tc>
        <w:tc>
          <w:tcPr>
            <w:tcW w:w="4212" w:type="dxa"/>
            <w:shd w:val="clear" w:color="auto" w:fill="E0E0E0"/>
            <w:noWrap w:val="0"/>
            <w:vAlign w:val="center"/>
          </w:tcPr>
          <w:p w14:paraId="625DE651">
            <w:pPr>
              <w:pStyle w:val="23"/>
              <w:spacing w:line="500" w:lineRule="exact"/>
              <w:jc w:val="center"/>
              <w:rPr>
                <w:rFonts w:hint="eastAsia" w:hAnsi="宋体" w:cs="宋体"/>
                <w:color w:val="auto"/>
                <w:sz w:val="22"/>
                <w:szCs w:val="28"/>
                <w:shd w:val="pct10" w:color="auto" w:fill="FFFFFF"/>
                <w:lang w:val="en-US" w:eastAsia="zh-CN"/>
              </w:rPr>
            </w:pPr>
            <w:r>
              <w:rPr>
                <w:rFonts w:hint="eastAsia" w:hAnsi="宋体" w:cs="宋体"/>
                <w:color w:val="auto"/>
                <w:sz w:val="22"/>
                <w:szCs w:val="28"/>
                <w:shd w:val="pct10" w:color="auto" w:fill="FFFFFF"/>
                <w:lang w:val="en-US" w:eastAsia="zh-CN"/>
              </w:rPr>
              <w:t>被授权人身份证复印件（正面）</w:t>
            </w:r>
          </w:p>
        </w:tc>
      </w:tr>
      <w:tr w14:paraId="08545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792" w:hRule="atLeast"/>
          <w:jc w:val="center"/>
        </w:trPr>
        <w:tc>
          <w:tcPr>
            <w:tcW w:w="4213" w:type="dxa"/>
            <w:shd w:val="clear" w:color="auto" w:fill="E0E0E0"/>
            <w:noWrap w:val="0"/>
            <w:vAlign w:val="center"/>
          </w:tcPr>
          <w:p w14:paraId="1F673DD9">
            <w:pPr>
              <w:pStyle w:val="23"/>
              <w:spacing w:line="500" w:lineRule="exact"/>
              <w:jc w:val="center"/>
              <w:rPr>
                <w:rFonts w:hint="eastAsia" w:hAnsi="宋体" w:cs="宋体"/>
                <w:color w:val="auto"/>
                <w:sz w:val="22"/>
                <w:szCs w:val="28"/>
                <w:shd w:val="pct10" w:color="auto" w:fill="FFFFFF"/>
                <w:lang w:val="en-US" w:eastAsia="zh-CN"/>
              </w:rPr>
            </w:pPr>
            <w:r>
              <w:rPr>
                <w:rFonts w:hint="eastAsia" w:hAnsi="宋体" w:cs="宋体"/>
                <w:color w:val="auto"/>
                <w:sz w:val="22"/>
                <w:szCs w:val="28"/>
                <w:shd w:val="pct10" w:color="auto" w:fill="FFFFFF"/>
                <w:lang w:val="en-US" w:eastAsia="zh-CN"/>
              </w:rPr>
              <w:t>法定代表人身份证复印件（背面）</w:t>
            </w:r>
          </w:p>
        </w:tc>
        <w:tc>
          <w:tcPr>
            <w:tcW w:w="4212" w:type="dxa"/>
            <w:shd w:val="clear" w:color="auto" w:fill="E0E0E0"/>
            <w:noWrap w:val="0"/>
            <w:vAlign w:val="center"/>
          </w:tcPr>
          <w:p w14:paraId="57A8553D">
            <w:pPr>
              <w:pStyle w:val="23"/>
              <w:spacing w:line="500" w:lineRule="exact"/>
              <w:jc w:val="center"/>
              <w:rPr>
                <w:rFonts w:hint="eastAsia" w:hAnsi="宋体" w:cs="宋体"/>
                <w:color w:val="auto"/>
                <w:sz w:val="22"/>
                <w:szCs w:val="28"/>
                <w:shd w:val="pct10" w:color="auto" w:fill="FFFFFF"/>
                <w:lang w:val="en-US" w:eastAsia="zh-CN"/>
              </w:rPr>
            </w:pPr>
            <w:r>
              <w:rPr>
                <w:rFonts w:hint="eastAsia" w:hAnsi="宋体" w:cs="宋体"/>
                <w:color w:val="auto"/>
                <w:sz w:val="22"/>
                <w:szCs w:val="28"/>
                <w:shd w:val="pct10" w:color="auto" w:fill="FFFFFF"/>
                <w:lang w:val="en-US" w:eastAsia="zh-CN"/>
              </w:rPr>
              <w:t>被授权人身份证复印件（背面）</w:t>
            </w:r>
          </w:p>
        </w:tc>
      </w:tr>
    </w:tbl>
    <w:p w14:paraId="37F66061">
      <w:pPr>
        <w:pStyle w:val="23"/>
        <w:spacing w:line="500" w:lineRule="exact"/>
        <w:rPr>
          <w:rFonts w:hint="eastAsia" w:hAnsi="宋体" w:cs="宋体"/>
          <w:color w:val="auto"/>
          <w:sz w:val="22"/>
          <w:szCs w:val="28"/>
        </w:rPr>
      </w:pPr>
      <w:r>
        <w:rPr>
          <w:rFonts w:hint="eastAsia" w:hAnsi="宋体" w:cs="宋体"/>
          <w:color w:val="auto"/>
          <w:sz w:val="22"/>
          <w:szCs w:val="28"/>
        </w:rPr>
        <w:t>说明：</w:t>
      </w:r>
    </w:p>
    <w:p w14:paraId="48BD84FB">
      <w:pPr>
        <w:pStyle w:val="23"/>
        <w:spacing w:line="500" w:lineRule="exact"/>
        <w:ind w:firstLine="480" w:firstLineChars="200"/>
        <w:rPr>
          <w:rFonts w:hint="eastAsia" w:hAnsi="宋体" w:cs="宋体"/>
          <w:color w:val="auto"/>
          <w:sz w:val="22"/>
          <w:szCs w:val="28"/>
        </w:rPr>
      </w:pPr>
      <w:r>
        <w:rPr>
          <w:rFonts w:hint="eastAsia" w:hAnsi="宋体" w:cs="宋体"/>
          <w:color w:val="auto"/>
          <w:sz w:val="24"/>
          <w:szCs w:val="32"/>
        </w:rPr>
        <w:t>1．本授权书有效期自开标大会之日计算不得少于九十天。</w:t>
      </w:r>
    </w:p>
    <w:p w14:paraId="3D622819">
      <w:pPr>
        <w:ind w:firstLine="480" w:firstLineChars="200"/>
        <w:rPr>
          <w:rFonts w:hint="eastAsia"/>
          <w:color w:val="auto"/>
        </w:rPr>
      </w:pPr>
      <w:r>
        <w:rPr>
          <w:rFonts w:hint="eastAsia" w:ascii="宋体" w:hAnsi="宋体" w:cs="宋体"/>
          <w:color w:val="auto"/>
          <w:sz w:val="24"/>
          <w:szCs w:val="24"/>
        </w:rPr>
        <w:t>2．授权书内容填写要明确，文字要工整清楚，涂改无效。</w:t>
      </w:r>
    </w:p>
    <w:p w14:paraId="1BB5FCFB">
      <w:pPr>
        <w:spacing w:line="200" w:lineRule="exact"/>
        <w:rPr>
          <w:rFonts w:hint="eastAsia" w:ascii="宋体" w:hAnsi="宋体" w:cs="宋体"/>
          <w:color w:val="auto"/>
        </w:rPr>
      </w:pPr>
    </w:p>
    <w:p w14:paraId="4516A4EB">
      <w:pPr>
        <w:spacing w:line="200" w:lineRule="exact"/>
        <w:rPr>
          <w:rFonts w:hint="eastAsia" w:ascii="宋体" w:hAnsi="宋体" w:cs="宋体"/>
          <w:color w:val="auto"/>
        </w:rPr>
      </w:pPr>
    </w:p>
    <w:p w14:paraId="226D1025">
      <w:pPr>
        <w:spacing w:line="200" w:lineRule="exact"/>
        <w:rPr>
          <w:rFonts w:hint="eastAsia" w:ascii="宋体" w:hAnsi="宋体" w:cs="宋体"/>
          <w:color w:val="auto"/>
        </w:rPr>
      </w:pPr>
    </w:p>
    <w:p w14:paraId="7418EDA1">
      <w:pPr>
        <w:pStyle w:val="3"/>
        <w:numPr>
          <w:ilvl w:val="0"/>
          <w:numId w:val="0"/>
        </w:numPr>
        <w:spacing w:line="240" w:lineRule="auto"/>
        <w:jc w:val="center"/>
        <w:rPr>
          <w:rFonts w:hint="eastAsia" w:ascii="宋体" w:hAnsi="宋体" w:cs="宋体"/>
          <w:bCs w:val="0"/>
          <w:color w:val="auto"/>
          <w:sz w:val="32"/>
          <w:szCs w:val="32"/>
        </w:rPr>
      </w:pPr>
      <w:r>
        <w:rPr>
          <w:rFonts w:hint="eastAsia" w:ascii="宋体" w:hAnsi="宋体" w:cs="宋体"/>
          <w:bCs w:val="0"/>
          <w:color w:val="auto"/>
          <w:sz w:val="32"/>
          <w:szCs w:val="32"/>
          <w:lang w:val="en-US" w:eastAsia="zh-CN"/>
        </w:rPr>
        <w:t>七、</w:t>
      </w:r>
      <w:r>
        <w:rPr>
          <w:rFonts w:hint="eastAsia" w:ascii="宋体" w:hAnsi="宋体" w:cs="宋体"/>
          <w:bCs w:val="0"/>
          <w:color w:val="auto"/>
          <w:sz w:val="32"/>
          <w:szCs w:val="32"/>
        </w:rPr>
        <w:t>信用中国陕西榆林承诺申报截图</w:t>
      </w:r>
    </w:p>
    <w:p w14:paraId="03CCD236">
      <w:pPr>
        <w:widowControl w:val="0"/>
        <w:numPr>
          <w:ilvl w:val="0"/>
          <w:numId w:val="0"/>
        </w:numPr>
        <w:jc w:val="both"/>
        <w:rPr>
          <w:rFonts w:hint="eastAsia"/>
          <w:color w:val="auto"/>
        </w:rPr>
      </w:pPr>
    </w:p>
    <w:p w14:paraId="58B6D0BA">
      <w:pPr>
        <w:pStyle w:val="113"/>
        <w:jc w:val="center"/>
        <w:rPr>
          <w:rFonts w:hint="default" w:eastAsia="宋体"/>
          <w:color w:val="auto"/>
          <w:sz w:val="22"/>
          <w:szCs w:val="28"/>
          <w:lang w:val="en-US" w:eastAsia="zh-CN"/>
        </w:rPr>
        <w:sectPr>
          <w:footnotePr>
            <w:pos w:val="beneathText"/>
          </w:footnotePr>
          <w:pgSz w:w="11906" w:h="16838"/>
          <w:pgMar w:top="1417" w:right="1417" w:bottom="1417" w:left="1417" w:header="851" w:footer="992" w:gutter="0"/>
          <w:cols w:space="720" w:num="1"/>
          <w:docGrid w:linePitch="312" w:charSpace="0"/>
        </w:sectPr>
      </w:pPr>
      <w:r>
        <w:rPr>
          <w:rFonts w:hint="eastAsia"/>
          <w:color w:val="auto"/>
          <w:sz w:val="22"/>
          <w:szCs w:val="28"/>
          <w:lang w:val="en-US" w:eastAsia="zh-CN"/>
        </w:rPr>
        <w:t>注：截图须体现项目名称。</w:t>
      </w:r>
    </w:p>
    <w:p w14:paraId="56AEF551">
      <w:pPr>
        <w:pStyle w:val="3"/>
        <w:spacing w:line="360" w:lineRule="exact"/>
        <w:jc w:val="center"/>
        <w:rPr>
          <w:color w:val="auto"/>
          <w:sz w:val="36"/>
          <w:szCs w:val="16"/>
        </w:rPr>
      </w:pPr>
      <w:bookmarkStart w:id="86" w:name="_Toc26684"/>
      <w:bookmarkStart w:id="87" w:name="_Toc14649"/>
      <w:bookmarkStart w:id="88" w:name="_Toc29855"/>
      <w:bookmarkStart w:id="89" w:name="_Toc10444"/>
      <w:r>
        <w:rPr>
          <w:color w:val="auto"/>
          <w:sz w:val="36"/>
          <w:szCs w:val="16"/>
        </w:rPr>
        <w:t>第</w:t>
      </w:r>
      <w:r>
        <w:rPr>
          <w:rFonts w:hint="eastAsia"/>
          <w:color w:val="auto"/>
          <w:sz w:val="36"/>
          <w:szCs w:val="16"/>
          <w:lang w:eastAsia="zh-CN"/>
        </w:rPr>
        <w:t>七</w:t>
      </w:r>
      <w:r>
        <w:rPr>
          <w:color w:val="auto"/>
          <w:sz w:val="36"/>
          <w:szCs w:val="16"/>
        </w:rPr>
        <w:t>部分  附件</w:t>
      </w:r>
      <w:bookmarkEnd w:id="86"/>
      <w:bookmarkEnd w:id="87"/>
      <w:bookmarkEnd w:id="88"/>
      <w:bookmarkEnd w:id="89"/>
    </w:p>
    <w:p w14:paraId="022580A5">
      <w:pPr>
        <w:spacing w:line="360" w:lineRule="auto"/>
        <w:jc w:val="center"/>
        <w:rPr>
          <w:rFonts w:hint="eastAsia"/>
          <w:b/>
          <w:bCs/>
          <w:color w:val="auto"/>
          <w:sz w:val="28"/>
          <w:szCs w:val="28"/>
        </w:rPr>
      </w:pPr>
      <w:r>
        <w:rPr>
          <w:rFonts w:hint="eastAsia"/>
          <w:b/>
          <w:bCs/>
          <w:color w:val="auto"/>
          <w:sz w:val="28"/>
          <w:szCs w:val="28"/>
        </w:rPr>
        <w:t>（投标人须在开标前将附件1、附件2、附件3按时上传至信用中国（陕西榆林）进行公示，并将上传后的截图附在投标文件中。）</w:t>
      </w:r>
      <w:bookmarkStart w:id="90" w:name="_Toc7135"/>
    </w:p>
    <w:p w14:paraId="769AD838">
      <w:pPr>
        <w:spacing w:line="360" w:lineRule="auto"/>
        <w:jc w:val="center"/>
        <w:rPr>
          <w:rFonts w:hint="eastAsia" w:ascii="宋体" w:hAnsi="宋体" w:cs="宋体"/>
          <w:color w:val="auto"/>
          <w:sz w:val="40"/>
          <w:szCs w:val="40"/>
        </w:rPr>
      </w:pPr>
      <w:r>
        <w:rPr>
          <w:rFonts w:hint="eastAsia" w:ascii="宋体" w:hAnsi="宋体" w:cs="宋体"/>
          <w:b/>
          <w:bCs/>
          <w:color w:val="auto"/>
          <w:sz w:val="32"/>
          <w:szCs w:val="32"/>
        </w:rPr>
        <w:t>附件1 投标人信用承诺书</w:t>
      </w:r>
      <w:bookmarkEnd w:id="90"/>
    </w:p>
    <w:p w14:paraId="38FD5E02">
      <w:pPr>
        <w:widowControl/>
        <w:adjustRightInd w:val="0"/>
        <w:snapToGrid w:val="0"/>
        <w:spacing w:line="480" w:lineRule="auto"/>
        <w:jc w:val="left"/>
        <w:rPr>
          <w:rFonts w:ascii="宋体" w:hAnsi="宋体" w:cs="宋体"/>
          <w:color w:val="auto"/>
          <w:kern w:val="0"/>
          <w:sz w:val="24"/>
          <w:u w:val="single"/>
        </w:rPr>
      </w:pPr>
      <w:r>
        <w:rPr>
          <w:rFonts w:hint="eastAsia" w:ascii="宋体" w:hAnsi="宋体" w:cs="宋体"/>
          <w:color w:val="auto"/>
          <w:kern w:val="0"/>
          <w:sz w:val="24"/>
        </w:rPr>
        <w:t>投标人：</w:t>
      </w:r>
      <w:r>
        <w:rPr>
          <w:rFonts w:ascii="宋体" w:hAnsi="宋体" w:cs="宋体"/>
          <w:color w:val="auto"/>
          <w:kern w:val="0"/>
          <w:sz w:val="24"/>
          <w:u w:val="single"/>
        </w:rPr>
        <w:t xml:space="preserve">                                                                   </w:t>
      </w:r>
    </w:p>
    <w:p w14:paraId="2AD12538">
      <w:pPr>
        <w:widowControl/>
        <w:adjustRightInd w:val="0"/>
        <w:snapToGrid w:val="0"/>
        <w:spacing w:line="480" w:lineRule="auto"/>
        <w:jc w:val="left"/>
        <w:rPr>
          <w:rFonts w:ascii="宋体" w:hAnsi="宋体" w:cs="宋体"/>
          <w:color w:val="auto"/>
          <w:kern w:val="0"/>
          <w:sz w:val="24"/>
          <w:u w:val="single"/>
        </w:rPr>
      </w:pPr>
      <w:r>
        <w:rPr>
          <w:rFonts w:hint="eastAsia" w:ascii="宋体" w:hAnsi="宋体" w:cs="宋体"/>
          <w:color w:val="auto"/>
          <w:kern w:val="0"/>
          <w:sz w:val="24"/>
        </w:rPr>
        <w:t>统一社会信用代码：</w:t>
      </w:r>
      <w:r>
        <w:rPr>
          <w:rFonts w:ascii="宋体" w:hAnsi="宋体" w:cs="宋体"/>
          <w:color w:val="auto"/>
          <w:kern w:val="0"/>
          <w:sz w:val="24"/>
          <w:u w:val="single"/>
        </w:rPr>
        <w:t xml:space="preserve">                             </w:t>
      </w:r>
      <w:r>
        <w:rPr>
          <w:rFonts w:hint="eastAsia" w:ascii="宋体" w:hAnsi="宋体" w:cs="宋体"/>
          <w:color w:val="auto"/>
          <w:kern w:val="0"/>
          <w:sz w:val="24"/>
        </w:rPr>
        <w:t>法人代表：</w:t>
      </w:r>
      <w:r>
        <w:rPr>
          <w:rFonts w:ascii="宋体" w:hAnsi="宋体" w:cs="宋体"/>
          <w:color w:val="auto"/>
          <w:kern w:val="0"/>
          <w:sz w:val="24"/>
          <w:u w:val="single"/>
        </w:rPr>
        <w:t xml:space="preserve">                  </w:t>
      </w:r>
    </w:p>
    <w:p w14:paraId="128975F8">
      <w:pPr>
        <w:widowControl/>
        <w:adjustRightInd w:val="0"/>
        <w:snapToGrid w:val="0"/>
        <w:spacing w:line="480" w:lineRule="auto"/>
        <w:jc w:val="left"/>
        <w:rPr>
          <w:rFonts w:ascii="宋体" w:cs="宋体"/>
          <w:color w:val="auto"/>
          <w:kern w:val="0"/>
          <w:sz w:val="24"/>
          <w:u w:val="single"/>
        </w:rPr>
      </w:pPr>
      <w:r>
        <w:rPr>
          <w:rFonts w:hint="eastAsia" w:ascii="宋体" w:hAnsi="宋体" w:cs="宋体"/>
          <w:color w:val="auto"/>
          <w:kern w:val="0"/>
          <w:sz w:val="24"/>
        </w:rPr>
        <w:t>承诺有效期限：</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r>
        <w:rPr>
          <w:rFonts w:ascii="宋体" w:hAnsi="宋体" w:cs="宋体"/>
          <w:color w:val="auto"/>
          <w:kern w:val="0"/>
          <w:sz w:val="24"/>
        </w:rPr>
        <w:t>—</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p>
    <w:p w14:paraId="2D4D384D">
      <w:pPr>
        <w:widowControl/>
        <w:adjustRightInd w:val="0"/>
        <w:snapToGrid w:val="0"/>
        <w:spacing w:line="480" w:lineRule="auto"/>
        <w:ind w:firstLine="480" w:firstLineChars="200"/>
        <w:jc w:val="left"/>
        <w:rPr>
          <w:rFonts w:ascii="宋体" w:cs="宋体"/>
          <w:color w:val="auto"/>
          <w:kern w:val="0"/>
          <w:sz w:val="24"/>
        </w:rPr>
      </w:pPr>
      <w:r>
        <w:rPr>
          <w:rFonts w:hint="eastAsia" w:ascii="宋体" w:hAnsi="宋体" w:cs="宋体"/>
          <w:color w:val="auto"/>
          <w:kern w:val="0"/>
          <w:sz w:val="24"/>
        </w:rPr>
        <w:t>在</w:t>
      </w:r>
      <w:r>
        <w:rPr>
          <w:rFonts w:ascii="宋体" w:hAnsi="宋体" w:cs="宋体"/>
          <w:color w:val="auto"/>
          <w:kern w:val="0"/>
          <w:sz w:val="24"/>
          <w:u w:val="single"/>
        </w:rPr>
        <w:t xml:space="preserve">                                   </w:t>
      </w:r>
      <w:r>
        <w:rPr>
          <w:rFonts w:hint="eastAsia" w:ascii="宋体" w:hAnsi="宋体" w:cs="宋体"/>
          <w:color w:val="auto"/>
          <w:kern w:val="0"/>
          <w:sz w:val="24"/>
        </w:rPr>
        <w:t>项目招投标活动中，我公司（单位）郑重作出以下信用承诺：</w:t>
      </w:r>
    </w:p>
    <w:p w14:paraId="001137E7">
      <w:pPr>
        <w:widowControl/>
        <w:adjustRightInd w:val="0"/>
        <w:snapToGrid w:val="0"/>
        <w:spacing w:line="480" w:lineRule="auto"/>
        <w:ind w:firstLine="480"/>
        <w:jc w:val="left"/>
        <w:rPr>
          <w:rFonts w:ascii="宋体" w:cs="宋体"/>
          <w:color w:val="auto"/>
          <w:kern w:val="0"/>
          <w:sz w:val="24"/>
        </w:rPr>
      </w:pPr>
      <w:r>
        <w:rPr>
          <w:rFonts w:hint="eastAsia" w:ascii="宋体" w:hAnsi="宋体" w:cs="宋体"/>
          <w:color w:val="auto"/>
          <w:kern w:val="0"/>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66940FB7">
      <w:pPr>
        <w:widowControl/>
        <w:adjustRightInd w:val="0"/>
        <w:snapToGrid w:val="0"/>
        <w:spacing w:line="480" w:lineRule="auto"/>
        <w:ind w:firstLine="480"/>
        <w:jc w:val="left"/>
        <w:rPr>
          <w:rFonts w:ascii="宋体" w:cs="宋体"/>
          <w:color w:val="auto"/>
          <w:kern w:val="0"/>
          <w:sz w:val="24"/>
        </w:rPr>
      </w:pPr>
      <w:r>
        <w:rPr>
          <w:rFonts w:hint="eastAsia" w:ascii="宋体" w:hAnsi="宋体" w:cs="宋体"/>
          <w:color w:val="auto"/>
          <w:kern w:val="0"/>
          <w:sz w:val="24"/>
        </w:rPr>
        <w:t>（二）不得有以下违法违规行为：</w:t>
      </w:r>
      <w:r>
        <w:rPr>
          <w:rFonts w:ascii="宋体" w:hAnsi="宋体" w:cs="宋体"/>
          <w:color w:val="auto"/>
          <w:kern w:val="0"/>
          <w:sz w:val="24"/>
        </w:rPr>
        <w:t>1.</w:t>
      </w:r>
      <w:r>
        <w:rPr>
          <w:rFonts w:hint="eastAsia" w:ascii="宋体" w:hAnsi="宋体" w:cs="宋体"/>
          <w:color w:val="auto"/>
          <w:kern w:val="0"/>
          <w:sz w:val="24"/>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color w:val="auto"/>
          <w:kern w:val="0"/>
          <w:sz w:val="24"/>
        </w:rPr>
        <w:t>2.</w:t>
      </w:r>
      <w:r>
        <w:rPr>
          <w:rFonts w:hint="eastAsia" w:ascii="宋体" w:hAnsi="宋体" w:cs="宋体"/>
          <w:color w:val="auto"/>
          <w:kern w:val="0"/>
          <w:sz w:val="24"/>
        </w:rPr>
        <w:t>向招投标监督部门、交易中心、招标人、招标代理机构、评审委员会及其成员等当事主体赠送财物。</w:t>
      </w:r>
      <w:r>
        <w:rPr>
          <w:rFonts w:ascii="宋体" w:hAnsi="宋体" w:cs="宋体"/>
          <w:color w:val="auto"/>
          <w:kern w:val="0"/>
          <w:sz w:val="24"/>
        </w:rPr>
        <w:t>3.</w:t>
      </w:r>
      <w:r>
        <w:rPr>
          <w:rFonts w:hint="eastAsia" w:ascii="宋体" w:hAnsi="宋体" w:cs="宋体"/>
          <w:color w:val="auto"/>
          <w:kern w:val="0"/>
          <w:sz w:val="24"/>
        </w:rPr>
        <w:t>投标截止后至中标人确定前，修改或者撤销投标文件。</w:t>
      </w:r>
      <w:r>
        <w:rPr>
          <w:rFonts w:ascii="宋体" w:hAnsi="宋体" w:cs="宋体"/>
          <w:color w:val="auto"/>
          <w:kern w:val="0"/>
          <w:sz w:val="24"/>
        </w:rPr>
        <w:t>4.</w:t>
      </w:r>
      <w:r>
        <w:rPr>
          <w:rFonts w:hint="eastAsia" w:ascii="宋体" w:hAnsi="宋体" w:cs="宋体"/>
          <w:color w:val="auto"/>
          <w:kern w:val="0"/>
          <w:sz w:val="24"/>
        </w:rPr>
        <w:t>在被确定为中标人后无正当理由：不按照招标文件和投标文件与招标人签订合同；在签订合同时向招标人提出附加条件、或者改变投标文件的实质性内容；放弃中标；不按照招标文件的规定提交履约保证金。</w:t>
      </w:r>
      <w:r>
        <w:rPr>
          <w:rFonts w:ascii="宋体" w:hAnsi="宋体" w:cs="宋体"/>
          <w:color w:val="auto"/>
          <w:kern w:val="0"/>
          <w:sz w:val="24"/>
        </w:rPr>
        <w:t>5.</w:t>
      </w:r>
      <w:r>
        <w:rPr>
          <w:rFonts w:hint="eastAsia" w:ascii="宋体" w:hAnsi="宋体" w:cs="宋体"/>
          <w:color w:val="auto"/>
          <w:kern w:val="0"/>
          <w:sz w:val="24"/>
        </w:rPr>
        <w:t>招投标法规定的其它违法违规行为。</w:t>
      </w:r>
    </w:p>
    <w:p w14:paraId="2538CF5A">
      <w:pPr>
        <w:widowControl/>
        <w:adjustRightInd w:val="0"/>
        <w:snapToGrid w:val="0"/>
        <w:spacing w:line="480" w:lineRule="auto"/>
        <w:ind w:firstLine="480"/>
        <w:jc w:val="left"/>
        <w:rPr>
          <w:rFonts w:ascii="宋体" w:cs="宋体"/>
          <w:color w:val="auto"/>
          <w:kern w:val="0"/>
          <w:sz w:val="24"/>
        </w:rPr>
      </w:pPr>
      <w:r>
        <w:rPr>
          <w:rFonts w:hint="eastAsia" w:ascii="宋体" w:hAnsi="宋体" w:cs="宋体"/>
          <w:color w:val="auto"/>
          <w:kern w:val="0"/>
          <w:sz w:val="24"/>
        </w:rPr>
        <w:t>（三）自愿接受招投标监督部门和有关行政监督部门的依法检查。</w:t>
      </w:r>
    </w:p>
    <w:p w14:paraId="03101ACF">
      <w:pPr>
        <w:widowControl/>
        <w:adjustRightInd w:val="0"/>
        <w:snapToGrid w:val="0"/>
        <w:spacing w:line="480" w:lineRule="auto"/>
        <w:ind w:firstLine="480"/>
        <w:jc w:val="left"/>
        <w:rPr>
          <w:rFonts w:ascii="宋体" w:cs="宋体"/>
          <w:color w:val="auto"/>
          <w:kern w:val="0"/>
          <w:sz w:val="24"/>
        </w:rPr>
      </w:pPr>
      <w:r>
        <w:rPr>
          <w:rFonts w:hint="eastAsia" w:ascii="宋体" w:hAnsi="宋体" w:cs="宋体"/>
          <w:color w:val="auto"/>
          <w:kern w:val="0"/>
          <w:sz w:val="24"/>
        </w:rPr>
        <w:t>（四）同意将此信用承诺纳入陕西省公共信用信息平台和榆林市公共信用信息共享平台，并上网公示，接受社会监督。</w:t>
      </w:r>
    </w:p>
    <w:p w14:paraId="4423008C">
      <w:pPr>
        <w:widowControl/>
        <w:adjustRightInd w:val="0"/>
        <w:snapToGrid w:val="0"/>
        <w:spacing w:line="480" w:lineRule="auto"/>
        <w:ind w:firstLine="480"/>
        <w:jc w:val="left"/>
        <w:rPr>
          <w:rFonts w:hint="eastAsia" w:ascii="宋体" w:hAnsi="宋体" w:cs="宋体"/>
          <w:color w:val="auto"/>
          <w:kern w:val="0"/>
          <w:sz w:val="24"/>
        </w:rPr>
      </w:pPr>
      <w:r>
        <w:rPr>
          <w:rFonts w:hint="eastAsia" w:ascii="宋体" w:hAnsi="宋体" w:cs="宋体"/>
          <w:color w:val="auto"/>
          <w:kern w:val="0"/>
          <w:sz w:val="24"/>
        </w:rPr>
        <w:t>（五）若我公司（单位）及相关参与人员违背以上承诺事项，即被视为失信企业（法人），依据《关于对公共资源交易领域严重失信主体开展联合惩戒的备忘录》（发改法规</w:t>
      </w:r>
      <w:r>
        <w:rPr>
          <w:rFonts w:ascii="宋体" w:hAnsi="宋体" w:cs="宋体"/>
          <w:color w:val="auto"/>
          <w:kern w:val="0"/>
          <w:sz w:val="24"/>
        </w:rPr>
        <w:t>[2018]457</w:t>
      </w:r>
      <w:r>
        <w:rPr>
          <w:rFonts w:hint="eastAsia" w:ascii="宋体" w:hAnsi="宋体" w:cs="宋体"/>
          <w:color w:val="auto"/>
          <w:kern w:val="0"/>
          <w:sz w:val="24"/>
        </w:rPr>
        <w:t>号），自愿接受失信联合惩戒和依法给予的行政处罚（处理），并依法承担赔偿责任和刑事责任。</w:t>
      </w:r>
    </w:p>
    <w:p w14:paraId="12B834FE">
      <w:pPr>
        <w:pStyle w:val="18"/>
        <w:rPr>
          <w:color w:val="auto"/>
        </w:rPr>
      </w:pPr>
    </w:p>
    <w:p w14:paraId="0757F2A3">
      <w:pPr>
        <w:widowControl/>
        <w:tabs>
          <w:tab w:val="left" w:pos="4395"/>
        </w:tabs>
        <w:adjustRightInd w:val="0"/>
        <w:snapToGrid w:val="0"/>
        <w:spacing w:line="480" w:lineRule="auto"/>
        <w:jc w:val="left"/>
        <w:rPr>
          <w:rFonts w:ascii="宋体" w:cs="宋体"/>
          <w:color w:val="auto"/>
          <w:kern w:val="0"/>
          <w:sz w:val="24"/>
        </w:rPr>
      </w:pPr>
      <w:r>
        <w:rPr>
          <w:rFonts w:hint="eastAsia" w:ascii="宋体" w:hAnsi="宋体" w:cs="宋体"/>
          <w:color w:val="auto"/>
          <w:kern w:val="0"/>
          <w:sz w:val="24"/>
        </w:rPr>
        <w:t>法定代表人（</w:t>
      </w:r>
      <w:r>
        <w:rPr>
          <w:rFonts w:hint="eastAsia" w:hAnsi="宋体" w:cs="宋体"/>
          <w:color w:val="auto"/>
          <w:kern w:val="0"/>
          <w:sz w:val="24"/>
          <w:szCs w:val="24"/>
          <w:lang w:val="en-US" w:eastAsia="zh-CN"/>
        </w:rPr>
        <w:t>签字或盖章</w:t>
      </w:r>
      <w:r>
        <w:rPr>
          <w:rFonts w:hint="eastAsia" w:ascii="宋体" w:hAnsi="宋体" w:cs="宋体"/>
          <w:color w:val="auto"/>
          <w:kern w:val="0"/>
          <w:sz w:val="24"/>
        </w:rPr>
        <w:t>）：</w:t>
      </w:r>
      <w:r>
        <w:rPr>
          <w:rFonts w:ascii="宋体" w:hAnsi="宋体" w:cs="宋体"/>
          <w:color w:val="auto"/>
          <w:kern w:val="0"/>
          <w:sz w:val="24"/>
        </w:rPr>
        <w:t xml:space="preserve">                 </w:t>
      </w:r>
      <w:r>
        <w:rPr>
          <w:rFonts w:hint="eastAsia" w:ascii="宋体" w:hAnsi="宋体" w:cs="宋体"/>
          <w:color w:val="auto"/>
          <w:kern w:val="0"/>
          <w:sz w:val="24"/>
        </w:rPr>
        <w:t>投标人（盖章）：</w:t>
      </w:r>
    </w:p>
    <w:p w14:paraId="5279767B">
      <w:pPr>
        <w:adjustRightInd w:val="0"/>
        <w:snapToGrid w:val="0"/>
        <w:spacing w:line="480" w:lineRule="auto"/>
        <w:jc w:val="center"/>
        <w:rPr>
          <w:rFonts w:ascii="宋体" w:cs="宋体"/>
          <w:color w:val="auto"/>
          <w:kern w:val="0"/>
          <w:sz w:val="24"/>
        </w:rPr>
      </w:pPr>
    </w:p>
    <w:p w14:paraId="2F80EE14">
      <w:pPr>
        <w:adjustRightInd w:val="0"/>
        <w:snapToGrid w:val="0"/>
        <w:spacing w:line="480" w:lineRule="auto"/>
        <w:jc w:val="center"/>
        <w:rPr>
          <w:rFonts w:ascii="宋体" w:cs="宋体"/>
          <w:color w:val="auto"/>
          <w:kern w:val="0"/>
          <w:sz w:val="24"/>
        </w:rPr>
      </w:pPr>
      <w:r>
        <w:rPr>
          <w:rFonts w:hint="eastAsia" w:ascii="宋体" w:hAnsi="宋体" w:cs="宋体"/>
          <w:color w:val="auto"/>
          <w:kern w:val="0"/>
          <w:sz w:val="24"/>
        </w:rPr>
        <w:t xml:space="preserve">                             承诺时间：</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p>
    <w:p w14:paraId="173A0858">
      <w:pPr>
        <w:spacing w:line="480" w:lineRule="auto"/>
        <w:ind w:right="-2"/>
        <w:jc w:val="center"/>
        <w:rPr>
          <w:rFonts w:hint="eastAsia" w:ascii="宋体" w:hAnsi="宋体" w:cs="宋体"/>
          <w:b/>
          <w:bCs/>
          <w:color w:val="auto"/>
          <w:sz w:val="32"/>
          <w:szCs w:val="32"/>
        </w:rPr>
        <w:sectPr>
          <w:footerReference r:id="rId10" w:type="default"/>
          <w:pgSz w:w="11906" w:h="16838"/>
          <w:pgMar w:top="1219" w:right="1803" w:bottom="1219" w:left="1803" w:header="850" w:footer="992" w:gutter="0"/>
          <w:pgNumType w:fmt="decimal"/>
          <w:cols w:space="720" w:num="1"/>
          <w:rtlGutter w:val="0"/>
          <w:docGrid w:type="lines" w:linePitch="313" w:charSpace="0"/>
        </w:sectPr>
      </w:pPr>
    </w:p>
    <w:p w14:paraId="159DF470">
      <w:pPr>
        <w:spacing w:line="560" w:lineRule="exact"/>
        <w:ind w:right="-2"/>
        <w:jc w:val="center"/>
        <w:rPr>
          <w:rFonts w:hint="eastAsia" w:ascii="宋体" w:hAnsi="宋体" w:cs="宋体"/>
          <w:b/>
          <w:bCs/>
          <w:color w:val="auto"/>
          <w:sz w:val="32"/>
          <w:szCs w:val="32"/>
        </w:rPr>
      </w:pPr>
      <w:r>
        <w:rPr>
          <w:rFonts w:hint="eastAsia" w:ascii="宋体" w:hAnsi="宋体" w:cs="宋体"/>
          <w:b/>
          <w:bCs/>
          <w:color w:val="auto"/>
          <w:sz w:val="32"/>
          <w:szCs w:val="32"/>
        </w:rPr>
        <w:t>附件2 投标人委托代理人员信用承诺书</w:t>
      </w:r>
    </w:p>
    <w:p w14:paraId="441591CC">
      <w:pPr>
        <w:widowControl/>
        <w:spacing w:line="540" w:lineRule="exact"/>
        <w:ind w:firstLine="480" w:firstLineChars="200"/>
        <w:jc w:val="left"/>
        <w:rPr>
          <w:rFonts w:ascii="宋体" w:cs="宋体"/>
          <w:color w:val="auto"/>
          <w:kern w:val="0"/>
          <w:sz w:val="24"/>
        </w:rPr>
      </w:pPr>
      <w:r>
        <w:rPr>
          <w:rFonts w:hint="eastAsia" w:ascii="宋体" w:hAnsi="宋体" w:cs="宋体"/>
          <w:color w:val="auto"/>
          <w:kern w:val="0"/>
          <w:sz w:val="24"/>
        </w:rPr>
        <w:t>在</w:t>
      </w:r>
      <w:r>
        <w:rPr>
          <w:rFonts w:ascii="宋体" w:hAnsi="宋体" w:cs="宋体"/>
          <w:color w:val="auto"/>
          <w:kern w:val="0"/>
          <w:sz w:val="24"/>
          <w:u w:val="single"/>
        </w:rPr>
        <w:t xml:space="preserve">                                   </w:t>
      </w:r>
      <w:r>
        <w:rPr>
          <w:rFonts w:hint="eastAsia" w:ascii="宋体" w:hAnsi="宋体" w:cs="宋体"/>
          <w:color w:val="auto"/>
          <w:kern w:val="0"/>
          <w:sz w:val="24"/>
        </w:rPr>
        <w:t>项目招投标活动中，我个人郑重作出以下信用承诺：</w:t>
      </w:r>
    </w:p>
    <w:p w14:paraId="4BE924CF">
      <w:pPr>
        <w:widowControl/>
        <w:adjustRightInd w:val="0"/>
        <w:snapToGrid w:val="0"/>
        <w:spacing w:line="540" w:lineRule="exact"/>
        <w:ind w:firstLine="480"/>
        <w:jc w:val="left"/>
        <w:rPr>
          <w:rFonts w:ascii="宋体" w:cs="宋体"/>
          <w:color w:val="auto"/>
          <w:kern w:val="0"/>
          <w:sz w:val="24"/>
        </w:rPr>
      </w:pPr>
      <w:r>
        <w:rPr>
          <w:rFonts w:hint="eastAsia" w:ascii="宋体" w:hAnsi="宋体" w:cs="宋体"/>
          <w:color w:val="auto"/>
          <w:kern w:val="0"/>
          <w:sz w:val="24"/>
        </w:rPr>
        <w:t>（一）能严格遵守法律法规、职业道德和行业规范，具有独立承担民事责任的能力；无法律法规规定禁止开展从业活动情形。我所递交的文件资料合法、真实、准确、完整、有效，无弄虚作假等情形。</w:t>
      </w:r>
    </w:p>
    <w:p w14:paraId="1B5BA1BF">
      <w:pPr>
        <w:widowControl/>
        <w:adjustRightInd w:val="0"/>
        <w:snapToGrid w:val="0"/>
        <w:spacing w:line="540" w:lineRule="exact"/>
        <w:ind w:firstLine="480"/>
        <w:jc w:val="left"/>
        <w:rPr>
          <w:rFonts w:ascii="宋体" w:cs="宋体"/>
          <w:color w:val="auto"/>
          <w:kern w:val="0"/>
          <w:sz w:val="24"/>
        </w:rPr>
      </w:pPr>
      <w:r>
        <w:rPr>
          <w:rFonts w:hint="eastAsia" w:ascii="宋体" w:hAnsi="宋体" w:cs="宋体"/>
          <w:color w:val="auto"/>
          <w:kern w:val="0"/>
          <w:sz w:val="24"/>
        </w:rPr>
        <w:t>（二）不得有以下违法违规行为：</w:t>
      </w:r>
      <w:r>
        <w:rPr>
          <w:rFonts w:ascii="宋体" w:hAnsi="宋体" w:cs="宋体"/>
          <w:color w:val="auto"/>
          <w:kern w:val="0"/>
          <w:sz w:val="24"/>
        </w:rPr>
        <w:t>1.</w:t>
      </w:r>
      <w:r>
        <w:rPr>
          <w:rFonts w:hint="eastAsia" w:ascii="宋体" w:hAnsi="宋体" w:cs="宋体"/>
          <w:color w:val="auto"/>
          <w:kern w:val="0"/>
          <w:sz w:val="24"/>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color w:val="auto"/>
          <w:kern w:val="0"/>
          <w:sz w:val="24"/>
        </w:rPr>
        <w:t>2.</w:t>
      </w:r>
      <w:r>
        <w:rPr>
          <w:rFonts w:hint="eastAsia" w:ascii="宋体" w:hAnsi="宋体" w:cs="宋体"/>
          <w:color w:val="auto"/>
          <w:kern w:val="0"/>
          <w:sz w:val="24"/>
        </w:rPr>
        <w:t>向招投标监督部门、交易中心、招标人、招标代理机构、评审委员会及其成员等当事主体赠送财物。</w:t>
      </w:r>
      <w:r>
        <w:rPr>
          <w:rFonts w:ascii="宋体" w:hAnsi="宋体" w:cs="宋体"/>
          <w:color w:val="auto"/>
          <w:kern w:val="0"/>
          <w:sz w:val="24"/>
        </w:rPr>
        <w:t>3.</w:t>
      </w:r>
      <w:r>
        <w:rPr>
          <w:rFonts w:hint="eastAsia" w:ascii="宋体" w:hAnsi="宋体" w:cs="宋体"/>
          <w:color w:val="auto"/>
          <w:kern w:val="0"/>
          <w:sz w:val="24"/>
        </w:rPr>
        <w:t>投标截止后至中标人确定前，修改或者撤销投标文件。</w:t>
      </w:r>
      <w:r>
        <w:rPr>
          <w:rFonts w:ascii="宋体" w:hAnsi="宋体" w:cs="宋体"/>
          <w:color w:val="auto"/>
          <w:kern w:val="0"/>
          <w:sz w:val="24"/>
        </w:rPr>
        <w:t>4.</w:t>
      </w:r>
      <w:r>
        <w:rPr>
          <w:rFonts w:hint="eastAsia" w:ascii="宋体" w:hAnsi="宋体" w:cs="宋体"/>
          <w:color w:val="auto"/>
          <w:kern w:val="0"/>
          <w:sz w:val="24"/>
        </w:rPr>
        <w:t>在被确定为中标人后无正当理由：不按照招标文件和投标文件与招标人签订合同；在签订合同时向招标人提出附加条件、或者改变投标文件的实质性内容；放弃中标；不按照招标文件的规定提交履约保证金。</w:t>
      </w:r>
      <w:r>
        <w:rPr>
          <w:rFonts w:ascii="宋体" w:hAnsi="宋体" w:cs="宋体"/>
          <w:color w:val="auto"/>
          <w:kern w:val="0"/>
          <w:sz w:val="24"/>
        </w:rPr>
        <w:t>5.</w:t>
      </w:r>
      <w:r>
        <w:rPr>
          <w:rFonts w:hint="eastAsia" w:ascii="宋体" w:hAnsi="宋体" w:cs="宋体"/>
          <w:color w:val="auto"/>
          <w:kern w:val="0"/>
          <w:sz w:val="24"/>
        </w:rPr>
        <w:t>招投标法规定的其它违法违规行为。</w:t>
      </w:r>
    </w:p>
    <w:p w14:paraId="0359DF6A">
      <w:pPr>
        <w:widowControl/>
        <w:adjustRightInd w:val="0"/>
        <w:snapToGrid w:val="0"/>
        <w:spacing w:line="540" w:lineRule="exact"/>
        <w:ind w:firstLine="480"/>
        <w:jc w:val="left"/>
        <w:rPr>
          <w:rFonts w:ascii="宋体" w:cs="宋体"/>
          <w:color w:val="auto"/>
          <w:kern w:val="0"/>
          <w:sz w:val="24"/>
        </w:rPr>
      </w:pPr>
      <w:r>
        <w:rPr>
          <w:rFonts w:hint="eastAsia" w:ascii="宋体" w:hAnsi="宋体" w:cs="宋体"/>
          <w:color w:val="auto"/>
          <w:kern w:val="0"/>
          <w:sz w:val="24"/>
        </w:rPr>
        <w:t>（三）自愿接受招投标监督部门和有关行政监督部门的依法检查。</w:t>
      </w:r>
    </w:p>
    <w:p w14:paraId="0350FCE5">
      <w:pPr>
        <w:widowControl/>
        <w:adjustRightInd w:val="0"/>
        <w:snapToGrid w:val="0"/>
        <w:spacing w:line="540" w:lineRule="exact"/>
        <w:ind w:firstLine="480"/>
        <w:jc w:val="left"/>
        <w:rPr>
          <w:rFonts w:ascii="宋体" w:cs="宋体"/>
          <w:color w:val="auto"/>
          <w:kern w:val="0"/>
          <w:sz w:val="24"/>
        </w:rPr>
      </w:pPr>
      <w:r>
        <w:rPr>
          <w:rFonts w:hint="eastAsia" w:ascii="宋体" w:hAnsi="宋体" w:cs="宋体"/>
          <w:color w:val="auto"/>
          <w:kern w:val="0"/>
          <w:sz w:val="24"/>
        </w:rPr>
        <w:t>（四）同意将此信用承诺纳入陕西省公共信用信息平台和榆林市公共信用信息共享平台，并接受社会监督。</w:t>
      </w:r>
    </w:p>
    <w:p w14:paraId="34659BC4">
      <w:pPr>
        <w:widowControl/>
        <w:adjustRightInd w:val="0"/>
        <w:snapToGrid w:val="0"/>
        <w:spacing w:line="540" w:lineRule="exact"/>
        <w:ind w:firstLine="480"/>
        <w:jc w:val="left"/>
        <w:rPr>
          <w:rFonts w:ascii="宋体" w:cs="宋体"/>
          <w:color w:val="auto"/>
          <w:kern w:val="0"/>
          <w:sz w:val="24"/>
        </w:rPr>
      </w:pPr>
      <w:r>
        <w:rPr>
          <w:rFonts w:hint="eastAsia" w:ascii="宋体" w:hAnsi="宋体" w:cs="宋体"/>
          <w:color w:val="auto"/>
          <w:kern w:val="0"/>
          <w:sz w:val="24"/>
        </w:rPr>
        <w:t>（五）若我违背以上承诺事项，即被视为失信人，依据《关于对公共资源交易领域严重失信主体开展联合惩戒的备忘录》（发改法规</w:t>
      </w:r>
      <w:r>
        <w:rPr>
          <w:rFonts w:ascii="宋体" w:hAnsi="宋体" w:cs="宋体"/>
          <w:color w:val="auto"/>
          <w:kern w:val="0"/>
          <w:sz w:val="24"/>
        </w:rPr>
        <w:t>[2018]457</w:t>
      </w:r>
      <w:r>
        <w:rPr>
          <w:rFonts w:hint="eastAsia" w:ascii="宋体" w:hAnsi="宋体" w:cs="宋体"/>
          <w:color w:val="auto"/>
          <w:kern w:val="0"/>
          <w:sz w:val="24"/>
        </w:rPr>
        <w:t>号），自愿接受失信联合惩戒和依法给予的行政处罚（处理），并依法承担赔偿责任和刑事责任。</w:t>
      </w:r>
    </w:p>
    <w:p w14:paraId="3E9D3313">
      <w:pPr>
        <w:widowControl/>
        <w:spacing w:line="320" w:lineRule="exact"/>
        <w:ind w:firstLine="482"/>
        <w:jc w:val="left"/>
        <w:rPr>
          <w:rFonts w:ascii="宋体" w:hAnsi="宋体" w:cs="宋体"/>
          <w:color w:val="auto"/>
          <w:kern w:val="0"/>
          <w:sz w:val="24"/>
        </w:rPr>
      </w:pPr>
    </w:p>
    <w:p w14:paraId="2DC1C680">
      <w:pPr>
        <w:widowControl/>
        <w:spacing w:line="320" w:lineRule="exact"/>
        <w:ind w:firstLine="482"/>
        <w:jc w:val="left"/>
        <w:rPr>
          <w:rFonts w:ascii="宋体" w:cs="宋体"/>
          <w:color w:val="auto"/>
          <w:kern w:val="0"/>
          <w:sz w:val="24"/>
          <w:u w:val="single"/>
        </w:rPr>
      </w:pPr>
      <w:r>
        <w:rPr>
          <w:rFonts w:hint="eastAsia" w:ascii="宋体" w:hAnsi="宋体" w:cs="宋体"/>
          <w:color w:val="auto"/>
          <w:kern w:val="0"/>
          <w:sz w:val="24"/>
        </w:rPr>
        <w:t>承诺有效期限：</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r>
        <w:rPr>
          <w:rFonts w:ascii="宋体" w:hAnsi="宋体" w:cs="宋体"/>
          <w:color w:val="auto"/>
          <w:kern w:val="0"/>
          <w:sz w:val="24"/>
        </w:rPr>
        <w:t>—</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p>
    <w:p w14:paraId="088248EA">
      <w:pPr>
        <w:widowControl/>
        <w:spacing w:line="320" w:lineRule="exact"/>
        <w:ind w:firstLine="482"/>
        <w:jc w:val="left"/>
        <w:rPr>
          <w:rFonts w:ascii="宋体" w:hAnsi="宋体" w:cs="宋体"/>
          <w:color w:val="auto"/>
          <w:kern w:val="0"/>
          <w:sz w:val="24"/>
        </w:rPr>
      </w:pPr>
    </w:p>
    <w:p w14:paraId="014A497A">
      <w:pPr>
        <w:widowControl/>
        <w:spacing w:line="320" w:lineRule="exact"/>
        <w:ind w:firstLine="482"/>
        <w:jc w:val="left"/>
        <w:rPr>
          <w:rFonts w:ascii="宋体" w:cs="宋体"/>
          <w:color w:val="auto"/>
          <w:kern w:val="0"/>
          <w:sz w:val="24"/>
          <w:u w:val="single"/>
        </w:rPr>
      </w:pPr>
      <w:r>
        <w:rPr>
          <w:rFonts w:hint="eastAsia" w:ascii="宋体" w:hAnsi="宋体" w:cs="宋体"/>
          <w:color w:val="auto"/>
          <w:kern w:val="0"/>
          <w:sz w:val="24"/>
        </w:rPr>
        <w:t>投标人：</w:t>
      </w:r>
      <w:r>
        <w:rPr>
          <w:rFonts w:hint="eastAsia" w:ascii="宋体" w:hAnsi="宋体" w:cs="宋体"/>
          <w:color w:val="auto"/>
          <w:kern w:val="0"/>
          <w:sz w:val="24"/>
          <w:u w:val="single"/>
        </w:rPr>
        <w:t xml:space="preserve">                                                        </w:t>
      </w:r>
    </w:p>
    <w:p w14:paraId="077F0FE0">
      <w:pPr>
        <w:widowControl/>
        <w:spacing w:line="320" w:lineRule="exact"/>
        <w:ind w:firstLine="482"/>
        <w:jc w:val="left"/>
        <w:rPr>
          <w:rFonts w:ascii="宋体" w:hAnsi="宋体" w:cs="宋体"/>
          <w:color w:val="auto"/>
          <w:kern w:val="0"/>
          <w:sz w:val="24"/>
        </w:rPr>
      </w:pPr>
    </w:p>
    <w:p w14:paraId="04BA8A17">
      <w:pPr>
        <w:widowControl/>
        <w:spacing w:line="320" w:lineRule="exact"/>
        <w:ind w:firstLine="482"/>
        <w:jc w:val="left"/>
        <w:rPr>
          <w:rFonts w:ascii="宋体" w:hAnsi="宋体" w:cs="宋体"/>
          <w:color w:val="auto"/>
          <w:kern w:val="0"/>
          <w:sz w:val="24"/>
          <w:u w:val="single"/>
        </w:rPr>
      </w:pPr>
      <w:r>
        <w:rPr>
          <w:rFonts w:hint="eastAsia" w:ascii="宋体" w:hAnsi="宋体" w:cs="宋体"/>
          <w:color w:val="auto"/>
          <w:kern w:val="0"/>
          <w:sz w:val="24"/>
        </w:rPr>
        <w:t>承诺人</w:t>
      </w:r>
      <w:r>
        <w:rPr>
          <w:rFonts w:hint="eastAsia" w:ascii="宋体" w:hAnsi="宋体" w:cs="宋体"/>
          <w:color w:val="auto"/>
          <w:sz w:val="24"/>
          <w:szCs w:val="24"/>
        </w:rPr>
        <w:t>（签字或盖章）</w:t>
      </w:r>
      <w:r>
        <w:rPr>
          <w:rFonts w:hint="eastAsia" w:ascii="宋体" w:hAnsi="宋体" w:cs="宋体"/>
          <w:color w:val="auto"/>
          <w:kern w:val="0"/>
          <w:sz w:val="24"/>
        </w:rPr>
        <w:t>：</w:t>
      </w:r>
      <w:r>
        <w:rPr>
          <w:rFonts w:hint="eastAsia" w:ascii="宋体" w:hAnsi="宋体" w:cs="宋体"/>
          <w:color w:val="auto"/>
          <w:kern w:val="0"/>
          <w:sz w:val="24"/>
          <w:u w:val="single"/>
        </w:rPr>
        <w:t xml:space="preserve">                 </w:t>
      </w:r>
    </w:p>
    <w:p w14:paraId="08BD60E0">
      <w:pPr>
        <w:widowControl/>
        <w:spacing w:line="320" w:lineRule="exact"/>
        <w:ind w:firstLine="482"/>
        <w:jc w:val="left"/>
        <w:rPr>
          <w:rFonts w:ascii="宋体" w:hAnsi="宋体" w:cs="宋体"/>
          <w:color w:val="auto"/>
          <w:kern w:val="0"/>
          <w:sz w:val="24"/>
          <w:u w:val="single"/>
        </w:rPr>
      </w:pPr>
    </w:p>
    <w:p w14:paraId="4B032CB1">
      <w:pPr>
        <w:ind w:firstLine="480" w:firstLineChars="200"/>
        <w:rPr>
          <w:color w:val="auto"/>
        </w:rPr>
      </w:pPr>
      <w:r>
        <w:rPr>
          <w:rFonts w:hint="eastAsia" w:ascii="宋体" w:hAnsi="宋体" w:cs="宋体"/>
          <w:color w:val="auto"/>
          <w:kern w:val="0"/>
          <w:sz w:val="24"/>
        </w:rPr>
        <w:t>承诺时间：</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p>
    <w:p w14:paraId="7CA870FF">
      <w:pPr>
        <w:spacing w:line="560" w:lineRule="exact"/>
        <w:ind w:right="-2"/>
        <w:jc w:val="center"/>
        <w:rPr>
          <w:rFonts w:hint="eastAsia" w:ascii="宋体" w:hAnsi="宋体" w:cs="宋体"/>
          <w:b/>
          <w:bCs/>
          <w:color w:val="auto"/>
          <w:sz w:val="32"/>
          <w:szCs w:val="32"/>
        </w:rPr>
        <w:sectPr>
          <w:pgSz w:w="11906" w:h="16838"/>
          <w:pgMar w:top="1219" w:right="1803" w:bottom="1219" w:left="1803" w:header="850" w:footer="992" w:gutter="0"/>
          <w:pgNumType w:fmt="decimal"/>
          <w:cols w:space="720" w:num="1"/>
          <w:rtlGutter w:val="0"/>
          <w:docGrid w:type="lines" w:linePitch="313" w:charSpace="0"/>
        </w:sectPr>
      </w:pPr>
    </w:p>
    <w:p w14:paraId="5C155187">
      <w:pPr>
        <w:spacing w:line="560" w:lineRule="exact"/>
        <w:ind w:right="-2"/>
        <w:jc w:val="center"/>
        <w:rPr>
          <w:rFonts w:hint="eastAsia" w:ascii="宋体" w:hAnsi="宋体" w:cs="宋体"/>
          <w:b/>
          <w:bCs/>
          <w:color w:val="auto"/>
          <w:kern w:val="0"/>
          <w:szCs w:val="16"/>
        </w:rPr>
      </w:pPr>
      <w:r>
        <w:rPr>
          <w:rFonts w:hint="eastAsia" w:ascii="宋体" w:hAnsi="宋体" w:cs="宋体"/>
          <w:b/>
          <w:bCs/>
          <w:color w:val="auto"/>
          <w:sz w:val="32"/>
          <w:szCs w:val="32"/>
        </w:rPr>
        <w:t>附件3  投标信用承诺书</w:t>
      </w:r>
    </w:p>
    <w:p w14:paraId="020B8F92">
      <w:pPr>
        <w:widowControl/>
        <w:spacing w:line="540" w:lineRule="exact"/>
        <w:jc w:val="left"/>
        <w:rPr>
          <w:rFonts w:ascii="宋体" w:cs="宋体"/>
          <w:color w:val="auto"/>
          <w:kern w:val="0"/>
          <w:sz w:val="24"/>
          <w:u w:val="single"/>
        </w:rPr>
      </w:pPr>
      <w:r>
        <w:rPr>
          <w:rFonts w:hint="eastAsia" w:ascii="宋体" w:hAnsi="宋体" w:cs="宋体"/>
          <w:color w:val="auto"/>
          <w:kern w:val="0"/>
          <w:sz w:val="24"/>
        </w:rPr>
        <w:t>项目</w:t>
      </w:r>
      <w:r>
        <w:rPr>
          <w:rFonts w:hint="eastAsia" w:hAnsi="宋体" w:cs="宋体"/>
          <w:color w:val="auto"/>
          <w:kern w:val="0"/>
          <w:sz w:val="24"/>
          <w:lang w:val="en-US" w:eastAsia="zh-CN"/>
        </w:rPr>
        <w:t>名称</w:t>
      </w:r>
      <w:r>
        <w:rPr>
          <w:rFonts w:hint="eastAsia" w:ascii="宋体" w:hAnsi="宋体" w:cs="宋体"/>
          <w:color w:val="auto"/>
          <w:kern w:val="0"/>
          <w:sz w:val="24"/>
        </w:rPr>
        <w:t>：</w:t>
      </w:r>
      <w:r>
        <w:rPr>
          <w:rFonts w:ascii="宋体" w:hAnsi="宋体" w:cs="宋体"/>
          <w:color w:val="auto"/>
          <w:kern w:val="0"/>
          <w:sz w:val="24"/>
          <w:u w:val="single"/>
        </w:rPr>
        <w:t xml:space="preserve">            </w:t>
      </w:r>
      <w:r>
        <w:rPr>
          <w:rFonts w:hint="eastAsia" w:ascii="宋体" w:hAnsi="宋体" w:cs="宋体"/>
          <w:color w:val="auto"/>
          <w:kern w:val="0"/>
          <w:sz w:val="24"/>
          <w:u w:val="single"/>
        </w:rPr>
        <w:t xml:space="preserve">  </w:t>
      </w:r>
      <w:r>
        <w:rPr>
          <w:rFonts w:ascii="宋体" w:hAnsi="宋体" w:cs="宋体"/>
          <w:color w:val="auto"/>
          <w:kern w:val="0"/>
          <w:sz w:val="24"/>
          <w:u w:val="single"/>
        </w:rPr>
        <w:t xml:space="preserve">                                                    </w:t>
      </w:r>
    </w:p>
    <w:p w14:paraId="2E04CADB">
      <w:pPr>
        <w:widowControl/>
        <w:spacing w:line="540" w:lineRule="exact"/>
        <w:jc w:val="left"/>
        <w:rPr>
          <w:rFonts w:ascii="宋体" w:hAnsi="宋体" w:cs="宋体"/>
          <w:color w:val="auto"/>
          <w:kern w:val="0"/>
          <w:sz w:val="24"/>
          <w:u w:val="single"/>
        </w:rPr>
      </w:pPr>
      <w:r>
        <w:rPr>
          <w:rFonts w:hint="eastAsia" w:ascii="宋体" w:hAnsi="宋体" w:cs="宋体"/>
          <w:color w:val="auto"/>
          <w:kern w:val="0"/>
          <w:sz w:val="24"/>
        </w:rPr>
        <w:t>投标人：</w:t>
      </w:r>
      <w:r>
        <w:rPr>
          <w:rFonts w:ascii="宋体" w:hAnsi="宋体" w:cs="宋体"/>
          <w:color w:val="auto"/>
          <w:kern w:val="0"/>
          <w:sz w:val="24"/>
          <w:u w:val="single"/>
        </w:rPr>
        <w:t xml:space="preserve">                                                                    </w:t>
      </w:r>
    </w:p>
    <w:p w14:paraId="3B0E8912">
      <w:pPr>
        <w:widowControl/>
        <w:spacing w:line="540" w:lineRule="exact"/>
        <w:jc w:val="left"/>
        <w:rPr>
          <w:rFonts w:ascii="宋体" w:hAnsi="宋体" w:cs="宋体"/>
          <w:color w:val="auto"/>
          <w:kern w:val="0"/>
          <w:sz w:val="24"/>
          <w:u w:val="single"/>
        </w:rPr>
      </w:pPr>
      <w:r>
        <w:rPr>
          <w:rFonts w:hint="eastAsia" w:ascii="宋体" w:hAnsi="宋体" w:cs="宋体"/>
          <w:color w:val="auto"/>
          <w:kern w:val="0"/>
          <w:sz w:val="24"/>
        </w:rPr>
        <w:t>统一社会信用代码：</w:t>
      </w:r>
      <w:r>
        <w:rPr>
          <w:rFonts w:ascii="宋体" w:hAnsi="宋体" w:cs="宋体"/>
          <w:color w:val="auto"/>
          <w:kern w:val="0"/>
          <w:sz w:val="24"/>
          <w:u w:val="single"/>
        </w:rPr>
        <w:t xml:space="preserve">                               </w:t>
      </w:r>
      <w:r>
        <w:rPr>
          <w:rFonts w:hint="eastAsia" w:ascii="宋体" w:hAnsi="宋体" w:cs="宋体"/>
          <w:color w:val="auto"/>
          <w:kern w:val="0"/>
          <w:sz w:val="24"/>
        </w:rPr>
        <w:t>法人代表：</w:t>
      </w:r>
      <w:r>
        <w:rPr>
          <w:rFonts w:ascii="宋体" w:hAnsi="宋体" w:cs="宋体"/>
          <w:color w:val="auto"/>
          <w:kern w:val="0"/>
          <w:sz w:val="24"/>
          <w:u w:val="single"/>
        </w:rPr>
        <w:t xml:space="preserve">                 </w:t>
      </w:r>
    </w:p>
    <w:p w14:paraId="7A0E20D6">
      <w:pPr>
        <w:widowControl/>
        <w:adjustRightInd w:val="0"/>
        <w:snapToGrid w:val="0"/>
        <w:spacing w:line="540" w:lineRule="exact"/>
        <w:ind w:firstLine="480" w:firstLineChars="200"/>
        <w:jc w:val="left"/>
        <w:rPr>
          <w:rFonts w:ascii="宋体" w:cs="宋体"/>
          <w:color w:val="auto"/>
          <w:kern w:val="0"/>
          <w:sz w:val="24"/>
        </w:rPr>
      </w:pPr>
      <w:r>
        <w:rPr>
          <w:rFonts w:hint="eastAsia" w:ascii="宋体" w:hAnsi="宋体" w:cs="宋体"/>
          <w:color w:val="auto"/>
          <w:kern w:val="0"/>
          <w:sz w:val="24"/>
        </w:rPr>
        <w:t>在本项目标段招投标活动中，我公司（单位）自愿作出以下投标信用承诺：</w:t>
      </w:r>
    </w:p>
    <w:p w14:paraId="7FB71395">
      <w:pPr>
        <w:widowControl/>
        <w:adjustRightInd w:val="0"/>
        <w:snapToGrid w:val="0"/>
        <w:spacing w:line="540" w:lineRule="exact"/>
        <w:ind w:firstLine="480" w:firstLineChars="200"/>
        <w:jc w:val="left"/>
        <w:rPr>
          <w:rFonts w:ascii="宋体" w:hAnsi="宋体" w:cs="宋体"/>
          <w:color w:val="auto"/>
          <w:kern w:val="0"/>
          <w:sz w:val="24"/>
        </w:rPr>
      </w:pPr>
      <w:r>
        <w:rPr>
          <w:rFonts w:hint="eastAsia" w:ascii="宋体" w:hAnsi="宋体" w:cs="宋体"/>
          <w:color w:val="auto"/>
          <w:kern w:val="0"/>
          <w:sz w:val="24"/>
        </w:rPr>
        <w:t>（一）能严格遵守法律法规、职业道德和行业规范。</w:t>
      </w:r>
    </w:p>
    <w:p w14:paraId="4F05D888">
      <w:pPr>
        <w:widowControl/>
        <w:adjustRightInd w:val="0"/>
        <w:snapToGrid w:val="0"/>
        <w:spacing w:line="540" w:lineRule="exact"/>
        <w:ind w:firstLine="480" w:firstLineChars="200"/>
        <w:jc w:val="left"/>
        <w:rPr>
          <w:rFonts w:ascii="宋体" w:cs="宋体"/>
          <w:color w:val="auto"/>
          <w:kern w:val="0"/>
          <w:sz w:val="24"/>
        </w:rPr>
      </w:pPr>
      <w:r>
        <w:rPr>
          <w:rFonts w:hint="eastAsia" w:ascii="宋体" w:hAnsi="宋体" w:cs="宋体"/>
          <w:color w:val="auto"/>
          <w:kern w:val="0"/>
          <w:sz w:val="24"/>
        </w:rPr>
        <w:t>（二）不得有以下违法违规行为：</w:t>
      </w:r>
      <w:r>
        <w:rPr>
          <w:rFonts w:ascii="宋体" w:hAnsi="宋体" w:cs="宋体"/>
          <w:color w:val="auto"/>
          <w:kern w:val="0"/>
          <w:sz w:val="24"/>
        </w:rPr>
        <w:t>1.</w:t>
      </w:r>
      <w:r>
        <w:rPr>
          <w:rFonts w:hint="eastAsia" w:ascii="宋体" w:hAnsi="宋体" w:cs="宋体"/>
          <w:color w:val="auto"/>
          <w:kern w:val="0"/>
          <w:sz w:val="24"/>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color w:val="auto"/>
          <w:kern w:val="0"/>
          <w:sz w:val="24"/>
        </w:rPr>
        <w:t>2.</w:t>
      </w:r>
      <w:r>
        <w:rPr>
          <w:rFonts w:hint="eastAsia" w:ascii="宋体" w:hAnsi="宋体" w:cs="宋体"/>
          <w:color w:val="auto"/>
          <w:kern w:val="0"/>
          <w:sz w:val="24"/>
        </w:rPr>
        <w:t>向招投标监督部门、交易中心、招标人、招标代理机构、评审委员会及其成员等当事主体赠送财物。</w:t>
      </w:r>
      <w:r>
        <w:rPr>
          <w:rFonts w:ascii="宋体" w:hAnsi="宋体" w:cs="宋体"/>
          <w:color w:val="auto"/>
          <w:kern w:val="0"/>
          <w:sz w:val="24"/>
        </w:rPr>
        <w:t>3.</w:t>
      </w:r>
      <w:r>
        <w:rPr>
          <w:rFonts w:hint="eastAsia" w:ascii="宋体" w:hAnsi="宋体" w:cs="宋体"/>
          <w:color w:val="auto"/>
          <w:kern w:val="0"/>
          <w:sz w:val="24"/>
        </w:rPr>
        <w:t>投标截止后至中标人确定前，修改或者撤销投标文件。</w:t>
      </w:r>
      <w:r>
        <w:rPr>
          <w:rFonts w:ascii="宋体" w:hAnsi="宋体" w:cs="宋体"/>
          <w:color w:val="auto"/>
          <w:kern w:val="0"/>
          <w:sz w:val="24"/>
        </w:rPr>
        <w:t>4.</w:t>
      </w:r>
      <w:r>
        <w:rPr>
          <w:rFonts w:hint="eastAsia" w:ascii="宋体" w:hAnsi="宋体" w:cs="宋体"/>
          <w:color w:val="auto"/>
          <w:kern w:val="0"/>
          <w:sz w:val="24"/>
        </w:rPr>
        <w:t>在被确定为中标人后无正当理由：不按照招标文件和投标文件与招标人签订合同；在签订合同时向招标人提出附加条件、或者改变投标文件的实质性内容；放弃中标；不按照招标文件的规定提交履约保证金。</w:t>
      </w:r>
      <w:r>
        <w:rPr>
          <w:rFonts w:ascii="宋体" w:hAnsi="宋体" w:cs="宋体"/>
          <w:color w:val="auto"/>
          <w:kern w:val="0"/>
          <w:sz w:val="24"/>
        </w:rPr>
        <w:t>5.</w:t>
      </w:r>
      <w:r>
        <w:rPr>
          <w:rFonts w:hint="eastAsia" w:ascii="宋体" w:hAnsi="宋体" w:cs="宋体"/>
          <w:color w:val="auto"/>
          <w:kern w:val="0"/>
          <w:sz w:val="24"/>
        </w:rPr>
        <w:t>招投标法规定的其它违法违规行为。</w:t>
      </w:r>
    </w:p>
    <w:p w14:paraId="2E54E5F7">
      <w:pPr>
        <w:widowControl/>
        <w:adjustRightInd w:val="0"/>
        <w:snapToGrid w:val="0"/>
        <w:spacing w:line="540" w:lineRule="exact"/>
        <w:ind w:firstLine="480" w:firstLineChars="200"/>
        <w:jc w:val="left"/>
        <w:rPr>
          <w:rFonts w:ascii="宋体" w:cs="宋体"/>
          <w:color w:val="auto"/>
          <w:kern w:val="0"/>
          <w:sz w:val="24"/>
        </w:rPr>
      </w:pPr>
      <w:r>
        <w:rPr>
          <w:rFonts w:hint="eastAsia" w:ascii="宋体" w:hAnsi="宋体" w:cs="宋体"/>
          <w:color w:val="auto"/>
          <w:kern w:val="0"/>
          <w:sz w:val="24"/>
        </w:rPr>
        <w:t>（三）若我公司（单位）及相关参与人员违背以上承诺事项，即被视为失信企业（法人），依据《关于对公共资源交易领域严重失信主体开展联合惩戒的备忘录》（发改法规</w:t>
      </w:r>
      <w:r>
        <w:rPr>
          <w:rFonts w:ascii="宋体" w:hAnsi="宋体" w:cs="宋体"/>
          <w:color w:val="auto"/>
          <w:kern w:val="0"/>
          <w:sz w:val="24"/>
        </w:rPr>
        <w:t>[2018]457</w:t>
      </w:r>
      <w:r>
        <w:rPr>
          <w:rFonts w:hint="eastAsia" w:ascii="宋体" w:hAnsi="宋体" w:cs="宋体"/>
          <w:color w:val="auto"/>
          <w:kern w:val="0"/>
          <w:sz w:val="24"/>
        </w:rPr>
        <w:t>号），自愿接受</w:t>
      </w:r>
      <w:r>
        <w:rPr>
          <w:rFonts w:ascii="宋体" w:hAnsi="宋体" w:cs="宋体"/>
          <w:color w:val="auto"/>
          <w:kern w:val="0"/>
          <w:sz w:val="24"/>
        </w:rPr>
        <w:t>1</w:t>
      </w:r>
      <w:r>
        <w:rPr>
          <w:rFonts w:hint="eastAsia" w:ascii="宋体" w:hAnsi="宋体" w:cs="宋体"/>
          <w:color w:val="auto"/>
          <w:kern w:val="0"/>
          <w:sz w:val="24"/>
        </w:rPr>
        <w:t>至</w:t>
      </w:r>
      <w:r>
        <w:rPr>
          <w:rFonts w:ascii="宋体" w:hAnsi="宋体" w:cs="宋体"/>
          <w:color w:val="auto"/>
          <w:kern w:val="0"/>
          <w:sz w:val="24"/>
        </w:rPr>
        <w:t>3</w:t>
      </w:r>
      <w:r>
        <w:rPr>
          <w:rFonts w:hint="eastAsia" w:ascii="宋体" w:hAnsi="宋体" w:cs="宋体"/>
          <w:color w:val="auto"/>
          <w:kern w:val="0"/>
          <w:sz w:val="24"/>
        </w:rPr>
        <w:t>年内限制参与公共资源交易活动。</w:t>
      </w:r>
    </w:p>
    <w:p w14:paraId="7C6B50CA">
      <w:pPr>
        <w:widowControl/>
        <w:adjustRightInd w:val="0"/>
        <w:snapToGrid w:val="0"/>
        <w:spacing w:line="540" w:lineRule="exact"/>
        <w:ind w:firstLine="480" w:firstLineChars="200"/>
        <w:jc w:val="left"/>
        <w:rPr>
          <w:rFonts w:ascii="宋体" w:hAnsi="宋体" w:cs="宋体"/>
          <w:color w:val="auto"/>
          <w:kern w:val="0"/>
          <w:sz w:val="24"/>
        </w:rPr>
      </w:pPr>
    </w:p>
    <w:p w14:paraId="222D24FA">
      <w:pPr>
        <w:widowControl/>
        <w:tabs>
          <w:tab w:val="left" w:pos="4395"/>
        </w:tabs>
        <w:adjustRightInd w:val="0"/>
        <w:snapToGrid w:val="0"/>
        <w:spacing w:line="500" w:lineRule="exact"/>
        <w:ind w:firstLine="480" w:firstLineChars="200"/>
        <w:jc w:val="left"/>
        <w:rPr>
          <w:rFonts w:ascii="宋体" w:cs="宋体"/>
          <w:color w:val="auto"/>
          <w:kern w:val="0"/>
          <w:sz w:val="24"/>
        </w:rPr>
      </w:pPr>
      <w:r>
        <w:rPr>
          <w:rFonts w:hint="eastAsia" w:ascii="宋体" w:hAnsi="宋体" w:cs="宋体"/>
          <w:color w:val="auto"/>
          <w:kern w:val="0"/>
          <w:sz w:val="24"/>
        </w:rPr>
        <w:t>法定代表人（</w:t>
      </w:r>
      <w:r>
        <w:rPr>
          <w:rFonts w:hint="eastAsia" w:hAnsi="宋体" w:cs="宋体"/>
          <w:color w:val="auto"/>
          <w:kern w:val="0"/>
          <w:sz w:val="24"/>
          <w:szCs w:val="24"/>
          <w:lang w:val="en-US" w:eastAsia="zh-CN"/>
        </w:rPr>
        <w:t>签字或盖章</w:t>
      </w:r>
      <w:r>
        <w:rPr>
          <w:rFonts w:hint="eastAsia" w:ascii="宋体" w:hAnsi="宋体" w:cs="宋体"/>
          <w:color w:val="auto"/>
          <w:kern w:val="0"/>
          <w:sz w:val="24"/>
        </w:rPr>
        <w:t>）：</w:t>
      </w:r>
      <w:r>
        <w:rPr>
          <w:rFonts w:ascii="宋体" w:hAnsi="宋体" w:cs="宋体"/>
          <w:color w:val="auto"/>
          <w:kern w:val="0"/>
          <w:sz w:val="24"/>
        </w:rPr>
        <w:t xml:space="preserve">             </w:t>
      </w:r>
      <w:r>
        <w:rPr>
          <w:rFonts w:hint="eastAsia" w:ascii="宋体" w:hAnsi="宋体" w:cs="宋体"/>
          <w:color w:val="auto"/>
          <w:kern w:val="0"/>
          <w:sz w:val="24"/>
        </w:rPr>
        <w:t>投标人（盖章）：</w:t>
      </w:r>
    </w:p>
    <w:p w14:paraId="7B08C81F">
      <w:pPr>
        <w:adjustRightInd w:val="0"/>
        <w:snapToGrid w:val="0"/>
        <w:spacing w:line="500" w:lineRule="exact"/>
        <w:rPr>
          <w:rFonts w:ascii="宋体" w:hAnsi="宋体" w:cs="宋体"/>
          <w:b/>
          <w:color w:val="auto"/>
          <w:kern w:val="0"/>
          <w:sz w:val="24"/>
        </w:rPr>
      </w:pPr>
    </w:p>
    <w:p w14:paraId="76FFD519">
      <w:pPr>
        <w:adjustRightInd w:val="0"/>
        <w:snapToGrid w:val="0"/>
        <w:spacing w:line="500" w:lineRule="exact"/>
        <w:ind w:firstLine="4440" w:firstLineChars="1850"/>
        <w:rPr>
          <w:rFonts w:ascii="宋体" w:hAnsi="宋体" w:cs="宋体"/>
          <w:b/>
          <w:color w:val="auto"/>
          <w:kern w:val="0"/>
          <w:sz w:val="24"/>
        </w:rPr>
      </w:pPr>
      <w:r>
        <w:rPr>
          <w:rFonts w:hint="eastAsia" w:ascii="宋体" w:hAnsi="宋体" w:cs="宋体"/>
          <w:color w:val="auto"/>
          <w:kern w:val="0"/>
          <w:sz w:val="24"/>
        </w:rPr>
        <w:t>承诺时间：</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p>
    <w:p w14:paraId="4B2569E5">
      <w:pPr>
        <w:pStyle w:val="4"/>
        <w:spacing w:line="240" w:lineRule="auto"/>
        <w:jc w:val="center"/>
        <w:rPr>
          <w:rFonts w:hint="eastAsia" w:ascii="宋体" w:hAnsi="宋体" w:eastAsia="宋体" w:cs="宋体"/>
          <w:color w:val="auto"/>
          <w:kern w:val="0"/>
          <w:sz w:val="24"/>
          <w:lang w:val="en-US" w:eastAsia="zh-CN"/>
        </w:rPr>
      </w:pPr>
    </w:p>
    <w:p w14:paraId="6F5B3F00">
      <w:pPr>
        <w:pStyle w:val="4"/>
        <w:spacing w:line="240" w:lineRule="auto"/>
        <w:ind w:left="0" w:leftChars="0" w:firstLine="0" w:firstLineChars="0"/>
        <w:jc w:val="both"/>
        <w:rPr>
          <w:rFonts w:hint="eastAsia" w:ascii="宋体" w:hAnsi="宋体" w:eastAsia="宋体" w:cs="宋体"/>
          <w:b/>
          <w:color w:val="auto"/>
          <w:kern w:val="0"/>
          <w:sz w:val="24"/>
          <w:lang w:val="en-US" w:eastAsia="zh-CN"/>
        </w:rPr>
      </w:pP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rPr>
        <w:t>说明：本承诺书效力和作用等</w:t>
      </w:r>
      <w:r>
        <w:rPr>
          <w:rFonts w:hint="eastAsia" w:ascii="宋体" w:hAnsi="宋体" w:eastAsia="宋体" w:cs="宋体"/>
          <w:b/>
          <w:color w:val="auto"/>
          <w:kern w:val="0"/>
          <w:sz w:val="24"/>
        </w:rPr>
        <w:t>同投标保证金，其有效期与投标有效期一致</w:t>
      </w:r>
      <w:r>
        <w:rPr>
          <w:rFonts w:hint="eastAsia" w:ascii="宋体" w:hAnsi="宋体" w:eastAsia="宋体" w:cs="宋体"/>
          <w:b/>
          <w:color w:val="auto"/>
          <w:kern w:val="0"/>
          <w:sz w:val="24"/>
          <w:lang w:eastAsia="zh-CN"/>
        </w:rPr>
        <w:t>。</w:t>
      </w:r>
    </w:p>
    <w:p w14:paraId="1AD82E30">
      <w:pPr>
        <w:pStyle w:val="4"/>
        <w:spacing w:line="240" w:lineRule="auto"/>
        <w:jc w:val="both"/>
        <w:rPr>
          <w:rFonts w:hint="eastAsia" w:ascii="宋体" w:hAnsi="宋体" w:eastAsia="宋体" w:cs="宋体"/>
          <w:color w:val="auto"/>
        </w:rPr>
        <w:sectPr>
          <w:pgSz w:w="11906" w:h="16838"/>
          <w:pgMar w:top="1219" w:right="1803" w:bottom="1219" w:left="1803" w:header="850" w:footer="992" w:gutter="0"/>
          <w:pgNumType w:fmt="decimal"/>
          <w:cols w:space="720" w:num="1"/>
          <w:rtlGutter w:val="0"/>
          <w:docGrid w:type="lines" w:linePitch="313" w:charSpace="0"/>
        </w:sectPr>
      </w:pPr>
      <w:r>
        <w:rPr>
          <w:rFonts w:hint="eastAsia" w:ascii="宋体" w:hAnsi="宋体" w:eastAsia="宋体" w:cs="宋体"/>
          <w:b/>
          <w:color w:val="auto"/>
          <w:kern w:val="0"/>
          <w:sz w:val="24"/>
        </w:rPr>
        <w:t xml:space="preserve"> </w:t>
      </w:r>
      <w:r>
        <w:rPr>
          <w:rFonts w:ascii="宋体" w:hAnsi="宋体" w:cs="宋体"/>
          <w:color w:val="auto"/>
          <w:kern w:val="0"/>
          <w:sz w:val="24"/>
        </w:rPr>
        <w:t xml:space="preserve">   </w:t>
      </w:r>
    </w:p>
    <w:p w14:paraId="348B429D">
      <w:pPr>
        <w:pStyle w:val="4"/>
        <w:spacing w:line="240" w:lineRule="auto"/>
        <w:jc w:val="center"/>
        <w:rPr>
          <w:color w:val="auto"/>
        </w:rPr>
      </w:pPr>
      <w:r>
        <w:rPr>
          <w:rFonts w:hint="eastAsia" w:ascii="宋体" w:hAnsi="宋体" w:eastAsia="宋体" w:cs="宋体"/>
          <w:color w:val="auto"/>
        </w:rPr>
        <w:t>附件4  关于信用承诺网上公示的通知及操作指南</w:t>
      </w:r>
    </w:p>
    <w:p w14:paraId="17EF0726">
      <w:pPr>
        <w:pStyle w:val="66"/>
        <w:ind w:left="0" w:leftChars="0" w:firstLine="0" w:firstLineChars="0"/>
        <w:rPr>
          <w:rFonts w:hint="default"/>
          <w:b/>
          <w:bCs/>
          <w:lang w:val="en-US" w:eastAsia="zh-CN"/>
        </w:rPr>
      </w:pPr>
      <w:r>
        <w:rPr>
          <w:rFonts w:hint="eastAsia" w:ascii="宋体" w:hAnsi="宋体" w:eastAsia="宋体" w:cs="宋体"/>
          <w:color w:val="auto"/>
          <w:lang w:val="en-US" w:eastAsia="zh-CN"/>
        </w:rPr>
        <w:drawing>
          <wp:inline distT="0" distB="0" distL="114300" distR="114300">
            <wp:extent cx="5676265" cy="3564890"/>
            <wp:effectExtent l="0" t="0" r="635" b="16510"/>
            <wp:docPr id="3" name="图片 1" descr="2068b17ab7a423a7fe6b5eb44d1c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2068b17ab7a423a7fe6b5eb44d1c156"/>
                    <pic:cNvPicPr>
                      <a:picLocks noChangeAspect="1"/>
                    </pic:cNvPicPr>
                  </pic:nvPicPr>
                  <pic:blipFill>
                    <a:blip r:embed="rId14"/>
                    <a:stretch>
                      <a:fillRect/>
                    </a:stretch>
                  </pic:blipFill>
                  <pic:spPr>
                    <a:xfrm>
                      <a:off x="0" y="0"/>
                      <a:ext cx="5676265" cy="3564890"/>
                    </a:xfrm>
                    <a:prstGeom prst="rect">
                      <a:avLst/>
                    </a:prstGeom>
                    <a:noFill/>
                    <a:ln>
                      <a:noFill/>
                    </a:ln>
                  </pic:spPr>
                </pic:pic>
              </a:graphicData>
            </a:graphic>
          </wp:inline>
        </w:drawing>
      </w:r>
    </w:p>
    <w:p w14:paraId="5919B7FE">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r>
        <w:drawing>
          <wp:inline distT="0" distB="0" distL="114300" distR="114300">
            <wp:extent cx="5700395" cy="3401060"/>
            <wp:effectExtent l="0" t="0" r="14605" b="889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5"/>
                    <a:stretch>
                      <a:fillRect/>
                    </a:stretch>
                  </pic:blipFill>
                  <pic:spPr>
                    <a:xfrm>
                      <a:off x="0" y="0"/>
                      <a:ext cx="5700395" cy="3401060"/>
                    </a:xfrm>
                    <a:prstGeom prst="rect">
                      <a:avLst/>
                    </a:prstGeom>
                    <a:noFill/>
                    <a:ln>
                      <a:noFill/>
                    </a:ln>
                  </pic:spPr>
                </pic:pic>
              </a:graphicData>
            </a:graphic>
          </wp:inline>
        </w:drawing>
      </w:r>
    </w:p>
    <w:p w14:paraId="1627C93B">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pPr>
      <w:r>
        <w:drawing>
          <wp:inline distT="0" distB="0" distL="114300" distR="114300">
            <wp:extent cx="5474335" cy="3167380"/>
            <wp:effectExtent l="0" t="0" r="12065" b="1397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6"/>
                    <a:stretch>
                      <a:fillRect/>
                    </a:stretch>
                  </pic:blipFill>
                  <pic:spPr>
                    <a:xfrm>
                      <a:off x="0" y="0"/>
                      <a:ext cx="5474335" cy="3167380"/>
                    </a:xfrm>
                    <a:prstGeom prst="rect">
                      <a:avLst/>
                    </a:prstGeom>
                    <a:noFill/>
                    <a:ln>
                      <a:noFill/>
                    </a:ln>
                  </pic:spPr>
                </pic:pic>
              </a:graphicData>
            </a:graphic>
          </wp:inline>
        </w:drawing>
      </w:r>
      <w:r>
        <w:drawing>
          <wp:inline distT="0" distB="0" distL="114300" distR="114300">
            <wp:extent cx="5497830" cy="2268220"/>
            <wp:effectExtent l="0" t="0" r="7620" b="1778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7"/>
                    <a:stretch>
                      <a:fillRect/>
                    </a:stretch>
                  </pic:blipFill>
                  <pic:spPr>
                    <a:xfrm>
                      <a:off x="0" y="0"/>
                      <a:ext cx="5497830" cy="2268220"/>
                    </a:xfrm>
                    <a:prstGeom prst="rect">
                      <a:avLst/>
                    </a:prstGeom>
                    <a:noFill/>
                    <a:ln>
                      <a:noFill/>
                    </a:ln>
                  </pic:spPr>
                </pic:pic>
              </a:graphicData>
            </a:graphic>
          </wp:inline>
        </w:drawing>
      </w:r>
      <w:r>
        <w:drawing>
          <wp:inline distT="0" distB="0" distL="114300" distR="114300">
            <wp:extent cx="5549900" cy="2482215"/>
            <wp:effectExtent l="0" t="0" r="12700" b="1333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8"/>
                    <a:stretch>
                      <a:fillRect/>
                    </a:stretch>
                  </pic:blipFill>
                  <pic:spPr>
                    <a:xfrm>
                      <a:off x="0" y="0"/>
                      <a:ext cx="5549900" cy="2482215"/>
                    </a:xfrm>
                    <a:prstGeom prst="rect">
                      <a:avLst/>
                    </a:prstGeom>
                    <a:noFill/>
                    <a:ln>
                      <a:noFill/>
                    </a:ln>
                  </pic:spPr>
                </pic:pic>
              </a:graphicData>
            </a:graphic>
          </wp:inline>
        </w:drawing>
      </w:r>
    </w:p>
    <w:p w14:paraId="44C930CB">
      <w:pPr>
        <w:pStyle w:val="66"/>
        <w:rPr>
          <w:rFonts w:hint="eastAsia" w:ascii="宋体" w:hAnsi="宋体" w:cs="宋体"/>
        </w:rPr>
      </w:pPr>
      <w:r>
        <w:rPr>
          <w:rFonts w:hint="eastAsia"/>
          <w:b/>
          <w:bCs/>
          <w:lang w:val="en-US" w:eastAsia="zh-CN"/>
        </w:rPr>
        <w:t>委托人承诺为个人登录</w:t>
      </w:r>
    </w:p>
    <w:p w14:paraId="3AEDE464">
      <w:pPr>
        <w:pStyle w:val="3"/>
        <w:jc w:val="center"/>
        <w:rPr>
          <w:rFonts w:hAnsi="宋体"/>
          <w:color w:val="auto"/>
          <w:szCs w:val="24"/>
        </w:rPr>
      </w:pPr>
    </w:p>
    <w:sectPr>
      <w:footerReference r:id="rId11" w:type="default"/>
      <w:pgSz w:w="11906" w:h="16838"/>
      <w:pgMar w:top="1418" w:right="1418" w:bottom="1418" w:left="1701"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pperplate Gothic Bold">
    <w:panose1 w:val="020E0705020206020404"/>
    <w:charset w:val="00"/>
    <w:family w:val="swiss"/>
    <w:pitch w:val="default"/>
    <w:sig w:usb0="00000003" w:usb1="00000000" w:usb2="00000000" w:usb3="00000000" w:csb0="20000001" w:csb1="00000000"/>
  </w:font>
  <w:font w:name="Consolas">
    <w:panose1 w:val="020B0609020204030204"/>
    <w:charset w:val="00"/>
    <w:family w:val="auto"/>
    <w:pitch w:val="default"/>
    <w:sig w:usb0="E00006FF" w:usb1="0000FCFF" w:usb2="00000001" w:usb3="00000000" w:csb0="6000019F" w:csb1="DFD70000"/>
  </w:font>
  <w:font w:name="AGYXIQ+Frutiger-Cn">
    <w:altName w:val="宋体"/>
    <w:panose1 w:val="020B0604020202020204"/>
    <w:charset w:val="86"/>
    <w:family w:val="swiss"/>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新宋体">
    <w:panose1 w:val="02010609030101010101"/>
    <w:charset w:val="86"/>
    <w:family w:val="modern"/>
    <w:pitch w:val="default"/>
    <w:sig w:usb0="00000203" w:usb1="288F0000" w:usb2="00000006"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SourceHanSansCN-Regular">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幼圆">
    <w:panose1 w:val="02010509060101010101"/>
    <w:charset w:val="86"/>
    <w:family w:val="modern"/>
    <w:pitch w:val="default"/>
    <w:sig w:usb0="00000001" w:usb1="080E0000" w:usb2="00000000" w:usb3="00000000" w:csb0="00040000" w:csb1="00000000"/>
  </w:font>
  <w:font w:name="思源宋体 CN Light">
    <w:altName w:val="宋体"/>
    <w:panose1 w:val="02020300000000000000"/>
    <w:charset w:val="86"/>
    <w:family w:val="auto"/>
    <w:pitch w:val="default"/>
    <w:sig w:usb0="00000000" w:usb1="00000000" w:usb2="00000016" w:usb3="00000000" w:csb0="60060107" w:csb1="00000000"/>
  </w:font>
  <w:font w:name="华文中宋">
    <w:panose1 w:val="02010600040101010101"/>
    <w:charset w:val="86"/>
    <w:family w:val="auto"/>
    <w:pitch w:val="default"/>
    <w:sig w:usb0="00000287" w:usb1="080F0000" w:usb2="00000000" w:usb3="00000000" w:csb0="0004009F" w:csb1="DFD70000"/>
  </w:font>
  <w:font w:name="KSOFE4500885">
    <w:panose1 w:val="02010609060101010101"/>
    <w:charset w:val="86"/>
    <w:family w:val="auto"/>
    <w:pitch w:val="default"/>
    <w:sig w:usb0="00000001"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5B201">
    <w:pPr>
      <w:pStyle w:val="28"/>
      <w:jc w:val="both"/>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17BB4">
    <w:pPr>
      <w:pStyle w:val="28"/>
      <w:jc w:val="both"/>
    </w:pPr>
    <w:r>
      <w:rPr>
        <w:rFonts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E7D5B">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85149">
    <w:pPr>
      <w:pStyle w:val="2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576ADC">
                          <w:pPr>
                            <w:pStyle w:val="2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F576ADC">
                    <w:pPr>
                      <w:pStyle w:val="2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1B5A6">
    <w:pPr>
      <w:pStyle w:val="28"/>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1D6FF">
    <w:pPr>
      <w:pStyle w:val="28"/>
      <w:ind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7D99B7C1">
                          <w:pPr>
                            <w:pStyle w:val="28"/>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156</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aGmCS9MAAAAFAQAADwAAAAAAAAABACAAAAAi&#10;AAAAZHJzL2Rvd25yZXYueG1sUEsBAhQAFAAAAAgAh07iQKHk7unWAQAAswMAAA4AAAAAAAAAAQAg&#10;AAAAIgEAAGRycy9lMm9Eb2MueG1sUEsFBgAAAAAGAAYAWQEAAGoFAAAAAA==&#10;">
              <v:fill on="f" focussize="0,0"/>
              <v:stroke on="f" weight="1.25pt"/>
              <v:imagedata o:title=""/>
              <o:lock v:ext="edit" aspectratio="f"/>
              <v:textbox inset="0mm,0mm,0mm,0mm" style="mso-fit-shape-to-text:t;">
                <w:txbxContent>
                  <w:p w14:paraId="7D99B7C1">
                    <w:pPr>
                      <w:pStyle w:val="28"/>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156</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5DEFF">
    <w:pPr>
      <w:pStyle w:val="28"/>
      <w:jc w:val="both"/>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779104">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779104">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C7600">
    <w:pPr>
      <w:spacing w:line="500" w:lineRule="exact"/>
      <w:ind w:left="1530" w:hanging="1530" w:hangingChars="850"/>
      <w:rPr>
        <w:rFonts w:hAnsi="宋体" w:cs="宋体"/>
        <w:szCs w:val="24"/>
      </w:rPr>
    </w:pPr>
    <w:r>
      <w:rPr>
        <w:rFonts w:hint="eastAsia" w:hAnsi="宋体"/>
        <w:bCs/>
        <w:sz w:val="18"/>
        <w:szCs w:val="18"/>
        <w:u w:val="single"/>
        <w:lang w:eastAsia="zh-CN"/>
      </w:rPr>
      <w:t>榆林市商务局采购环卫所办公场所装修工程项目</w:t>
    </w:r>
    <w:r>
      <w:rPr>
        <w:rFonts w:hint="eastAsia" w:hAnsi="宋体"/>
        <w:bCs/>
        <w:sz w:val="18"/>
        <w:szCs w:val="18"/>
        <w:u w:val="single"/>
      </w:rPr>
      <w:t xml:space="preserve">                   </w:t>
    </w:r>
    <w:r>
      <w:rPr>
        <w:rFonts w:hint="eastAsia" w:hAnsi="宋体"/>
        <w:bCs/>
        <w:sz w:val="18"/>
        <w:szCs w:val="18"/>
        <w:u w:val="single"/>
        <w:lang w:val="en-US" w:eastAsia="zh-CN"/>
      </w:rPr>
      <w:t xml:space="preserve">               </w:t>
    </w:r>
    <w:r>
      <w:rPr>
        <w:rFonts w:hint="eastAsia" w:hAnsi="宋体"/>
        <w:bCs/>
        <w:sz w:val="18"/>
        <w:szCs w:val="18"/>
        <w:u w:val="single"/>
      </w:rPr>
      <w:t xml:space="preserve"> 竞争性磋商文件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9BD09">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1B9B2A"/>
    <w:multiLevelType w:val="singleLevel"/>
    <w:tmpl w:val="A31B9B2A"/>
    <w:lvl w:ilvl="0" w:tentative="0">
      <w:start w:val="1"/>
      <w:numFmt w:val="decimal"/>
      <w:suff w:val="nothing"/>
      <w:lvlText w:val="%1、"/>
      <w:lvlJc w:val="left"/>
    </w:lvl>
  </w:abstractNum>
  <w:abstractNum w:abstractNumId="1">
    <w:nsid w:val="A886C2BE"/>
    <w:multiLevelType w:val="singleLevel"/>
    <w:tmpl w:val="A886C2BE"/>
    <w:lvl w:ilvl="0" w:tentative="0">
      <w:start w:val="4"/>
      <w:numFmt w:val="chineseCounting"/>
      <w:suff w:val="nothing"/>
      <w:lvlText w:val="%1、"/>
      <w:lvlJc w:val="left"/>
      <w:rPr>
        <w:rFonts w:hint="eastAsia"/>
      </w:rPr>
    </w:lvl>
  </w:abstractNum>
  <w:abstractNum w:abstractNumId="2">
    <w:nsid w:val="AE6F79D6"/>
    <w:multiLevelType w:val="singleLevel"/>
    <w:tmpl w:val="AE6F79D6"/>
    <w:lvl w:ilvl="0" w:tentative="0">
      <w:start w:val="1"/>
      <w:numFmt w:val="decimal"/>
      <w:suff w:val="nothing"/>
      <w:lvlText w:val="%1）"/>
      <w:lvlJc w:val="left"/>
    </w:lvl>
  </w:abstractNum>
  <w:abstractNum w:abstractNumId="3">
    <w:nsid w:val="F77F6E0C"/>
    <w:multiLevelType w:val="singleLevel"/>
    <w:tmpl w:val="F77F6E0C"/>
    <w:lvl w:ilvl="0" w:tentative="0">
      <w:start w:val="1"/>
      <w:numFmt w:val="decimal"/>
      <w:lvlText w:val="%1."/>
      <w:lvlJc w:val="left"/>
      <w:pPr>
        <w:ind w:left="425" w:hanging="425"/>
      </w:pPr>
      <w:rPr>
        <w:rFonts w:hint="default"/>
      </w:rPr>
    </w:lvl>
  </w:abstractNum>
  <w:abstractNum w:abstractNumId="4">
    <w:nsid w:val="00000002"/>
    <w:multiLevelType w:val="multilevel"/>
    <w:tmpl w:val="00000002"/>
    <w:lvl w:ilvl="0" w:tentative="0">
      <w:start w:val="1"/>
      <w:numFmt w:val="decimal"/>
      <w:pStyle w:val="121"/>
      <w:lvlText w:val="%1. "/>
      <w:lvlJc w:val="left"/>
      <w:pPr>
        <w:tabs>
          <w:tab w:val="left" w:pos="839"/>
        </w:tabs>
        <w:ind w:left="839" w:hanging="419"/>
      </w:pPr>
      <w:rPr>
        <w:rFonts w:hint="eastAsia"/>
      </w:rPr>
    </w:lvl>
    <w:lvl w:ilvl="1" w:tentative="0">
      <w:start w:val="1"/>
      <w:numFmt w:val="upperLetter"/>
      <w:pStyle w:val="88"/>
      <w:lvlText w:val="%2. "/>
      <w:lvlJc w:val="left"/>
      <w:pPr>
        <w:tabs>
          <w:tab w:val="left" w:pos="1049"/>
        </w:tabs>
        <w:ind w:left="1049" w:hanging="420"/>
      </w:pPr>
      <w:rPr>
        <w:rFonts w:hint="eastAsia"/>
      </w:rPr>
    </w:lvl>
    <w:lvl w:ilvl="2" w:tentative="0">
      <w:start w:val="1"/>
      <w:numFmt w:val="lowerLetter"/>
      <w:pStyle w:val="112"/>
      <w:lvlText w:val="%3. "/>
      <w:lvlJc w:val="left"/>
      <w:pPr>
        <w:tabs>
          <w:tab w:val="left" w:pos="1259"/>
        </w:tabs>
        <w:ind w:left="1259" w:hanging="420"/>
      </w:pPr>
      <w:rPr>
        <w:rFonts w:hint="eastAsia"/>
      </w:rPr>
    </w:lvl>
    <w:lvl w:ilvl="3" w:tentative="0">
      <w:start w:val="1"/>
      <w:numFmt w:val="lowerLetter"/>
      <w:pStyle w:val="101"/>
      <w:lvlText w:val="%4) "/>
      <w:lvlJc w:val="left"/>
      <w:pPr>
        <w:tabs>
          <w:tab w:val="left" w:pos="1469"/>
        </w:tabs>
        <w:ind w:left="1469" w:hanging="420"/>
      </w:pPr>
      <w:rPr>
        <w:rFonts w:hint="eastAsia"/>
      </w:rPr>
    </w:lvl>
    <w:lvl w:ilvl="4" w:tentative="0">
      <w:start w:val="1"/>
      <w:numFmt w:val="none"/>
      <w:suff w:val="nothing"/>
      <w:lvlText w:val=""/>
      <w:lvlJc w:val="left"/>
      <w:pPr>
        <w:ind w:left="1259" w:firstLine="0"/>
      </w:pPr>
      <w:rPr>
        <w:rFonts w:hint="eastAsia"/>
      </w:rPr>
    </w:lvl>
    <w:lvl w:ilvl="5" w:tentative="0">
      <w:start w:val="1"/>
      <w:numFmt w:val="none"/>
      <w:suff w:val="nothing"/>
      <w:lvlText w:val=""/>
      <w:lvlJc w:val="left"/>
      <w:pPr>
        <w:ind w:left="1259" w:firstLine="0"/>
      </w:pPr>
      <w:rPr>
        <w:rFonts w:hint="eastAsia"/>
      </w:rPr>
    </w:lvl>
    <w:lvl w:ilvl="6" w:tentative="0">
      <w:start w:val="1"/>
      <w:numFmt w:val="none"/>
      <w:suff w:val="nothing"/>
      <w:lvlText w:val=""/>
      <w:lvlJc w:val="left"/>
      <w:pPr>
        <w:ind w:left="1259" w:firstLine="0"/>
      </w:pPr>
      <w:rPr>
        <w:rFonts w:hint="eastAsia"/>
      </w:rPr>
    </w:lvl>
    <w:lvl w:ilvl="7" w:tentative="0">
      <w:start w:val="1"/>
      <w:numFmt w:val="none"/>
      <w:suff w:val="nothing"/>
      <w:lvlText w:val=""/>
      <w:lvlJc w:val="left"/>
      <w:pPr>
        <w:ind w:left="1259" w:firstLine="0"/>
      </w:pPr>
      <w:rPr>
        <w:rFonts w:hint="eastAsia"/>
      </w:rPr>
    </w:lvl>
    <w:lvl w:ilvl="8" w:tentative="0">
      <w:start w:val="1"/>
      <w:numFmt w:val="none"/>
      <w:suff w:val="nothing"/>
      <w:lvlText w:val=""/>
      <w:lvlJc w:val="left"/>
      <w:pPr>
        <w:ind w:left="1259" w:firstLine="0"/>
      </w:pPr>
      <w:rPr>
        <w:rFonts w:hint="eastAsia"/>
      </w:rPr>
    </w:lvl>
  </w:abstractNum>
  <w:abstractNum w:abstractNumId="5">
    <w:nsid w:val="0000001F"/>
    <w:multiLevelType w:val="singleLevel"/>
    <w:tmpl w:val="0000001F"/>
    <w:lvl w:ilvl="0" w:tentative="0">
      <w:start w:val="1"/>
      <w:numFmt w:val="decimal"/>
      <w:pStyle w:val="108"/>
      <w:lvlText w:val="%1．"/>
      <w:lvlJc w:val="left"/>
      <w:pPr>
        <w:tabs>
          <w:tab w:val="left" w:pos="720"/>
        </w:tabs>
        <w:ind w:left="720" w:hanging="720"/>
      </w:pPr>
    </w:lvl>
  </w:abstractNum>
  <w:abstractNum w:abstractNumId="6">
    <w:nsid w:val="00000024"/>
    <w:multiLevelType w:val="multilevel"/>
    <w:tmpl w:val="0000002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pStyle w:val="124"/>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
    <w:nsid w:val="00000031"/>
    <w:multiLevelType w:val="multilevel"/>
    <w:tmpl w:val="00000031"/>
    <w:lvl w:ilvl="0" w:tentative="0">
      <w:start w:val="1"/>
      <w:numFmt w:val="decimal"/>
      <w:lvlText w:val="%1."/>
      <w:lvlJc w:val="left"/>
      <w:pPr>
        <w:tabs>
          <w:tab w:val="left" w:pos="420"/>
        </w:tabs>
        <w:ind w:left="420" w:hanging="420"/>
      </w:pPr>
    </w:lvl>
    <w:lvl w:ilvl="1" w:tentative="0">
      <w:start w:val="1"/>
      <w:numFmt w:val="bullet"/>
      <w:pStyle w:val="34"/>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4"/>
      <w:numFmt w:val="decimal"/>
      <w:lvlText w:val="%5、"/>
      <w:lvlJc w:val="left"/>
      <w:pPr>
        <w:tabs>
          <w:tab w:val="left" w:pos="2160"/>
        </w:tabs>
        <w:ind w:left="2160" w:hanging="480"/>
      </w:pPr>
      <w:rPr>
        <w:rFonts w:hint="eastAsia"/>
      </w:rPr>
    </w:lvl>
    <w:lvl w:ilvl="5" w:tentative="0">
      <w:start w:val="28"/>
      <w:numFmt w:val="decimal"/>
      <w:lvlText w:val="%6．"/>
      <w:lvlJc w:val="left"/>
      <w:pPr>
        <w:tabs>
          <w:tab w:val="left" w:pos="2520"/>
        </w:tabs>
        <w:ind w:left="2520" w:hanging="420"/>
      </w:pPr>
      <w:rPr>
        <w:rFonts w:hint="eastAsia"/>
      </w:r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32"/>
    <w:multiLevelType w:val="multilevel"/>
    <w:tmpl w:val="00000032"/>
    <w:lvl w:ilvl="0" w:tentative="0">
      <w:start w:val="1"/>
      <w:numFmt w:val="decimal"/>
      <w:lvlText w:val="%1"/>
      <w:lvlJc w:val="left"/>
      <w:pPr>
        <w:tabs>
          <w:tab w:val="left" w:pos="420"/>
        </w:tabs>
        <w:ind w:left="460" w:hanging="25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33B346F2"/>
    <w:multiLevelType w:val="singleLevel"/>
    <w:tmpl w:val="33B346F2"/>
    <w:lvl w:ilvl="0" w:tentative="0">
      <w:start w:val="1"/>
      <w:numFmt w:val="decimal"/>
      <w:suff w:val="nothing"/>
      <w:lvlText w:val="%1．"/>
      <w:lvlJc w:val="left"/>
      <w:pPr>
        <w:ind w:left="0" w:firstLine="400"/>
      </w:pPr>
      <w:rPr>
        <w:rFonts w:hint="default"/>
      </w:rPr>
    </w:lvl>
  </w:abstractNum>
  <w:abstractNum w:abstractNumId="10">
    <w:nsid w:val="4E0F3981"/>
    <w:multiLevelType w:val="singleLevel"/>
    <w:tmpl w:val="4E0F3981"/>
    <w:lvl w:ilvl="0" w:tentative="0">
      <w:start w:val="1"/>
      <w:numFmt w:val="decimalEnclosedCircleChinese"/>
      <w:suff w:val="nothing"/>
      <w:lvlText w:val="%1　"/>
      <w:lvlJc w:val="left"/>
      <w:pPr>
        <w:ind w:left="0" w:firstLine="400"/>
      </w:pPr>
      <w:rPr>
        <w:rFonts w:hint="eastAsia"/>
      </w:rPr>
    </w:lvl>
  </w:abstractNum>
  <w:abstractNum w:abstractNumId="11">
    <w:nsid w:val="550BB5CF"/>
    <w:multiLevelType w:val="singleLevel"/>
    <w:tmpl w:val="550BB5CF"/>
    <w:lvl w:ilvl="0" w:tentative="0">
      <w:start w:val="3"/>
      <w:numFmt w:val="chineseCounting"/>
      <w:suff w:val="space"/>
      <w:lvlText w:val="第%1章"/>
      <w:lvlJc w:val="left"/>
      <w:rPr>
        <w:rFonts w:hint="eastAsia"/>
        <w:sz w:val="36"/>
        <w:szCs w:val="36"/>
      </w:rPr>
    </w:lvl>
  </w:abstractNum>
  <w:abstractNum w:abstractNumId="12">
    <w:nsid w:val="59B2460E"/>
    <w:multiLevelType w:val="singleLevel"/>
    <w:tmpl w:val="59B2460E"/>
    <w:lvl w:ilvl="0" w:tentative="0">
      <w:start w:val="2"/>
      <w:numFmt w:val="decimal"/>
      <w:suff w:val="nothing"/>
      <w:lvlText w:val="%1."/>
      <w:lvlJc w:val="left"/>
    </w:lvl>
  </w:abstractNum>
  <w:abstractNum w:abstractNumId="13">
    <w:nsid w:val="59CF0981"/>
    <w:multiLevelType w:val="singleLevel"/>
    <w:tmpl w:val="59CF0981"/>
    <w:lvl w:ilvl="0" w:tentative="0">
      <w:start w:val="1"/>
      <w:numFmt w:val="decimal"/>
      <w:suff w:val="nothing"/>
      <w:lvlText w:val="%1、"/>
      <w:lvlJc w:val="left"/>
    </w:lvl>
  </w:abstractNum>
  <w:abstractNum w:abstractNumId="14">
    <w:nsid w:val="59FB0796"/>
    <w:multiLevelType w:val="singleLevel"/>
    <w:tmpl w:val="59FB0796"/>
    <w:lvl w:ilvl="0" w:tentative="0">
      <w:start w:val="1"/>
      <w:numFmt w:val="decimal"/>
      <w:suff w:val="nothing"/>
      <w:lvlText w:val="%1、"/>
      <w:lvlJc w:val="left"/>
    </w:lvl>
  </w:abstractNum>
  <w:abstractNum w:abstractNumId="15">
    <w:nsid w:val="5A1CBFF9"/>
    <w:multiLevelType w:val="singleLevel"/>
    <w:tmpl w:val="5A1CBFF9"/>
    <w:lvl w:ilvl="0" w:tentative="0">
      <w:start w:val="1"/>
      <w:numFmt w:val="chineseCounting"/>
      <w:suff w:val="nothing"/>
      <w:lvlText w:val="%1、"/>
      <w:lvlJc w:val="left"/>
    </w:lvl>
  </w:abstractNum>
  <w:abstractNum w:abstractNumId="16">
    <w:nsid w:val="724B0212"/>
    <w:multiLevelType w:val="multilevel"/>
    <w:tmpl w:val="724B0212"/>
    <w:lvl w:ilvl="0" w:tentative="0">
      <w:start w:val="1"/>
      <w:numFmt w:val="decimal"/>
      <w:pStyle w:val="118"/>
      <w:suff w:val="nothing"/>
      <w:lvlText w:val="%1."/>
      <w:lvlJc w:val="left"/>
      <w:pPr>
        <w:ind w:left="0" w:firstLine="0"/>
      </w:pPr>
      <w:rPr>
        <w:rFonts w:hint="eastAsia"/>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4"/>
  </w:num>
  <w:num w:numId="3">
    <w:abstractNumId w:val="5"/>
  </w:num>
  <w:num w:numId="4">
    <w:abstractNumId w:val="16"/>
  </w:num>
  <w:num w:numId="5">
    <w:abstractNumId w:val="6"/>
  </w:num>
  <w:num w:numId="6">
    <w:abstractNumId w:val="8"/>
  </w:num>
  <w:num w:numId="7">
    <w:abstractNumId w:val="14"/>
  </w:num>
  <w:num w:numId="8">
    <w:abstractNumId w:val="2"/>
  </w:num>
  <w:num w:numId="9">
    <w:abstractNumId w:val="12"/>
  </w:num>
  <w:num w:numId="10">
    <w:abstractNumId w:val="11"/>
  </w:num>
  <w:num w:numId="11">
    <w:abstractNumId w:val="1"/>
  </w:num>
  <w:num w:numId="12">
    <w:abstractNumId w:val="9"/>
  </w:num>
  <w:num w:numId="13">
    <w:abstractNumId w:val="10"/>
  </w:num>
  <w:num w:numId="14">
    <w:abstractNumId w:val="3"/>
  </w:num>
  <w:num w:numId="15">
    <w:abstractNumId w:val="13"/>
  </w:num>
  <w:num w:numId="16">
    <w:abstractNumId w:val="1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2OGE4OWVmOTcwNjQ0ZTIxNDc2YTU0NjQ2Mjg3MDYifQ=="/>
  </w:docVars>
  <w:rsids>
    <w:rsidRoot w:val="00172A27"/>
    <w:rsid w:val="00083EC6"/>
    <w:rsid w:val="000842D2"/>
    <w:rsid w:val="000B27F1"/>
    <w:rsid w:val="000B76E0"/>
    <w:rsid w:val="000C18E0"/>
    <w:rsid w:val="000E2250"/>
    <w:rsid w:val="001B1F01"/>
    <w:rsid w:val="001F374B"/>
    <w:rsid w:val="002C45C4"/>
    <w:rsid w:val="002C4656"/>
    <w:rsid w:val="0038146F"/>
    <w:rsid w:val="003E0F4A"/>
    <w:rsid w:val="0044550B"/>
    <w:rsid w:val="004A1767"/>
    <w:rsid w:val="004D5DBB"/>
    <w:rsid w:val="004F181A"/>
    <w:rsid w:val="005018E6"/>
    <w:rsid w:val="005673BD"/>
    <w:rsid w:val="00642B67"/>
    <w:rsid w:val="0069505B"/>
    <w:rsid w:val="0071568B"/>
    <w:rsid w:val="007443DF"/>
    <w:rsid w:val="0082060C"/>
    <w:rsid w:val="00822F52"/>
    <w:rsid w:val="008503A6"/>
    <w:rsid w:val="00935F1B"/>
    <w:rsid w:val="00950DEC"/>
    <w:rsid w:val="00963C82"/>
    <w:rsid w:val="009D4979"/>
    <w:rsid w:val="00A60819"/>
    <w:rsid w:val="00A64E2B"/>
    <w:rsid w:val="00A66FA3"/>
    <w:rsid w:val="00AA41D7"/>
    <w:rsid w:val="00AA441B"/>
    <w:rsid w:val="00AA6038"/>
    <w:rsid w:val="00C453D2"/>
    <w:rsid w:val="00C718D3"/>
    <w:rsid w:val="00CF38F2"/>
    <w:rsid w:val="00D01C81"/>
    <w:rsid w:val="00D81BF2"/>
    <w:rsid w:val="00DB1F14"/>
    <w:rsid w:val="00DB6C3D"/>
    <w:rsid w:val="00E60C75"/>
    <w:rsid w:val="00E80E4F"/>
    <w:rsid w:val="00E95300"/>
    <w:rsid w:val="00ED377F"/>
    <w:rsid w:val="00F00B36"/>
    <w:rsid w:val="00F45A57"/>
    <w:rsid w:val="00F53513"/>
    <w:rsid w:val="00F76084"/>
    <w:rsid w:val="00FC30F1"/>
    <w:rsid w:val="01086226"/>
    <w:rsid w:val="017F1260"/>
    <w:rsid w:val="019060E0"/>
    <w:rsid w:val="01A7022B"/>
    <w:rsid w:val="01D74127"/>
    <w:rsid w:val="01FA47FF"/>
    <w:rsid w:val="02136D6E"/>
    <w:rsid w:val="02E273CD"/>
    <w:rsid w:val="031A46D7"/>
    <w:rsid w:val="03644DB1"/>
    <w:rsid w:val="03B56F25"/>
    <w:rsid w:val="03E30689"/>
    <w:rsid w:val="03F22CAB"/>
    <w:rsid w:val="040F5794"/>
    <w:rsid w:val="04245136"/>
    <w:rsid w:val="047F723D"/>
    <w:rsid w:val="04A86794"/>
    <w:rsid w:val="04D657F7"/>
    <w:rsid w:val="05052180"/>
    <w:rsid w:val="052B6A2E"/>
    <w:rsid w:val="056709A0"/>
    <w:rsid w:val="059D4508"/>
    <w:rsid w:val="05D6030D"/>
    <w:rsid w:val="05ED3530"/>
    <w:rsid w:val="05ED7711"/>
    <w:rsid w:val="062947BE"/>
    <w:rsid w:val="0639416B"/>
    <w:rsid w:val="0640417D"/>
    <w:rsid w:val="06754672"/>
    <w:rsid w:val="069F6210"/>
    <w:rsid w:val="06C3722A"/>
    <w:rsid w:val="06C72A41"/>
    <w:rsid w:val="06E22FFB"/>
    <w:rsid w:val="07081734"/>
    <w:rsid w:val="070C7189"/>
    <w:rsid w:val="07474743"/>
    <w:rsid w:val="0779100C"/>
    <w:rsid w:val="079807D7"/>
    <w:rsid w:val="07BC5FE9"/>
    <w:rsid w:val="07D1268E"/>
    <w:rsid w:val="07F5637B"/>
    <w:rsid w:val="085D1644"/>
    <w:rsid w:val="0863099C"/>
    <w:rsid w:val="08850B9A"/>
    <w:rsid w:val="0888031D"/>
    <w:rsid w:val="08FB6FAE"/>
    <w:rsid w:val="091451BC"/>
    <w:rsid w:val="0920059B"/>
    <w:rsid w:val="094446AE"/>
    <w:rsid w:val="09504AEC"/>
    <w:rsid w:val="0962228C"/>
    <w:rsid w:val="099F0831"/>
    <w:rsid w:val="09C7322D"/>
    <w:rsid w:val="0A3C78AD"/>
    <w:rsid w:val="0A78754A"/>
    <w:rsid w:val="0A9C3C1C"/>
    <w:rsid w:val="0BA4742B"/>
    <w:rsid w:val="0CD86FCA"/>
    <w:rsid w:val="0CE07AC0"/>
    <w:rsid w:val="0CFC78E2"/>
    <w:rsid w:val="0D6B10C0"/>
    <w:rsid w:val="0DB02DD5"/>
    <w:rsid w:val="0DB96149"/>
    <w:rsid w:val="0DC31AB2"/>
    <w:rsid w:val="0DCD503D"/>
    <w:rsid w:val="0DFD15F3"/>
    <w:rsid w:val="0DFF1C1C"/>
    <w:rsid w:val="0E4801B9"/>
    <w:rsid w:val="0EC62C28"/>
    <w:rsid w:val="0ED761B1"/>
    <w:rsid w:val="0EEB61B7"/>
    <w:rsid w:val="0F1B0A54"/>
    <w:rsid w:val="0F5870A4"/>
    <w:rsid w:val="0F9E5354"/>
    <w:rsid w:val="0FAD0B7F"/>
    <w:rsid w:val="0FC400CC"/>
    <w:rsid w:val="10105900"/>
    <w:rsid w:val="101826E0"/>
    <w:rsid w:val="107819A3"/>
    <w:rsid w:val="10974E8B"/>
    <w:rsid w:val="10B81723"/>
    <w:rsid w:val="10BA1818"/>
    <w:rsid w:val="10BE4F14"/>
    <w:rsid w:val="10DD1601"/>
    <w:rsid w:val="10FE5EC2"/>
    <w:rsid w:val="112545DA"/>
    <w:rsid w:val="113856A9"/>
    <w:rsid w:val="113F6D9F"/>
    <w:rsid w:val="11746C09"/>
    <w:rsid w:val="11836F03"/>
    <w:rsid w:val="11C3573F"/>
    <w:rsid w:val="120C1A69"/>
    <w:rsid w:val="12307D19"/>
    <w:rsid w:val="12481B4D"/>
    <w:rsid w:val="12857153"/>
    <w:rsid w:val="12A53D33"/>
    <w:rsid w:val="12CB141B"/>
    <w:rsid w:val="12E2333C"/>
    <w:rsid w:val="12EE3269"/>
    <w:rsid w:val="131C6234"/>
    <w:rsid w:val="132E197A"/>
    <w:rsid w:val="136440FE"/>
    <w:rsid w:val="138B03B6"/>
    <w:rsid w:val="13991AA3"/>
    <w:rsid w:val="139C79D2"/>
    <w:rsid w:val="13A65563"/>
    <w:rsid w:val="13DA26AE"/>
    <w:rsid w:val="14117998"/>
    <w:rsid w:val="14465D8C"/>
    <w:rsid w:val="14794C5A"/>
    <w:rsid w:val="1489797E"/>
    <w:rsid w:val="14EC685B"/>
    <w:rsid w:val="153220D4"/>
    <w:rsid w:val="15342E96"/>
    <w:rsid w:val="15604169"/>
    <w:rsid w:val="15643F1F"/>
    <w:rsid w:val="15D92747"/>
    <w:rsid w:val="163F7945"/>
    <w:rsid w:val="16656B05"/>
    <w:rsid w:val="167B07FD"/>
    <w:rsid w:val="16D47577"/>
    <w:rsid w:val="177418D2"/>
    <w:rsid w:val="17816B36"/>
    <w:rsid w:val="17BD20FF"/>
    <w:rsid w:val="17D411F6"/>
    <w:rsid w:val="17D873E3"/>
    <w:rsid w:val="17F55AD9"/>
    <w:rsid w:val="18273A72"/>
    <w:rsid w:val="18541D73"/>
    <w:rsid w:val="186F466B"/>
    <w:rsid w:val="188770F4"/>
    <w:rsid w:val="188D1B63"/>
    <w:rsid w:val="189C67D1"/>
    <w:rsid w:val="18ED07C2"/>
    <w:rsid w:val="1907440A"/>
    <w:rsid w:val="19B117EF"/>
    <w:rsid w:val="1A01092F"/>
    <w:rsid w:val="1A4B611F"/>
    <w:rsid w:val="1A520235"/>
    <w:rsid w:val="1AA15FB8"/>
    <w:rsid w:val="1B2C12B3"/>
    <w:rsid w:val="1B2F7D54"/>
    <w:rsid w:val="1B34753C"/>
    <w:rsid w:val="1B47791E"/>
    <w:rsid w:val="1B4960B1"/>
    <w:rsid w:val="1B502706"/>
    <w:rsid w:val="1B892BBD"/>
    <w:rsid w:val="1B8B345A"/>
    <w:rsid w:val="1B98748B"/>
    <w:rsid w:val="1B9C027D"/>
    <w:rsid w:val="1BB248FD"/>
    <w:rsid w:val="1BB466F8"/>
    <w:rsid w:val="1BDB100A"/>
    <w:rsid w:val="1C103958"/>
    <w:rsid w:val="1CAC7121"/>
    <w:rsid w:val="1CDF48C5"/>
    <w:rsid w:val="1D1661D1"/>
    <w:rsid w:val="1D3E42D1"/>
    <w:rsid w:val="1D625841"/>
    <w:rsid w:val="1DC952A5"/>
    <w:rsid w:val="1DF02846"/>
    <w:rsid w:val="1E0F4C31"/>
    <w:rsid w:val="1E150980"/>
    <w:rsid w:val="1E5C4C01"/>
    <w:rsid w:val="1E6D03D3"/>
    <w:rsid w:val="1E9E7A4A"/>
    <w:rsid w:val="1EAF7DB4"/>
    <w:rsid w:val="1EB30498"/>
    <w:rsid w:val="1EC64A31"/>
    <w:rsid w:val="1F0E4E13"/>
    <w:rsid w:val="1F3C5FFF"/>
    <w:rsid w:val="1F5E1B9A"/>
    <w:rsid w:val="1F9040B2"/>
    <w:rsid w:val="1F9060F0"/>
    <w:rsid w:val="1FBF52E0"/>
    <w:rsid w:val="20226353"/>
    <w:rsid w:val="211243E4"/>
    <w:rsid w:val="213D7C40"/>
    <w:rsid w:val="213E65B0"/>
    <w:rsid w:val="216235A0"/>
    <w:rsid w:val="21721BDF"/>
    <w:rsid w:val="21800CCE"/>
    <w:rsid w:val="21860F35"/>
    <w:rsid w:val="21C07F45"/>
    <w:rsid w:val="21D76F22"/>
    <w:rsid w:val="21DA2C30"/>
    <w:rsid w:val="21FF4A70"/>
    <w:rsid w:val="222D410C"/>
    <w:rsid w:val="223B6A68"/>
    <w:rsid w:val="224C6BAA"/>
    <w:rsid w:val="225C6E5E"/>
    <w:rsid w:val="230C613C"/>
    <w:rsid w:val="230D6510"/>
    <w:rsid w:val="23735DF3"/>
    <w:rsid w:val="238B4B18"/>
    <w:rsid w:val="23B078DE"/>
    <w:rsid w:val="24BD2B70"/>
    <w:rsid w:val="24D74ACE"/>
    <w:rsid w:val="250435FD"/>
    <w:rsid w:val="25B843E8"/>
    <w:rsid w:val="26775A6E"/>
    <w:rsid w:val="27281A50"/>
    <w:rsid w:val="276A31EC"/>
    <w:rsid w:val="27834FFF"/>
    <w:rsid w:val="27DD2FD3"/>
    <w:rsid w:val="27E24A0E"/>
    <w:rsid w:val="27FD659C"/>
    <w:rsid w:val="284657F9"/>
    <w:rsid w:val="286C74DE"/>
    <w:rsid w:val="292D0B61"/>
    <w:rsid w:val="293A33E6"/>
    <w:rsid w:val="294E0610"/>
    <w:rsid w:val="296A06A2"/>
    <w:rsid w:val="296B770E"/>
    <w:rsid w:val="29776717"/>
    <w:rsid w:val="29A204B4"/>
    <w:rsid w:val="2A495A74"/>
    <w:rsid w:val="2A577535"/>
    <w:rsid w:val="2AC746A1"/>
    <w:rsid w:val="2AC95AE3"/>
    <w:rsid w:val="2B3928C3"/>
    <w:rsid w:val="2BA57E87"/>
    <w:rsid w:val="2BB35092"/>
    <w:rsid w:val="2BD21822"/>
    <w:rsid w:val="2C8E670C"/>
    <w:rsid w:val="2CC22340"/>
    <w:rsid w:val="2D0E4B13"/>
    <w:rsid w:val="2D307D42"/>
    <w:rsid w:val="2D7778A5"/>
    <w:rsid w:val="2D7F6043"/>
    <w:rsid w:val="2DAF6639"/>
    <w:rsid w:val="2E3057A3"/>
    <w:rsid w:val="2EB44669"/>
    <w:rsid w:val="2EF1198D"/>
    <w:rsid w:val="2EF63317"/>
    <w:rsid w:val="2F404825"/>
    <w:rsid w:val="2F441D98"/>
    <w:rsid w:val="2FB60C77"/>
    <w:rsid w:val="2FC25243"/>
    <w:rsid w:val="2FE43F4A"/>
    <w:rsid w:val="2FFA734B"/>
    <w:rsid w:val="308B2942"/>
    <w:rsid w:val="30AC5748"/>
    <w:rsid w:val="30C21A1F"/>
    <w:rsid w:val="314D36CE"/>
    <w:rsid w:val="314F3970"/>
    <w:rsid w:val="316A5C5B"/>
    <w:rsid w:val="31783BE8"/>
    <w:rsid w:val="318B106A"/>
    <w:rsid w:val="31D67BED"/>
    <w:rsid w:val="31DF4141"/>
    <w:rsid w:val="325E45B2"/>
    <w:rsid w:val="32931802"/>
    <w:rsid w:val="32B96BBC"/>
    <w:rsid w:val="33153CB7"/>
    <w:rsid w:val="334F3813"/>
    <w:rsid w:val="33676B44"/>
    <w:rsid w:val="33776213"/>
    <w:rsid w:val="337771AE"/>
    <w:rsid w:val="33A735C1"/>
    <w:rsid w:val="33DA7724"/>
    <w:rsid w:val="33DD6448"/>
    <w:rsid w:val="342C52EF"/>
    <w:rsid w:val="347D5264"/>
    <w:rsid w:val="348D4A2B"/>
    <w:rsid w:val="34947856"/>
    <w:rsid w:val="34A653D6"/>
    <w:rsid w:val="34BA2918"/>
    <w:rsid w:val="34F4732C"/>
    <w:rsid w:val="35421ED9"/>
    <w:rsid w:val="354664DC"/>
    <w:rsid w:val="3547698A"/>
    <w:rsid w:val="3553719B"/>
    <w:rsid w:val="35973B37"/>
    <w:rsid w:val="36032F7B"/>
    <w:rsid w:val="3630652A"/>
    <w:rsid w:val="36312E1C"/>
    <w:rsid w:val="369775AB"/>
    <w:rsid w:val="36AF0F67"/>
    <w:rsid w:val="36DB494F"/>
    <w:rsid w:val="36E8357D"/>
    <w:rsid w:val="3783357E"/>
    <w:rsid w:val="37B37F0E"/>
    <w:rsid w:val="37DA4A01"/>
    <w:rsid w:val="37F30DCD"/>
    <w:rsid w:val="37F900AF"/>
    <w:rsid w:val="37FA4641"/>
    <w:rsid w:val="381362A8"/>
    <w:rsid w:val="38172D44"/>
    <w:rsid w:val="382B30D6"/>
    <w:rsid w:val="38623AF3"/>
    <w:rsid w:val="38E30B7F"/>
    <w:rsid w:val="391760C0"/>
    <w:rsid w:val="39240E40"/>
    <w:rsid w:val="392D2DD0"/>
    <w:rsid w:val="3939034D"/>
    <w:rsid w:val="393A06B3"/>
    <w:rsid w:val="3954015B"/>
    <w:rsid w:val="39630D6D"/>
    <w:rsid w:val="398A7A9A"/>
    <w:rsid w:val="39904FFE"/>
    <w:rsid w:val="39D768A6"/>
    <w:rsid w:val="39E17BD0"/>
    <w:rsid w:val="39ED5B52"/>
    <w:rsid w:val="3A4C2D5E"/>
    <w:rsid w:val="3A671016"/>
    <w:rsid w:val="3A711015"/>
    <w:rsid w:val="3A751F6D"/>
    <w:rsid w:val="3AA44C83"/>
    <w:rsid w:val="3AB96583"/>
    <w:rsid w:val="3AF4351F"/>
    <w:rsid w:val="3B0752BB"/>
    <w:rsid w:val="3B2D2CEB"/>
    <w:rsid w:val="3B5A0D24"/>
    <w:rsid w:val="3B5B041A"/>
    <w:rsid w:val="3BA17A78"/>
    <w:rsid w:val="3BA77FB2"/>
    <w:rsid w:val="3BBD086F"/>
    <w:rsid w:val="3C137C8A"/>
    <w:rsid w:val="3CE95AB9"/>
    <w:rsid w:val="3D2725E1"/>
    <w:rsid w:val="3D34446F"/>
    <w:rsid w:val="3D3C5D86"/>
    <w:rsid w:val="3D581DFE"/>
    <w:rsid w:val="3D760CA5"/>
    <w:rsid w:val="3D7A34E2"/>
    <w:rsid w:val="3D9E6E78"/>
    <w:rsid w:val="3DBF14EF"/>
    <w:rsid w:val="3DD76E9C"/>
    <w:rsid w:val="3DE51CA1"/>
    <w:rsid w:val="3DEC4E99"/>
    <w:rsid w:val="3DED56FF"/>
    <w:rsid w:val="3E375121"/>
    <w:rsid w:val="3E3953D7"/>
    <w:rsid w:val="3E412892"/>
    <w:rsid w:val="3EFE735F"/>
    <w:rsid w:val="3F0873DA"/>
    <w:rsid w:val="3F740A45"/>
    <w:rsid w:val="3F9577B4"/>
    <w:rsid w:val="3F9A735D"/>
    <w:rsid w:val="40041ABD"/>
    <w:rsid w:val="400D202B"/>
    <w:rsid w:val="40265E5F"/>
    <w:rsid w:val="40671177"/>
    <w:rsid w:val="40C41F79"/>
    <w:rsid w:val="40E87C15"/>
    <w:rsid w:val="413B6815"/>
    <w:rsid w:val="415D3FD0"/>
    <w:rsid w:val="41634901"/>
    <w:rsid w:val="417E3DFD"/>
    <w:rsid w:val="41BE6C92"/>
    <w:rsid w:val="41F17C3D"/>
    <w:rsid w:val="4226683E"/>
    <w:rsid w:val="42BB4F89"/>
    <w:rsid w:val="42C321A0"/>
    <w:rsid w:val="42C33D05"/>
    <w:rsid w:val="42CE0CC0"/>
    <w:rsid w:val="42F6341C"/>
    <w:rsid w:val="43080F4E"/>
    <w:rsid w:val="430A2696"/>
    <w:rsid w:val="43402291"/>
    <w:rsid w:val="43811983"/>
    <w:rsid w:val="43C66A6B"/>
    <w:rsid w:val="43E170BD"/>
    <w:rsid w:val="4420360A"/>
    <w:rsid w:val="442A032A"/>
    <w:rsid w:val="44312E81"/>
    <w:rsid w:val="443864E5"/>
    <w:rsid w:val="44D2371C"/>
    <w:rsid w:val="44EE0871"/>
    <w:rsid w:val="45107751"/>
    <w:rsid w:val="45177607"/>
    <w:rsid w:val="45A67DCE"/>
    <w:rsid w:val="46130FB8"/>
    <w:rsid w:val="462F1B6A"/>
    <w:rsid w:val="465A6F76"/>
    <w:rsid w:val="46627FD7"/>
    <w:rsid w:val="46D630EA"/>
    <w:rsid w:val="46EE60CC"/>
    <w:rsid w:val="476904B3"/>
    <w:rsid w:val="476F2493"/>
    <w:rsid w:val="47AA198B"/>
    <w:rsid w:val="47BC3824"/>
    <w:rsid w:val="47BF6B34"/>
    <w:rsid w:val="47DD61B7"/>
    <w:rsid w:val="487E46E3"/>
    <w:rsid w:val="489C57DB"/>
    <w:rsid w:val="489C77AB"/>
    <w:rsid w:val="489E62EC"/>
    <w:rsid w:val="48B25CA7"/>
    <w:rsid w:val="48CC5C3D"/>
    <w:rsid w:val="48D92E5A"/>
    <w:rsid w:val="49500F47"/>
    <w:rsid w:val="495F642E"/>
    <w:rsid w:val="49833D70"/>
    <w:rsid w:val="498A6AE4"/>
    <w:rsid w:val="49B92023"/>
    <w:rsid w:val="49E2133F"/>
    <w:rsid w:val="4A183094"/>
    <w:rsid w:val="4A261EF9"/>
    <w:rsid w:val="4A2D1226"/>
    <w:rsid w:val="4A34021E"/>
    <w:rsid w:val="4A897A9B"/>
    <w:rsid w:val="4A8B05CA"/>
    <w:rsid w:val="4AD52BB8"/>
    <w:rsid w:val="4ADF76BB"/>
    <w:rsid w:val="4B2652EA"/>
    <w:rsid w:val="4B3A3313"/>
    <w:rsid w:val="4B5A703F"/>
    <w:rsid w:val="4B6D5B5E"/>
    <w:rsid w:val="4BB64A89"/>
    <w:rsid w:val="4BB815F6"/>
    <w:rsid w:val="4BC240DA"/>
    <w:rsid w:val="4BE27E2C"/>
    <w:rsid w:val="4C0E5054"/>
    <w:rsid w:val="4C185AA3"/>
    <w:rsid w:val="4C3C0DBF"/>
    <w:rsid w:val="4C83051A"/>
    <w:rsid w:val="4CBF65B2"/>
    <w:rsid w:val="4CF24071"/>
    <w:rsid w:val="4D0477DD"/>
    <w:rsid w:val="4D27508C"/>
    <w:rsid w:val="4D31425A"/>
    <w:rsid w:val="4D447DB5"/>
    <w:rsid w:val="4DF47921"/>
    <w:rsid w:val="4EBB0961"/>
    <w:rsid w:val="4EC357CE"/>
    <w:rsid w:val="4EDF4311"/>
    <w:rsid w:val="4EFA04EB"/>
    <w:rsid w:val="4F351438"/>
    <w:rsid w:val="4F7A5B49"/>
    <w:rsid w:val="4F9253D5"/>
    <w:rsid w:val="4FA9266E"/>
    <w:rsid w:val="50496CD6"/>
    <w:rsid w:val="50724B95"/>
    <w:rsid w:val="50DB08EC"/>
    <w:rsid w:val="512B46A8"/>
    <w:rsid w:val="514E7716"/>
    <w:rsid w:val="51531BEF"/>
    <w:rsid w:val="51717082"/>
    <w:rsid w:val="51BB0AF1"/>
    <w:rsid w:val="51E839FC"/>
    <w:rsid w:val="5208399B"/>
    <w:rsid w:val="52BC488D"/>
    <w:rsid w:val="530F0D59"/>
    <w:rsid w:val="53315D36"/>
    <w:rsid w:val="53414309"/>
    <w:rsid w:val="536E45FC"/>
    <w:rsid w:val="5380090B"/>
    <w:rsid w:val="53AA421B"/>
    <w:rsid w:val="542B3CCF"/>
    <w:rsid w:val="543F24FB"/>
    <w:rsid w:val="544210B9"/>
    <w:rsid w:val="54566B08"/>
    <w:rsid w:val="54961D11"/>
    <w:rsid w:val="54A01099"/>
    <w:rsid w:val="54AC046B"/>
    <w:rsid w:val="54CB5BDC"/>
    <w:rsid w:val="54EB70D6"/>
    <w:rsid w:val="54FF73EB"/>
    <w:rsid w:val="553C7D31"/>
    <w:rsid w:val="55481C01"/>
    <w:rsid w:val="555D437D"/>
    <w:rsid w:val="55894DF3"/>
    <w:rsid w:val="558D1595"/>
    <w:rsid w:val="55912B87"/>
    <w:rsid w:val="55940441"/>
    <w:rsid w:val="56041EA2"/>
    <w:rsid w:val="56176679"/>
    <w:rsid w:val="563C356A"/>
    <w:rsid w:val="564040B2"/>
    <w:rsid w:val="56BD2278"/>
    <w:rsid w:val="56F035DC"/>
    <w:rsid w:val="56FF7080"/>
    <w:rsid w:val="5728386A"/>
    <w:rsid w:val="57715FD6"/>
    <w:rsid w:val="57A646AA"/>
    <w:rsid w:val="57C5615F"/>
    <w:rsid w:val="57CA742F"/>
    <w:rsid w:val="57F86A27"/>
    <w:rsid w:val="58071F65"/>
    <w:rsid w:val="58A628E3"/>
    <w:rsid w:val="58DC6404"/>
    <w:rsid w:val="58E04BE6"/>
    <w:rsid w:val="5919706D"/>
    <w:rsid w:val="593D2860"/>
    <w:rsid w:val="595438BB"/>
    <w:rsid w:val="59605AEE"/>
    <w:rsid w:val="59747B68"/>
    <w:rsid w:val="5985763F"/>
    <w:rsid w:val="59F41045"/>
    <w:rsid w:val="59F6057D"/>
    <w:rsid w:val="5A290FA4"/>
    <w:rsid w:val="5A492DA3"/>
    <w:rsid w:val="5A511C57"/>
    <w:rsid w:val="5A775CDD"/>
    <w:rsid w:val="5A8C7B45"/>
    <w:rsid w:val="5ACE32A8"/>
    <w:rsid w:val="5AD97B9D"/>
    <w:rsid w:val="5AF2125F"/>
    <w:rsid w:val="5B541AFE"/>
    <w:rsid w:val="5B6C695B"/>
    <w:rsid w:val="5B8C592A"/>
    <w:rsid w:val="5BCD542B"/>
    <w:rsid w:val="5BE006E2"/>
    <w:rsid w:val="5BEB6B57"/>
    <w:rsid w:val="5BFC75D2"/>
    <w:rsid w:val="5C154256"/>
    <w:rsid w:val="5C161CB5"/>
    <w:rsid w:val="5C503DCA"/>
    <w:rsid w:val="5CB007E8"/>
    <w:rsid w:val="5CE64449"/>
    <w:rsid w:val="5D0C00B7"/>
    <w:rsid w:val="5D5661A9"/>
    <w:rsid w:val="5D5A34D3"/>
    <w:rsid w:val="5D6D4FAE"/>
    <w:rsid w:val="5DCB6B6C"/>
    <w:rsid w:val="5E1F0A21"/>
    <w:rsid w:val="5E374C5B"/>
    <w:rsid w:val="5E426886"/>
    <w:rsid w:val="5E4E2BCD"/>
    <w:rsid w:val="5E5A7CE3"/>
    <w:rsid w:val="5E7732BD"/>
    <w:rsid w:val="5E9B13BF"/>
    <w:rsid w:val="5E9C3267"/>
    <w:rsid w:val="5E9E2C9A"/>
    <w:rsid w:val="5ED65132"/>
    <w:rsid w:val="5F003AA9"/>
    <w:rsid w:val="5F124512"/>
    <w:rsid w:val="5F1B0FFD"/>
    <w:rsid w:val="5FAC72CE"/>
    <w:rsid w:val="5FD65F78"/>
    <w:rsid w:val="6072697B"/>
    <w:rsid w:val="607C75AA"/>
    <w:rsid w:val="60A05E4B"/>
    <w:rsid w:val="61730705"/>
    <w:rsid w:val="61833A5D"/>
    <w:rsid w:val="61AD670F"/>
    <w:rsid w:val="61F94F10"/>
    <w:rsid w:val="620631A0"/>
    <w:rsid w:val="6206416E"/>
    <w:rsid w:val="620833F4"/>
    <w:rsid w:val="621357B2"/>
    <w:rsid w:val="62C83566"/>
    <w:rsid w:val="62CD195E"/>
    <w:rsid w:val="62FF0018"/>
    <w:rsid w:val="631A422B"/>
    <w:rsid w:val="63277ECF"/>
    <w:rsid w:val="634A4710"/>
    <w:rsid w:val="63787776"/>
    <w:rsid w:val="638D5E4C"/>
    <w:rsid w:val="63A55DDF"/>
    <w:rsid w:val="63B10FCE"/>
    <w:rsid w:val="63D13C04"/>
    <w:rsid w:val="63E73E13"/>
    <w:rsid w:val="64315D96"/>
    <w:rsid w:val="644765D2"/>
    <w:rsid w:val="647272CD"/>
    <w:rsid w:val="64902F9C"/>
    <w:rsid w:val="64EC1C58"/>
    <w:rsid w:val="64F4729E"/>
    <w:rsid w:val="657E7EBA"/>
    <w:rsid w:val="65825DDF"/>
    <w:rsid w:val="65891242"/>
    <w:rsid w:val="66124246"/>
    <w:rsid w:val="662111F3"/>
    <w:rsid w:val="6621739B"/>
    <w:rsid w:val="662A45B8"/>
    <w:rsid w:val="662F000E"/>
    <w:rsid w:val="665B13DF"/>
    <w:rsid w:val="66666B49"/>
    <w:rsid w:val="66F269AA"/>
    <w:rsid w:val="66F46EDA"/>
    <w:rsid w:val="67036BD0"/>
    <w:rsid w:val="671B0548"/>
    <w:rsid w:val="672506F4"/>
    <w:rsid w:val="673327D2"/>
    <w:rsid w:val="674822B8"/>
    <w:rsid w:val="674861DB"/>
    <w:rsid w:val="67BD554A"/>
    <w:rsid w:val="685F7C35"/>
    <w:rsid w:val="688974F6"/>
    <w:rsid w:val="68CC7B78"/>
    <w:rsid w:val="68DC529F"/>
    <w:rsid w:val="690E02D7"/>
    <w:rsid w:val="692F73FD"/>
    <w:rsid w:val="69BA6361"/>
    <w:rsid w:val="69BC689A"/>
    <w:rsid w:val="6A0A36C9"/>
    <w:rsid w:val="6A0B1701"/>
    <w:rsid w:val="6A2613F9"/>
    <w:rsid w:val="6A2F3B8A"/>
    <w:rsid w:val="6A705054"/>
    <w:rsid w:val="6A8457C9"/>
    <w:rsid w:val="6A874451"/>
    <w:rsid w:val="6A8B5482"/>
    <w:rsid w:val="6ABF3A45"/>
    <w:rsid w:val="6AD86E00"/>
    <w:rsid w:val="6B0632DE"/>
    <w:rsid w:val="6B215CDD"/>
    <w:rsid w:val="6B983EB9"/>
    <w:rsid w:val="6BAA35FD"/>
    <w:rsid w:val="6BC32D69"/>
    <w:rsid w:val="6C716212"/>
    <w:rsid w:val="6C8D4413"/>
    <w:rsid w:val="6C99186A"/>
    <w:rsid w:val="6C9D307E"/>
    <w:rsid w:val="6CEF0736"/>
    <w:rsid w:val="6D0028A5"/>
    <w:rsid w:val="6D122578"/>
    <w:rsid w:val="6D641B7D"/>
    <w:rsid w:val="6D663A8C"/>
    <w:rsid w:val="6DE87CF4"/>
    <w:rsid w:val="6E2230CD"/>
    <w:rsid w:val="6E683673"/>
    <w:rsid w:val="6E960E71"/>
    <w:rsid w:val="6EBC6A13"/>
    <w:rsid w:val="6ECD32EA"/>
    <w:rsid w:val="6EDA3C80"/>
    <w:rsid w:val="6EDC3804"/>
    <w:rsid w:val="6F2F5238"/>
    <w:rsid w:val="6F8728D0"/>
    <w:rsid w:val="6FAB1948"/>
    <w:rsid w:val="6FAD1F2D"/>
    <w:rsid w:val="70061533"/>
    <w:rsid w:val="702463B9"/>
    <w:rsid w:val="703851CC"/>
    <w:rsid w:val="704C658B"/>
    <w:rsid w:val="708B6E95"/>
    <w:rsid w:val="70C5791D"/>
    <w:rsid w:val="70F77D56"/>
    <w:rsid w:val="712E12E4"/>
    <w:rsid w:val="719E603E"/>
    <w:rsid w:val="71CB072C"/>
    <w:rsid w:val="71FD29A8"/>
    <w:rsid w:val="727B0C15"/>
    <w:rsid w:val="72922AE8"/>
    <w:rsid w:val="73327E9C"/>
    <w:rsid w:val="734621FD"/>
    <w:rsid w:val="734C15B4"/>
    <w:rsid w:val="73B37725"/>
    <w:rsid w:val="73DD30F9"/>
    <w:rsid w:val="74375EEF"/>
    <w:rsid w:val="74567E3F"/>
    <w:rsid w:val="74807C1B"/>
    <w:rsid w:val="74973B66"/>
    <w:rsid w:val="74A52E74"/>
    <w:rsid w:val="74B062E4"/>
    <w:rsid w:val="74F67B29"/>
    <w:rsid w:val="75200264"/>
    <w:rsid w:val="754B4224"/>
    <w:rsid w:val="758C08C3"/>
    <w:rsid w:val="758D080E"/>
    <w:rsid w:val="75DF44CD"/>
    <w:rsid w:val="75EB0D5A"/>
    <w:rsid w:val="761531EC"/>
    <w:rsid w:val="761E0756"/>
    <w:rsid w:val="769255CA"/>
    <w:rsid w:val="76DF43E5"/>
    <w:rsid w:val="7712687D"/>
    <w:rsid w:val="771C566F"/>
    <w:rsid w:val="777C60DE"/>
    <w:rsid w:val="785470F5"/>
    <w:rsid w:val="788144DE"/>
    <w:rsid w:val="78A863E6"/>
    <w:rsid w:val="78D357E4"/>
    <w:rsid w:val="78E8462C"/>
    <w:rsid w:val="791B23AE"/>
    <w:rsid w:val="79751E40"/>
    <w:rsid w:val="79EF6802"/>
    <w:rsid w:val="7A925C48"/>
    <w:rsid w:val="7ACF3B2C"/>
    <w:rsid w:val="7AD6197B"/>
    <w:rsid w:val="7AD82609"/>
    <w:rsid w:val="7ADC41F5"/>
    <w:rsid w:val="7B094CB4"/>
    <w:rsid w:val="7B4B7B97"/>
    <w:rsid w:val="7B7818C6"/>
    <w:rsid w:val="7B7F2B14"/>
    <w:rsid w:val="7BBF6EED"/>
    <w:rsid w:val="7C7D3A95"/>
    <w:rsid w:val="7CC4420B"/>
    <w:rsid w:val="7CCB1A05"/>
    <w:rsid w:val="7D0056F5"/>
    <w:rsid w:val="7D19016F"/>
    <w:rsid w:val="7D6A0577"/>
    <w:rsid w:val="7D6A78F5"/>
    <w:rsid w:val="7D9C76A8"/>
    <w:rsid w:val="7E4B1105"/>
    <w:rsid w:val="7EB54374"/>
    <w:rsid w:val="7F0C3F10"/>
    <w:rsid w:val="7F19070B"/>
    <w:rsid w:val="7F5B6564"/>
    <w:rsid w:val="7F640759"/>
    <w:rsid w:val="7F731A95"/>
    <w:rsid w:val="7F9A6444"/>
    <w:rsid w:val="7FC6405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0"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iPriority="99" w:name="HTML Acronym"/>
    <w:lsdException w:qFormat="1" w:unhideWhenUsed="0" w:uiPriority="0" w:semiHidden="0" w:name="HTML Address"/>
    <w:lsdException w:qFormat="1" w:uiPriority="99"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qFormat="1" w:unhideWhenUsed="0" w:uiPriority="0" w:semiHidden="0" w:name="HTML Typewriter"/>
    <w:lsdException w:qFormat="1"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宋体" w:hAnsi="Times New Roman" w:eastAsia="宋体" w:cs="Times New Roman"/>
      <w:sz w:val="24"/>
      <w:lang w:val="en-US" w:eastAsia="zh-CN" w:bidi="ar-SA"/>
    </w:rPr>
  </w:style>
  <w:style w:type="paragraph" w:styleId="3">
    <w:name w:val="heading 1"/>
    <w:basedOn w:val="1"/>
    <w:next w:val="1"/>
    <w:link w:val="147"/>
    <w:qFormat/>
    <w:uiPriority w:val="0"/>
    <w:pPr>
      <w:keepNext/>
      <w:outlineLvl w:val="0"/>
    </w:pPr>
    <w:rPr>
      <w:rFonts w:ascii="仿宋_GB2312" w:hAnsi="宋体" w:eastAsia="仿宋_GB2312"/>
      <w:b/>
      <w:kern w:val="2"/>
      <w:sz w:val="32"/>
    </w:rPr>
  </w:style>
  <w:style w:type="paragraph" w:styleId="4">
    <w:name w:val="heading 2"/>
    <w:basedOn w:val="1"/>
    <w:next w:val="1"/>
    <w:link w:val="158"/>
    <w:autoRedefine/>
    <w:qFormat/>
    <w:uiPriority w:val="9"/>
    <w:pPr>
      <w:keepNext/>
      <w:keepLines/>
      <w:widowControl/>
      <w:spacing w:before="260" w:beforeLines="0" w:after="260" w:afterLines="0"/>
      <w:ind w:left="284"/>
      <w:jc w:val="left"/>
      <w:outlineLvl w:val="1"/>
    </w:pPr>
    <w:rPr>
      <w:rFonts w:ascii="Arial" w:hAnsi="Arial"/>
      <w:b/>
      <w:bCs/>
      <w:sz w:val="28"/>
      <w:szCs w:val="32"/>
    </w:rPr>
  </w:style>
  <w:style w:type="paragraph" w:styleId="5">
    <w:name w:val="heading 3"/>
    <w:basedOn w:val="1"/>
    <w:next w:val="1"/>
    <w:link w:val="64"/>
    <w:autoRedefine/>
    <w:qFormat/>
    <w:uiPriority w:val="0"/>
    <w:pPr>
      <w:keepNext/>
      <w:spacing w:before="624" w:beforeLines="200" w:line="400" w:lineRule="exact"/>
      <w:jc w:val="center"/>
      <w:outlineLvl w:val="2"/>
    </w:pPr>
    <w:rPr>
      <w:rFonts w:ascii="Times New Roman"/>
      <w:b/>
      <w:bCs/>
      <w:kern w:val="2"/>
      <w:szCs w:val="24"/>
    </w:rPr>
  </w:style>
  <w:style w:type="paragraph" w:styleId="2">
    <w:name w:val="heading 4"/>
    <w:basedOn w:val="1"/>
    <w:next w:val="1"/>
    <w:link w:val="162"/>
    <w:autoRedefine/>
    <w:qFormat/>
    <w:uiPriority w:val="0"/>
    <w:pPr>
      <w:keepNext/>
      <w:keepLines/>
      <w:tabs>
        <w:tab w:val="left" w:pos="864"/>
      </w:tabs>
      <w:spacing w:before="120" w:beforeLines="0" w:line="360" w:lineRule="auto"/>
      <w:ind w:left="864" w:hanging="864"/>
      <w:outlineLvl w:val="3"/>
    </w:pPr>
    <w:rPr>
      <w:rFonts w:ascii="Arial" w:hAnsi="Arial"/>
      <w:bCs/>
      <w:kern w:val="2"/>
      <w:szCs w:val="28"/>
    </w:rPr>
  </w:style>
  <w:style w:type="paragraph" w:styleId="6">
    <w:name w:val="heading 5"/>
    <w:basedOn w:val="1"/>
    <w:next w:val="1"/>
    <w:link w:val="163"/>
    <w:autoRedefine/>
    <w:qFormat/>
    <w:uiPriority w:val="0"/>
    <w:pPr>
      <w:keepNext/>
      <w:keepLines/>
      <w:tabs>
        <w:tab w:val="left" w:pos="1008"/>
        <w:tab w:val="left" w:pos="1218"/>
      </w:tabs>
      <w:spacing w:before="60" w:beforeLines="0" w:line="360" w:lineRule="auto"/>
      <w:ind w:left="1008" w:hanging="1008"/>
      <w:outlineLvl w:val="4"/>
    </w:pPr>
    <w:rPr>
      <w:rFonts w:ascii="Arial Unicode MS" w:hAnsi="Arial Unicode MS"/>
      <w:bCs/>
      <w:kern w:val="2"/>
      <w:szCs w:val="24"/>
    </w:rPr>
  </w:style>
  <w:style w:type="paragraph" w:styleId="7">
    <w:name w:val="heading 6"/>
    <w:basedOn w:val="1"/>
    <w:next w:val="1"/>
    <w:link w:val="167"/>
    <w:qFormat/>
    <w:uiPriority w:val="0"/>
    <w:pPr>
      <w:keepNext/>
      <w:keepLines/>
      <w:tabs>
        <w:tab w:val="left" w:pos="1152"/>
      </w:tabs>
      <w:spacing w:before="60" w:beforeLines="0" w:line="360" w:lineRule="auto"/>
      <w:ind w:left="1152" w:hanging="1152"/>
      <w:outlineLvl w:val="5"/>
    </w:pPr>
    <w:rPr>
      <w:rFonts w:ascii="Arial Unicode MS" w:hAnsi="Arial Unicode MS"/>
      <w:bCs/>
      <w:kern w:val="2"/>
      <w:szCs w:val="24"/>
    </w:rPr>
  </w:style>
  <w:style w:type="paragraph" w:styleId="8">
    <w:name w:val="heading 7"/>
    <w:basedOn w:val="1"/>
    <w:next w:val="1"/>
    <w:link w:val="140"/>
    <w:autoRedefine/>
    <w:qFormat/>
    <w:uiPriority w:val="0"/>
    <w:pPr>
      <w:keepNext/>
      <w:tabs>
        <w:tab w:val="left" w:pos="1296"/>
      </w:tabs>
      <w:autoSpaceDE w:val="0"/>
      <w:autoSpaceDN w:val="0"/>
      <w:adjustRightInd w:val="0"/>
      <w:spacing w:line="288" w:lineRule="auto"/>
      <w:ind w:left="1296" w:hanging="1296"/>
      <w:outlineLvl w:val="6"/>
    </w:pPr>
    <w:rPr>
      <w:rFonts w:ascii="Arial" w:hAnsi="Arial"/>
      <w:b/>
      <w:color w:val="000000"/>
      <w:kern w:val="2"/>
      <w:sz w:val="15"/>
    </w:rPr>
  </w:style>
  <w:style w:type="paragraph" w:styleId="9">
    <w:name w:val="heading 8"/>
    <w:basedOn w:val="1"/>
    <w:next w:val="1"/>
    <w:link w:val="141"/>
    <w:autoRedefine/>
    <w:qFormat/>
    <w:uiPriority w:val="0"/>
    <w:pPr>
      <w:keepNext/>
      <w:tabs>
        <w:tab w:val="left" w:pos="1440"/>
      </w:tabs>
      <w:spacing w:line="360" w:lineRule="auto"/>
      <w:ind w:left="1440" w:hanging="1440"/>
      <w:outlineLvl w:val="7"/>
    </w:pPr>
    <w:rPr>
      <w:rFonts w:ascii="仿宋_GB2312" w:eastAsia="仿宋_GB2312"/>
      <w:b/>
      <w:kern w:val="2"/>
    </w:rPr>
  </w:style>
  <w:style w:type="paragraph" w:styleId="10">
    <w:name w:val="heading 9"/>
    <w:basedOn w:val="1"/>
    <w:next w:val="1"/>
    <w:link w:val="175"/>
    <w:autoRedefine/>
    <w:qFormat/>
    <w:uiPriority w:val="0"/>
    <w:pPr>
      <w:keepNext/>
      <w:keepLines/>
      <w:tabs>
        <w:tab w:val="left" w:pos="1584"/>
      </w:tabs>
      <w:spacing w:before="240" w:beforeLines="0" w:after="64" w:afterLines="0" w:line="320" w:lineRule="auto"/>
      <w:ind w:left="1584" w:hanging="1584"/>
      <w:outlineLvl w:val="8"/>
    </w:pPr>
    <w:rPr>
      <w:rFonts w:ascii="Arial" w:hAnsi="Arial" w:eastAsia="黑体"/>
      <w:kern w:val="2"/>
      <w:sz w:val="21"/>
      <w:szCs w:val="21"/>
    </w:rPr>
  </w:style>
  <w:style w:type="character" w:default="1" w:styleId="49">
    <w:name w:val="Default Paragraph Font"/>
    <w:autoRedefine/>
    <w:qFormat/>
    <w:uiPriority w:val="0"/>
  </w:style>
  <w:style w:type="table" w:default="1" w:styleId="47">
    <w:name w:val="Normal Table"/>
    <w:autoRedefine/>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ind w:left="2520" w:leftChars="1200"/>
    </w:pPr>
  </w:style>
  <w:style w:type="paragraph" w:styleId="12">
    <w:name w:val="Normal Indent"/>
    <w:basedOn w:val="1"/>
    <w:next w:val="1"/>
    <w:link w:val="142"/>
    <w:autoRedefine/>
    <w:qFormat/>
    <w:uiPriority w:val="0"/>
    <w:pPr>
      <w:spacing w:line="300" w:lineRule="auto"/>
      <w:ind w:firstLine="420" w:firstLineChars="200"/>
    </w:pPr>
    <w:rPr>
      <w:rFonts w:ascii="Times New Roman"/>
      <w:kern w:val="2"/>
      <w:sz w:val="21"/>
      <w:szCs w:val="24"/>
    </w:rPr>
  </w:style>
  <w:style w:type="paragraph" w:styleId="13">
    <w:name w:val="caption"/>
    <w:basedOn w:val="1"/>
    <w:next w:val="1"/>
    <w:link w:val="131"/>
    <w:autoRedefine/>
    <w:qFormat/>
    <w:uiPriority w:val="0"/>
    <w:pPr>
      <w:spacing w:before="152" w:beforeLines="0" w:after="160" w:afterLines="0"/>
    </w:pPr>
    <w:rPr>
      <w:rFonts w:ascii="Arial" w:hAnsi="Arial" w:eastAsia="黑体"/>
      <w:kern w:val="2"/>
      <w:sz w:val="20"/>
    </w:rPr>
  </w:style>
  <w:style w:type="paragraph" w:styleId="14">
    <w:name w:val="Document Map"/>
    <w:basedOn w:val="1"/>
    <w:link w:val="177"/>
    <w:autoRedefine/>
    <w:qFormat/>
    <w:uiPriority w:val="0"/>
    <w:pPr>
      <w:shd w:val="clear" w:color="auto" w:fill="000080"/>
    </w:pPr>
    <w:rPr>
      <w:rFonts w:ascii="Times New Roman"/>
      <w:kern w:val="2"/>
      <w:sz w:val="21"/>
    </w:rPr>
  </w:style>
  <w:style w:type="paragraph" w:styleId="15">
    <w:name w:val="toa heading"/>
    <w:basedOn w:val="1"/>
    <w:next w:val="1"/>
    <w:autoRedefine/>
    <w:semiHidden/>
    <w:unhideWhenUsed/>
    <w:qFormat/>
    <w:uiPriority w:val="99"/>
    <w:pPr>
      <w:spacing w:before="120"/>
    </w:pPr>
    <w:rPr>
      <w:rFonts w:ascii="Cambria" w:hAnsi="Cambria" w:cs="Times New Roman"/>
      <w:szCs w:val="24"/>
    </w:rPr>
  </w:style>
  <w:style w:type="paragraph" w:styleId="16">
    <w:name w:val="annotation text"/>
    <w:basedOn w:val="1"/>
    <w:link w:val="199"/>
    <w:autoRedefine/>
    <w:qFormat/>
    <w:uiPriority w:val="99"/>
    <w:pPr>
      <w:jc w:val="left"/>
    </w:pPr>
    <w:rPr>
      <w:rFonts w:ascii="Times New Roman"/>
      <w:kern w:val="2"/>
      <w:sz w:val="21"/>
      <w:szCs w:val="24"/>
    </w:rPr>
  </w:style>
  <w:style w:type="paragraph" w:styleId="17">
    <w:name w:val="Body Text 3"/>
    <w:basedOn w:val="1"/>
    <w:link w:val="178"/>
    <w:autoRedefine/>
    <w:qFormat/>
    <w:uiPriority w:val="0"/>
    <w:pPr>
      <w:jc w:val="center"/>
    </w:pPr>
    <w:rPr>
      <w:rFonts w:ascii="Times New Roman"/>
      <w:b/>
      <w:spacing w:val="-20"/>
      <w:w w:val="110"/>
      <w:kern w:val="2"/>
      <w:sz w:val="52"/>
    </w:rPr>
  </w:style>
  <w:style w:type="paragraph" w:styleId="18">
    <w:name w:val="Body Text"/>
    <w:basedOn w:val="1"/>
    <w:link w:val="168"/>
    <w:autoRedefine/>
    <w:qFormat/>
    <w:uiPriority w:val="0"/>
    <w:pPr>
      <w:spacing w:after="120" w:afterLines="0"/>
    </w:pPr>
    <w:rPr>
      <w:rFonts w:ascii="Times New Roman"/>
      <w:kern w:val="2"/>
      <w:sz w:val="21"/>
    </w:rPr>
  </w:style>
  <w:style w:type="paragraph" w:styleId="19">
    <w:name w:val="Body Text Indent"/>
    <w:basedOn w:val="1"/>
    <w:next w:val="1"/>
    <w:link w:val="139"/>
    <w:autoRedefine/>
    <w:qFormat/>
    <w:uiPriority w:val="0"/>
    <w:pPr>
      <w:widowControl/>
      <w:ind w:firstLine="652" w:firstLineChars="233"/>
    </w:pPr>
    <w:rPr>
      <w:rFonts w:ascii="Times New Roman"/>
      <w:sz w:val="28"/>
    </w:rPr>
  </w:style>
  <w:style w:type="paragraph" w:styleId="20">
    <w:name w:val="HTML Address"/>
    <w:basedOn w:val="1"/>
    <w:autoRedefine/>
    <w:qFormat/>
    <w:uiPriority w:val="0"/>
    <w:pPr>
      <w:widowControl/>
      <w:jc w:val="left"/>
    </w:pPr>
    <w:rPr>
      <w:rFonts w:ascii="宋体" w:hAnsi="宋体" w:cs="宋体"/>
      <w:i/>
      <w:iCs/>
      <w:kern w:val="0"/>
      <w:sz w:val="24"/>
      <w:szCs w:val="24"/>
    </w:rPr>
  </w:style>
  <w:style w:type="paragraph" w:styleId="21">
    <w:name w:val="toc 5"/>
    <w:basedOn w:val="1"/>
    <w:next w:val="1"/>
    <w:autoRedefine/>
    <w:unhideWhenUsed/>
    <w:qFormat/>
    <w:uiPriority w:val="39"/>
    <w:pPr>
      <w:ind w:left="1680" w:leftChars="800"/>
    </w:pPr>
  </w:style>
  <w:style w:type="paragraph" w:styleId="22">
    <w:name w:val="toc 3"/>
    <w:basedOn w:val="1"/>
    <w:next w:val="1"/>
    <w:autoRedefine/>
    <w:unhideWhenUsed/>
    <w:qFormat/>
    <w:uiPriority w:val="39"/>
    <w:pPr>
      <w:ind w:left="840" w:leftChars="400"/>
    </w:pPr>
  </w:style>
  <w:style w:type="paragraph" w:styleId="23">
    <w:name w:val="Plain Text"/>
    <w:basedOn w:val="1"/>
    <w:link w:val="156"/>
    <w:autoRedefine/>
    <w:qFormat/>
    <w:uiPriority w:val="0"/>
    <w:rPr>
      <w:rFonts w:hAnsi="Courier New"/>
      <w:kern w:val="2"/>
      <w:sz w:val="21"/>
    </w:rPr>
  </w:style>
  <w:style w:type="paragraph" w:styleId="24">
    <w:name w:val="toc 8"/>
    <w:basedOn w:val="1"/>
    <w:next w:val="1"/>
    <w:autoRedefine/>
    <w:unhideWhenUsed/>
    <w:qFormat/>
    <w:uiPriority w:val="39"/>
    <w:pPr>
      <w:ind w:left="2940" w:leftChars="1400"/>
    </w:pPr>
  </w:style>
  <w:style w:type="paragraph" w:styleId="25">
    <w:name w:val="Date"/>
    <w:basedOn w:val="1"/>
    <w:next w:val="1"/>
    <w:link w:val="171"/>
    <w:autoRedefine/>
    <w:qFormat/>
    <w:uiPriority w:val="0"/>
    <w:rPr>
      <w:rFonts w:ascii="Times New Roman"/>
      <w:kern w:val="2"/>
      <w:sz w:val="28"/>
    </w:rPr>
  </w:style>
  <w:style w:type="paragraph" w:styleId="26">
    <w:name w:val="Body Text Indent 2"/>
    <w:basedOn w:val="1"/>
    <w:link w:val="172"/>
    <w:autoRedefine/>
    <w:qFormat/>
    <w:uiPriority w:val="99"/>
    <w:pPr>
      <w:tabs>
        <w:tab w:val="left" w:pos="5625"/>
      </w:tabs>
      <w:ind w:left="1138" w:leftChars="542"/>
    </w:pPr>
    <w:rPr>
      <w:rFonts w:ascii="Times New Roman"/>
      <w:kern w:val="2"/>
    </w:rPr>
  </w:style>
  <w:style w:type="paragraph" w:styleId="27">
    <w:name w:val="Balloon Text"/>
    <w:basedOn w:val="1"/>
    <w:link w:val="155"/>
    <w:autoRedefine/>
    <w:qFormat/>
    <w:uiPriority w:val="99"/>
    <w:rPr>
      <w:rFonts w:ascii="Times New Roman"/>
      <w:kern w:val="2"/>
      <w:sz w:val="18"/>
      <w:szCs w:val="18"/>
    </w:rPr>
  </w:style>
  <w:style w:type="paragraph" w:styleId="28">
    <w:name w:val="footer"/>
    <w:basedOn w:val="1"/>
    <w:link w:val="185"/>
    <w:autoRedefine/>
    <w:qFormat/>
    <w:uiPriority w:val="99"/>
    <w:pPr>
      <w:tabs>
        <w:tab w:val="center" w:pos="4153"/>
        <w:tab w:val="right" w:pos="8306"/>
      </w:tabs>
      <w:snapToGrid w:val="0"/>
      <w:jc w:val="left"/>
    </w:pPr>
    <w:rPr>
      <w:rFonts w:ascii="Times New Roman"/>
      <w:kern w:val="2"/>
      <w:sz w:val="18"/>
      <w:szCs w:val="18"/>
    </w:rPr>
  </w:style>
  <w:style w:type="paragraph" w:styleId="29">
    <w:name w:val="envelope return"/>
    <w:basedOn w:val="1"/>
    <w:autoRedefine/>
    <w:qFormat/>
    <w:uiPriority w:val="0"/>
    <w:pPr>
      <w:snapToGrid w:val="0"/>
    </w:pPr>
    <w:rPr>
      <w:rFonts w:ascii="Arial" w:hAnsi="Arial"/>
    </w:rPr>
  </w:style>
  <w:style w:type="paragraph" w:styleId="30">
    <w:name w:val="header"/>
    <w:basedOn w:val="1"/>
    <w:link w:val="188"/>
    <w:autoRedefine/>
    <w:qFormat/>
    <w:uiPriority w:val="99"/>
    <w:pPr>
      <w:pBdr>
        <w:bottom w:val="single" w:color="auto" w:sz="6" w:space="1"/>
      </w:pBdr>
      <w:tabs>
        <w:tab w:val="center" w:pos="4153"/>
        <w:tab w:val="right" w:pos="8306"/>
      </w:tabs>
      <w:snapToGrid w:val="0"/>
      <w:jc w:val="center"/>
    </w:pPr>
    <w:rPr>
      <w:rFonts w:ascii="Times New Roman"/>
      <w:kern w:val="2"/>
      <w:sz w:val="18"/>
      <w:szCs w:val="18"/>
    </w:rPr>
  </w:style>
  <w:style w:type="paragraph" w:styleId="31">
    <w:name w:val="toc 1"/>
    <w:basedOn w:val="1"/>
    <w:next w:val="1"/>
    <w:autoRedefine/>
    <w:unhideWhenUsed/>
    <w:qFormat/>
    <w:uiPriority w:val="39"/>
  </w:style>
  <w:style w:type="paragraph" w:styleId="32">
    <w:name w:val="toc 4"/>
    <w:basedOn w:val="1"/>
    <w:next w:val="1"/>
    <w:autoRedefine/>
    <w:unhideWhenUsed/>
    <w:qFormat/>
    <w:uiPriority w:val="39"/>
    <w:pPr>
      <w:ind w:left="1260" w:leftChars="600"/>
    </w:pPr>
  </w:style>
  <w:style w:type="paragraph" w:styleId="33">
    <w:name w:val="Subtitle"/>
    <w:basedOn w:val="1"/>
    <w:next w:val="1"/>
    <w:link w:val="148"/>
    <w:autoRedefine/>
    <w:qFormat/>
    <w:uiPriority w:val="0"/>
    <w:pPr>
      <w:spacing w:before="240" w:beforeLines="0" w:after="60" w:afterLines="0" w:line="312" w:lineRule="auto"/>
      <w:jc w:val="center"/>
      <w:outlineLvl w:val="1"/>
    </w:pPr>
    <w:rPr>
      <w:rFonts w:ascii="Cambria" w:hAnsi="Cambria"/>
      <w:b/>
      <w:bCs/>
      <w:kern w:val="28"/>
      <w:sz w:val="32"/>
      <w:szCs w:val="32"/>
    </w:rPr>
  </w:style>
  <w:style w:type="paragraph" w:styleId="34">
    <w:name w:val="List"/>
    <w:basedOn w:val="1"/>
    <w:autoRedefine/>
    <w:qFormat/>
    <w:uiPriority w:val="0"/>
    <w:pPr>
      <w:numPr>
        <w:ilvl w:val="1"/>
        <w:numId w:val="1"/>
      </w:numPr>
      <w:spacing w:line="360" w:lineRule="auto"/>
      <w:jc w:val="left"/>
    </w:pPr>
    <w:rPr>
      <w:szCs w:val="24"/>
    </w:rPr>
  </w:style>
  <w:style w:type="paragraph" w:styleId="35">
    <w:name w:val="toc 6"/>
    <w:basedOn w:val="1"/>
    <w:next w:val="1"/>
    <w:autoRedefine/>
    <w:unhideWhenUsed/>
    <w:qFormat/>
    <w:uiPriority w:val="39"/>
    <w:pPr>
      <w:ind w:left="2100" w:leftChars="1000"/>
    </w:pPr>
  </w:style>
  <w:style w:type="paragraph" w:styleId="36">
    <w:name w:val="Body Text Indent 3"/>
    <w:basedOn w:val="1"/>
    <w:link w:val="174"/>
    <w:autoRedefine/>
    <w:qFormat/>
    <w:uiPriority w:val="0"/>
    <w:pPr>
      <w:spacing w:line="410" w:lineRule="exact"/>
      <w:ind w:left="619" w:leftChars="295" w:firstLine="390" w:firstLineChars="179"/>
    </w:pPr>
    <w:rPr>
      <w:rFonts w:hAnsi="宋体"/>
      <w:spacing w:val="4"/>
      <w:kern w:val="2"/>
      <w:sz w:val="21"/>
    </w:rPr>
  </w:style>
  <w:style w:type="paragraph" w:styleId="37">
    <w:name w:val="toc 2"/>
    <w:basedOn w:val="1"/>
    <w:next w:val="1"/>
    <w:autoRedefine/>
    <w:unhideWhenUsed/>
    <w:qFormat/>
    <w:uiPriority w:val="39"/>
    <w:pPr>
      <w:ind w:left="420" w:leftChars="200"/>
    </w:pPr>
  </w:style>
  <w:style w:type="paragraph" w:styleId="38">
    <w:name w:val="toc 9"/>
    <w:basedOn w:val="1"/>
    <w:next w:val="1"/>
    <w:autoRedefine/>
    <w:unhideWhenUsed/>
    <w:qFormat/>
    <w:uiPriority w:val="39"/>
    <w:pPr>
      <w:ind w:left="3360" w:leftChars="1600"/>
    </w:pPr>
  </w:style>
  <w:style w:type="paragraph" w:styleId="39">
    <w:name w:val="Body Text 2"/>
    <w:basedOn w:val="1"/>
    <w:link w:val="180"/>
    <w:autoRedefine/>
    <w:qFormat/>
    <w:uiPriority w:val="0"/>
    <w:rPr>
      <w:rFonts w:ascii="楷体_GB2312" w:hAnsi="Copperplate Gothic Bold" w:eastAsia="楷体_GB2312"/>
      <w:kern w:val="2"/>
      <w:sz w:val="28"/>
    </w:rPr>
  </w:style>
  <w:style w:type="paragraph" w:styleId="40">
    <w:name w:val="Message Header"/>
    <w:basedOn w:val="1"/>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 w:val="24"/>
    </w:rPr>
  </w:style>
  <w:style w:type="paragraph" w:styleId="41">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黑体" w:hAnsi="Courier New" w:eastAsia="黑体" w:cs="Courier New"/>
      <w:kern w:val="0"/>
      <w:sz w:val="20"/>
    </w:rPr>
  </w:style>
  <w:style w:type="paragraph" w:styleId="42">
    <w:name w:val="Normal (Web)"/>
    <w:basedOn w:val="1"/>
    <w:next w:val="29"/>
    <w:autoRedefine/>
    <w:qFormat/>
    <w:uiPriority w:val="0"/>
    <w:pPr>
      <w:widowControl/>
      <w:spacing w:before="100" w:beforeLines="0" w:beforeAutospacing="1" w:after="100" w:afterLines="0" w:afterAutospacing="1"/>
      <w:jc w:val="left"/>
    </w:pPr>
    <w:rPr>
      <w:rFonts w:ascii="宋体" w:hAnsi="宋体"/>
      <w:kern w:val="0"/>
      <w:sz w:val="24"/>
      <w:szCs w:val="24"/>
    </w:rPr>
  </w:style>
  <w:style w:type="paragraph" w:styleId="43">
    <w:name w:val="Title"/>
    <w:basedOn w:val="1"/>
    <w:next w:val="1"/>
    <w:link w:val="191"/>
    <w:autoRedefine/>
    <w:qFormat/>
    <w:uiPriority w:val="0"/>
    <w:pPr>
      <w:spacing w:before="240" w:beforeLines="0" w:after="60" w:afterLines="0"/>
      <w:jc w:val="center"/>
      <w:outlineLvl w:val="0"/>
    </w:pPr>
    <w:rPr>
      <w:rFonts w:ascii="Cambria" w:hAnsi="Cambria"/>
      <w:b/>
      <w:bCs/>
      <w:kern w:val="2"/>
      <w:sz w:val="32"/>
      <w:szCs w:val="32"/>
    </w:rPr>
  </w:style>
  <w:style w:type="paragraph" w:styleId="44">
    <w:name w:val="annotation subject"/>
    <w:basedOn w:val="16"/>
    <w:next w:val="16"/>
    <w:link w:val="184"/>
    <w:autoRedefine/>
    <w:qFormat/>
    <w:uiPriority w:val="0"/>
    <w:rPr>
      <w:b/>
      <w:bCs/>
    </w:rPr>
  </w:style>
  <w:style w:type="paragraph" w:styleId="45">
    <w:name w:val="Body Text First Indent"/>
    <w:basedOn w:val="18"/>
    <w:autoRedefine/>
    <w:unhideWhenUsed/>
    <w:qFormat/>
    <w:uiPriority w:val="99"/>
    <w:pPr>
      <w:ind w:firstLine="420" w:firstLineChars="100"/>
    </w:pPr>
  </w:style>
  <w:style w:type="paragraph" w:styleId="46">
    <w:name w:val="Body Text First Indent 2"/>
    <w:basedOn w:val="19"/>
    <w:next w:val="45"/>
    <w:autoRedefine/>
    <w:qFormat/>
    <w:uiPriority w:val="99"/>
    <w:pPr>
      <w:spacing w:after="120"/>
      <w:ind w:left="420" w:leftChars="200" w:firstLine="420" w:firstLineChars="200"/>
      <w:jc w:val="left"/>
    </w:pPr>
    <w:rPr>
      <w:rFonts w:ascii="Times New Roman"/>
      <w:sz w:val="20"/>
      <w:szCs w:val="22"/>
    </w:rPr>
  </w:style>
  <w:style w:type="table" w:styleId="48">
    <w:name w:val="Table Grid"/>
    <w:basedOn w:val="4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Strong"/>
    <w:autoRedefine/>
    <w:qFormat/>
    <w:uiPriority w:val="22"/>
    <w:rPr>
      <w:b/>
      <w:bCs/>
    </w:rPr>
  </w:style>
  <w:style w:type="character" w:styleId="51">
    <w:name w:val="page number"/>
    <w:basedOn w:val="49"/>
    <w:autoRedefine/>
    <w:qFormat/>
    <w:uiPriority w:val="0"/>
  </w:style>
  <w:style w:type="character" w:styleId="52">
    <w:name w:val="FollowedHyperlink"/>
    <w:basedOn w:val="49"/>
    <w:autoRedefine/>
    <w:qFormat/>
    <w:uiPriority w:val="0"/>
    <w:rPr>
      <w:color w:val="333333"/>
      <w:u w:val="none"/>
    </w:rPr>
  </w:style>
  <w:style w:type="character" w:styleId="53">
    <w:name w:val="Emphasis"/>
    <w:autoRedefine/>
    <w:qFormat/>
    <w:uiPriority w:val="0"/>
    <w:rPr>
      <w:i/>
      <w:iCs/>
    </w:rPr>
  </w:style>
  <w:style w:type="character" w:styleId="54">
    <w:name w:val="HTML Definition"/>
    <w:basedOn w:val="49"/>
    <w:autoRedefine/>
    <w:unhideWhenUsed/>
    <w:qFormat/>
    <w:uiPriority w:val="99"/>
    <w:rPr>
      <w:i/>
      <w:iCs/>
      <w:sz w:val="20"/>
      <w:szCs w:val="20"/>
    </w:rPr>
  </w:style>
  <w:style w:type="character" w:styleId="55">
    <w:name w:val="HTML Typewriter"/>
    <w:autoRedefine/>
    <w:qFormat/>
    <w:uiPriority w:val="0"/>
    <w:rPr>
      <w:rFonts w:ascii="黑体" w:hAnsi="Courier New" w:eastAsia="黑体" w:cs="Courier New"/>
      <w:sz w:val="20"/>
      <w:szCs w:val="20"/>
    </w:rPr>
  </w:style>
  <w:style w:type="character" w:styleId="56">
    <w:name w:val="HTML Acronym"/>
    <w:basedOn w:val="49"/>
    <w:autoRedefine/>
    <w:semiHidden/>
    <w:unhideWhenUsed/>
    <w:qFormat/>
    <w:uiPriority w:val="99"/>
  </w:style>
  <w:style w:type="character" w:styleId="57">
    <w:name w:val="HTML Variable"/>
    <w:basedOn w:val="49"/>
    <w:autoRedefine/>
    <w:semiHidden/>
    <w:unhideWhenUsed/>
    <w:qFormat/>
    <w:uiPriority w:val="99"/>
  </w:style>
  <w:style w:type="character" w:styleId="58">
    <w:name w:val="Hyperlink"/>
    <w:basedOn w:val="49"/>
    <w:autoRedefine/>
    <w:qFormat/>
    <w:uiPriority w:val="99"/>
    <w:rPr>
      <w:color w:val="333333"/>
      <w:u w:val="none"/>
    </w:rPr>
  </w:style>
  <w:style w:type="character" w:styleId="59">
    <w:name w:val="HTML Code"/>
    <w:basedOn w:val="49"/>
    <w:autoRedefine/>
    <w:unhideWhenUsed/>
    <w:qFormat/>
    <w:uiPriority w:val="99"/>
    <w:rPr>
      <w:rFonts w:hint="default" w:ascii="Consolas" w:hAnsi="Consolas" w:eastAsia="Consolas" w:cs="Consolas"/>
      <w:color w:val="C7254E"/>
      <w:sz w:val="21"/>
      <w:szCs w:val="21"/>
      <w:shd w:val="clear" w:color="auto" w:fill="F9F2F4"/>
    </w:rPr>
  </w:style>
  <w:style w:type="character" w:styleId="60">
    <w:name w:val="annotation reference"/>
    <w:autoRedefine/>
    <w:qFormat/>
    <w:uiPriority w:val="99"/>
    <w:rPr>
      <w:sz w:val="21"/>
      <w:szCs w:val="21"/>
    </w:rPr>
  </w:style>
  <w:style w:type="character" w:styleId="61">
    <w:name w:val="HTML Cite"/>
    <w:basedOn w:val="49"/>
    <w:autoRedefine/>
    <w:semiHidden/>
    <w:unhideWhenUsed/>
    <w:qFormat/>
    <w:uiPriority w:val="99"/>
  </w:style>
  <w:style w:type="character" w:styleId="62">
    <w:name w:val="HTML Keyboard"/>
    <w:basedOn w:val="49"/>
    <w:autoRedefine/>
    <w:unhideWhenUsed/>
    <w:qFormat/>
    <w:uiPriority w:val="99"/>
    <w:rPr>
      <w:rFonts w:ascii="Consolas" w:hAnsi="Consolas" w:eastAsia="Consolas" w:cs="Consolas"/>
      <w:color w:val="FFFFFF"/>
      <w:sz w:val="21"/>
      <w:szCs w:val="21"/>
      <w:shd w:val="clear" w:color="auto" w:fill="333333"/>
    </w:rPr>
  </w:style>
  <w:style w:type="character" w:styleId="63">
    <w:name w:val="HTML Sample"/>
    <w:basedOn w:val="49"/>
    <w:autoRedefine/>
    <w:unhideWhenUsed/>
    <w:qFormat/>
    <w:uiPriority w:val="99"/>
    <w:rPr>
      <w:rFonts w:hint="default" w:ascii="Consolas" w:hAnsi="Consolas" w:eastAsia="Consolas" w:cs="Consolas"/>
      <w:sz w:val="21"/>
      <w:szCs w:val="21"/>
    </w:rPr>
  </w:style>
  <w:style w:type="character" w:customStyle="1" w:styleId="64">
    <w:name w:val="标题 3 Char"/>
    <w:link w:val="5"/>
    <w:autoRedefine/>
    <w:qFormat/>
    <w:uiPriority w:val="0"/>
    <w:rPr>
      <w:b/>
      <w:bCs/>
      <w:kern w:val="2"/>
      <w:sz w:val="24"/>
      <w:szCs w:val="24"/>
    </w:rPr>
  </w:style>
  <w:style w:type="paragraph" w:customStyle="1" w:styleId="65">
    <w:name w:val="Default"/>
    <w:autoRedefine/>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66">
    <w:name w:val="正文缩进1"/>
    <w:basedOn w:val="1"/>
    <w:autoRedefine/>
    <w:qFormat/>
    <w:uiPriority w:val="0"/>
    <w:pPr>
      <w:ind w:firstLine="420" w:firstLineChars="200"/>
    </w:pPr>
  </w:style>
  <w:style w:type="paragraph" w:styleId="67">
    <w:name w:val="No Spacing"/>
    <w:link w:val="151"/>
    <w:autoRedefine/>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68">
    <w:name w:val="title1"/>
    <w:basedOn w:val="1"/>
    <w:autoRedefine/>
    <w:qFormat/>
    <w:uiPriority w:val="0"/>
    <w:pPr>
      <w:spacing w:before="150" w:beforeAutospacing="0" w:after="0" w:afterAutospacing="0"/>
      <w:ind w:left="0" w:right="0" w:firstLine="0"/>
      <w:jc w:val="left"/>
    </w:pPr>
    <w:rPr>
      <w:b/>
      <w:kern w:val="0"/>
      <w:sz w:val="22"/>
      <w:szCs w:val="22"/>
      <w:lang w:val="en-US" w:eastAsia="zh-CN" w:bidi="ar"/>
    </w:rPr>
  </w:style>
  <w:style w:type="paragraph" w:customStyle="1" w:styleId="69">
    <w:name w:val="表内文字"/>
    <w:basedOn w:val="1"/>
    <w:autoRedefine/>
    <w:qFormat/>
    <w:uiPriority w:val="0"/>
    <w:pPr>
      <w:jc w:val="left"/>
    </w:pPr>
    <w:rPr>
      <w:szCs w:val="24"/>
    </w:rPr>
  </w:style>
  <w:style w:type="paragraph" w:customStyle="1" w:styleId="70">
    <w:name w:val="缺省文本"/>
    <w:basedOn w:val="1"/>
    <w:autoRedefine/>
    <w:qFormat/>
    <w:uiPriority w:val="0"/>
    <w:pPr>
      <w:autoSpaceDE w:val="0"/>
      <w:autoSpaceDN w:val="0"/>
      <w:adjustRightInd w:val="0"/>
      <w:jc w:val="left"/>
    </w:pPr>
    <w:rPr>
      <w:kern w:val="0"/>
      <w:sz w:val="24"/>
    </w:rPr>
  </w:style>
  <w:style w:type="paragraph" w:customStyle="1" w:styleId="71">
    <w:name w:val="小标题 2"/>
    <w:basedOn w:val="1"/>
    <w:autoRedefine/>
    <w:qFormat/>
    <w:uiPriority w:val="0"/>
    <w:pPr>
      <w:autoSpaceDE w:val="0"/>
      <w:autoSpaceDN w:val="0"/>
      <w:adjustRightInd w:val="0"/>
    </w:pPr>
    <w:rPr>
      <w:rFonts w:ascii="黑体" w:eastAsia="黑体" w:cs="黑体"/>
      <w:kern w:val="0"/>
      <w:sz w:val="24"/>
      <w:szCs w:val="24"/>
    </w:rPr>
  </w:style>
  <w:style w:type="paragraph" w:customStyle="1" w:styleId="72">
    <w:name w:val="表格文字中"/>
    <w:basedOn w:val="1"/>
    <w:autoRedefine/>
    <w:qFormat/>
    <w:uiPriority w:val="0"/>
    <w:pPr>
      <w:adjustRightInd w:val="0"/>
      <w:snapToGrid w:val="0"/>
      <w:ind w:left="22" w:leftChars="8"/>
      <w:jc w:val="center"/>
    </w:pPr>
    <w:rPr>
      <w:kern w:val="0"/>
      <w:szCs w:val="24"/>
    </w:rPr>
  </w:style>
  <w:style w:type="paragraph" w:customStyle="1" w:styleId="73">
    <w:name w:val="样式3"/>
    <w:basedOn w:val="23"/>
    <w:autoRedefine/>
    <w:qFormat/>
    <w:uiPriority w:val="0"/>
    <w:pPr>
      <w:spacing w:line="0" w:lineRule="atLeast"/>
      <w:outlineLvl w:val="0"/>
    </w:pPr>
    <w:rPr>
      <w:sz w:val="28"/>
    </w:rPr>
  </w:style>
  <w:style w:type="paragraph" w:customStyle="1" w:styleId="74">
    <w:name w:val="文字列表"/>
    <w:basedOn w:val="1"/>
    <w:autoRedefine/>
    <w:qFormat/>
    <w:uiPriority w:val="0"/>
    <w:pPr>
      <w:tabs>
        <w:tab w:val="left" w:pos="420"/>
      </w:tabs>
      <w:spacing w:line="360" w:lineRule="auto"/>
      <w:ind w:left="358" w:leftChars="128" w:firstLine="2"/>
    </w:pPr>
    <w:rPr>
      <w:spacing w:val="20"/>
      <w:sz w:val="24"/>
      <w:szCs w:val="24"/>
    </w:rPr>
  </w:style>
  <w:style w:type="paragraph" w:customStyle="1" w:styleId="75">
    <w:name w:val="正文1"/>
    <w:autoRedefine/>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76">
    <w:name w:val="1册标题2"/>
    <w:basedOn w:val="1"/>
    <w:next w:val="1"/>
    <w:autoRedefine/>
    <w:qFormat/>
    <w:uiPriority w:val="0"/>
    <w:pPr>
      <w:adjustRightInd w:val="0"/>
      <w:spacing w:before="156" w:beforeLines="50" w:after="156" w:afterLines="50" w:line="300" w:lineRule="auto"/>
      <w:jc w:val="center"/>
      <w:textAlignment w:val="baseline"/>
      <w:outlineLvl w:val="1"/>
    </w:pPr>
    <w:rPr>
      <w:rFonts w:ascii="Arial" w:hAnsi="Arial" w:eastAsia="黑体"/>
      <w:bCs/>
      <w:kern w:val="0"/>
      <w:sz w:val="32"/>
      <w:szCs w:val="24"/>
    </w:rPr>
  </w:style>
  <w:style w:type="paragraph" w:customStyle="1" w:styleId="77">
    <w:name w:val="普通(网站)1"/>
    <w:basedOn w:val="1"/>
    <w:autoRedefine/>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78">
    <w:name w:val="Char1"/>
    <w:basedOn w:val="1"/>
    <w:autoRedefine/>
    <w:qFormat/>
    <w:uiPriority w:val="0"/>
    <w:pPr>
      <w:tabs>
        <w:tab w:val="left" w:pos="360"/>
      </w:tabs>
      <w:ind w:left="360" w:hanging="360" w:hangingChars="200"/>
    </w:pPr>
    <w:rPr>
      <w:sz w:val="24"/>
      <w:szCs w:val="24"/>
    </w:rPr>
  </w:style>
  <w:style w:type="paragraph" w:customStyle="1" w:styleId="79">
    <w:name w:val="List Paragraph1"/>
    <w:basedOn w:val="1"/>
    <w:autoRedefine/>
    <w:qFormat/>
    <w:uiPriority w:val="34"/>
    <w:pPr>
      <w:ind w:firstLine="420" w:firstLineChars="200"/>
    </w:pPr>
  </w:style>
  <w:style w:type="paragraph" w:customStyle="1" w:styleId="80">
    <w:name w:val="Normal"/>
    <w:autoRedefine/>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81">
    <w:name w:val="正文空2格  1."/>
    <w:basedOn w:val="1"/>
    <w:autoRedefine/>
    <w:qFormat/>
    <w:uiPriority w:val="0"/>
    <w:pPr>
      <w:adjustRightInd w:val="0"/>
      <w:spacing w:line="360" w:lineRule="auto"/>
      <w:ind w:firstLine="480" w:firstLineChars="200"/>
      <w:textAlignment w:val="baseline"/>
    </w:pPr>
    <w:rPr>
      <w:rFonts w:ascii="宋体" w:eastAsia="仿宋" w:cs="宋体"/>
      <w:kern w:val="0"/>
      <w:sz w:val="28"/>
    </w:rPr>
  </w:style>
  <w:style w:type="paragraph" w:customStyle="1" w:styleId="82">
    <w:name w:val="Q/19LGT01—2001"/>
    <w:basedOn w:val="1"/>
    <w:autoRedefine/>
    <w:qFormat/>
    <w:uiPriority w:val="0"/>
    <w:pPr>
      <w:tabs>
        <w:tab w:val="left" w:pos="555"/>
      </w:tabs>
      <w:spacing w:line="360" w:lineRule="auto"/>
      <w:ind w:firstLine="420" w:firstLineChars="200"/>
    </w:pPr>
    <w:rPr>
      <w:rFonts w:ascii="宋体" w:hAnsi="宋体"/>
      <w:bCs/>
    </w:rPr>
  </w:style>
  <w:style w:type="paragraph" w:customStyle="1" w:styleId="83">
    <w:name w:val="Char12"/>
    <w:basedOn w:val="1"/>
    <w:autoRedefine/>
    <w:qFormat/>
    <w:uiPriority w:val="0"/>
    <w:pPr>
      <w:tabs>
        <w:tab w:val="left" w:pos="360"/>
      </w:tabs>
    </w:pPr>
    <w:rPr>
      <w:sz w:val="24"/>
      <w:szCs w:val="24"/>
    </w:rPr>
  </w:style>
  <w:style w:type="paragraph" w:customStyle="1" w:styleId="84">
    <w:name w:val="Normal (Web)"/>
    <w:basedOn w:val="1"/>
    <w:autoRedefine/>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85">
    <w:name w:val="无间隔1"/>
    <w:basedOn w:val="1"/>
    <w:autoRedefine/>
    <w:qFormat/>
    <w:uiPriority w:val="0"/>
    <w:pPr>
      <w:widowControl/>
      <w:jc w:val="left"/>
    </w:pPr>
    <w:rPr>
      <w:kern w:val="0"/>
      <w:sz w:val="22"/>
      <w:szCs w:val="20"/>
      <w:lang w:eastAsia="en-US" w:bidi="en-US"/>
    </w:rPr>
  </w:style>
  <w:style w:type="paragraph" w:customStyle="1" w:styleId="86">
    <w:name w:val="列出段落1"/>
    <w:basedOn w:val="1"/>
    <w:autoRedefine/>
    <w:qFormat/>
    <w:uiPriority w:val="99"/>
    <w:pPr>
      <w:ind w:firstLine="420" w:firstLineChars="200"/>
    </w:pPr>
  </w:style>
  <w:style w:type="paragraph" w:customStyle="1" w:styleId="87">
    <w:name w:val="表格标题"/>
    <w:basedOn w:val="1"/>
    <w:autoRedefine/>
    <w:qFormat/>
    <w:uiPriority w:val="0"/>
    <w:pPr>
      <w:adjustRightInd w:val="0"/>
      <w:snapToGrid w:val="0"/>
      <w:spacing w:before="156" w:beforeLines="50" w:after="156" w:afterLines="50"/>
      <w:ind w:left="22" w:leftChars="8"/>
      <w:jc w:val="center"/>
    </w:pPr>
    <w:rPr>
      <w:b/>
      <w:bCs/>
      <w:color w:val="000000"/>
      <w:sz w:val="32"/>
      <w:szCs w:val="32"/>
    </w:rPr>
  </w:style>
  <w:style w:type="paragraph" w:customStyle="1" w:styleId="88">
    <w:name w:val="正文序号 2"/>
    <w:basedOn w:val="1"/>
    <w:autoRedefine/>
    <w:qFormat/>
    <w:uiPriority w:val="0"/>
    <w:pPr>
      <w:numPr>
        <w:ilvl w:val="1"/>
        <w:numId w:val="2"/>
      </w:numPr>
      <w:spacing w:before="60" w:beforeLines="0"/>
    </w:pPr>
    <w:rPr>
      <w:szCs w:val="24"/>
    </w:rPr>
  </w:style>
  <w:style w:type="paragraph" w:customStyle="1" w:styleId="89">
    <w:name w:val="日期1"/>
    <w:basedOn w:val="1"/>
    <w:next w:val="1"/>
    <w:autoRedefine/>
    <w:qFormat/>
    <w:uiPriority w:val="0"/>
    <w:rPr>
      <w:rFonts w:ascii="黑体" w:eastAsia="黑体"/>
      <w:sz w:val="28"/>
    </w:rPr>
  </w:style>
  <w:style w:type="paragraph" w:customStyle="1" w:styleId="90">
    <w:name w:val="招标书 正文"/>
    <w:basedOn w:val="1"/>
    <w:link w:val="146"/>
    <w:autoRedefine/>
    <w:qFormat/>
    <w:uiPriority w:val="0"/>
    <w:pPr>
      <w:widowControl/>
      <w:snapToGrid w:val="0"/>
      <w:spacing w:line="560" w:lineRule="exact"/>
      <w:ind w:firstLine="560" w:firstLineChars="200"/>
      <w:jc w:val="left"/>
    </w:pPr>
    <w:rPr>
      <w:rFonts w:hAnsi="宋体"/>
      <w:color w:val="000000"/>
      <w:szCs w:val="28"/>
    </w:rPr>
  </w:style>
  <w:style w:type="paragraph" w:customStyle="1" w:styleId="91">
    <w:name w:val="xl24"/>
    <w:basedOn w:val="1"/>
    <w:autoRedefine/>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textAlignment w:val="top"/>
    </w:pPr>
    <w:rPr>
      <w:rFonts w:ascii="宋体" w:hAnsi="宋体"/>
      <w:b/>
      <w:bCs/>
      <w:kern w:val="0"/>
      <w:sz w:val="24"/>
      <w:szCs w:val="24"/>
    </w:rPr>
  </w:style>
  <w:style w:type="paragraph" w:customStyle="1" w:styleId="92">
    <w:name w:val="reader-word-layer"/>
    <w:basedOn w:val="1"/>
    <w:autoRedefine/>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93">
    <w:name w:val="ec_msonormal"/>
    <w:basedOn w:val="1"/>
    <w:autoRedefine/>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94">
    <w:name w:val="Char Char1"/>
    <w:basedOn w:val="1"/>
    <w:autoRedefine/>
    <w:qFormat/>
    <w:uiPriority w:val="0"/>
    <w:pPr>
      <w:widowControl/>
      <w:spacing w:after="160" w:afterLines="0" w:line="240" w:lineRule="exact"/>
      <w:jc w:val="left"/>
    </w:pPr>
    <w:rPr>
      <w:rFonts w:ascii="Verdana" w:hAnsi="Verdana" w:eastAsia="楷体_GB2312"/>
      <w:b/>
      <w:i/>
      <w:iCs/>
      <w:color w:val="000000"/>
      <w:kern w:val="0"/>
      <w:sz w:val="20"/>
      <w:lang w:eastAsia="en-US"/>
    </w:rPr>
  </w:style>
  <w:style w:type="paragraph" w:customStyle="1" w:styleId="95">
    <w:name w:val="_Style 37"/>
    <w:basedOn w:val="1"/>
    <w:autoRedefine/>
    <w:qFormat/>
    <w:uiPriority w:val="0"/>
    <w:pPr>
      <w:widowControl/>
      <w:spacing w:after="160" w:afterLines="0" w:line="240" w:lineRule="exact"/>
      <w:jc w:val="center"/>
    </w:pPr>
    <w:rPr>
      <w:rFonts w:ascii="宋体" w:hAnsi="宋体"/>
      <w:b/>
      <w:kern w:val="0"/>
      <w:sz w:val="28"/>
      <w:szCs w:val="28"/>
      <w:lang w:eastAsia="en-US"/>
    </w:rPr>
  </w:style>
  <w:style w:type="paragraph" w:customStyle="1" w:styleId="96">
    <w:name w:val="样式 WG标题3 + 行距: 固定值 18 磅"/>
    <w:basedOn w:val="1"/>
    <w:autoRedefine/>
    <w:qFormat/>
    <w:uiPriority w:val="0"/>
    <w:pPr>
      <w:autoSpaceDE w:val="0"/>
      <w:autoSpaceDN w:val="0"/>
      <w:adjustRightInd w:val="0"/>
      <w:spacing w:line="360" w:lineRule="exact"/>
      <w:ind w:firstLine="200" w:firstLineChars="200"/>
      <w:textAlignment w:val="baseline"/>
      <w:outlineLvl w:val="2"/>
    </w:pPr>
    <w:rPr>
      <w:rFonts w:cs="宋体"/>
      <w:b/>
      <w:bCs/>
      <w:color w:val="000000"/>
      <w:kern w:val="20"/>
      <w:sz w:val="24"/>
    </w:rPr>
  </w:style>
  <w:style w:type="paragraph" w:customStyle="1" w:styleId="97">
    <w:name w:val="title12"/>
    <w:basedOn w:val="1"/>
    <w:autoRedefine/>
    <w:qFormat/>
    <w:uiPriority w:val="0"/>
    <w:pPr>
      <w:spacing w:before="150" w:beforeAutospacing="0" w:after="0" w:afterAutospacing="0"/>
      <w:ind w:left="0" w:right="0" w:firstLine="0"/>
      <w:jc w:val="left"/>
    </w:pPr>
    <w:rPr>
      <w:b/>
      <w:kern w:val="0"/>
      <w:sz w:val="22"/>
      <w:szCs w:val="22"/>
      <w:lang w:val="en-US" w:eastAsia="zh-CN" w:bidi="ar"/>
    </w:rPr>
  </w:style>
  <w:style w:type="paragraph" w:customStyle="1" w:styleId="98">
    <w:name w:val="Char1 Char Char Char"/>
    <w:basedOn w:val="1"/>
    <w:autoRedefine/>
    <w:qFormat/>
    <w:uiPriority w:val="0"/>
  </w:style>
  <w:style w:type="paragraph" w:customStyle="1" w:styleId="99">
    <w:name w:val="??¨???¨????ì?¨¨??¨?o??????ì?¨¨?"/>
    <w:basedOn w:val="1"/>
    <w:autoRedefine/>
    <w:qFormat/>
    <w:uiPriority w:val="0"/>
    <w:pPr>
      <w:autoSpaceDE w:val="0"/>
      <w:autoSpaceDN w:val="0"/>
      <w:adjustRightInd w:val="0"/>
      <w:jc w:val="left"/>
    </w:pPr>
    <w:rPr>
      <w:kern w:val="0"/>
      <w:sz w:val="24"/>
    </w:rPr>
  </w:style>
  <w:style w:type="paragraph" w:customStyle="1" w:styleId="100">
    <w:name w:val="xl36"/>
    <w:basedOn w:val="1"/>
    <w:autoRedefine/>
    <w:qFormat/>
    <w:uiPriority w:val="0"/>
    <w:pPr>
      <w:widowControl/>
      <w:spacing w:before="100" w:after="100"/>
      <w:jc w:val="center"/>
    </w:pPr>
    <w:rPr>
      <w:rFonts w:hint="eastAsia" w:ascii="宋体" w:hAnsi="宋体"/>
      <w:kern w:val="0"/>
      <w:sz w:val="24"/>
    </w:rPr>
  </w:style>
  <w:style w:type="paragraph" w:customStyle="1" w:styleId="101">
    <w:name w:val="正文序号 4"/>
    <w:basedOn w:val="1"/>
    <w:autoRedefine/>
    <w:qFormat/>
    <w:uiPriority w:val="0"/>
    <w:pPr>
      <w:numPr>
        <w:ilvl w:val="3"/>
        <w:numId w:val="2"/>
      </w:numPr>
      <w:spacing w:before="60" w:beforeLines="0"/>
    </w:pPr>
    <w:rPr>
      <w:szCs w:val="24"/>
    </w:rPr>
  </w:style>
  <w:style w:type="paragraph" w:customStyle="1" w:styleId="102">
    <w:name w:val="_Style 91"/>
    <w:basedOn w:val="3"/>
    <w:next w:val="1"/>
    <w:autoRedefine/>
    <w:qFormat/>
    <w:uiPriority w:val="39"/>
    <w:pPr>
      <w:keepLines/>
      <w:widowControl/>
      <w:spacing w:before="480" w:beforeLines="0" w:line="276" w:lineRule="auto"/>
      <w:jc w:val="left"/>
      <w:outlineLvl w:val="9"/>
    </w:pPr>
    <w:rPr>
      <w:rFonts w:ascii="Cambria" w:hAnsi="Cambria" w:eastAsia="宋体" w:cs="Times New Roman"/>
      <w:bCs/>
      <w:color w:val="365F91"/>
      <w:kern w:val="0"/>
      <w:sz w:val="28"/>
      <w:szCs w:val="28"/>
    </w:rPr>
  </w:style>
  <w:style w:type="paragraph" w:customStyle="1" w:styleId="103">
    <w:name w:val="表注1"/>
    <w:basedOn w:val="1"/>
    <w:autoRedefine/>
    <w:qFormat/>
    <w:uiPriority w:val="0"/>
    <w:pPr>
      <w:adjustRightInd w:val="0"/>
      <w:snapToGrid w:val="0"/>
      <w:spacing w:before="156" w:beforeLines="50" w:line="300" w:lineRule="auto"/>
      <w:ind w:left="350" w:hanging="350" w:hangingChars="350"/>
    </w:pPr>
    <w:rPr>
      <w:rFonts w:eastAsia="仿宋_GB2312"/>
      <w:bCs/>
      <w:color w:val="000000"/>
      <w:szCs w:val="24"/>
    </w:rPr>
  </w:style>
  <w:style w:type="paragraph" w:customStyle="1" w:styleId="104">
    <w:name w:val="case31"/>
    <w:basedOn w:val="1"/>
    <w:autoRedefine/>
    <w:qFormat/>
    <w:uiPriority w:val="0"/>
    <w:pPr>
      <w:widowControl/>
      <w:spacing w:before="100" w:beforeLines="0" w:beforeAutospacing="1" w:after="100" w:afterLines="0" w:afterAutospacing="1"/>
      <w:jc w:val="left"/>
    </w:pPr>
    <w:rPr>
      <w:rFonts w:ascii="宋体" w:hAnsi="宋体"/>
      <w:color w:val="000000"/>
      <w:kern w:val="0"/>
      <w:sz w:val="24"/>
      <w:szCs w:val="24"/>
    </w:rPr>
  </w:style>
  <w:style w:type="paragraph" w:customStyle="1" w:styleId="105">
    <w:name w:val="插图编号"/>
    <w:basedOn w:val="1"/>
    <w:next w:val="12"/>
    <w:autoRedefine/>
    <w:qFormat/>
    <w:uiPriority w:val="0"/>
    <w:pPr>
      <w:tabs>
        <w:tab w:val="left" w:pos="1440"/>
      </w:tabs>
      <w:spacing w:line="360" w:lineRule="auto"/>
      <w:ind w:left="1021" w:hanging="1021"/>
    </w:pPr>
    <w:rPr>
      <w:spacing w:val="20"/>
      <w:sz w:val="24"/>
      <w:szCs w:val="24"/>
    </w:rPr>
  </w:style>
  <w:style w:type="paragraph" w:customStyle="1" w:styleId="106">
    <w:name w:val="Form Header 1"/>
    <w:basedOn w:val="1"/>
    <w:next w:val="1"/>
    <w:autoRedefine/>
    <w:qFormat/>
    <w:uiPriority w:val="0"/>
    <w:pPr>
      <w:widowControl/>
      <w:spacing w:before="80" w:beforeLines="0" w:after="80" w:afterLines="0"/>
      <w:jc w:val="left"/>
    </w:pPr>
    <w:rPr>
      <w:rFonts w:ascii="Arial" w:hAnsi="Arial"/>
      <w:b/>
      <w:kern w:val="0"/>
      <w:sz w:val="24"/>
      <w:lang w:val="de-DE" w:eastAsia="en-US"/>
    </w:rPr>
  </w:style>
  <w:style w:type="paragraph" w:styleId="107">
    <w:name w:val="List Paragraph"/>
    <w:basedOn w:val="1"/>
    <w:link w:val="160"/>
    <w:autoRedefine/>
    <w:qFormat/>
    <w:uiPriority w:val="34"/>
    <w:pPr>
      <w:ind w:firstLine="420" w:firstLineChars="200"/>
    </w:pPr>
    <w:rPr>
      <w:rFonts w:ascii="Calibri" w:hAnsi="Calibri"/>
      <w:kern w:val="2"/>
      <w:sz w:val="21"/>
      <w:szCs w:val="22"/>
    </w:rPr>
  </w:style>
  <w:style w:type="paragraph" w:customStyle="1" w:styleId="108">
    <w:name w:val="Char"/>
    <w:basedOn w:val="1"/>
    <w:autoRedefine/>
    <w:qFormat/>
    <w:uiPriority w:val="0"/>
    <w:pPr>
      <w:numPr>
        <w:ilvl w:val="0"/>
        <w:numId w:val="3"/>
      </w:numPr>
      <w:tabs>
        <w:tab w:val="left" w:pos="1200"/>
        <w:tab w:val="clear" w:pos="720"/>
      </w:tabs>
      <w:ind w:left="1200" w:hanging="360"/>
    </w:pPr>
    <w:rPr>
      <w:sz w:val="24"/>
      <w:szCs w:val="24"/>
    </w:rPr>
  </w:style>
  <w:style w:type="paragraph" w:customStyle="1" w:styleId="109">
    <w:name w:val="Plain Text"/>
    <w:basedOn w:val="1"/>
    <w:autoRedefine/>
    <w:qFormat/>
    <w:uiPriority w:val="0"/>
    <w:pPr>
      <w:spacing w:line="324" w:lineRule="auto"/>
    </w:pPr>
    <w:rPr>
      <w:rFonts w:ascii="宋体" w:hAnsi="Courier New" w:cs="Courier New"/>
      <w:szCs w:val="21"/>
    </w:rPr>
  </w:style>
  <w:style w:type="paragraph" w:customStyle="1" w:styleId="110">
    <w:name w:val="表格文字"/>
    <w:basedOn w:val="1"/>
    <w:autoRedefine/>
    <w:qFormat/>
    <w:uiPriority w:val="0"/>
    <w:pPr>
      <w:spacing w:before="120" w:beforeLines="0" w:after="120" w:afterLines="0"/>
    </w:pPr>
    <w:rPr>
      <w:rFonts w:ascii="新宋体" w:hAnsi="宋体" w:eastAsia="新宋体"/>
      <w:bCs/>
      <w:color w:val="000000"/>
      <w:kern w:val="0"/>
      <w:sz w:val="18"/>
      <w:szCs w:val="18"/>
    </w:rPr>
  </w:style>
  <w:style w:type="paragraph" w:customStyle="1" w:styleId="111">
    <w:name w:val="正文段"/>
    <w:basedOn w:val="1"/>
    <w:autoRedefine/>
    <w:qFormat/>
    <w:uiPriority w:val="0"/>
    <w:pPr>
      <w:adjustRightInd w:val="0"/>
      <w:snapToGrid w:val="0"/>
      <w:spacing w:line="360" w:lineRule="auto"/>
    </w:pPr>
    <w:rPr>
      <w:rFonts w:eastAsia="仿宋_GB2312"/>
      <w:spacing w:val="-8"/>
      <w:sz w:val="24"/>
    </w:rPr>
  </w:style>
  <w:style w:type="paragraph" w:customStyle="1" w:styleId="112">
    <w:name w:val="正文序号 3"/>
    <w:basedOn w:val="1"/>
    <w:autoRedefine/>
    <w:qFormat/>
    <w:uiPriority w:val="0"/>
    <w:pPr>
      <w:numPr>
        <w:ilvl w:val="2"/>
        <w:numId w:val="2"/>
      </w:numPr>
      <w:spacing w:before="60" w:beforeLines="0"/>
    </w:pPr>
    <w:rPr>
      <w:szCs w:val="24"/>
    </w:rPr>
  </w:style>
  <w:style w:type="paragraph" w:customStyle="1" w:styleId="113">
    <w:name w:val="样式 10 磅"/>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114">
    <w:name w:val="排列"/>
    <w:basedOn w:val="1"/>
    <w:autoRedefine/>
    <w:qFormat/>
    <w:uiPriority w:val="0"/>
    <w:pPr>
      <w:adjustRightInd w:val="0"/>
      <w:spacing w:line="360" w:lineRule="auto"/>
      <w:ind w:hanging="627"/>
      <w:jc w:val="left"/>
    </w:pPr>
    <w:rPr>
      <w:b/>
      <w:kern w:val="0"/>
      <w:sz w:val="24"/>
    </w:rPr>
  </w:style>
  <w:style w:type="paragraph" w:customStyle="1" w:styleId="115">
    <w:name w:val="Char3"/>
    <w:basedOn w:val="1"/>
    <w:autoRedefine/>
    <w:qFormat/>
    <w:uiPriority w:val="0"/>
    <w:pPr>
      <w:tabs>
        <w:tab w:val="left" w:pos="360"/>
      </w:tabs>
    </w:pPr>
    <w:rPr>
      <w:sz w:val="24"/>
      <w:szCs w:val="24"/>
    </w:rPr>
  </w:style>
  <w:style w:type="paragraph" w:customStyle="1" w:styleId="116">
    <w:name w:val="p0"/>
    <w:basedOn w:val="1"/>
    <w:autoRedefine/>
    <w:qFormat/>
    <w:uiPriority w:val="0"/>
    <w:pPr>
      <w:widowControl/>
      <w:snapToGrid w:val="0"/>
      <w:spacing w:line="312" w:lineRule="atLeast"/>
      <w:textAlignment w:val="baseline"/>
    </w:pPr>
    <w:rPr>
      <w:kern w:val="0"/>
      <w:szCs w:val="21"/>
    </w:rPr>
  </w:style>
  <w:style w:type="paragraph" w:customStyle="1" w:styleId="117">
    <w:name w:val="xl51"/>
    <w:basedOn w:val="1"/>
    <w:autoRedefine/>
    <w:qFormat/>
    <w:uiPriority w:val="0"/>
    <w:pPr>
      <w:widowControl/>
      <w:spacing w:before="100" w:beforeLines="0" w:beforeAutospacing="1" w:after="100" w:afterLines="0" w:afterAutospacing="1"/>
      <w:jc w:val="center"/>
    </w:pPr>
    <w:rPr>
      <w:rFonts w:ascii="Arial Unicode MS" w:hAnsi="Arial Unicode MS" w:eastAsia="Arial Unicode MS"/>
      <w:b/>
      <w:kern w:val="0"/>
      <w:sz w:val="32"/>
    </w:rPr>
  </w:style>
  <w:style w:type="paragraph" w:customStyle="1" w:styleId="118">
    <w:name w:val="3级"/>
    <w:basedOn w:val="79"/>
    <w:autoRedefine/>
    <w:qFormat/>
    <w:uiPriority w:val="0"/>
    <w:pPr>
      <w:numPr>
        <w:ilvl w:val="0"/>
        <w:numId w:val="4"/>
      </w:numPr>
      <w:ind w:firstLineChars="0"/>
      <w:outlineLvl w:val="2"/>
    </w:pPr>
  </w:style>
  <w:style w:type="paragraph" w:customStyle="1" w:styleId="119">
    <w:name w:val=" Char1"/>
    <w:basedOn w:val="1"/>
    <w:autoRedefine/>
    <w:qFormat/>
    <w:uiPriority w:val="0"/>
    <w:pPr>
      <w:tabs>
        <w:tab w:val="left" w:pos="360"/>
      </w:tabs>
      <w:ind w:left="360" w:hanging="360" w:hangingChars="200"/>
    </w:pPr>
    <w:rPr>
      <w:sz w:val="24"/>
      <w:szCs w:val="24"/>
    </w:rPr>
  </w:style>
  <w:style w:type="paragraph" w:customStyle="1" w:styleId="120">
    <w:name w:val=" Char"/>
    <w:basedOn w:val="1"/>
    <w:autoRedefine/>
    <w:qFormat/>
    <w:uiPriority w:val="0"/>
    <w:rPr>
      <w:rFonts w:ascii="宋体" w:hAnsi="宋体"/>
      <w:sz w:val="24"/>
      <w:szCs w:val="24"/>
    </w:rPr>
  </w:style>
  <w:style w:type="paragraph" w:customStyle="1" w:styleId="121">
    <w:name w:val="正文序号 1"/>
    <w:basedOn w:val="1"/>
    <w:autoRedefine/>
    <w:qFormat/>
    <w:uiPriority w:val="0"/>
    <w:pPr>
      <w:numPr>
        <w:ilvl w:val="0"/>
        <w:numId w:val="2"/>
      </w:numPr>
      <w:spacing w:before="60" w:beforeLines="0"/>
    </w:pPr>
    <w:rPr>
      <w:szCs w:val="24"/>
    </w:rPr>
  </w:style>
  <w:style w:type="paragraph" w:customStyle="1" w:styleId="122">
    <w:name w:val="标准"/>
    <w:basedOn w:val="1"/>
    <w:autoRedefine/>
    <w:qFormat/>
    <w:uiPriority w:val="0"/>
    <w:pPr>
      <w:widowControl/>
      <w:autoSpaceDE w:val="0"/>
      <w:autoSpaceDN w:val="0"/>
      <w:adjustRightInd w:val="0"/>
      <w:spacing w:line="318" w:lineRule="atLeast"/>
    </w:pPr>
    <w:rPr>
      <w:rFonts w:ascii="楷体_GB2312" w:hAnsi="宋体" w:eastAsia="楷体_GB2312" w:cs="宋体"/>
      <w:kern w:val="0"/>
      <w:sz w:val="24"/>
    </w:rPr>
  </w:style>
  <w:style w:type="paragraph" w:customStyle="1" w:styleId="123">
    <w:name w:val="Char11"/>
    <w:basedOn w:val="1"/>
    <w:autoRedefine/>
    <w:qFormat/>
    <w:uiPriority w:val="0"/>
    <w:rPr>
      <w:rFonts w:ascii="宋体" w:hAnsi="宋体"/>
      <w:sz w:val="24"/>
      <w:szCs w:val="24"/>
    </w:rPr>
  </w:style>
  <w:style w:type="paragraph" w:customStyle="1" w:styleId="124">
    <w:name w:val="二级条标题"/>
    <w:basedOn w:val="1"/>
    <w:next w:val="1"/>
    <w:autoRedefine/>
    <w:qFormat/>
    <w:uiPriority w:val="0"/>
    <w:pPr>
      <w:widowControl/>
      <w:numPr>
        <w:ilvl w:val="3"/>
        <w:numId w:val="5"/>
      </w:numPr>
      <w:jc w:val="left"/>
      <w:outlineLvl w:val="3"/>
    </w:pPr>
    <w:rPr>
      <w:rFonts w:eastAsia="黑体"/>
      <w:kern w:val="0"/>
    </w:rPr>
  </w:style>
  <w:style w:type="paragraph" w:customStyle="1" w:styleId="125">
    <w:name w:val="?§?§?¨¤?§o????¨¤?"/>
    <w:basedOn w:val="1"/>
    <w:autoRedefine/>
    <w:qFormat/>
    <w:uiPriority w:val="0"/>
    <w:pPr>
      <w:autoSpaceDE w:val="0"/>
      <w:autoSpaceDN w:val="0"/>
      <w:adjustRightInd w:val="0"/>
      <w:jc w:val="left"/>
    </w:pPr>
    <w:rPr>
      <w:kern w:val="0"/>
      <w:sz w:val="24"/>
    </w:rPr>
  </w:style>
  <w:style w:type="paragraph" w:customStyle="1" w:styleId="126">
    <w:name w:val="Char Char Char Char"/>
    <w:basedOn w:val="1"/>
    <w:autoRedefine/>
    <w:qFormat/>
    <w:uiPriority w:val="0"/>
    <w:pPr>
      <w:widowControl/>
      <w:spacing w:after="160" w:afterLines="0" w:line="240" w:lineRule="exact"/>
      <w:jc w:val="center"/>
    </w:pPr>
    <w:rPr>
      <w:rFonts w:ascii="宋体" w:hAnsi="宋体"/>
      <w:b/>
      <w:kern w:val="0"/>
      <w:sz w:val="28"/>
      <w:szCs w:val="28"/>
      <w:lang w:eastAsia="en-US"/>
    </w:rPr>
  </w:style>
  <w:style w:type="paragraph" w:customStyle="1" w:styleId="127">
    <w:name w:val="Date"/>
    <w:basedOn w:val="1"/>
    <w:next w:val="1"/>
    <w:autoRedefine/>
    <w:qFormat/>
    <w:uiPriority w:val="0"/>
    <w:rPr>
      <w:rFonts w:ascii="黑体" w:eastAsia="黑体"/>
      <w:sz w:val="28"/>
    </w:rPr>
  </w:style>
  <w:style w:type="paragraph" w:customStyle="1" w:styleId="128">
    <w:name w:val="样式 正文缩进 + 首行缩进:  2 字符 段前: 0.5 行 段后: 0.5 行"/>
    <w:basedOn w:val="12"/>
    <w:link w:val="134"/>
    <w:autoRedefine/>
    <w:qFormat/>
    <w:uiPriority w:val="0"/>
    <w:pPr>
      <w:spacing w:before="156" w:beforeLines="50" w:after="156" w:afterLines="50" w:line="360" w:lineRule="auto"/>
      <w:ind w:firstLine="480"/>
    </w:pPr>
    <w:rPr>
      <w:sz w:val="24"/>
      <w:szCs w:val="20"/>
    </w:rPr>
  </w:style>
  <w:style w:type="character" w:customStyle="1" w:styleId="129">
    <w:name w:val="hui3"/>
    <w:autoRedefine/>
    <w:qFormat/>
    <w:uiPriority w:val="0"/>
    <w:rPr>
      <w:color w:val="333333"/>
    </w:rPr>
  </w:style>
  <w:style w:type="character" w:customStyle="1" w:styleId="130">
    <w:name w:val="hour_pm"/>
    <w:basedOn w:val="49"/>
    <w:autoRedefine/>
    <w:qFormat/>
    <w:uiPriority w:val="0"/>
  </w:style>
  <w:style w:type="character" w:customStyle="1" w:styleId="131">
    <w:name w:val="题注 Char"/>
    <w:link w:val="13"/>
    <w:autoRedefine/>
    <w:qFormat/>
    <w:uiPriority w:val="0"/>
    <w:rPr>
      <w:rFonts w:ascii="Arial" w:hAnsi="Arial" w:eastAsia="黑体" w:cs="Arial"/>
      <w:kern w:val="2"/>
    </w:rPr>
  </w:style>
  <w:style w:type="character" w:customStyle="1" w:styleId="132">
    <w:name w:val="style5 style5"/>
    <w:basedOn w:val="49"/>
    <w:autoRedefine/>
    <w:qFormat/>
    <w:uiPriority w:val="0"/>
  </w:style>
  <w:style w:type="character" w:customStyle="1" w:styleId="133">
    <w:name w:val="正文文本 3 Char1"/>
    <w:autoRedefine/>
    <w:semiHidden/>
    <w:qFormat/>
    <w:uiPriority w:val="99"/>
    <w:rPr>
      <w:kern w:val="2"/>
      <w:sz w:val="16"/>
      <w:szCs w:val="16"/>
    </w:rPr>
  </w:style>
  <w:style w:type="character" w:customStyle="1" w:styleId="134">
    <w:name w:val="样式 正文缩进 + 首行缩进:  2 字符 段前: 0.5 行 段后: 0.5 行 Char Char"/>
    <w:link w:val="128"/>
    <w:autoRedefine/>
    <w:qFormat/>
    <w:uiPriority w:val="0"/>
    <w:rPr>
      <w:rFonts w:cs="宋体"/>
      <w:kern w:val="2"/>
      <w:sz w:val="24"/>
    </w:rPr>
  </w:style>
  <w:style w:type="character" w:customStyle="1" w:styleId="135">
    <w:name w:val="emtidy-4"/>
    <w:basedOn w:val="49"/>
    <w:autoRedefine/>
    <w:qFormat/>
    <w:uiPriority w:val="0"/>
  </w:style>
  <w:style w:type="character" w:customStyle="1" w:styleId="136">
    <w:name w:val="font01"/>
    <w:autoRedefine/>
    <w:qFormat/>
    <w:uiPriority w:val="0"/>
    <w:rPr>
      <w:rFonts w:hint="eastAsia" w:ascii="宋体" w:hAnsi="宋体" w:eastAsia="宋体" w:cs="宋体"/>
      <w:color w:val="000000"/>
      <w:sz w:val="20"/>
      <w:szCs w:val="20"/>
      <w:u w:val="none"/>
    </w:rPr>
  </w:style>
  <w:style w:type="character" w:customStyle="1" w:styleId="137">
    <w:name w:val="emtidy-3"/>
    <w:basedOn w:val="49"/>
    <w:autoRedefine/>
    <w:qFormat/>
    <w:uiPriority w:val="0"/>
  </w:style>
  <w:style w:type="character" w:customStyle="1" w:styleId="138">
    <w:name w:val="hover3"/>
    <w:basedOn w:val="49"/>
    <w:autoRedefine/>
    <w:qFormat/>
    <w:uiPriority w:val="0"/>
    <w:rPr>
      <w:shd w:val="clear" w:color="auto" w:fill="EEEEEE"/>
    </w:rPr>
  </w:style>
  <w:style w:type="character" w:customStyle="1" w:styleId="139">
    <w:name w:val="正文文本缩进 Char"/>
    <w:link w:val="19"/>
    <w:autoRedefine/>
    <w:qFormat/>
    <w:uiPriority w:val="0"/>
    <w:rPr>
      <w:sz w:val="28"/>
    </w:rPr>
  </w:style>
  <w:style w:type="character" w:customStyle="1" w:styleId="140">
    <w:name w:val="标题 7 Char"/>
    <w:link w:val="8"/>
    <w:autoRedefine/>
    <w:qFormat/>
    <w:uiPriority w:val="0"/>
    <w:rPr>
      <w:rFonts w:ascii="Arial" w:hAnsi="Arial"/>
      <w:b/>
      <w:color w:val="000000"/>
      <w:kern w:val="2"/>
      <w:sz w:val="15"/>
    </w:rPr>
  </w:style>
  <w:style w:type="character" w:customStyle="1" w:styleId="141">
    <w:name w:val="标题 8 Char"/>
    <w:link w:val="9"/>
    <w:autoRedefine/>
    <w:qFormat/>
    <w:uiPriority w:val="0"/>
    <w:rPr>
      <w:rFonts w:ascii="仿宋_GB2312" w:eastAsia="仿宋_GB2312"/>
      <w:b/>
      <w:kern w:val="2"/>
      <w:sz w:val="24"/>
    </w:rPr>
  </w:style>
  <w:style w:type="character" w:customStyle="1" w:styleId="142">
    <w:name w:val="正文缩进 Char"/>
    <w:link w:val="12"/>
    <w:autoRedefine/>
    <w:qFormat/>
    <w:uiPriority w:val="0"/>
    <w:rPr>
      <w:kern w:val="2"/>
      <w:sz w:val="21"/>
      <w:szCs w:val="24"/>
    </w:rPr>
  </w:style>
  <w:style w:type="character" w:customStyle="1" w:styleId="143">
    <w:name w:val="标题 1 Char"/>
    <w:link w:val="3"/>
    <w:autoRedefine/>
    <w:qFormat/>
    <w:uiPriority w:val="0"/>
    <w:rPr>
      <w:rFonts w:ascii="仿宋_GB2312" w:hAnsi="宋体" w:eastAsia="仿宋_GB2312"/>
      <w:b/>
      <w:kern w:val="2"/>
      <w:sz w:val="32"/>
    </w:rPr>
  </w:style>
  <w:style w:type="character" w:customStyle="1" w:styleId="144">
    <w:name w:val="old"/>
    <w:basedOn w:val="49"/>
    <w:autoRedefine/>
    <w:qFormat/>
    <w:uiPriority w:val="0"/>
    <w:rPr>
      <w:color w:val="999999"/>
    </w:rPr>
  </w:style>
  <w:style w:type="character" w:customStyle="1" w:styleId="145">
    <w:name w:val="emtidy-5"/>
    <w:basedOn w:val="49"/>
    <w:autoRedefine/>
    <w:qFormat/>
    <w:uiPriority w:val="0"/>
  </w:style>
  <w:style w:type="character" w:customStyle="1" w:styleId="146">
    <w:name w:val="招标书 正文 Char Char"/>
    <w:link w:val="90"/>
    <w:autoRedefine/>
    <w:qFormat/>
    <w:uiPriority w:val="0"/>
    <w:rPr>
      <w:rFonts w:ascii="宋体" w:hAnsi="宋体"/>
      <w:color w:val="000000"/>
      <w:sz w:val="24"/>
      <w:szCs w:val="28"/>
    </w:rPr>
  </w:style>
  <w:style w:type="character" w:customStyle="1" w:styleId="147">
    <w:name w:val="标题 1 Char2"/>
    <w:link w:val="3"/>
    <w:autoRedefine/>
    <w:qFormat/>
    <w:uiPriority w:val="0"/>
    <w:rPr>
      <w:rFonts w:eastAsia="宋体"/>
      <w:b/>
      <w:kern w:val="44"/>
      <w:sz w:val="44"/>
      <w:lang w:val="en-US" w:eastAsia="zh-CN" w:bidi="ar-SA"/>
    </w:rPr>
  </w:style>
  <w:style w:type="character" w:customStyle="1" w:styleId="148">
    <w:name w:val="副标题 Char"/>
    <w:link w:val="33"/>
    <w:autoRedefine/>
    <w:qFormat/>
    <w:uiPriority w:val="0"/>
    <w:rPr>
      <w:rFonts w:ascii="Cambria" w:hAnsi="Cambria"/>
      <w:b/>
      <w:bCs/>
      <w:kern w:val="28"/>
      <w:sz w:val="32"/>
      <w:szCs w:val="32"/>
    </w:rPr>
  </w:style>
  <w:style w:type="character" w:customStyle="1" w:styleId="149">
    <w:name w:val="hover2"/>
    <w:basedOn w:val="49"/>
    <w:autoRedefine/>
    <w:qFormat/>
    <w:uiPriority w:val="0"/>
    <w:rPr>
      <w:shd w:val="clear" w:color="auto" w:fill="EEEEEE"/>
    </w:rPr>
  </w:style>
  <w:style w:type="character" w:customStyle="1" w:styleId="150">
    <w:name w:val="base"/>
    <w:basedOn w:val="49"/>
    <w:autoRedefine/>
    <w:qFormat/>
    <w:uiPriority w:val="0"/>
  </w:style>
  <w:style w:type="character" w:customStyle="1" w:styleId="151">
    <w:name w:val="无间隔 Char"/>
    <w:link w:val="67"/>
    <w:autoRedefine/>
    <w:qFormat/>
    <w:uiPriority w:val="1"/>
    <w:rPr>
      <w:kern w:val="2"/>
      <w:sz w:val="21"/>
      <w:szCs w:val="22"/>
      <w:lang w:val="en-US" w:eastAsia="zh-CN" w:bidi="ar-SA"/>
    </w:rPr>
  </w:style>
  <w:style w:type="character" w:customStyle="1" w:styleId="152">
    <w:name w:val="emtidy-6"/>
    <w:basedOn w:val="49"/>
    <w:autoRedefine/>
    <w:qFormat/>
    <w:uiPriority w:val="0"/>
  </w:style>
  <w:style w:type="character" w:customStyle="1" w:styleId="153">
    <w:name w:val=" Char Char5"/>
    <w:autoRedefine/>
    <w:qFormat/>
    <w:uiPriority w:val="0"/>
    <w:rPr>
      <w:rFonts w:ascii="宋体" w:hAnsi="Courier New" w:eastAsia="宋体"/>
      <w:kern w:val="2"/>
      <w:sz w:val="21"/>
      <w:lang w:val="en-US" w:eastAsia="zh-CN" w:bidi="ar-SA"/>
    </w:rPr>
  </w:style>
  <w:style w:type="character" w:customStyle="1" w:styleId="154">
    <w:name w:val="unnamed11"/>
    <w:basedOn w:val="49"/>
    <w:autoRedefine/>
    <w:qFormat/>
    <w:uiPriority w:val="0"/>
  </w:style>
  <w:style w:type="character" w:customStyle="1" w:styleId="155">
    <w:name w:val="批注框文本 Char"/>
    <w:link w:val="27"/>
    <w:autoRedefine/>
    <w:qFormat/>
    <w:uiPriority w:val="99"/>
    <w:rPr>
      <w:kern w:val="2"/>
      <w:sz w:val="18"/>
      <w:szCs w:val="18"/>
    </w:rPr>
  </w:style>
  <w:style w:type="character" w:customStyle="1" w:styleId="156">
    <w:name w:val="纯文本 Char"/>
    <w:link w:val="23"/>
    <w:autoRedefine/>
    <w:qFormat/>
    <w:uiPriority w:val="0"/>
    <w:rPr>
      <w:rFonts w:ascii="宋体" w:hAnsi="Courier New" w:eastAsia="宋体"/>
      <w:kern w:val="2"/>
      <w:sz w:val="21"/>
      <w:lang w:val="en-US" w:eastAsia="zh-CN" w:bidi="ar-SA"/>
    </w:rPr>
  </w:style>
  <w:style w:type="character" w:customStyle="1" w:styleId="157">
    <w:name w:val="number"/>
    <w:basedOn w:val="49"/>
    <w:autoRedefine/>
    <w:qFormat/>
    <w:uiPriority w:val="0"/>
    <w:rPr>
      <w:color w:val="FF8833"/>
      <w:sz w:val="18"/>
      <w:szCs w:val="18"/>
    </w:rPr>
  </w:style>
  <w:style w:type="character" w:customStyle="1" w:styleId="158">
    <w:name w:val="标题 2 Char"/>
    <w:link w:val="4"/>
    <w:autoRedefine/>
    <w:qFormat/>
    <w:uiPriority w:val="9"/>
    <w:rPr>
      <w:rFonts w:ascii="Arial" w:hAnsi="Arial"/>
      <w:b/>
      <w:bCs/>
      <w:sz w:val="28"/>
      <w:szCs w:val="32"/>
    </w:rPr>
  </w:style>
  <w:style w:type="character" w:customStyle="1" w:styleId="159">
    <w:name w:val="introduction1"/>
    <w:autoRedefine/>
    <w:qFormat/>
    <w:uiPriority w:val="0"/>
  </w:style>
  <w:style w:type="character" w:customStyle="1" w:styleId="160">
    <w:name w:val="列出段落 Char"/>
    <w:link w:val="107"/>
    <w:autoRedefine/>
    <w:qFormat/>
    <w:uiPriority w:val="34"/>
    <w:rPr>
      <w:rFonts w:ascii="Calibri" w:hAnsi="Calibri"/>
      <w:kern w:val="2"/>
      <w:sz w:val="21"/>
      <w:szCs w:val="22"/>
    </w:rPr>
  </w:style>
  <w:style w:type="character" w:customStyle="1" w:styleId="161">
    <w:name w:val="style31"/>
    <w:autoRedefine/>
    <w:qFormat/>
    <w:uiPriority w:val="0"/>
    <w:rPr>
      <w:sz w:val="21"/>
      <w:szCs w:val="21"/>
    </w:rPr>
  </w:style>
  <w:style w:type="character" w:customStyle="1" w:styleId="162">
    <w:name w:val="标题 4 Char"/>
    <w:link w:val="2"/>
    <w:autoRedefine/>
    <w:qFormat/>
    <w:uiPriority w:val="0"/>
    <w:rPr>
      <w:rFonts w:ascii="Arial" w:hAnsi="Arial"/>
      <w:bCs/>
      <w:kern w:val="2"/>
      <w:sz w:val="24"/>
      <w:szCs w:val="28"/>
    </w:rPr>
  </w:style>
  <w:style w:type="character" w:customStyle="1" w:styleId="163">
    <w:name w:val="标题 5 Char"/>
    <w:link w:val="6"/>
    <w:autoRedefine/>
    <w:qFormat/>
    <w:uiPriority w:val="0"/>
    <w:rPr>
      <w:rFonts w:ascii="Arial Unicode MS" w:hAnsi="Arial Unicode MS"/>
      <w:bCs/>
      <w:kern w:val="2"/>
      <w:sz w:val="24"/>
      <w:szCs w:val="24"/>
    </w:rPr>
  </w:style>
  <w:style w:type="character" w:customStyle="1" w:styleId="164">
    <w:name w:val="正文文本 (3) + MingLiU"/>
    <w:autoRedefine/>
    <w:qFormat/>
    <w:uiPriority w:val="0"/>
    <w:rPr>
      <w:rFonts w:ascii="MingLiU" w:hAnsi="宋体" w:eastAsia="MingLiU" w:cs="MingLiU"/>
      <w:spacing w:val="-10"/>
      <w:sz w:val="24"/>
      <w:szCs w:val="24"/>
      <w:lang w:val="en-US" w:eastAsia="en-US" w:bidi="ar-SA"/>
    </w:rPr>
  </w:style>
  <w:style w:type="character" w:customStyle="1" w:styleId="165">
    <w:name w:val=" Char Char7"/>
    <w:autoRedefine/>
    <w:qFormat/>
    <w:uiPriority w:val="0"/>
    <w:rPr>
      <w:rFonts w:ascii="宋体" w:hAnsi="Courier New" w:eastAsia="宋体"/>
      <w:kern w:val="2"/>
      <w:sz w:val="21"/>
      <w:lang w:val="en-US" w:eastAsia="zh-CN" w:bidi="ar-SA"/>
    </w:rPr>
  </w:style>
  <w:style w:type="character" w:customStyle="1" w:styleId="166">
    <w:name w:val="emtidy-2"/>
    <w:basedOn w:val="49"/>
    <w:autoRedefine/>
    <w:qFormat/>
    <w:uiPriority w:val="0"/>
  </w:style>
  <w:style w:type="character" w:customStyle="1" w:styleId="167">
    <w:name w:val="标题 6 Char"/>
    <w:link w:val="7"/>
    <w:autoRedefine/>
    <w:qFormat/>
    <w:uiPriority w:val="0"/>
    <w:rPr>
      <w:rFonts w:ascii="Arial Unicode MS" w:hAnsi="Arial Unicode MS"/>
      <w:bCs/>
      <w:kern w:val="2"/>
      <w:sz w:val="24"/>
      <w:szCs w:val="24"/>
    </w:rPr>
  </w:style>
  <w:style w:type="character" w:customStyle="1" w:styleId="168">
    <w:name w:val="正文文本 Char"/>
    <w:link w:val="18"/>
    <w:autoRedefine/>
    <w:qFormat/>
    <w:uiPriority w:val="0"/>
    <w:rPr>
      <w:kern w:val="2"/>
      <w:sz w:val="21"/>
    </w:rPr>
  </w:style>
  <w:style w:type="character" w:customStyle="1" w:styleId="169">
    <w:name w:val="副标题 Char1"/>
    <w:autoRedefine/>
    <w:qFormat/>
    <w:uiPriority w:val="11"/>
    <w:rPr>
      <w:rFonts w:ascii="Cambria" w:hAnsi="Cambria" w:cs="Times New Roman"/>
      <w:b/>
      <w:bCs/>
      <w:kern w:val="28"/>
      <w:sz w:val="32"/>
      <w:szCs w:val="32"/>
    </w:rPr>
  </w:style>
  <w:style w:type="character" w:customStyle="1" w:styleId="170">
    <w:name w:val="ca-01"/>
    <w:autoRedefine/>
    <w:qFormat/>
    <w:uiPriority w:val="0"/>
    <w:rPr>
      <w:rFonts w:hint="eastAsia" w:ascii="宋体" w:hAnsi="宋体" w:eastAsia="宋体"/>
      <w:sz w:val="28"/>
      <w:szCs w:val="28"/>
    </w:rPr>
  </w:style>
  <w:style w:type="character" w:customStyle="1" w:styleId="171">
    <w:name w:val="日期 Char"/>
    <w:link w:val="25"/>
    <w:autoRedefine/>
    <w:qFormat/>
    <w:uiPriority w:val="0"/>
    <w:rPr>
      <w:kern w:val="2"/>
      <w:sz w:val="28"/>
    </w:rPr>
  </w:style>
  <w:style w:type="character" w:customStyle="1" w:styleId="172">
    <w:name w:val="正文文本缩进 2 Char"/>
    <w:link w:val="26"/>
    <w:autoRedefine/>
    <w:qFormat/>
    <w:uiPriority w:val="99"/>
    <w:rPr>
      <w:kern w:val="2"/>
      <w:sz w:val="24"/>
    </w:rPr>
  </w:style>
  <w:style w:type="character" w:customStyle="1" w:styleId="173">
    <w:name w:val="phone"/>
    <w:basedOn w:val="49"/>
    <w:autoRedefine/>
    <w:qFormat/>
    <w:uiPriority w:val="0"/>
    <w:rPr>
      <w:color w:val="FF8833"/>
      <w:sz w:val="18"/>
      <w:szCs w:val="18"/>
    </w:rPr>
  </w:style>
  <w:style w:type="character" w:customStyle="1" w:styleId="174">
    <w:name w:val="正文文本缩进 3 Char"/>
    <w:link w:val="36"/>
    <w:autoRedefine/>
    <w:qFormat/>
    <w:uiPriority w:val="0"/>
    <w:rPr>
      <w:rFonts w:ascii="宋体" w:hAnsi="宋体"/>
      <w:spacing w:val="4"/>
      <w:kern w:val="2"/>
      <w:sz w:val="21"/>
    </w:rPr>
  </w:style>
  <w:style w:type="character" w:customStyle="1" w:styleId="175">
    <w:name w:val="标题 9 Char"/>
    <w:link w:val="10"/>
    <w:autoRedefine/>
    <w:qFormat/>
    <w:uiPriority w:val="0"/>
    <w:rPr>
      <w:rFonts w:ascii="Arial" w:hAnsi="Arial" w:eastAsia="黑体"/>
      <w:kern w:val="2"/>
      <w:sz w:val="21"/>
      <w:szCs w:val="21"/>
    </w:rPr>
  </w:style>
  <w:style w:type="character" w:customStyle="1" w:styleId="176">
    <w:name w:val="beforeinfotext"/>
    <w:basedOn w:val="49"/>
    <w:autoRedefine/>
    <w:qFormat/>
    <w:uiPriority w:val="0"/>
    <w:rPr>
      <w:color w:val="666666"/>
    </w:rPr>
  </w:style>
  <w:style w:type="character" w:customStyle="1" w:styleId="177">
    <w:name w:val="文档结构图 Char"/>
    <w:link w:val="14"/>
    <w:autoRedefine/>
    <w:qFormat/>
    <w:uiPriority w:val="0"/>
    <w:rPr>
      <w:kern w:val="2"/>
      <w:sz w:val="21"/>
      <w:shd w:val="clear" w:color="auto" w:fill="000080"/>
    </w:rPr>
  </w:style>
  <w:style w:type="character" w:customStyle="1" w:styleId="178">
    <w:name w:val="正文文本 3 Char"/>
    <w:link w:val="17"/>
    <w:autoRedefine/>
    <w:qFormat/>
    <w:uiPriority w:val="0"/>
    <w:rPr>
      <w:b/>
      <w:spacing w:val="-20"/>
      <w:w w:val="110"/>
      <w:kern w:val="2"/>
      <w:sz w:val="52"/>
    </w:rPr>
  </w:style>
  <w:style w:type="character" w:customStyle="1" w:styleId="179">
    <w:name w:val="hour_am"/>
    <w:basedOn w:val="49"/>
    <w:autoRedefine/>
    <w:qFormat/>
    <w:uiPriority w:val="0"/>
  </w:style>
  <w:style w:type="character" w:customStyle="1" w:styleId="180">
    <w:name w:val="正文文本 2 Char"/>
    <w:link w:val="39"/>
    <w:autoRedefine/>
    <w:qFormat/>
    <w:uiPriority w:val="0"/>
    <w:rPr>
      <w:rFonts w:ascii="楷体_GB2312" w:hAnsi="Copperplate Gothic Bold" w:eastAsia="楷体_GB2312"/>
      <w:kern w:val="2"/>
      <w:sz w:val="28"/>
    </w:rPr>
  </w:style>
  <w:style w:type="character" w:customStyle="1" w:styleId="181">
    <w:name w:val="proollist"/>
    <w:basedOn w:val="49"/>
    <w:autoRedefine/>
    <w:qFormat/>
    <w:uiPriority w:val="0"/>
  </w:style>
  <w:style w:type="character" w:customStyle="1" w:styleId="182">
    <w:name w:val="glyphicon4"/>
    <w:basedOn w:val="49"/>
    <w:autoRedefine/>
    <w:qFormat/>
    <w:uiPriority w:val="0"/>
  </w:style>
  <w:style w:type="character" w:customStyle="1" w:styleId="183">
    <w:name w:val="para1"/>
    <w:autoRedefine/>
    <w:qFormat/>
    <w:uiPriority w:val="0"/>
    <w:rPr>
      <w:rFonts w:hint="default" w:ascii="Arial" w:hAnsi="Arial" w:cs="Arial"/>
      <w:sz w:val="18"/>
      <w:szCs w:val="18"/>
    </w:rPr>
  </w:style>
  <w:style w:type="character" w:customStyle="1" w:styleId="184">
    <w:name w:val="批注主题 Char"/>
    <w:link w:val="44"/>
    <w:autoRedefine/>
    <w:qFormat/>
    <w:uiPriority w:val="0"/>
    <w:rPr>
      <w:rFonts w:eastAsia="宋体"/>
      <w:b/>
      <w:bCs/>
      <w:kern w:val="2"/>
      <w:sz w:val="21"/>
      <w:szCs w:val="24"/>
      <w:lang w:val="en-US" w:eastAsia="zh-CN" w:bidi="ar-SA"/>
    </w:rPr>
  </w:style>
  <w:style w:type="character" w:customStyle="1" w:styleId="185">
    <w:name w:val="页脚 Char"/>
    <w:link w:val="28"/>
    <w:autoRedefine/>
    <w:qFormat/>
    <w:uiPriority w:val="99"/>
    <w:rPr>
      <w:rFonts w:eastAsia="宋体"/>
      <w:kern w:val="2"/>
      <w:sz w:val="18"/>
      <w:szCs w:val="18"/>
      <w:lang w:val="en-US" w:eastAsia="zh-CN" w:bidi="ar-SA"/>
    </w:rPr>
  </w:style>
  <w:style w:type="character" w:customStyle="1" w:styleId="186">
    <w:name w:val="indent"/>
    <w:basedOn w:val="49"/>
    <w:autoRedefine/>
    <w:qFormat/>
    <w:uiPriority w:val="0"/>
  </w:style>
  <w:style w:type="character" w:customStyle="1" w:styleId="187">
    <w:name w:val="button"/>
    <w:basedOn w:val="49"/>
    <w:autoRedefine/>
    <w:qFormat/>
    <w:uiPriority w:val="0"/>
  </w:style>
  <w:style w:type="character" w:customStyle="1" w:styleId="188">
    <w:name w:val="页眉 Char"/>
    <w:link w:val="30"/>
    <w:autoRedefine/>
    <w:qFormat/>
    <w:uiPriority w:val="99"/>
    <w:rPr>
      <w:rFonts w:eastAsia="宋体"/>
      <w:kern w:val="2"/>
      <w:sz w:val="18"/>
      <w:szCs w:val="18"/>
      <w:lang w:val="en-US" w:eastAsia="zh-CN" w:bidi="ar-SA"/>
    </w:rPr>
  </w:style>
  <w:style w:type="character" w:customStyle="1" w:styleId="189">
    <w:name w:val="tmpztreemove_arrow"/>
    <w:basedOn w:val="49"/>
    <w:autoRedefine/>
    <w:qFormat/>
    <w:uiPriority w:val="0"/>
    <w:rPr>
      <w:shd w:val="clear" w:color="auto" w:fill="FFFFFF"/>
    </w:rPr>
  </w:style>
  <w:style w:type="character" w:customStyle="1" w:styleId="190">
    <w:name w:val="c lh15"/>
    <w:basedOn w:val="49"/>
    <w:autoRedefine/>
    <w:qFormat/>
    <w:uiPriority w:val="0"/>
  </w:style>
  <w:style w:type="character" w:customStyle="1" w:styleId="191">
    <w:name w:val="标题 Char"/>
    <w:link w:val="43"/>
    <w:autoRedefine/>
    <w:qFormat/>
    <w:uiPriority w:val="0"/>
    <w:rPr>
      <w:rFonts w:ascii="Cambria" w:hAnsi="Cambria"/>
      <w:b/>
      <w:bCs/>
      <w:kern w:val="2"/>
      <w:sz w:val="32"/>
      <w:szCs w:val="32"/>
    </w:rPr>
  </w:style>
  <w:style w:type="character" w:customStyle="1" w:styleId="192">
    <w:name w:val="ziti12-333-25"/>
    <w:basedOn w:val="49"/>
    <w:autoRedefine/>
    <w:qFormat/>
    <w:uiPriority w:val="0"/>
  </w:style>
  <w:style w:type="character" w:customStyle="1" w:styleId="193">
    <w:name w:val="stclosebtn"/>
    <w:basedOn w:val="49"/>
    <w:autoRedefine/>
    <w:qFormat/>
    <w:uiPriority w:val="0"/>
  </w:style>
  <w:style w:type="character" w:customStyle="1" w:styleId="194">
    <w:name w:val="c1"/>
    <w:autoRedefine/>
    <w:qFormat/>
    <w:uiPriority w:val="0"/>
    <w:rPr>
      <w:sz w:val="28"/>
      <w:szCs w:val="28"/>
    </w:rPr>
  </w:style>
  <w:style w:type="character" w:customStyle="1" w:styleId="195">
    <w:name w:val="正文文本 2 Char1"/>
    <w:autoRedefine/>
    <w:semiHidden/>
    <w:qFormat/>
    <w:uiPriority w:val="99"/>
    <w:rPr>
      <w:kern w:val="2"/>
      <w:sz w:val="21"/>
    </w:rPr>
  </w:style>
  <w:style w:type="character" w:customStyle="1" w:styleId="196">
    <w:name w:val="glyphicon"/>
    <w:basedOn w:val="49"/>
    <w:autoRedefine/>
    <w:qFormat/>
    <w:uiPriority w:val="0"/>
  </w:style>
  <w:style w:type="character" w:customStyle="1" w:styleId="197">
    <w:name w:val="hover"/>
    <w:basedOn w:val="49"/>
    <w:autoRedefine/>
    <w:qFormat/>
    <w:uiPriority w:val="0"/>
    <w:rPr>
      <w:shd w:val="clear" w:color="auto" w:fill="EEEEEE"/>
    </w:rPr>
  </w:style>
  <w:style w:type="character" w:customStyle="1" w:styleId="198">
    <w:name w:val="font21"/>
    <w:basedOn w:val="49"/>
    <w:autoRedefine/>
    <w:qFormat/>
    <w:uiPriority w:val="0"/>
    <w:rPr>
      <w:rFonts w:hint="eastAsia" w:ascii="宋体" w:hAnsi="宋体" w:eastAsia="宋体" w:cs="宋体"/>
      <w:color w:val="000000"/>
      <w:sz w:val="20"/>
      <w:szCs w:val="20"/>
      <w:u w:val="none"/>
    </w:rPr>
  </w:style>
  <w:style w:type="character" w:customStyle="1" w:styleId="199">
    <w:name w:val="批注文字 Char"/>
    <w:link w:val="16"/>
    <w:autoRedefine/>
    <w:qFormat/>
    <w:uiPriority w:val="99"/>
    <w:rPr>
      <w:rFonts w:eastAsia="宋体"/>
      <w:kern w:val="2"/>
      <w:sz w:val="21"/>
      <w:szCs w:val="24"/>
      <w:lang w:val="en-US" w:eastAsia="zh-CN" w:bidi="ar-SA"/>
    </w:rPr>
  </w:style>
  <w:style w:type="paragraph" w:customStyle="1" w:styleId="200">
    <w:name w:val="title11"/>
    <w:basedOn w:val="1"/>
    <w:autoRedefine/>
    <w:qFormat/>
    <w:uiPriority w:val="0"/>
    <w:pPr>
      <w:spacing w:before="150" w:beforeAutospacing="0" w:after="0" w:afterAutospacing="0"/>
      <w:ind w:left="0" w:right="0" w:firstLine="0"/>
      <w:jc w:val="left"/>
    </w:pPr>
    <w:rPr>
      <w:b/>
      <w:kern w:val="0"/>
      <w:sz w:val="22"/>
      <w:szCs w:val="22"/>
      <w:lang w:val="en-US" w:eastAsia="zh-CN" w:bidi="ar"/>
    </w:rPr>
  </w:style>
  <w:style w:type="paragraph" w:customStyle="1" w:styleId="201">
    <w:name w:val="title13"/>
    <w:basedOn w:val="1"/>
    <w:autoRedefine/>
    <w:qFormat/>
    <w:uiPriority w:val="0"/>
    <w:pPr>
      <w:spacing w:before="150" w:beforeAutospacing="0" w:after="0" w:afterAutospacing="0"/>
      <w:ind w:left="0" w:right="0" w:firstLine="0"/>
      <w:jc w:val="left"/>
    </w:pPr>
    <w:rPr>
      <w:b/>
      <w:kern w:val="0"/>
      <w:sz w:val="22"/>
      <w:szCs w:val="22"/>
      <w:lang w:val="en-US" w:eastAsia="zh-CN" w:bidi="ar"/>
    </w:rPr>
  </w:style>
  <w:style w:type="paragraph" w:customStyle="1" w:styleId="202">
    <w:name w:val="目录"/>
    <w:basedOn w:val="1"/>
    <w:autoRedefine/>
    <w:qFormat/>
    <w:uiPriority w:val="0"/>
    <w:pPr>
      <w:widowControl/>
      <w:spacing w:line="240" w:lineRule="auto"/>
      <w:jc w:val="center"/>
    </w:pPr>
    <w:rPr>
      <w:rFonts w:ascii="宋体"/>
      <w:b/>
      <w:kern w:val="0"/>
      <w:sz w:val="36"/>
      <w:szCs w:val="20"/>
    </w:rPr>
  </w:style>
  <w:style w:type="paragraph" w:customStyle="1" w:styleId="203">
    <w:name w:val="Body text|1"/>
    <w:basedOn w:val="1"/>
    <w:autoRedefine/>
    <w:qFormat/>
    <w:uiPriority w:val="0"/>
    <w:pPr>
      <w:widowControl w:val="0"/>
      <w:shd w:val="clear" w:color="auto" w:fill="auto"/>
      <w:spacing w:line="480" w:lineRule="auto"/>
      <w:ind w:firstLine="400"/>
    </w:pPr>
    <w:rPr>
      <w:rFonts w:ascii="宋体" w:hAnsi="宋体" w:eastAsia="宋体" w:cs="宋体"/>
      <w:sz w:val="22"/>
      <w:szCs w:val="22"/>
      <w:u w:val="none"/>
      <w:shd w:val="clear" w:color="auto" w:fill="auto"/>
      <w:lang w:val="zh-TW" w:eastAsia="zh-TW" w:bidi="zh-TW"/>
    </w:rPr>
  </w:style>
  <w:style w:type="paragraph" w:customStyle="1" w:styleId="204">
    <w:name w:val="方案正文"/>
    <w:basedOn w:val="1"/>
    <w:autoRedefine/>
    <w:qFormat/>
    <w:uiPriority w:val="0"/>
    <w:pPr>
      <w:widowControl/>
      <w:spacing w:line="360" w:lineRule="auto"/>
      <w:ind w:firstLine="504"/>
      <w:jc w:val="left"/>
    </w:pPr>
    <w:rPr>
      <w:rFonts w:ascii="宋体" w:hAnsi="宋体" w:eastAsia="宋体" w:cs="Times New Roman"/>
      <w:kern w:val="0"/>
      <w:sz w:val="24"/>
      <w:szCs w:val="28"/>
    </w:rPr>
  </w:style>
  <w:style w:type="character" w:customStyle="1" w:styleId="205">
    <w:name w:val="mini-tree-nodetext3"/>
    <w:basedOn w:val="49"/>
    <w:autoRedefine/>
    <w:qFormat/>
    <w:uiPriority w:val="0"/>
  </w:style>
  <w:style w:type="character" w:customStyle="1" w:styleId="206">
    <w:name w:val="mini-tree-nodetext2"/>
    <w:basedOn w:val="49"/>
    <w:autoRedefine/>
    <w:qFormat/>
    <w:uiPriority w:val="0"/>
  </w:style>
  <w:style w:type="character" w:customStyle="1" w:styleId="207">
    <w:name w:val="font41"/>
    <w:basedOn w:val="49"/>
    <w:autoRedefine/>
    <w:qFormat/>
    <w:uiPriority w:val="0"/>
    <w:rPr>
      <w:rFonts w:hint="eastAsia" w:ascii="宋体" w:hAnsi="宋体" w:eastAsia="宋体" w:cs="宋体"/>
      <w:color w:val="4F81BD"/>
      <w:sz w:val="22"/>
      <w:szCs w:val="22"/>
      <w:u w:val="none"/>
    </w:rPr>
  </w:style>
  <w:style w:type="character" w:customStyle="1" w:styleId="208">
    <w:name w:val="font11"/>
    <w:basedOn w:val="49"/>
    <w:autoRedefine/>
    <w:qFormat/>
    <w:uiPriority w:val="0"/>
    <w:rPr>
      <w:rFonts w:hint="eastAsia" w:ascii="宋体" w:hAnsi="宋体" w:eastAsia="宋体" w:cs="宋体"/>
      <w:color w:val="000000"/>
      <w:sz w:val="22"/>
      <w:szCs w:val="22"/>
      <w:u w:val="none"/>
    </w:rPr>
  </w:style>
  <w:style w:type="character" w:customStyle="1" w:styleId="209">
    <w:name w:val="nth-of-type(4)"/>
    <w:basedOn w:val="49"/>
    <w:autoRedefine/>
    <w:qFormat/>
    <w:uiPriority w:val="0"/>
  </w:style>
  <w:style w:type="character" w:customStyle="1" w:styleId="210">
    <w:name w:val="nth-of-type(4)1"/>
    <w:basedOn w:val="49"/>
    <w:autoRedefine/>
    <w:qFormat/>
    <w:uiPriority w:val="0"/>
  </w:style>
  <w:style w:type="character" w:customStyle="1" w:styleId="211">
    <w:name w:val="nth-of-type(4)2"/>
    <w:basedOn w:val="49"/>
    <w:autoRedefine/>
    <w:qFormat/>
    <w:uiPriority w:val="0"/>
    <w:rPr>
      <w:sz w:val="21"/>
      <w:szCs w:val="21"/>
    </w:rPr>
  </w:style>
  <w:style w:type="character" w:customStyle="1" w:styleId="212">
    <w:name w:val="nth-of-type(4)3"/>
    <w:basedOn w:val="49"/>
    <w:autoRedefine/>
    <w:qFormat/>
    <w:uiPriority w:val="0"/>
  </w:style>
  <w:style w:type="character" w:customStyle="1" w:styleId="213">
    <w:name w:val="nth-of-type(4)4"/>
    <w:basedOn w:val="49"/>
    <w:autoRedefine/>
    <w:qFormat/>
    <w:uiPriority w:val="0"/>
  </w:style>
  <w:style w:type="character" w:customStyle="1" w:styleId="214">
    <w:name w:val="nth-of-type(4)5"/>
    <w:basedOn w:val="49"/>
    <w:autoRedefine/>
    <w:qFormat/>
    <w:uiPriority w:val="0"/>
  </w:style>
  <w:style w:type="character" w:customStyle="1" w:styleId="215">
    <w:name w:val="nth-of-type(4)6"/>
    <w:basedOn w:val="49"/>
    <w:autoRedefine/>
    <w:qFormat/>
    <w:uiPriority w:val="0"/>
  </w:style>
  <w:style w:type="character" w:customStyle="1" w:styleId="216">
    <w:name w:val="nth-of-type(4)7"/>
    <w:basedOn w:val="49"/>
    <w:autoRedefine/>
    <w:qFormat/>
    <w:uiPriority w:val="0"/>
  </w:style>
  <w:style w:type="character" w:customStyle="1" w:styleId="217">
    <w:name w:val="nth-of-type(4)8"/>
    <w:basedOn w:val="49"/>
    <w:autoRedefine/>
    <w:qFormat/>
    <w:uiPriority w:val="0"/>
  </w:style>
  <w:style w:type="character" w:customStyle="1" w:styleId="218">
    <w:name w:val="last-child1"/>
    <w:basedOn w:val="49"/>
    <w:autoRedefine/>
    <w:qFormat/>
    <w:uiPriority w:val="0"/>
  </w:style>
  <w:style w:type="character" w:customStyle="1" w:styleId="219">
    <w:name w:val="last-child2"/>
    <w:basedOn w:val="49"/>
    <w:autoRedefine/>
    <w:qFormat/>
    <w:uiPriority w:val="0"/>
    <w:rPr>
      <w:color w:val="FFFFFF"/>
    </w:rPr>
  </w:style>
  <w:style w:type="character" w:customStyle="1" w:styleId="220">
    <w:name w:val="last-child3"/>
    <w:basedOn w:val="49"/>
    <w:autoRedefine/>
    <w:qFormat/>
    <w:uiPriority w:val="0"/>
  </w:style>
  <w:style w:type="character" w:customStyle="1" w:styleId="221">
    <w:name w:val="nth-of-type(3)"/>
    <w:basedOn w:val="49"/>
    <w:autoRedefine/>
    <w:qFormat/>
    <w:uiPriority w:val="0"/>
  </w:style>
  <w:style w:type="character" w:customStyle="1" w:styleId="222">
    <w:name w:val="nth-child(1)"/>
    <w:basedOn w:val="49"/>
    <w:autoRedefine/>
    <w:qFormat/>
    <w:uiPriority w:val="0"/>
  </w:style>
  <w:style w:type="character" w:customStyle="1" w:styleId="223">
    <w:name w:val="nth-of-type(2)"/>
    <w:basedOn w:val="49"/>
    <w:autoRedefine/>
    <w:qFormat/>
    <w:uiPriority w:val="0"/>
  </w:style>
  <w:style w:type="character" w:customStyle="1" w:styleId="224">
    <w:name w:val="nth-of-type(2)1"/>
    <w:basedOn w:val="49"/>
    <w:autoRedefine/>
    <w:qFormat/>
    <w:uiPriority w:val="0"/>
  </w:style>
  <w:style w:type="character" w:customStyle="1" w:styleId="225">
    <w:name w:val="nth-of-type(2)2"/>
    <w:basedOn w:val="49"/>
    <w:autoRedefine/>
    <w:qFormat/>
    <w:uiPriority w:val="0"/>
  </w:style>
  <w:style w:type="character" w:customStyle="1" w:styleId="226">
    <w:name w:val="nth-of-type(2)3"/>
    <w:basedOn w:val="49"/>
    <w:autoRedefine/>
    <w:qFormat/>
    <w:uiPriority w:val="0"/>
  </w:style>
  <w:style w:type="character" w:customStyle="1" w:styleId="227">
    <w:name w:val="nth-of-type(2)4"/>
    <w:basedOn w:val="49"/>
    <w:autoRedefine/>
    <w:qFormat/>
    <w:uiPriority w:val="0"/>
  </w:style>
  <w:style w:type="character" w:customStyle="1" w:styleId="228">
    <w:name w:val="nth-of-type(2)5"/>
    <w:basedOn w:val="49"/>
    <w:autoRedefine/>
    <w:qFormat/>
    <w:uiPriority w:val="0"/>
    <w:rPr>
      <w:sz w:val="21"/>
      <w:szCs w:val="21"/>
    </w:rPr>
  </w:style>
  <w:style w:type="character" w:customStyle="1" w:styleId="229">
    <w:name w:val="nth-of-type(2)6"/>
    <w:basedOn w:val="49"/>
    <w:autoRedefine/>
    <w:qFormat/>
    <w:uiPriority w:val="0"/>
  </w:style>
  <w:style w:type="character" w:customStyle="1" w:styleId="230">
    <w:name w:val="nth-of-type(2)7"/>
    <w:basedOn w:val="49"/>
    <w:autoRedefine/>
    <w:qFormat/>
    <w:uiPriority w:val="0"/>
  </w:style>
  <w:style w:type="character" w:customStyle="1" w:styleId="231">
    <w:name w:val="nth-of-type(2)8"/>
    <w:basedOn w:val="49"/>
    <w:autoRedefine/>
    <w:qFormat/>
    <w:uiPriority w:val="0"/>
  </w:style>
  <w:style w:type="character" w:customStyle="1" w:styleId="232">
    <w:name w:val="nth-of-type(2)9"/>
    <w:basedOn w:val="49"/>
    <w:autoRedefine/>
    <w:qFormat/>
    <w:uiPriority w:val="0"/>
  </w:style>
  <w:style w:type="character" w:customStyle="1" w:styleId="233">
    <w:name w:val="nth-of-type(2)10"/>
    <w:basedOn w:val="49"/>
    <w:autoRedefine/>
    <w:qFormat/>
    <w:uiPriority w:val="0"/>
  </w:style>
  <w:style w:type="character" w:customStyle="1" w:styleId="234">
    <w:name w:val="nth-of-type(2)11"/>
    <w:basedOn w:val="49"/>
    <w:autoRedefine/>
    <w:qFormat/>
    <w:uiPriority w:val="0"/>
  </w:style>
  <w:style w:type="character" w:customStyle="1" w:styleId="235">
    <w:name w:val="nth-of-type(2)12"/>
    <w:basedOn w:val="49"/>
    <w:autoRedefine/>
    <w:qFormat/>
    <w:uiPriority w:val="0"/>
  </w:style>
  <w:style w:type="character" w:customStyle="1" w:styleId="236">
    <w:name w:val="nth-of-type(2)13"/>
    <w:basedOn w:val="49"/>
    <w:autoRedefine/>
    <w:qFormat/>
    <w:uiPriority w:val="0"/>
  </w:style>
  <w:style w:type="character" w:customStyle="1" w:styleId="237">
    <w:name w:val="nth-of-type(2)14"/>
    <w:basedOn w:val="49"/>
    <w:autoRedefine/>
    <w:qFormat/>
    <w:uiPriority w:val="0"/>
  </w:style>
  <w:style w:type="character" w:customStyle="1" w:styleId="238">
    <w:name w:val="nth-of-type(1)"/>
    <w:basedOn w:val="49"/>
    <w:autoRedefine/>
    <w:qFormat/>
    <w:uiPriority w:val="0"/>
  </w:style>
  <w:style w:type="character" w:customStyle="1" w:styleId="239">
    <w:name w:val="nth-of-type(1)1"/>
    <w:basedOn w:val="49"/>
    <w:autoRedefine/>
    <w:qFormat/>
    <w:uiPriority w:val="0"/>
  </w:style>
  <w:style w:type="character" w:customStyle="1" w:styleId="240">
    <w:name w:val="nth-of-type(1)2"/>
    <w:basedOn w:val="49"/>
    <w:autoRedefine/>
    <w:qFormat/>
    <w:uiPriority w:val="0"/>
  </w:style>
  <w:style w:type="character" w:customStyle="1" w:styleId="241">
    <w:name w:val="nth-of-type(1)3"/>
    <w:basedOn w:val="49"/>
    <w:autoRedefine/>
    <w:qFormat/>
    <w:uiPriority w:val="0"/>
  </w:style>
  <w:style w:type="character" w:customStyle="1" w:styleId="242">
    <w:name w:val="nth-of-type(1)4"/>
    <w:basedOn w:val="49"/>
    <w:autoRedefine/>
    <w:qFormat/>
    <w:uiPriority w:val="0"/>
  </w:style>
  <w:style w:type="character" w:customStyle="1" w:styleId="243">
    <w:name w:val="nth-of-type(1)5"/>
    <w:basedOn w:val="49"/>
    <w:autoRedefine/>
    <w:qFormat/>
    <w:uiPriority w:val="0"/>
  </w:style>
  <w:style w:type="character" w:customStyle="1" w:styleId="244">
    <w:name w:val="nth-of-type(1)6"/>
    <w:basedOn w:val="49"/>
    <w:autoRedefine/>
    <w:qFormat/>
    <w:uiPriority w:val="0"/>
    <w:rPr>
      <w:sz w:val="21"/>
      <w:szCs w:val="21"/>
    </w:rPr>
  </w:style>
  <w:style w:type="character" w:customStyle="1" w:styleId="245">
    <w:name w:val="nth-of-type(1)7"/>
    <w:basedOn w:val="49"/>
    <w:autoRedefine/>
    <w:qFormat/>
    <w:uiPriority w:val="0"/>
  </w:style>
  <w:style w:type="character" w:customStyle="1" w:styleId="246">
    <w:name w:val="nth-of-type(1)8"/>
    <w:basedOn w:val="49"/>
    <w:autoRedefine/>
    <w:qFormat/>
    <w:uiPriority w:val="0"/>
    <w:rPr>
      <w:rFonts w:ascii="SourceHanSansCN-Regular" w:hAnsi="SourceHanSansCN-Regular" w:eastAsia="SourceHanSansCN-Regular" w:cs="SourceHanSansCN-Regular"/>
      <w:color w:val="FB560A"/>
      <w:sz w:val="21"/>
      <w:szCs w:val="21"/>
    </w:rPr>
  </w:style>
  <w:style w:type="character" w:customStyle="1" w:styleId="247">
    <w:name w:val="nth-of-type(1)9"/>
    <w:basedOn w:val="49"/>
    <w:autoRedefine/>
    <w:qFormat/>
    <w:uiPriority w:val="0"/>
  </w:style>
  <w:style w:type="character" w:customStyle="1" w:styleId="248">
    <w:name w:val="nth-of-type(1)10"/>
    <w:basedOn w:val="49"/>
    <w:autoRedefine/>
    <w:qFormat/>
    <w:uiPriority w:val="0"/>
  </w:style>
  <w:style w:type="character" w:customStyle="1" w:styleId="249">
    <w:name w:val="nth-of-type(1)11"/>
    <w:basedOn w:val="49"/>
    <w:autoRedefine/>
    <w:qFormat/>
    <w:uiPriority w:val="0"/>
  </w:style>
  <w:style w:type="character" w:customStyle="1" w:styleId="250">
    <w:name w:val="nth-of-type(1)12"/>
    <w:basedOn w:val="49"/>
    <w:autoRedefine/>
    <w:qFormat/>
    <w:uiPriority w:val="0"/>
  </w:style>
  <w:style w:type="character" w:customStyle="1" w:styleId="251">
    <w:name w:val="nth-of-type(1)13"/>
    <w:basedOn w:val="49"/>
    <w:autoRedefine/>
    <w:qFormat/>
    <w:uiPriority w:val="0"/>
  </w:style>
  <w:style w:type="character" w:customStyle="1" w:styleId="252">
    <w:name w:val="nth-of-type(1)14"/>
    <w:basedOn w:val="49"/>
    <w:autoRedefine/>
    <w:qFormat/>
    <w:uiPriority w:val="0"/>
  </w:style>
  <w:style w:type="character" w:customStyle="1" w:styleId="253">
    <w:name w:val="nth-of-type(1)15"/>
    <w:basedOn w:val="49"/>
    <w:autoRedefine/>
    <w:qFormat/>
    <w:uiPriority w:val="0"/>
  </w:style>
  <w:style w:type="character" w:customStyle="1" w:styleId="254">
    <w:name w:val="nth-of-type(1)16"/>
    <w:basedOn w:val="49"/>
    <w:autoRedefine/>
    <w:qFormat/>
    <w:uiPriority w:val="0"/>
  </w:style>
  <w:style w:type="character" w:customStyle="1" w:styleId="255">
    <w:name w:val="nth-of-type(1)17"/>
    <w:basedOn w:val="49"/>
    <w:autoRedefine/>
    <w:qFormat/>
    <w:uiPriority w:val="0"/>
  </w:style>
  <w:style w:type="character" w:customStyle="1" w:styleId="256">
    <w:name w:val="nth-of-type(1)18"/>
    <w:basedOn w:val="49"/>
    <w:autoRedefine/>
    <w:qFormat/>
    <w:uiPriority w:val="0"/>
  </w:style>
  <w:style w:type="character" w:customStyle="1" w:styleId="257">
    <w:name w:val="hover25"/>
    <w:basedOn w:val="49"/>
    <w:autoRedefine/>
    <w:qFormat/>
    <w:uiPriority w:val="0"/>
    <w:rPr>
      <w:color w:val="167AE0"/>
    </w:rPr>
  </w:style>
  <w:style w:type="character" w:customStyle="1" w:styleId="258">
    <w:name w:val="hover26"/>
    <w:basedOn w:val="49"/>
    <w:autoRedefine/>
    <w:qFormat/>
    <w:uiPriority w:val="0"/>
  </w:style>
  <w:style w:type="character" w:customStyle="1" w:styleId="259">
    <w:name w:val="before2"/>
    <w:basedOn w:val="49"/>
    <w:autoRedefine/>
    <w:qFormat/>
    <w:uiPriority w:val="0"/>
    <w:rPr>
      <w:shd w:val="clear" w:fill="C20E0C"/>
    </w:rPr>
  </w:style>
  <w:style w:type="character" w:customStyle="1" w:styleId="260">
    <w:name w:val="titleshow"/>
    <w:basedOn w:val="49"/>
    <w:autoRedefine/>
    <w:qFormat/>
    <w:uiPriority w:val="0"/>
    <w:rPr>
      <w:color w:val="3E464C"/>
    </w:rPr>
  </w:style>
  <w:style w:type="character" w:customStyle="1" w:styleId="261">
    <w:name w:val="lineshow"/>
    <w:basedOn w:val="49"/>
    <w:autoRedefine/>
    <w:qFormat/>
    <w:uiPriority w:val="0"/>
  </w:style>
  <w:style w:type="character" w:customStyle="1" w:styleId="262">
    <w:name w:val="lineshow1"/>
    <w:basedOn w:val="49"/>
    <w:autoRedefine/>
    <w:qFormat/>
    <w:uiPriority w:val="0"/>
  </w:style>
  <w:style w:type="character" w:customStyle="1" w:styleId="263">
    <w:name w:val="nth-of-type(6)"/>
    <w:basedOn w:val="49"/>
    <w:autoRedefine/>
    <w:qFormat/>
    <w:uiPriority w:val="0"/>
  </w:style>
  <w:style w:type="character" w:customStyle="1" w:styleId="264">
    <w:name w:val="nth-of-type(8)"/>
    <w:basedOn w:val="49"/>
    <w:autoRedefine/>
    <w:qFormat/>
    <w:uiPriority w:val="0"/>
  </w:style>
  <w:style w:type="character" w:customStyle="1" w:styleId="265">
    <w:name w:val="nth-of-type(5)"/>
    <w:basedOn w:val="49"/>
    <w:autoRedefine/>
    <w:qFormat/>
    <w:uiPriority w:val="0"/>
    <w:rPr>
      <w:sz w:val="21"/>
      <w:szCs w:val="21"/>
    </w:rPr>
  </w:style>
  <w:style w:type="character" w:customStyle="1" w:styleId="266">
    <w:name w:val="nth-of-type(5)1"/>
    <w:basedOn w:val="49"/>
    <w:autoRedefine/>
    <w:qFormat/>
    <w:uiPriority w:val="0"/>
  </w:style>
  <w:style w:type="character" w:customStyle="1" w:styleId="267">
    <w:name w:val="nth-of-type(5)2"/>
    <w:basedOn w:val="49"/>
    <w:autoRedefine/>
    <w:qFormat/>
    <w:uiPriority w:val="0"/>
  </w:style>
  <w:style w:type="character" w:customStyle="1" w:styleId="268">
    <w:name w:val="nth-of-type(5)3"/>
    <w:basedOn w:val="49"/>
    <w:autoRedefine/>
    <w:qFormat/>
    <w:uiPriority w:val="0"/>
  </w:style>
  <w:style w:type="character" w:customStyle="1" w:styleId="269">
    <w:name w:val="nth-of-type(5)4"/>
    <w:basedOn w:val="49"/>
    <w:autoRedefine/>
    <w:qFormat/>
    <w:uiPriority w:val="0"/>
    <w:rPr>
      <w:color w:val="0082DF"/>
    </w:rPr>
  </w:style>
  <w:style w:type="character" w:customStyle="1" w:styleId="270">
    <w:name w:val="nth-of-type(5)5"/>
    <w:basedOn w:val="49"/>
    <w:autoRedefine/>
    <w:qFormat/>
    <w:uiPriority w:val="0"/>
  </w:style>
  <w:style w:type="character" w:customStyle="1" w:styleId="271">
    <w:name w:val="nth-of-type(5)6"/>
    <w:basedOn w:val="49"/>
    <w:autoRedefine/>
    <w:qFormat/>
    <w:uiPriority w:val="0"/>
  </w:style>
  <w:style w:type="character" w:customStyle="1" w:styleId="272">
    <w:name w:val="layui-laypage-curr"/>
    <w:basedOn w:val="49"/>
    <w:autoRedefine/>
    <w:qFormat/>
    <w:uiPriority w:val="0"/>
  </w:style>
  <w:style w:type="character" w:customStyle="1" w:styleId="273">
    <w:name w:val="nth-of-type(10)"/>
    <w:basedOn w:val="49"/>
    <w:autoRedefine/>
    <w:qFormat/>
    <w:uiPriority w:val="0"/>
  </w:style>
  <w:style w:type="character" w:customStyle="1" w:styleId="274">
    <w:name w:val="nth-of-type(7)"/>
    <w:basedOn w:val="49"/>
    <w:autoRedefine/>
    <w:qFormat/>
    <w:uiPriority w:val="0"/>
  </w:style>
  <w:style w:type="character" w:customStyle="1" w:styleId="275">
    <w:name w:val="nth-of-type(7)1"/>
    <w:basedOn w:val="49"/>
    <w:autoRedefine/>
    <w:qFormat/>
    <w:uiPriority w:val="0"/>
  </w:style>
  <w:style w:type="character" w:customStyle="1" w:styleId="276">
    <w:name w:val="nth-of-type(7)2"/>
    <w:basedOn w:val="49"/>
    <w:autoRedefine/>
    <w:qFormat/>
    <w:uiPriority w:val="0"/>
  </w:style>
  <w:style w:type="character" w:customStyle="1" w:styleId="277">
    <w:name w:val="nth-of-type(9)"/>
    <w:basedOn w:val="49"/>
    <w:autoRedefine/>
    <w:qFormat/>
    <w:uiPriority w:val="0"/>
  </w:style>
  <w:style w:type="character" w:customStyle="1" w:styleId="278">
    <w:name w:val="first-child"/>
    <w:basedOn w:val="49"/>
    <w:autoRedefine/>
    <w:qFormat/>
    <w:uiPriority w:val="0"/>
  </w:style>
  <w:style w:type="character" w:customStyle="1" w:styleId="279">
    <w:name w:val="first-child1"/>
    <w:basedOn w:val="49"/>
    <w:autoRedefine/>
    <w:qFormat/>
    <w:uiPriority w:val="0"/>
  </w:style>
  <w:style w:type="character" w:customStyle="1" w:styleId="280">
    <w:name w:val="first-child2"/>
    <w:basedOn w:val="49"/>
    <w:autoRedefine/>
    <w:qFormat/>
    <w:uiPriority w:val="0"/>
  </w:style>
  <w:style w:type="character" w:customStyle="1" w:styleId="281">
    <w:name w:val="first-child3"/>
    <w:basedOn w:val="49"/>
    <w:autoRedefine/>
    <w:qFormat/>
    <w:uiPriority w:val="0"/>
  </w:style>
  <w:style w:type="character" w:customStyle="1" w:styleId="282">
    <w:name w:val="nth-child(2)"/>
    <w:basedOn w:val="49"/>
    <w:autoRedefine/>
    <w:qFormat/>
    <w:uiPriority w:val="0"/>
  </w:style>
  <w:style w:type="character" w:customStyle="1" w:styleId="283">
    <w:name w:val="nth-child(3)"/>
    <w:basedOn w:val="49"/>
    <w:autoRedefine/>
    <w:qFormat/>
    <w:uiPriority w:val="0"/>
  </w:style>
  <w:style w:type="character" w:customStyle="1" w:styleId="284">
    <w:name w:val="layui-this3"/>
    <w:basedOn w:val="49"/>
    <w:autoRedefine/>
    <w:qFormat/>
    <w:uiPriority w:val="0"/>
    <w:rPr>
      <w:bdr w:val="single" w:color="EEEEEE" w:sz="6" w:space="0"/>
      <w:shd w:val="clear" w:fill="FFFFFF"/>
    </w:rPr>
  </w:style>
  <w:style w:type="character" w:customStyle="1" w:styleId="285">
    <w:name w:val="NormalCharacter"/>
    <w:autoRedefine/>
    <w:qFormat/>
    <w:uiPriority w:val="0"/>
  </w:style>
  <w:style w:type="paragraph" w:customStyle="1" w:styleId="286">
    <w:name w:val="Table Paragraph"/>
    <w:basedOn w:val="1"/>
    <w:autoRedefine/>
    <w:qFormat/>
    <w:uiPriority w:val="1"/>
    <w:pPr>
      <w:autoSpaceDE w:val="0"/>
      <w:autoSpaceDN w:val="0"/>
      <w:jc w:val="left"/>
    </w:pPr>
    <w:rPr>
      <w:rFonts w:ascii="宋体" w:hAnsi="宋体" w:cs="宋体"/>
      <w:kern w:val="0"/>
      <w:sz w:val="22"/>
      <w:szCs w:val="22"/>
      <w:lang w:val="zh-CN" w:bidi="zh-CN"/>
    </w:rPr>
  </w:style>
  <w:style w:type="paragraph" w:customStyle="1" w:styleId="287">
    <w:name w:val="Table Text"/>
    <w:basedOn w:val="1"/>
    <w:autoRedefine/>
    <w:semiHidden/>
    <w:qFormat/>
    <w:uiPriority w:val="0"/>
    <w:rPr>
      <w:rFonts w:ascii="宋体" w:hAnsi="宋体" w:eastAsia="宋体" w:cs="宋体"/>
      <w:sz w:val="24"/>
      <w:szCs w:val="24"/>
      <w:lang w:val="en-US" w:eastAsia="en-US" w:bidi="ar-SA"/>
    </w:rPr>
  </w:style>
  <w:style w:type="table" w:customStyle="1" w:styleId="288">
    <w:name w:val="Table Normal"/>
    <w:autoRedefine/>
    <w:semiHidden/>
    <w:unhideWhenUsed/>
    <w:qFormat/>
    <w:uiPriority w:val="0"/>
    <w:tblPr>
      <w:tblCellMar>
        <w:top w:w="0" w:type="dxa"/>
        <w:left w:w="0" w:type="dxa"/>
        <w:bottom w:w="0" w:type="dxa"/>
        <w:right w:w="0" w:type="dxa"/>
      </w:tblCellMar>
    </w:tblPr>
  </w:style>
  <w:style w:type="paragraph" w:customStyle="1" w:styleId="289">
    <w:name w:val="正文 New"/>
    <w:qFormat/>
    <w:uiPriority w:val="0"/>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69</Pages>
  <Words>21783</Words>
  <Characters>24076</Characters>
  <Lines>286</Lines>
  <Paragraphs>80</Paragraphs>
  <TotalTime>66</TotalTime>
  <ScaleCrop>false</ScaleCrop>
  <LinksUpToDate>false</LinksUpToDate>
  <CharactersWithSpaces>25430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2019-02-12T11:05:00Z</dcterms:created>
  <dc:creator>郭颖</dc:creator>
  <cp:lastModifiedBy>百毒不侵</cp:lastModifiedBy>
  <cp:lastPrinted>2021-12-22T08:21:00Z</cp:lastPrinted>
  <dcterms:modified xsi:type="dcterms:W3CDTF">2026-05-06T10:05:32Z</dcterms:modified>
  <dc:title>政府采购货物和服务项目</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C215C90DC52F4BB285C323B5B59BE94D_13</vt:lpwstr>
  </property>
  <property fmtid="{D5CDD505-2E9C-101B-9397-08002B2CF9AE}" pid="4" name="KSOTemplateDocerSaveRecord">
    <vt:lpwstr>eyJoZGlkIjoiMWQ2OGE4OWVmOTcwNjQ0ZTIxNDc2YTU0NjQ2Mjg3MDYiLCJ1c2VySWQiOiIzMjEzMzA1MzMifQ==</vt:lpwstr>
  </property>
</Properties>
</file>