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180"/>
        <w:gridCol w:w="6226"/>
      </w:tblGrid>
      <w:tr w14:paraId="48FE8C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3546E11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180" w:type="dxa"/>
          </w:tcPr>
          <w:p w14:paraId="6430D68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6226" w:type="dxa"/>
          </w:tcPr>
          <w:p w14:paraId="56C57E0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642B1C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2F538A9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180" w:type="dxa"/>
          </w:tcPr>
          <w:p w14:paraId="16F0DE00"/>
        </w:tc>
        <w:tc>
          <w:tcPr>
            <w:tcW w:w="6226" w:type="dxa"/>
          </w:tcPr>
          <w:p w14:paraId="601FB1E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一、服务内容：</w:t>
            </w:r>
          </w:p>
          <w:p w14:paraId="594D444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1.两辆车每日往返地铁站8号线缪家寨站和西北妇女儿童医院曲江院区门诊楼前，每日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运行时长12小时，7:00-19:00。根据运行实际情况可在早、晚高峰时段7:00-8:00、17:30-18:30动态增加车辆。根据中标单价、车辆数和运行时间据实结算。</w:t>
            </w:r>
          </w:p>
          <w:p w14:paraId="21F80646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2.两辆车工作日期间往返地铁5号线黄渠头站和西北妇女儿童医院曲江院区门诊楼前，运行时间为7:00-8:00、17:30-18:30。</w:t>
            </w:r>
          </w:p>
        </w:tc>
      </w:tr>
      <w:tr w14:paraId="4D74E1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41B3C58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180" w:type="dxa"/>
          </w:tcPr>
          <w:p w14:paraId="67AAEB5E"/>
        </w:tc>
        <w:tc>
          <w:tcPr>
            <w:tcW w:w="6226" w:type="dxa"/>
          </w:tcPr>
          <w:p w14:paraId="54FC2EA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二、车辆及站牌要求：</w:t>
            </w:r>
          </w:p>
          <w:p w14:paraId="6D9C86F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1.车辆提供上下车没有台阶的纯电动中巴车型，具体型号根据实际情况和采购人要求随时更换。</w:t>
            </w:r>
          </w:p>
          <w:p w14:paraId="064E1DE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2.车辆使用年限≤3年。</w:t>
            </w:r>
          </w:p>
          <w:p w14:paraId="709CD8C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3.车辆保险齐全，在行驶途中所发生的交通事故，造成人身伤亡和财产损失的，成交供应商承担全部责任。（机动车第三者责任保险不低于100万元）。</w:t>
            </w:r>
          </w:p>
          <w:p w14:paraId="0E4832C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4.整车设计根据采购人需求统一定制车身标识。</w:t>
            </w:r>
          </w:p>
          <w:p w14:paraId="6A1C13C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5.所提供车辆统一颜色、统一车型。</w:t>
            </w:r>
          </w:p>
          <w:p w14:paraId="75C0DF2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6.车内配备可播放视频的电子显示屏。</w:t>
            </w:r>
          </w:p>
          <w:p w14:paraId="270EB2F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7.车内需配置无死角监控（≥3个）、1个行车记录仪，视频储存天数≧7天。</w:t>
            </w:r>
          </w:p>
          <w:p w14:paraId="0E753F62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8.负责在5号线黄渠头站乘车点根据采购人需求安装摆渡车站牌。</w:t>
            </w:r>
          </w:p>
        </w:tc>
      </w:tr>
      <w:tr w14:paraId="0ED338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4732CFB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180" w:type="dxa"/>
          </w:tcPr>
          <w:p w14:paraId="3C984A98"/>
        </w:tc>
        <w:tc>
          <w:tcPr>
            <w:tcW w:w="6226" w:type="dxa"/>
          </w:tcPr>
          <w:p w14:paraId="14B550A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三、驾驶员要求：</w:t>
            </w:r>
          </w:p>
          <w:p w14:paraId="46BF021B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1.持有相对应的准驾驾驶证。</w:t>
            </w:r>
          </w:p>
          <w:p w14:paraId="1449F390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2.驾驶员必须身体健康，应有良好的精神面貌，无犯罪记录、无吸毒记录、无重大疾病，无赌博、嗜酒、吸烟等嗜好。</w:t>
            </w:r>
          </w:p>
          <w:p w14:paraId="578519FD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3.驾驶员年龄≤55周岁，相对应的准驾驾驶证驾龄≥5年。</w:t>
            </w:r>
          </w:p>
          <w:p w14:paraId="072D0FCE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★</w:t>
            </w:r>
            <w:r>
              <w:rPr>
                <w:rFonts w:ascii="仿宋_GB2312" w:hAnsi="仿宋_GB2312" w:eastAsia="仿宋_GB2312" w:cs="仿宋_GB2312"/>
                <w:sz w:val="21"/>
              </w:rPr>
              <w:t>4.驾驶员隶属关系应为投标人正式签约职工（须承诺在中标后为所提供驾驶员缴纳社会保险）。</w:t>
            </w:r>
          </w:p>
          <w:p w14:paraId="0D068601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5.所配备驾驶员在本项目运营期间，连续驾驶时间不得超过4小时。</w:t>
            </w:r>
          </w:p>
          <w:p w14:paraId="6A52D8C2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6.驾驶员被投诉的，根据投诉情况，甲方可要求乙方更换驾驶员，更换的驾驶员应符合上述条件。</w:t>
            </w:r>
          </w:p>
        </w:tc>
      </w:tr>
      <w:tr w14:paraId="620CCD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5294E97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180" w:type="dxa"/>
          </w:tcPr>
          <w:p w14:paraId="73645FA3"/>
        </w:tc>
        <w:tc>
          <w:tcPr>
            <w:tcW w:w="6226" w:type="dxa"/>
          </w:tcPr>
          <w:p w14:paraId="0EAE8CA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1"/>
              </w:rPr>
              <w:t>四、应急措施</w:t>
            </w:r>
          </w:p>
          <w:p w14:paraId="4922FDE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1.车辆服务过程中出现抛锚、事故等原因而无法行驶时，成交供应商必须在0.5小时内提供同款车辆前往服务地点。</w:t>
            </w:r>
          </w:p>
          <w:p w14:paraId="7EAF3316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2.如临时变更出行计划的，双方协商解决。</w:t>
            </w:r>
          </w:p>
        </w:tc>
      </w:tr>
      <w:tr w14:paraId="4FC677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3624C7D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1180" w:type="dxa"/>
          </w:tcPr>
          <w:p w14:paraId="738CBCE0"/>
        </w:tc>
        <w:tc>
          <w:tcPr>
            <w:tcW w:w="6226" w:type="dxa"/>
          </w:tcPr>
          <w:p w14:paraId="1289FBE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五、最高单价限价：</w:t>
            </w:r>
          </w:p>
          <w:p w14:paraId="54EAEFA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1.地铁8号线摆渡车：单价限价1200元/辆/12小时，早、晚高峰时段动态增加的车辆单价限价450元/辆/2小时。</w:t>
            </w:r>
          </w:p>
          <w:p w14:paraId="2FE27701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2.地铁5号线摆渡车：单价限价450元/辆/2小时。</w:t>
            </w:r>
          </w:p>
        </w:tc>
      </w:tr>
      <w:tr w14:paraId="500B7E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0FD41E2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180" w:type="dxa"/>
          </w:tcPr>
          <w:p w14:paraId="67FC347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6226" w:type="dxa"/>
          </w:tcPr>
          <w:p w14:paraId="7A5141BC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六、支付方式</w:t>
            </w:r>
          </w:p>
          <w:p w14:paraId="65121289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因电子化格式有限，供应商还需对以下支付方式进行响应：银行转账，据实结算。每季度根据成交单价和实际运营天数结算一次，结算总金额不超过预算总金额。付款前成交供应商须提供符合税法规定的等额发票。（本条内容为实质性要求，供应商未响应按无效文件处理）</w:t>
            </w:r>
          </w:p>
        </w:tc>
      </w:tr>
    </w:tbl>
    <w:p w14:paraId="21B333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4567A"/>
    <w:rsid w:val="34B4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2026-05-13T03:41:00Z</dcterms:created>
  <dc:creator>徐闫靖双</dc:creator>
  <cp:lastModifiedBy>徐闫靖双</cp:lastModifiedBy>
  <dcterms:modified xsi:type="dcterms:W3CDTF">2026-05-13T03:41:46Z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23D8322F05704D51875C86EB62C2DA10_11</vt:lpwstr>
  </property>
  <property fmtid="{D5CDD505-2E9C-101B-9397-08002B2CF9AE}" pid="4" name="KSOTemplateDocerSaveRecord">
    <vt:lpwstr>eyJoZGlkIjoiYzA1MTFjMGE5NjMwY2U1ODU1MGFhN2UxMjk1NDdlZjEiLCJ1c2VySWQiOiI0NTE5NDQwNTQifQ==</vt:lpwstr>
  </property>
</Properties>
</file>