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5C73">
      <w:pPr>
        <w:pStyle w:val="4"/>
        <w:jc w:val="center"/>
        <w:outlineLvl w:val="1"/>
        <w:rPr>
          <w:color w:val="auto"/>
          <w:highlight w:val="none"/>
        </w:rPr>
      </w:pPr>
      <w:r>
        <w:rPr>
          <w:b/>
          <w:color w:val="auto"/>
          <w:sz w:val="36"/>
          <w:highlight w:val="none"/>
        </w:rPr>
        <w:t>第三章 磋商项目技术、服务、商务及其他要求</w:t>
      </w:r>
    </w:p>
    <w:p w14:paraId="4B3661C1">
      <w:pPr>
        <w:pStyle w:val="4"/>
        <w:ind w:firstLine="480"/>
        <w:rPr>
          <w:color w:val="auto"/>
          <w:highlight w:val="none"/>
        </w:rPr>
      </w:pPr>
      <w:r>
        <w:rPr>
          <w:color w:val="auto"/>
          <w:highlight w:val="none"/>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E809B20">
      <w:pPr>
        <w:pStyle w:val="4"/>
        <w:outlineLvl w:val="2"/>
        <w:rPr>
          <w:color w:val="auto"/>
          <w:highlight w:val="none"/>
        </w:rPr>
      </w:pPr>
      <w:r>
        <w:rPr>
          <w:b/>
          <w:color w:val="auto"/>
          <w:sz w:val="28"/>
          <w:highlight w:val="none"/>
        </w:rPr>
        <w:t>3.1采购项目概况</w:t>
      </w:r>
    </w:p>
    <w:p w14:paraId="06E59EE8">
      <w:pPr>
        <w:pStyle w:val="4"/>
        <w:ind w:firstLine="480"/>
        <w:rPr>
          <w:rFonts w:hint="eastAsia"/>
          <w:color w:val="auto"/>
          <w:highlight w:val="none"/>
          <w:lang w:eastAsia="zh-CN"/>
        </w:rPr>
      </w:pPr>
      <w:r>
        <w:rPr>
          <w:rFonts w:hint="eastAsia"/>
          <w:color w:val="auto"/>
          <w:highlight w:val="none"/>
          <w:lang w:val="en-US" w:eastAsia="zh-CN"/>
        </w:rPr>
        <w:t>提升学生垃圾分类意识能力组织实施。</w:t>
      </w:r>
    </w:p>
    <w:p w14:paraId="695C2325">
      <w:pPr>
        <w:pStyle w:val="4"/>
        <w:outlineLvl w:val="2"/>
        <w:rPr>
          <w:color w:val="auto"/>
          <w:highlight w:val="none"/>
        </w:rPr>
      </w:pPr>
      <w:r>
        <w:rPr>
          <w:b/>
          <w:color w:val="auto"/>
          <w:sz w:val="28"/>
          <w:highlight w:val="none"/>
        </w:rPr>
        <w:t>3.2服务内容及服务要求</w:t>
      </w:r>
    </w:p>
    <w:p w14:paraId="624612BB">
      <w:pPr>
        <w:pStyle w:val="4"/>
        <w:outlineLvl w:val="3"/>
        <w:rPr>
          <w:color w:val="auto"/>
          <w:highlight w:val="none"/>
        </w:rPr>
      </w:pPr>
      <w:r>
        <w:rPr>
          <w:b/>
          <w:color w:val="auto"/>
          <w:sz w:val="24"/>
          <w:highlight w:val="none"/>
        </w:rPr>
        <w:t>3.2.1服务内容</w:t>
      </w:r>
    </w:p>
    <w:p w14:paraId="68695ABB">
      <w:pPr>
        <w:pStyle w:val="4"/>
        <w:rPr>
          <w:color w:val="auto"/>
          <w:highlight w:val="none"/>
        </w:rPr>
      </w:pPr>
      <w:r>
        <w:rPr>
          <w:color w:val="auto"/>
          <w:highlight w:val="none"/>
        </w:rPr>
        <w:t>采购包1：</w:t>
      </w:r>
    </w:p>
    <w:p w14:paraId="1BB48730">
      <w:pPr>
        <w:pStyle w:val="4"/>
        <w:rPr>
          <w:color w:val="auto"/>
          <w:highlight w:val="none"/>
        </w:rPr>
      </w:pPr>
      <w:r>
        <w:rPr>
          <w:color w:val="auto"/>
          <w:highlight w:val="none"/>
        </w:rPr>
        <w:t xml:space="preserve">采购包预算金额（元）: </w:t>
      </w:r>
      <w:r>
        <w:rPr>
          <w:rFonts w:hint="eastAsia"/>
          <w:color w:val="auto"/>
          <w:highlight w:val="none"/>
          <w:lang w:val="en-US" w:eastAsia="zh-CN"/>
        </w:rPr>
        <w:t>400,000.00</w:t>
      </w:r>
    </w:p>
    <w:p w14:paraId="449FF99D">
      <w:pPr>
        <w:pStyle w:val="4"/>
        <w:rPr>
          <w:color w:val="auto"/>
          <w:highlight w:val="none"/>
        </w:rPr>
      </w:pPr>
      <w:r>
        <w:rPr>
          <w:color w:val="auto"/>
          <w:highlight w:val="none"/>
        </w:rPr>
        <w:t>采购包最高限价（元）:</w:t>
      </w:r>
      <w:r>
        <w:rPr>
          <w:rFonts w:hint="eastAsia"/>
          <w:color w:val="auto"/>
          <w:highlight w:val="none"/>
          <w:lang w:val="en-US" w:eastAsia="zh-CN"/>
        </w:rPr>
        <w:t xml:space="preserve"> 400,000.00</w:t>
      </w:r>
    </w:p>
    <w:p w14:paraId="156F24EC">
      <w:pPr>
        <w:pStyle w:val="4"/>
        <w:rPr>
          <w:color w:val="auto"/>
          <w:highlight w:val="none"/>
        </w:rPr>
      </w:pPr>
      <w:r>
        <w:rPr>
          <w:color w:val="auto"/>
          <w:highlight w:val="none"/>
        </w:rPr>
        <w:t>供应商报价不允许超过标的金额</w:t>
      </w:r>
    </w:p>
    <w:p w14:paraId="1FD56128">
      <w:pPr>
        <w:pStyle w:val="4"/>
        <w:rPr>
          <w:color w:val="auto"/>
          <w:highlight w:val="none"/>
        </w:rPr>
      </w:pPr>
      <w:r>
        <w:rPr>
          <w:color w:val="auto"/>
          <w:highlight w:val="none"/>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1128"/>
        <w:gridCol w:w="821"/>
        <w:gridCol w:w="821"/>
        <w:gridCol w:w="821"/>
        <w:gridCol w:w="821"/>
        <w:gridCol w:w="821"/>
        <w:gridCol w:w="822"/>
      </w:tblGrid>
      <w:tr w14:paraId="1A147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CDE5E">
            <w:pPr>
              <w:pStyle w:val="4"/>
              <w:rPr>
                <w:color w:val="auto"/>
                <w:highlight w:val="none"/>
              </w:rPr>
            </w:pPr>
            <w:r>
              <w:rPr>
                <w:color w:val="auto"/>
                <w:highlight w:val="none"/>
              </w:rPr>
              <w:t>序号</w:t>
            </w:r>
          </w:p>
        </w:tc>
        <w:tc>
          <w:tcPr>
            <w:tcW w:w="831" w:type="dxa"/>
          </w:tcPr>
          <w:p w14:paraId="3F8FF6FF">
            <w:pPr>
              <w:pStyle w:val="4"/>
              <w:rPr>
                <w:color w:val="auto"/>
                <w:highlight w:val="none"/>
              </w:rPr>
            </w:pPr>
            <w:r>
              <w:rPr>
                <w:color w:val="auto"/>
                <w:highlight w:val="none"/>
              </w:rPr>
              <w:t>标的名称</w:t>
            </w:r>
          </w:p>
        </w:tc>
        <w:tc>
          <w:tcPr>
            <w:tcW w:w="831" w:type="dxa"/>
          </w:tcPr>
          <w:p w14:paraId="02701898">
            <w:pPr>
              <w:pStyle w:val="4"/>
              <w:rPr>
                <w:color w:val="auto"/>
                <w:highlight w:val="none"/>
              </w:rPr>
            </w:pPr>
            <w:r>
              <w:rPr>
                <w:color w:val="auto"/>
                <w:highlight w:val="none"/>
              </w:rPr>
              <w:t>数量</w:t>
            </w:r>
          </w:p>
        </w:tc>
        <w:tc>
          <w:tcPr>
            <w:tcW w:w="831" w:type="dxa"/>
          </w:tcPr>
          <w:p w14:paraId="73B7932F">
            <w:pPr>
              <w:pStyle w:val="4"/>
              <w:rPr>
                <w:color w:val="auto"/>
                <w:highlight w:val="none"/>
              </w:rPr>
            </w:pPr>
            <w:r>
              <w:rPr>
                <w:color w:val="auto"/>
                <w:highlight w:val="none"/>
              </w:rPr>
              <w:t>标的金额 （元）</w:t>
            </w:r>
          </w:p>
        </w:tc>
        <w:tc>
          <w:tcPr>
            <w:tcW w:w="831" w:type="dxa"/>
          </w:tcPr>
          <w:p w14:paraId="73B0C13C">
            <w:pPr>
              <w:pStyle w:val="4"/>
              <w:rPr>
                <w:color w:val="auto"/>
                <w:highlight w:val="none"/>
              </w:rPr>
            </w:pPr>
            <w:r>
              <w:rPr>
                <w:color w:val="auto"/>
                <w:highlight w:val="none"/>
              </w:rPr>
              <w:t>计量单位</w:t>
            </w:r>
          </w:p>
        </w:tc>
        <w:tc>
          <w:tcPr>
            <w:tcW w:w="831" w:type="dxa"/>
          </w:tcPr>
          <w:p w14:paraId="70B83CD9">
            <w:pPr>
              <w:pStyle w:val="4"/>
              <w:rPr>
                <w:color w:val="auto"/>
                <w:highlight w:val="none"/>
              </w:rPr>
            </w:pPr>
            <w:r>
              <w:rPr>
                <w:color w:val="auto"/>
                <w:highlight w:val="none"/>
              </w:rPr>
              <w:t>所属行业</w:t>
            </w:r>
          </w:p>
        </w:tc>
        <w:tc>
          <w:tcPr>
            <w:tcW w:w="831" w:type="dxa"/>
          </w:tcPr>
          <w:p w14:paraId="0E000882">
            <w:pPr>
              <w:pStyle w:val="4"/>
              <w:rPr>
                <w:color w:val="auto"/>
                <w:highlight w:val="none"/>
              </w:rPr>
            </w:pPr>
            <w:r>
              <w:rPr>
                <w:color w:val="auto"/>
                <w:highlight w:val="none"/>
              </w:rPr>
              <w:t>是否核心产品</w:t>
            </w:r>
          </w:p>
        </w:tc>
        <w:tc>
          <w:tcPr>
            <w:tcW w:w="831" w:type="dxa"/>
          </w:tcPr>
          <w:p w14:paraId="03509523">
            <w:pPr>
              <w:pStyle w:val="4"/>
              <w:rPr>
                <w:color w:val="auto"/>
                <w:highlight w:val="none"/>
              </w:rPr>
            </w:pPr>
            <w:r>
              <w:rPr>
                <w:color w:val="auto"/>
                <w:highlight w:val="none"/>
              </w:rPr>
              <w:t>是否允许进口产品</w:t>
            </w:r>
          </w:p>
        </w:tc>
        <w:tc>
          <w:tcPr>
            <w:tcW w:w="831" w:type="dxa"/>
          </w:tcPr>
          <w:p w14:paraId="247381E1">
            <w:pPr>
              <w:pStyle w:val="4"/>
              <w:rPr>
                <w:color w:val="auto"/>
                <w:highlight w:val="none"/>
              </w:rPr>
            </w:pPr>
            <w:r>
              <w:rPr>
                <w:color w:val="auto"/>
                <w:highlight w:val="none"/>
              </w:rPr>
              <w:t>是否属于节能产品</w:t>
            </w:r>
          </w:p>
        </w:tc>
        <w:tc>
          <w:tcPr>
            <w:tcW w:w="831" w:type="dxa"/>
          </w:tcPr>
          <w:p w14:paraId="75067A2F">
            <w:pPr>
              <w:pStyle w:val="4"/>
              <w:rPr>
                <w:color w:val="auto"/>
                <w:highlight w:val="none"/>
              </w:rPr>
            </w:pPr>
            <w:r>
              <w:rPr>
                <w:color w:val="auto"/>
                <w:highlight w:val="none"/>
              </w:rPr>
              <w:t>是否属于环境标志产品</w:t>
            </w:r>
          </w:p>
        </w:tc>
      </w:tr>
      <w:tr w14:paraId="35B72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1DC05B">
            <w:pPr>
              <w:pStyle w:val="4"/>
              <w:rPr>
                <w:color w:val="auto"/>
                <w:highlight w:val="none"/>
              </w:rPr>
            </w:pPr>
            <w:r>
              <w:rPr>
                <w:color w:val="auto"/>
                <w:highlight w:val="none"/>
              </w:rPr>
              <w:t>1</w:t>
            </w:r>
          </w:p>
        </w:tc>
        <w:tc>
          <w:tcPr>
            <w:tcW w:w="831" w:type="dxa"/>
          </w:tcPr>
          <w:p w14:paraId="177B6AE2">
            <w:pPr>
              <w:pStyle w:val="4"/>
              <w:rPr>
                <w:rFonts w:hint="default" w:eastAsiaTheme="minorEastAsia"/>
                <w:color w:val="auto"/>
                <w:highlight w:val="none"/>
                <w:lang w:val="en-US" w:eastAsia="zh-CN"/>
              </w:rPr>
            </w:pPr>
            <w:r>
              <w:rPr>
                <w:rFonts w:hint="eastAsia"/>
                <w:color w:val="auto"/>
                <w:highlight w:val="none"/>
                <w:lang w:val="en-US" w:eastAsia="zh-CN"/>
              </w:rPr>
              <w:t>提升学生垃圾分类意识能力</w:t>
            </w:r>
          </w:p>
        </w:tc>
        <w:tc>
          <w:tcPr>
            <w:tcW w:w="831" w:type="dxa"/>
          </w:tcPr>
          <w:p w14:paraId="10F0C1B3">
            <w:pPr>
              <w:pStyle w:val="4"/>
              <w:jc w:val="right"/>
              <w:rPr>
                <w:color w:val="auto"/>
                <w:highlight w:val="none"/>
              </w:rPr>
            </w:pPr>
            <w:r>
              <w:rPr>
                <w:color w:val="auto"/>
                <w:highlight w:val="none"/>
              </w:rPr>
              <w:t>1.00</w:t>
            </w:r>
          </w:p>
        </w:tc>
        <w:tc>
          <w:tcPr>
            <w:tcW w:w="831" w:type="dxa"/>
          </w:tcPr>
          <w:p w14:paraId="78A463F2">
            <w:pPr>
              <w:pStyle w:val="4"/>
              <w:jc w:val="right"/>
              <w:rPr>
                <w:color w:val="auto"/>
                <w:highlight w:val="none"/>
              </w:rPr>
            </w:pPr>
            <w:r>
              <w:rPr>
                <w:rFonts w:hint="eastAsia"/>
                <w:color w:val="auto"/>
                <w:highlight w:val="none"/>
                <w:lang w:val="en-US" w:eastAsia="zh-CN"/>
              </w:rPr>
              <w:t>400,000.00</w:t>
            </w:r>
          </w:p>
        </w:tc>
        <w:tc>
          <w:tcPr>
            <w:tcW w:w="831" w:type="dxa"/>
          </w:tcPr>
          <w:p w14:paraId="60AFAF7A">
            <w:pPr>
              <w:pStyle w:val="4"/>
              <w:rPr>
                <w:color w:val="auto"/>
                <w:highlight w:val="none"/>
              </w:rPr>
            </w:pPr>
            <w:r>
              <w:rPr>
                <w:color w:val="auto"/>
                <w:highlight w:val="none"/>
              </w:rPr>
              <w:t>项</w:t>
            </w:r>
          </w:p>
        </w:tc>
        <w:tc>
          <w:tcPr>
            <w:tcW w:w="831" w:type="dxa"/>
          </w:tcPr>
          <w:p w14:paraId="6472CA1E">
            <w:pPr>
              <w:pStyle w:val="4"/>
              <w:rPr>
                <w:color w:val="auto"/>
                <w:highlight w:val="none"/>
              </w:rPr>
            </w:pPr>
            <w:r>
              <w:rPr>
                <w:color w:val="auto"/>
                <w:highlight w:val="none"/>
              </w:rPr>
              <w:t>其他未列明行业</w:t>
            </w:r>
          </w:p>
        </w:tc>
        <w:tc>
          <w:tcPr>
            <w:tcW w:w="831" w:type="dxa"/>
          </w:tcPr>
          <w:p w14:paraId="7B0825BD">
            <w:pPr>
              <w:pStyle w:val="4"/>
              <w:rPr>
                <w:color w:val="auto"/>
                <w:highlight w:val="none"/>
              </w:rPr>
            </w:pPr>
            <w:r>
              <w:rPr>
                <w:color w:val="auto"/>
                <w:highlight w:val="none"/>
              </w:rPr>
              <w:t>否</w:t>
            </w:r>
          </w:p>
        </w:tc>
        <w:tc>
          <w:tcPr>
            <w:tcW w:w="831" w:type="dxa"/>
          </w:tcPr>
          <w:p w14:paraId="31A211A2">
            <w:pPr>
              <w:pStyle w:val="4"/>
              <w:rPr>
                <w:color w:val="auto"/>
                <w:highlight w:val="none"/>
              </w:rPr>
            </w:pPr>
            <w:r>
              <w:rPr>
                <w:color w:val="auto"/>
                <w:highlight w:val="none"/>
              </w:rPr>
              <w:t>否</w:t>
            </w:r>
          </w:p>
        </w:tc>
        <w:tc>
          <w:tcPr>
            <w:tcW w:w="831" w:type="dxa"/>
          </w:tcPr>
          <w:p w14:paraId="469C72F0">
            <w:pPr>
              <w:pStyle w:val="4"/>
              <w:rPr>
                <w:color w:val="auto"/>
                <w:highlight w:val="none"/>
              </w:rPr>
            </w:pPr>
            <w:r>
              <w:rPr>
                <w:color w:val="auto"/>
                <w:highlight w:val="none"/>
              </w:rPr>
              <w:t>否</w:t>
            </w:r>
          </w:p>
        </w:tc>
        <w:tc>
          <w:tcPr>
            <w:tcW w:w="831" w:type="dxa"/>
          </w:tcPr>
          <w:p w14:paraId="6393EFFB">
            <w:pPr>
              <w:pStyle w:val="4"/>
              <w:rPr>
                <w:color w:val="auto"/>
                <w:highlight w:val="none"/>
              </w:rPr>
            </w:pPr>
            <w:r>
              <w:rPr>
                <w:color w:val="auto"/>
                <w:highlight w:val="none"/>
              </w:rPr>
              <w:t>否</w:t>
            </w:r>
          </w:p>
        </w:tc>
      </w:tr>
    </w:tbl>
    <w:p w14:paraId="08BEC5E9">
      <w:pPr>
        <w:pStyle w:val="4"/>
        <w:outlineLvl w:val="2"/>
        <w:rPr>
          <w:color w:val="auto"/>
          <w:highlight w:val="none"/>
        </w:rPr>
      </w:pPr>
      <w:r>
        <w:rPr>
          <w:b/>
          <w:color w:val="auto"/>
          <w:sz w:val="28"/>
          <w:highlight w:val="none"/>
        </w:rPr>
        <w:t>3.2.2服务要求</w:t>
      </w:r>
    </w:p>
    <w:p w14:paraId="39B14AED">
      <w:pPr>
        <w:pStyle w:val="4"/>
        <w:rPr>
          <w:color w:val="auto"/>
          <w:highlight w:val="none"/>
        </w:rPr>
      </w:pPr>
      <w:r>
        <w:rPr>
          <w:color w:val="auto"/>
          <w:highlight w:val="none"/>
        </w:rPr>
        <w:t>采购包1：</w:t>
      </w:r>
    </w:p>
    <w:p w14:paraId="2E24E1EC">
      <w:pPr>
        <w:pStyle w:val="4"/>
        <w:rPr>
          <w:color w:val="auto"/>
          <w:highlight w:val="none"/>
        </w:rPr>
      </w:pPr>
      <w:r>
        <w:rPr>
          <w:color w:val="auto"/>
          <w:highlight w:val="none"/>
        </w:rPr>
        <w:t>供应商报价不允许超过标的金额</w:t>
      </w:r>
    </w:p>
    <w:p w14:paraId="4D783794">
      <w:pPr>
        <w:pStyle w:val="4"/>
        <w:rPr>
          <w:color w:val="auto"/>
          <w:highlight w:val="none"/>
        </w:rPr>
      </w:pPr>
      <w:r>
        <w:rPr>
          <w:color w:val="auto"/>
          <w:highlight w:val="none"/>
        </w:rPr>
        <w:t>（招单价的）供应商报价不允许超过标的单价</w:t>
      </w:r>
    </w:p>
    <w:p w14:paraId="43A2DD6E">
      <w:pPr>
        <w:pStyle w:val="4"/>
        <w:rPr>
          <w:rFonts w:hint="eastAsia" w:eastAsiaTheme="minorEastAsia"/>
          <w:color w:val="auto"/>
          <w:highlight w:val="none"/>
          <w:lang w:eastAsia="zh-CN"/>
        </w:rPr>
      </w:pPr>
      <w:r>
        <w:rPr>
          <w:color w:val="auto"/>
          <w:highlight w:val="none"/>
        </w:rPr>
        <w:t>标的名称：</w:t>
      </w:r>
      <w:r>
        <w:rPr>
          <w:rFonts w:hint="eastAsia"/>
          <w:color w:val="auto"/>
          <w:highlight w:val="none"/>
          <w:lang w:eastAsia="zh-CN"/>
        </w:rPr>
        <w:t>提升学生垃圾分类意识能力</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800"/>
        <w:gridCol w:w="6478"/>
      </w:tblGrid>
      <w:tr w14:paraId="6D1D1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14:paraId="620315B4">
            <w:pPr>
              <w:pStyle w:val="4"/>
              <w:rPr>
                <w:color w:val="auto"/>
                <w:highlight w:val="none"/>
              </w:rPr>
            </w:pPr>
            <w:r>
              <w:rPr>
                <w:color w:val="auto"/>
                <w:highlight w:val="none"/>
              </w:rPr>
              <w:t>参数性质</w:t>
            </w:r>
          </w:p>
        </w:tc>
        <w:tc>
          <w:tcPr>
            <w:tcW w:w="800" w:type="dxa"/>
          </w:tcPr>
          <w:p w14:paraId="03ADCD8F">
            <w:pPr>
              <w:pStyle w:val="4"/>
              <w:rPr>
                <w:color w:val="auto"/>
                <w:highlight w:val="none"/>
              </w:rPr>
            </w:pPr>
            <w:r>
              <w:rPr>
                <w:color w:val="auto"/>
                <w:highlight w:val="none"/>
              </w:rPr>
              <w:t>序号</w:t>
            </w:r>
          </w:p>
        </w:tc>
        <w:tc>
          <w:tcPr>
            <w:tcW w:w="6478" w:type="dxa"/>
          </w:tcPr>
          <w:p w14:paraId="05EC0375">
            <w:pPr>
              <w:pStyle w:val="4"/>
              <w:rPr>
                <w:color w:val="auto"/>
                <w:highlight w:val="none"/>
              </w:rPr>
            </w:pPr>
            <w:r>
              <w:rPr>
                <w:color w:val="auto"/>
                <w:highlight w:val="none"/>
              </w:rPr>
              <w:t>技术参数与性能指标</w:t>
            </w:r>
          </w:p>
        </w:tc>
      </w:tr>
      <w:tr w14:paraId="5C1C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44" w:type="dxa"/>
          </w:tcPr>
          <w:p w14:paraId="58AE5319">
            <w:pPr>
              <w:rPr>
                <w:rFonts w:hint="default" w:eastAsiaTheme="minorEastAsia"/>
                <w:color w:val="auto"/>
                <w:highlight w:val="none"/>
                <w:lang w:val="en-US" w:eastAsia="zh-CN"/>
              </w:rPr>
            </w:pPr>
          </w:p>
        </w:tc>
        <w:tc>
          <w:tcPr>
            <w:tcW w:w="800" w:type="dxa"/>
          </w:tcPr>
          <w:p w14:paraId="28DE12B8">
            <w:pPr>
              <w:pStyle w:val="4"/>
              <w:rPr>
                <w:color w:val="auto"/>
                <w:highlight w:val="none"/>
              </w:rPr>
            </w:pPr>
            <w:r>
              <w:rPr>
                <w:color w:val="auto"/>
                <w:highlight w:val="none"/>
              </w:rPr>
              <w:t>1</w:t>
            </w:r>
          </w:p>
        </w:tc>
        <w:tc>
          <w:tcPr>
            <w:tcW w:w="6478" w:type="dxa"/>
          </w:tcPr>
          <w:p w14:paraId="6A723923">
            <w:pPr>
              <w:pStyle w:val="4"/>
              <w:numPr>
                <w:ilvl w:val="0"/>
                <w:numId w:val="0"/>
              </w:numPr>
              <w:rPr>
                <w:rFonts w:hint="eastAsia"/>
                <w:color w:val="auto"/>
                <w:highlight w:val="none"/>
                <w:lang w:val="en-US" w:eastAsia="zh-CN"/>
              </w:rPr>
            </w:pPr>
            <w:r>
              <w:rPr>
                <w:rFonts w:hint="eastAsia"/>
                <w:color w:val="auto"/>
                <w:highlight w:val="none"/>
                <w:lang w:val="en-US" w:eastAsia="zh-CN"/>
              </w:rPr>
              <w:t>1.组织开展8场生活垃圾分类进学校主题系列宣传活动，每场活动受众人数平均200人，活动采用发放资料、现场授课、节目表演、有奖问答、游戏互动等多种喜闻乐见的形式普及生活垃圾分类知识，提高在校师生生活垃圾分类知晓率和参与度。</w:t>
            </w:r>
          </w:p>
          <w:p w14:paraId="3E126B8E">
            <w:pPr>
              <w:pStyle w:val="4"/>
              <w:numPr>
                <w:ilvl w:val="0"/>
                <w:numId w:val="0"/>
              </w:numPr>
              <w:rPr>
                <w:rFonts w:hint="eastAsia"/>
                <w:color w:val="auto"/>
                <w:highlight w:val="none"/>
                <w:lang w:val="en-US" w:eastAsia="zh-CN"/>
              </w:rPr>
            </w:pPr>
            <w:r>
              <w:rPr>
                <w:rFonts w:hint="eastAsia"/>
                <w:color w:val="auto"/>
                <w:highlight w:val="none"/>
                <w:lang w:val="en-US" w:eastAsia="zh-CN"/>
              </w:rPr>
              <w:t>2.熟悉垃圾分类行业业务知识，具备相应的组织垃圾分类宣传活动能力和业绩。</w:t>
            </w:r>
          </w:p>
          <w:p w14:paraId="481E8641">
            <w:pPr>
              <w:pStyle w:val="4"/>
              <w:numPr>
                <w:ilvl w:val="0"/>
                <w:numId w:val="0"/>
              </w:numPr>
              <w:rPr>
                <w:rFonts w:hint="eastAsia"/>
                <w:color w:val="auto"/>
                <w:highlight w:val="none"/>
                <w:lang w:val="en-US" w:eastAsia="zh-CN"/>
              </w:rPr>
            </w:pPr>
            <w:r>
              <w:rPr>
                <w:rFonts w:hint="eastAsia"/>
                <w:color w:val="auto"/>
                <w:highlight w:val="none"/>
                <w:lang w:val="en-US" w:eastAsia="zh-CN"/>
              </w:rPr>
              <w:t>3.具备方案制定、节目设计、舞台搭建和现场统筹等能力。</w:t>
            </w:r>
          </w:p>
          <w:p w14:paraId="79E15E0C">
            <w:pPr>
              <w:pStyle w:val="4"/>
              <w:numPr>
                <w:ilvl w:val="0"/>
                <w:numId w:val="0"/>
              </w:numPr>
              <w:rPr>
                <w:rFonts w:hint="eastAsia"/>
                <w:color w:val="auto"/>
                <w:highlight w:val="none"/>
                <w:lang w:val="en-US" w:eastAsia="zh-CN"/>
              </w:rPr>
            </w:pPr>
            <w:r>
              <w:rPr>
                <w:rFonts w:hint="eastAsia"/>
                <w:color w:val="auto"/>
                <w:highlight w:val="none"/>
                <w:lang w:val="en-US" w:eastAsia="zh-CN"/>
              </w:rPr>
              <w:t>4.具有丰富的现场主持、控场经验和表演团队。</w:t>
            </w:r>
          </w:p>
          <w:p w14:paraId="03BC6293">
            <w:pPr>
              <w:rPr>
                <w:rFonts w:hint="default" w:eastAsiaTheme="minorEastAsia"/>
                <w:color w:val="auto"/>
                <w:highlight w:val="none"/>
                <w:lang w:val="en-US" w:eastAsia="zh-CN"/>
              </w:rPr>
            </w:pPr>
            <w:r>
              <w:rPr>
                <w:rFonts w:hint="eastAsia"/>
                <w:color w:val="auto"/>
                <w:highlight w:val="none"/>
                <w:lang w:val="en-US" w:eastAsia="zh-CN"/>
              </w:rPr>
              <w:t>5.具备编写新闻通稿的人员，并通过市级主流媒体进行宣传报道。</w:t>
            </w:r>
          </w:p>
        </w:tc>
      </w:tr>
    </w:tbl>
    <w:p w14:paraId="4DF4144B">
      <w:pPr>
        <w:pStyle w:val="4"/>
        <w:outlineLvl w:val="2"/>
        <w:rPr>
          <w:color w:val="auto"/>
          <w:highlight w:val="none"/>
        </w:rPr>
      </w:pPr>
      <w:r>
        <w:rPr>
          <w:b/>
          <w:color w:val="auto"/>
          <w:sz w:val="28"/>
          <w:highlight w:val="none"/>
        </w:rPr>
        <w:t>3.2.3人员配置要求</w:t>
      </w:r>
    </w:p>
    <w:p w14:paraId="544A3A1C">
      <w:pPr>
        <w:pStyle w:val="4"/>
        <w:rPr>
          <w:color w:val="auto"/>
          <w:highlight w:val="none"/>
        </w:rPr>
      </w:pPr>
      <w:r>
        <w:rPr>
          <w:color w:val="auto"/>
          <w:highlight w:val="none"/>
        </w:rPr>
        <w:t>采购包1：</w:t>
      </w:r>
    </w:p>
    <w:p w14:paraId="6380FA57">
      <w:pPr>
        <w:pStyle w:val="4"/>
        <w:rPr>
          <w:rFonts w:hint="default" w:eastAsiaTheme="minorEastAsia"/>
          <w:color w:val="auto"/>
          <w:highlight w:val="none"/>
          <w:lang w:val="en-US" w:eastAsia="zh-CN"/>
        </w:rPr>
      </w:pPr>
      <w:r>
        <w:rPr>
          <w:color w:val="auto"/>
          <w:highlight w:val="none"/>
        </w:rPr>
        <w:t>根据</w:t>
      </w:r>
      <w:r>
        <w:rPr>
          <w:rFonts w:hint="eastAsia"/>
          <w:color w:val="auto"/>
          <w:highlight w:val="none"/>
          <w:lang w:val="en-US" w:eastAsia="zh-CN"/>
        </w:rPr>
        <w:t>采购内容</w:t>
      </w:r>
      <w:r>
        <w:rPr>
          <w:color w:val="auto"/>
          <w:highlight w:val="none"/>
        </w:rPr>
        <w:t>自行配置</w:t>
      </w:r>
    </w:p>
    <w:p w14:paraId="2C964BCE">
      <w:pPr>
        <w:pStyle w:val="4"/>
        <w:outlineLvl w:val="2"/>
        <w:rPr>
          <w:color w:val="auto"/>
          <w:highlight w:val="none"/>
        </w:rPr>
      </w:pPr>
      <w:r>
        <w:rPr>
          <w:b/>
          <w:color w:val="auto"/>
          <w:sz w:val="28"/>
          <w:highlight w:val="none"/>
        </w:rPr>
        <w:t>3.2.4设施设备要求</w:t>
      </w:r>
    </w:p>
    <w:p w14:paraId="2E0216E3">
      <w:pPr>
        <w:pStyle w:val="4"/>
        <w:rPr>
          <w:color w:val="auto"/>
          <w:highlight w:val="none"/>
        </w:rPr>
      </w:pPr>
      <w:r>
        <w:rPr>
          <w:color w:val="auto"/>
          <w:highlight w:val="none"/>
        </w:rPr>
        <w:t>采购包1：</w:t>
      </w:r>
    </w:p>
    <w:p w14:paraId="08AE1615">
      <w:pPr>
        <w:pStyle w:val="4"/>
        <w:rPr>
          <w:color w:val="auto"/>
          <w:highlight w:val="none"/>
        </w:rPr>
      </w:pPr>
      <w:r>
        <w:rPr>
          <w:color w:val="auto"/>
          <w:highlight w:val="none"/>
        </w:rPr>
        <w:t>根据</w:t>
      </w:r>
      <w:r>
        <w:rPr>
          <w:rFonts w:hint="eastAsia"/>
          <w:color w:val="auto"/>
          <w:highlight w:val="none"/>
          <w:lang w:val="en-US" w:eastAsia="zh-CN"/>
        </w:rPr>
        <w:t>采购内容</w:t>
      </w:r>
      <w:r>
        <w:rPr>
          <w:color w:val="auto"/>
          <w:highlight w:val="none"/>
        </w:rPr>
        <w:t>自行配置</w:t>
      </w:r>
    </w:p>
    <w:p w14:paraId="71770353">
      <w:pPr>
        <w:pStyle w:val="4"/>
        <w:outlineLvl w:val="2"/>
        <w:rPr>
          <w:color w:val="auto"/>
          <w:highlight w:val="none"/>
        </w:rPr>
      </w:pPr>
      <w:r>
        <w:rPr>
          <w:b/>
          <w:color w:val="auto"/>
          <w:sz w:val="28"/>
          <w:highlight w:val="none"/>
        </w:rPr>
        <w:t>3.2.5其他要求</w:t>
      </w:r>
    </w:p>
    <w:p w14:paraId="537EC635">
      <w:pPr>
        <w:pStyle w:val="4"/>
        <w:rPr>
          <w:color w:val="auto"/>
          <w:highlight w:val="none"/>
        </w:rPr>
      </w:pPr>
      <w:r>
        <w:rPr>
          <w:color w:val="auto"/>
          <w:highlight w:val="none"/>
        </w:rPr>
        <w:t>采购包1：</w:t>
      </w:r>
    </w:p>
    <w:p w14:paraId="70B09F3D">
      <w:pPr>
        <w:pStyle w:val="4"/>
        <w:rPr>
          <w:color w:val="auto"/>
          <w:highlight w:val="none"/>
        </w:rPr>
      </w:pPr>
      <w:r>
        <w:rPr>
          <w:color w:val="auto"/>
          <w:highlight w:val="none"/>
        </w:rPr>
        <w:t>所属行业：其他未列明行业，其划分标准为从业人员300人以下的为中小微型企业。其中，从业人员100人及以上的为中型企业；从业人员10人及以上的为小型企业；从业人员10人以下的为微型企业。</w:t>
      </w:r>
    </w:p>
    <w:p w14:paraId="0866A47F">
      <w:pPr>
        <w:pStyle w:val="4"/>
        <w:outlineLvl w:val="2"/>
        <w:rPr>
          <w:color w:val="auto"/>
          <w:highlight w:val="none"/>
        </w:rPr>
      </w:pPr>
      <w:r>
        <w:rPr>
          <w:b/>
          <w:color w:val="auto"/>
          <w:sz w:val="28"/>
          <w:highlight w:val="none"/>
        </w:rPr>
        <w:t>3.3商务要求</w:t>
      </w:r>
    </w:p>
    <w:p w14:paraId="50DD30D1">
      <w:pPr>
        <w:pStyle w:val="4"/>
        <w:outlineLvl w:val="3"/>
        <w:rPr>
          <w:color w:val="auto"/>
          <w:highlight w:val="none"/>
        </w:rPr>
      </w:pPr>
      <w:r>
        <w:rPr>
          <w:b/>
          <w:color w:val="auto"/>
          <w:sz w:val="24"/>
          <w:highlight w:val="none"/>
        </w:rPr>
        <w:t>3.3.1服务期限</w:t>
      </w:r>
    </w:p>
    <w:p w14:paraId="0CA3051A">
      <w:pPr>
        <w:pStyle w:val="4"/>
        <w:rPr>
          <w:color w:val="auto"/>
          <w:highlight w:val="none"/>
        </w:rPr>
      </w:pPr>
      <w:r>
        <w:rPr>
          <w:color w:val="auto"/>
          <w:highlight w:val="none"/>
        </w:rPr>
        <w:t>采购包1：</w:t>
      </w:r>
    </w:p>
    <w:p w14:paraId="59901E8B">
      <w:pPr>
        <w:pStyle w:val="4"/>
        <w:rPr>
          <w:rFonts w:hint="eastAsia"/>
          <w:color w:val="auto"/>
          <w:highlight w:val="none"/>
        </w:rPr>
      </w:pPr>
      <w:r>
        <w:rPr>
          <w:rFonts w:hint="eastAsia"/>
          <w:color w:val="auto"/>
          <w:highlight w:val="none"/>
        </w:rPr>
        <w:t>自合同签订之日起</w:t>
      </w:r>
      <w:r>
        <w:rPr>
          <w:rFonts w:hint="eastAsia"/>
          <w:color w:val="auto"/>
          <w:highlight w:val="none"/>
          <w:lang w:val="en-US" w:eastAsia="zh-CN"/>
        </w:rPr>
        <w:t>10</w:t>
      </w:r>
      <w:r>
        <w:rPr>
          <w:rFonts w:hint="eastAsia"/>
          <w:color w:val="auto"/>
          <w:highlight w:val="none"/>
        </w:rPr>
        <w:t>日内完成</w:t>
      </w:r>
      <w:r>
        <w:rPr>
          <w:rFonts w:hint="eastAsia"/>
          <w:color w:val="auto"/>
          <w:highlight w:val="none"/>
          <w:lang w:val="en-US" w:eastAsia="zh-CN"/>
        </w:rPr>
        <w:t>项目方案</w:t>
      </w:r>
      <w:r>
        <w:rPr>
          <w:rFonts w:hint="eastAsia"/>
          <w:color w:val="auto"/>
          <w:highlight w:val="none"/>
        </w:rPr>
        <w:t>策划、</w:t>
      </w:r>
      <w:r>
        <w:rPr>
          <w:rFonts w:hint="eastAsia"/>
          <w:color w:val="auto"/>
          <w:highlight w:val="none"/>
          <w:lang w:val="en-US" w:eastAsia="zh-CN"/>
        </w:rPr>
        <w:t>节目编排</w:t>
      </w:r>
      <w:r>
        <w:rPr>
          <w:rFonts w:hint="eastAsia"/>
          <w:color w:val="auto"/>
          <w:highlight w:val="none"/>
        </w:rPr>
        <w:t>及</w:t>
      </w:r>
      <w:r>
        <w:rPr>
          <w:rFonts w:hint="eastAsia"/>
          <w:color w:val="auto"/>
          <w:highlight w:val="none"/>
          <w:lang w:val="en-US" w:eastAsia="zh-CN"/>
        </w:rPr>
        <w:t>相关物料</w:t>
      </w:r>
      <w:r>
        <w:rPr>
          <w:rFonts w:hint="eastAsia"/>
          <w:color w:val="auto"/>
          <w:highlight w:val="none"/>
        </w:rPr>
        <w:t>制作，并提交甲方审核</w:t>
      </w:r>
      <w:r>
        <w:rPr>
          <w:rFonts w:hint="eastAsia"/>
          <w:color w:val="auto"/>
          <w:highlight w:val="none"/>
          <w:lang w:eastAsia="zh-CN"/>
        </w:rPr>
        <w:t>，</w:t>
      </w:r>
      <w:r>
        <w:rPr>
          <w:rFonts w:hint="eastAsia"/>
          <w:color w:val="auto"/>
          <w:highlight w:val="none"/>
        </w:rPr>
        <w:t>审核通过后7日内</w:t>
      </w:r>
      <w:r>
        <w:rPr>
          <w:rFonts w:hint="eastAsia"/>
          <w:color w:val="auto"/>
          <w:highlight w:val="none"/>
          <w:lang w:val="en-US" w:eastAsia="zh-CN"/>
        </w:rPr>
        <w:t>开始实施</w:t>
      </w:r>
      <w:r>
        <w:rPr>
          <w:rFonts w:hint="eastAsia"/>
          <w:color w:val="auto"/>
          <w:highlight w:val="none"/>
        </w:rPr>
        <w:t>，</w:t>
      </w:r>
      <w:r>
        <w:rPr>
          <w:rFonts w:hint="eastAsia"/>
          <w:color w:val="auto"/>
          <w:highlight w:val="none"/>
          <w:lang w:val="en-US" w:eastAsia="zh-CN"/>
        </w:rPr>
        <w:t>项目应于2026年10月30日前执行完毕</w:t>
      </w:r>
      <w:r>
        <w:rPr>
          <w:rFonts w:hint="eastAsia"/>
          <w:color w:val="auto"/>
          <w:highlight w:val="none"/>
        </w:rPr>
        <w:t>。</w:t>
      </w:r>
    </w:p>
    <w:p w14:paraId="76E5CE09">
      <w:pPr>
        <w:pStyle w:val="4"/>
        <w:outlineLvl w:val="3"/>
        <w:rPr>
          <w:color w:val="auto"/>
          <w:highlight w:val="none"/>
        </w:rPr>
      </w:pPr>
      <w:r>
        <w:rPr>
          <w:b/>
          <w:color w:val="auto"/>
          <w:sz w:val="24"/>
          <w:highlight w:val="none"/>
        </w:rPr>
        <w:t>3.3.2服务地点</w:t>
      </w:r>
    </w:p>
    <w:p w14:paraId="00745CE0">
      <w:pPr>
        <w:pStyle w:val="4"/>
        <w:rPr>
          <w:color w:val="auto"/>
          <w:highlight w:val="none"/>
        </w:rPr>
      </w:pPr>
      <w:r>
        <w:rPr>
          <w:color w:val="auto"/>
          <w:highlight w:val="none"/>
        </w:rPr>
        <w:t>采购包1：</w:t>
      </w:r>
    </w:p>
    <w:p w14:paraId="3BA2A9C0">
      <w:pPr>
        <w:pStyle w:val="4"/>
        <w:rPr>
          <w:color w:val="auto"/>
          <w:highlight w:val="none"/>
        </w:rPr>
      </w:pPr>
      <w:r>
        <w:rPr>
          <w:rFonts w:hint="eastAsia"/>
          <w:color w:val="auto"/>
          <w:highlight w:val="none"/>
          <w:lang w:val="en-US" w:eastAsia="zh-CN"/>
        </w:rPr>
        <w:t>西安市生活垃圾分类服务中心</w:t>
      </w:r>
      <w:r>
        <w:rPr>
          <w:rFonts w:hint="eastAsia"/>
          <w:color w:val="auto"/>
          <w:highlight w:val="none"/>
        </w:rPr>
        <w:t>甲方指定地点</w:t>
      </w:r>
    </w:p>
    <w:p w14:paraId="40674000">
      <w:pPr>
        <w:pStyle w:val="4"/>
        <w:outlineLvl w:val="3"/>
        <w:rPr>
          <w:color w:val="auto"/>
          <w:highlight w:val="none"/>
        </w:rPr>
      </w:pPr>
      <w:r>
        <w:rPr>
          <w:b/>
          <w:color w:val="auto"/>
          <w:sz w:val="24"/>
          <w:highlight w:val="none"/>
        </w:rPr>
        <w:t>3.3.3考核（验收）标准和方法</w:t>
      </w:r>
    </w:p>
    <w:p w14:paraId="25606BD7">
      <w:pPr>
        <w:pStyle w:val="4"/>
        <w:rPr>
          <w:color w:val="auto"/>
          <w:highlight w:val="none"/>
        </w:rPr>
      </w:pPr>
      <w:r>
        <w:rPr>
          <w:color w:val="auto"/>
          <w:highlight w:val="none"/>
        </w:rPr>
        <w:t>采购包1：</w:t>
      </w:r>
    </w:p>
    <w:p w14:paraId="00BE9C3A">
      <w:pPr>
        <w:pStyle w:val="4"/>
        <w:rPr>
          <w:color w:val="auto"/>
          <w:highlight w:val="none"/>
        </w:rPr>
      </w:pPr>
      <w:r>
        <w:rPr>
          <w:rFonts w:hint="eastAsia"/>
          <w:color w:val="auto"/>
          <w:highlight w:val="none"/>
        </w:rPr>
        <w:t>由采购人和成交供应商共同对项目进行整体验收。其内容包括是否按照采购人要求进行服务、是否在规定时间内服务完毕、服务工作是否存在失误。验收合格后，填写政府采购项目验收单作为对本服务的最终认可。服务商向采购人提供服务过程中的所有相关资料，以便采购人日后管理。验收依据为竞争性磋商文件、磋商响应文件、澄清表（函）、政府采购合同及附件文本、国家相应的标准、规范。</w:t>
      </w:r>
    </w:p>
    <w:p w14:paraId="1693AD03">
      <w:pPr>
        <w:pStyle w:val="4"/>
        <w:outlineLvl w:val="3"/>
        <w:rPr>
          <w:color w:val="auto"/>
          <w:highlight w:val="none"/>
        </w:rPr>
      </w:pPr>
      <w:r>
        <w:rPr>
          <w:b/>
          <w:color w:val="auto"/>
          <w:sz w:val="24"/>
          <w:highlight w:val="none"/>
        </w:rPr>
        <w:t>3.3.4支付方式</w:t>
      </w:r>
    </w:p>
    <w:p w14:paraId="21E19652">
      <w:pPr>
        <w:pStyle w:val="4"/>
        <w:rPr>
          <w:color w:val="auto"/>
          <w:highlight w:val="none"/>
        </w:rPr>
      </w:pPr>
      <w:r>
        <w:rPr>
          <w:color w:val="auto"/>
          <w:highlight w:val="none"/>
        </w:rPr>
        <w:t>采购包1：</w:t>
      </w:r>
    </w:p>
    <w:p w14:paraId="74F8EAD3">
      <w:pPr>
        <w:pStyle w:val="4"/>
        <w:rPr>
          <w:color w:val="auto"/>
          <w:highlight w:val="none"/>
        </w:rPr>
      </w:pPr>
      <w:r>
        <w:rPr>
          <w:color w:val="auto"/>
          <w:highlight w:val="none"/>
        </w:rPr>
        <w:t>分期付款</w:t>
      </w:r>
    </w:p>
    <w:p w14:paraId="3E8B92A8">
      <w:pPr>
        <w:pStyle w:val="4"/>
        <w:outlineLvl w:val="3"/>
        <w:rPr>
          <w:color w:val="auto"/>
          <w:highlight w:val="none"/>
        </w:rPr>
      </w:pPr>
      <w:r>
        <w:rPr>
          <w:b/>
          <w:color w:val="auto"/>
          <w:sz w:val="24"/>
          <w:highlight w:val="none"/>
        </w:rPr>
        <w:t>3.3.5支付约定</w:t>
      </w:r>
    </w:p>
    <w:p w14:paraId="6B8C9362">
      <w:pPr>
        <w:pStyle w:val="4"/>
        <w:rPr>
          <w:color w:val="auto"/>
          <w:highlight w:val="none"/>
        </w:rPr>
      </w:pPr>
      <w:r>
        <w:rPr>
          <w:color w:val="auto"/>
          <w:highlight w:val="none"/>
        </w:rPr>
        <w:t>采购包1：</w:t>
      </w:r>
    </w:p>
    <w:p w14:paraId="2952D418">
      <w:pPr>
        <w:pStyle w:val="4"/>
        <w:rPr>
          <w:rFonts w:hint="eastAsia" w:eastAsiaTheme="minorEastAsia"/>
          <w:color w:val="auto"/>
          <w:highlight w:val="none"/>
          <w:lang w:eastAsia="zh-CN"/>
        </w:rPr>
      </w:pPr>
      <w:r>
        <w:rPr>
          <w:color w:val="auto"/>
          <w:highlight w:val="none"/>
        </w:rPr>
        <w:t xml:space="preserve">付款条件说明： </w:t>
      </w:r>
      <w:r>
        <w:rPr>
          <w:rFonts w:hint="eastAsia"/>
          <w:color w:val="auto"/>
          <w:highlight w:val="none"/>
        </w:rPr>
        <w:t>签订合同后支付合同金额的</w:t>
      </w:r>
      <w:r>
        <w:rPr>
          <w:rFonts w:hint="eastAsia"/>
          <w:color w:val="auto"/>
          <w:highlight w:val="none"/>
          <w:lang w:val="en-US" w:eastAsia="zh-CN"/>
        </w:rPr>
        <w:t>5</w:t>
      </w:r>
      <w:r>
        <w:rPr>
          <w:rFonts w:hint="eastAsia"/>
          <w:color w:val="auto"/>
          <w:highlight w:val="none"/>
        </w:rPr>
        <w:t>0%</w:t>
      </w:r>
      <w:r>
        <w:rPr>
          <w:rFonts w:hint="eastAsia"/>
          <w:color w:val="auto"/>
          <w:highlight w:val="none"/>
          <w:lang w:eastAsia="zh-CN"/>
        </w:rPr>
        <w:t>；</w:t>
      </w:r>
    </w:p>
    <w:p w14:paraId="1202C803">
      <w:pPr>
        <w:pStyle w:val="4"/>
        <w:outlineLvl w:val="3"/>
        <w:rPr>
          <w:b/>
          <w:color w:val="auto"/>
          <w:sz w:val="24"/>
          <w:highlight w:val="none"/>
        </w:rPr>
      </w:pPr>
      <w:r>
        <w:rPr>
          <w:color w:val="auto"/>
          <w:highlight w:val="none"/>
        </w:rPr>
        <w:t xml:space="preserve">付款条件说明： </w:t>
      </w:r>
      <w:r>
        <w:rPr>
          <w:rFonts w:hint="eastAsia"/>
          <w:color w:val="auto"/>
          <w:highlight w:val="none"/>
          <w:lang w:val="en-US" w:eastAsia="zh-CN"/>
        </w:rPr>
        <w:t>服务期限完成且无其他异议后</w:t>
      </w:r>
      <w:r>
        <w:rPr>
          <w:rFonts w:hint="eastAsia"/>
          <w:color w:val="auto"/>
          <w:highlight w:val="none"/>
        </w:rPr>
        <w:t>，一次性支付</w:t>
      </w:r>
      <w:r>
        <w:rPr>
          <w:rFonts w:hint="eastAsia"/>
          <w:color w:val="auto"/>
          <w:highlight w:val="none"/>
          <w:lang w:val="en-US" w:eastAsia="zh-CN"/>
        </w:rPr>
        <w:t>剩余全部</w:t>
      </w:r>
      <w:r>
        <w:rPr>
          <w:rFonts w:hint="eastAsia"/>
          <w:color w:val="auto"/>
          <w:highlight w:val="none"/>
        </w:rPr>
        <w:t>费用。</w:t>
      </w:r>
    </w:p>
    <w:p w14:paraId="17453386">
      <w:pPr>
        <w:pStyle w:val="4"/>
        <w:outlineLvl w:val="3"/>
        <w:rPr>
          <w:color w:val="auto"/>
          <w:highlight w:val="none"/>
        </w:rPr>
      </w:pPr>
      <w:r>
        <w:rPr>
          <w:b/>
          <w:color w:val="auto"/>
          <w:sz w:val="24"/>
          <w:highlight w:val="none"/>
        </w:rPr>
        <w:t>3.3.6违约责任及解决争议的方法</w:t>
      </w:r>
    </w:p>
    <w:p w14:paraId="6DC58DB3">
      <w:pPr>
        <w:pStyle w:val="4"/>
        <w:rPr>
          <w:color w:val="auto"/>
          <w:highlight w:val="none"/>
        </w:rPr>
      </w:pPr>
      <w:r>
        <w:rPr>
          <w:color w:val="auto"/>
          <w:highlight w:val="none"/>
        </w:rPr>
        <w:t>采购包1：</w:t>
      </w:r>
    </w:p>
    <w:p w14:paraId="77974DC6">
      <w:pPr>
        <w:pStyle w:val="4"/>
        <w:rPr>
          <w:rFonts w:hint="eastAsia"/>
          <w:color w:val="auto"/>
          <w:highlight w:val="none"/>
        </w:rPr>
      </w:pPr>
      <w:r>
        <w:rPr>
          <w:rFonts w:hint="eastAsia"/>
          <w:color w:val="auto"/>
          <w:highlight w:val="none"/>
          <w:lang w:val="en-US" w:eastAsia="zh-CN"/>
        </w:rPr>
        <w:t>1</w:t>
      </w:r>
      <w:r>
        <w:rPr>
          <w:rFonts w:hint="eastAsia"/>
          <w:color w:val="auto"/>
          <w:highlight w:val="none"/>
        </w:rPr>
        <w:t>、乙方应按合同约定时间完成各阶段合同义务，若发生延迟，乙方应向甲方支付合同总价款10%的违约金，且甲方有权单方解除本合同。但甲方书面同意延迟或因甲方原因导致延迟的，乙方不承担违约责任。</w:t>
      </w:r>
    </w:p>
    <w:p w14:paraId="28AD18AD">
      <w:pPr>
        <w:pStyle w:val="4"/>
        <w:rPr>
          <w:rFonts w:hint="eastAsia"/>
          <w:color w:val="auto"/>
          <w:highlight w:val="none"/>
        </w:rPr>
      </w:pPr>
      <w:r>
        <w:rPr>
          <w:rFonts w:hint="eastAsia"/>
          <w:color w:val="auto"/>
          <w:highlight w:val="none"/>
          <w:lang w:val="en-US" w:eastAsia="zh-CN"/>
        </w:rPr>
        <w:t>2</w:t>
      </w:r>
      <w:r>
        <w:rPr>
          <w:rFonts w:hint="eastAsia"/>
          <w:color w:val="auto"/>
          <w:highlight w:val="none"/>
        </w:rPr>
        <w:t>、如甲方未能在本合同约定时间内支付款项，每延迟一天，甲方须向乙方承担迟延支付费用的0.5‰作为违约金，并将服务周期予以相应顺延。</w:t>
      </w:r>
    </w:p>
    <w:p w14:paraId="7D138458">
      <w:pPr>
        <w:pStyle w:val="4"/>
        <w:rPr>
          <w:rFonts w:hint="eastAsia"/>
          <w:color w:val="auto"/>
          <w:highlight w:val="none"/>
        </w:rPr>
      </w:pPr>
      <w:r>
        <w:rPr>
          <w:rFonts w:hint="eastAsia"/>
          <w:color w:val="auto"/>
          <w:highlight w:val="none"/>
          <w:lang w:val="en-US" w:eastAsia="zh-CN"/>
        </w:rPr>
        <w:t>3</w:t>
      </w:r>
      <w:r>
        <w:rPr>
          <w:rFonts w:hint="eastAsia"/>
          <w:color w:val="auto"/>
          <w:highlight w:val="none"/>
        </w:rPr>
        <w:t>、本次活动因乙方原因导致侵害甲方或第三方合法权益的，应由乙方承担相应赔偿责任，并向甲方支付合同总价款10%的违约金。</w:t>
      </w:r>
    </w:p>
    <w:p w14:paraId="506F55D5">
      <w:pPr>
        <w:pStyle w:val="4"/>
        <w:rPr>
          <w:rFonts w:hint="eastAsia"/>
          <w:color w:val="auto"/>
          <w:highlight w:val="none"/>
        </w:rPr>
      </w:pPr>
      <w:r>
        <w:rPr>
          <w:rFonts w:hint="eastAsia"/>
          <w:color w:val="auto"/>
          <w:highlight w:val="none"/>
          <w:lang w:val="en-US" w:eastAsia="zh-CN"/>
        </w:rPr>
        <w:t>4</w:t>
      </w:r>
      <w:r>
        <w:rPr>
          <w:rFonts w:hint="eastAsia"/>
          <w:color w:val="auto"/>
          <w:highlight w:val="none"/>
        </w:rPr>
        <w:t>、若乙方未经甲方同意泄露本合同约定的任何秘密信息的，乙方应按照合同总价款的10%向甲方支付违约金，并赔偿因此给甲方造成的损失。</w:t>
      </w:r>
    </w:p>
    <w:p w14:paraId="14A6255F">
      <w:pPr>
        <w:pStyle w:val="4"/>
        <w:rPr>
          <w:color w:val="auto"/>
          <w:highlight w:val="none"/>
        </w:rPr>
      </w:pPr>
      <w:r>
        <w:rPr>
          <w:rFonts w:hint="eastAsia"/>
          <w:color w:val="auto"/>
          <w:highlight w:val="none"/>
          <w:lang w:val="en-US" w:eastAsia="zh-CN"/>
        </w:rPr>
        <w:t>5</w:t>
      </w:r>
      <w:r>
        <w:rPr>
          <w:rFonts w:hint="eastAsia"/>
          <w:color w:val="auto"/>
          <w:highlight w:val="none"/>
        </w:rPr>
        <w:t>、乙方保证向甲方开具发票的真实性、合法性，若乙方向甲方开具的发票存在真实性、合法性问题，给甲方造成损失的，乙方应按合同总价款的10%向甲方支付违约金，违约金不足以弥补损失的，乙方还应承担相应赔偿责任。</w:t>
      </w:r>
    </w:p>
    <w:p w14:paraId="523115D5">
      <w:pPr>
        <w:pStyle w:val="4"/>
        <w:outlineLvl w:val="2"/>
        <w:rPr>
          <w:color w:val="auto"/>
          <w:highlight w:val="none"/>
        </w:rPr>
      </w:pPr>
      <w:r>
        <w:rPr>
          <w:b/>
          <w:color w:val="auto"/>
          <w:sz w:val="28"/>
          <w:highlight w:val="none"/>
        </w:rPr>
        <w:t>3.4其他要求</w:t>
      </w:r>
    </w:p>
    <w:p w14:paraId="3E6AE350">
      <w:r>
        <w:rPr>
          <w:color w:val="auto"/>
          <w:highlight w:val="none"/>
        </w:rPr>
        <w:t>1.成交供应商在领取成交通知书前，须向采购代理机构提供纸质版响应文件3套，且提供的响应文件必须与在陕西省政府采购综合管理平台的项目电子化交易系统中递交的电子响应文件内容一致，纸质版响应文件必须装订成册签字盖章。 2.如磋商文件中融资相关内容与新政策要求有出入，按照最新要求执行。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3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2026-05-13T07:36:55Z</dcterms:created>
  <dc:creator>Administrator</dc:creator>
  <cp:lastModifiedBy>孙敬腾</cp:lastModifiedBy>
  <dcterms:modified xsi:type="dcterms:W3CDTF">2026-05-13T07:37:09Z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eyJoZGlkIjoiNjIxMDI2NjM3MzgyYzQ0NTJmZDVhODRjOWE1OTQyYWMiLCJ1c2VySWQiOiI1MTUxOTcyNzMifQ==</vt:lpwstr>
  </property>
  <property fmtid="{D5CDD505-2E9C-101B-9397-08002B2CF9AE}" pid="4" name="ICV">
    <vt:lpwstr>94C686208287400B91645FF9061C6AA5_12</vt:lpwstr>
  </property>
</Properties>
</file>