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95C73">
      <w:pPr>
        <w:pStyle w:val="4"/>
        <w:jc w:val="center"/>
        <w:outlineLvl w:val="1"/>
        <w:rPr>
          <w:highlight w:val="none"/>
        </w:rPr>
      </w:pPr>
      <w:r>
        <w:rPr>
          <w:b/>
          <w:sz w:val="36"/>
          <w:highlight w:val="none"/>
        </w:rPr>
        <w:t>第三章 磋商项目技术、服务、商务及其他要求</w:t>
      </w:r>
    </w:p>
    <w:p w14:paraId="4B3661C1">
      <w:pPr>
        <w:pStyle w:val="4"/>
        <w:ind w:firstLine="480"/>
        <w:rPr>
          <w:highlight w:val="none"/>
        </w:rPr>
      </w:pPr>
      <w:r>
        <w:rPr>
          <w:highlight w:val="none"/>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2E809B20">
      <w:pPr>
        <w:pStyle w:val="4"/>
        <w:outlineLvl w:val="2"/>
        <w:rPr>
          <w:highlight w:val="none"/>
        </w:rPr>
      </w:pPr>
      <w:r>
        <w:rPr>
          <w:b/>
          <w:sz w:val="28"/>
          <w:highlight w:val="none"/>
        </w:rPr>
        <w:t>3.1采购项目概况</w:t>
      </w:r>
    </w:p>
    <w:p w14:paraId="57C6102E">
      <w:pPr>
        <w:pStyle w:val="4"/>
        <w:ind w:firstLine="480"/>
        <w:rPr>
          <w:highlight w:val="none"/>
        </w:rPr>
      </w:pPr>
      <w:r>
        <w:rPr>
          <w:rFonts w:hint="eastAsia"/>
          <w:highlight w:val="none"/>
        </w:rPr>
        <w:t>5座焚烧厂+4座厨余（餐厨）垃圾处理厂各类污染物及其周边土壤环境检测，对各末端处理设施产生的各类污染物及其周边土壤环境进行检测，判断是否对周边环境造成负面影响，并提出改进建议，为政府监管提供第一手技术数据，促进各处理设施安全、达标、稳定运行。</w:t>
      </w:r>
    </w:p>
    <w:p w14:paraId="695C2325">
      <w:pPr>
        <w:pStyle w:val="4"/>
        <w:outlineLvl w:val="2"/>
        <w:rPr>
          <w:highlight w:val="none"/>
        </w:rPr>
      </w:pPr>
      <w:r>
        <w:rPr>
          <w:b/>
          <w:sz w:val="28"/>
          <w:highlight w:val="none"/>
        </w:rPr>
        <w:t>3.2服务内容及服务要求</w:t>
      </w:r>
    </w:p>
    <w:p w14:paraId="624612BB">
      <w:pPr>
        <w:pStyle w:val="4"/>
        <w:outlineLvl w:val="3"/>
        <w:rPr>
          <w:highlight w:val="none"/>
        </w:rPr>
      </w:pPr>
      <w:r>
        <w:rPr>
          <w:b/>
          <w:sz w:val="24"/>
          <w:highlight w:val="none"/>
        </w:rPr>
        <w:t>3.2.1服务内容</w:t>
      </w:r>
    </w:p>
    <w:p w14:paraId="68695ABB">
      <w:pPr>
        <w:pStyle w:val="4"/>
        <w:rPr>
          <w:highlight w:val="none"/>
        </w:rPr>
      </w:pPr>
      <w:r>
        <w:rPr>
          <w:highlight w:val="none"/>
        </w:rPr>
        <w:t>采购包1：</w:t>
      </w:r>
    </w:p>
    <w:p w14:paraId="1BB48730">
      <w:pPr>
        <w:pStyle w:val="4"/>
        <w:rPr>
          <w:highlight w:val="none"/>
        </w:rPr>
      </w:pPr>
      <w:r>
        <w:rPr>
          <w:highlight w:val="none"/>
        </w:rPr>
        <w:t xml:space="preserve">采购包预算金额（元）: </w:t>
      </w:r>
      <w:r>
        <w:rPr>
          <w:rFonts w:hint="eastAsia"/>
          <w:highlight w:val="none"/>
          <w:lang w:val="en-US" w:eastAsia="zh-CN"/>
        </w:rPr>
        <w:t>728</w:t>
      </w:r>
      <w:r>
        <w:rPr>
          <w:highlight w:val="none"/>
        </w:rPr>
        <w:t>,</w:t>
      </w:r>
      <w:r>
        <w:rPr>
          <w:rFonts w:hint="eastAsia"/>
          <w:highlight w:val="none"/>
          <w:lang w:val="en-US" w:eastAsia="zh-CN"/>
        </w:rPr>
        <w:t>0</w:t>
      </w:r>
      <w:r>
        <w:rPr>
          <w:highlight w:val="none"/>
        </w:rPr>
        <w:t>00.00</w:t>
      </w:r>
    </w:p>
    <w:p w14:paraId="449FF99D">
      <w:pPr>
        <w:pStyle w:val="4"/>
        <w:rPr>
          <w:highlight w:val="none"/>
        </w:rPr>
      </w:pPr>
      <w:r>
        <w:rPr>
          <w:highlight w:val="none"/>
        </w:rPr>
        <w:t>采购包最高限价（元）:</w:t>
      </w:r>
      <w:r>
        <w:rPr>
          <w:rFonts w:hint="eastAsia"/>
          <w:highlight w:val="none"/>
          <w:lang w:val="en-US" w:eastAsia="zh-CN"/>
        </w:rPr>
        <w:t xml:space="preserve"> 728</w:t>
      </w:r>
      <w:r>
        <w:rPr>
          <w:highlight w:val="none"/>
        </w:rPr>
        <w:t>,</w:t>
      </w:r>
      <w:r>
        <w:rPr>
          <w:rFonts w:hint="eastAsia"/>
          <w:highlight w:val="none"/>
          <w:lang w:val="en-US" w:eastAsia="zh-CN"/>
        </w:rPr>
        <w:t>0</w:t>
      </w:r>
      <w:r>
        <w:rPr>
          <w:highlight w:val="none"/>
        </w:rPr>
        <w:t>00.00</w:t>
      </w:r>
    </w:p>
    <w:p w14:paraId="156F24EC">
      <w:pPr>
        <w:pStyle w:val="4"/>
        <w:rPr>
          <w:highlight w:val="none"/>
        </w:rPr>
      </w:pPr>
      <w:r>
        <w:rPr>
          <w:highlight w:val="none"/>
        </w:rPr>
        <w:t>供应商报价不允许超过标的金额</w:t>
      </w:r>
    </w:p>
    <w:p w14:paraId="1FD56128">
      <w:pPr>
        <w:pStyle w:val="4"/>
        <w:rPr>
          <w:highlight w:val="none"/>
        </w:rPr>
      </w:pPr>
      <w:r>
        <w:rPr>
          <w:highlight w:val="none"/>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1"/>
        <w:gridCol w:w="821"/>
        <w:gridCol w:w="825"/>
        <w:gridCol w:w="1128"/>
        <w:gridCol w:w="821"/>
        <w:gridCol w:w="821"/>
        <w:gridCol w:w="821"/>
        <w:gridCol w:w="821"/>
        <w:gridCol w:w="821"/>
        <w:gridCol w:w="822"/>
      </w:tblGrid>
      <w:tr w14:paraId="1A147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3CDE5E">
            <w:pPr>
              <w:pStyle w:val="4"/>
              <w:rPr>
                <w:highlight w:val="none"/>
              </w:rPr>
            </w:pPr>
            <w:r>
              <w:rPr>
                <w:highlight w:val="none"/>
              </w:rPr>
              <w:t>序号</w:t>
            </w:r>
          </w:p>
        </w:tc>
        <w:tc>
          <w:tcPr>
            <w:tcW w:w="831" w:type="dxa"/>
          </w:tcPr>
          <w:p w14:paraId="3F8FF6FF">
            <w:pPr>
              <w:pStyle w:val="4"/>
              <w:rPr>
                <w:highlight w:val="none"/>
              </w:rPr>
            </w:pPr>
            <w:r>
              <w:rPr>
                <w:highlight w:val="none"/>
              </w:rPr>
              <w:t>标的名称</w:t>
            </w:r>
          </w:p>
        </w:tc>
        <w:tc>
          <w:tcPr>
            <w:tcW w:w="831" w:type="dxa"/>
          </w:tcPr>
          <w:p w14:paraId="02701898">
            <w:pPr>
              <w:pStyle w:val="4"/>
              <w:rPr>
                <w:highlight w:val="none"/>
              </w:rPr>
            </w:pPr>
            <w:r>
              <w:rPr>
                <w:highlight w:val="none"/>
              </w:rPr>
              <w:t>数量</w:t>
            </w:r>
          </w:p>
        </w:tc>
        <w:tc>
          <w:tcPr>
            <w:tcW w:w="831" w:type="dxa"/>
          </w:tcPr>
          <w:p w14:paraId="73B7932F">
            <w:pPr>
              <w:pStyle w:val="4"/>
              <w:rPr>
                <w:highlight w:val="none"/>
              </w:rPr>
            </w:pPr>
            <w:r>
              <w:rPr>
                <w:highlight w:val="none"/>
              </w:rPr>
              <w:t>标的金额 （元）</w:t>
            </w:r>
          </w:p>
        </w:tc>
        <w:tc>
          <w:tcPr>
            <w:tcW w:w="831" w:type="dxa"/>
          </w:tcPr>
          <w:p w14:paraId="73B0C13C">
            <w:pPr>
              <w:pStyle w:val="4"/>
              <w:rPr>
                <w:highlight w:val="none"/>
              </w:rPr>
            </w:pPr>
            <w:r>
              <w:rPr>
                <w:highlight w:val="none"/>
              </w:rPr>
              <w:t>计量单位</w:t>
            </w:r>
          </w:p>
        </w:tc>
        <w:tc>
          <w:tcPr>
            <w:tcW w:w="831" w:type="dxa"/>
          </w:tcPr>
          <w:p w14:paraId="70B83CD9">
            <w:pPr>
              <w:pStyle w:val="4"/>
              <w:rPr>
                <w:highlight w:val="none"/>
              </w:rPr>
            </w:pPr>
            <w:r>
              <w:rPr>
                <w:highlight w:val="none"/>
              </w:rPr>
              <w:t>所属行业</w:t>
            </w:r>
          </w:p>
        </w:tc>
        <w:tc>
          <w:tcPr>
            <w:tcW w:w="831" w:type="dxa"/>
          </w:tcPr>
          <w:p w14:paraId="0E000882">
            <w:pPr>
              <w:pStyle w:val="4"/>
              <w:rPr>
                <w:highlight w:val="none"/>
              </w:rPr>
            </w:pPr>
            <w:r>
              <w:rPr>
                <w:highlight w:val="none"/>
              </w:rPr>
              <w:t>是否核心产品</w:t>
            </w:r>
          </w:p>
        </w:tc>
        <w:tc>
          <w:tcPr>
            <w:tcW w:w="831" w:type="dxa"/>
          </w:tcPr>
          <w:p w14:paraId="03509523">
            <w:pPr>
              <w:pStyle w:val="4"/>
              <w:rPr>
                <w:highlight w:val="none"/>
              </w:rPr>
            </w:pPr>
            <w:r>
              <w:rPr>
                <w:highlight w:val="none"/>
              </w:rPr>
              <w:t>是否允许进口产品</w:t>
            </w:r>
          </w:p>
        </w:tc>
        <w:tc>
          <w:tcPr>
            <w:tcW w:w="831" w:type="dxa"/>
          </w:tcPr>
          <w:p w14:paraId="247381E1">
            <w:pPr>
              <w:pStyle w:val="4"/>
              <w:rPr>
                <w:highlight w:val="none"/>
              </w:rPr>
            </w:pPr>
            <w:r>
              <w:rPr>
                <w:highlight w:val="none"/>
              </w:rPr>
              <w:t>是否属于节能产品</w:t>
            </w:r>
          </w:p>
        </w:tc>
        <w:tc>
          <w:tcPr>
            <w:tcW w:w="831" w:type="dxa"/>
          </w:tcPr>
          <w:p w14:paraId="75067A2F">
            <w:pPr>
              <w:pStyle w:val="4"/>
              <w:rPr>
                <w:highlight w:val="none"/>
              </w:rPr>
            </w:pPr>
            <w:r>
              <w:rPr>
                <w:highlight w:val="none"/>
              </w:rPr>
              <w:t>是否属于环境标志产品</w:t>
            </w:r>
          </w:p>
        </w:tc>
      </w:tr>
      <w:tr w14:paraId="35B72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1DC05B">
            <w:pPr>
              <w:pStyle w:val="4"/>
              <w:rPr>
                <w:highlight w:val="none"/>
              </w:rPr>
            </w:pPr>
            <w:r>
              <w:rPr>
                <w:highlight w:val="none"/>
              </w:rPr>
              <w:t>1</w:t>
            </w:r>
          </w:p>
        </w:tc>
        <w:tc>
          <w:tcPr>
            <w:tcW w:w="831" w:type="dxa"/>
          </w:tcPr>
          <w:p w14:paraId="177B6AE2">
            <w:pPr>
              <w:pStyle w:val="4"/>
              <w:rPr>
                <w:rFonts w:hint="default" w:eastAsiaTheme="minorEastAsia"/>
                <w:highlight w:val="none"/>
                <w:lang w:val="en-US" w:eastAsia="zh-CN"/>
              </w:rPr>
            </w:pPr>
            <w:r>
              <w:rPr>
                <w:rFonts w:hint="eastAsia"/>
                <w:highlight w:val="none"/>
                <w:lang w:val="en-US" w:eastAsia="zh-CN"/>
              </w:rPr>
              <w:t>末端处理设施各类污染物及其周边土壤环境检测</w:t>
            </w:r>
          </w:p>
        </w:tc>
        <w:tc>
          <w:tcPr>
            <w:tcW w:w="831" w:type="dxa"/>
          </w:tcPr>
          <w:p w14:paraId="10F0C1B3">
            <w:pPr>
              <w:pStyle w:val="4"/>
              <w:jc w:val="right"/>
              <w:rPr>
                <w:highlight w:val="none"/>
              </w:rPr>
            </w:pPr>
            <w:r>
              <w:rPr>
                <w:highlight w:val="none"/>
              </w:rPr>
              <w:t>1.00</w:t>
            </w:r>
          </w:p>
        </w:tc>
        <w:tc>
          <w:tcPr>
            <w:tcW w:w="831" w:type="dxa"/>
          </w:tcPr>
          <w:p w14:paraId="78A463F2">
            <w:pPr>
              <w:pStyle w:val="4"/>
              <w:jc w:val="right"/>
              <w:rPr>
                <w:highlight w:val="none"/>
              </w:rPr>
            </w:pPr>
            <w:r>
              <w:rPr>
                <w:rFonts w:hint="eastAsia"/>
                <w:highlight w:val="none"/>
                <w:lang w:val="en-US" w:eastAsia="zh-CN"/>
              </w:rPr>
              <w:t>728</w:t>
            </w:r>
            <w:r>
              <w:rPr>
                <w:highlight w:val="none"/>
              </w:rPr>
              <w:t>,</w:t>
            </w:r>
            <w:r>
              <w:rPr>
                <w:rFonts w:hint="eastAsia"/>
                <w:highlight w:val="none"/>
                <w:lang w:val="en-US" w:eastAsia="zh-CN"/>
              </w:rPr>
              <w:t>0</w:t>
            </w:r>
            <w:r>
              <w:rPr>
                <w:highlight w:val="none"/>
              </w:rPr>
              <w:t>00.00</w:t>
            </w:r>
          </w:p>
        </w:tc>
        <w:tc>
          <w:tcPr>
            <w:tcW w:w="831" w:type="dxa"/>
          </w:tcPr>
          <w:p w14:paraId="60AFAF7A">
            <w:pPr>
              <w:pStyle w:val="4"/>
              <w:rPr>
                <w:highlight w:val="none"/>
              </w:rPr>
            </w:pPr>
            <w:r>
              <w:rPr>
                <w:highlight w:val="none"/>
              </w:rPr>
              <w:t>项</w:t>
            </w:r>
          </w:p>
        </w:tc>
        <w:tc>
          <w:tcPr>
            <w:tcW w:w="831" w:type="dxa"/>
          </w:tcPr>
          <w:p w14:paraId="6472CA1E">
            <w:pPr>
              <w:pStyle w:val="4"/>
              <w:rPr>
                <w:highlight w:val="none"/>
              </w:rPr>
            </w:pPr>
            <w:r>
              <w:rPr>
                <w:highlight w:val="none"/>
              </w:rPr>
              <w:t>其他未列明行业</w:t>
            </w:r>
          </w:p>
        </w:tc>
        <w:tc>
          <w:tcPr>
            <w:tcW w:w="831" w:type="dxa"/>
          </w:tcPr>
          <w:p w14:paraId="7B0825BD">
            <w:pPr>
              <w:pStyle w:val="4"/>
              <w:rPr>
                <w:highlight w:val="none"/>
              </w:rPr>
            </w:pPr>
            <w:r>
              <w:rPr>
                <w:highlight w:val="none"/>
              </w:rPr>
              <w:t>否</w:t>
            </w:r>
          </w:p>
        </w:tc>
        <w:tc>
          <w:tcPr>
            <w:tcW w:w="831" w:type="dxa"/>
          </w:tcPr>
          <w:p w14:paraId="31A211A2">
            <w:pPr>
              <w:pStyle w:val="4"/>
              <w:rPr>
                <w:highlight w:val="none"/>
              </w:rPr>
            </w:pPr>
            <w:r>
              <w:rPr>
                <w:highlight w:val="none"/>
              </w:rPr>
              <w:t>否</w:t>
            </w:r>
          </w:p>
        </w:tc>
        <w:tc>
          <w:tcPr>
            <w:tcW w:w="831" w:type="dxa"/>
          </w:tcPr>
          <w:p w14:paraId="469C72F0">
            <w:pPr>
              <w:pStyle w:val="4"/>
              <w:rPr>
                <w:highlight w:val="none"/>
              </w:rPr>
            </w:pPr>
            <w:r>
              <w:rPr>
                <w:highlight w:val="none"/>
              </w:rPr>
              <w:t>否</w:t>
            </w:r>
          </w:p>
        </w:tc>
        <w:tc>
          <w:tcPr>
            <w:tcW w:w="831" w:type="dxa"/>
          </w:tcPr>
          <w:p w14:paraId="6393EFFB">
            <w:pPr>
              <w:pStyle w:val="4"/>
              <w:rPr>
                <w:highlight w:val="none"/>
              </w:rPr>
            </w:pPr>
            <w:r>
              <w:rPr>
                <w:highlight w:val="none"/>
              </w:rPr>
              <w:t>否</w:t>
            </w:r>
          </w:p>
        </w:tc>
      </w:tr>
    </w:tbl>
    <w:p w14:paraId="08BEC5E9">
      <w:pPr>
        <w:pStyle w:val="4"/>
        <w:outlineLvl w:val="2"/>
        <w:rPr>
          <w:highlight w:val="none"/>
        </w:rPr>
      </w:pPr>
      <w:r>
        <w:rPr>
          <w:b/>
          <w:sz w:val="28"/>
          <w:highlight w:val="none"/>
        </w:rPr>
        <w:t>3.2.2服务要求</w:t>
      </w:r>
    </w:p>
    <w:p w14:paraId="39B14AED">
      <w:pPr>
        <w:pStyle w:val="4"/>
        <w:rPr>
          <w:highlight w:val="none"/>
        </w:rPr>
      </w:pPr>
      <w:r>
        <w:rPr>
          <w:highlight w:val="none"/>
        </w:rPr>
        <w:t>采购包1：</w:t>
      </w:r>
    </w:p>
    <w:p w14:paraId="2E24E1EC">
      <w:pPr>
        <w:pStyle w:val="4"/>
        <w:rPr>
          <w:highlight w:val="none"/>
        </w:rPr>
      </w:pPr>
      <w:r>
        <w:rPr>
          <w:highlight w:val="none"/>
        </w:rPr>
        <w:t>供应商报价不允许超过标的金额</w:t>
      </w:r>
    </w:p>
    <w:p w14:paraId="4D783794">
      <w:pPr>
        <w:pStyle w:val="4"/>
        <w:rPr>
          <w:highlight w:val="none"/>
        </w:rPr>
      </w:pPr>
      <w:r>
        <w:rPr>
          <w:highlight w:val="none"/>
        </w:rPr>
        <w:t>（招单价的）供应商报价不允许超过标的单价</w:t>
      </w:r>
    </w:p>
    <w:p w14:paraId="43A2DD6E">
      <w:pPr>
        <w:pStyle w:val="4"/>
        <w:rPr>
          <w:rFonts w:hint="eastAsia" w:eastAsiaTheme="minorEastAsia"/>
          <w:highlight w:val="none"/>
          <w:lang w:eastAsia="zh-CN"/>
        </w:rPr>
      </w:pPr>
      <w:r>
        <w:rPr>
          <w:highlight w:val="none"/>
        </w:rPr>
        <w:t>标的名称：</w:t>
      </w:r>
      <w:r>
        <w:rPr>
          <w:rFonts w:hint="eastAsia"/>
          <w:highlight w:val="none"/>
          <w:lang w:eastAsia="zh-CN"/>
        </w:rPr>
        <w:t>末端处理设施各类污染物及其周边土壤环境检测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4"/>
        <w:gridCol w:w="800"/>
        <w:gridCol w:w="6478"/>
      </w:tblGrid>
      <w:tr w14:paraId="6D1D1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4" w:type="dxa"/>
          </w:tcPr>
          <w:p w14:paraId="620315B4">
            <w:pPr>
              <w:pStyle w:val="4"/>
              <w:rPr>
                <w:highlight w:val="none"/>
              </w:rPr>
            </w:pPr>
            <w:r>
              <w:rPr>
                <w:highlight w:val="none"/>
              </w:rPr>
              <w:t xml:space="preserve"> 参数性质</w:t>
            </w:r>
          </w:p>
        </w:tc>
        <w:tc>
          <w:tcPr>
            <w:tcW w:w="800" w:type="dxa"/>
          </w:tcPr>
          <w:p w14:paraId="03ADCD8F">
            <w:pPr>
              <w:pStyle w:val="4"/>
              <w:rPr>
                <w:highlight w:val="none"/>
              </w:rPr>
            </w:pPr>
            <w:r>
              <w:rPr>
                <w:highlight w:val="none"/>
              </w:rPr>
              <w:t xml:space="preserve"> 序号</w:t>
            </w:r>
          </w:p>
        </w:tc>
        <w:tc>
          <w:tcPr>
            <w:tcW w:w="6478" w:type="dxa"/>
          </w:tcPr>
          <w:p w14:paraId="05EC0375">
            <w:pPr>
              <w:pStyle w:val="4"/>
              <w:rPr>
                <w:highlight w:val="none"/>
              </w:rPr>
            </w:pPr>
            <w:r>
              <w:rPr>
                <w:highlight w:val="none"/>
              </w:rPr>
              <w:t xml:space="preserve"> 技术参数与性能指标</w:t>
            </w:r>
          </w:p>
        </w:tc>
      </w:tr>
      <w:tr w14:paraId="5C1C3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4" w:type="dxa"/>
          </w:tcPr>
          <w:p w14:paraId="58AE5319">
            <w:pPr>
              <w:rPr>
                <w:highlight w:val="none"/>
              </w:rPr>
            </w:pPr>
          </w:p>
        </w:tc>
        <w:tc>
          <w:tcPr>
            <w:tcW w:w="800" w:type="dxa"/>
          </w:tcPr>
          <w:p w14:paraId="28DE12B8">
            <w:pPr>
              <w:pStyle w:val="4"/>
              <w:rPr>
                <w:highlight w:val="none"/>
              </w:rPr>
            </w:pPr>
            <w:r>
              <w:rPr>
                <w:highlight w:val="none"/>
              </w:rPr>
              <w:t>1</w:t>
            </w:r>
          </w:p>
        </w:tc>
        <w:tc>
          <w:tcPr>
            <w:tcW w:w="6478" w:type="dxa"/>
          </w:tcPr>
          <w:tbl>
            <w:tblPr>
              <w:tblStyle w:val="2"/>
              <w:tblpPr w:leftFromText="180" w:rightFromText="180" w:vertAnchor="text" w:horzAnchor="page" w:tblpX="1670" w:tblpY="543"/>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1"/>
              <w:gridCol w:w="744"/>
              <w:gridCol w:w="1313"/>
              <w:gridCol w:w="2632"/>
              <w:gridCol w:w="869"/>
            </w:tblGrid>
            <w:tr w14:paraId="77269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640" w:type="pct"/>
                  <w:tcBorders>
                    <w:top w:val="single" w:color="000000" w:sz="4" w:space="0"/>
                    <w:left w:val="single" w:color="000000" w:sz="4" w:space="0"/>
                    <w:bottom w:val="single" w:color="000000" w:sz="4" w:space="0"/>
                    <w:right w:val="single" w:color="000000" w:sz="4" w:space="0"/>
                  </w:tcBorders>
                  <w:noWrap w:val="0"/>
                  <w:vAlign w:val="center"/>
                </w:tcPr>
                <w:p w14:paraId="327C1295">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kern w:val="0"/>
                      <w:sz w:val="21"/>
                      <w:szCs w:val="21"/>
                      <w:highlight w:val="none"/>
                      <w:u w:val="none"/>
                      <w:shd w:val="clear" w:color="auto" w:fill="auto"/>
                      <w:lang w:val="en-US" w:eastAsia="zh-CN" w:bidi="ar"/>
                    </w:rPr>
                  </w:pPr>
                  <w:r>
                    <w:rPr>
                      <w:rFonts w:hint="eastAsia" w:ascii="宋体" w:hAnsi="宋体" w:eastAsia="宋体" w:cs="宋体"/>
                      <w:b/>
                      <w:bCs/>
                      <w:i w:val="0"/>
                      <w:iCs w:val="0"/>
                      <w:color w:val="000000"/>
                      <w:kern w:val="0"/>
                      <w:sz w:val="21"/>
                      <w:szCs w:val="21"/>
                      <w:highlight w:val="none"/>
                      <w:u w:val="none"/>
                      <w:shd w:val="clear" w:color="auto" w:fill="auto"/>
                      <w:lang w:val="en-US" w:eastAsia="zh-CN" w:bidi="ar"/>
                    </w:rPr>
                    <w:t>项目</w:t>
                  </w:r>
                </w:p>
                <w:p w14:paraId="5BA3B4E6">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shd w:val="clear" w:color="auto" w:fill="auto"/>
                    </w:rPr>
                  </w:pPr>
                  <w:r>
                    <w:rPr>
                      <w:rFonts w:hint="eastAsia" w:ascii="宋体" w:hAnsi="宋体" w:eastAsia="宋体" w:cs="宋体"/>
                      <w:b/>
                      <w:bCs/>
                      <w:i w:val="0"/>
                      <w:iCs w:val="0"/>
                      <w:color w:val="000000"/>
                      <w:kern w:val="0"/>
                      <w:sz w:val="21"/>
                      <w:szCs w:val="21"/>
                      <w:highlight w:val="none"/>
                      <w:u w:val="none"/>
                      <w:shd w:val="clear" w:color="auto" w:fill="auto"/>
                      <w:lang w:val="en-US" w:eastAsia="zh-CN" w:bidi="ar"/>
                    </w:rPr>
                    <w:t>类型</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7CC86FD4">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kern w:val="0"/>
                      <w:sz w:val="21"/>
                      <w:szCs w:val="21"/>
                      <w:highlight w:val="none"/>
                      <w:u w:val="none"/>
                      <w:shd w:val="clear" w:color="auto" w:fill="auto"/>
                      <w:lang w:val="en-US" w:eastAsia="zh-CN" w:bidi="ar"/>
                    </w:rPr>
                  </w:pPr>
                  <w:r>
                    <w:rPr>
                      <w:rFonts w:hint="eastAsia" w:ascii="宋体" w:hAnsi="宋体" w:eastAsia="宋体" w:cs="宋体"/>
                      <w:b/>
                      <w:bCs/>
                      <w:i w:val="0"/>
                      <w:iCs w:val="0"/>
                      <w:color w:val="000000"/>
                      <w:kern w:val="0"/>
                      <w:sz w:val="21"/>
                      <w:szCs w:val="21"/>
                      <w:highlight w:val="none"/>
                      <w:u w:val="none"/>
                      <w:shd w:val="clear" w:color="auto" w:fill="auto"/>
                      <w:lang w:val="en-US" w:eastAsia="zh-CN" w:bidi="ar"/>
                    </w:rPr>
                    <w:t>检测</w:t>
                  </w:r>
                </w:p>
                <w:p w14:paraId="1E58DF8F">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shd w:val="clear" w:color="auto" w:fill="auto"/>
                    </w:rPr>
                  </w:pPr>
                  <w:r>
                    <w:rPr>
                      <w:rFonts w:hint="eastAsia" w:ascii="宋体" w:hAnsi="宋体" w:eastAsia="宋体" w:cs="宋体"/>
                      <w:b/>
                      <w:bCs/>
                      <w:i w:val="0"/>
                      <w:iCs w:val="0"/>
                      <w:color w:val="000000"/>
                      <w:kern w:val="0"/>
                      <w:sz w:val="21"/>
                      <w:szCs w:val="21"/>
                      <w:highlight w:val="none"/>
                      <w:u w:val="none"/>
                      <w:shd w:val="clear" w:color="auto" w:fill="auto"/>
                      <w:lang w:val="en-US" w:eastAsia="zh-CN" w:bidi="ar"/>
                    </w:rPr>
                    <w:t>类型</w:t>
                  </w:r>
                </w:p>
              </w:tc>
              <w:tc>
                <w:tcPr>
                  <w:tcW w:w="1129" w:type="pct"/>
                  <w:tcBorders>
                    <w:top w:val="single" w:color="000000" w:sz="4" w:space="0"/>
                    <w:left w:val="single" w:color="000000" w:sz="4" w:space="0"/>
                    <w:bottom w:val="single" w:color="000000" w:sz="4" w:space="0"/>
                    <w:right w:val="single" w:color="000000" w:sz="4" w:space="0"/>
                  </w:tcBorders>
                  <w:noWrap w:val="0"/>
                  <w:vAlign w:val="center"/>
                </w:tcPr>
                <w:p w14:paraId="61F8B019">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shd w:val="clear" w:color="auto" w:fill="auto"/>
                    </w:rPr>
                  </w:pPr>
                  <w:r>
                    <w:rPr>
                      <w:rFonts w:hint="eastAsia" w:ascii="宋体" w:hAnsi="宋体" w:eastAsia="宋体" w:cs="宋体"/>
                      <w:b/>
                      <w:bCs/>
                      <w:i w:val="0"/>
                      <w:iCs w:val="0"/>
                      <w:color w:val="000000"/>
                      <w:kern w:val="0"/>
                      <w:sz w:val="21"/>
                      <w:szCs w:val="21"/>
                      <w:highlight w:val="none"/>
                      <w:u w:val="none"/>
                      <w:shd w:val="clear" w:color="auto" w:fill="auto"/>
                      <w:lang w:val="en-US" w:eastAsia="zh-CN" w:bidi="ar"/>
                    </w:rPr>
                    <w:t>监测点位</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4FF501BF">
                  <w:pPr>
                    <w:keepNext w:val="0"/>
                    <w:keepLines w:val="0"/>
                    <w:widowControl/>
                    <w:suppressLineNumbers w:val="0"/>
                    <w:spacing w:line="240" w:lineRule="auto"/>
                    <w:ind w:firstLine="422" w:firstLineChars="200"/>
                    <w:jc w:val="center"/>
                    <w:textAlignment w:val="center"/>
                    <w:rPr>
                      <w:rFonts w:hint="eastAsia" w:ascii="宋体" w:hAnsi="宋体" w:eastAsia="宋体" w:cs="宋体"/>
                      <w:b/>
                      <w:bCs/>
                      <w:i w:val="0"/>
                      <w:iCs w:val="0"/>
                      <w:color w:val="000000"/>
                      <w:sz w:val="21"/>
                      <w:szCs w:val="21"/>
                      <w:highlight w:val="none"/>
                      <w:u w:val="none"/>
                      <w:shd w:val="clear" w:color="auto" w:fill="auto"/>
                    </w:rPr>
                  </w:pPr>
                  <w:r>
                    <w:rPr>
                      <w:rFonts w:hint="eastAsia" w:ascii="宋体" w:hAnsi="宋体" w:eastAsia="宋体" w:cs="宋体"/>
                      <w:b/>
                      <w:bCs/>
                      <w:i w:val="0"/>
                      <w:iCs w:val="0"/>
                      <w:color w:val="000000"/>
                      <w:kern w:val="0"/>
                      <w:sz w:val="21"/>
                      <w:szCs w:val="21"/>
                      <w:highlight w:val="none"/>
                      <w:u w:val="none"/>
                      <w:shd w:val="clear" w:color="auto" w:fill="auto"/>
                      <w:lang w:val="en-US" w:eastAsia="zh-CN" w:bidi="ar"/>
                    </w:rPr>
                    <w:t>监测项目</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4079901">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shd w:val="clear" w:color="auto" w:fill="auto"/>
                    </w:rPr>
                  </w:pPr>
                  <w:r>
                    <w:rPr>
                      <w:rFonts w:hint="eastAsia" w:ascii="宋体" w:hAnsi="宋体" w:eastAsia="宋体" w:cs="宋体"/>
                      <w:b/>
                      <w:bCs/>
                      <w:i w:val="0"/>
                      <w:iCs w:val="0"/>
                      <w:color w:val="000000"/>
                      <w:kern w:val="0"/>
                      <w:sz w:val="21"/>
                      <w:szCs w:val="21"/>
                      <w:highlight w:val="none"/>
                      <w:u w:val="none"/>
                      <w:shd w:val="clear" w:color="auto" w:fill="auto"/>
                      <w:lang w:val="en-US" w:eastAsia="zh-CN" w:bidi="ar"/>
                    </w:rPr>
                    <w:t>项目数量（个）</w:t>
                  </w:r>
                </w:p>
              </w:tc>
            </w:tr>
            <w:tr w14:paraId="36C0B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40" w:type="pct"/>
                  <w:vMerge w:val="restart"/>
                  <w:tcBorders>
                    <w:top w:val="single" w:color="000000" w:sz="4" w:space="0"/>
                    <w:left w:val="single" w:color="000000" w:sz="4" w:space="0"/>
                    <w:bottom w:val="single" w:color="000000" w:sz="4" w:space="0"/>
                    <w:right w:val="single" w:color="000000" w:sz="4" w:space="0"/>
                  </w:tcBorders>
                  <w:noWrap w:val="0"/>
                  <w:vAlign w:val="center"/>
                </w:tcPr>
                <w:p w14:paraId="55EBD376">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厨余（餐厨）垃圾处理厂</w:t>
                  </w:r>
                </w:p>
              </w:tc>
              <w:tc>
                <w:tcPr>
                  <w:tcW w:w="675" w:type="pct"/>
                  <w:vMerge w:val="restart"/>
                  <w:tcBorders>
                    <w:top w:val="single" w:color="000000" w:sz="4" w:space="0"/>
                    <w:left w:val="single" w:color="000000" w:sz="4" w:space="0"/>
                    <w:bottom w:val="single" w:color="000000" w:sz="4" w:space="0"/>
                    <w:right w:val="single" w:color="000000" w:sz="4" w:space="0"/>
                  </w:tcBorders>
                  <w:noWrap w:val="0"/>
                  <w:vAlign w:val="center"/>
                </w:tcPr>
                <w:p w14:paraId="62E57C57">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有组织废气</w:t>
                  </w:r>
                </w:p>
              </w:tc>
              <w:tc>
                <w:tcPr>
                  <w:tcW w:w="1129" w:type="pct"/>
                  <w:tcBorders>
                    <w:top w:val="single" w:color="000000" w:sz="4" w:space="0"/>
                    <w:left w:val="single" w:color="000000" w:sz="4" w:space="0"/>
                    <w:bottom w:val="single" w:color="000000" w:sz="4" w:space="0"/>
                    <w:right w:val="single" w:color="000000" w:sz="4" w:space="0"/>
                  </w:tcBorders>
                  <w:noWrap w:val="0"/>
                  <w:vAlign w:val="center"/>
                </w:tcPr>
                <w:p w14:paraId="7BB87312">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除臭系统废气排气筒出口设1个监测点位</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77064EAA">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氨、硫化氢、臭气浓度等</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FEF40AE">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4</w:t>
                  </w:r>
                </w:p>
              </w:tc>
            </w:tr>
            <w:tr w14:paraId="6266B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4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9D639A">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6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DB7563">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129" w:type="pct"/>
                  <w:tcBorders>
                    <w:top w:val="single" w:color="000000" w:sz="4" w:space="0"/>
                    <w:left w:val="single" w:color="000000" w:sz="4" w:space="0"/>
                    <w:bottom w:val="single" w:color="000000" w:sz="4" w:space="0"/>
                    <w:right w:val="single" w:color="000000" w:sz="4" w:space="0"/>
                  </w:tcBorders>
                  <w:noWrap w:val="0"/>
                  <w:vAlign w:val="center"/>
                </w:tcPr>
                <w:p w14:paraId="6780F31B">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沼气发电废气排气筒出口设1个监测点位</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419C2946">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二氧化硫、氮氧化物、烟尘等</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74B719E">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4</w:t>
                  </w:r>
                </w:p>
              </w:tc>
            </w:tr>
            <w:tr w14:paraId="4C314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4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931C1F">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675" w:type="pct"/>
                  <w:vMerge w:val="restart"/>
                  <w:tcBorders>
                    <w:top w:val="single" w:color="000000" w:sz="4" w:space="0"/>
                    <w:left w:val="single" w:color="000000" w:sz="4" w:space="0"/>
                    <w:bottom w:val="single" w:color="000000" w:sz="4" w:space="0"/>
                    <w:right w:val="single" w:color="000000" w:sz="4" w:space="0"/>
                  </w:tcBorders>
                  <w:noWrap w:val="0"/>
                  <w:vAlign w:val="center"/>
                </w:tcPr>
                <w:p w14:paraId="455E47F1">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无组织废气</w:t>
                  </w:r>
                </w:p>
              </w:tc>
              <w:tc>
                <w:tcPr>
                  <w:tcW w:w="1129" w:type="pct"/>
                  <w:tcBorders>
                    <w:top w:val="single" w:color="000000" w:sz="4" w:space="0"/>
                    <w:left w:val="single" w:color="000000" w:sz="4" w:space="0"/>
                    <w:bottom w:val="single" w:color="000000" w:sz="4" w:space="0"/>
                    <w:right w:val="single" w:color="000000" w:sz="4" w:space="0"/>
                  </w:tcBorders>
                  <w:noWrap w:val="0"/>
                  <w:vAlign w:val="center"/>
                </w:tcPr>
                <w:p w14:paraId="5254772E">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下风向设置3个监控点</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359B13E7">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氨气、硫化氢、臭气浓度等</w:t>
                  </w:r>
                </w:p>
              </w:tc>
              <w:tc>
                <w:tcPr>
                  <w:tcW w:w="774" w:type="pct"/>
                  <w:vMerge w:val="restart"/>
                  <w:tcBorders>
                    <w:top w:val="single" w:color="000000" w:sz="4" w:space="0"/>
                    <w:left w:val="single" w:color="000000" w:sz="4" w:space="0"/>
                    <w:bottom w:val="single" w:color="000000" w:sz="4" w:space="0"/>
                    <w:right w:val="single" w:color="000000" w:sz="4" w:space="0"/>
                  </w:tcBorders>
                  <w:noWrap w:val="0"/>
                  <w:vAlign w:val="center"/>
                </w:tcPr>
                <w:p w14:paraId="67A96292">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4</w:t>
                  </w:r>
                </w:p>
              </w:tc>
            </w:tr>
            <w:tr w14:paraId="77081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4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6D8851">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6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4A7B0A">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129" w:type="pct"/>
                  <w:tcBorders>
                    <w:top w:val="single" w:color="000000" w:sz="4" w:space="0"/>
                    <w:left w:val="single" w:color="000000" w:sz="4" w:space="0"/>
                    <w:bottom w:val="single" w:color="000000" w:sz="4" w:space="0"/>
                    <w:right w:val="single" w:color="000000" w:sz="4" w:space="0"/>
                  </w:tcBorders>
                  <w:noWrap w:val="0"/>
                  <w:vAlign w:val="center"/>
                </w:tcPr>
                <w:p w14:paraId="674AEC4F">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在厂区上风向设置1个对照点、下风向设置2个监控点</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27A6D046">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二氧化硫、氮氧化物、颗粒物、非甲烷总烃等</w:t>
                  </w:r>
                </w:p>
              </w:tc>
              <w:tc>
                <w:tcPr>
                  <w:tcW w:w="7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E772A6">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r>
            <w:tr w14:paraId="2BD3F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4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FB0C00">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675" w:type="pct"/>
                  <w:tcBorders>
                    <w:top w:val="single" w:color="000000" w:sz="4" w:space="0"/>
                    <w:left w:val="single" w:color="000000" w:sz="4" w:space="0"/>
                    <w:bottom w:val="nil"/>
                    <w:right w:val="single" w:color="000000" w:sz="4" w:space="0"/>
                  </w:tcBorders>
                  <w:noWrap w:val="0"/>
                  <w:vAlign w:val="center"/>
                </w:tcPr>
                <w:p w14:paraId="0FF0FA34">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噪声监测</w:t>
                  </w:r>
                </w:p>
              </w:tc>
              <w:tc>
                <w:tcPr>
                  <w:tcW w:w="1129" w:type="pct"/>
                  <w:tcBorders>
                    <w:top w:val="single" w:color="000000" w:sz="4" w:space="0"/>
                    <w:left w:val="single" w:color="000000" w:sz="4" w:space="0"/>
                    <w:bottom w:val="nil"/>
                    <w:right w:val="single" w:color="000000" w:sz="4" w:space="0"/>
                  </w:tcBorders>
                  <w:noWrap w:val="0"/>
                  <w:vAlign w:val="center"/>
                </w:tcPr>
                <w:p w14:paraId="2F907F37">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厂界四周各设1个监测点位，共4个点位</w:t>
                  </w:r>
                </w:p>
              </w:tc>
              <w:tc>
                <w:tcPr>
                  <w:tcW w:w="1780" w:type="pct"/>
                  <w:tcBorders>
                    <w:top w:val="single" w:color="000000" w:sz="4" w:space="0"/>
                    <w:left w:val="single" w:color="000000" w:sz="4" w:space="0"/>
                    <w:bottom w:val="nil"/>
                    <w:right w:val="single" w:color="000000" w:sz="4" w:space="0"/>
                  </w:tcBorders>
                  <w:noWrap w:val="0"/>
                  <w:vAlign w:val="center"/>
                </w:tcPr>
                <w:p w14:paraId="6D9C6119">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昼、夜等效连续A声级Leq（A）</w:t>
                  </w:r>
                </w:p>
              </w:tc>
              <w:tc>
                <w:tcPr>
                  <w:tcW w:w="774" w:type="pct"/>
                  <w:tcBorders>
                    <w:top w:val="single" w:color="000000" w:sz="4" w:space="0"/>
                    <w:left w:val="single" w:color="000000" w:sz="4" w:space="0"/>
                    <w:bottom w:val="nil"/>
                    <w:right w:val="single" w:color="000000" w:sz="4" w:space="0"/>
                  </w:tcBorders>
                  <w:noWrap w:val="0"/>
                  <w:vAlign w:val="center"/>
                </w:tcPr>
                <w:p w14:paraId="315068D2">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4</w:t>
                  </w:r>
                </w:p>
              </w:tc>
            </w:tr>
            <w:tr w14:paraId="0D352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4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E2A412">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675" w:type="pct"/>
                  <w:tcBorders>
                    <w:top w:val="single" w:color="000000" w:sz="4" w:space="0"/>
                    <w:left w:val="single" w:color="000000" w:sz="4" w:space="0"/>
                    <w:bottom w:val="nil"/>
                    <w:right w:val="single" w:color="000000" w:sz="4" w:space="0"/>
                  </w:tcBorders>
                  <w:noWrap w:val="0"/>
                  <w:vAlign w:val="center"/>
                </w:tcPr>
                <w:p w14:paraId="2741156F">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土壤监测</w:t>
                  </w:r>
                </w:p>
              </w:tc>
              <w:tc>
                <w:tcPr>
                  <w:tcW w:w="1129" w:type="pct"/>
                  <w:tcBorders>
                    <w:top w:val="single" w:color="000000" w:sz="4" w:space="0"/>
                    <w:left w:val="single" w:color="000000" w:sz="4" w:space="0"/>
                    <w:bottom w:val="nil"/>
                    <w:right w:val="single" w:color="000000" w:sz="4" w:space="0"/>
                  </w:tcBorders>
                  <w:noWrap w:val="0"/>
                  <w:vAlign w:val="center"/>
                </w:tcPr>
                <w:p w14:paraId="016F768E">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监测点位：厂区按照标准抽取土壤样品1个</w:t>
                  </w:r>
                </w:p>
              </w:tc>
              <w:tc>
                <w:tcPr>
                  <w:tcW w:w="1780" w:type="pct"/>
                  <w:tcBorders>
                    <w:top w:val="single" w:color="000000" w:sz="4" w:space="0"/>
                    <w:left w:val="single" w:color="000000" w:sz="4" w:space="0"/>
                    <w:bottom w:val="nil"/>
                    <w:right w:val="single" w:color="000000" w:sz="4" w:space="0"/>
                  </w:tcBorders>
                  <w:noWrap w:val="0"/>
                  <w:vAlign w:val="center"/>
                </w:tcPr>
                <w:p w14:paraId="614BE2DD">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砷、镉、铬（六价）、铜、铅、汞、镍等</w:t>
                  </w:r>
                </w:p>
              </w:tc>
              <w:tc>
                <w:tcPr>
                  <w:tcW w:w="774" w:type="pct"/>
                  <w:tcBorders>
                    <w:top w:val="single" w:color="000000" w:sz="4" w:space="0"/>
                    <w:left w:val="single" w:color="000000" w:sz="4" w:space="0"/>
                    <w:bottom w:val="nil"/>
                    <w:right w:val="single" w:color="000000" w:sz="4" w:space="0"/>
                  </w:tcBorders>
                  <w:noWrap w:val="0"/>
                  <w:vAlign w:val="center"/>
                </w:tcPr>
                <w:p w14:paraId="1B226893">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4</w:t>
                  </w:r>
                </w:p>
              </w:tc>
            </w:tr>
            <w:tr w14:paraId="509B7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4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03C1F3">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334B6434">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废水监测</w:t>
                  </w:r>
                </w:p>
              </w:tc>
              <w:tc>
                <w:tcPr>
                  <w:tcW w:w="1129" w:type="pct"/>
                  <w:tcBorders>
                    <w:top w:val="single" w:color="000000" w:sz="4" w:space="0"/>
                    <w:left w:val="single" w:color="000000" w:sz="4" w:space="0"/>
                    <w:bottom w:val="single" w:color="000000" w:sz="4" w:space="0"/>
                    <w:right w:val="single" w:color="000000" w:sz="4" w:space="0"/>
                  </w:tcBorders>
                  <w:noWrap w:val="0"/>
                  <w:vAlign w:val="center"/>
                </w:tcPr>
                <w:p w14:paraId="4E00CB1D">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污水进口、总排口各1个监测点位</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52EFA19E">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pH、色度、化学需氧量、生化需氧量、悬浮物、总氮、氨氮、总磷、阴离子表面活性剂、粪大肠菌群数、动植物油、石油类等</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6D28097">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4</w:t>
                  </w:r>
                </w:p>
              </w:tc>
            </w:tr>
            <w:tr w14:paraId="00C81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8" w:hRule="atLeast"/>
              </w:trPr>
              <w:tc>
                <w:tcPr>
                  <w:tcW w:w="64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9FD43E">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675" w:type="pct"/>
                  <w:tcBorders>
                    <w:top w:val="nil"/>
                    <w:left w:val="single" w:color="000000" w:sz="4" w:space="0"/>
                    <w:bottom w:val="single" w:color="000000" w:sz="4" w:space="0"/>
                    <w:right w:val="single" w:color="000000" w:sz="4" w:space="0"/>
                  </w:tcBorders>
                  <w:noWrap w:val="0"/>
                  <w:vAlign w:val="center"/>
                </w:tcPr>
                <w:p w14:paraId="0521731B">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地下水</w:t>
                  </w:r>
                </w:p>
              </w:tc>
              <w:tc>
                <w:tcPr>
                  <w:tcW w:w="1129" w:type="pct"/>
                  <w:tcBorders>
                    <w:top w:val="nil"/>
                    <w:left w:val="single" w:color="000000" w:sz="4" w:space="0"/>
                    <w:bottom w:val="single" w:color="000000" w:sz="4" w:space="0"/>
                    <w:right w:val="single" w:color="000000" w:sz="4" w:space="0"/>
                  </w:tcBorders>
                  <w:noWrap w:val="0"/>
                  <w:vAlign w:val="center"/>
                </w:tcPr>
                <w:p w14:paraId="01896E9D">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项目污染源监控井设1个监测点位，共1个点位</w:t>
                  </w:r>
                </w:p>
                <w:p w14:paraId="437E676E">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780" w:type="pct"/>
                  <w:tcBorders>
                    <w:top w:val="nil"/>
                    <w:left w:val="single" w:color="000000" w:sz="4" w:space="0"/>
                    <w:bottom w:val="single" w:color="000000" w:sz="4" w:space="0"/>
                    <w:right w:val="single" w:color="000000" w:sz="4" w:space="0"/>
                  </w:tcBorders>
                  <w:noWrap w:val="0"/>
                  <w:vAlign w:val="center"/>
                </w:tcPr>
                <w:p w14:paraId="20F9ACE3">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度、嗅和味、浑浊度、⾁眼可见物、pH、总硬度、溶解性总固体、硫酸盐、氯化物、铁、锰、铜、锌、铝、挥发酚类、阴离⼦表面活性剂、耗氧量、氨氮、硫化物、钠、总⼤肠菌群、菌落总数、亚氯酸盐、硝酸盐、氰化物、氟化物、碘化物、汞、砷、硒、镉、铬（六价）、铅、三氯甲烷、四氯化碳、苯、甲苯等</w:t>
                  </w:r>
                </w:p>
              </w:tc>
              <w:tc>
                <w:tcPr>
                  <w:tcW w:w="774" w:type="pct"/>
                  <w:tcBorders>
                    <w:top w:val="nil"/>
                    <w:left w:val="single" w:color="000000" w:sz="4" w:space="0"/>
                    <w:bottom w:val="single" w:color="000000" w:sz="4" w:space="0"/>
                    <w:right w:val="single" w:color="000000" w:sz="4" w:space="0"/>
                  </w:tcBorders>
                  <w:noWrap w:val="0"/>
                  <w:vAlign w:val="center"/>
                </w:tcPr>
                <w:p w14:paraId="04428BCC">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4</w:t>
                  </w:r>
                </w:p>
              </w:tc>
            </w:tr>
            <w:tr w14:paraId="490FB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0" w:hRule="atLeast"/>
              </w:trPr>
              <w:tc>
                <w:tcPr>
                  <w:tcW w:w="640" w:type="pct"/>
                  <w:vMerge w:val="restart"/>
                  <w:tcBorders>
                    <w:top w:val="single" w:color="000000" w:sz="4" w:space="0"/>
                    <w:left w:val="single" w:color="000000" w:sz="4" w:space="0"/>
                    <w:bottom w:val="single" w:color="000000" w:sz="4" w:space="0"/>
                    <w:right w:val="single" w:color="000000" w:sz="4" w:space="0"/>
                  </w:tcBorders>
                  <w:noWrap w:val="0"/>
                  <w:vAlign w:val="center"/>
                </w:tcPr>
                <w:p w14:paraId="56AD7051">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生活垃圾焚烧厂</w:t>
                  </w:r>
                </w:p>
              </w:tc>
              <w:tc>
                <w:tcPr>
                  <w:tcW w:w="675" w:type="pct"/>
                  <w:vMerge w:val="restart"/>
                  <w:tcBorders>
                    <w:top w:val="single" w:color="000000" w:sz="4" w:space="0"/>
                    <w:left w:val="single" w:color="000000" w:sz="4" w:space="0"/>
                    <w:bottom w:val="nil"/>
                    <w:right w:val="single" w:color="000000" w:sz="4" w:space="0"/>
                  </w:tcBorders>
                  <w:noWrap w:val="0"/>
                  <w:vAlign w:val="center"/>
                </w:tcPr>
                <w:p w14:paraId="1E27A78E">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有组织废气</w:t>
                  </w:r>
                </w:p>
              </w:tc>
              <w:tc>
                <w:tcPr>
                  <w:tcW w:w="1129" w:type="pct"/>
                  <w:tcBorders>
                    <w:top w:val="single" w:color="000000" w:sz="4" w:space="0"/>
                    <w:left w:val="single" w:color="000000" w:sz="4" w:space="0"/>
                    <w:bottom w:val="single" w:color="000000" w:sz="4" w:space="0"/>
                    <w:right w:val="single" w:color="000000" w:sz="4" w:space="0"/>
                  </w:tcBorders>
                  <w:noWrap w:val="0"/>
                  <w:vAlign w:val="center"/>
                </w:tcPr>
                <w:p w14:paraId="06DC9548">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处理工艺设备产生的废气排气筒出口设1个监测点位</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77CCC6E1">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颗粒物、二氧化硫、氮氧化物、氯化氢、汞及其化合物（以 Hg 计）、[镉、铊及其化合物（以 Cd +Ti 计）]、[锑、砷、铅、铬、钴、铜、锰、镍及其化合物 （以 Sb+As+Pb+Cr+Co+Cu+Mn+Ni 计）]、一氧化碳、二噁英类等</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4D340DD">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5</w:t>
                  </w:r>
                </w:p>
              </w:tc>
            </w:tr>
            <w:tr w14:paraId="5369A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4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4B1EEA">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675" w:type="pct"/>
                  <w:vMerge w:val="continue"/>
                  <w:tcBorders>
                    <w:top w:val="single" w:color="000000" w:sz="4" w:space="0"/>
                    <w:left w:val="single" w:color="000000" w:sz="4" w:space="0"/>
                    <w:bottom w:val="nil"/>
                    <w:right w:val="single" w:color="000000" w:sz="4" w:space="0"/>
                  </w:tcBorders>
                  <w:noWrap w:val="0"/>
                  <w:vAlign w:val="center"/>
                </w:tcPr>
                <w:p w14:paraId="23A4E9D4">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129" w:type="pct"/>
                  <w:tcBorders>
                    <w:top w:val="single" w:color="000000" w:sz="4" w:space="0"/>
                    <w:left w:val="single" w:color="000000" w:sz="4" w:space="0"/>
                    <w:bottom w:val="single" w:color="000000" w:sz="4" w:space="0"/>
                    <w:right w:val="single" w:color="000000" w:sz="4" w:space="0"/>
                  </w:tcBorders>
                  <w:noWrap w:val="0"/>
                  <w:vAlign w:val="center"/>
                </w:tcPr>
                <w:p w14:paraId="44D065EF">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除臭系统废气排气筒出口设1个监测点位</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4150D53C">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氨、硫化氢、臭气浓度等</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F9CE790">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5</w:t>
                  </w:r>
                </w:p>
              </w:tc>
            </w:tr>
            <w:tr w14:paraId="66C71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4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4239EF">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675" w:type="pct"/>
                  <w:vMerge w:val="restart"/>
                  <w:tcBorders>
                    <w:top w:val="single" w:color="000000" w:sz="4" w:space="0"/>
                    <w:left w:val="single" w:color="000000" w:sz="4" w:space="0"/>
                    <w:bottom w:val="single" w:color="000000" w:sz="4" w:space="0"/>
                    <w:right w:val="single" w:color="000000" w:sz="4" w:space="0"/>
                  </w:tcBorders>
                  <w:noWrap w:val="0"/>
                  <w:vAlign w:val="center"/>
                </w:tcPr>
                <w:p w14:paraId="2A266EFB">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无组织废气</w:t>
                  </w:r>
                </w:p>
              </w:tc>
              <w:tc>
                <w:tcPr>
                  <w:tcW w:w="1129" w:type="pct"/>
                  <w:tcBorders>
                    <w:top w:val="single" w:color="000000" w:sz="4" w:space="0"/>
                    <w:left w:val="single" w:color="000000" w:sz="4" w:space="0"/>
                    <w:bottom w:val="single" w:color="000000" w:sz="4" w:space="0"/>
                    <w:right w:val="single" w:color="000000" w:sz="4" w:space="0"/>
                  </w:tcBorders>
                  <w:noWrap w:val="0"/>
                  <w:vAlign w:val="center"/>
                </w:tcPr>
                <w:p w14:paraId="6B09F788">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厂区下风向设置3个监控点</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7C7A1E99">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氨气、硫化氢、臭气浓度等</w:t>
                  </w:r>
                </w:p>
              </w:tc>
              <w:tc>
                <w:tcPr>
                  <w:tcW w:w="774" w:type="pct"/>
                  <w:vMerge w:val="restart"/>
                  <w:tcBorders>
                    <w:top w:val="single" w:color="000000" w:sz="4" w:space="0"/>
                    <w:left w:val="single" w:color="000000" w:sz="4" w:space="0"/>
                    <w:bottom w:val="single" w:color="000000" w:sz="4" w:space="0"/>
                    <w:right w:val="single" w:color="000000" w:sz="4" w:space="0"/>
                  </w:tcBorders>
                  <w:noWrap w:val="0"/>
                  <w:vAlign w:val="center"/>
                </w:tcPr>
                <w:p w14:paraId="72D69793">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5</w:t>
                  </w:r>
                </w:p>
              </w:tc>
            </w:tr>
            <w:tr w14:paraId="59AB0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4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B6AC65">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6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55A305">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129" w:type="pct"/>
                  <w:tcBorders>
                    <w:top w:val="single" w:color="000000" w:sz="4" w:space="0"/>
                    <w:left w:val="single" w:color="000000" w:sz="4" w:space="0"/>
                    <w:bottom w:val="single" w:color="000000" w:sz="4" w:space="0"/>
                    <w:right w:val="single" w:color="000000" w:sz="4" w:space="0"/>
                  </w:tcBorders>
                  <w:noWrap w:val="0"/>
                  <w:vAlign w:val="center"/>
                </w:tcPr>
                <w:p w14:paraId="7ED61F25">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在厂区上风向设置1个对照点、下风向设置3个监控点</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2BEF867C">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二氧化硫、氮氧化物、颗粒物、非甲烷总烃等</w:t>
                  </w:r>
                </w:p>
              </w:tc>
              <w:tc>
                <w:tcPr>
                  <w:tcW w:w="7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A1F2E4">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r>
            <w:tr w14:paraId="68EF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64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28BD8F">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2EE38AAB">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噪声</w:t>
                  </w:r>
                </w:p>
              </w:tc>
              <w:tc>
                <w:tcPr>
                  <w:tcW w:w="1129" w:type="pct"/>
                  <w:tcBorders>
                    <w:top w:val="single" w:color="000000" w:sz="4" w:space="0"/>
                    <w:left w:val="single" w:color="000000" w:sz="4" w:space="0"/>
                    <w:bottom w:val="single" w:color="000000" w:sz="4" w:space="0"/>
                    <w:right w:val="single" w:color="000000" w:sz="4" w:space="0"/>
                  </w:tcBorders>
                  <w:noWrap w:val="0"/>
                  <w:vAlign w:val="center"/>
                </w:tcPr>
                <w:p w14:paraId="626FAB24">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厂区厂界四周各设一个监测点位，共4个点位</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1D742A1B">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昼、夜等效连续A声级Leq（A）</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D6BA654">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5</w:t>
                  </w:r>
                </w:p>
              </w:tc>
            </w:tr>
            <w:tr w14:paraId="42DBC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4" w:hRule="atLeast"/>
              </w:trPr>
              <w:tc>
                <w:tcPr>
                  <w:tcW w:w="64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AB4672">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1475A051">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地下水</w:t>
                  </w:r>
                </w:p>
              </w:tc>
              <w:tc>
                <w:tcPr>
                  <w:tcW w:w="1129" w:type="pct"/>
                  <w:tcBorders>
                    <w:top w:val="single" w:color="000000" w:sz="4" w:space="0"/>
                    <w:left w:val="single" w:color="000000" w:sz="4" w:space="0"/>
                    <w:bottom w:val="single" w:color="000000" w:sz="4" w:space="0"/>
                    <w:right w:val="single" w:color="000000" w:sz="4" w:space="0"/>
                  </w:tcBorders>
                  <w:noWrap w:val="0"/>
                  <w:vAlign w:val="center"/>
                </w:tcPr>
                <w:p w14:paraId="5545D3DC">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项目污染源监控井设1个监测点位</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5B86734F">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色度、嗅和味、浑浊度、肉眼可见物、pH、总硬度、溶解性总固体、硫酸盐、氯化物、铁、锰、铜、锌、铝、挥发酚类、阴离⼦表面活性剂、耗氧量、氨氮、硫化物、钠、总⼤肠菌群、菌落总数、亚氯酸盐、硝酸盐、氰化物、氟化物、碘化物、汞、砷、硒、镉、铬（六价）、铅、三氯甲烷、四氯化碳、苯、甲苯等</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42BB257">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5</w:t>
                  </w:r>
                </w:p>
              </w:tc>
            </w:tr>
            <w:tr w14:paraId="02CF9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1" w:hRule="atLeast"/>
              </w:trPr>
              <w:tc>
                <w:tcPr>
                  <w:tcW w:w="64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827421">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57745D79">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飞灰监测</w:t>
                  </w:r>
                </w:p>
              </w:tc>
              <w:tc>
                <w:tcPr>
                  <w:tcW w:w="1129" w:type="pct"/>
                  <w:tcBorders>
                    <w:top w:val="single" w:color="000000" w:sz="4" w:space="0"/>
                    <w:left w:val="single" w:color="000000" w:sz="4" w:space="0"/>
                    <w:bottom w:val="single" w:color="000000" w:sz="4" w:space="0"/>
                    <w:right w:val="single" w:color="000000" w:sz="4" w:space="0"/>
                  </w:tcBorders>
                  <w:noWrap w:val="0"/>
                  <w:vAlign w:val="center"/>
                </w:tcPr>
                <w:p w14:paraId="601B36DE">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厂区按照标准抽取飞灰样品1个</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3CAB8424">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含水率、二噁英、汞、铜、锌、铅、镉、铍、钡、镍、砷、总铬、六价铬、硒等</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A82980A">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5</w:t>
                  </w:r>
                </w:p>
              </w:tc>
            </w:tr>
            <w:tr w14:paraId="6F9AB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2" w:hRule="atLeast"/>
              </w:trPr>
              <w:tc>
                <w:tcPr>
                  <w:tcW w:w="64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041DC7">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60496941">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土壤监测</w:t>
                  </w:r>
                </w:p>
              </w:tc>
              <w:tc>
                <w:tcPr>
                  <w:tcW w:w="1129" w:type="pct"/>
                  <w:tcBorders>
                    <w:top w:val="single" w:color="000000" w:sz="4" w:space="0"/>
                    <w:left w:val="single" w:color="000000" w:sz="4" w:space="0"/>
                    <w:bottom w:val="single" w:color="000000" w:sz="4" w:space="0"/>
                    <w:right w:val="single" w:color="000000" w:sz="4" w:space="0"/>
                  </w:tcBorders>
                  <w:noWrap w:val="0"/>
                  <w:vAlign w:val="center"/>
                </w:tcPr>
                <w:p w14:paraId="6E4B4B35">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厂区按照标准抽取土壤样品1个</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650C1897">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砷、镉、铬（六价）、铜、铅、汞、镍、二噁英等</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917440C">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5</w:t>
                  </w:r>
                </w:p>
              </w:tc>
            </w:tr>
            <w:tr w14:paraId="3172E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48EE77">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675660FE">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炉渣监测</w:t>
                  </w:r>
                </w:p>
              </w:tc>
              <w:tc>
                <w:tcPr>
                  <w:tcW w:w="1129" w:type="pct"/>
                  <w:tcBorders>
                    <w:top w:val="single" w:color="000000" w:sz="4" w:space="0"/>
                    <w:left w:val="single" w:color="000000" w:sz="4" w:space="0"/>
                    <w:bottom w:val="single" w:color="000000" w:sz="4" w:space="0"/>
                    <w:right w:val="single" w:color="000000" w:sz="4" w:space="0"/>
                  </w:tcBorders>
                  <w:noWrap w:val="0"/>
                  <w:vAlign w:val="center"/>
                </w:tcPr>
                <w:p w14:paraId="2D50827A">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厂区按照标准抽取炉渣样品1个</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7B97BF22">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热灼减率</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5AB3D17">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5</w:t>
                  </w:r>
                </w:p>
              </w:tc>
            </w:tr>
            <w:tr w14:paraId="691CF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9" w:hRule="atLeast"/>
              </w:trPr>
              <w:tc>
                <w:tcPr>
                  <w:tcW w:w="64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5F9C3C">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39A7BA72">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废水监测</w:t>
                  </w:r>
                </w:p>
              </w:tc>
              <w:tc>
                <w:tcPr>
                  <w:tcW w:w="1129" w:type="pct"/>
                  <w:tcBorders>
                    <w:top w:val="single" w:color="000000" w:sz="4" w:space="0"/>
                    <w:left w:val="single" w:color="000000" w:sz="4" w:space="0"/>
                    <w:bottom w:val="single" w:color="000000" w:sz="4" w:space="0"/>
                    <w:right w:val="single" w:color="000000" w:sz="4" w:space="0"/>
                  </w:tcBorders>
                  <w:noWrap w:val="0"/>
                  <w:vAlign w:val="center"/>
                </w:tcPr>
                <w:p w14:paraId="52CEC145">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污水进口、总排口各1个监测点位</w:t>
                  </w:r>
                </w:p>
              </w:tc>
              <w:tc>
                <w:tcPr>
                  <w:tcW w:w="1780" w:type="pct"/>
                  <w:tcBorders>
                    <w:top w:val="single" w:color="000000" w:sz="4" w:space="0"/>
                    <w:left w:val="single" w:color="000000" w:sz="4" w:space="0"/>
                    <w:bottom w:val="single" w:color="000000" w:sz="4" w:space="0"/>
                    <w:right w:val="single" w:color="000000" w:sz="4" w:space="0"/>
                  </w:tcBorders>
                  <w:noWrap w:val="0"/>
                  <w:vAlign w:val="center"/>
                </w:tcPr>
                <w:p w14:paraId="5BCC4228">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pH、色度、化学需氧量、生化需氧量、悬浮物、总氮、氨氮、总磷、粪大肠菌群数、总汞、总镉、总铬、六价铬、总砷、总铅等</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7CEE42D">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5</w:t>
                  </w:r>
                </w:p>
              </w:tc>
            </w:tr>
          </w:tbl>
          <w:p w14:paraId="3CEEE3F2">
            <w:pPr>
              <w:rPr>
                <w:highlight w:val="none"/>
              </w:rPr>
            </w:pPr>
          </w:p>
        </w:tc>
      </w:tr>
    </w:tbl>
    <w:p w14:paraId="4DF4144B">
      <w:pPr>
        <w:pStyle w:val="4"/>
        <w:outlineLvl w:val="2"/>
        <w:rPr>
          <w:highlight w:val="none"/>
        </w:rPr>
      </w:pPr>
      <w:r>
        <w:rPr>
          <w:b/>
          <w:sz w:val="28"/>
          <w:highlight w:val="none"/>
        </w:rPr>
        <w:t>3.2.3人员配置要求</w:t>
      </w:r>
    </w:p>
    <w:p w14:paraId="544A3A1C">
      <w:pPr>
        <w:pStyle w:val="4"/>
        <w:rPr>
          <w:highlight w:val="none"/>
        </w:rPr>
      </w:pPr>
      <w:r>
        <w:rPr>
          <w:highlight w:val="none"/>
        </w:rPr>
        <w:t>采购包1：</w:t>
      </w:r>
    </w:p>
    <w:p w14:paraId="6380FA57">
      <w:pPr>
        <w:pStyle w:val="4"/>
        <w:rPr>
          <w:highlight w:val="none"/>
        </w:rPr>
      </w:pPr>
      <w:r>
        <w:rPr>
          <w:highlight w:val="none"/>
        </w:rPr>
        <w:t>根据</w:t>
      </w:r>
      <w:r>
        <w:rPr>
          <w:rFonts w:hint="eastAsia"/>
          <w:highlight w:val="none"/>
          <w:lang w:val="en-US" w:eastAsia="zh-CN"/>
        </w:rPr>
        <w:t>采购内容</w:t>
      </w:r>
      <w:r>
        <w:rPr>
          <w:highlight w:val="none"/>
        </w:rPr>
        <w:t>自行配置</w:t>
      </w:r>
    </w:p>
    <w:p w14:paraId="2C964BCE">
      <w:pPr>
        <w:pStyle w:val="4"/>
        <w:outlineLvl w:val="2"/>
        <w:rPr>
          <w:highlight w:val="none"/>
        </w:rPr>
      </w:pPr>
      <w:r>
        <w:rPr>
          <w:b/>
          <w:sz w:val="28"/>
          <w:highlight w:val="none"/>
        </w:rPr>
        <w:t>3.2.4设施设备要求</w:t>
      </w:r>
    </w:p>
    <w:p w14:paraId="2E0216E3">
      <w:pPr>
        <w:pStyle w:val="4"/>
        <w:rPr>
          <w:highlight w:val="none"/>
        </w:rPr>
      </w:pPr>
      <w:r>
        <w:rPr>
          <w:highlight w:val="none"/>
        </w:rPr>
        <w:t>采购包1：</w:t>
      </w:r>
    </w:p>
    <w:p w14:paraId="08AE1615">
      <w:pPr>
        <w:pStyle w:val="4"/>
        <w:rPr>
          <w:highlight w:val="none"/>
        </w:rPr>
      </w:pPr>
      <w:r>
        <w:rPr>
          <w:highlight w:val="none"/>
        </w:rPr>
        <w:t>根据</w:t>
      </w:r>
      <w:r>
        <w:rPr>
          <w:rFonts w:hint="eastAsia"/>
          <w:highlight w:val="none"/>
          <w:lang w:val="en-US" w:eastAsia="zh-CN"/>
        </w:rPr>
        <w:t>采购内容</w:t>
      </w:r>
      <w:r>
        <w:rPr>
          <w:highlight w:val="none"/>
        </w:rPr>
        <w:t>自行配置</w:t>
      </w:r>
    </w:p>
    <w:p w14:paraId="71770353">
      <w:pPr>
        <w:pStyle w:val="4"/>
        <w:outlineLvl w:val="2"/>
        <w:rPr>
          <w:highlight w:val="none"/>
        </w:rPr>
      </w:pPr>
      <w:r>
        <w:rPr>
          <w:b/>
          <w:sz w:val="28"/>
          <w:highlight w:val="none"/>
        </w:rPr>
        <w:t>3.2.5其他要求</w:t>
      </w:r>
    </w:p>
    <w:p w14:paraId="537EC635">
      <w:pPr>
        <w:pStyle w:val="4"/>
        <w:rPr>
          <w:highlight w:val="none"/>
        </w:rPr>
      </w:pPr>
      <w:r>
        <w:rPr>
          <w:highlight w:val="none"/>
        </w:rPr>
        <w:t>采购包1：</w:t>
      </w:r>
    </w:p>
    <w:p w14:paraId="70B09F3D">
      <w:pPr>
        <w:pStyle w:val="4"/>
        <w:rPr>
          <w:highlight w:val="none"/>
        </w:rPr>
      </w:pPr>
      <w:r>
        <w:rPr>
          <w:highlight w:val="none"/>
        </w:rPr>
        <w:t>所属行业：其他未列明行业，其划分标准为从业人员300人以下的为中小微型企业。其中，从业人员100人及以上的为中型企业；从业人员10人及以上的为小型企业；从业人员10人以下的为微型企业。</w:t>
      </w:r>
    </w:p>
    <w:p w14:paraId="0866A47F">
      <w:pPr>
        <w:pStyle w:val="4"/>
        <w:outlineLvl w:val="2"/>
        <w:rPr>
          <w:highlight w:val="none"/>
        </w:rPr>
      </w:pPr>
      <w:r>
        <w:rPr>
          <w:b/>
          <w:sz w:val="28"/>
          <w:highlight w:val="none"/>
        </w:rPr>
        <w:t>3.3商务要求</w:t>
      </w:r>
    </w:p>
    <w:p w14:paraId="50DD30D1">
      <w:pPr>
        <w:pStyle w:val="4"/>
        <w:outlineLvl w:val="3"/>
        <w:rPr>
          <w:highlight w:val="none"/>
        </w:rPr>
      </w:pPr>
      <w:r>
        <w:rPr>
          <w:b/>
          <w:sz w:val="24"/>
          <w:highlight w:val="none"/>
        </w:rPr>
        <w:t>3.3.1服务期限</w:t>
      </w:r>
    </w:p>
    <w:p w14:paraId="0CA3051A">
      <w:pPr>
        <w:pStyle w:val="4"/>
        <w:rPr>
          <w:highlight w:val="none"/>
        </w:rPr>
      </w:pPr>
      <w:r>
        <w:rPr>
          <w:highlight w:val="none"/>
        </w:rPr>
        <w:t>采购包1：</w:t>
      </w:r>
    </w:p>
    <w:p w14:paraId="7079E7C2">
      <w:pPr>
        <w:pStyle w:val="4"/>
        <w:rPr>
          <w:rFonts w:hint="default" w:eastAsiaTheme="minorEastAsia"/>
          <w:highlight w:val="none"/>
          <w:lang w:val="en-US" w:eastAsia="zh-CN"/>
        </w:rPr>
      </w:pPr>
      <w:r>
        <w:rPr>
          <w:rFonts w:hint="eastAsia"/>
          <w:highlight w:val="none"/>
          <w:lang w:val="en-US" w:eastAsia="zh-CN"/>
        </w:rPr>
        <w:t>90日历天</w:t>
      </w:r>
    </w:p>
    <w:p w14:paraId="76E5CE09">
      <w:pPr>
        <w:pStyle w:val="4"/>
        <w:outlineLvl w:val="3"/>
        <w:rPr>
          <w:highlight w:val="none"/>
        </w:rPr>
      </w:pPr>
      <w:r>
        <w:rPr>
          <w:b/>
          <w:sz w:val="24"/>
          <w:highlight w:val="none"/>
        </w:rPr>
        <w:t>3.3.2服务地点</w:t>
      </w:r>
    </w:p>
    <w:p w14:paraId="00745CE0">
      <w:pPr>
        <w:pStyle w:val="4"/>
        <w:rPr>
          <w:highlight w:val="none"/>
        </w:rPr>
      </w:pPr>
      <w:r>
        <w:rPr>
          <w:highlight w:val="none"/>
        </w:rPr>
        <w:t>采购包1：</w:t>
      </w:r>
    </w:p>
    <w:p w14:paraId="3BA2A9C0">
      <w:pPr>
        <w:pStyle w:val="4"/>
        <w:rPr>
          <w:highlight w:val="none"/>
        </w:rPr>
      </w:pPr>
      <w:r>
        <w:rPr>
          <w:rFonts w:hint="eastAsia"/>
          <w:highlight w:val="none"/>
          <w:lang w:val="en-US" w:eastAsia="zh-CN"/>
        </w:rPr>
        <w:t>西安市生活垃圾分类服务中心</w:t>
      </w:r>
      <w:r>
        <w:rPr>
          <w:rFonts w:hint="eastAsia"/>
          <w:highlight w:val="none"/>
        </w:rPr>
        <w:t>甲方指定地点</w:t>
      </w:r>
    </w:p>
    <w:p w14:paraId="40674000">
      <w:pPr>
        <w:pStyle w:val="4"/>
        <w:outlineLvl w:val="3"/>
        <w:rPr>
          <w:highlight w:val="none"/>
        </w:rPr>
      </w:pPr>
      <w:r>
        <w:rPr>
          <w:b/>
          <w:sz w:val="24"/>
          <w:highlight w:val="none"/>
        </w:rPr>
        <w:t>3.3.3考核（验收）标准和方法</w:t>
      </w:r>
    </w:p>
    <w:p w14:paraId="25606BD7">
      <w:pPr>
        <w:pStyle w:val="4"/>
        <w:rPr>
          <w:highlight w:val="none"/>
        </w:rPr>
      </w:pPr>
      <w:r>
        <w:rPr>
          <w:highlight w:val="none"/>
        </w:rPr>
        <w:t>采购包1：</w:t>
      </w:r>
    </w:p>
    <w:p w14:paraId="00BE9C3A">
      <w:pPr>
        <w:pStyle w:val="4"/>
        <w:rPr>
          <w:highlight w:val="none"/>
        </w:rPr>
      </w:pPr>
      <w:r>
        <w:rPr>
          <w:rFonts w:hint="eastAsia"/>
          <w:highlight w:val="none"/>
        </w:rPr>
        <w:t>由采购人和成交供应商共同对项目进行整体验收。其内容包括是否按照采购人要求进行服务、是否在规定时间内服务完毕、服务工作是否存在失误。验收合格后，填写政府采购项目验收单作为对本服务的最终认可。服务商向采购人提供服务过程中的所有相关资料，以便采购人日后管理。验收依据为竞争性磋商文件、磋商响应文件、澄清表（函）、政府采购合同及附件文本、国家相应的标准、规范。</w:t>
      </w:r>
    </w:p>
    <w:p w14:paraId="1693AD03">
      <w:pPr>
        <w:pStyle w:val="4"/>
        <w:outlineLvl w:val="3"/>
        <w:rPr>
          <w:highlight w:val="none"/>
        </w:rPr>
      </w:pPr>
      <w:r>
        <w:rPr>
          <w:b/>
          <w:sz w:val="24"/>
          <w:highlight w:val="none"/>
        </w:rPr>
        <w:t>3.3.4支付方式</w:t>
      </w:r>
    </w:p>
    <w:p w14:paraId="21E19652">
      <w:pPr>
        <w:pStyle w:val="4"/>
        <w:rPr>
          <w:highlight w:val="none"/>
        </w:rPr>
      </w:pPr>
      <w:r>
        <w:rPr>
          <w:highlight w:val="none"/>
        </w:rPr>
        <w:t>采购包1：</w:t>
      </w:r>
    </w:p>
    <w:p w14:paraId="74F8EAD3">
      <w:pPr>
        <w:pStyle w:val="4"/>
        <w:rPr>
          <w:highlight w:val="none"/>
        </w:rPr>
      </w:pPr>
      <w:r>
        <w:rPr>
          <w:highlight w:val="none"/>
        </w:rPr>
        <w:t>分期付款</w:t>
      </w:r>
    </w:p>
    <w:p w14:paraId="3E8B92A8">
      <w:pPr>
        <w:pStyle w:val="4"/>
        <w:outlineLvl w:val="3"/>
        <w:rPr>
          <w:highlight w:val="none"/>
        </w:rPr>
      </w:pPr>
      <w:r>
        <w:rPr>
          <w:b/>
          <w:sz w:val="24"/>
          <w:highlight w:val="none"/>
        </w:rPr>
        <w:t>3.3.5支付约定</w:t>
      </w:r>
    </w:p>
    <w:p w14:paraId="6B8C9362">
      <w:pPr>
        <w:pStyle w:val="4"/>
        <w:rPr>
          <w:highlight w:val="none"/>
        </w:rPr>
      </w:pPr>
      <w:r>
        <w:rPr>
          <w:highlight w:val="none"/>
        </w:rPr>
        <w:t>采购包1：</w:t>
      </w:r>
    </w:p>
    <w:p w14:paraId="50669983">
      <w:pPr>
        <w:pStyle w:val="4"/>
        <w:rPr>
          <w:rFonts w:hint="eastAsia" w:eastAsiaTheme="minorEastAsia"/>
          <w:highlight w:val="none"/>
          <w:lang w:eastAsia="zh-CN"/>
        </w:rPr>
      </w:pPr>
      <w:r>
        <w:rPr>
          <w:highlight w:val="none"/>
        </w:rPr>
        <w:t xml:space="preserve">付款条件说明： </w:t>
      </w:r>
      <w:r>
        <w:rPr>
          <w:rFonts w:hint="eastAsia"/>
          <w:highlight w:val="none"/>
        </w:rPr>
        <w:t>签订合同后支付合同金额的</w:t>
      </w:r>
      <w:r>
        <w:rPr>
          <w:rFonts w:hint="eastAsia"/>
          <w:highlight w:val="none"/>
          <w:lang w:val="en-US" w:eastAsia="zh-CN"/>
        </w:rPr>
        <w:t>5</w:t>
      </w:r>
      <w:r>
        <w:rPr>
          <w:rFonts w:hint="eastAsia"/>
          <w:highlight w:val="none"/>
        </w:rPr>
        <w:t>0%</w:t>
      </w:r>
      <w:r>
        <w:rPr>
          <w:rFonts w:hint="eastAsia"/>
          <w:highlight w:val="none"/>
          <w:lang w:eastAsia="zh-CN"/>
        </w:rPr>
        <w:t>；</w:t>
      </w:r>
    </w:p>
    <w:p w14:paraId="4AB0CA7D">
      <w:pPr>
        <w:pStyle w:val="4"/>
        <w:outlineLvl w:val="3"/>
        <w:rPr>
          <w:b/>
          <w:sz w:val="24"/>
          <w:highlight w:val="none"/>
        </w:rPr>
      </w:pPr>
      <w:r>
        <w:rPr>
          <w:highlight w:val="none"/>
        </w:rPr>
        <w:t xml:space="preserve">付款条件说明： </w:t>
      </w:r>
      <w:r>
        <w:rPr>
          <w:rFonts w:hint="eastAsia"/>
          <w:highlight w:val="none"/>
          <w:lang w:val="en-US" w:eastAsia="zh-CN"/>
        </w:rPr>
        <w:t>检测完成并提交检测报告后</w:t>
      </w:r>
      <w:r>
        <w:rPr>
          <w:rFonts w:hint="eastAsia"/>
          <w:highlight w:val="none"/>
        </w:rPr>
        <w:t>，一次性支付</w:t>
      </w:r>
      <w:r>
        <w:rPr>
          <w:rFonts w:hint="eastAsia"/>
          <w:highlight w:val="none"/>
          <w:lang w:val="en-US" w:eastAsia="zh-CN"/>
        </w:rPr>
        <w:t>剩余全部</w:t>
      </w:r>
      <w:r>
        <w:rPr>
          <w:rFonts w:hint="eastAsia"/>
          <w:highlight w:val="none"/>
        </w:rPr>
        <w:t>费用。</w:t>
      </w:r>
    </w:p>
    <w:p w14:paraId="17453386">
      <w:pPr>
        <w:pStyle w:val="4"/>
        <w:outlineLvl w:val="3"/>
        <w:rPr>
          <w:highlight w:val="none"/>
        </w:rPr>
      </w:pPr>
      <w:r>
        <w:rPr>
          <w:b/>
          <w:sz w:val="24"/>
          <w:highlight w:val="none"/>
        </w:rPr>
        <w:t>3.3.6违约责任及解决争议的方法</w:t>
      </w:r>
    </w:p>
    <w:p w14:paraId="6DC58DB3">
      <w:pPr>
        <w:pStyle w:val="4"/>
        <w:rPr>
          <w:highlight w:val="none"/>
        </w:rPr>
      </w:pPr>
      <w:r>
        <w:rPr>
          <w:highlight w:val="none"/>
        </w:rPr>
        <w:t>采购包1：</w:t>
      </w:r>
    </w:p>
    <w:p w14:paraId="77974DC6">
      <w:pPr>
        <w:pStyle w:val="4"/>
        <w:rPr>
          <w:rFonts w:hint="eastAsia"/>
          <w:highlight w:val="none"/>
        </w:rPr>
      </w:pPr>
      <w:r>
        <w:rPr>
          <w:rFonts w:hint="eastAsia"/>
          <w:highlight w:val="none"/>
          <w:lang w:val="en-US" w:eastAsia="zh-CN"/>
        </w:rPr>
        <w:t>1</w:t>
      </w:r>
      <w:r>
        <w:rPr>
          <w:rFonts w:hint="eastAsia"/>
          <w:highlight w:val="none"/>
        </w:rPr>
        <w:t>、乙方应按合同约定时间完成各阶段合同义务，若发生延迟，乙方应向甲方支付合同总价款10%的违约金，且甲方有权单方解除本合同。但甲方书面同意延迟或因甲方原因导致延迟的，乙方不承担违约责任。</w:t>
      </w:r>
    </w:p>
    <w:p w14:paraId="28AD18AD">
      <w:pPr>
        <w:pStyle w:val="4"/>
        <w:rPr>
          <w:rFonts w:hint="eastAsia"/>
          <w:highlight w:val="none"/>
        </w:rPr>
      </w:pPr>
      <w:r>
        <w:rPr>
          <w:rFonts w:hint="eastAsia"/>
          <w:highlight w:val="none"/>
          <w:lang w:val="en-US" w:eastAsia="zh-CN"/>
        </w:rPr>
        <w:t>2</w:t>
      </w:r>
      <w:r>
        <w:rPr>
          <w:rFonts w:hint="eastAsia"/>
          <w:highlight w:val="none"/>
        </w:rPr>
        <w:t>、如甲方未能在本合同约定时间内支付款项，每延迟一天，甲方须向乙方承担迟延支付费用的0.5‰作为违约金，并将服务周期予以相应顺延。</w:t>
      </w:r>
    </w:p>
    <w:p w14:paraId="7D138458">
      <w:pPr>
        <w:pStyle w:val="4"/>
        <w:rPr>
          <w:rFonts w:hint="eastAsia"/>
          <w:highlight w:val="none"/>
        </w:rPr>
      </w:pPr>
      <w:r>
        <w:rPr>
          <w:rFonts w:hint="eastAsia"/>
          <w:highlight w:val="none"/>
          <w:lang w:val="en-US" w:eastAsia="zh-CN"/>
        </w:rPr>
        <w:t>3</w:t>
      </w:r>
      <w:r>
        <w:rPr>
          <w:rFonts w:hint="eastAsia"/>
          <w:highlight w:val="none"/>
        </w:rPr>
        <w:t>、本次活动因乙方原因导致侵害甲方或第三方合法权益的，应由乙方承担相应赔偿责任，并向甲方支付合同总价款10%的违约金。</w:t>
      </w:r>
    </w:p>
    <w:p w14:paraId="506F55D5">
      <w:pPr>
        <w:pStyle w:val="4"/>
        <w:rPr>
          <w:rFonts w:hint="eastAsia"/>
          <w:highlight w:val="none"/>
        </w:rPr>
      </w:pPr>
      <w:r>
        <w:rPr>
          <w:rFonts w:hint="eastAsia"/>
          <w:highlight w:val="none"/>
          <w:lang w:val="en-US" w:eastAsia="zh-CN"/>
        </w:rPr>
        <w:t>4</w:t>
      </w:r>
      <w:r>
        <w:rPr>
          <w:rFonts w:hint="eastAsia"/>
          <w:highlight w:val="none"/>
        </w:rPr>
        <w:t>、若乙方未经甲方同意泄露本合同约定的任何秘密信息的，乙方应按照合同总价款的10%向甲方支付违约金，并赔偿因此给甲方造成的损失。</w:t>
      </w:r>
    </w:p>
    <w:p w14:paraId="14A6255F">
      <w:pPr>
        <w:pStyle w:val="4"/>
        <w:rPr>
          <w:highlight w:val="none"/>
        </w:rPr>
      </w:pPr>
      <w:r>
        <w:rPr>
          <w:rFonts w:hint="eastAsia"/>
          <w:highlight w:val="none"/>
          <w:lang w:val="en-US" w:eastAsia="zh-CN"/>
        </w:rPr>
        <w:t>5</w:t>
      </w:r>
      <w:r>
        <w:rPr>
          <w:rFonts w:hint="eastAsia"/>
          <w:highlight w:val="none"/>
        </w:rPr>
        <w:t>、乙方保证向甲方开具发票的真实性、合法性，若乙方向甲方开具的发票存在真实性、合法性问题，给甲方造成损失的，乙方应按合同总价款的10%向甲方支付违约金，违约金不足以弥补损失的，乙方还应承担相应赔偿责任。</w:t>
      </w:r>
    </w:p>
    <w:p w14:paraId="523115D5">
      <w:pPr>
        <w:pStyle w:val="4"/>
        <w:outlineLvl w:val="2"/>
        <w:rPr>
          <w:highlight w:val="none"/>
        </w:rPr>
      </w:pPr>
      <w:r>
        <w:rPr>
          <w:b/>
          <w:sz w:val="28"/>
          <w:highlight w:val="none"/>
        </w:rPr>
        <w:t>3.4其他要求</w:t>
      </w:r>
    </w:p>
    <w:p w14:paraId="0D696283">
      <w:r>
        <w:rPr>
          <w:highlight w:val="none"/>
        </w:rPr>
        <w:t>1.成交供应商在领取成交通知书前，须向采购代理机构提供纸质版响应文件3套，且提供的响应文件必须与在陕西省政府采购综合管理平台的项目电子化交易系统中递交的电子响应文件内容一致，纸质版响应文件必须装订成册签字盖章。 2.如磋商文件中融资相关内容与新政策要求有出入，按照最新要求执行。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783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2026-05-13T07:04:33Z</dcterms:created>
  <dc:creator>Administrator</dc:creator>
  <cp:lastModifiedBy>孙敬腾</cp:lastModifiedBy>
  <dcterms:modified xsi:type="dcterms:W3CDTF">2026-05-13T07:04:38Z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eyJoZGlkIjoiNjIxMDI2NjM3MzgyYzQ0NTJmZDVhODRjOWE1OTQyYWMiLCJ1c2VySWQiOiI1MTUxOTcyNzMifQ==</vt:lpwstr>
  </property>
  <property fmtid="{D5CDD505-2E9C-101B-9397-08002B2CF9AE}" pid="4" name="ICV">
    <vt:lpwstr>BF74C6ECA1C64E7F865038E74E6FB34C_12</vt:lpwstr>
  </property>
</Properties>
</file>