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版本号：241218001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医疗责任保险采购项目</w:t>
      </w:r>
    </w:p>
    <w:p>
      <w:pPr>
        <w:pStyle w:val="null3"/>
        <w:jc w:val="center"/>
        <w:outlineLvl w:val="2"/>
      </w:pPr>
      <w:r>
        <w:rPr>
          <w:sz w:val="28"/>
          <w:b/>
        </w:rPr>
        <w:t>采购项目编号：</w:t>
      </w:r>
      <w:r>
        <w:rPr>
          <w:sz w:val="28"/>
          <w:b/>
        </w:rPr>
        <w:t>SDZC2024-315</w:t>
      </w:r>
      <w:r>
        <w:br/>
      </w:r>
      <w:r>
        <w:br/>
      </w:r>
      <w:r>
        <w:br/>
      </w:r>
    </w:p>
    <w:p>
      <w:pPr>
        <w:pStyle w:val="null3"/>
        <w:jc w:val="center"/>
        <w:outlineLvl w:val="2"/>
      </w:pPr>
      <w:r>
        <w:rPr>
          <w:sz w:val="28"/>
          <w:b/>
        </w:rPr>
        <w:t>西安市阎良区人民医院</w:t>
      </w:r>
    </w:p>
    <w:p>
      <w:pPr>
        <w:pStyle w:val="null3"/>
        <w:jc w:val="center"/>
        <w:outlineLvl w:val="2"/>
      </w:pPr>
      <w:r>
        <w:rPr>
          <w:sz w:val="28"/>
          <w:b/>
        </w:rPr>
        <w:t>陕西上德招标有限公司</w:t>
      </w:r>
      <w:r>
        <w:rPr>
          <w:sz w:val="28"/>
          <w:b/>
        </w:rPr>
        <w:t>共同编制</w:t>
      </w:r>
    </w:p>
    <w:p>
      <w:pPr>
        <w:pStyle w:val="null3"/>
        <w:jc w:val="center"/>
        <w:outlineLvl w:val="2"/>
      </w:pPr>
      <w:r>
        <w:rPr>
          <w:sz w:val="28"/>
          <w:b/>
        </w:rPr>
        <w:t>2024年12月19日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陕西上德招标有限公司</w:t>
      </w:r>
      <w:r>
        <w:rPr/>
        <w:t>（以下简称“代理机构”）受</w:t>
      </w:r>
      <w:r>
        <w:rPr/>
        <w:t>西安市阎良区人民医院</w:t>
      </w:r>
      <w:r>
        <w:rPr/>
        <w:t>委托，拟对</w:t>
      </w:r>
      <w:r>
        <w:rPr/>
        <w:t>医疗责任保险采购项目</w:t>
      </w:r>
      <w:r>
        <w:rPr/>
        <w:t>采用竞争性磋商采购方式进行采购，兹邀请供应商参加本项目的竞争性磋商。</w:t>
      </w:r>
    </w:p>
    <w:p>
      <w:pPr>
        <w:pStyle w:val="null3"/>
        <w:outlineLvl w:val="2"/>
      </w:pPr>
      <w:r>
        <w:rPr>
          <w:sz w:val="28"/>
          <w:b/>
        </w:rPr>
        <w:t>一、项目编号：</w:t>
      </w:r>
      <w:r>
        <w:rPr>
          <w:sz w:val="28"/>
          <w:b/>
        </w:rPr>
        <w:t>SDZC2024-315</w:t>
      </w:r>
    </w:p>
    <w:p>
      <w:pPr>
        <w:pStyle w:val="null3"/>
        <w:outlineLvl w:val="2"/>
      </w:pPr>
      <w:r>
        <w:rPr>
          <w:sz w:val="28"/>
          <w:b/>
        </w:rPr>
        <w:t>二、项目名称：</w:t>
      </w:r>
      <w:r>
        <w:rPr>
          <w:sz w:val="28"/>
          <w:b/>
        </w:rPr>
        <w:t>医疗责任保险采购项目</w:t>
      </w:r>
    </w:p>
    <w:p>
      <w:pPr>
        <w:pStyle w:val="null3"/>
        <w:outlineLvl w:val="2"/>
      </w:pPr>
      <w:r>
        <w:rPr>
          <w:sz w:val="28"/>
          <w:b/>
        </w:rPr>
        <w:t>三、磋商项目简介</w:t>
      </w:r>
    </w:p>
    <w:p>
      <w:pPr>
        <w:pStyle w:val="null3"/>
        <w:ind w:firstLine="480"/>
      </w:pPr>
      <w:r>
        <w:rPr/>
        <w:t>医疗责任保险被视为一种市场化的风险分担转移机制、互助共济机制和社会管理机制，在保障医患双方的合法权益、防范化解医疗纠纷、构建和谐医患关系方面具有积极意义和重要作用。通过保险这一“第三方”力量，有效结合医疗纠纷调处机制，有利于保障医疗机构正常医疗秩序；同时，利用保险价格杠杆的激励约束作用，引导医疗机构转变观念，提高医疗风险防范意识，促进医疗机构加强内部管理，提高医疗服务质量和管理水平。</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采购包1（医疗责任保险采购项目）：属于专门面向中小企业采购。</w:t>
      </w:r>
    </w:p>
    <w:p>
      <w:pPr>
        <w:pStyle w:val="null3"/>
        <w:ind w:firstLine="480"/>
      </w:pPr>
      <w:r>
        <w:rPr/>
        <w:t>（三）本项目的特定资格要求：</w:t>
      </w:r>
    </w:p>
    <w:p>
      <w:pPr>
        <w:pStyle w:val="null3"/>
      </w:pPr>
      <w:r>
        <w:rPr/>
        <w:t>采购包1：</w:t>
      </w:r>
    </w:p>
    <w:p>
      <w:pPr>
        <w:pStyle w:val="null3"/>
      </w:pPr>
      <w:r>
        <w:rPr/>
        <w:t>1、提供投标人合法注册的法人或其他组织的营业执照等证明文件或自然人的身份证明：提供投标人合法注册的法人或其他组织的营业执照等证明文件或自然人的身份证明；</w:t>
      </w:r>
    </w:p>
    <w:p>
      <w:pPr>
        <w:pStyle w:val="null3"/>
      </w:pPr>
      <w:r>
        <w:rPr/>
        <w:t>2、财务状况报告：财务状况报告：提供具有财务审计资质单位出具的2022年度或2023年度财务报告（成立时间至开标时间不足一年的可提供成立后任意时段的资产负债表）或开标前六个月内其基本账户银行出具的资信证明或政府采购信用担保机构出具的担保函；</w:t>
      </w:r>
    </w:p>
    <w:p>
      <w:pPr>
        <w:pStyle w:val="null3"/>
      </w:pPr>
      <w:r>
        <w:rPr/>
        <w:t>3、税收缴纳证明：税收缴纳证明：提供截止至开标时间前一年内任意一个月的缴纳凭据（增值税、企业所得税至少提供一种，依法免税的供应商应提供相关文件证明）；</w:t>
      </w:r>
    </w:p>
    <w:p>
      <w:pPr>
        <w:pStyle w:val="null3"/>
      </w:pPr>
      <w:r>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t>5、具有履行本合同所必需的设备和专业技术能力的说明及承诺：提供具有履行本合同所必需的设备和专业技术能力的说明及承诺（提供书面说明及承诺，加盖供应商公章）；</w:t>
      </w:r>
    </w:p>
    <w:p>
      <w:pPr>
        <w:pStyle w:val="null3"/>
      </w:pPr>
      <w:r>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投标文件格式）；</w:t>
      </w:r>
    </w:p>
    <w:p>
      <w:pPr>
        <w:pStyle w:val="null3"/>
      </w:pPr>
      <w:r>
        <w:rPr/>
        <w:t>8、经营医疗责任保险业务资格：供应商必须具有经营医疗责任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p>
      <w:pPr>
        <w:pStyle w:val="null3"/>
      </w:pPr>
      <w:r>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投标截止日当天在“信用中国”网站和中国政府采购网站进行查询，截图留档；如网站无供应商信息的，供应商须提供相关证明资料或书面声明）；</w:t>
      </w:r>
    </w:p>
    <w:p>
      <w:pPr>
        <w:pStyle w:val="null3"/>
      </w:pPr>
      <w:r>
        <w:rPr/>
        <w:t>10、控股关系查询：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西安市阎良区人民医院</w:t>
      </w:r>
    </w:p>
    <w:p>
      <w:pPr>
        <w:pStyle w:val="null3"/>
      </w:pPr>
      <w:r>
        <w:rPr/>
        <w:t xml:space="preserve"> 地址： </w:t>
      </w:r>
      <w:r>
        <w:rPr/>
        <w:t>胜利街康复巷9号</w:t>
      </w:r>
    </w:p>
    <w:p>
      <w:pPr>
        <w:pStyle w:val="null3"/>
      </w:pPr>
      <w:r>
        <w:rPr/>
        <w:t xml:space="preserve"> 邮编： </w:t>
      </w:r>
      <w:r>
        <w:rPr/>
        <w:t>710089</w:t>
      </w:r>
    </w:p>
    <w:p>
      <w:pPr>
        <w:pStyle w:val="null3"/>
      </w:pPr>
      <w:r>
        <w:rPr/>
        <w:t xml:space="preserve"> 联系人： </w:t>
      </w:r>
      <w:r>
        <w:rPr/>
        <w:t>西安市阎良区人民医院经办</w:t>
      </w:r>
    </w:p>
    <w:p>
      <w:pPr>
        <w:pStyle w:val="null3"/>
      </w:pPr>
      <w:r>
        <w:rPr/>
        <w:t xml:space="preserve"> 联系电话： </w:t>
      </w:r>
      <w:r>
        <w:rPr/>
        <w:t>15191481641</w:t>
      </w:r>
    </w:p>
    <w:p>
      <w:pPr>
        <w:pStyle w:val="null3"/>
        <w:outlineLvl w:val="3"/>
      </w:pPr>
      <w:r>
        <w:rPr>
          <w:sz w:val="24"/>
          <w:b/>
        </w:rPr>
        <w:t>代理机构：</w:t>
      </w:r>
      <w:r>
        <w:rPr>
          <w:sz w:val="24"/>
          <w:b/>
        </w:rPr>
        <w:t>陕西上德招标有限公司</w:t>
      </w:r>
    </w:p>
    <w:p>
      <w:pPr>
        <w:pStyle w:val="null3"/>
      </w:pPr>
      <w:r>
        <w:rPr/>
        <w:t xml:space="preserve"> 地址： </w:t>
      </w:r>
      <w:r>
        <w:rPr/>
        <w:t>西安市经开区凤城八路正尚国际金融广场A座7层703（张家堡转盘东南角）</w:t>
      </w:r>
    </w:p>
    <w:p>
      <w:pPr>
        <w:pStyle w:val="null3"/>
      </w:pPr>
      <w:r>
        <w:rPr/>
        <w:t xml:space="preserve"> 邮编： </w:t>
      </w:r>
      <w:r>
        <w:rPr/>
        <w:t>710000</w:t>
      </w:r>
    </w:p>
    <w:p>
      <w:pPr>
        <w:pStyle w:val="null3"/>
      </w:pPr>
      <w:r>
        <w:rPr/>
        <w:t xml:space="preserve"> 联系人： </w:t>
      </w:r>
      <w:r>
        <w:rPr/>
        <w:t>郅龙（17号工位）、张爱君、魏蕾</w:t>
      </w:r>
    </w:p>
    <w:p>
      <w:pPr>
        <w:pStyle w:val="null3"/>
      </w:pPr>
      <w:r>
        <w:rPr/>
        <w:t xml:space="preserve"> 联系电话： </w:t>
      </w:r>
      <w:r>
        <w:rPr/>
        <w:t>029-89293231转8017</w:t>
      </w:r>
    </w:p>
    <w:p>
      <w:pPr>
        <w:pStyle w:val="null3"/>
        <w:outlineLvl w:val="3"/>
      </w:pPr>
      <w:r>
        <w:rPr>
          <w:sz w:val="24"/>
          <w:b/>
        </w:rPr>
        <w:t>采购监督机构：</w:t>
      </w:r>
      <w:r>
        <w:rPr>
          <w:sz w:val="24"/>
          <w:b/>
        </w:rPr>
        <w:t>西安市阎良区政府采购管理股</w:t>
      </w:r>
    </w:p>
    <w:p>
      <w:pPr>
        <w:pStyle w:val="null3"/>
        <w:ind w:firstLine="480"/>
      </w:pPr>
      <w:r>
        <w:rPr/>
        <w:t>联系人：</w:t>
      </w:r>
      <w:r>
        <w:rPr/>
        <w:t>郝智军</w:t>
      </w:r>
    </w:p>
    <w:p>
      <w:pPr>
        <w:pStyle w:val="null3"/>
        <w:ind w:firstLine="480"/>
      </w:pPr>
      <w:r>
        <w:rPr/>
        <w:t>联系电话：</w:t>
      </w:r>
      <w:r>
        <w:rPr/>
        <w:t>86204415</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采购包1：613,160.00元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应采用转账、刷卡、现金形式缴纳。2、汇款账户：1.开户行名称：陕西上德招标有限公司 2.开 户 行：西安银行股份有限公司文景路支行 3.账 号：707011510000013522 财务部联系方式：029-86673953、029-86518381、029-89299829、029-89293231 转8033 备注：投标人在汇款（招标代理服务费）时须注明项目编号+项目简称</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西安市阎良区人民医院</w:t>
      </w:r>
      <w:r>
        <w:rPr/>
        <w:t>和</w:t>
      </w:r>
      <w:r>
        <w:rPr/>
        <w:t>陕西上德招标有限公司</w:t>
      </w:r>
      <w:r>
        <w:rPr/>
        <w:t>享有。对磋商文件中供应商参加本次政府采购活动应当具备的条件，磋商项目技术、服务、商务及其他要求，评审细则及标准由</w:t>
      </w:r>
      <w:r>
        <w:rPr/>
        <w:t>西安市阎良区人民医院</w:t>
      </w:r>
      <w:r>
        <w:rPr/>
        <w:t>负责解释。除上述磋商文件内容，其他内容由</w:t>
      </w:r>
      <w:r>
        <w:rPr/>
        <w:t>陕西上德招标有限公司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西安市阎良区人民医院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陕西上德招标有限公司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陕西上德招标有限公司</w:t>
      </w:r>
      <w:r>
        <w:rPr/>
        <w:t xml:space="preserve"> 负责答复；供应商对除采购需求外的采购文件的询问、质疑由</w:t>
      </w:r>
      <w:r>
        <w:rPr/>
        <w:t>陕西上德招标有限公司</w:t>
      </w:r>
      <w:r>
        <w:rPr/>
        <w:t xml:space="preserve"> 负责答复；供应商对采购过程、采购结果的询问、质疑由 </w:t>
      </w:r>
      <w:r>
        <w:rPr/>
        <w:t>陕西上德招标有限公司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联系人：郅龙（17号工位）</w:t>
      </w:r>
    </w:p>
    <w:p>
      <w:pPr>
        <w:pStyle w:val="null3"/>
      </w:pPr>
      <w:r>
        <w:rPr/>
        <w:t>联系电话：029-86673953、029-86518381、029-89299829、029-89293231转8017</w:t>
      </w:r>
    </w:p>
    <w:p>
      <w:pPr>
        <w:pStyle w:val="null3"/>
      </w:pPr>
      <w:r>
        <w:rPr/>
        <w:t>地址：西安市经开区凤城八路正尚国际金融广场A座7层703（张家堡转盘东南角）</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医疗责任保险被视为一种市场化的风险分担转移机制、互助共济机制和社会管理机制，在保障医患双方的合法权益、防范化解医疗纠纷、构建和谐医患关系方面具有积极意义和重要作用。通过保险这一“第三方”力量，有效结合医疗纠纷调处机制，有利于保障医疗机构正常医疗秩序；同时，利用保险价格杠杆的激励约束作用，引导医疗机构转变观念，提高医疗风险防范意识，促进医疗机构加强内部管理，提高医疗服务质量和管理水平。</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613,160.00</w:t>
      </w:r>
    </w:p>
    <w:p>
      <w:pPr>
        <w:pStyle w:val="null3"/>
      </w:pPr>
      <w:r>
        <w:rPr/>
        <w:t>采购包最高限价（元）: 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613160.00</w:t>
            </w:r>
          </w:p>
        </w:tc>
        <w:tc>
          <w:tcPr>
            <w:tcW w:type="dxa" w:w="831"/>
          </w:tcPr>
          <w:p>
            <w:pPr>
              <w:pStyle w:val="null3"/>
              <w:jc w:val="right"/>
            </w:pPr>
            <w:r>
              <w:rPr/>
              <w:t>1.00</w:t>
            </w:r>
          </w:p>
        </w:tc>
        <w:tc>
          <w:tcPr>
            <w:tcW w:type="dxa" w:w="831"/>
          </w:tcPr>
          <w:p>
            <w:pPr>
              <w:pStyle w:val="null3"/>
              <w:jc w:val="right"/>
            </w:pPr>
            <w:r>
              <w:rPr/>
              <w:t>613,160.00</w:t>
            </w:r>
          </w:p>
        </w:tc>
        <w:tc>
          <w:tcPr>
            <w:tcW w:type="dxa" w:w="831"/>
          </w:tcPr>
          <w:p>
            <w:pPr>
              <w:pStyle w:val="null3"/>
            </w:pPr>
            <w:r>
              <w:rPr/>
              <w:t>个</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标的名称：613160.00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both"/>
            </w:pPr>
            <w:r>
              <w:rPr/>
              <w:t>项目概况：</w:t>
            </w:r>
          </w:p>
          <w:p>
            <w:pPr>
              <w:pStyle w:val="null3"/>
            </w:pPr>
            <w:r>
              <w:rPr/>
              <w:t>本项目为阎良区人民医院医疗责任保险项目，医院现有床位：500张；年诊疗人次数： 400000人；年出院人次数： 23165 人；年手术例数：3767例；医生：175人；护士和医技人员：355人。</w:t>
            </w:r>
          </w:p>
          <w:p>
            <w:pPr>
              <w:pStyle w:val="null3"/>
            </w:pPr>
            <w:r>
              <w:rPr/>
              <w:t>一、投保险种：医疗责任保险</w:t>
            </w:r>
          </w:p>
          <w:p>
            <w:pPr>
              <w:pStyle w:val="null3"/>
            </w:pPr>
            <w:r>
              <w:rPr/>
              <w:t xml:space="preserve">二、责任限额  </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t>每年累计责任限额</w:t>
                  </w:r>
                </w:p>
              </w:tc>
              <w:tc>
                <w:tcPr>
                  <w:tcW w:type="dxa" w:w="1276"/>
                </w:tcPr>
                <w:p>
                  <w:pPr>
                    <w:pStyle w:val="null3"/>
                  </w:pPr>
                  <w:r>
                    <w:rPr/>
                    <w:t>100万元</w:t>
                  </w:r>
                </w:p>
              </w:tc>
            </w:tr>
            <w:tr>
              <w:tc>
                <w:tcPr>
                  <w:tcW w:type="dxa" w:w="1276"/>
                </w:tcPr>
                <w:p>
                  <w:pPr>
                    <w:pStyle w:val="null3"/>
                  </w:pPr>
                  <w:r>
                    <w:rPr/>
                    <w:t>每次事故累计责任限额</w:t>
                  </w:r>
                </w:p>
              </w:tc>
              <w:tc>
                <w:tcPr>
                  <w:tcW w:type="dxa" w:w="1276"/>
                </w:tcPr>
                <w:p>
                  <w:pPr>
                    <w:pStyle w:val="null3"/>
                  </w:pPr>
                  <w:r>
                    <w:rPr/>
                    <w:t>55万元</w:t>
                  </w:r>
                </w:p>
              </w:tc>
            </w:tr>
            <w:tr>
              <w:tc>
                <w:tcPr>
                  <w:tcW w:type="dxa" w:w="1276"/>
                </w:tcPr>
                <w:p>
                  <w:pPr>
                    <w:pStyle w:val="null3"/>
                  </w:pPr>
                  <w:r>
                    <w:rPr/>
                    <w:t>每次事故每人责任限额</w:t>
                  </w:r>
                </w:p>
              </w:tc>
              <w:tc>
                <w:tcPr>
                  <w:tcW w:type="dxa" w:w="1276"/>
                </w:tcPr>
                <w:p>
                  <w:pPr>
                    <w:pStyle w:val="null3"/>
                  </w:pPr>
                  <w:r>
                    <w:rPr/>
                    <w:t>30万元</w:t>
                  </w:r>
                </w:p>
              </w:tc>
            </w:tr>
            <w:tr>
              <w:tc>
                <w:tcPr>
                  <w:tcW w:type="dxa" w:w="1276"/>
                </w:tcPr>
                <w:p>
                  <w:pPr>
                    <w:pStyle w:val="null3"/>
                  </w:pPr>
                  <w:r>
                    <w:rPr/>
                    <w:t>累计法律费用责任限额</w:t>
                  </w:r>
                </w:p>
              </w:tc>
              <w:tc>
                <w:tcPr>
                  <w:tcW w:type="dxa" w:w="1276"/>
                </w:tcPr>
                <w:p>
                  <w:pPr>
                    <w:pStyle w:val="null3"/>
                  </w:pPr>
                  <w:r>
                    <w:rPr/>
                    <w:t>累计责任限额的10%</w:t>
                  </w:r>
                </w:p>
                <w:p>
                  <w:pPr>
                    <w:pStyle w:val="null3"/>
                  </w:pPr>
                  <w:r>
                    <w:rPr/>
                    <w:t>（在累计责任限额以内计算）</w:t>
                  </w:r>
                </w:p>
              </w:tc>
            </w:tr>
            <w:tr>
              <w:tc>
                <w:tcPr>
                  <w:tcW w:type="dxa" w:w="1276"/>
                </w:tcPr>
                <w:p>
                  <w:pPr>
                    <w:pStyle w:val="null3"/>
                  </w:pPr>
                  <w:r>
                    <w:rPr/>
                    <w:t>每次事故每位患者特别会诊费用责任限额</w:t>
                  </w:r>
                </w:p>
              </w:tc>
              <w:tc>
                <w:tcPr>
                  <w:tcW w:type="dxa" w:w="1276"/>
                </w:tcPr>
                <w:p>
                  <w:pPr>
                    <w:pStyle w:val="null3"/>
                  </w:pPr>
                  <w:r>
                    <w:rPr/>
                    <w:t>2万元（在每次事故每位患者责任限额以外计算）</w:t>
                  </w:r>
                </w:p>
              </w:tc>
            </w:tr>
            <w:tr>
              <w:tc>
                <w:tcPr>
                  <w:tcW w:type="dxa" w:w="1276"/>
                </w:tcPr>
                <w:p>
                  <w:pPr>
                    <w:pStyle w:val="null3"/>
                  </w:pPr>
                  <w:r>
                    <w:rPr/>
                    <w:t>每次事故每位患者精神损害抚慰金责任限额</w:t>
                  </w:r>
                </w:p>
              </w:tc>
              <w:tc>
                <w:tcPr>
                  <w:tcW w:type="dxa" w:w="1276"/>
                </w:tcPr>
                <w:p>
                  <w:pPr>
                    <w:pStyle w:val="null3"/>
                  </w:pPr>
                  <w:r>
                    <w:rPr/>
                    <w:t>5万元（在每次事故每位患者责任限额以内计算）</w:t>
                  </w:r>
                </w:p>
              </w:tc>
            </w:tr>
            <w:tr>
              <w:tc>
                <w:tcPr>
                  <w:tcW w:type="dxa" w:w="1276"/>
                </w:tcPr>
                <w:p>
                  <w:pPr>
                    <w:pStyle w:val="null3"/>
                  </w:pPr>
                  <w:r>
                    <w:rPr/>
                    <w:t>每次事故及累计公平责任限额</w:t>
                  </w:r>
                </w:p>
              </w:tc>
              <w:tc>
                <w:tcPr>
                  <w:tcW w:type="dxa" w:w="1276"/>
                </w:tcPr>
                <w:p>
                  <w:pPr>
                    <w:pStyle w:val="null3"/>
                  </w:pPr>
                  <w:r>
                    <w:rPr/>
                    <w:t>5万元</w:t>
                  </w:r>
                </w:p>
              </w:tc>
            </w:tr>
          </w:tbl>
          <w:p>
            <w:pPr>
              <w:pStyle w:val="null3"/>
            </w:pPr>
            <w:r>
              <w:rPr/>
              <w:t>三、追溯期</w:t>
            </w:r>
          </w:p>
          <w:p>
            <w:pPr>
              <w:pStyle w:val="null3"/>
            </w:pPr>
            <w:r>
              <w:rPr/>
              <w:t>1、首次投保追溯期设定：首次投保本保险无追溯期；</w:t>
            </w:r>
          </w:p>
          <w:p>
            <w:pPr>
              <w:pStyle w:val="null3"/>
            </w:pPr>
            <w:r>
              <w:rPr/>
              <w:t>2、连续投保追溯期设定：连续投保本保险的，追溯期从保险期间起始日向前计算，最长不超过3年，且不早于连续投保本保险的第一张保险单的保险期间的起始日；</w:t>
            </w:r>
          </w:p>
          <w:p>
            <w:pPr>
              <w:pStyle w:val="null3"/>
            </w:pPr>
            <w:r>
              <w:rPr/>
              <w:t>3、如果投保人断保后再次投保的，追溯期需重新计算，即追溯期至多仅追溯至重新投保后第一张保险单保险期间的起始日，且最长不超过3年。</w:t>
            </w:r>
          </w:p>
          <w:p>
            <w:pPr>
              <w:pStyle w:val="null3"/>
            </w:pPr>
            <w:r>
              <w:rPr/>
              <w:t>四、承保基础：期内索赔式。</w:t>
            </w:r>
          </w:p>
          <w:p>
            <w:pPr>
              <w:pStyle w:val="null3"/>
            </w:pPr>
            <w:r>
              <w:rPr/>
              <w:t>五、保险条款</w:t>
            </w:r>
          </w:p>
          <w:p>
            <w:pPr>
              <w:pStyle w:val="null3"/>
            </w:pPr>
            <w:r>
              <w:rPr/>
              <w:t>1、基本条款</w:t>
            </w:r>
          </w:p>
          <w:p>
            <w:pPr>
              <w:pStyle w:val="null3"/>
            </w:pPr>
            <w:r>
              <w:rPr/>
              <w:t>医疗责任保险条款</w:t>
            </w:r>
          </w:p>
          <w:p>
            <w:pPr>
              <w:pStyle w:val="null3"/>
            </w:pPr>
            <w:r>
              <w:rPr/>
              <w:t>2、附加条款</w:t>
            </w:r>
          </w:p>
          <w:p>
            <w:pPr>
              <w:pStyle w:val="null3"/>
            </w:pPr>
            <w:r>
              <w:rPr/>
              <w:t>（1）错误和遗漏条款</w:t>
            </w:r>
          </w:p>
          <w:p>
            <w:pPr>
              <w:pStyle w:val="null3"/>
            </w:pPr>
            <w:r>
              <w:rPr/>
              <w:t>（2）违反条件条款</w:t>
            </w:r>
          </w:p>
          <w:p>
            <w:pPr>
              <w:pStyle w:val="null3"/>
            </w:pPr>
            <w:r>
              <w:rPr/>
              <w:t>（3）免费发现期条款</w:t>
            </w:r>
          </w:p>
          <w:p>
            <w:pPr>
              <w:pStyle w:val="null3"/>
            </w:pPr>
            <w:r>
              <w:rPr/>
              <w:t>（4）不计免赔险条款</w:t>
            </w:r>
          </w:p>
          <w:p>
            <w:pPr>
              <w:pStyle w:val="null3"/>
            </w:pPr>
            <w:r>
              <w:rPr/>
              <w:t>（5）公平责任条款</w:t>
            </w:r>
          </w:p>
          <w:p>
            <w:pPr>
              <w:pStyle w:val="null3"/>
            </w:pPr>
            <w:r>
              <w:rPr/>
              <w:t>六、特别约定</w:t>
            </w:r>
          </w:p>
          <w:p>
            <w:pPr>
              <w:pStyle w:val="null3"/>
            </w:pPr>
            <w:r>
              <w:rPr/>
              <w:t>特别约定一、法律费用特别约定：</w:t>
            </w:r>
          </w:p>
          <w:p>
            <w:pPr>
              <w:pStyle w:val="null3"/>
            </w:pPr>
            <w:r>
              <w:rPr/>
              <w:t>（1）兹经双方同意，发生可能引起本保险合同项下赔偿情形，被保险人被提起诉讼或仲裁时，对应由被保险人支付的诉讼费、鉴定费、评估费、律师费、仲裁费及其他相关费用等（以下简称“法律费用”），被保险人在支付前应告知保险人，无需征得保险人同意,告知形式包括但不限于书面、邮件、微信、QQ、短信告知等。</w:t>
            </w:r>
          </w:p>
          <w:p>
            <w:pPr>
              <w:pStyle w:val="null3"/>
            </w:pPr>
            <w:r>
              <w:rPr/>
              <w:t>（2）被保险人支付的法律费用，不得超出诉讼地政府主管部门或行业协会规定的收费标准或指导价格或生效裁判中确定的应由被保险人承担的数额，其中律师费用不得超过诉讼地律师行业协会规定的收费标准；</w:t>
            </w:r>
          </w:p>
          <w:p>
            <w:pPr>
              <w:pStyle w:val="null3"/>
            </w:pPr>
            <w:r>
              <w:rPr/>
              <w:t>（3）如某项法律费用无政府主管部门或行业协会规定的收费标准或指导价格、或生效裁判中未确定应由被保险人承担的数额，则须事先经保险人同意,同意形式包括但不限于书面、邮件、微信、QQ、短信告知等</w:t>
            </w:r>
          </w:p>
          <w:p>
            <w:pPr>
              <w:pStyle w:val="null3"/>
            </w:pPr>
            <w:r>
              <w:rPr/>
              <w:t>特别约定二、鉴定费用特别约定：</w:t>
            </w:r>
          </w:p>
          <w:p>
            <w:pPr>
              <w:pStyle w:val="null3"/>
            </w:pPr>
            <w:r>
              <w:rPr/>
              <w:t>兹经双方同意，被保险人为查明和确定保险事故的性质、原因和保险标的的损失程度所支付的必要的、合理的费用（包括但不限于鉴定费、专家劳务费、尸检费等），保险人在保险责任范围内予以全额承担。</w:t>
            </w:r>
          </w:p>
          <w:p>
            <w:pPr>
              <w:pStyle w:val="null3"/>
            </w:pPr>
            <w:r>
              <w:rPr/>
              <w:t>特别约定三、医务人员特别约定：</w:t>
            </w:r>
          </w:p>
          <w:p>
            <w:pPr>
              <w:pStyle w:val="null3"/>
            </w:pPr>
            <w:r>
              <w:rPr/>
              <w:t>（1）医务人员是指经过国家有关部门考核、批准或承认，取得相应资格的各级各类卫生技术人员，也包括医疗管理人员、外聘医务人员、家庭医生、进修生、按照《医师外出会诊管理暂行规定》外请的会诊医务人员、符合多点执业条件的医务人员。</w:t>
            </w:r>
          </w:p>
          <w:p>
            <w:pPr>
              <w:pStyle w:val="null3"/>
            </w:pPr>
            <w:r>
              <w:rPr/>
              <w:t>（2）在本保险合同中，医务人员也包括按照《医学教育临床实践管理暂行规定》（卫办科教发[2008]45号）在临床带教教师或指导医务人员指导下进行诊疗活动的医学生、试用期医学毕业生。</w:t>
            </w:r>
          </w:p>
          <w:p>
            <w:pPr>
              <w:pStyle w:val="null3"/>
            </w:pPr>
            <w:r>
              <w:rPr/>
              <w:t>特别约定四、医务人员因发生医务人员执业安全责任或医务人员法定传染病责任的保险事故，根据《烈士褒扬条例》被评定为烈士的，死亡赔偿金为对应每人死亡、残疾责任限额的2倍。</w:t>
            </w:r>
          </w:p>
          <w:p>
            <w:pPr>
              <w:pStyle w:val="null3"/>
            </w:pPr>
            <w:r>
              <w:rPr/>
              <w:t>特别约定五、特别会诊费用为超出医疗机构医疗水平时，以医疗机构名义外请医务人员所支付的必要的、合理的会诊费用。医疗机构可以从附件示例条款第二十八条项下列明的赔偿项目中获得的赔偿金额,不属于特别会诊费用的赔偿范围。</w:t>
            </w:r>
          </w:p>
          <w:p>
            <w:pPr>
              <w:pStyle w:val="null3"/>
            </w:pPr>
            <w:r>
              <w:rPr/>
              <w:t>特别约定六、鉴于西安市医疗机构中普遍存在中医科执业医师及中西医结合科执业医师跨科室执业的现象，保险人承诺在日常的医师执业管理过程中对此类行为不视为违法或违规行为，对此类情况予以正常理赔。</w:t>
            </w:r>
          </w:p>
          <w:p>
            <w:pPr>
              <w:pStyle w:val="null3"/>
            </w:pPr>
            <w:r>
              <w:rPr/>
              <w:t>特别约定七、对于有上级单位管理的医疗机构，提供本机构或上级机构的医疗机构许可证即可，保险人承诺对此类行为不视为违法或违规行为，对此类情况予以正常理赔。</w:t>
            </w:r>
          </w:p>
          <w:p>
            <w:pPr>
              <w:pStyle w:val="null3"/>
            </w:pPr>
            <w:r>
              <w:rPr/>
              <w:t>特别约定八：简易程序处理案件，医患双方自行达成和解协议并且和解金额在10，000元（含）以下的案件，其适用于简易处理程序。在保险期间内，所有二级医疗机构每家采用简易程序处理的案件赔偿责任限额为20,000元/年，在累计责任限额以内计算。</w:t>
            </w:r>
          </w:p>
          <w:p>
            <w:pPr>
              <w:pStyle w:val="null3"/>
            </w:pPr>
            <w:r>
              <w:rPr/>
              <w:t>特别约定九、本协议中涉及法律条文描述与《中华人民共和国民法典》不符之处，以《中华人民共和国民法典》为准。</w:t>
            </w:r>
          </w:p>
          <w:p>
            <w:pPr>
              <w:pStyle w:val="null3"/>
            </w:pPr>
            <w:r>
              <w:rPr/>
              <w:t xml:space="preserve"> </w:t>
            </w:r>
          </w:p>
          <w:p>
            <w:pPr>
              <w:pStyle w:val="null3"/>
            </w:pPr>
          </w:p>
        </w:tc>
      </w:tr>
    </w:tbl>
    <w:p>
      <w:pPr>
        <w:pStyle w:val="null3"/>
        <w:outlineLvl w:val="2"/>
      </w:pPr>
      <w:r>
        <w:rPr>
          <w:sz w:val="28"/>
          <w:b/>
        </w:rPr>
        <w:t>3.2.3人员配置要求</w:t>
      </w:r>
    </w:p>
    <w:p>
      <w:pPr>
        <w:pStyle w:val="null3"/>
      </w:pPr>
      <w:r>
        <w:rPr/>
        <w:t>采购包1：</w:t>
      </w:r>
    </w:p>
    <w:p>
      <w:pPr>
        <w:pStyle w:val="null3"/>
      </w:pPr>
      <w:r>
        <w:rPr/>
        <w:t>根据项目内容配备</w:t>
      </w:r>
    </w:p>
    <w:p>
      <w:pPr>
        <w:pStyle w:val="null3"/>
        <w:outlineLvl w:val="2"/>
      </w:pPr>
      <w:r>
        <w:rPr>
          <w:sz w:val="28"/>
          <w:b/>
        </w:rPr>
        <w:t>3.2.4设施设备要求</w:t>
      </w:r>
    </w:p>
    <w:p>
      <w:pPr>
        <w:pStyle w:val="null3"/>
      </w:pPr>
      <w:r>
        <w:rPr/>
        <w:t>采购包1：</w:t>
      </w:r>
    </w:p>
    <w:p>
      <w:pPr>
        <w:pStyle w:val="null3"/>
      </w:pPr>
      <w:r>
        <w:rPr/>
        <w:t>根据项目内容配备</w:t>
      </w:r>
    </w:p>
    <w:p>
      <w:pPr>
        <w:pStyle w:val="null3"/>
        <w:outlineLvl w:val="2"/>
      </w:pPr>
      <w:r>
        <w:rPr>
          <w:sz w:val="28"/>
          <w:b/>
        </w:rPr>
        <w:t>3.2.5其他要求</w:t>
      </w:r>
    </w:p>
    <w:p>
      <w:pPr>
        <w:pStyle w:val="null3"/>
      </w:pPr>
      <w:r>
        <w:rPr/>
        <w:t>采购包1：</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自合同签订之日起365日</w:t>
      </w:r>
    </w:p>
    <w:p>
      <w:pPr>
        <w:pStyle w:val="null3"/>
        <w:outlineLvl w:val="3"/>
      </w:pPr>
      <w:r>
        <w:rPr>
          <w:sz w:val="24"/>
          <w:b/>
        </w:rPr>
        <w:t>3.3.2服务地点</w:t>
      </w:r>
    </w:p>
    <w:p>
      <w:pPr>
        <w:pStyle w:val="null3"/>
      </w:pPr>
      <w:r>
        <w:rPr/>
        <w:t>采购包1：</w:t>
      </w:r>
    </w:p>
    <w:p>
      <w:pPr>
        <w:pStyle w:val="null3"/>
      </w:pPr>
      <w:r>
        <w:rPr/>
        <w:t>西安市阎良区人民医院</w:t>
      </w:r>
    </w:p>
    <w:p>
      <w:pPr>
        <w:pStyle w:val="null3"/>
        <w:outlineLvl w:val="3"/>
      </w:pPr>
      <w:r>
        <w:rPr>
          <w:sz w:val="24"/>
          <w:b/>
        </w:rPr>
        <w:t>3.3.3考核（验收）标准和方法</w:t>
      </w:r>
    </w:p>
    <w:p>
      <w:pPr>
        <w:pStyle w:val="null3"/>
      </w:pPr>
      <w:r>
        <w:rPr/>
        <w:t>采购包1：</w:t>
      </w:r>
    </w:p>
    <w:p>
      <w:pPr>
        <w:pStyle w:val="null3"/>
      </w:pPr>
      <w:r>
        <w:rPr/>
        <w:t>/</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投保时保险费一次性缴纳</w:t>
      </w:r>
      <w:r>
        <w:rPr/>
        <w:t xml:space="preserve"> ，达到付款条件起 </w:t>
      </w:r>
      <w:r>
        <w:rPr/>
        <w:t>7</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1.按《中华人民共和国民法典》中的相关条款执行。 2.未按合同要求提供服务或服务质量不能满足技术要求，采购人有权终止合同，并对供方违约行为进行追究，同时按《中华人民共和国政府采购法》的有关规定进行处罚。 3、在执行本合同中发生的或与本合同有关的争端，双方应通过友好协商解决，经协商在15天内不能达成协议时，应提交西安仲裁委员会仲裁。 4、仲裁裁决应为最终决定，并对双方具有约束力。 5、除另有裁决外，仲裁费应由败诉方负担。 6、在仲裁期间，除正在进行仲裁部分外，合同其他部分继续执行。</w:t>
      </w:r>
    </w:p>
    <w:p>
      <w:pPr>
        <w:pStyle w:val="null3"/>
        <w:outlineLvl w:val="2"/>
      </w:pPr>
      <w:r>
        <w:rPr>
          <w:sz w:val="28"/>
          <w:b/>
        </w:rPr>
        <w:t>3.4其他要求</w:t>
      </w:r>
    </w:p>
    <w:p>
      <w:pPr>
        <w:pStyle w:val="null3"/>
      </w:pPr>
      <w:r>
        <w:rPr/>
        <w:t>成交人在领取成交通知书时提供一正两副纸质竞争性磋商响应文件及电子竞争性磋商响应文件一份（U盘或移动硬盘；电子响应文件为Word版本和PDF版本，PDF文件为签字、盖章的完整正本扫描件）。 装订：纸质竞争性磋商响应文件采用书籍（胶装）方式装订成册，与电子竞争性磋商响应文件一致的签字、盖章的完整版本。</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供应商需在项目电子化交易系统中按要求上传相应证明文件并进行电子签章。此项审查内容与特定资格条件中的第二项“财务状况报告”为同一审查内容。</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供应商需在项目电子化交易系统中按要求填写《投标函》完成承诺并进行电子签章。此项审查内容与特定资格条件中的第十项“控股关系查询”为同一审查内容。</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提供投标人合法注册的法人或其他组织的营业执照等证明文件或自然人的身份证明</w:t>
            </w:r>
          </w:p>
        </w:tc>
        <w:tc>
          <w:tcPr>
            <w:tcW w:type="dxa" w:w="3322"/>
          </w:tcPr>
          <w:p>
            <w:pPr>
              <w:pStyle w:val="null3"/>
            </w:pPr>
            <w:r>
              <w:rPr/>
              <w:t>提供投标人合法注册的法人或其他组织的营业执照等证明文件或自然人的身份证明；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财务状况报告：提供具有财务审计资质单位出具的2022年度或2023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税收缴纳证明：提供截止至开标时间前一年内任意一个月的缴纳凭据（增值税、企业所得税至少提供一种，依法免税的供应商应提供相关文件证明）；</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具有履行本合同所必需的设备和专业技术能力的说明及承诺</w:t>
            </w:r>
          </w:p>
        </w:tc>
        <w:tc>
          <w:tcPr>
            <w:tcW w:type="dxa" w:w="3322"/>
          </w:tcPr>
          <w:p>
            <w:pPr>
              <w:pStyle w:val="null3"/>
            </w:pPr>
            <w:r>
              <w:rPr/>
              <w:t>提供具有履行本合同所必需的设备和专业技术能力的说明及承诺（提供书面说明及承诺，加盖供应商公章）；</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参加政府采购活动前三年内在经营活动中没有重大违法记录的书面声明</w:t>
            </w:r>
          </w:p>
        </w:tc>
        <w:tc>
          <w:tcPr>
            <w:tcW w:type="dxa" w:w="3322"/>
          </w:tcPr>
          <w:p>
            <w:pPr>
              <w:pStyle w:val="null3"/>
            </w:pPr>
            <w:r>
              <w:rPr/>
              <w:t>提供参加政府采购活动前三年内在经营活动中没有重大违法记录的书面声明（提供书面声明，加盖供应商公章）；</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法定代表人授权委托书</w:t>
            </w:r>
          </w:p>
        </w:tc>
        <w:tc>
          <w:tcPr>
            <w:tcW w:type="dxa" w:w="3322"/>
          </w:tcPr>
          <w:p>
            <w:pPr>
              <w:pStyle w:val="null3"/>
            </w:pPr>
            <w:r>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投标文件格式）；</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经营医疗责任保险业务资格</w:t>
            </w:r>
          </w:p>
        </w:tc>
        <w:tc>
          <w:tcPr>
            <w:tcW w:type="dxa" w:w="3322"/>
          </w:tcPr>
          <w:p>
            <w:pPr>
              <w:pStyle w:val="null3"/>
            </w:pPr>
            <w:r>
              <w:rPr/>
              <w:t>供应商必须具有经营医疗责任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信用查询</w:t>
            </w:r>
          </w:p>
        </w:tc>
        <w:tc>
          <w:tcPr>
            <w:tcW w:type="dxa" w:w="3322"/>
          </w:tcPr>
          <w:p>
            <w:pPr>
              <w:pStyle w:val="null3"/>
            </w:pPr>
            <w:r>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投标截止日当天在“信用中国”网站和中国政府采购网站进行查询，截图留档；如网站无供应商信息的，供应商须提供相关证明资料或书面声明）；</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控股关系查询</w:t>
            </w:r>
          </w:p>
        </w:tc>
        <w:tc>
          <w:tcPr>
            <w:tcW w:type="dxa" w:w="3322"/>
          </w:tcPr>
          <w:p>
            <w:pPr>
              <w:pStyle w:val="null3"/>
            </w:pPr>
            <w:r>
              <w:rPr/>
              <w:t>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编制格式</w:t>
            </w:r>
          </w:p>
        </w:tc>
        <w:tc>
          <w:tcPr>
            <w:tcW w:type="dxa" w:w="3322"/>
          </w:tcPr>
          <w:p>
            <w:pPr>
              <w:pStyle w:val="null3"/>
            </w:pPr>
            <w:r>
              <w:rPr/>
              <w:t>除明确允许供应商可以自行编写的外，响应文件文件必须按照竞争性磋商文件给定的格式和要求编制</w:t>
            </w:r>
          </w:p>
        </w:tc>
        <w:tc>
          <w:tcPr>
            <w:tcW w:type="dxa" w:w="1661"/>
          </w:tcPr>
          <w:p>
            <w:pPr>
              <w:pStyle w:val="null3"/>
            </w:pPr>
            <w:r>
              <w:rPr/>
              <w:t>服务内容及服务邀请应答表 保障范围 供应商参与政府采购活动的承诺函 中小企业声明函 业绩 商务应答表 服务团队 其他服务与优惠承诺 拒绝政府采购领域商业贿赂承诺书 响应文件封面 资格证明文件 风险综合评级 培训方案 客户回访 残疾人福利性单位声明函 供应商有必要说明的其他事项 服务方案 标的清单 投诉管理制度 响应函 监狱企业的证明文件</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3</w:t>
            </w:r>
          </w:p>
        </w:tc>
        <w:tc>
          <w:tcPr>
            <w:tcW w:type="dxa" w:w="2492"/>
          </w:tcPr>
          <w:p>
            <w:pPr>
              <w:pStyle w:val="null3"/>
            </w:pPr>
            <w:r>
              <w:rPr/>
              <w:t>签章</w:t>
            </w:r>
          </w:p>
        </w:tc>
        <w:tc>
          <w:tcPr>
            <w:tcW w:type="dxa" w:w="3322"/>
          </w:tcPr>
          <w:p>
            <w:pPr>
              <w:pStyle w:val="null3"/>
            </w:pPr>
            <w:r>
              <w:rPr/>
              <w:t>签章均符合文件要求，且无遗漏</w:t>
            </w:r>
          </w:p>
        </w:tc>
        <w:tc>
          <w:tcPr>
            <w:tcW w:type="dxa" w:w="1661"/>
          </w:tcPr>
          <w:p>
            <w:pPr>
              <w:pStyle w:val="null3"/>
            </w:pPr>
            <w:r>
              <w:rPr/>
              <w:t>服务内容及服务邀请应答表 保障范围 供应商参与政府采购活动的承诺函 中小企业声明函 业绩 商务应答表 服务团队 其他服务与优惠承诺 拒绝政府采购领域商业贿赂承诺书 响应文件封面 资格证明文件 风险综合评级 培训方案 客户回访 残疾人福利性单位声明函 供应商有必要说明的其他事项 服务方案 标的清单 投诉管理制度 响应函 监狱企业的证明文件</w:t>
            </w:r>
          </w:p>
        </w:tc>
      </w:tr>
      <w:tr>
        <w:tc>
          <w:tcPr>
            <w:tcW w:type="dxa" w:w="831"/>
          </w:tcPr>
          <w:p>
            <w:pPr>
              <w:pStyle w:val="null3"/>
            </w:pPr>
            <w:r>
              <w:rPr/>
              <w:t>4</w:t>
            </w:r>
          </w:p>
        </w:tc>
        <w:tc>
          <w:tcPr>
            <w:tcW w:type="dxa" w:w="2492"/>
          </w:tcPr>
          <w:p>
            <w:pPr>
              <w:pStyle w:val="null3"/>
            </w:pPr>
            <w:r>
              <w:rPr/>
              <w:t>响应文件有效期</w:t>
            </w:r>
          </w:p>
        </w:tc>
        <w:tc>
          <w:tcPr>
            <w:tcW w:type="dxa" w:w="3322"/>
          </w:tcPr>
          <w:p>
            <w:pPr>
              <w:pStyle w:val="null3"/>
            </w:pPr>
            <w:r>
              <w:rPr/>
              <w:t>符合竞争性磋商文件的要求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报价</w:t>
            </w:r>
          </w:p>
        </w:tc>
        <w:tc>
          <w:tcPr>
            <w:tcW w:type="dxa" w:w="3322"/>
          </w:tcPr>
          <w:p>
            <w:pPr>
              <w:pStyle w:val="null3"/>
            </w:pPr>
            <w:r>
              <w:rPr/>
              <w:t>投标报价未超过采购预算</w:t>
            </w:r>
          </w:p>
        </w:tc>
        <w:tc>
          <w:tcPr>
            <w:tcW w:type="dxa" w:w="1661"/>
          </w:tcPr>
          <w:p>
            <w:pPr>
              <w:pStyle w:val="null3"/>
            </w:pPr>
            <w:r>
              <w:rPr/>
              <w:t>标的清单</w:t>
            </w:r>
          </w:p>
        </w:tc>
      </w:tr>
      <w:tr>
        <w:tc>
          <w:tcPr>
            <w:tcW w:type="dxa" w:w="831"/>
          </w:tcPr>
          <w:p>
            <w:pPr>
              <w:pStyle w:val="null3"/>
            </w:pPr>
            <w:r>
              <w:rPr/>
              <w:t>6</w:t>
            </w:r>
          </w:p>
        </w:tc>
        <w:tc>
          <w:tcPr>
            <w:tcW w:type="dxa" w:w="2492"/>
          </w:tcPr>
          <w:p>
            <w:pPr>
              <w:pStyle w:val="null3"/>
            </w:pPr>
            <w:r>
              <w:rPr/>
              <w:t>实质性条款响应</w:t>
            </w:r>
          </w:p>
        </w:tc>
        <w:tc>
          <w:tcPr>
            <w:tcW w:type="dxa" w:w="3322"/>
          </w:tcPr>
          <w:p>
            <w:pPr>
              <w:pStyle w:val="null3"/>
            </w:pPr>
            <w:r>
              <w:rPr/>
              <w:t>是否对磋商文件商务要求作出明确且实质性响应；是否对磋商文件技术要求作出明确响应，对不得偏离的要求是否作出实质性响应。</w:t>
            </w:r>
          </w:p>
        </w:tc>
        <w:tc>
          <w:tcPr>
            <w:tcW w:type="dxa" w:w="1661"/>
          </w:tcPr>
          <w:p>
            <w:pPr>
              <w:pStyle w:val="null3"/>
            </w:pPr>
            <w:r>
              <w:rPr/>
              <w:t>服务内容及服务邀请应答表 商务应答表</w:t>
            </w:r>
          </w:p>
        </w:tc>
      </w:tr>
      <w:tr>
        <w:tc>
          <w:tcPr>
            <w:tcW w:type="dxa" w:w="831"/>
          </w:tcPr>
          <w:p>
            <w:pPr>
              <w:pStyle w:val="null3"/>
            </w:pPr>
            <w:r>
              <w:rPr/>
              <w:t>7</w:t>
            </w:r>
          </w:p>
        </w:tc>
        <w:tc>
          <w:tcPr>
            <w:tcW w:type="dxa" w:w="2492"/>
          </w:tcPr>
          <w:p>
            <w:pPr>
              <w:pStyle w:val="null3"/>
            </w:pPr>
            <w:r>
              <w:rPr/>
              <w:t>其他</w:t>
            </w:r>
          </w:p>
        </w:tc>
        <w:tc>
          <w:tcPr>
            <w:tcW w:type="dxa" w:w="3322"/>
          </w:tcPr>
          <w:p>
            <w:pPr>
              <w:pStyle w:val="null3"/>
            </w:pPr>
            <w:r>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t>服务内容及服务邀请应答表 保障范围 供应商参与政府采购活动的承诺函 中小企业声明函 业绩 商务应答表 服务团队 其他服务与优惠承诺 拒绝政府采购领域商业贿赂承诺书 响应文件封面 资格证明文件 风险综合评级 培训方案 客户回访 残疾人福利性单位声明函 供应商有必要说明的其他事项 服务方案 标的清单 投诉管理制度 响应函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保障范围</w:t>
            </w:r>
          </w:p>
        </w:tc>
        <w:tc>
          <w:tcPr>
            <w:tcW w:type="dxa" w:w="2492"/>
          </w:tcPr>
          <w:p>
            <w:pPr>
              <w:pStyle w:val="null3"/>
            </w:pPr>
            <w:r>
              <w:rPr/>
              <w:t>根据供应商针对本项目的保险投保保障范围进行综合评分： ①完全符合竞争性磋商文件的保险保障要求，措辞严谨，描述清晰，保障全面，对保险保障范围进行实质性扩展、提升得10分； ②保障范围、保险保障要求内容完善，未对保障范围进行提升的得8分； ③符合保障范围及保险保障要求，未提供相应优惠措施的得4分； ④保障范围及保险保障要求理解及认识不准确得2分； ⑤未提供保障范围不得分。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保障范围</w:t>
            </w:r>
          </w:p>
        </w:tc>
      </w:tr>
      <w:tr>
        <w:tc>
          <w:tcPr>
            <w:tcW w:type="dxa" w:w="831"/>
            <w:vMerge/>
          </w:tcPr>
          <w:p/>
        </w:tc>
        <w:tc>
          <w:tcPr>
            <w:tcW w:type="dxa" w:w="1661"/>
          </w:tcPr>
          <w:p>
            <w:pPr>
              <w:pStyle w:val="null3"/>
            </w:pPr>
            <w:r>
              <w:rPr/>
              <w:t>服务方案</w:t>
            </w:r>
          </w:p>
        </w:tc>
        <w:tc>
          <w:tcPr>
            <w:tcW w:type="dxa" w:w="2492"/>
          </w:tcPr>
          <w:p>
            <w:pPr>
              <w:pStyle w:val="null3"/>
            </w:pPr>
            <w:r>
              <w:rPr/>
              <w:t>根据供应商针对本项目提供的整体服务方案，包括但不限于①业务承揽；②出单；③保费收取；④理赔；⑤业务操作流程等，进行综合评定： ①内容详细全面、方案合理、架构完整、层次清楚、完善可行的计12分； ②针对以上方案要求，有1项欠缺的计8分； ③针对以上方案要求，有2项欠缺的计4分； ④针对以上方案要求，有3项欠缺及以上的计2分； ⑤未提供本项内容的不计分。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投诉管理制度</w:t>
            </w:r>
          </w:p>
        </w:tc>
        <w:tc>
          <w:tcPr>
            <w:tcW w:type="dxa" w:w="2492"/>
          </w:tcPr>
          <w:p>
            <w:pPr>
              <w:pStyle w:val="null3"/>
            </w:pPr>
            <w:r>
              <w:rPr/>
              <w:t>有严格的理赔、投诉管理制度，并严格执行。①内容详细全面、方案合理、完善可行的计6分； ②针对以上方案要求，有1项欠缺或只有书面承诺，缺少具体措施办法的计3分； ③未提供本项内容的不计分。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投诉管理制度</w:t>
            </w:r>
          </w:p>
        </w:tc>
      </w:tr>
      <w:tr>
        <w:tc>
          <w:tcPr>
            <w:tcW w:type="dxa" w:w="831"/>
            <w:vMerge/>
          </w:tcPr>
          <w:p/>
        </w:tc>
        <w:tc>
          <w:tcPr>
            <w:tcW w:type="dxa" w:w="1661"/>
          </w:tcPr>
          <w:p>
            <w:pPr>
              <w:pStyle w:val="null3"/>
            </w:pPr>
            <w:r>
              <w:rPr/>
              <w:t>培训方案</w:t>
            </w:r>
          </w:p>
        </w:tc>
        <w:tc>
          <w:tcPr>
            <w:tcW w:type="dxa" w:w="2492"/>
          </w:tcPr>
          <w:p>
            <w:pPr>
              <w:pStyle w:val="null3"/>
            </w:pPr>
            <w:r>
              <w:rPr/>
              <w:t>定期提供优质的保险服务培训，提供培训方式、时间、地点、人员、培训内容。 ①内容具体、完整、详细、全面的计7分； ②内容有1项缺项，计4分； ③内容有2项以上缺项，计1分； ④未提供培训方案及与培训方案有关内容的不计分。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培训方案</w:t>
            </w:r>
          </w:p>
        </w:tc>
      </w:tr>
      <w:tr>
        <w:tc>
          <w:tcPr>
            <w:tcW w:type="dxa" w:w="831"/>
            <w:vMerge/>
          </w:tcPr>
          <w:p/>
        </w:tc>
        <w:tc>
          <w:tcPr>
            <w:tcW w:type="dxa" w:w="1661"/>
          </w:tcPr>
          <w:p>
            <w:pPr>
              <w:pStyle w:val="null3"/>
            </w:pPr>
            <w:r>
              <w:rPr/>
              <w:t>客户回访</w:t>
            </w:r>
          </w:p>
        </w:tc>
        <w:tc>
          <w:tcPr>
            <w:tcW w:type="dxa" w:w="2492"/>
          </w:tcPr>
          <w:p>
            <w:pPr>
              <w:pStyle w:val="null3"/>
            </w:pPr>
            <w:r>
              <w:rPr/>
              <w:t>定期对客户进行回访，并提供详细的服务方案。 ①内容详细全面、方案合理、完善可行的计6分； ②有欠缺或只有书面承诺，缺少具体措施办法的计3分； ③未提供本项内容的不计分。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客户回访</w:t>
            </w:r>
          </w:p>
        </w:tc>
      </w:tr>
      <w:tr>
        <w:tc>
          <w:tcPr>
            <w:tcW w:type="dxa" w:w="831"/>
            <w:vMerge/>
          </w:tcPr>
          <w:p/>
        </w:tc>
        <w:tc>
          <w:tcPr>
            <w:tcW w:type="dxa" w:w="1661"/>
          </w:tcPr>
          <w:p>
            <w:pPr>
              <w:pStyle w:val="null3"/>
            </w:pPr>
            <w:r>
              <w:rPr/>
              <w:t>服务团队1</w:t>
            </w:r>
          </w:p>
        </w:tc>
        <w:tc>
          <w:tcPr>
            <w:tcW w:type="dxa" w:w="2492"/>
          </w:tcPr>
          <w:p>
            <w:pPr>
              <w:pStyle w:val="null3"/>
            </w:pPr>
            <w:r>
              <w:rPr/>
              <w:t>项目负责人资格证书、职称水平、荣誉证书及丰富的承保工作经验进行综合评分； ①项目负责人资料齐全、专业匹配度高、资历丰富、有相关证书、经验丰富得6分； ②项目负责人资料有1项欠缺的得3分； ③项目负责人专业不匹配、无相关证书、经验欠缺得1分； 注：须提供人员身份证、学历证、职称证书、资格证、工作经历材料并加盖供应商公章。</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服务团队</w:t>
            </w:r>
          </w:p>
        </w:tc>
      </w:tr>
      <w:tr>
        <w:tc>
          <w:tcPr>
            <w:tcW w:type="dxa" w:w="831"/>
            <w:vMerge/>
          </w:tcPr>
          <w:p/>
        </w:tc>
        <w:tc>
          <w:tcPr>
            <w:tcW w:type="dxa" w:w="1661"/>
          </w:tcPr>
          <w:p>
            <w:pPr>
              <w:pStyle w:val="null3"/>
            </w:pPr>
            <w:r>
              <w:rPr/>
              <w:t>服务团队2</w:t>
            </w:r>
          </w:p>
        </w:tc>
        <w:tc>
          <w:tcPr>
            <w:tcW w:type="dxa" w:w="2492"/>
          </w:tcPr>
          <w:p>
            <w:pPr>
              <w:pStyle w:val="null3"/>
            </w:pPr>
            <w:r>
              <w:rPr/>
              <w:t>服务团队人员应包含承保、理赔、风险管理和协调沟通不同专业能力和职能的人员，根据团队人员构成情况、人员数量、职责情况进行综合评分： ①服务团队人员构成专业全面，服务团队岗位人员≥3人且职责明确合理得10分； ②服务团队人员构成全面，服务团队人员≥3人，职责不明确得7分； ③服务团队人员专业构成存在缺陷，服务团队人员不足3人，职责混乱得4分。 ④未提供服务团队人员不得分。 注：须提供人员身份证、资格证书等材料并加盖供应商公章。</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服务团队</w:t>
            </w:r>
          </w:p>
        </w:tc>
      </w:tr>
      <w:tr>
        <w:tc>
          <w:tcPr>
            <w:tcW w:type="dxa" w:w="831"/>
            <w:vMerge/>
          </w:tcPr>
          <w:p/>
        </w:tc>
        <w:tc>
          <w:tcPr>
            <w:tcW w:type="dxa" w:w="1661"/>
          </w:tcPr>
          <w:p>
            <w:pPr>
              <w:pStyle w:val="null3"/>
            </w:pPr>
            <w:r>
              <w:rPr/>
              <w:t>其他服务与优惠承诺1</w:t>
            </w:r>
          </w:p>
        </w:tc>
        <w:tc>
          <w:tcPr>
            <w:tcW w:type="dxa" w:w="2492"/>
          </w:tcPr>
          <w:p>
            <w:pPr>
              <w:pStyle w:val="null3"/>
            </w:pPr>
            <w:r>
              <w:rPr/>
              <w:t>根据供应商服务特色及其他增值服务与优惠承诺的合理性、可行性，进行综合评定： ①特色服务丰富，其他优惠承诺合理可行得6分； ②特色服务意义不明确，其他优惠承诺欠缺得3分；③没有特色服务及其他服务与优惠承诺的不得分。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其他服务与优惠承诺</w:t>
            </w:r>
          </w:p>
        </w:tc>
      </w:tr>
      <w:tr>
        <w:tc>
          <w:tcPr>
            <w:tcW w:type="dxa" w:w="831"/>
            <w:vMerge/>
          </w:tcPr>
          <w:p/>
        </w:tc>
        <w:tc>
          <w:tcPr>
            <w:tcW w:type="dxa" w:w="1661"/>
          </w:tcPr>
          <w:p>
            <w:pPr>
              <w:pStyle w:val="null3"/>
            </w:pPr>
            <w:r>
              <w:rPr/>
              <w:t>其他服务与优惠承诺2</w:t>
            </w:r>
          </w:p>
        </w:tc>
        <w:tc>
          <w:tcPr>
            <w:tcW w:type="dxa" w:w="2492"/>
          </w:tcPr>
          <w:p>
            <w:pPr>
              <w:pStyle w:val="null3"/>
            </w:pPr>
            <w:r>
              <w:rPr/>
              <w:t>针对本项目招标人保险服务需求的基础上，承诺有一定的经济实力垫付已产生未支付的保险费用的能力：完全响应并承诺得6分； 响应但未承诺的得3分； 不响应不得分。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其他服务与优惠承诺</w:t>
            </w:r>
          </w:p>
        </w:tc>
      </w:tr>
      <w:tr>
        <w:tc>
          <w:tcPr>
            <w:tcW w:type="dxa" w:w="831"/>
            <w:vMerge/>
          </w:tcPr>
          <w:p/>
        </w:tc>
        <w:tc>
          <w:tcPr>
            <w:tcW w:type="dxa" w:w="1661"/>
          </w:tcPr>
          <w:p>
            <w:pPr>
              <w:pStyle w:val="null3"/>
            </w:pPr>
            <w:r>
              <w:rPr/>
              <w:t>业绩</w:t>
            </w:r>
          </w:p>
        </w:tc>
        <w:tc>
          <w:tcPr>
            <w:tcW w:type="dxa" w:w="2492"/>
          </w:tcPr>
          <w:p>
            <w:pPr>
              <w:pStyle w:val="null3"/>
            </w:pPr>
            <w:r>
              <w:rPr/>
              <w:t>近三年（2021年12月1日至磋商响应文件截止时间）供应商曾参与过类似服务项目的业绩的情况，须提供合同复印件等证明材料（所提供的合同可以不牵涉到金额等相关商业机密信息，但必须提供合同双方签署页及合同签署双方的完整信息进行评审）。每提供一个有效业绩证明材料得2分，最高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w:t>
            </w:r>
          </w:p>
        </w:tc>
      </w:tr>
      <w:tr>
        <w:tc>
          <w:tcPr>
            <w:tcW w:type="dxa" w:w="831"/>
            <w:vMerge/>
          </w:tcPr>
          <w:p/>
        </w:tc>
        <w:tc>
          <w:tcPr>
            <w:tcW w:type="dxa" w:w="1661"/>
          </w:tcPr>
          <w:p>
            <w:pPr>
              <w:pStyle w:val="null3"/>
            </w:pPr>
            <w:r>
              <w:rPr/>
              <w:t>风险综合评级</w:t>
            </w:r>
          </w:p>
        </w:tc>
        <w:tc>
          <w:tcPr>
            <w:tcW w:type="dxa" w:w="2492"/>
          </w:tcPr>
          <w:p>
            <w:pPr>
              <w:pStyle w:val="null3"/>
            </w:pPr>
            <w:r>
              <w:rPr/>
              <w:t>根据响应人总公司提供的2023年第四季度风险综合评级进行评分，需提供截图： 风险综合评级为A、AA、AAA类，得6分， 风险综合评级为B、BB、BBB类，得3分， 风险综合评级为C、CC、CCC类及以下，不得分。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风险综合评级</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磋商报价得分=(磋商基准价／磋商报价)×价格权值（即15%）×100</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ind w:firstLine="960"/>
      </w:pPr>
      <w:r>
        <w:rPr/>
        <w:t>详见附件：保障范围</w:t>
      </w:r>
    </w:p>
    <w:p>
      <w:pPr>
        <w:pStyle w:val="null3"/>
        <w:ind w:firstLine="960"/>
      </w:pPr>
      <w:r>
        <w:rPr/>
        <w:t>详见附件：服务方案</w:t>
      </w:r>
    </w:p>
    <w:p>
      <w:pPr>
        <w:pStyle w:val="null3"/>
        <w:ind w:firstLine="960"/>
      </w:pPr>
      <w:r>
        <w:rPr/>
        <w:t>详见附件：投诉管理制度</w:t>
      </w:r>
    </w:p>
    <w:p>
      <w:pPr>
        <w:pStyle w:val="null3"/>
        <w:ind w:firstLine="960"/>
      </w:pPr>
      <w:r>
        <w:rPr/>
        <w:t>详见附件：培训方案</w:t>
      </w:r>
    </w:p>
    <w:p>
      <w:pPr>
        <w:pStyle w:val="null3"/>
        <w:ind w:firstLine="960"/>
      </w:pPr>
      <w:r>
        <w:rPr/>
        <w:t>详见附件：客户回访</w:t>
      </w:r>
    </w:p>
    <w:p>
      <w:pPr>
        <w:pStyle w:val="null3"/>
        <w:ind w:firstLine="960"/>
      </w:pPr>
      <w:r>
        <w:rPr/>
        <w:t>详见附件：服务团队</w:t>
      </w:r>
    </w:p>
    <w:p>
      <w:pPr>
        <w:pStyle w:val="null3"/>
        <w:ind w:firstLine="960"/>
      </w:pPr>
      <w:r>
        <w:rPr/>
        <w:t>详见附件：其他服务与优惠承诺</w:t>
      </w:r>
    </w:p>
    <w:p>
      <w:pPr>
        <w:pStyle w:val="null3"/>
        <w:ind w:firstLine="960"/>
      </w:pPr>
      <w:r>
        <w:rPr/>
        <w:t>详见附件：业绩</w:t>
      </w:r>
    </w:p>
    <w:p>
      <w:pPr>
        <w:pStyle w:val="null3"/>
        <w:ind w:firstLine="960"/>
      </w:pPr>
      <w:r>
        <w:rPr/>
        <w:t>详见附件：风险综合评级</w:t>
      </w:r>
    </w:p>
    <w:p>
      <w:pPr>
        <w:pStyle w:val="null3"/>
        <w:ind w:firstLine="960"/>
      </w:pPr>
      <w:r>
        <w:rPr/>
        <w:t>详见附件：供应商有必要说明的其他事项</w:t>
      </w:r>
    </w:p>
    <w:p>
      <w:pPr>
        <w:pStyle w:val="null3"/>
        <w:ind w:firstLine="960"/>
      </w:pPr>
      <w:r>
        <w:rPr/>
        <w:t>详见附件：供应商参与政府采购活动的承诺函</w:t>
      </w:r>
    </w:p>
    <w:p>
      <w:pPr>
        <w:pStyle w:val="null3"/>
        <w:ind w:firstLine="960"/>
      </w:pPr>
      <w:r>
        <w:rPr/>
        <w:t>详见附件：拒绝政府采购领域商业贿赂承诺书</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