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1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cs="宋体" w:asciiTheme="minorEastAsia" w:hAnsiTheme="minorEastAsia" w:eastAsiaTheme="minorEastAsia"/>
          <w:b/>
          <w:color w:val="auto"/>
          <w:kern w:val="2"/>
          <w:sz w:val="36"/>
          <w:szCs w:val="36"/>
          <w:highlight w:val="none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2"/>
          <w:sz w:val="36"/>
          <w:szCs w:val="36"/>
          <w:highlight w:val="none"/>
        </w:rPr>
        <w:t>采购内容及技术要求</w:t>
      </w:r>
      <w:bookmarkStart w:id="0" w:name="_Toc317530110"/>
    </w:p>
    <w:bookmarkEnd w:id="0"/>
    <w:p w14:paraId="0871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一、项目名称：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空港新城北区污水处理厂在线监测设备采购项目</w:t>
      </w:r>
    </w:p>
    <w:p w14:paraId="4EEE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hAnsi="宋体" w:cs="宋体"/>
          <w:color w:val="auto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Cs w:val="24"/>
          <w:highlight w:val="none"/>
        </w:rPr>
        <w:t>二、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技术要求：</w:t>
      </w:r>
    </w:p>
    <w:p w14:paraId="09A96F62"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(一)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通用规范</w:t>
      </w:r>
    </w:p>
    <w:p w14:paraId="1E2C7A10">
      <w:pPr>
        <w:spacing w:line="48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1.中国环境监测总站-合格产品名录（https://www.cnemc.cn/gzdt/yqjc/hgcpml/）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2.HJ353-2019水污染源在线监测系统（CODCr、NH3-N等）安装技术规范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3.HJ354-2019水污染源在线监测系统（CODCr、NH3-N等）验收技术规范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4.HJ355-2019水污染源在线监测系统（CODCr、NH3-N等）运行技术规范</w:t>
      </w:r>
    </w:p>
    <w:p w14:paraId="48440146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专项规范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49"/>
        <w:gridCol w:w="6045"/>
        <w:gridCol w:w="1349"/>
      </w:tblGrid>
      <w:tr w14:paraId="3EBE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0" w:type="pct"/>
            <w:noWrap w:val="0"/>
            <w:vAlign w:val="top"/>
          </w:tcPr>
          <w:p w14:paraId="72BC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28" w:type="pct"/>
            <w:noWrap w:val="0"/>
            <w:vAlign w:val="top"/>
          </w:tcPr>
          <w:p w14:paraId="3B86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3034" w:type="pct"/>
            <w:noWrap w:val="0"/>
            <w:vAlign w:val="top"/>
          </w:tcPr>
          <w:p w14:paraId="3ECC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77" w:type="pct"/>
            <w:noWrap w:val="0"/>
            <w:vAlign w:val="top"/>
          </w:tcPr>
          <w:p w14:paraId="3AF6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数量（台）</w:t>
            </w:r>
          </w:p>
        </w:tc>
      </w:tr>
      <w:tr w14:paraId="6A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pct"/>
            <w:noWrap w:val="0"/>
            <w:vAlign w:val="center"/>
          </w:tcPr>
          <w:p w14:paraId="67D5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8" w:type="pct"/>
            <w:noWrap w:val="0"/>
            <w:vAlign w:val="center"/>
          </w:tcPr>
          <w:p w14:paraId="0BE9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COD水质在线自动监测设备</w:t>
            </w:r>
          </w:p>
        </w:tc>
        <w:tc>
          <w:tcPr>
            <w:tcW w:w="3034" w:type="pct"/>
            <w:noWrap w:val="0"/>
            <w:vAlign w:val="top"/>
          </w:tcPr>
          <w:p w14:paraId="7B5E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需满足《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化学需氧量（CODCr）水质在线自动监测仪技术要求及检测方法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 377-2019的相关要求。</w:t>
            </w:r>
          </w:p>
          <w:p w14:paraId="19AA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1.原理：采用重铬酸钾法高温消解，用光度法测量样品吸光度，通过吸光度与水样COD值的线性关系进行分析测定。符合最新标准HJ377-2019，HJ35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3、354、355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-2019要求，测量数据与实验室方法HJ828-2017吻合性好。</w:t>
            </w:r>
          </w:p>
          <w:p w14:paraId="1F9A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2.测量范围(以KHP计)：10~5000mg/L(量程上限可根据现场污染物排放标准限值自行设定)</w:t>
            </w:r>
          </w:p>
          <w:p w14:paraId="1DF9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性能指标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：符合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 377-2019要求。</w:t>
            </w:r>
          </w:p>
          <w:p w14:paraId="1C6C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.内置标样核查功能并能根据核查结果自动完成校准和复核。可扩展质控模块实现任意指定浓度的标样核查和加标回收功能。</w:t>
            </w:r>
          </w:p>
          <w:p w14:paraId="5BCB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.消解时间：对不同水质设置消解时间，并通过数字接口输出，最小间隔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10分钟</w:t>
            </w:r>
          </w:p>
          <w:p w14:paraId="5B85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.测量间隔时间：连续、1小时、2小时、4小时、自定义(30–480分钟)或触发(可选)</w:t>
            </w:r>
          </w:p>
          <w:p w14:paraId="3852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.校准：自动校准，手动/远程触发，标样核查触发</w:t>
            </w:r>
          </w:p>
          <w:p w14:paraId="373E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.满足标液核查、远程反控、状态上传等技术要求。</w:t>
            </w:r>
          </w:p>
          <w:p w14:paraId="1877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.设备传输协议符合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212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-2017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传输标准要求，与数采仪、采样器数字连接稳定。</w:t>
            </w:r>
          </w:p>
          <w:p w14:paraId="6F64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.消解单元配备安全防护面板</w:t>
            </w:r>
          </w:p>
          <w:p w14:paraId="5DF4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设备有预警功能，对试剂、易耗品配件使用时间的提前预警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诊断技术</w:t>
            </w:r>
          </w:p>
          <w:p w14:paraId="6D46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.输入/输出相关：</w:t>
            </w:r>
          </w:p>
          <w:p w14:paraId="711B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1)2路模拟信号4~20mA，最大负载500Ω</w:t>
            </w:r>
          </w:p>
          <w:p w14:paraId="54E00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2)数字通信：RS485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/232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Modbus</w:t>
            </w:r>
          </w:p>
          <w:p w14:paraId="4534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3)仪器内置2个多功能输出继电器：额定电压24VDC，额定电流最大3A</w:t>
            </w:r>
          </w:p>
          <w:p w14:paraId="5F22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.环境温度：5℃~40℃</w:t>
            </w:r>
          </w:p>
          <w:p w14:paraId="7FFE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.电源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交流电压220V±22V</w:t>
            </w:r>
          </w:p>
          <w:p w14:paraId="5418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电源频率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50Hz±0.5Hz</w:t>
            </w:r>
          </w:p>
          <w:p w14:paraId="1E85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.平台化、耐腐蚀机箱设计(ABS+PC材质)</w:t>
            </w:r>
          </w:p>
          <w:p w14:paraId="044E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.电磁兼容性符合EN61326-1要求</w:t>
            </w:r>
          </w:p>
        </w:tc>
        <w:tc>
          <w:tcPr>
            <w:tcW w:w="677" w:type="pct"/>
            <w:noWrap w:val="0"/>
            <w:vAlign w:val="center"/>
          </w:tcPr>
          <w:p w14:paraId="18DF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6F30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0" w:type="pct"/>
            <w:noWrap w:val="0"/>
            <w:vAlign w:val="center"/>
          </w:tcPr>
          <w:p w14:paraId="59A9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8" w:type="pct"/>
            <w:noWrap w:val="0"/>
            <w:vAlign w:val="center"/>
          </w:tcPr>
          <w:p w14:paraId="1CC5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氨氮水质在线自动监测设备</w:t>
            </w:r>
          </w:p>
        </w:tc>
        <w:tc>
          <w:tcPr>
            <w:tcW w:w="3034" w:type="pct"/>
            <w:noWrap w:val="0"/>
            <w:vAlign w:val="top"/>
          </w:tcPr>
          <w:p w14:paraId="5E84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需满足《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氨氮水质在线自动监测仪技术要求及检测方法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HJ101-2019的相关要求。</w:t>
            </w:r>
          </w:p>
          <w:p w14:paraId="20CE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测量原理：水杨酸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</w:t>
            </w:r>
          </w:p>
          <w:p w14:paraId="376C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mg/L多种固定量程，量程自动切换功能</w:t>
            </w:r>
          </w:p>
          <w:p w14:paraId="06E7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性能指标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HJ101-2019的要求</w:t>
            </w:r>
          </w:p>
          <w:p w14:paraId="3D86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内置标样核查功能，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自动校准和复核。</w:t>
            </w:r>
          </w:p>
          <w:p w14:paraId="7A86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环境温度：5~40℃；</w:t>
            </w:r>
          </w:p>
          <w:p w14:paraId="6E41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测量周期：</w:t>
            </w:r>
            <w:bookmarkStart w:id="1" w:name="OLE_LINK26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连续、30min、1h、2h、4h、用户自定义或外部触发；</w:t>
            </w:r>
            <w:bookmarkEnd w:id="1"/>
          </w:p>
          <w:p w14:paraId="3594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仪器校正：支持手动/远程触发/自动校准，标样核查触发,校准周期可选；</w:t>
            </w:r>
          </w:p>
          <w:p w14:paraId="7E31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仪器具有自动清洗功能；</w:t>
            </w:r>
          </w:p>
          <w:p w14:paraId="7351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预诊断技术，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可以提前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诊断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设备试剂、配件使用情况进行预警。</w:t>
            </w:r>
          </w:p>
          <w:p w14:paraId="74B6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显示：中文界面，彩色触摸屏，数据和图形显示；</w:t>
            </w:r>
          </w:p>
          <w:p w14:paraId="287F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数据存储：数据/事件两年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20000条；</w:t>
            </w:r>
          </w:p>
          <w:p w14:paraId="1D93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通过USB接口实现数据日志导出和软件升级</w:t>
            </w:r>
          </w:p>
          <w:p w14:paraId="737F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输入输出：0/4-20mA模拟信号输出，2路24VDC/3A继电器单刀双掷控制，RS485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/232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Modbus；数字输入（可选）；</w:t>
            </w:r>
          </w:p>
          <w:p w14:paraId="3CC5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防护等级：IP55，室内安装；</w:t>
            </w:r>
          </w:p>
          <w:p w14:paraId="45CE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交流电压220V±22V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D24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电源频率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50Hz±0.5Hz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AB0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电磁兼容性符合EN61326-1要求；</w:t>
            </w:r>
          </w:p>
          <w:p w14:paraId="2233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.设备传输协议符合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212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-2017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传输标准要求，与数采仪、采样器数字连接稳定。</w:t>
            </w:r>
          </w:p>
        </w:tc>
        <w:tc>
          <w:tcPr>
            <w:tcW w:w="677" w:type="pct"/>
            <w:noWrap w:val="0"/>
            <w:vAlign w:val="center"/>
          </w:tcPr>
          <w:p w14:paraId="3353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4721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360" w:type="pct"/>
            <w:noWrap w:val="0"/>
            <w:vAlign w:val="center"/>
          </w:tcPr>
          <w:p w14:paraId="1E91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8" w:type="pct"/>
            <w:noWrap w:val="0"/>
            <w:vAlign w:val="center"/>
          </w:tcPr>
          <w:p w14:paraId="15F3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水质在线自动监测设备</w:t>
            </w:r>
          </w:p>
        </w:tc>
        <w:tc>
          <w:tcPr>
            <w:tcW w:w="3034" w:type="pct"/>
            <w:noWrap w:val="0"/>
            <w:vAlign w:val="top"/>
          </w:tcPr>
          <w:p w14:paraId="43D1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 w:firstLineChars="300"/>
              <w:textAlignment w:val="auto"/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需满足《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总磷水质自动分析仪技术要求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HJ/T103</w:t>
            </w:r>
          </w:p>
          <w:p w14:paraId="0942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-2003的相关要求。</w:t>
            </w:r>
          </w:p>
          <w:p w14:paraId="1F98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auto"/>
              </w:rPr>
            </w:pPr>
          </w:p>
          <w:p w14:paraId="1CFF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原理：基于钼酸铵分光光度法测定水样中的总磷(TP)。</w:t>
            </w:r>
          </w:p>
          <w:p w14:paraId="29A9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技术指标</w:t>
            </w:r>
          </w:p>
          <w:p w14:paraId="3288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一键清洗功能。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预诊断技术，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诊断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设备试剂、配件使用情况进行预警。</w:t>
            </w:r>
          </w:p>
          <w:p w14:paraId="0D54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操作界面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简体中文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彩色触摸屏</w:t>
            </w:r>
          </w:p>
          <w:p w14:paraId="3C33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外壳防护等级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IP55(在机箱门关闭的情况下)，仅限室内使用</w:t>
            </w:r>
          </w:p>
          <w:p w14:paraId="2F4D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电源频率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50Hz±0.5Hz</w:t>
            </w:r>
          </w:p>
          <w:p w14:paraId="5D62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规定的电压220V±20V</w:t>
            </w:r>
          </w:p>
          <w:p w14:paraId="5CA7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测量范围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mg/L</w:t>
            </w:r>
          </w:p>
          <w:p w14:paraId="52FA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⑦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性能指标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符合HJ/T103-2003的要求</w:t>
            </w:r>
          </w:p>
          <w:p w14:paraId="5A05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内置标样核查功能，自动完成校准和复核。</w:t>
            </w:r>
          </w:p>
          <w:p w14:paraId="45FA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内置质控功能，自动独立完成零点核查，跨度核查。</w:t>
            </w:r>
          </w:p>
          <w:p w14:paraId="232BE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内置废液分离功能，具备分析废液和清洗废水分开收集或排放的功能。</w:t>
            </w:r>
          </w:p>
        </w:tc>
        <w:tc>
          <w:tcPr>
            <w:tcW w:w="677" w:type="pct"/>
            <w:noWrap w:val="0"/>
            <w:vAlign w:val="center"/>
          </w:tcPr>
          <w:p w14:paraId="4DF1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1EEE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0" w:hRule="atLeast"/>
        </w:trPr>
        <w:tc>
          <w:tcPr>
            <w:tcW w:w="360" w:type="pct"/>
            <w:noWrap w:val="0"/>
            <w:vAlign w:val="center"/>
          </w:tcPr>
          <w:p w14:paraId="164A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8" w:type="pct"/>
            <w:noWrap w:val="0"/>
            <w:vAlign w:val="center"/>
          </w:tcPr>
          <w:p w14:paraId="486C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水质在线自动监测设备</w:t>
            </w:r>
          </w:p>
        </w:tc>
        <w:tc>
          <w:tcPr>
            <w:tcW w:w="3034" w:type="pct"/>
            <w:noWrap w:val="0"/>
            <w:vAlign w:val="top"/>
          </w:tcPr>
          <w:p w14:paraId="16C3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需满足《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总氮水质自动分析仪技术要求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HJ/T102 -2003的相关要求。</w:t>
            </w:r>
          </w:p>
          <w:p w14:paraId="615F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原理：基于碱性过硫酸钾消解紫外分光光度法测定水样中的总氮（TN）。</w:t>
            </w:r>
          </w:p>
          <w:p w14:paraId="66F4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2.具有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自定义浊度补偿系数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深度清洗模式。</w:t>
            </w:r>
          </w:p>
          <w:p w14:paraId="0FD4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预诊断技术，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诊断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设备试剂、配件使用情况进行预警。</w:t>
            </w:r>
          </w:p>
          <w:p w14:paraId="53FA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.一般技术规格</w:t>
            </w:r>
          </w:p>
          <w:p w14:paraId="650B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操作界面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简体中文，彩色触摸屏</w:t>
            </w:r>
          </w:p>
          <w:p w14:paraId="2D1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外壳防护等级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IP55（在机箱门关闭的情况下），仅限室内使用</w:t>
            </w:r>
          </w:p>
          <w:p w14:paraId="576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电源频率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50Hz±0.5Hz</w:t>
            </w:r>
          </w:p>
          <w:p w14:paraId="6CC8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规定的电压220V±20V</w:t>
            </w:r>
          </w:p>
          <w:p w14:paraId="1BEB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.测量规格</w:t>
            </w:r>
          </w:p>
          <w:p w14:paraId="7EDA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测量范围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0～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mg/L</w:t>
            </w:r>
          </w:p>
          <w:p w14:paraId="3A0B5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性能指标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HJ/T102 -2003的要求</w:t>
            </w:r>
          </w:p>
          <w:p w14:paraId="51CA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内置标样核查功能，自动完成校准和复核。</w:t>
            </w:r>
          </w:p>
          <w:p w14:paraId="4AC5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内置质控功能，自动独立完成零点核查，跨度核查。</w:t>
            </w:r>
          </w:p>
          <w:p w14:paraId="66E7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内置废液分离功能，具备分析废液和清洗废水分开收集或排放的功能</w:t>
            </w:r>
          </w:p>
        </w:tc>
        <w:tc>
          <w:tcPr>
            <w:tcW w:w="677" w:type="pct"/>
            <w:noWrap w:val="0"/>
            <w:vAlign w:val="center"/>
          </w:tcPr>
          <w:p w14:paraId="061E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7710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360" w:type="pct"/>
            <w:noWrap w:val="0"/>
            <w:vAlign w:val="center"/>
          </w:tcPr>
          <w:p w14:paraId="7C38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8" w:type="pct"/>
            <w:noWrap w:val="0"/>
            <w:vAlign w:val="center"/>
          </w:tcPr>
          <w:p w14:paraId="7D6F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数据采集传输仪</w:t>
            </w:r>
          </w:p>
        </w:tc>
        <w:tc>
          <w:tcPr>
            <w:tcW w:w="3034" w:type="pct"/>
            <w:noWrap w:val="0"/>
            <w:vAlign w:val="top"/>
          </w:tcPr>
          <w:p w14:paraId="45F2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1.满足以下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技术标准：</w:t>
            </w:r>
          </w:p>
          <w:p w14:paraId="2A36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HJ477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2009污染源在线自动监控（监测）数据采集传输仪技术要求</w:t>
            </w:r>
          </w:p>
          <w:p w14:paraId="6169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2017污染源在线监控（监测）系统数据传输标准</w:t>
            </w:r>
          </w:p>
          <w:p w14:paraId="738679C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2.通讯协议</w:t>
            </w:r>
          </w:p>
          <w:p w14:paraId="3E96E4A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2017污染源在线监控（监测）系统数据传输标准</w:t>
            </w:r>
          </w:p>
          <w:p w14:paraId="1FC3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设备智连接</w:t>
            </w:r>
          </w:p>
          <w:p w14:paraId="68FD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接口类型：具有多路多类型输入通道和输出通道，并支持扩展</w:t>
            </w:r>
          </w:p>
          <w:p w14:paraId="2C4A2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即插即用：内置1000+主流品牌分析仪器通讯协议，支持模糊查询、快速与各类分析仪器进行对接</w:t>
            </w:r>
          </w:p>
          <w:p w14:paraId="70F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1118235</wp:posOffset>
                  </wp:positionV>
                  <wp:extent cx="62230" cy="6350"/>
                  <wp:effectExtent l="0" t="0" r="0" b="0"/>
                  <wp:wrapNone/>
                  <wp:docPr id="9" name="IM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1010920</wp:posOffset>
                      </wp:positionV>
                      <wp:extent cx="353060" cy="37084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06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FBA2DB">
                                  <w:pPr>
                                    <w:spacing w:line="240" w:lineRule="auto"/>
                                    <w:ind w:right="0"/>
                                    <w:rPr>
                                      <w:rFonts w:ascii="微软雅黑" w:hAnsi="微软雅黑" w:eastAsia="微软雅黑" w:cs="微软雅黑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7.05pt;margin-top:79.6pt;height:29.2pt;width:27.8pt;z-index:251661312;mso-width-relative:page;mso-height-relative:page;" filled="f" stroked="f" coordsize="21600,21600" o:gfxdata="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LSy1XaAAAACwEAAA8AAAAAAAAAAQAgAAAAIgAAAGRycy9kb3ducmV2Lnht&#10;bFBLAQIUABQAAAAIAIdO4kAxAGpnvgEAAIEDAAAOAAAAAAAAAAEAIAAAACk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4FBA2DB">
                            <w:pPr>
                              <w:spacing w:line="240" w:lineRule="auto"/>
                              <w:ind w:right="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实现废水、废气、工况用电量的数据采集</w:t>
            </w:r>
          </w:p>
          <w:p w14:paraId="7EC3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大容量存储</w:t>
            </w:r>
          </w:p>
          <w:p w14:paraId="074E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内置大容量数据存储空间，并支持TF卡扩展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满足标准及监管数据存储要求数据备份、数据导出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6C8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人机交互界面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dcs系统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 w14:paraId="48D3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10寸真彩液晶触摸屏，支持多点触控及手写，人机互动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3B0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多网络多协议“自动适配”</w:t>
            </w:r>
          </w:p>
          <w:p w14:paraId="338A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4G无线+有线传输通道，每通道支持10中心传输</w:t>
            </w:r>
          </w:p>
          <w:p w14:paraId="2C54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平台“即配即报”：使用地选择，自动识别后台及上报平台协议</w:t>
            </w:r>
          </w:p>
          <w:p w14:paraId="0E7F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支持不同上报中心，不同通讯协议上报，各自独立互不干扰</w:t>
            </w:r>
          </w:p>
          <w:p w14:paraId="44D7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支持各类非标通讯协议开发</w:t>
            </w:r>
          </w:p>
          <w:p w14:paraId="505B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数据传输</w:t>
            </w:r>
          </w:p>
          <w:p w14:paraId="4CCE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具备通讯链路自动侦测、上报数据自动补发、手动补传和定时重发功能，保障数据完整率。</w:t>
            </w:r>
          </w:p>
          <w:p w14:paraId="59B5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预警</w:t>
            </w:r>
          </w:p>
          <w:p w14:paraId="66AF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屏幕红色警示：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红色警灯提醒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支持外接声光报警器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微信推送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等功能。</w:t>
            </w:r>
          </w:p>
        </w:tc>
        <w:tc>
          <w:tcPr>
            <w:tcW w:w="677" w:type="pct"/>
            <w:noWrap w:val="0"/>
            <w:vAlign w:val="center"/>
          </w:tcPr>
          <w:p w14:paraId="57AF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67C0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5" w:hRule="atLeast"/>
        </w:trPr>
        <w:tc>
          <w:tcPr>
            <w:tcW w:w="360" w:type="pct"/>
            <w:noWrap w:val="0"/>
            <w:vAlign w:val="center"/>
          </w:tcPr>
          <w:p w14:paraId="2B51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8" w:type="pct"/>
            <w:noWrap w:val="0"/>
            <w:vAlign w:val="center"/>
          </w:tcPr>
          <w:p w14:paraId="2E41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水质自动采样器</w:t>
            </w:r>
          </w:p>
        </w:tc>
        <w:tc>
          <w:tcPr>
            <w:tcW w:w="3034" w:type="pct"/>
            <w:noWrap w:val="0"/>
            <w:vAlign w:val="top"/>
          </w:tcPr>
          <w:p w14:paraId="7B25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HJ/T372-2007《水质自动采样器技术要求及检测方法》</w:t>
            </w:r>
          </w:p>
          <w:p w14:paraId="54F6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.技术参数</w:t>
            </w:r>
          </w:p>
          <w:p w14:paraId="5F63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性能指标：数据采集误差：≤1‰</w:t>
            </w:r>
          </w:p>
          <w:p w14:paraId="265F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存储容量：≥14400条</w:t>
            </w:r>
          </w:p>
          <w:p w14:paraId="0E2B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数据采集单元、数据存储单元、数据传输单元、电源单元、接线单元、显示单元及壳体等满足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HJ477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2009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的要求</w:t>
            </w:r>
          </w:p>
          <w:p w14:paraId="2032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④结构参数</w:t>
            </w:r>
          </w:p>
          <w:p w14:paraId="63B1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7寸液晶屏</w:t>
            </w:r>
          </w:p>
          <w:p w14:paraId="565A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通讯协议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Modbus-RTU</w:t>
            </w:r>
          </w:p>
          <w:p w14:paraId="5A66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环保认证：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提供环保产品认证证书</w:t>
            </w:r>
          </w:p>
          <w:p w14:paraId="4BF3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.技术特点</w:t>
            </w:r>
          </w:p>
          <w:p w14:paraId="7F22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（一）连续样水供给</w:t>
            </w:r>
          </w:p>
          <w:p w14:paraId="2B94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（二）AB双桶设计</w:t>
            </w:r>
          </w:p>
          <w:p w14:paraId="3A77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（三）自动润洗排空</w:t>
            </w:r>
          </w:p>
          <w:p w14:paraId="3301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（四）混匀桶自清洗</w:t>
            </w:r>
          </w:p>
          <w:p w14:paraId="0EE2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（六）水浸监测功能</w:t>
            </w:r>
          </w:p>
          <w:p w14:paraId="5C71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（七）智能检测功能</w:t>
            </w:r>
          </w:p>
          <w:p w14:paraId="76BF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采样、供样、留样、混匀桶排空多重检测，实时报警提示</w:t>
            </w:r>
          </w:p>
          <w:p w14:paraId="103A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）数据记录全面</w:t>
            </w:r>
          </w:p>
          <w:p w14:paraId="6F91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可记录设备采样记录、供样记录、留样记录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报警记录、断电记录、开关门记录、流量记录、操作记录、流程日志等信息；</w:t>
            </w:r>
          </w:p>
          <w:p w14:paraId="6470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）及时运维提示</w:t>
            </w:r>
          </w:p>
          <w:p w14:paraId="14F90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102870</wp:posOffset>
                      </wp:positionV>
                      <wp:extent cx="120650" cy="12446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CE2412">
                                  <w:pPr>
                                    <w:spacing w:before="20" w:line="155" w:lineRule="exact"/>
                                    <w:ind w:left="20"/>
                                  </w:pPr>
                                  <w:r>
                                    <w:rPr>
                                      <w:position w:val="-3"/>
                                    </w:rPr>
                                    <w:drawing>
                                      <wp:inline distT="0" distB="0" distL="114300" distR="114300">
                                        <wp:extent cx="94615" cy="98425"/>
                                        <wp:effectExtent l="0" t="0" r="635" b="15875"/>
                                        <wp:docPr id="8" name="图片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1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615" cy="98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4.65pt;margin-top:8.1pt;height:9.8pt;width:9.5pt;z-index:251659264;mso-width-relative:page;mso-height-relative:page;" filled="f" stroked="f" coordsize="21600,21600" o:gfxdata="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pxhF7YAAAACQEAAA8AAAAAAAAAAQAgAAAAIgAAAGRycy9kb3ducmV2LnhtbFBL&#10;AQIUABQAAAAIAIdO4kDEYpajvQEAAH8DAAAOAAAAAAAAAAEAIAAAACc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9CE2412">
                            <w:pPr>
                              <w:spacing w:before="20" w:line="155" w:lineRule="exact"/>
                              <w:ind w:left="20"/>
                            </w:pPr>
                            <w:r>
                              <w:rPr>
                                <w:position w:val="-3"/>
                              </w:rPr>
                              <w:drawing>
                                <wp:inline distT="0" distB="0" distL="114300" distR="114300">
                                  <wp:extent cx="94615" cy="98425"/>
                                  <wp:effectExtent l="0" t="0" r="635" b="15875"/>
                                  <wp:docPr id="8" name="图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" cy="9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各类耗材维护周期自动提醒</w:t>
            </w:r>
          </w:p>
        </w:tc>
        <w:tc>
          <w:tcPr>
            <w:tcW w:w="677" w:type="pct"/>
            <w:noWrap w:val="0"/>
            <w:vAlign w:val="center"/>
          </w:tcPr>
          <w:p w14:paraId="1F10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2E29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360" w:type="pct"/>
            <w:noWrap w:val="0"/>
            <w:vAlign w:val="center"/>
          </w:tcPr>
          <w:p w14:paraId="71D6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8" w:type="pct"/>
            <w:noWrap w:val="0"/>
            <w:vAlign w:val="center"/>
          </w:tcPr>
          <w:p w14:paraId="2C54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H计</w:t>
            </w:r>
          </w:p>
        </w:tc>
        <w:tc>
          <w:tcPr>
            <w:tcW w:w="3034" w:type="pct"/>
            <w:noWrap w:val="0"/>
            <w:vAlign w:val="top"/>
          </w:tcPr>
          <w:p w14:paraId="1FC2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HJ/T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-200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3《pH水质自动分析仪技术要求》</w:t>
            </w:r>
          </w:p>
          <w:p w14:paraId="36FD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1.原理：玻璃电极法</w:t>
            </w:r>
          </w:p>
          <w:p w14:paraId="5F0C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2.测量范围：2pH~12.00pH</w:t>
            </w:r>
          </w:p>
          <w:p w14:paraId="5293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3.性能指标：符合HJ/T96-2003的要求</w:t>
            </w:r>
          </w:p>
        </w:tc>
        <w:tc>
          <w:tcPr>
            <w:tcW w:w="677" w:type="pct"/>
            <w:noWrap w:val="0"/>
            <w:vAlign w:val="center"/>
          </w:tcPr>
          <w:p w14:paraId="0170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6AA7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360" w:type="pct"/>
            <w:noWrap w:val="0"/>
            <w:vAlign w:val="center"/>
          </w:tcPr>
          <w:p w14:paraId="1A88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8" w:type="pct"/>
            <w:noWrap w:val="0"/>
            <w:vAlign w:val="center"/>
          </w:tcPr>
          <w:p w14:paraId="00FC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环保验收</w:t>
            </w:r>
          </w:p>
        </w:tc>
        <w:tc>
          <w:tcPr>
            <w:tcW w:w="3034" w:type="pct"/>
            <w:noWrap w:val="0"/>
            <w:vAlign w:val="top"/>
          </w:tcPr>
          <w:p w14:paraId="0FD94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完成进、出口在线设备的环保验收工作。</w:t>
            </w:r>
          </w:p>
          <w:p w14:paraId="335FE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完成环保验收所需的进、出水在线站房水电改造项目</w:t>
            </w:r>
          </w:p>
          <w:p w14:paraId="536C8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验收主要依据：1、《水污染源在线监测系统（CODCr、NH3-N 等）验收技术规范》（HJ 354-2019）；2、《水污染源在线监测系统（CODCr、NH3-N 等）安装技术规范》（HJ 353-2019）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；3、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《水污染源在线监测系统（CODCr、NH3-N 等）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技术规范》（HJ 35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-2019）</w:t>
            </w:r>
          </w:p>
          <w:p w14:paraId="53BF0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包括不限于以下要求：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相关技术资料、按照HJ353完成调试报告与试运行报告、提供不限于产品认证证书以及产品适用性监测报告等符合 HJ 353-2019中表 1 中技术要求的证明材料、通讯的自检报告与环保主管部门出具的联网证明、水质自动采样单元稳定运行一个月、数据控制单元已稳定运行一个月。</w:t>
            </w:r>
          </w:p>
          <w:p w14:paraId="38428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调试报告需要包括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进水流量计和出水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明渠流量计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校验报告、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进行流量比对误差和液位比对误差测试、水质自动采样器进行采样量误差和温度控制误差测试、水质自动分析仪进行 24 h 漂移、重复性和示值误差的测试，同时进行实际水样比对测试。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调试报告也需要进行实际水样比对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（比对采集水样为混合水样）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6889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为确保在线监测仪表的性能在安装调试期间得到充分的验证和调整，保障其后续正常运行的准确性和有效性，在线设备安装、调试、试运行直至验收完成，按照环保监测要求对进、出水水质进行手工监测，提供有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资质第三方检测机构出具的加盖CMA章的水质检测报告，监测频次应不小于每天4次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，每次监测的间隔不大于6小时。</w:t>
            </w:r>
          </w:p>
          <w:p w14:paraId="0067F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仪器设备验收包括基本验收、功能验收、性能验收；其中性能验收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包括不限于以下要求：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液位比对误差、流量比对误差、采样量误差、温度控制误差、24h漂移、准确度、实际水样比对。</w:t>
            </w:r>
          </w:p>
        </w:tc>
        <w:tc>
          <w:tcPr>
            <w:tcW w:w="677" w:type="pct"/>
            <w:noWrap w:val="0"/>
            <w:vAlign w:val="center"/>
          </w:tcPr>
          <w:p w14:paraId="3F6D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596C8299">
      <w:pPr>
        <w:spacing w:line="360" w:lineRule="auto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三、</w:t>
      </w:r>
      <w:bookmarkStart w:id="2" w:name="_Toc13275"/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商务条款</w:t>
      </w:r>
      <w:bookmarkEnd w:id="2"/>
    </w:p>
    <w:p w14:paraId="22E7432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（一）交货期：</w:t>
      </w:r>
      <w:r>
        <w:rPr>
          <w:rFonts w:hint="eastAsia" w:hAnsi="宋体" w:cs="宋体"/>
          <w:color w:val="auto"/>
          <w:szCs w:val="24"/>
          <w:highlight w:val="none"/>
        </w:rPr>
        <w:t>自合同签订之日起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80个日历日内（其中设备到货安装期限为15个日历日内；环保验收65个日历日内）</w:t>
      </w:r>
      <w:r>
        <w:rPr>
          <w:rFonts w:hint="eastAsia" w:hAnsi="宋体" w:cs="宋体"/>
          <w:color w:val="auto"/>
          <w:szCs w:val="24"/>
          <w:highlight w:val="none"/>
        </w:rPr>
        <w:t>。</w:t>
      </w:r>
    </w:p>
    <w:p w14:paraId="1CE3BDB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（二）质保期：验收合格后不少于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年。</w:t>
      </w:r>
    </w:p>
    <w:p w14:paraId="57F0A0A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（三）交货地点：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空港新城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。</w:t>
      </w:r>
    </w:p>
    <w:p w14:paraId="6BDFBEFA">
      <w:pPr>
        <w:ind w:firstLine="480" w:firstLineChars="200"/>
      </w:pPr>
      <w:bookmarkStart w:id="3" w:name="_GoBack"/>
      <w:bookmarkEnd w:id="3"/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（四）付款方式：</w:t>
      </w:r>
      <w:r>
        <w:rPr>
          <w:rFonts w:hint="eastAsia"/>
          <w:color w:val="auto"/>
          <w:highlight w:val="none"/>
        </w:rPr>
        <w:t>全部货物到达采购人指定地点并</w:t>
      </w:r>
      <w:r>
        <w:rPr>
          <w:rFonts w:hint="eastAsia"/>
          <w:color w:val="auto"/>
          <w:highlight w:val="none"/>
          <w:lang w:eastAsia="zh-CN"/>
        </w:rPr>
        <w:t>完成设备安装、调试、</w:t>
      </w:r>
      <w:r>
        <w:rPr>
          <w:rFonts w:hint="eastAsia"/>
          <w:color w:val="auto"/>
          <w:highlight w:val="none"/>
          <w:lang w:val="en-US" w:eastAsia="zh-CN"/>
        </w:rPr>
        <w:t>试运行、比对监测及</w:t>
      </w:r>
      <w:r>
        <w:rPr>
          <w:rFonts w:hint="eastAsia"/>
          <w:color w:val="auto"/>
          <w:highlight w:val="none"/>
          <w:lang w:eastAsia="zh-CN"/>
        </w:rPr>
        <w:t>环保验收</w:t>
      </w:r>
      <w:r>
        <w:rPr>
          <w:rFonts w:hint="eastAsia"/>
          <w:color w:val="auto"/>
          <w:highlight w:val="none"/>
        </w:rPr>
        <w:t>合格后一次性付清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。</w:t>
      </w:r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E1F05"/>
    <w:multiLevelType w:val="singleLevel"/>
    <w:tmpl w:val="36FE1F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22A3"/>
    <w:rsid w:val="5ED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李玉萍</cp:lastModifiedBy>
  <dcterms:modified xsi:type="dcterms:W3CDTF">2025-01-23T02:49:39Z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6B00D75D772C44ACA0D95B574A6EF09F</vt:lpwstr>
  </property>
  <property fmtid="{D5CDD505-2E9C-101B-9397-08002B2CF9AE}" pid="4" name="KSOTemplateDocerSaveRecord">
    <vt:lpwstr>eyJoZGlkIjoiMjc5Yzg0ODgzYThjNGY0ZTViMjQwMzVjYTM1MjgwZDAiLCJ1c2VySWQiOiI0MDcwNDQ1MjgifQ==</vt:lpwstr>
  </property>
</Properties>
</file>