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采购关于提升超声诊断服务能力配置相关医疗设备中标（成交）结果公告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一、项目编号：JZZB-2024-212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二、项目名称：采购关于提升超声诊断服务能力配置相关医疗设备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三、采购结果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采购包1: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076"/>
        <w:gridCol w:w="3115"/>
        <w:gridCol w:w="1557"/>
        <w:gridCol w:w="1557"/>
      </w:tblGrid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供应商名称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供应商地址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中标（成交）金额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评审总得分</w:t>
            </w:r>
          </w:p>
        </w:tc>
      </w:tr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陕西普惠康泽医疗科技有限公司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陕西省西安市雁塔区电子西街3号西京三号1幢10层1100124</w:t>
            </w:r>
          </w:p>
        </w:tc>
        <w:tc>
          <w:tcPr>
            <w:tcW w:type="dxa" w:w="1557"/>
          </w:tcPr>
          <w:p>
            <w:pPr>
              <w:pStyle w:val="null3"/>
              <w:jc w:val="right"/>
            </w:pPr>
            <w:r>
              <w:rPr>
                <w:rFonts w:ascii="仿宋_GB2312" w:hAnsi="仿宋_GB2312" w:cs="仿宋_GB2312" w:eastAsia="仿宋_GB2312"/>
              </w:rPr>
              <w:t>2,670,000.00元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76.40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四、主要标的信息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合同包1(采购关于提升超声诊断服务能力配置相关医疗设备):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货物类（陕西普惠康泽医疗科技有限公司）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3"/>
        <w:gridCol w:w="963"/>
        <w:gridCol w:w="963"/>
        <w:gridCol w:w="803"/>
        <w:gridCol w:w="1445"/>
        <w:gridCol w:w="1124"/>
        <w:gridCol w:w="1003"/>
        <w:gridCol w:w="1003"/>
      </w:tblGrid>
      <w:tr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品目号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品目名称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采购标的</w:t>
            </w:r>
          </w:p>
        </w:tc>
        <w:tc>
          <w:tcPr>
            <w:tcW w:type="dxa" w:w="8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品牌</w:t>
            </w:r>
          </w:p>
        </w:tc>
        <w:tc>
          <w:tcPr>
            <w:tcW w:type="dxa" w:w="144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规格型号</w:t>
            </w:r>
          </w:p>
        </w:tc>
        <w:tc>
          <w:tcPr>
            <w:tcW w:type="dxa" w:w="1124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数量（单位）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单价(元)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总价(元)</w:t>
            </w:r>
          </w:p>
        </w:tc>
      </w:tr>
      <w:tr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医用超声波仪器及设备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8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飞利浦</w:t>
            </w:r>
          </w:p>
        </w:tc>
        <w:tc>
          <w:tcPr>
            <w:tcW w:type="dxa" w:w="144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满足医院需求</w:t>
            </w:r>
          </w:p>
        </w:tc>
        <w:tc>
          <w:tcPr>
            <w:tcW w:type="dxa" w:w="1124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1.00(套)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2,670,000.00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2,670,000.00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五、评审专家（单一来源采购人员）名单：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李毅（采购人代表）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张明勇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骆玮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续大伟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王晓坤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六、代理服务收费标准及金额：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907"/>
        <w:gridCol w:w="2907"/>
        <w:gridCol w:w="1246"/>
      </w:tblGrid>
      <w:tr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代理服务收费标准及金额</w:t>
            </w:r>
          </w:p>
        </w:tc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参照国家计委颁发的《招标代理服务收费管理暂行办法》（计价格[2002]1980号）和国家发展和改革委员发改价格【2011】534号文规定，经协商由成交供应商向采购代理机构支付招标代理服务费（包含“招标代理费、会务费（如有）”）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合同包号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合同包名称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代理服务费金额（万元）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收取对象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采购关于提升超声诊断服务能力配置相关医疗设备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3.337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中标(成交)供应商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七、公告期限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自本公告发布之日起</w:t>
      </w:r>
      <w:r>
        <w:rPr>
          <w:rFonts w:ascii="仿宋_GB2312" w:hAnsi="仿宋_GB2312" w:cs="仿宋_GB2312" w:eastAsia="仿宋_GB2312"/>
        </w:rPr>
        <w:t>1</w:t>
      </w:r>
      <w:r>
        <w:rPr>
          <w:rFonts w:ascii="仿宋_GB2312" w:hAnsi="仿宋_GB2312" w:cs="仿宋_GB2312" w:eastAsia="仿宋_GB2312"/>
        </w:rPr>
        <w:t>个工作日。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八、其他补充事宜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/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九、凡对本次公告内容提出询问，请按以下方式联系。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西安市临潼区妇幼保健计划生育服务中心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西安市临潼区西关正街99号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029-83855803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陕西建政项目管理有限公司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陕西省西安市雁塔区陕西省西安市雁塔区农林巷1号蓝山国际公寓508室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18229073368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张工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电话：</w:t>
      </w:r>
      <w:r>
        <w:rPr>
          <w:rFonts w:ascii="仿宋_GB2312" w:hAnsi="仿宋_GB2312" w:cs="仿宋_GB2312" w:eastAsia="仿宋_GB2312"/>
        </w:rPr>
        <w:t>18229073368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陕西建政项目管理有限公司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